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iagrams/data1.xml" ContentType="application/vnd.openxmlformats-officedocument.drawingml.diagramData+xml"/>
  <Override PartName="/word/diagrams/data2.xml" ContentType="application/vnd.openxmlformats-officedocument.drawingml.diagramData+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4.xml" ContentType="application/vnd.openxmlformats-officedocument.wordprocessingml.footer+xml"/>
  <Override PartName="/word/footer3.xml" ContentType="application/vnd.openxmlformats-officedocument.wordprocessingml.footer+xml"/>
  <Override PartName="/word/diagrams/layout2.xml" ContentType="application/vnd.openxmlformats-officedocument.drawingml.diagramLayout+xml"/>
  <Override PartName="/word/diagrams/drawing1.xml" ContentType="application/vnd.ms-office.drawingml.diagramDrawing+xml"/>
  <Override PartName="/word/diagrams/colors2.xml" ContentType="application/vnd.openxmlformats-officedocument.drawingml.diagramColors+xml"/>
  <Override PartName="/word/diagrams/drawing2.xml" ContentType="application/vnd.ms-office.drawingml.diagramDrawing+xml"/>
  <Override PartName="/word/diagrams/quickStyle2.xml" ContentType="application/vnd.openxmlformats-officedocument.drawingml.diagramStyle+xml"/>
  <Override PartName="/word/charts/chart1.xml" ContentType="application/vnd.openxmlformats-officedocument.drawingml.chart+xml"/>
  <Override PartName="/word/diagrams/quickStyle1.xml" ContentType="application/vnd.openxmlformats-officedocument.drawingml.diagramStyle+xml"/>
  <Override PartName="/word/theme/theme1.xml" ContentType="application/vnd.openxmlformats-officedocument.theme+xml"/>
  <Override PartName="/word/diagrams/layout1.xml" ContentType="application/vnd.openxmlformats-officedocument.drawingml.diagramLayout+xml"/>
  <Override PartName="/word/diagrams/colors1.xml" ContentType="application/vnd.openxmlformats-officedocument.drawingml.diagramColors+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docProps/custom.xml" ContentType="application/vnd.openxmlformats-officedocument.custom-properties+xml"/>
  <Override PartName="/word/styles.xml" ContentType="application/vnd.openxmlformats-officedocument.wordprocessingml.styles+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7EBB" w:rsidRPr="00F71B40" w:rsidRDefault="00677EBB" w:rsidP="0093226D">
      <w:pPr>
        <w:jc w:val="center"/>
        <w:rPr>
          <w:b/>
          <w:sz w:val="28"/>
          <w:szCs w:val="28"/>
          <w:lang w:val="en-AU"/>
        </w:rPr>
      </w:pPr>
      <w:bookmarkStart w:id="0" w:name="_GoBack"/>
      <w:bookmarkEnd w:id="0"/>
      <w:r w:rsidRPr="00F71B40">
        <w:rPr>
          <w:b/>
          <w:sz w:val="28"/>
          <w:szCs w:val="28"/>
          <w:lang w:val="en-AU"/>
        </w:rPr>
        <w:t>INDEPENDENT REVIEW OF DFAT’S SOLOMON ISLANDS ECONOMIC AND PUBLIC SECTOR GOVERNANCE PROGRAM (SIGOV)</w:t>
      </w:r>
    </w:p>
    <w:p w:rsidR="00677EBB" w:rsidRPr="00F71B40" w:rsidRDefault="00677EBB" w:rsidP="00D62A32">
      <w:pPr>
        <w:rPr>
          <w:lang w:val="en-AU"/>
        </w:rPr>
      </w:pPr>
    </w:p>
    <w:p w:rsidR="00677EBB" w:rsidRDefault="00361D8F" w:rsidP="00361D8F">
      <w:pPr>
        <w:jc w:val="center"/>
        <w:rPr>
          <w:b/>
          <w:sz w:val="28"/>
          <w:szCs w:val="28"/>
          <w:lang w:val="en-AU"/>
        </w:rPr>
      </w:pPr>
      <w:r>
        <w:rPr>
          <w:b/>
          <w:sz w:val="28"/>
          <w:szCs w:val="28"/>
          <w:lang w:val="en-AU"/>
        </w:rPr>
        <w:t xml:space="preserve">Full </w:t>
      </w:r>
      <w:r w:rsidR="00677EBB" w:rsidRPr="00F71B40">
        <w:rPr>
          <w:b/>
          <w:sz w:val="28"/>
          <w:szCs w:val="28"/>
          <w:lang w:val="en-AU"/>
        </w:rPr>
        <w:t xml:space="preserve">report </w:t>
      </w:r>
      <w:r>
        <w:rPr>
          <w:b/>
          <w:sz w:val="28"/>
          <w:szCs w:val="28"/>
          <w:lang w:val="en-AU"/>
        </w:rPr>
        <w:t>(</w:t>
      </w:r>
      <w:r w:rsidR="009A6F4F">
        <w:rPr>
          <w:b/>
          <w:sz w:val="28"/>
          <w:szCs w:val="28"/>
          <w:lang w:val="en-AU"/>
        </w:rPr>
        <w:t>October 2</w:t>
      </w:r>
      <w:r w:rsidR="00026730">
        <w:rPr>
          <w:b/>
          <w:sz w:val="28"/>
          <w:szCs w:val="28"/>
          <w:lang w:val="en-AU"/>
        </w:rPr>
        <w:t>2</w:t>
      </w:r>
      <w:r w:rsidR="00D56625" w:rsidRPr="00F71B40">
        <w:rPr>
          <w:b/>
          <w:sz w:val="28"/>
          <w:szCs w:val="28"/>
          <w:lang w:val="en-AU"/>
        </w:rPr>
        <w:t>, 2014)</w:t>
      </w:r>
    </w:p>
    <w:p w:rsidR="00361D8F" w:rsidRPr="00361D8F" w:rsidRDefault="00361D8F" w:rsidP="00D62A32">
      <w:pPr>
        <w:rPr>
          <w:lang w:val="en-AU"/>
        </w:rPr>
      </w:pPr>
      <w:r w:rsidRPr="00361D8F">
        <w:rPr>
          <w:lang w:val="en-AU"/>
        </w:rPr>
        <w:t>Nick Manning</w:t>
      </w:r>
    </w:p>
    <w:p w:rsidR="0052023C" w:rsidRPr="00F71B40" w:rsidRDefault="0052023C" w:rsidP="00D62A32">
      <w:pPr>
        <w:rPr>
          <w:lang w:val="en-AU"/>
        </w:rPr>
      </w:pPr>
    </w:p>
    <w:p w:rsidR="0090675C" w:rsidRDefault="0052023C">
      <w:pPr>
        <w:pStyle w:val="TOC1"/>
        <w:rPr>
          <w:rFonts w:asciiTheme="minorHAnsi" w:eastAsiaTheme="minorEastAsia" w:hAnsiTheme="minorHAnsi"/>
          <w:b w:val="0"/>
        </w:rPr>
      </w:pPr>
      <w:r w:rsidRPr="00F71B40">
        <w:rPr>
          <w:noProof w:val="0"/>
          <w:lang w:val="en-AU"/>
        </w:rPr>
        <w:fldChar w:fldCharType="begin"/>
      </w:r>
      <w:r w:rsidRPr="00F71B40">
        <w:rPr>
          <w:noProof w:val="0"/>
          <w:lang w:val="en-AU"/>
        </w:rPr>
        <w:instrText xml:space="preserve"> TOC \o "1-3" \h \z \u </w:instrText>
      </w:r>
      <w:r w:rsidRPr="00F71B40">
        <w:rPr>
          <w:noProof w:val="0"/>
          <w:lang w:val="en-AU"/>
        </w:rPr>
        <w:fldChar w:fldCharType="separate"/>
      </w:r>
      <w:hyperlink w:anchor="_Toc399410379" w:history="1">
        <w:r w:rsidR="0090675C" w:rsidRPr="00A63A07">
          <w:rPr>
            <w:rStyle w:val="Hyperlink"/>
            <w:lang w:val="en-AU"/>
          </w:rPr>
          <w:t>1.</w:t>
        </w:r>
        <w:r w:rsidR="0090675C">
          <w:rPr>
            <w:rFonts w:asciiTheme="minorHAnsi" w:eastAsiaTheme="minorEastAsia" w:hAnsiTheme="minorHAnsi"/>
            <w:b w:val="0"/>
          </w:rPr>
          <w:tab/>
        </w:r>
        <w:r w:rsidR="0090675C" w:rsidRPr="00A63A07">
          <w:rPr>
            <w:rStyle w:val="Hyperlink"/>
            <w:lang w:val="en-AU"/>
          </w:rPr>
          <w:t>Summary</w:t>
        </w:r>
        <w:r w:rsidR="0090675C">
          <w:rPr>
            <w:webHidden/>
          </w:rPr>
          <w:tab/>
        </w:r>
        <w:r w:rsidR="0090675C">
          <w:rPr>
            <w:webHidden/>
          </w:rPr>
          <w:fldChar w:fldCharType="begin"/>
        </w:r>
        <w:r w:rsidR="0090675C">
          <w:rPr>
            <w:webHidden/>
          </w:rPr>
          <w:instrText xml:space="preserve"> PAGEREF _Toc399410379 \h </w:instrText>
        </w:r>
        <w:r w:rsidR="0090675C">
          <w:rPr>
            <w:webHidden/>
          </w:rPr>
        </w:r>
        <w:r w:rsidR="0090675C">
          <w:rPr>
            <w:webHidden/>
          </w:rPr>
          <w:fldChar w:fldCharType="separate"/>
        </w:r>
        <w:r w:rsidR="006A7865">
          <w:rPr>
            <w:webHidden/>
          </w:rPr>
          <w:t>1</w:t>
        </w:r>
        <w:r w:rsidR="0090675C">
          <w:rPr>
            <w:webHidden/>
          </w:rPr>
          <w:fldChar w:fldCharType="end"/>
        </w:r>
      </w:hyperlink>
    </w:p>
    <w:p w:rsidR="0090675C" w:rsidRDefault="00806EC0">
      <w:pPr>
        <w:pStyle w:val="TOC1"/>
        <w:rPr>
          <w:rFonts w:asciiTheme="minorHAnsi" w:eastAsiaTheme="minorEastAsia" w:hAnsiTheme="minorHAnsi"/>
          <w:b w:val="0"/>
        </w:rPr>
      </w:pPr>
      <w:hyperlink w:anchor="_Toc399410380" w:history="1">
        <w:r w:rsidR="0090675C" w:rsidRPr="00A63A07">
          <w:rPr>
            <w:rStyle w:val="Hyperlink"/>
            <w:lang w:val="en-AU"/>
          </w:rPr>
          <w:t>2.</w:t>
        </w:r>
        <w:r w:rsidR="0090675C">
          <w:rPr>
            <w:rFonts w:asciiTheme="minorHAnsi" w:eastAsiaTheme="minorEastAsia" w:hAnsiTheme="minorHAnsi"/>
            <w:b w:val="0"/>
          </w:rPr>
          <w:tab/>
        </w:r>
        <w:r w:rsidR="0090675C" w:rsidRPr="00A63A07">
          <w:rPr>
            <w:rStyle w:val="Hyperlink"/>
            <w:lang w:val="en-AU"/>
          </w:rPr>
          <w:t>The starting point for SIGOV</w:t>
        </w:r>
        <w:r w:rsidR="0090675C">
          <w:rPr>
            <w:webHidden/>
          </w:rPr>
          <w:tab/>
        </w:r>
        <w:r w:rsidR="0090675C">
          <w:rPr>
            <w:webHidden/>
          </w:rPr>
          <w:fldChar w:fldCharType="begin"/>
        </w:r>
        <w:r w:rsidR="0090675C">
          <w:rPr>
            <w:webHidden/>
          </w:rPr>
          <w:instrText xml:space="preserve"> PAGEREF _Toc399410380 \h </w:instrText>
        </w:r>
        <w:r w:rsidR="0090675C">
          <w:rPr>
            <w:webHidden/>
          </w:rPr>
        </w:r>
        <w:r w:rsidR="0090675C">
          <w:rPr>
            <w:webHidden/>
          </w:rPr>
          <w:fldChar w:fldCharType="separate"/>
        </w:r>
        <w:r w:rsidR="006A7865">
          <w:rPr>
            <w:webHidden/>
          </w:rPr>
          <w:t>3</w:t>
        </w:r>
        <w:r w:rsidR="0090675C">
          <w:rPr>
            <w:webHidden/>
          </w:rPr>
          <w:fldChar w:fldCharType="end"/>
        </w:r>
      </w:hyperlink>
    </w:p>
    <w:p w:rsidR="0090675C" w:rsidRDefault="00806EC0">
      <w:pPr>
        <w:pStyle w:val="TOC2"/>
        <w:rPr>
          <w:rFonts w:asciiTheme="minorHAnsi" w:eastAsiaTheme="minorEastAsia" w:hAnsiTheme="minorHAnsi"/>
        </w:rPr>
      </w:pPr>
      <w:hyperlink w:anchor="_Toc399410381" w:history="1">
        <w:r w:rsidR="0090675C" w:rsidRPr="00A63A07">
          <w:rPr>
            <w:rStyle w:val="Hyperlink"/>
            <w:lang w:val="en-AU"/>
          </w:rPr>
          <w:t>a.</w:t>
        </w:r>
        <w:r w:rsidR="0090675C">
          <w:rPr>
            <w:rFonts w:asciiTheme="minorHAnsi" w:eastAsiaTheme="minorEastAsia" w:hAnsiTheme="minorHAnsi"/>
          </w:rPr>
          <w:tab/>
        </w:r>
        <w:r w:rsidR="0090675C" w:rsidRPr="00A63A07">
          <w:rPr>
            <w:rStyle w:val="Hyperlink"/>
            <w:lang w:val="en-AU"/>
          </w:rPr>
          <w:t>The chronology of Australian assistance</w:t>
        </w:r>
        <w:r w:rsidR="0090675C">
          <w:rPr>
            <w:webHidden/>
          </w:rPr>
          <w:tab/>
        </w:r>
        <w:r w:rsidR="0090675C">
          <w:rPr>
            <w:webHidden/>
          </w:rPr>
          <w:fldChar w:fldCharType="begin"/>
        </w:r>
        <w:r w:rsidR="0090675C">
          <w:rPr>
            <w:webHidden/>
          </w:rPr>
          <w:instrText xml:space="preserve"> PAGEREF _Toc399410381 \h </w:instrText>
        </w:r>
        <w:r w:rsidR="0090675C">
          <w:rPr>
            <w:webHidden/>
          </w:rPr>
        </w:r>
        <w:r w:rsidR="0090675C">
          <w:rPr>
            <w:webHidden/>
          </w:rPr>
          <w:fldChar w:fldCharType="separate"/>
        </w:r>
        <w:r w:rsidR="006A7865">
          <w:rPr>
            <w:webHidden/>
          </w:rPr>
          <w:t>3</w:t>
        </w:r>
        <w:r w:rsidR="0090675C">
          <w:rPr>
            <w:webHidden/>
          </w:rPr>
          <w:fldChar w:fldCharType="end"/>
        </w:r>
      </w:hyperlink>
    </w:p>
    <w:p w:rsidR="0090675C" w:rsidRDefault="00806EC0">
      <w:pPr>
        <w:pStyle w:val="TOC2"/>
        <w:rPr>
          <w:rFonts w:asciiTheme="minorHAnsi" w:eastAsiaTheme="minorEastAsia" w:hAnsiTheme="minorHAnsi"/>
        </w:rPr>
      </w:pPr>
      <w:hyperlink w:anchor="_Toc399410382" w:history="1">
        <w:r w:rsidR="0090675C" w:rsidRPr="00A63A07">
          <w:rPr>
            <w:rStyle w:val="Hyperlink"/>
            <w:lang w:val="en-AU"/>
          </w:rPr>
          <w:t>b.</w:t>
        </w:r>
        <w:r w:rsidR="0090675C">
          <w:rPr>
            <w:rFonts w:asciiTheme="minorHAnsi" w:eastAsiaTheme="minorEastAsia" w:hAnsiTheme="minorHAnsi"/>
          </w:rPr>
          <w:tab/>
        </w:r>
        <w:r w:rsidR="0090675C" w:rsidRPr="00A63A07">
          <w:rPr>
            <w:rStyle w:val="Hyperlink"/>
            <w:lang w:val="en-AU"/>
          </w:rPr>
          <w:t>Governance progress during RAMSI</w:t>
        </w:r>
        <w:r w:rsidR="0090675C">
          <w:rPr>
            <w:webHidden/>
          </w:rPr>
          <w:tab/>
        </w:r>
        <w:r w:rsidR="0090675C">
          <w:rPr>
            <w:webHidden/>
          </w:rPr>
          <w:fldChar w:fldCharType="begin"/>
        </w:r>
        <w:r w:rsidR="0090675C">
          <w:rPr>
            <w:webHidden/>
          </w:rPr>
          <w:instrText xml:space="preserve"> PAGEREF _Toc399410382 \h </w:instrText>
        </w:r>
        <w:r w:rsidR="0090675C">
          <w:rPr>
            <w:webHidden/>
          </w:rPr>
        </w:r>
        <w:r w:rsidR="0090675C">
          <w:rPr>
            <w:webHidden/>
          </w:rPr>
          <w:fldChar w:fldCharType="separate"/>
        </w:r>
        <w:r w:rsidR="006A7865">
          <w:rPr>
            <w:webHidden/>
          </w:rPr>
          <w:t>6</w:t>
        </w:r>
        <w:r w:rsidR="0090675C">
          <w:rPr>
            <w:webHidden/>
          </w:rPr>
          <w:fldChar w:fldCharType="end"/>
        </w:r>
      </w:hyperlink>
    </w:p>
    <w:p w:rsidR="0090675C" w:rsidRDefault="00806EC0">
      <w:pPr>
        <w:pStyle w:val="TOC2"/>
        <w:rPr>
          <w:rFonts w:asciiTheme="minorHAnsi" w:eastAsiaTheme="minorEastAsia" w:hAnsiTheme="minorHAnsi"/>
        </w:rPr>
      </w:pPr>
      <w:hyperlink w:anchor="_Toc399410383" w:history="1">
        <w:r w:rsidR="0090675C" w:rsidRPr="00A63A07">
          <w:rPr>
            <w:rStyle w:val="Hyperlink"/>
            <w:lang w:val="en-AU"/>
          </w:rPr>
          <w:t>c.</w:t>
        </w:r>
        <w:r w:rsidR="0090675C">
          <w:rPr>
            <w:rFonts w:asciiTheme="minorHAnsi" w:eastAsiaTheme="minorEastAsia" w:hAnsiTheme="minorHAnsi"/>
          </w:rPr>
          <w:tab/>
        </w:r>
        <w:r w:rsidR="0090675C" w:rsidRPr="00A63A07">
          <w:rPr>
            <w:rStyle w:val="Hyperlink"/>
            <w:lang w:val="en-AU"/>
          </w:rPr>
          <w:t>Comparable reform programs have a distinctly modest track record</w:t>
        </w:r>
        <w:r w:rsidR="0090675C">
          <w:rPr>
            <w:webHidden/>
          </w:rPr>
          <w:tab/>
        </w:r>
        <w:r w:rsidR="0090675C">
          <w:rPr>
            <w:webHidden/>
          </w:rPr>
          <w:fldChar w:fldCharType="begin"/>
        </w:r>
        <w:r w:rsidR="0090675C">
          <w:rPr>
            <w:webHidden/>
          </w:rPr>
          <w:instrText xml:space="preserve"> PAGEREF _Toc399410383 \h </w:instrText>
        </w:r>
        <w:r w:rsidR="0090675C">
          <w:rPr>
            <w:webHidden/>
          </w:rPr>
        </w:r>
        <w:r w:rsidR="0090675C">
          <w:rPr>
            <w:webHidden/>
          </w:rPr>
          <w:fldChar w:fldCharType="separate"/>
        </w:r>
        <w:r w:rsidR="006A7865">
          <w:rPr>
            <w:webHidden/>
          </w:rPr>
          <w:t>9</w:t>
        </w:r>
        <w:r w:rsidR="0090675C">
          <w:rPr>
            <w:webHidden/>
          </w:rPr>
          <w:fldChar w:fldCharType="end"/>
        </w:r>
      </w:hyperlink>
    </w:p>
    <w:p w:rsidR="0090675C" w:rsidRDefault="00806EC0">
      <w:pPr>
        <w:pStyle w:val="TOC1"/>
        <w:rPr>
          <w:rFonts w:asciiTheme="minorHAnsi" w:eastAsiaTheme="minorEastAsia" w:hAnsiTheme="minorHAnsi"/>
          <w:b w:val="0"/>
        </w:rPr>
      </w:pPr>
      <w:hyperlink w:anchor="_Toc399410384" w:history="1">
        <w:r w:rsidR="0090675C" w:rsidRPr="00A63A07">
          <w:rPr>
            <w:rStyle w:val="Hyperlink"/>
            <w:lang w:val="en-AU"/>
          </w:rPr>
          <w:t>3.</w:t>
        </w:r>
        <w:r w:rsidR="0090675C">
          <w:rPr>
            <w:rFonts w:asciiTheme="minorHAnsi" w:eastAsiaTheme="minorEastAsia" w:hAnsiTheme="minorHAnsi"/>
            <w:b w:val="0"/>
          </w:rPr>
          <w:tab/>
        </w:r>
        <w:r w:rsidR="0090675C" w:rsidRPr="00A63A07">
          <w:rPr>
            <w:rStyle w:val="Hyperlink"/>
            <w:lang w:val="en-AU"/>
          </w:rPr>
          <w:t>The distinctive political logic of Solomon Islands</w:t>
        </w:r>
        <w:r w:rsidR="0090675C">
          <w:rPr>
            <w:webHidden/>
          </w:rPr>
          <w:tab/>
        </w:r>
        <w:r w:rsidR="0090675C">
          <w:rPr>
            <w:webHidden/>
          </w:rPr>
          <w:fldChar w:fldCharType="begin"/>
        </w:r>
        <w:r w:rsidR="0090675C">
          <w:rPr>
            <w:webHidden/>
          </w:rPr>
          <w:instrText xml:space="preserve"> PAGEREF _Toc399410384 \h </w:instrText>
        </w:r>
        <w:r w:rsidR="0090675C">
          <w:rPr>
            <w:webHidden/>
          </w:rPr>
        </w:r>
        <w:r w:rsidR="0090675C">
          <w:rPr>
            <w:webHidden/>
          </w:rPr>
          <w:fldChar w:fldCharType="separate"/>
        </w:r>
        <w:r w:rsidR="006A7865">
          <w:rPr>
            <w:webHidden/>
          </w:rPr>
          <w:t>10</w:t>
        </w:r>
        <w:r w:rsidR="0090675C">
          <w:rPr>
            <w:webHidden/>
          </w:rPr>
          <w:fldChar w:fldCharType="end"/>
        </w:r>
      </w:hyperlink>
    </w:p>
    <w:p w:rsidR="0090675C" w:rsidRDefault="00806EC0">
      <w:pPr>
        <w:pStyle w:val="TOC2"/>
        <w:rPr>
          <w:rFonts w:asciiTheme="minorHAnsi" w:eastAsiaTheme="minorEastAsia" w:hAnsiTheme="minorHAnsi"/>
        </w:rPr>
      </w:pPr>
      <w:hyperlink w:anchor="_Toc399410385" w:history="1">
        <w:r w:rsidR="0090675C" w:rsidRPr="00A63A07">
          <w:rPr>
            <w:rStyle w:val="Hyperlink"/>
            <w:lang w:val="en-AU"/>
          </w:rPr>
          <w:t>a.</w:t>
        </w:r>
        <w:r w:rsidR="0090675C">
          <w:rPr>
            <w:rFonts w:asciiTheme="minorHAnsi" w:eastAsiaTheme="minorEastAsia" w:hAnsiTheme="minorHAnsi"/>
          </w:rPr>
          <w:tab/>
        </w:r>
        <w:r w:rsidR="0090675C" w:rsidRPr="00A63A07">
          <w:rPr>
            <w:rStyle w:val="Hyperlink"/>
            <w:lang w:val="en-AU"/>
          </w:rPr>
          <w:t>Politicians do not see the public service as the key vehicle for implementing public policies</w:t>
        </w:r>
        <w:r w:rsidR="0090675C">
          <w:rPr>
            <w:webHidden/>
          </w:rPr>
          <w:tab/>
        </w:r>
        <w:r w:rsidR="0090675C">
          <w:rPr>
            <w:webHidden/>
          </w:rPr>
          <w:fldChar w:fldCharType="begin"/>
        </w:r>
        <w:r w:rsidR="0090675C">
          <w:rPr>
            <w:webHidden/>
          </w:rPr>
          <w:instrText xml:space="preserve"> PAGEREF _Toc399410385 \h </w:instrText>
        </w:r>
        <w:r w:rsidR="0090675C">
          <w:rPr>
            <w:webHidden/>
          </w:rPr>
        </w:r>
        <w:r w:rsidR="0090675C">
          <w:rPr>
            <w:webHidden/>
          </w:rPr>
          <w:fldChar w:fldCharType="separate"/>
        </w:r>
        <w:r w:rsidR="006A7865">
          <w:rPr>
            <w:webHidden/>
          </w:rPr>
          <w:t>10</w:t>
        </w:r>
        <w:r w:rsidR="0090675C">
          <w:rPr>
            <w:webHidden/>
          </w:rPr>
          <w:fldChar w:fldCharType="end"/>
        </w:r>
      </w:hyperlink>
    </w:p>
    <w:p w:rsidR="0090675C" w:rsidRDefault="00806EC0">
      <w:pPr>
        <w:pStyle w:val="TOC2"/>
        <w:rPr>
          <w:rFonts w:asciiTheme="minorHAnsi" w:eastAsiaTheme="minorEastAsia" w:hAnsiTheme="minorHAnsi"/>
        </w:rPr>
      </w:pPr>
      <w:hyperlink w:anchor="_Toc399410386" w:history="1">
        <w:r w:rsidR="0090675C" w:rsidRPr="00A63A07">
          <w:rPr>
            <w:rStyle w:val="Hyperlink"/>
            <w:lang w:val="en-AU"/>
          </w:rPr>
          <w:t>b.</w:t>
        </w:r>
        <w:r w:rsidR="0090675C">
          <w:rPr>
            <w:rFonts w:asciiTheme="minorHAnsi" w:eastAsiaTheme="minorEastAsia" w:hAnsiTheme="minorHAnsi"/>
          </w:rPr>
          <w:tab/>
        </w:r>
        <w:r w:rsidR="0090675C" w:rsidRPr="00A63A07">
          <w:rPr>
            <w:rStyle w:val="Hyperlink"/>
            <w:lang w:val="en-AU"/>
          </w:rPr>
          <w:t>The roots of the distinctive political incentives are deep</w:t>
        </w:r>
        <w:r w:rsidR="0090675C">
          <w:rPr>
            <w:webHidden/>
          </w:rPr>
          <w:tab/>
        </w:r>
        <w:r w:rsidR="0090675C">
          <w:rPr>
            <w:webHidden/>
          </w:rPr>
          <w:fldChar w:fldCharType="begin"/>
        </w:r>
        <w:r w:rsidR="0090675C">
          <w:rPr>
            <w:webHidden/>
          </w:rPr>
          <w:instrText xml:space="preserve"> PAGEREF _Toc399410386 \h </w:instrText>
        </w:r>
        <w:r w:rsidR="0090675C">
          <w:rPr>
            <w:webHidden/>
          </w:rPr>
        </w:r>
        <w:r w:rsidR="0090675C">
          <w:rPr>
            <w:webHidden/>
          </w:rPr>
          <w:fldChar w:fldCharType="separate"/>
        </w:r>
        <w:r w:rsidR="006A7865">
          <w:rPr>
            <w:webHidden/>
          </w:rPr>
          <w:t>12</w:t>
        </w:r>
        <w:r w:rsidR="0090675C">
          <w:rPr>
            <w:webHidden/>
          </w:rPr>
          <w:fldChar w:fldCharType="end"/>
        </w:r>
      </w:hyperlink>
    </w:p>
    <w:p w:rsidR="0090675C" w:rsidRDefault="00806EC0">
      <w:pPr>
        <w:pStyle w:val="TOC1"/>
        <w:rPr>
          <w:rFonts w:asciiTheme="minorHAnsi" w:eastAsiaTheme="minorEastAsia" w:hAnsiTheme="minorHAnsi"/>
          <w:b w:val="0"/>
        </w:rPr>
      </w:pPr>
      <w:hyperlink w:anchor="_Toc399410387" w:history="1">
        <w:r w:rsidR="0090675C" w:rsidRPr="00A63A07">
          <w:rPr>
            <w:rStyle w:val="Hyperlink"/>
            <w:lang w:val="en-AU"/>
          </w:rPr>
          <w:t>4.</w:t>
        </w:r>
        <w:r w:rsidR="0090675C">
          <w:rPr>
            <w:rFonts w:asciiTheme="minorHAnsi" w:eastAsiaTheme="minorEastAsia" w:hAnsiTheme="minorHAnsi"/>
            <w:b w:val="0"/>
          </w:rPr>
          <w:tab/>
        </w:r>
        <w:r w:rsidR="0090675C" w:rsidRPr="00A63A07">
          <w:rPr>
            <w:rStyle w:val="Hyperlink"/>
            <w:lang w:val="en-AU"/>
          </w:rPr>
          <w:t>Early impressions of how SIGOV is working</w:t>
        </w:r>
        <w:r w:rsidR="0090675C">
          <w:rPr>
            <w:webHidden/>
          </w:rPr>
          <w:tab/>
        </w:r>
        <w:r w:rsidR="0090675C">
          <w:rPr>
            <w:webHidden/>
          </w:rPr>
          <w:fldChar w:fldCharType="begin"/>
        </w:r>
        <w:r w:rsidR="0090675C">
          <w:rPr>
            <w:webHidden/>
          </w:rPr>
          <w:instrText xml:space="preserve"> PAGEREF _Toc399410387 \h </w:instrText>
        </w:r>
        <w:r w:rsidR="0090675C">
          <w:rPr>
            <w:webHidden/>
          </w:rPr>
        </w:r>
        <w:r w:rsidR="0090675C">
          <w:rPr>
            <w:webHidden/>
          </w:rPr>
          <w:fldChar w:fldCharType="separate"/>
        </w:r>
        <w:r w:rsidR="006A7865">
          <w:rPr>
            <w:webHidden/>
          </w:rPr>
          <w:t>13</w:t>
        </w:r>
        <w:r w:rsidR="0090675C">
          <w:rPr>
            <w:webHidden/>
          </w:rPr>
          <w:fldChar w:fldCharType="end"/>
        </w:r>
      </w:hyperlink>
    </w:p>
    <w:p w:rsidR="0090675C" w:rsidRDefault="00806EC0">
      <w:pPr>
        <w:pStyle w:val="TOC2"/>
        <w:rPr>
          <w:rFonts w:asciiTheme="minorHAnsi" w:eastAsiaTheme="minorEastAsia" w:hAnsiTheme="minorHAnsi"/>
        </w:rPr>
      </w:pPr>
      <w:hyperlink w:anchor="_Toc399410388" w:history="1">
        <w:r w:rsidR="0090675C" w:rsidRPr="00A63A07">
          <w:rPr>
            <w:rStyle w:val="Hyperlink"/>
            <w:lang w:val="en-AU"/>
          </w:rPr>
          <w:t>a.</w:t>
        </w:r>
        <w:r w:rsidR="0090675C">
          <w:rPr>
            <w:rFonts w:asciiTheme="minorHAnsi" w:eastAsiaTheme="minorEastAsia" w:hAnsiTheme="minorHAnsi"/>
          </w:rPr>
          <w:tab/>
        </w:r>
        <w:r w:rsidR="0090675C" w:rsidRPr="00A63A07">
          <w:rPr>
            <w:rStyle w:val="Hyperlink"/>
            <w:lang w:val="en-AU"/>
          </w:rPr>
          <w:t>Human Resource Management progress within SIGOV</w:t>
        </w:r>
        <w:r w:rsidR="0090675C">
          <w:rPr>
            <w:webHidden/>
          </w:rPr>
          <w:tab/>
        </w:r>
        <w:r w:rsidR="0090675C">
          <w:rPr>
            <w:webHidden/>
          </w:rPr>
          <w:fldChar w:fldCharType="begin"/>
        </w:r>
        <w:r w:rsidR="0090675C">
          <w:rPr>
            <w:webHidden/>
          </w:rPr>
          <w:instrText xml:space="preserve"> PAGEREF _Toc399410388 \h </w:instrText>
        </w:r>
        <w:r w:rsidR="0090675C">
          <w:rPr>
            <w:webHidden/>
          </w:rPr>
        </w:r>
        <w:r w:rsidR="0090675C">
          <w:rPr>
            <w:webHidden/>
          </w:rPr>
          <w:fldChar w:fldCharType="separate"/>
        </w:r>
        <w:r w:rsidR="006A7865">
          <w:rPr>
            <w:webHidden/>
          </w:rPr>
          <w:t>14</w:t>
        </w:r>
        <w:r w:rsidR="0090675C">
          <w:rPr>
            <w:webHidden/>
          </w:rPr>
          <w:fldChar w:fldCharType="end"/>
        </w:r>
      </w:hyperlink>
    </w:p>
    <w:p w:rsidR="0090675C" w:rsidRDefault="00806EC0">
      <w:pPr>
        <w:pStyle w:val="TOC2"/>
        <w:rPr>
          <w:rFonts w:asciiTheme="minorHAnsi" w:eastAsiaTheme="minorEastAsia" w:hAnsiTheme="minorHAnsi"/>
        </w:rPr>
      </w:pPr>
      <w:hyperlink w:anchor="_Toc399410389" w:history="1">
        <w:r w:rsidR="0090675C" w:rsidRPr="00A63A07">
          <w:rPr>
            <w:rStyle w:val="Hyperlink"/>
            <w:lang w:val="en-AU"/>
          </w:rPr>
          <w:t>b.</w:t>
        </w:r>
        <w:r w:rsidR="0090675C">
          <w:rPr>
            <w:rFonts w:asciiTheme="minorHAnsi" w:eastAsiaTheme="minorEastAsia" w:hAnsiTheme="minorHAnsi"/>
          </w:rPr>
          <w:tab/>
        </w:r>
        <w:r w:rsidR="0090675C" w:rsidRPr="00A63A07">
          <w:rPr>
            <w:rStyle w:val="Hyperlink"/>
            <w:lang w:val="en-AU"/>
          </w:rPr>
          <w:t>Public Financial Management progress within SIGOV</w:t>
        </w:r>
        <w:r w:rsidR="0090675C">
          <w:rPr>
            <w:webHidden/>
          </w:rPr>
          <w:tab/>
        </w:r>
        <w:r w:rsidR="0090675C">
          <w:rPr>
            <w:webHidden/>
          </w:rPr>
          <w:fldChar w:fldCharType="begin"/>
        </w:r>
        <w:r w:rsidR="0090675C">
          <w:rPr>
            <w:webHidden/>
          </w:rPr>
          <w:instrText xml:space="preserve"> PAGEREF _Toc399410389 \h </w:instrText>
        </w:r>
        <w:r w:rsidR="0090675C">
          <w:rPr>
            <w:webHidden/>
          </w:rPr>
        </w:r>
        <w:r w:rsidR="0090675C">
          <w:rPr>
            <w:webHidden/>
          </w:rPr>
          <w:fldChar w:fldCharType="separate"/>
        </w:r>
        <w:r w:rsidR="006A7865">
          <w:rPr>
            <w:webHidden/>
          </w:rPr>
          <w:t>16</w:t>
        </w:r>
        <w:r w:rsidR="0090675C">
          <w:rPr>
            <w:webHidden/>
          </w:rPr>
          <w:fldChar w:fldCharType="end"/>
        </w:r>
      </w:hyperlink>
    </w:p>
    <w:p w:rsidR="0090675C" w:rsidRDefault="00806EC0">
      <w:pPr>
        <w:pStyle w:val="TOC2"/>
        <w:rPr>
          <w:rFonts w:asciiTheme="minorHAnsi" w:eastAsiaTheme="minorEastAsia" w:hAnsiTheme="minorHAnsi"/>
        </w:rPr>
      </w:pPr>
      <w:hyperlink w:anchor="_Toc399410390" w:history="1">
        <w:r w:rsidR="0090675C" w:rsidRPr="00A63A07">
          <w:rPr>
            <w:rStyle w:val="Hyperlink"/>
            <w:lang w:val="en-AU"/>
          </w:rPr>
          <w:t>c.</w:t>
        </w:r>
        <w:r w:rsidR="0090675C">
          <w:rPr>
            <w:rFonts w:asciiTheme="minorHAnsi" w:eastAsiaTheme="minorEastAsia" w:hAnsiTheme="minorHAnsi"/>
          </w:rPr>
          <w:tab/>
        </w:r>
        <w:r w:rsidR="0090675C" w:rsidRPr="00A63A07">
          <w:rPr>
            <w:rStyle w:val="Hyperlink"/>
            <w:lang w:val="en-AU"/>
          </w:rPr>
          <w:t>Service delivery progress within SIGOV – history repeats</w:t>
        </w:r>
        <w:r w:rsidR="0090675C">
          <w:rPr>
            <w:webHidden/>
          </w:rPr>
          <w:tab/>
        </w:r>
        <w:r w:rsidR="0090675C">
          <w:rPr>
            <w:webHidden/>
          </w:rPr>
          <w:fldChar w:fldCharType="begin"/>
        </w:r>
        <w:r w:rsidR="0090675C">
          <w:rPr>
            <w:webHidden/>
          </w:rPr>
          <w:instrText xml:space="preserve"> PAGEREF _Toc399410390 \h </w:instrText>
        </w:r>
        <w:r w:rsidR="0090675C">
          <w:rPr>
            <w:webHidden/>
          </w:rPr>
        </w:r>
        <w:r w:rsidR="0090675C">
          <w:rPr>
            <w:webHidden/>
          </w:rPr>
          <w:fldChar w:fldCharType="separate"/>
        </w:r>
        <w:r w:rsidR="006A7865">
          <w:rPr>
            <w:webHidden/>
          </w:rPr>
          <w:t>17</w:t>
        </w:r>
        <w:r w:rsidR="0090675C">
          <w:rPr>
            <w:webHidden/>
          </w:rPr>
          <w:fldChar w:fldCharType="end"/>
        </w:r>
      </w:hyperlink>
    </w:p>
    <w:p w:rsidR="0090675C" w:rsidRDefault="00806EC0">
      <w:pPr>
        <w:pStyle w:val="TOC1"/>
        <w:rPr>
          <w:rFonts w:asciiTheme="minorHAnsi" w:eastAsiaTheme="minorEastAsia" w:hAnsiTheme="minorHAnsi"/>
          <w:b w:val="0"/>
        </w:rPr>
      </w:pPr>
      <w:hyperlink w:anchor="_Toc399410391" w:history="1">
        <w:r w:rsidR="0090675C" w:rsidRPr="00A63A07">
          <w:rPr>
            <w:rStyle w:val="Hyperlink"/>
            <w:lang w:val="en-AU"/>
          </w:rPr>
          <w:t>5.</w:t>
        </w:r>
        <w:r w:rsidR="0090675C">
          <w:rPr>
            <w:rFonts w:asciiTheme="minorHAnsi" w:eastAsiaTheme="minorEastAsia" w:hAnsiTheme="minorHAnsi"/>
            <w:b w:val="0"/>
          </w:rPr>
          <w:tab/>
        </w:r>
        <w:r w:rsidR="0090675C" w:rsidRPr="00A63A07">
          <w:rPr>
            <w:rStyle w:val="Hyperlink"/>
            <w:lang w:val="en-AU"/>
          </w:rPr>
          <w:t>Unpacking the SIGOV design</w:t>
        </w:r>
        <w:r w:rsidR="0090675C">
          <w:rPr>
            <w:webHidden/>
          </w:rPr>
          <w:tab/>
        </w:r>
        <w:r w:rsidR="0090675C">
          <w:rPr>
            <w:webHidden/>
          </w:rPr>
          <w:fldChar w:fldCharType="begin"/>
        </w:r>
        <w:r w:rsidR="0090675C">
          <w:rPr>
            <w:webHidden/>
          </w:rPr>
          <w:instrText xml:space="preserve"> PAGEREF _Toc399410391 \h </w:instrText>
        </w:r>
        <w:r w:rsidR="0090675C">
          <w:rPr>
            <w:webHidden/>
          </w:rPr>
        </w:r>
        <w:r w:rsidR="0090675C">
          <w:rPr>
            <w:webHidden/>
          </w:rPr>
          <w:fldChar w:fldCharType="separate"/>
        </w:r>
        <w:r w:rsidR="006A7865">
          <w:rPr>
            <w:webHidden/>
          </w:rPr>
          <w:t>18</w:t>
        </w:r>
        <w:r w:rsidR="0090675C">
          <w:rPr>
            <w:webHidden/>
          </w:rPr>
          <w:fldChar w:fldCharType="end"/>
        </w:r>
      </w:hyperlink>
    </w:p>
    <w:p w:rsidR="0090675C" w:rsidRDefault="00806EC0">
      <w:pPr>
        <w:pStyle w:val="TOC2"/>
        <w:rPr>
          <w:rFonts w:asciiTheme="minorHAnsi" w:eastAsiaTheme="minorEastAsia" w:hAnsiTheme="minorHAnsi"/>
        </w:rPr>
      </w:pPr>
      <w:hyperlink w:anchor="_Toc399410392" w:history="1">
        <w:r w:rsidR="0090675C" w:rsidRPr="00A63A07">
          <w:rPr>
            <w:rStyle w:val="Hyperlink"/>
            <w:lang w:val="en-AU"/>
          </w:rPr>
          <w:t>a.</w:t>
        </w:r>
        <w:r w:rsidR="0090675C">
          <w:rPr>
            <w:rFonts w:asciiTheme="minorHAnsi" w:eastAsiaTheme="minorEastAsia" w:hAnsiTheme="minorHAnsi"/>
          </w:rPr>
          <w:tab/>
        </w:r>
        <w:r w:rsidR="0090675C" w:rsidRPr="00A63A07">
          <w:rPr>
            <w:rStyle w:val="Hyperlink"/>
            <w:lang w:val="en-AU"/>
          </w:rPr>
          <w:t>The intervention design</w:t>
        </w:r>
        <w:r w:rsidR="0090675C">
          <w:rPr>
            <w:webHidden/>
          </w:rPr>
          <w:tab/>
        </w:r>
        <w:r w:rsidR="0090675C">
          <w:rPr>
            <w:webHidden/>
          </w:rPr>
          <w:fldChar w:fldCharType="begin"/>
        </w:r>
        <w:r w:rsidR="0090675C">
          <w:rPr>
            <w:webHidden/>
          </w:rPr>
          <w:instrText xml:space="preserve"> PAGEREF _Toc399410392 \h </w:instrText>
        </w:r>
        <w:r w:rsidR="0090675C">
          <w:rPr>
            <w:webHidden/>
          </w:rPr>
        </w:r>
        <w:r w:rsidR="0090675C">
          <w:rPr>
            <w:webHidden/>
          </w:rPr>
          <w:fldChar w:fldCharType="separate"/>
        </w:r>
        <w:r w:rsidR="006A7865">
          <w:rPr>
            <w:webHidden/>
          </w:rPr>
          <w:t>19</w:t>
        </w:r>
        <w:r w:rsidR="0090675C">
          <w:rPr>
            <w:webHidden/>
          </w:rPr>
          <w:fldChar w:fldCharType="end"/>
        </w:r>
      </w:hyperlink>
    </w:p>
    <w:p w:rsidR="0090675C" w:rsidRDefault="00806EC0">
      <w:pPr>
        <w:pStyle w:val="TOC3"/>
        <w:rPr>
          <w:rFonts w:asciiTheme="minorHAnsi" w:eastAsiaTheme="minorEastAsia" w:hAnsiTheme="minorHAnsi"/>
          <w:sz w:val="22"/>
          <w:szCs w:val="22"/>
        </w:rPr>
      </w:pPr>
      <w:hyperlink w:anchor="_Toc399410393" w:history="1">
        <w:r w:rsidR="0090675C" w:rsidRPr="00A63A07">
          <w:rPr>
            <w:rStyle w:val="Hyperlink"/>
            <w:lang w:val="en-AU"/>
          </w:rPr>
          <w:t>What is being fixed? The public sector results chain assumed by SIGOV</w:t>
        </w:r>
        <w:r w:rsidR="0090675C">
          <w:rPr>
            <w:webHidden/>
          </w:rPr>
          <w:tab/>
        </w:r>
        <w:r w:rsidR="0090675C">
          <w:rPr>
            <w:webHidden/>
          </w:rPr>
          <w:fldChar w:fldCharType="begin"/>
        </w:r>
        <w:r w:rsidR="0090675C">
          <w:rPr>
            <w:webHidden/>
          </w:rPr>
          <w:instrText xml:space="preserve"> PAGEREF _Toc399410393 \h </w:instrText>
        </w:r>
        <w:r w:rsidR="0090675C">
          <w:rPr>
            <w:webHidden/>
          </w:rPr>
        </w:r>
        <w:r w:rsidR="0090675C">
          <w:rPr>
            <w:webHidden/>
          </w:rPr>
          <w:fldChar w:fldCharType="separate"/>
        </w:r>
        <w:r w:rsidR="006A7865">
          <w:rPr>
            <w:webHidden/>
          </w:rPr>
          <w:t>19</w:t>
        </w:r>
        <w:r w:rsidR="0090675C">
          <w:rPr>
            <w:webHidden/>
          </w:rPr>
          <w:fldChar w:fldCharType="end"/>
        </w:r>
      </w:hyperlink>
    </w:p>
    <w:p w:rsidR="0090675C" w:rsidRDefault="00806EC0">
      <w:pPr>
        <w:pStyle w:val="TOC3"/>
        <w:rPr>
          <w:rFonts w:asciiTheme="minorHAnsi" w:eastAsiaTheme="minorEastAsia" w:hAnsiTheme="minorHAnsi"/>
          <w:sz w:val="22"/>
          <w:szCs w:val="22"/>
        </w:rPr>
      </w:pPr>
      <w:hyperlink w:anchor="_Toc399410394" w:history="1">
        <w:r w:rsidR="0090675C" w:rsidRPr="00A63A07">
          <w:rPr>
            <w:rStyle w:val="Hyperlink"/>
            <w:lang w:val="en-AU"/>
          </w:rPr>
          <w:t>How will SIGOV help fix it? The two-part intervention logic assumed by SIGOV</w:t>
        </w:r>
        <w:r w:rsidR="0090675C">
          <w:rPr>
            <w:webHidden/>
          </w:rPr>
          <w:tab/>
        </w:r>
        <w:r w:rsidR="0090675C">
          <w:rPr>
            <w:webHidden/>
          </w:rPr>
          <w:fldChar w:fldCharType="begin"/>
        </w:r>
        <w:r w:rsidR="0090675C">
          <w:rPr>
            <w:webHidden/>
          </w:rPr>
          <w:instrText xml:space="preserve"> PAGEREF _Toc399410394 \h </w:instrText>
        </w:r>
        <w:r w:rsidR="0090675C">
          <w:rPr>
            <w:webHidden/>
          </w:rPr>
        </w:r>
        <w:r w:rsidR="0090675C">
          <w:rPr>
            <w:webHidden/>
          </w:rPr>
          <w:fldChar w:fldCharType="separate"/>
        </w:r>
        <w:r w:rsidR="006A7865">
          <w:rPr>
            <w:webHidden/>
          </w:rPr>
          <w:t>21</w:t>
        </w:r>
        <w:r w:rsidR="0090675C">
          <w:rPr>
            <w:webHidden/>
          </w:rPr>
          <w:fldChar w:fldCharType="end"/>
        </w:r>
      </w:hyperlink>
    </w:p>
    <w:p w:rsidR="0090675C" w:rsidRDefault="00806EC0">
      <w:pPr>
        <w:pStyle w:val="TOC3"/>
        <w:rPr>
          <w:rFonts w:asciiTheme="minorHAnsi" w:eastAsiaTheme="minorEastAsia" w:hAnsiTheme="minorHAnsi"/>
          <w:sz w:val="22"/>
          <w:szCs w:val="22"/>
        </w:rPr>
      </w:pPr>
      <w:hyperlink w:anchor="_Toc399410395" w:history="1">
        <w:r w:rsidR="0090675C" w:rsidRPr="00A63A07">
          <w:rPr>
            <w:rStyle w:val="Hyperlink"/>
            <w:lang w:val="en-AU"/>
          </w:rPr>
          <w:t>Why will actors comply so that assistance from SIGOV makes a lasting difference? An incomplete “theory of change”</w:t>
        </w:r>
        <w:r w:rsidR="0090675C">
          <w:rPr>
            <w:webHidden/>
          </w:rPr>
          <w:tab/>
        </w:r>
        <w:r w:rsidR="0090675C">
          <w:rPr>
            <w:webHidden/>
          </w:rPr>
          <w:fldChar w:fldCharType="begin"/>
        </w:r>
        <w:r w:rsidR="0090675C">
          <w:rPr>
            <w:webHidden/>
          </w:rPr>
          <w:instrText xml:space="preserve"> PAGEREF _Toc399410395 \h </w:instrText>
        </w:r>
        <w:r w:rsidR="0090675C">
          <w:rPr>
            <w:webHidden/>
          </w:rPr>
        </w:r>
        <w:r w:rsidR="0090675C">
          <w:rPr>
            <w:webHidden/>
          </w:rPr>
          <w:fldChar w:fldCharType="separate"/>
        </w:r>
        <w:r w:rsidR="006A7865">
          <w:rPr>
            <w:webHidden/>
          </w:rPr>
          <w:t>23</w:t>
        </w:r>
        <w:r w:rsidR="0090675C">
          <w:rPr>
            <w:webHidden/>
          </w:rPr>
          <w:fldChar w:fldCharType="end"/>
        </w:r>
      </w:hyperlink>
    </w:p>
    <w:p w:rsidR="0090675C" w:rsidRDefault="00806EC0">
      <w:pPr>
        <w:pStyle w:val="TOC2"/>
        <w:rPr>
          <w:rFonts w:asciiTheme="minorHAnsi" w:eastAsiaTheme="minorEastAsia" w:hAnsiTheme="minorHAnsi"/>
        </w:rPr>
      </w:pPr>
      <w:hyperlink w:anchor="_Toc399410396" w:history="1">
        <w:r w:rsidR="0090675C" w:rsidRPr="00A63A07">
          <w:rPr>
            <w:rStyle w:val="Hyperlink"/>
            <w:lang w:val="en-AU"/>
          </w:rPr>
          <w:t>b.</w:t>
        </w:r>
        <w:r w:rsidR="0090675C">
          <w:rPr>
            <w:rFonts w:asciiTheme="minorHAnsi" w:eastAsiaTheme="minorEastAsia" w:hAnsiTheme="minorHAnsi"/>
          </w:rPr>
          <w:tab/>
        </w:r>
        <w:r w:rsidR="0090675C" w:rsidRPr="00A63A07">
          <w:rPr>
            <w:rStyle w:val="Hyperlink"/>
            <w:lang w:val="en-AU"/>
          </w:rPr>
          <w:t>Matching the means to the ends</w:t>
        </w:r>
        <w:r w:rsidR="0090675C">
          <w:rPr>
            <w:webHidden/>
          </w:rPr>
          <w:tab/>
        </w:r>
        <w:r w:rsidR="0090675C">
          <w:rPr>
            <w:webHidden/>
          </w:rPr>
          <w:fldChar w:fldCharType="begin"/>
        </w:r>
        <w:r w:rsidR="0090675C">
          <w:rPr>
            <w:webHidden/>
          </w:rPr>
          <w:instrText xml:space="preserve"> PAGEREF _Toc399410396 \h </w:instrText>
        </w:r>
        <w:r w:rsidR="0090675C">
          <w:rPr>
            <w:webHidden/>
          </w:rPr>
        </w:r>
        <w:r w:rsidR="0090675C">
          <w:rPr>
            <w:webHidden/>
          </w:rPr>
          <w:fldChar w:fldCharType="separate"/>
        </w:r>
        <w:r w:rsidR="006A7865">
          <w:rPr>
            <w:webHidden/>
          </w:rPr>
          <w:t>24</w:t>
        </w:r>
        <w:r w:rsidR="0090675C">
          <w:rPr>
            <w:webHidden/>
          </w:rPr>
          <w:fldChar w:fldCharType="end"/>
        </w:r>
      </w:hyperlink>
    </w:p>
    <w:p w:rsidR="0090675C" w:rsidRDefault="00806EC0">
      <w:pPr>
        <w:pStyle w:val="TOC2"/>
        <w:rPr>
          <w:rFonts w:asciiTheme="minorHAnsi" w:eastAsiaTheme="minorEastAsia" w:hAnsiTheme="minorHAnsi"/>
        </w:rPr>
      </w:pPr>
      <w:hyperlink w:anchor="_Toc399410397" w:history="1">
        <w:r w:rsidR="0090675C" w:rsidRPr="00A63A07">
          <w:rPr>
            <w:rStyle w:val="Hyperlink"/>
            <w:lang w:val="en-AU"/>
          </w:rPr>
          <w:t>c.</w:t>
        </w:r>
        <w:r w:rsidR="0090675C">
          <w:rPr>
            <w:rFonts w:asciiTheme="minorHAnsi" w:eastAsiaTheme="minorEastAsia" w:hAnsiTheme="minorHAnsi"/>
          </w:rPr>
          <w:tab/>
        </w:r>
        <w:r w:rsidR="0090675C" w:rsidRPr="00A63A07">
          <w:rPr>
            <w:rStyle w:val="Hyperlink"/>
            <w:lang w:val="en-AU"/>
          </w:rPr>
          <w:t>Risk management and “shared sovereignty”</w:t>
        </w:r>
        <w:r w:rsidR="0090675C">
          <w:rPr>
            <w:webHidden/>
          </w:rPr>
          <w:tab/>
        </w:r>
        <w:r w:rsidR="0090675C">
          <w:rPr>
            <w:webHidden/>
          </w:rPr>
          <w:fldChar w:fldCharType="begin"/>
        </w:r>
        <w:r w:rsidR="0090675C">
          <w:rPr>
            <w:webHidden/>
          </w:rPr>
          <w:instrText xml:space="preserve"> PAGEREF _Toc399410397 \h </w:instrText>
        </w:r>
        <w:r w:rsidR="0090675C">
          <w:rPr>
            <w:webHidden/>
          </w:rPr>
        </w:r>
        <w:r w:rsidR="0090675C">
          <w:rPr>
            <w:webHidden/>
          </w:rPr>
          <w:fldChar w:fldCharType="separate"/>
        </w:r>
        <w:r w:rsidR="006A7865">
          <w:rPr>
            <w:webHidden/>
          </w:rPr>
          <w:t>25</w:t>
        </w:r>
        <w:r w:rsidR="0090675C">
          <w:rPr>
            <w:webHidden/>
          </w:rPr>
          <w:fldChar w:fldCharType="end"/>
        </w:r>
      </w:hyperlink>
    </w:p>
    <w:p w:rsidR="0090675C" w:rsidRDefault="00806EC0">
      <w:pPr>
        <w:pStyle w:val="TOC1"/>
        <w:rPr>
          <w:rFonts w:asciiTheme="minorHAnsi" w:eastAsiaTheme="minorEastAsia" w:hAnsiTheme="minorHAnsi"/>
          <w:b w:val="0"/>
        </w:rPr>
      </w:pPr>
      <w:hyperlink w:anchor="_Toc399410398" w:history="1">
        <w:r w:rsidR="0090675C" w:rsidRPr="00A63A07">
          <w:rPr>
            <w:rStyle w:val="Hyperlink"/>
            <w:lang w:val="en-AU"/>
          </w:rPr>
          <w:t>6.</w:t>
        </w:r>
        <w:r w:rsidR="0090675C">
          <w:rPr>
            <w:rFonts w:asciiTheme="minorHAnsi" w:eastAsiaTheme="minorEastAsia" w:hAnsiTheme="minorHAnsi"/>
            <w:b w:val="0"/>
          </w:rPr>
          <w:tab/>
        </w:r>
        <w:r w:rsidR="0090675C" w:rsidRPr="00A63A07">
          <w:rPr>
            <w:rStyle w:val="Hyperlink"/>
            <w:lang w:val="en-AU"/>
          </w:rPr>
          <w:t>Moving forward: recommendations on the program design</w:t>
        </w:r>
        <w:r w:rsidR="0090675C">
          <w:rPr>
            <w:webHidden/>
          </w:rPr>
          <w:tab/>
        </w:r>
        <w:r w:rsidR="0090675C">
          <w:rPr>
            <w:webHidden/>
          </w:rPr>
          <w:fldChar w:fldCharType="begin"/>
        </w:r>
        <w:r w:rsidR="0090675C">
          <w:rPr>
            <w:webHidden/>
          </w:rPr>
          <w:instrText xml:space="preserve"> PAGEREF _Toc399410398 \h </w:instrText>
        </w:r>
        <w:r w:rsidR="0090675C">
          <w:rPr>
            <w:webHidden/>
          </w:rPr>
        </w:r>
        <w:r w:rsidR="0090675C">
          <w:rPr>
            <w:webHidden/>
          </w:rPr>
          <w:fldChar w:fldCharType="separate"/>
        </w:r>
        <w:r w:rsidR="006A7865">
          <w:rPr>
            <w:webHidden/>
          </w:rPr>
          <w:t>27</w:t>
        </w:r>
        <w:r w:rsidR="0090675C">
          <w:rPr>
            <w:webHidden/>
          </w:rPr>
          <w:fldChar w:fldCharType="end"/>
        </w:r>
      </w:hyperlink>
    </w:p>
    <w:p w:rsidR="0090675C" w:rsidRDefault="00806EC0">
      <w:pPr>
        <w:pStyle w:val="TOC2"/>
        <w:rPr>
          <w:rFonts w:asciiTheme="minorHAnsi" w:eastAsiaTheme="minorEastAsia" w:hAnsiTheme="minorHAnsi"/>
        </w:rPr>
      </w:pPr>
      <w:hyperlink w:anchor="_Toc399410399" w:history="1">
        <w:r w:rsidR="0090675C" w:rsidRPr="00A63A07">
          <w:rPr>
            <w:rStyle w:val="Hyperlink"/>
            <w:lang w:val="en-AU"/>
          </w:rPr>
          <w:t>a.</w:t>
        </w:r>
        <w:r w:rsidR="0090675C">
          <w:rPr>
            <w:rFonts w:asciiTheme="minorHAnsi" w:eastAsiaTheme="minorEastAsia" w:hAnsiTheme="minorHAnsi"/>
          </w:rPr>
          <w:tab/>
        </w:r>
        <w:r w:rsidR="0090675C" w:rsidRPr="00A63A07">
          <w:rPr>
            <w:rStyle w:val="Hyperlink"/>
            <w:lang w:val="en-AU"/>
          </w:rPr>
          <w:t>Reconsidering the program objectives</w:t>
        </w:r>
        <w:r w:rsidR="0090675C">
          <w:rPr>
            <w:webHidden/>
          </w:rPr>
          <w:tab/>
        </w:r>
        <w:r w:rsidR="0090675C">
          <w:rPr>
            <w:webHidden/>
          </w:rPr>
          <w:fldChar w:fldCharType="begin"/>
        </w:r>
        <w:r w:rsidR="0090675C">
          <w:rPr>
            <w:webHidden/>
          </w:rPr>
          <w:instrText xml:space="preserve"> PAGEREF _Toc399410399 \h </w:instrText>
        </w:r>
        <w:r w:rsidR="0090675C">
          <w:rPr>
            <w:webHidden/>
          </w:rPr>
        </w:r>
        <w:r w:rsidR="0090675C">
          <w:rPr>
            <w:webHidden/>
          </w:rPr>
          <w:fldChar w:fldCharType="separate"/>
        </w:r>
        <w:r w:rsidR="006A7865">
          <w:rPr>
            <w:webHidden/>
          </w:rPr>
          <w:t>27</w:t>
        </w:r>
        <w:r w:rsidR="0090675C">
          <w:rPr>
            <w:webHidden/>
          </w:rPr>
          <w:fldChar w:fldCharType="end"/>
        </w:r>
      </w:hyperlink>
    </w:p>
    <w:p w:rsidR="0090675C" w:rsidRDefault="00806EC0">
      <w:pPr>
        <w:pStyle w:val="TOC2"/>
        <w:rPr>
          <w:rFonts w:asciiTheme="minorHAnsi" w:eastAsiaTheme="minorEastAsia" w:hAnsiTheme="minorHAnsi"/>
        </w:rPr>
      </w:pPr>
      <w:hyperlink w:anchor="_Toc399410400" w:history="1">
        <w:r w:rsidR="0090675C" w:rsidRPr="00A63A07">
          <w:rPr>
            <w:rStyle w:val="Hyperlink"/>
            <w:lang w:val="en-AU"/>
          </w:rPr>
          <w:t>b.</w:t>
        </w:r>
        <w:r w:rsidR="0090675C">
          <w:rPr>
            <w:rFonts w:asciiTheme="minorHAnsi" w:eastAsiaTheme="minorEastAsia" w:hAnsiTheme="minorHAnsi"/>
          </w:rPr>
          <w:tab/>
        </w:r>
        <w:r w:rsidR="0090675C" w:rsidRPr="00A63A07">
          <w:rPr>
            <w:rStyle w:val="Hyperlink"/>
            <w:lang w:val="en-AU"/>
          </w:rPr>
          <w:t>Partnership and the joint DFAT/government SIGOV governance structures</w:t>
        </w:r>
        <w:r w:rsidR="0090675C">
          <w:rPr>
            <w:webHidden/>
          </w:rPr>
          <w:tab/>
        </w:r>
        <w:r w:rsidR="0090675C">
          <w:rPr>
            <w:webHidden/>
          </w:rPr>
          <w:fldChar w:fldCharType="begin"/>
        </w:r>
        <w:r w:rsidR="0090675C">
          <w:rPr>
            <w:webHidden/>
          </w:rPr>
          <w:instrText xml:space="preserve"> PAGEREF _Toc399410400 \h </w:instrText>
        </w:r>
        <w:r w:rsidR="0090675C">
          <w:rPr>
            <w:webHidden/>
          </w:rPr>
        </w:r>
        <w:r w:rsidR="0090675C">
          <w:rPr>
            <w:webHidden/>
          </w:rPr>
          <w:fldChar w:fldCharType="separate"/>
        </w:r>
        <w:r w:rsidR="006A7865">
          <w:rPr>
            <w:webHidden/>
          </w:rPr>
          <w:t>28</w:t>
        </w:r>
        <w:r w:rsidR="0090675C">
          <w:rPr>
            <w:webHidden/>
          </w:rPr>
          <w:fldChar w:fldCharType="end"/>
        </w:r>
      </w:hyperlink>
    </w:p>
    <w:p w:rsidR="0090675C" w:rsidRDefault="00806EC0">
      <w:pPr>
        <w:pStyle w:val="TOC2"/>
        <w:rPr>
          <w:rFonts w:asciiTheme="minorHAnsi" w:eastAsiaTheme="minorEastAsia" w:hAnsiTheme="minorHAnsi"/>
        </w:rPr>
      </w:pPr>
      <w:hyperlink w:anchor="_Toc399410401" w:history="1">
        <w:r w:rsidR="0090675C" w:rsidRPr="00A63A07">
          <w:rPr>
            <w:rStyle w:val="Hyperlink"/>
            <w:lang w:val="en-AU"/>
          </w:rPr>
          <w:t>c.</w:t>
        </w:r>
        <w:r w:rsidR="0090675C">
          <w:rPr>
            <w:rFonts w:asciiTheme="minorHAnsi" w:eastAsiaTheme="minorEastAsia" w:hAnsiTheme="minorHAnsi"/>
          </w:rPr>
          <w:tab/>
        </w:r>
        <w:r w:rsidR="0090675C" w:rsidRPr="00A63A07">
          <w:rPr>
            <w:rStyle w:val="Hyperlink"/>
            <w:lang w:val="en-AU"/>
          </w:rPr>
          <w:t>Build learning about sector service delivery constraints and possibilities into SIGOV design</w:t>
        </w:r>
        <w:r w:rsidR="0090675C">
          <w:rPr>
            <w:webHidden/>
          </w:rPr>
          <w:tab/>
        </w:r>
        <w:r w:rsidR="0090675C">
          <w:rPr>
            <w:webHidden/>
          </w:rPr>
          <w:fldChar w:fldCharType="begin"/>
        </w:r>
        <w:r w:rsidR="0090675C">
          <w:rPr>
            <w:webHidden/>
          </w:rPr>
          <w:instrText xml:space="preserve"> PAGEREF _Toc399410401 \h </w:instrText>
        </w:r>
        <w:r w:rsidR="0090675C">
          <w:rPr>
            <w:webHidden/>
          </w:rPr>
        </w:r>
        <w:r w:rsidR="0090675C">
          <w:rPr>
            <w:webHidden/>
          </w:rPr>
          <w:fldChar w:fldCharType="separate"/>
        </w:r>
        <w:r w:rsidR="006A7865">
          <w:rPr>
            <w:webHidden/>
          </w:rPr>
          <w:t>30</w:t>
        </w:r>
        <w:r w:rsidR="0090675C">
          <w:rPr>
            <w:webHidden/>
          </w:rPr>
          <w:fldChar w:fldCharType="end"/>
        </w:r>
      </w:hyperlink>
    </w:p>
    <w:p w:rsidR="0090675C" w:rsidRDefault="00806EC0">
      <w:pPr>
        <w:pStyle w:val="TOC3"/>
        <w:rPr>
          <w:rFonts w:asciiTheme="minorHAnsi" w:eastAsiaTheme="minorEastAsia" w:hAnsiTheme="minorHAnsi"/>
          <w:sz w:val="22"/>
          <w:szCs w:val="22"/>
        </w:rPr>
      </w:pPr>
      <w:hyperlink w:anchor="_Toc399410402" w:history="1">
        <w:r w:rsidR="0090675C" w:rsidRPr="00A63A07">
          <w:rPr>
            <w:rStyle w:val="Hyperlink"/>
            <w:lang w:val="en-AU"/>
          </w:rPr>
          <w:t>Diagnostic work along the sector results chains</w:t>
        </w:r>
        <w:r w:rsidR="0090675C">
          <w:rPr>
            <w:webHidden/>
          </w:rPr>
          <w:tab/>
        </w:r>
        <w:r w:rsidR="0090675C">
          <w:rPr>
            <w:webHidden/>
          </w:rPr>
          <w:fldChar w:fldCharType="begin"/>
        </w:r>
        <w:r w:rsidR="0090675C">
          <w:rPr>
            <w:webHidden/>
          </w:rPr>
          <w:instrText xml:space="preserve"> PAGEREF _Toc399410402 \h </w:instrText>
        </w:r>
        <w:r w:rsidR="0090675C">
          <w:rPr>
            <w:webHidden/>
          </w:rPr>
        </w:r>
        <w:r w:rsidR="0090675C">
          <w:rPr>
            <w:webHidden/>
          </w:rPr>
          <w:fldChar w:fldCharType="separate"/>
        </w:r>
        <w:r w:rsidR="006A7865">
          <w:rPr>
            <w:webHidden/>
          </w:rPr>
          <w:t>32</w:t>
        </w:r>
        <w:r w:rsidR="0090675C">
          <w:rPr>
            <w:webHidden/>
          </w:rPr>
          <w:fldChar w:fldCharType="end"/>
        </w:r>
      </w:hyperlink>
    </w:p>
    <w:p w:rsidR="0090675C" w:rsidRDefault="00806EC0">
      <w:pPr>
        <w:pStyle w:val="TOC3"/>
        <w:rPr>
          <w:rFonts w:asciiTheme="minorHAnsi" w:eastAsiaTheme="minorEastAsia" w:hAnsiTheme="minorHAnsi"/>
          <w:sz w:val="22"/>
          <w:szCs w:val="22"/>
        </w:rPr>
      </w:pPr>
      <w:hyperlink w:anchor="_Toc399410403" w:history="1">
        <w:r w:rsidR="0090675C" w:rsidRPr="00A63A07">
          <w:rPr>
            <w:rStyle w:val="Hyperlink"/>
            <w:lang w:val="en-AU"/>
          </w:rPr>
          <w:t>Cautious piloting</w:t>
        </w:r>
        <w:r w:rsidR="0090675C">
          <w:rPr>
            <w:webHidden/>
          </w:rPr>
          <w:tab/>
        </w:r>
        <w:r w:rsidR="0090675C">
          <w:rPr>
            <w:webHidden/>
          </w:rPr>
          <w:fldChar w:fldCharType="begin"/>
        </w:r>
        <w:r w:rsidR="0090675C">
          <w:rPr>
            <w:webHidden/>
          </w:rPr>
          <w:instrText xml:space="preserve"> PAGEREF _Toc399410403 \h </w:instrText>
        </w:r>
        <w:r w:rsidR="0090675C">
          <w:rPr>
            <w:webHidden/>
          </w:rPr>
        </w:r>
        <w:r w:rsidR="0090675C">
          <w:rPr>
            <w:webHidden/>
          </w:rPr>
          <w:fldChar w:fldCharType="separate"/>
        </w:r>
        <w:r w:rsidR="006A7865">
          <w:rPr>
            <w:webHidden/>
          </w:rPr>
          <w:t>34</w:t>
        </w:r>
        <w:r w:rsidR="0090675C">
          <w:rPr>
            <w:webHidden/>
          </w:rPr>
          <w:fldChar w:fldCharType="end"/>
        </w:r>
      </w:hyperlink>
    </w:p>
    <w:p w:rsidR="0090675C" w:rsidRDefault="00806EC0">
      <w:pPr>
        <w:pStyle w:val="TOC2"/>
        <w:rPr>
          <w:rFonts w:asciiTheme="minorHAnsi" w:eastAsiaTheme="minorEastAsia" w:hAnsiTheme="minorHAnsi"/>
        </w:rPr>
      </w:pPr>
      <w:hyperlink w:anchor="_Toc399410404" w:history="1">
        <w:r w:rsidR="0090675C" w:rsidRPr="00A63A07">
          <w:rPr>
            <w:rStyle w:val="Hyperlink"/>
            <w:lang w:val="en-AU"/>
          </w:rPr>
          <w:t>c.</w:t>
        </w:r>
        <w:r w:rsidR="0090675C">
          <w:rPr>
            <w:rFonts w:asciiTheme="minorHAnsi" w:eastAsiaTheme="minorEastAsia" w:hAnsiTheme="minorHAnsi"/>
          </w:rPr>
          <w:tab/>
        </w:r>
        <w:r w:rsidR="0090675C" w:rsidRPr="00A63A07">
          <w:rPr>
            <w:rStyle w:val="Hyperlink"/>
            <w:lang w:val="en-AU"/>
          </w:rPr>
          <w:t>Develop inputs in addition to long term technical assistance</w:t>
        </w:r>
        <w:r w:rsidR="0090675C">
          <w:rPr>
            <w:webHidden/>
          </w:rPr>
          <w:tab/>
        </w:r>
        <w:r w:rsidR="0090675C">
          <w:rPr>
            <w:webHidden/>
          </w:rPr>
          <w:fldChar w:fldCharType="begin"/>
        </w:r>
        <w:r w:rsidR="0090675C">
          <w:rPr>
            <w:webHidden/>
          </w:rPr>
          <w:instrText xml:space="preserve"> PAGEREF _Toc399410404 \h </w:instrText>
        </w:r>
        <w:r w:rsidR="0090675C">
          <w:rPr>
            <w:webHidden/>
          </w:rPr>
        </w:r>
        <w:r w:rsidR="0090675C">
          <w:rPr>
            <w:webHidden/>
          </w:rPr>
          <w:fldChar w:fldCharType="separate"/>
        </w:r>
        <w:r w:rsidR="006A7865">
          <w:rPr>
            <w:webHidden/>
          </w:rPr>
          <w:t>36</w:t>
        </w:r>
        <w:r w:rsidR="0090675C">
          <w:rPr>
            <w:webHidden/>
          </w:rPr>
          <w:fldChar w:fldCharType="end"/>
        </w:r>
      </w:hyperlink>
    </w:p>
    <w:p w:rsidR="0090675C" w:rsidRDefault="00806EC0">
      <w:pPr>
        <w:pStyle w:val="TOC2"/>
        <w:rPr>
          <w:rFonts w:asciiTheme="minorHAnsi" w:eastAsiaTheme="minorEastAsia" w:hAnsiTheme="minorHAnsi"/>
        </w:rPr>
      </w:pPr>
      <w:hyperlink w:anchor="_Toc399410405" w:history="1">
        <w:r w:rsidR="0090675C" w:rsidRPr="00A63A07">
          <w:rPr>
            <w:rStyle w:val="Hyperlink"/>
            <w:lang w:val="en-AU"/>
          </w:rPr>
          <w:t>d.</w:t>
        </w:r>
        <w:r w:rsidR="0090675C">
          <w:rPr>
            <w:rFonts w:asciiTheme="minorHAnsi" w:eastAsiaTheme="minorEastAsia" w:hAnsiTheme="minorHAnsi"/>
          </w:rPr>
          <w:tab/>
        </w:r>
        <w:r w:rsidR="0090675C" w:rsidRPr="00A63A07">
          <w:rPr>
            <w:rStyle w:val="Hyperlink"/>
            <w:lang w:val="en-AU"/>
          </w:rPr>
          <w:t>Learning and strategy function for SIGOV</w:t>
        </w:r>
        <w:r w:rsidR="0090675C">
          <w:rPr>
            <w:webHidden/>
          </w:rPr>
          <w:tab/>
        </w:r>
        <w:r w:rsidR="0090675C">
          <w:rPr>
            <w:webHidden/>
          </w:rPr>
          <w:fldChar w:fldCharType="begin"/>
        </w:r>
        <w:r w:rsidR="0090675C">
          <w:rPr>
            <w:webHidden/>
          </w:rPr>
          <w:instrText xml:space="preserve"> PAGEREF _Toc399410405 \h </w:instrText>
        </w:r>
        <w:r w:rsidR="0090675C">
          <w:rPr>
            <w:webHidden/>
          </w:rPr>
        </w:r>
        <w:r w:rsidR="0090675C">
          <w:rPr>
            <w:webHidden/>
          </w:rPr>
          <w:fldChar w:fldCharType="separate"/>
        </w:r>
        <w:r w:rsidR="006A7865">
          <w:rPr>
            <w:webHidden/>
          </w:rPr>
          <w:t>36</w:t>
        </w:r>
        <w:r w:rsidR="0090675C">
          <w:rPr>
            <w:webHidden/>
          </w:rPr>
          <w:fldChar w:fldCharType="end"/>
        </w:r>
      </w:hyperlink>
    </w:p>
    <w:p w:rsidR="0090675C" w:rsidRDefault="00806EC0">
      <w:pPr>
        <w:pStyle w:val="TOC1"/>
        <w:rPr>
          <w:rFonts w:asciiTheme="minorHAnsi" w:eastAsiaTheme="minorEastAsia" w:hAnsiTheme="minorHAnsi"/>
          <w:b w:val="0"/>
        </w:rPr>
      </w:pPr>
      <w:hyperlink w:anchor="_Toc399410406" w:history="1">
        <w:r w:rsidR="0090675C" w:rsidRPr="00A63A07">
          <w:rPr>
            <w:rStyle w:val="Hyperlink"/>
            <w:lang w:val="en-AU"/>
          </w:rPr>
          <w:t>7.</w:t>
        </w:r>
        <w:r w:rsidR="0090675C">
          <w:rPr>
            <w:rFonts w:asciiTheme="minorHAnsi" w:eastAsiaTheme="minorEastAsia" w:hAnsiTheme="minorHAnsi"/>
            <w:b w:val="0"/>
          </w:rPr>
          <w:tab/>
        </w:r>
        <w:r w:rsidR="0090675C" w:rsidRPr="00A63A07">
          <w:rPr>
            <w:rStyle w:val="Hyperlink"/>
            <w:lang w:val="en-AU"/>
          </w:rPr>
          <w:t>Program management</w:t>
        </w:r>
        <w:r w:rsidR="0090675C">
          <w:rPr>
            <w:webHidden/>
          </w:rPr>
          <w:tab/>
        </w:r>
        <w:r w:rsidR="0090675C">
          <w:rPr>
            <w:webHidden/>
          </w:rPr>
          <w:fldChar w:fldCharType="begin"/>
        </w:r>
        <w:r w:rsidR="0090675C">
          <w:rPr>
            <w:webHidden/>
          </w:rPr>
          <w:instrText xml:space="preserve"> PAGEREF _Toc399410406 \h </w:instrText>
        </w:r>
        <w:r w:rsidR="0090675C">
          <w:rPr>
            <w:webHidden/>
          </w:rPr>
        </w:r>
        <w:r w:rsidR="0090675C">
          <w:rPr>
            <w:webHidden/>
          </w:rPr>
          <w:fldChar w:fldCharType="separate"/>
        </w:r>
        <w:r w:rsidR="006A7865">
          <w:rPr>
            <w:webHidden/>
          </w:rPr>
          <w:t>38</w:t>
        </w:r>
        <w:r w:rsidR="0090675C">
          <w:rPr>
            <w:webHidden/>
          </w:rPr>
          <w:fldChar w:fldCharType="end"/>
        </w:r>
      </w:hyperlink>
    </w:p>
    <w:p w:rsidR="0090675C" w:rsidRDefault="00806EC0">
      <w:pPr>
        <w:pStyle w:val="TOC1"/>
        <w:rPr>
          <w:rFonts w:asciiTheme="minorHAnsi" w:eastAsiaTheme="minorEastAsia" w:hAnsiTheme="minorHAnsi"/>
          <w:b w:val="0"/>
        </w:rPr>
      </w:pPr>
      <w:hyperlink w:anchor="_Toc399410407" w:history="1">
        <w:r w:rsidR="0090675C" w:rsidRPr="00A63A07">
          <w:rPr>
            <w:rStyle w:val="Hyperlink"/>
            <w:lang w:val="en-AU"/>
          </w:rPr>
          <w:t>Annex 1: Explanations for the limited track record of public sector management reforms</w:t>
        </w:r>
        <w:r w:rsidR="0090675C">
          <w:rPr>
            <w:webHidden/>
          </w:rPr>
          <w:tab/>
        </w:r>
        <w:r w:rsidR="0090675C">
          <w:rPr>
            <w:webHidden/>
          </w:rPr>
          <w:fldChar w:fldCharType="begin"/>
        </w:r>
        <w:r w:rsidR="0090675C">
          <w:rPr>
            <w:webHidden/>
          </w:rPr>
          <w:instrText xml:space="preserve"> PAGEREF _Toc399410407 \h </w:instrText>
        </w:r>
        <w:r w:rsidR="0090675C">
          <w:rPr>
            <w:webHidden/>
          </w:rPr>
        </w:r>
        <w:r w:rsidR="0090675C">
          <w:rPr>
            <w:webHidden/>
          </w:rPr>
          <w:fldChar w:fldCharType="separate"/>
        </w:r>
        <w:r w:rsidR="006A7865">
          <w:rPr>
            <w:webHidden/>
          </w:rPr>
          <w:t>40</w:t>
        </w:r>
        <w:r w:rsidR="0090675C">
          <w:rPr>
            <w:webHidden/>
          </w:rPr>
          <w:fldChar w:fldCharType="end"/>
        </w:r>
      </w:hyperlink>
    </w:p>
    <w:p w:rsidR="0090675C" w:rsidRDefault="00806EC0">
      <w:pPr>
        <w:pStyle w:val="TOC1"/>
        <w:rPr>
          <w:rFonts w:asciiTheme="minorHAnsi" w:eastAsiaTheme="minorEastAsia" w:hAnsiTheme="minorHAnsi"/>
          <w:b w:val="0"/>
        </w:rPr>
      </w:pPr>
      <w:hyperlink w:anchor="_Toc399410408" w:history="1">
        <w:r w:rsidR="0090675C" w:rsidRPr="00A63A07">
          <w:rPr>
            <w:rStyle w:val="Hyperlink"/>
            <w:lang w:val="en-AU"/>
          </w:rPr>
          <w:t>Annex 2: Terms of reference</w:t>
        </w:r>
        <w:r w:rsidR="0090675C">
          <w:rPr>
            <w:webHidden/>
          </w:rPr>
          <w:tab/>
        </w:r>
        <w:r w:rsidR="0090675C">
          <w:rPr>
            <w:webHidden/>
          </w:rPr>
          <w:fldChar w:fldCharType="begin"/>
        </w:r>
        <w:r w:rsidR="0090675C">
          <w:rPr>
            <w:webHidden/>
          </w:rPr>
          <w:instrText xml:space="preserve"> PAGEREF _Toc399410408 \h </w:instrText>
        </w:r>
        <w:r w:rsidR="0090675C">
          <w:rPr>
            <w:webHidden/>
          </w:rPr>
        </w:r>
        <w:r w:rsidR="0090675C">
          <w:rPr>
            <w:webHidden/>
          </w:rPr>
          <w:fldChar w:fldCharType="separate"/>
        </w:r>
        <w:r w:rsidR="006A7865">
          <w:rPr>
            <w:webHidden/>
          </w:rPr>
          <w:t>41</w:t>
        </w:r>
        <w:r w:rsidR="0090675C">
          <w:rPr>
            <w:webHidden/>
          </w:rPr>
          <w:fldChar w:fldCharType="end"/>
        </w:r>
      </w:hyperlink>
    </w:p>
    <w:p w:rsidR="0090675C" w:rsidRDefault="00806EC0">
      <w:pPr>
        <w:pStyle w:val="TOC1"/>
        <w:rPr>
          <w:rFonts w:asciiTheme="minorHAnsi" w:eastAsiaTheme="minorEastAsia" w:hAnsiTheme="minorHAnsi"/>
          <w:b w:val="0"/>
        </w:rPr>
      </w:pPr>
      <w:hyperlink w:anchor="_Toc399410409" w:history="1">
        <w:r w:rsidR="0090675C" w:rsidRPr="00A63A07">
          <w:rPr>
            <w:rStyle w:val="Hyperlink"/>
            <w:lang w:val="en-AU"/>
          </w:rPr>
          <w:t>Annex 3: People met</w:t>
        </w:r>
        <w:r w:rsidR="0090675C">
          <w:rPr>
            <w:webHidden/>
          </w:rPr>
          <w:tab/>
        </w:r>
        <w:r w:rsidR="0090675C">
          <w:rPr>
            <w:webHidden/>
          </w:rPr>
          <w:fldChar w:fldCharType="begin"/>
        </w:r>
        <w:r w:rsidR="0090675C">
          <w:rPr>
            <w:webHidden/>
          </w:rPr>
          <w:instrText xml:space="preserve"> PAGEREF _Toc399410409 \h </w:instrText>
        </w:r>
        <w:r w:rsidR="0090675C">
          <w:rPr>
            <w:webHidden/>
          </w:rPr>
        </w:r>
        <w:r w:rsidR="0090675C">
          <w:rPr>
            <w:webHidden/>
          </w:rPr>
          <w:fldChar w:fldCharType="separate"/>
        </w:r>
        <w:r w:rsidR="006A7865">
          <w:rPr>
            <w:webHidden/>
          </w:rPr>
          <w:t>44</w:t>
        </w:r>
        <w:r w:rsidR="0090675C">
          <w:rPr>
            <w:webHidden/>
          </w:rPr>
          <w:fldChar w:fldCharType="end"/>
        </w:r>
      </w:hyperlink>
    </w:p>
    <w:p w:rsidR="0090675C" w:rsidRDefault="00806EC0">
      <w:pPr>
        <w:pStyle w:val="TOC1"/>
        <w:rPr>
          <w:rFonts w:asciiTheme="minorHAnsi" w:eastAsiaTheme="minorEastAsia" w:hAnsiTheme="minorHAnsi"/>
          <w:b w:val="0"/>
        </w:rPr>
      </w:pPr>
      <w:hyperlink w:anchor="_Toc399410410" w:history="1">
        <w:r w:rsidR="0090675C" w:rsidRPr="00A63A07">
          <w:rPr>
            <w:rStyle w:val="Hyperlink"/>
            <w:lang w:val="en-AU"/>
          </w:rPr>
          <w:t>References</w:t>
        </w:r>
        <w:r w:rsidR="0090675C">
          <w:rPr>
            <w:webHidden/>
          </w:rPr>
          <w:tab/>
        </w:r>
        <w:r w:rsidR="0090675C">
          <w:rPr>
            <w:webHidden/>
          </w:rPr>
          <w:fldChar w:fldCharType="begin"/>
        </w:r>
        <w:r w:rsidR="0090675C">
          <w:rPr>
            <w:webHidden/>
          </w:rPr>
          <w:instrText xml:space="preserve"> PAGEREF _Toc399410410 \h </w:instrText>
        </w:r>
        <w:r w:rsidR="0090675C">
          <w:rPr>
            <w:webHidden/>
          </w:rPr>
        </w:r>
        <w:r w:rsidR="0090675C">
          <w:rPr>
            <w:webHidden/>
          </w:rPr>
          <w:fldChar w:fldCharType="separate"/>
        </w:r>
        <w:r w:rsidR="006A7865">
          <w:rPr>
            <w:webHidden/>
          </w:rPr>
          <w:t>46</w:t>
        </w:r>
        <w:r w:rsidR="0090675C">
          <w:rPr>
            <w:webHidden/>
          </w:rPr>
          <w:fldChar w:fldCharType="end"/>
        </w:r>
      </w:hyperlink>
    </w:p>
    <w:p w:rsidR="00D56625" w:rsidRPr="00F71B40" w:rsidRDefault="0052023C" w:rsidP="00D56625">
      <w:pPr>
        <w:rPr>
          <w:lang w:val="en-AU"/>
        </w:rPr>
      </w:pPr>
      <w:r w:rsidRPr="00F71B40">
        <w:rPr>
          <w:lang w:val="en-AU"/>
        </w:rPr>
        <w:fldChar w:fldCharType="end"/>
      </w:r>
    </w:p>
    <w:p w:rsidR="00D56625" w:rsidRPr="00F71B40" w:rsidRDefault="00D56625" w:rsidP="00D56625">
      <w:pPr>
        <w:rPr>
          <w:b/>
          <w:lang w:val="en-AU"/>
        </w:rPr>
      </w:pPr>
      <w:r w:rsidRPr="00F71B40">
        <w:rPr>
          <w:b/>
          <w:lang w:val="en-AU"/>
        </w:rPr>
        <w:t>Boxes</w:t>
      </w:r>
    </w:p>
    <w:p w:rsidR="00CC56DB" w:rsidRDefault="00D56625">
      <w:pPr>
        <w:pStyle w:val="TableofFigures"/>
        <w:tabs>
          <w:tab w:val="right" w:leader="dot" w:pos="9350"/>
        </w:tabs>
        <w:rPr>
          <w:rFonts w:asciiTheme="minorHAnsi" w:eastAsiaTheme="minorEastAsia" w:hAnsiTheme="minorHAnsi"/>
          <w:noProof/>
        </w:rPr>
      </w:pPr>
      <w:r w:rsidRPr="00F71B40">
        <w:rPr>
          <w:lang w:val="en-AU"/>
        </w:rPr>
        <w:fldChar w:fldCharType="begin"/>
      </w:r>
      <w:r w:rsidRPr="00F71B40">
        <w:rPr>
          <w:lang w:val="en-AU"/>
        </w:rPr>
        <w:instrText xml:space="preserve"> TOC \h \z \c "Box" </w:instrText>
      </w:r>
      <w:r w:rsidRPr="00F71B40">
        <w:rPr>
          <w:lang w:val="en-AU"/>
        </w:rPr>
        <w:fldChar w:fldCharType="separate"/>
      </w:r>
      <w:hyperlink w:anchor="_Toc401761829" w:history="1">
        <w:r w:rsidR="00CC56DB" w:rsidRPr="00B80DE0">
          <w:rPr>
            <w:rStyle w:val="Hyperlink"/>
            <w:noProof/>
            <w:lang w:val="en-AU"/>
          </w:rPr>
          <w:t>Box 1: The limited track record of public sector reforms</w:t>
        </w:r>
        <w:r w:rsidR="00CC56DB">
          <w:rPr>
            <w:noProof/>
            <w:webHidden/>
          </w:rPr>
          <w:tab/>
        </w:r>
        <w:r w:rsidR="00CC56DB">
          <w:rPr>
            <w:noProof/>
            <w:webHidden/>
          </w:rPr>
          <w:fldChar w:fldCharType="begin"/>
        </w:r>
        <w:r w:rsidR="00CC56DB">
          <w:rPr>
            <w:noProof/>
            <w:webHidden/>
          </w:rPr>
          <w:instrText xml:space="preserve"> PAGEREF _Toc401761829 \h </w:instrText>
        </w:r>
        <w:r w:rsidR="00CC56DB">
          <w:rPr>
            <w:noProof/>
            <w:webHidden/>
          </w:rPr>
        </w:r>
        <w:r w:rsidR="00CC56DB">
          <w:rPr>
            <w:noProof/>
            <w:webHidden/>
          </w:rPr>
          <w:fldChar w:fldCharType="separate"/>
        </w:r>
        <w:r w:rsidR="006A7865">
          <w:rPr>
            <w:noProof/>
            <w:webHidden/>
          </w:rPr>
          <w:t>9</w:t>
        </w:r>
        <w:r w:rsidR="00CC56DB">
          <w:rPr>
            <w:noProof/>
            <w:webHidden/>
          </w:rPr>
          <w:fldChar w:fldCharType="end"/>
        </w:r>
      </w:hyperlink>
    </w:p>
    <w:p w:rsidR="00CC56DB" w:rsidRDefault="00806EC0">
      <w:pPr>
        <w:pStyle w:val="TableofFigures"/>
        <w:tabs>
          <w:tab w:val="right" w:leader="dot" w:pos="9350"/>
        </w:tabs>
        <w:rPr>
          <w:rFonts w:asciiTheme="minorHAnsi" w:eastAsiaTheme="minorEastAsia" w:hAnsiTheme="minorHAnsi"/>
          <w:noProof/>
        </w:rPr>
      </w:pPr>
      <w:hyperlink w:anchor="_Toc401761830" w:history="1">
        <w:r w:rsidR="00CC56DB" w:rsidRPr="00B80DE0">
          <w:rPr>
            <w:rStyle w:val="Hyperlink"/>
            <w:noProof/>
            <w:lang w:val="en-AU"/>
          </w:rPr>
          <w:t>Box 2: The significance of programmatic parties</w:t>
        </w:r>
        <w:r w:rsidR="00CC56DB">
          <w:rPr>
            <w:noProof/>
            <w:webHidden/>
          </w:rPr>
          <w:tab/>
        </w:r>
        <w:r w:rsidR="00CC56DB">
          <w:rPr>
            <w:noProof/>
            <w:webHidden/>
          </w:rPr>
          <w:fldChar w:fldCharType="begin"/>
        </w:r>
        <w:r w:rsidR="00CC56DB">
          <w:rPr>
            <w:noProof/>
            <w:webHidden/>
          </w:rPr>
          <w:instrText xml:space="preserve"> PAGEREF _Toc401761830 \h </w:instrText>
        </w:r>
        <w:r w:rsidR="00CC56DB">
          <w:rPr>
            <w:noProof/>
            <w:webHidden/>
          </w:rPr>
        </w:r>
        <w:r w:rsidR="00CC56DB">
          <w:rPr>
            <w:noProof/>
            <w:webHidden/>
          </w:rPr>
          <w:fldChar w:fldCharType="separate"/>
        </w:r>
        <w:r w:rsidR="006A7865">
          <w:rPr>
            <w:noProof/>
            <w:webHidden/>
          </w:rPr>
          <w:t>12</w:t>
        </w:r>
        <w:r w:rsidR="00CC56DB">
          <w:rPr>
            <w:noProof/>
            <w:webHidden/>
          </w:rPr>
          <w:fldChar w:fldCharType="end"/>
        </w:r>
      </w:hyperlink>
    </w:p>
    <w:p w:rsidR="00CC56DB" w:rsidRDefault="00806EC0">
      <w:pPr>
        <w:pStyle w:val="TableofFigures"/>
        <w:tabs>
          <w:tab w:val="right" w:leader="dot" w:pos="9350"/>
        </w:tabs>
        <w:rPr>
          <w:rFonts w:asciiTheme="minorHAnsi" w:eastAsiaTheme="minorEastAsia" w:hAnsiTheme="minorHAnsi"/>
          <w:noProof/>
        </w:rPr>
      </w:pPr>
      <w:hyperlink w:anchor="_Toc401761831" w:history="1">
        <w:r w:rsidR="00CC56DB" w:rsidRPr="00B80DE0">
          <w:rPr>
            <w:rStyle w:val="Hyperlink"/>
            <w:noProof/>
            <w:lang w:val="en-AU"/>
          </w:rPr>
          <w:t>Box 3: Why OECD reform history has little to offer the Solomon Islands</w:t>
        </w:r>
        <w:r w:rsidR="00CC56DB">
          <w:rPr>
            <w:noProof/>
            <w:webHidden/>
          </w:rPr>
          <w:tab/>
        </w:r>
        <w:r w:rsidR="00CC56DB">
          <w:rPr>
            <w:noProof/>
            <w:webHidden/>
          </w:rPr>
          <w:fldChar w:fldCharType="begin"/>
        </w:r>
        <w:r w:rsidR="00CC56DB">
          <w:rPr>
            <w:noProof/>
            <w:webHidden/>
          </w:rPr>
          <w:instrText xml:space="preserve"> PAGEREF _Toc401761831 \h </w:instrText>
        </w:r>
        <w:r w:rsidR="00CC56DB">
          <w:rPr>
            <w:noProof/>
            <w:webHidden/>
          </w:rPr>
        </w:r>
        <w:r w:rsidR="00CC56DB">
          <w:rPr>
            <w:noProof/>
            <w:webHidden/>
          </w:rPr>
          <w:fldChar w:fldCharType="separate"/>
        </w:r>
        <w:r w:rsidR="006A7865">
          <w:rPr>
            <w:noProof/>
            <w:webHidden/>
          </w:rPr>
          <w:t>14</w:t>
        </w:r>
        <w:r w:rsidR="00CC56DB">
          <w:rPr>
            <w:noProof/>
            <w:webHidden/>
          </w:rPr>
          <w:fldChar w:fldCharType="end"/>
        </w:r>
      </w:hyperlink>
    </w:p>
    <w:p w:rsidR="00CC56DB" w:rsidRDefault="00806EC0">
      <w:pPr>
        <w:pStyle w:val="TableofFigures"/>
        <w:tabs>
          <w:tab w:val="right" w:leader="dot" w:pos="9350"/>
        </w:tabs>
        <w:rPr>
          <w:rFonts w:asciiTheme="minorHAnsi" w:eastAsiaTheme="minorEastAsia" w:hAnsiTheme="minorHAnsi"/>
          <w:noProof/>
        </w:rPr>
      </w:pPr>
      <w:hyperlink w:anchor="_Toc401761832" w:history="1">
        <w:r w:rsidR="00CC56DB" w:rsidRPr="00B80DE0">
          <w:rPr>
            <w:rStyle w:val="Hyperlink"/>
            <w:noProof/>
            <w:lang w:val="en-AU"/>
          </w:rPr>
          <w:t>Box 4: Schemes of Service in Commonwealth countries</w:t>
        </w:r>
        <w:r w:rsidR="00CC56DB">
          <w:rPr>
            <w:noProof/>
            <w:webHidden/>
          </w:rPr>
          <w:tab/>
        </w:r>
        <w:r w:rsidR="00CC56DB">
          <w:rPr>
            <w:noProof/>
            <w:webHidden/>
          </w:rPr>
          <w:fldChar w:fldCharType="begin"/>
        </w:r>
        <w:r w:rsidR="00CC56DB">
          <w:rPr>
            <w:noProof/>
            <w:webHidden/>
          </w:rPr>
          <w:instrText xml:space="preserve"> PAGEREF _Toc401761832 \h </w:instrText>
        </w:r>
        <w:r w:rsidR="00CC56DB">
          <w:rPr>
            <w:noProof/>
            <w:webHidden/>
          </w:rPr>
        </w:r>
        <w:r w:rsidR="00CC56DB">
          <w:rPr>
            <w:noProof/>
            <w:webHidden/>
          </w:rPr>
          <w:fldChar w:fldCharType="separate"/>
        </w:r>
        <w:r w:rsidR="006A7865">
          <w:rPr>
            <w:noProof/>
            <w:webHidden/>
          </w:rPr>
          <w:t>15</w:t>
        </w:r>
        <w:r w:rsidR="00CC56DB">
          <w:rPr>
            <w:noProof/>
            <w:webHidden/>
          </w:rPr>
          <w:fldChar w:fldCharType="end"/>
        </w:r>
      </w:hyperlink>
    </w:p>
    <w:p w:rsidR="00CC56DB" w:rsidRDefault="00806EC0">
      <w:pPr>
        <w:pStyle w:val="TableofFigures"/>
        <w:tabs>
          <w:tab w:val="right" w:leader="dot" w:pos="9350"/>
        </w:tabs>
        <w:rPr>
          <w:rFonts w:asciiTheme="minorHAnsi" w:eastAsiaTheme="minorEastAsia" w:hAnsiTheme="minorHAnsi"/>
          <w:noProof/>
        </w:rPr>
      </w:pPr>
      <w:hyperlink w:anchor="_Toc401761833" w:history="1">
        <w:r w:rsidR="00CC56DB" w:rsidRPr="00B80DE0">
          <w:rPr>
            <w:rStyle w:val="Hyperlink"/>
            <w:noProof/>
            <w:lang w:val="en-AU"/>
          </w:rPr>
          <w:t>Box 5: Asymmetric system reforms</w:t>
        </w:r>
        <w:r w:rsidR="00CC56DB">
          <w:rPr>
            <w:noProof/>
            <w:webHidden/>
          </w:rPr>
          <w:tab/>
        </w:r>
        <w:r w:rsidR="00CC56DB">
          <w:rPr>
            <w:noProof/>
            <w:webHidden/>
          </w:rPr>
          <w:fldChar w:fldCharType="begin"/>
        </w:r>
        <w:r w:rsidR="00CC56DB">
          <w:rPr>
            <w:noProof/>
            <w:webHidden/>
          </w:rPr>
          <w:instrText xml:space="preserve"> PAGEREF _Toc401761833 \h </w:instrText>
        </w:r>
        <w:r w:rsidR="00CC56DB">
          <w:rPr>
            <w:noProof/>
            <w:webHidden/>
          </w:rPr>
        </w:r>
        <w:r w:rsidR="00CC56DB">
          <w:rPr>
            <w:noProof/>
            <w:webHidden/>
          </w:rPr>
          <w:fldChar w:fldCharType="separate"/>
        </w:r>
        <w:r w:rsidR="006A7865">
          <w:rPr>
            <w:noProof/>
            <w:webHidden/>
          </w:rPr>
          <w:t>16</w:t>
        </w:r>
        <w:r w:rsidR="00CC56DB">
          <w:rPr>
            <w:noProof/>
            <w:webHidden/>
          </w:rPr>
          <w:fldChar w:fldCharType="end"/>
        </w:r>
      </w:hyperlink>
    </w:p>
    <w:p w:rsidR="00CC56DB" w:rsidRDefault="00806EC0">
      <w:pPr>
        <w:pStyle w:val="TableofFigures"/>
        <w:tabs>
          <w:tab w:val="right" w:leader="dot" w:pos="9350"/>
        </w:tabs>
        <w:rPr>
          <w:rFonts w:asciiTheme="minorHAnsi" w:eastAsiaTheme="minorEastAsia" w:hAnsiTheme="minorHAnsi"/>
          <w:noProof/>
        </w:rPr>
      </w:pPr>
      <w:hyperlink w:anchor="_Toc401761834" w:history="1">
        <w:r w:rsidR="00CC56DB" w:rsidRPr="00B80DE0">
          <w:rPr>
            <w:rStyle w:val="Hyperlink"/>
            <w:noProof/>
            <w:lang w:val="en-AU"/>
          </w:rPr>
          <w:t>Box 6: Sequencing public sector management reforms</w:t>
        </w:r>
        <w:r w:rsidR="00CC56DB">
          <w:rPr>
            <w:noProof/>
            <w:webHidden/>
          </w:rPr>
          <w:tab/>
        </w:r>
        <w:r w:rsidR="00CC56DB">
          <w:rPr>
            <w:noProof/>
            <w:webHidden/>
          </w:rPr>
          <w:fldChar w:fldCharType="begin"/>
        </w:r>
        <w:r w:rsidR="00CC56DB">
          <w:rPr>
            <w:noProof/>
            <w:webHidden/>
          </w:rPr>
          <w:instrText xml:space="preserve"> PAGEREF _Toc401761834 \h </w:instrText>
        </w:r>
        <w:r w:rsidR="00CC56DB">
          <w:rPr>
            <w:noProof/>
            <w:webHidden/>
          </w:rPr>
        </w:r>
        <w:r w:rsidR="00CC56DB">
          <w:rPr>
            <w:noProof/>
            <w:webHidden/>
          </w:rPr>
          <w:fldChar w:fldCharType="separate"/>
        </w:r>
        <w:r w:rsidR="006A7865">
          <w:rPr>
            <w:noProof/>
            <w:webHidden/>
          </w:rPr>
          <w:t>26</w:t>
        </w:r>
        <w:r w:rsidR="00CC56DB">
          <w:rPr>
            <w:noProof/>
            <w:webHidden/>
          </w:rPr>
          <w:fldChar w:fldCharType="end"/>
        </w:r>
      </w:hyperlink>
    </w:p>
    <w:p w:rsidR="00CC56DB" w:rsidRDefault="00806EC0">
      <w:pPr>
        <w:pStyle w:val="TableofFigures"/>
        <w:tabs>
          <w:tab w:val="right" w:leader="dot" w:pos="9350"/>
        </w:tabs>
        <w:rPr>
          <w:rFonts w:asciiTheme="minorHAnsi" w:eastAsiaTheme="minorEastAsia" w:hAnsiTheme="minorHAnsi"/>
          <w:noProof/>
        </w:rPr>
      </w:pPr>
      <w:hyperlink w:anchor="_Toc401761835" w:history="1">
        <w:r w:rsidR="00CC56DB" w:rsidRPr="00B80DE0">
          <w:rPr>
            <w:rStyle w:val="Hyperlink"/>
            <w:noProof/>
            <w:lang w:val="en-AU"/>
          </w:rPr>
          <w:t>Box 7: Conclusions about stove-piping within Australian support identified in previous reviews</w:t>
        </w:r>
        <w:r w:rsidR="00CC56DB">
          <w:rPr>
            <w:noProof/>
            <w:webHidden/>
          </w:rPr>
          <w:tab/>
        </w:r>
        <w:r w:rsidR="00CC56DB">
          <w:rPr>
            <w:noProof/>
            <w:webHidden/>
          </w:rPr>
          <w:fldChar w:fldCharType="begin"/>
        </w:r>
        <w:r w:rsidR="00CC56DB">
          <w:rPr>
            <w:noProof/>
            <w:webHidden/>
          </w:rPr>
          <w:instrText xml:space="preserve"> PAGEREF _Toc401761835 \h </w:instrText>
        </w:r>
        <w:r w:rsidR="00CC56DB">
          <w:rPr>
            <w:noProof/>
            <w:webHidden/>
          </w:rPr>
        </w:r>
        <w:r w:rsidR="00CC56DB">
          <w:rPr>
            <w:noProof/>
            <w:webHidden/>
          </w:rPr>
          <w:fldChar w:fldCharType="separate"/>
        </w:r>
        <w:r w:rsidR="006A7865">
          <w:rPr>
            <w:noProof/>
            <w:webHidden/>
          </w:rPr>
          <w:t>31</w:t>
        </w:r>
        <w:r w:rsidR="00CC56DB">
          <w:rPr>
            <w:noProof/>
            <w:webHidden/>
          </w:rPr>
          <w:fldChar w:fldCharType="end"/>
        </w:r>
      </w:hyperlink>
    </w:p>
    <w:p w:rsidR="00CC56DB" w:rsidRDefault="00806EC0">
      <w:pPr>
        <w:pStyle w:val="TableofFigures"/>
        <w:tabs>
          <w:tab w:val="right" w:leader="dot" w:pos="9350"/>
        </w:tabs>
        <w:rPr>
          <w:rFonts w:asciiTheme="minorHAnsi" w:eastAsiaTheme="minorEastAsia" w:hAnsiTheme="minorHAnsi"/>
          <w:noProof/>
        </w:rPr>
      </w:pPr>
      <w:hyperlink w:anchor="_Toc401761836" w:history="1">
        <w:r w:rsidR="00CC56DB" w:rsidRPr="00B80DE0">
          <w:rPr>
            <w:rStyle w:val="Hyperlink"/>
            <w:noProof/>
            <w:lang w:val="en-AU"/>
          </w:rPr>
          <w:t>Box 8: How is diversification and experimentation facilitated in other DFAT programs? (Vanuatu, Papua New Guinea, Timor Leste)</w:t>
        </w:r>
        <w:r w:rsidR="00CC56DB">
          <w:rPr>
            <w:noProof/>
            <w:webHidden/>
          </w:rPr>
          <w:tab/>
        </w:r>
        <w:r w:rsidR="00CC56DB">
          <w:rPr>
            <w:noProof/>
            <w:webHidden/>
          </w:rPr>
          <w:fldChar w:fldCharType="begin"/>
        </w:r>
        <w:r w:rsidR="00CC56DB">
          <w:rPr>
            <w:noProof/>
            <w:webHidden/>
          </w:rPr>
          <w:instrText xml:space="preserve"> PAGEREF _Toc401761836 \h </w:instrText>
        </w:r>
        <w:r w:rsidR="00CC56DB">
          <w:rPr>
            <w:noProof/>
            <w:webHidden/>
          </w:rPr>
        </w:r>
        <w:r w:rsidR="00CC56DB">
          <w:rPr>
            <w:noProof/>
            <w:webHidden/>
          </w:rPr>
          <w:fldChar w:fldCharType="separate"/>
        </w:r>
        <w:r w:rsidR="006A7865">
          <w:rPr>
            <w:noProof/>
            <w:webHidden/>
          </w:rPr>
          <w:t>37</w:t>
        </w:r>
        <w:r w:rsidR="00CC56DB">
          <w:rPr>
            <w:noProof/>
            <w:webHidden/>
          </w:rPr>
          <w:fldChar w:fldCharType="end"/>
        </w:r>
      </w:hyperlink>
    </w:p>
    <w:p w:rsidR="00963793" w:rsidRPr="00F71B40" w:rsidRDefault="00D56625" w:rsidP="00D56625">
      <w:pPr>
        <w:rPr>
          <w:lang w:val="en-AU"/>
        </w:rPr>
      </w:pPr>
      <w:r w:rsidRPr="00F71B40">
        <w:rPr>
          <w:lang w:val="en-AU"/>
        </w:rPr>
        <w:lastRenderedPageBreak/>
        <w:fldChar w:fldCharType="end"/>
      </w:r>
    </w:p>
    <w:p w:rsidR="00D56625" w:rsidRPr="00F71B40" w:rsidRDefault="00D56625" w:rsidP="00D56625">
      <w:pPr>
        <w:rPr>
          <w:b/>
          <w:lang w:val="en-AU"/>
        </w:rPr>
      </w:pPr>
      <w:r w:rsidRPr="00F71B40">
        <w:rPr>
          <w:b/>
          <w:lang w:val="en-AU"/>
        </w:rPr>
        <w:t>Figures</w:t>
      </w:r>
    </w:p>
    <w:p w:rsidR="00CC56DB" w:rsidRDefault="00D56625">
      <w:pPr>
        <w:pStyle w:val="TableofFigures"/>
        <w:tabs>
          <w:tab w:val="right" w:leader="dot" w:pos="9350"/>
        </w:tabs>
        <w:rPr>
          <w:rFonts w:asciiTheme="minorHAnsi" w:eastAsiaTheme="minorEastAsia" w:hAnsiTheme="minorHAnsi"/>
          <w:noProof/>
        </w:rPr>
      </w:pPr>
      <w:r w:rsidRPr="00F71B40">
        <w:rPr>
          <w:lang w:val="en-AU"/>
        </w:rPr>
        <w:fldChar w:fldCharType="begin"/>
      </w:r>
      <w:r w:rsidRPr="00F71B40">
        <w:rPr>
          <w:lang w:val="en-AU"/>
        </w:rPr>
        <w:instrText xml:space="preserve"> TOC \h \z \c "Figure" </w:instrText>
      </w:r>
      <w:r w:rsidRPr="00F71B40">
        <w:rPr>
          <w:lang w:val="en-AU"/>
        </w:rPr>
        <w:fldChar w:fldCharType="separate"/>
      </w:r>
      <w:hyperlink w:anchor="_Toc401761837" w:history="1">
        <w:r w:rsidR="00CC56DB" w:rsidRPr="00310582">
          <w:rPr>
            <w:rStyle w:val="Hyperlink"/>
            <w:noProof/>
            <w:lang w:val="en-AU"/>
          </w:rPr>
          <w:t>Figure 1: Solomon Islands CPIA Governance and Public Sector Management scores in East Asia and Pacific context</w:t>
        </w:r>
        <w:r w:rsidR="00CC56DB">
          <w:rPr>
            <w:noProof/>
            <w:webHidden/>
          </w:rPr>
          <w:tab/>
        </w:r>
        <w:r w:rsidR="00CC56DB">
          <w:rPr>
            <w:noProof/>
            <w:webHidden/>
          </w:rPr>
          <w:fldChar w:fldCharType="begin"/>
        </w:r>
        <w:r w:rsidR="00CC56DB">
          <w:rPr>
            <w:noProof/>
            <w:webHidden/>
          </w:rPr>
          <w:instrText xml:space="preserve"> PAGEREF _Toc401761837 \h </w:instrText>
        </w:r>
        <w:r w:rsidR="00CC56DB">
          <w:rPr>
            <w:noProof/>
            <w:webHidden/>
          </w:rPr>
        </w:r>
        <w:r w:rsidR="00CC56DB">
          <w:rPr>
            <w:noProof/>
            <w:webHidden/>
          </w:rPr>
          <w:fldChar w:fldCharType="separate"/>
        </w:r>
        <w:r w:rsidR="006A7865">
          <w:rPr>
            <w:noProof/>
            <w:webHidden/>
          </w:rPr>
          <w:t>7</w:t>
        </w:r>
        <w:r w:rsidR="00CC56DB">
          <w:rPr>
            <w:noProof/>
            <w:webHidden/>
          </w:rPr>
          <w:fldChar w:fldCharType="end"/>
        </w:r>
      </w:hyperlink>
    </w:p>
    <w:p w:rsidR="00CC56DB" w:rsidRDefault="00806EC0">
      <w:pPr>
        <w:pStyle w:val="TableofFigures"/>
        <w:tabs>
          <w:tab w:val="right" w:leader="dot" w:pos="9350"/>
        </w:tabs>
        <w:rPr>
          <w:rFonts w:asciiTheme="minorHAnsi" w:eastAsiaTheme="minorEastAsia" w:hAnsiTheme="minorHAnsi"/>
          <w:noProof/>
        </w:rPr>
      </w:pPr>
      <w:hyperlink w:anchor="_Toc401761838" w:history="1">
        <w:r w:rsidR="00CC56DB" w:rsidRPr="00310582">
          <w:rPr>
            <w:rStyle w:val="Hyperlink"/>
            <w:noProof/>
            <w:lang w:val="en-AU"/>
          </w:rPr>
          <w:t>Figure 2: Accountability relationships</w:t>
        </w:r>
        <w:r w:rsidR="00CC56DB">
          <w:rPr>
            <w:noProof/>
            <w:webHidden/>
          </w:rPr>
          <w:tab/>
        </w:r>
        <w:r w:rsidR="00CC56DB">
          <w:rPr>
            <w:noProof/>
            <w:webHidden/>
          </w:rPr>
          <w:fldChar w:fldCharType="begin"/>
        </w:r>
        <w:r w:rsidR="00CC56DB">
          <w:rPr>
            <w:noProof/>
            <w:webHidden/>
          </w:rPr>
          <w:instrText xml:space="preserve"> PAGEREF _Toc401761838 \h </w:instrText>
        </w:r>
        <w:r w:rsidR="00CC56DB">
          <w:rPr>
            <w:noProof/>
            <w:webHidden/>
          </w:rPr>
        </w:r>
        <w:r w:rsidR="00CC56DB">
          <w:rPr>
            <w:noProof/>
            <w:webHidden/>
          </w:rPr>
          <w:fldChar w:fldCharType="separate"/>
        </w:r>
        <w:r w:rsidR="006A7865">
          <w:rPr>
            <w:noProof/>
            <w:webHidden/>
          </w:rPr>
          <w:t>11</w:t>
        </w:r>
        <w:r w:rsidR="00CC56DB">
          <w:rPr>
            <w:noProof/>
            <w:webHidden/>
          </w:rPr>
          <w:fldChar w:fldCharType="end"/>
        </w:r>
      </w:hyperlink>
    </w:p>
    <w:p w:rsidR="00CC56DB" w:rsidRDefault="00806EC0">
      <w:pPr>
        <w:pStyle w:val="TableofFigures"/>
        <w:tabs>
          <w:tab w:val="right" w:leader="dot" w:pos="9350"/>
        </w:tabs>
        <w:rPr>
          <w:rFonts w:asciiTheme="minorHAnsi" w:eastAsiaTheme="minorEastAsia" w:hAnsiTheme="minorHAnsi"/>
          <w:noProof/>
        </w:rPr>
      </w:pPr>
      <w:hyperlink w:anchor="_Toc401761839" w:history="1">
        <w:r w:rsidR="00CC56DB" w:rsidRPr="00310582">
          <w:rPr>
            <w:rStyle w:val="Hyperlink"/>
            <w:noProof/>
            <w:lang w:val="en-AU"/>
          </w:rPr>
          <w:t>Figure 3: The assumed public sector results chain in Solomon Islands</w:t>
        </w:r>
        <w:r w:rsidR="00CC56DB">
          <w:rPr>
            <w:noProof/>
            <w:webHidden/>
          </w:rPr>
          <w:tab/>
        </w:r>
        <w:r w:rsidR="00CC56DB">
          <w:rPr>
            <w:noProof/>
            <w:webHidden/>
          </w:rPr>
          <w:fldChar w:fldCharType="begin"/>
        </w:r>
        <w:r w:rsidR="00CC56DB">
          <w:rPr>
            <w:noProof/>
            <w:webHidden/>
          </w:rPr>
          <w:instrText xml:space="preserve"> PAGEREF _Toc401761839 \h </w:instrText>
        </w:r>
        <w:r w:rsidR="00CC56DB">
          <w:rPr>
            <w:noProof/>
            <w:webHidden/>
          </w:rPr>
        </w:r>
        <w:r w:rsidR="00CC56DB">
          <w:rPr>
            <w:noProof/>
            <w:webHidden/>
          </w:rPr>
          <w:fldChar w:fldCharType="separate"/>
        </w:r>
        <w:r w:rsidR="006A7865">
          <w:rPr>
            <w:noProof/>
            <w:webHidden/>
          </w:rPr>
          <w:t>20</w:t>
        </w:r>
        <w:r w:rsidR="00CC56DB">
          <w:rPr>
            <w:noProof/>
            <w:webHidden/>
          </w:rPr>
          <w:fldChar w:fldCharType="end"/>
        </w:r>
      </w:hyperlink>
    </w:p>
    <w:p w:rsidR="00CC56DB" w:rsidRDefault="00806EC0">
      <w:pPr>
        <w:pStyle w:val="TableofFigures"/>
        <w:tabs>
          <w:tab w:val="right" w:leader="dot" w:pos="9350"/>
        </w:tabs>
        <w:rPr>
          <w:rFonts w:asciiTheme="minorHAnsi" w:eastAsiaTheme="minorEastAsia" w:hAnsiTheme="minorHAnsi"/>
          <w:noProof/>
        </w:rPr>
      </w:pPr>
      <w:hyperlink w:anchor="_Toc401761840" w:history="1">
        <w:r w:rsidR="00CC56DB" w:rsidRPr="00310582">
          <w:rPr>
            <w:rStyle w:val="Hyperlink"/>
            <w:noProof/>
            <w:lang w:val="en-AU"/>
          </w:rPr>
          <w:t>Figure 4: The SIGOV intervention logic</w:t>
        </w:r>
        <w:r w:rsidR="00CC56DB">
          <w:rPr>
            <w:noProof/>
            <w:webHidden/>
          </w:rPr>
          <w:tab/>
        </w:r>
        <w:r w:rsidR="00CC56DB">
          <w:rPr>
            <w:noProof/>
            <w:webHidden/>
          </w:rPr>
          <w:fldChar w:fldCharType="begin"/>
        </w:r>
        <w:r w:rsidR="00CC56DB">
          <w:rPr>
            <w:noProof/>
            <w:webHidden/>
          </w:rPr>
          <w:instrText xml:space="preserve"> PAGEREF _Toc401761840 \h </w:instrText>
        </w:r>
        <w:r w:rsidR="00CC56DB">
          <w:rPr>
            <w:noProof/>
            <w:webHidden/>
          </w:rPr>
        </w:r>
        <w:r w:rsidR="00CC56DB">
          <w:rPr>
            <w:noProof/>
            <w:webHidden/>
          </w:rPr>
          <w:fldChar w:fldCharType="separate"/>
        </w:r>
        <w:r w:rsidR="006A7865">
          <w:rPr>
            <w:noProof/>
            <w:webHidden/>
          </w:rPr>
          <w:t>22</w:t>
        </w:r>
        <w:r w:rsidR="00CC56DB">
          <w:rPr>
            <w:noProof/>
            <w:webHidden/>
          </w:rPr>
          <w:fldChar w:fldCharType="end"/>
        </w:r>
      </w:hyperlink>
    </w:p>
    <w:p w:rsidR="00D56625" w:rsidRPr="00F71B40" w:rsidRDefault="00D56625" w:rsidP="00D56625">
      <w:pPr>
        <w:rPr>
          <w:lang w:val="en-AU"/>
        </w:rPr>
      </w:pPr>
      <w:r w:rsidRPr="00F71B40">
        <w:rPr>
          <w:lang w:val="en-AU"/>
        </w:rPr>
        <w:fldChar w:fldCharType="end"/>
      </w:r>
    </w:p>
    <w:p w:rsidR="00D56625" w:rsidRPr="00F71B40" w:rsidRDefault="00D56625" w:rsidP="00D56625">
      <w:pPr>
        <w:rPr>
          <w:b/>
          <w:lang w:val="en-AU"/>
        </w:rPr>
      </w:pPr>
      <w:r w:rsidRPr="00F71B40">
        <w:rPr>
          <w:b/>
          <w:lang w:val="en-AU"/>
        </w:rPr>
        <w:t>Tables</w:t>
      </w:r>
    </w:p>
    <w:p w:rsidR="00CC56DB" w:rsidRDefault="00D56625">
      <w:pPr>
        <w:pStyle w:val="TableofFigures"/>
        <w:tabs>
          <w:tab w:val="right" w:leader="dot" w:pos="9350"/>
        </w:tabs>
        <w:rPr>
          <w:rFonts w:asciiTheme="minorHAnsi" w:eastAsiaTheme="minorEastAsia" w:hAnsiTheme="minorHAnsi"/>
          <w:noProof/>
        </w:rPr>
      </w:pPr>
      <w:r w:rsidRPr="00F71B40">
        <w:rPr>
          <w:lang w:val="en-AU"/>
        </w:rPr>
        <w:fldChar w:fldCharType="begin"/>
      </w:r>
      <w:r w:rsidRPr="00F71B40">
        <w:rPr>
          <w:lang w:val="en-AU"/>
        </w:rPr>
        <w:instrText xml:space="preserve"> TOC \h \z \c "Table" </w:instrText>
      </w:r>
      <w:r w:rsidRPr="00F71B40">
        <w:rPr>
          <w:lang w:val="en-AU"/>
        </w:rPr>
        <w:fldChar w:fldCharType="separate"/>
      </w:r>
      <w:hyperlink w:anchor="_Toc401761841" w:history="1">
        <w:r w:rsidR="00CC56DB" w:rsidRPr="00000D77">
          <w:rPr>
            <w:rStyle w:val="Hyperlink"/>
            <w:noProof/>
            <w:lang w:val="en-AU"/>
          </w:rPr>
          <w:t>Table 1: Evolution of directly-managed DFAT (formerly AusAID) programs</w:t>
        </w:r>
        <w:r w:rsidR="00CC56DB">
          <w:rPr>
            <w:noProof/>
            <w:webHidden/>
          </w:rPr>
          <w:tab/>
        </w:r>
        <w:r w:rsidR="00CC56DB">
          <w:rPr>
            <w:noProof/>
            <w:webHidden/>
          </w:rPr>
          <w:fldChar w:fldCharType="begin"/>
        </w:r>
        <w:r w:rsidR="00CC56DB">
          <w:rPr>
            <w:noProof/>
            <w:webHidden/>
          </w:rPr>
          <w:instrText xml:space="preserve"> PAGEREF _Toc401761841 \h </w:instrText>
        </w:r>
        <w:r w:rsidR="00CC56DB">
          <w:rPr>
            <w:noProof/>
            <w:webHidden/>
          </w:rPr>
        </w:r>
        <w:r w:rsidR="00CC56DB">
          <w:rPr>
            <w:noProof/>
            <w:webHidden/>
          </w:rPr>
          <w:fldChar w:fldCharType="separate"/>
        </w:r>
        <w:r w:rsidR="006A7865">
          <w:rPr>
            <w:noProof/>
            <w:webHidden/>
          </w:rPr>
          <w:t>5</w:t>
        </w:r>
        <w:r w:rsidR="00CC56DB">
          <w:rPr>
            <w:noProof/>
            <w:webHidden/>
          </w:rPr>
          <w:fldChar w:fldCharType="end"/>
        </w:r>
      </w:hyperlink>
    </w:p>
    <w:p w:rsidR="00CC56DB" w:rsidRDefault="00806EC0">
      <w:pPr>
        <w:pStyle w:val="TableofFigures"/>
        <w:tabs>
          <w:tab w:val="right" w:leader="dot" w:pos="9350"/>
        </w:tabs>
        <w:rPr>
          <w:rFonts w:asciiTheme="minorHAnsi" w:eastAsiaTheme="minorEastAsia" w:hAnsiTheme="minorHAnsi"/>
          <w:noProof/>
        </w:rPr>
      </w:pPr>
      <w:hyperlink w:anchor="_Toc401761842" w:history="1">
        <w:r w:rsidR="00CC56DB" w:rsidRPr="00000D77">
          <w:rPr>
            <w:rStyle w:val="Hyperlink"/>
            <w:noProof/>
            <w:lang w:val="en-AU"/>
          </w:rPr>
          <w:t>Table 2: Summary assessment of strengths and weaknesses in the intervention design</w:t>
        </w:r>
        <w:r w:rsidR="00CC56DB">
          <w:rPr>
            <w:noProof/>
            <w:webHidden/>
          </w:rPr>
          <w:tab/>
        </w:r>
        <w:r w:rsidR="00CC56DB">
          <w:rPr>
            <w:noProof/>
            <w:webHidden/>
          </w:rPr>
          <w:fldChar w:fldCharType="begin"/>
        </w:r>
        <w:r w:rsidR="00CC56DB">
          <w:rPr>
            <w:noProof/>
            <w:webHidden/>
          </w:rPr>
          <w:instrText xml:space="preserve"> PAGEREF _Toc401761842 \h </w:instrText>
        </w:r>
        <w:r w:rsidR="00CC56DB">
          <w:rPr>
            <w:noProof/>
            <w:webHidden/>
          </w:rPr>
        </w:r>
        <w:r w:rsidR="00CC56DB">
          <w:rPr>
            <w:noProof/>
            <w:webHidden/>
          </w:rPr>
          <w:fldChar w:fldCharType="separate"/>
        </w:r>
        <w:r w:rsidR="006A7865">
          <w:rPr>
            <w:noProof/>
            <w:webHidden/>
          </w:rPr>
          <w:t>24</w:t>
        </w:r>
        <w:r w:rsidR="00CC56DB">
          <w:rPr>
            <w:noProof/>
            <w:webHidden/>
          </w:rPr>
          <w:fldChar w:fldCharType="end"/>
        </w:r>
      </w:hyperlink>
    </w:p>
    <w:p w:rsidR="00CC56DB" w:rsidRDefault="00806EC0">
      <w:pPr>
        <w:pStyle w:val="TableofFigures"/>
        <w:tabs>
          <w:tab w:val="right" w:leader="dot" w:pos="9350"/>
        </w:tabs>
        <w:rPr>
          <w:rFonts w:asciiTheme="minorHAnsi" w:eastAsiaTheme="minorEastAsia" w:hAnsiTheme="minorHAnsi"/>
          <w:noProof/>
        </w:rPr>
      </w:pPr>
      <w:hyperlink w:anchor="_Toc401761843" w:history="1">
        <w:r w:rsidR="00CC56DB" w:rsidRPr="00000D77">
          <w:rPr>
            <w:rStyle w:val="Hyperlink"/>
            <w:noProof/>
            <w:lang w:val="en-AU"/>
          </w:rPr>
          <w:t>Table 3: A diagnostic path for identifying binding constraints to sector service delivery</w:t>
        </w:r>
        <w:r w:rsidR="00CC56DB">
          <w:rPr>
            <w:noProof/>
            <w:webHidden/>
          </w:rPr>
          <w:tab/>
        </w:r>
        <w:r w:rsidR="00CC56DB">
          <w:rPr>
            <w:noProof/>
            <w:webHidden/>
          </w:rPr>
          <w:fldChar w:fldCharType="begin"/>
        </w:r>
        <w:r w:rsidR="00CC56DB">
          <w:rPr>
            <w:noProof/>
            <w:webHidden/>
          </w:rPr>
          <w:instrText xml:space="preserve"> PAGEREF _Toc401761843 \h </w:instrText>
        </w:r>
        <w:r w:rsidR="00CC56DB">
          <w:rPr>
            <w:noProof/>
            <w:webHidden/>
          </w:rPr>
        </w:r>
        <w:r w:rsidR="00CC56DB">
          <w:rPr>
            <w:noProof/>
            <w:webHidden/>
          </w:rPr>
          <w:fldChar w:fldCharType="separate"/>
        </w:r>
        <w:r w:rsidR="006A7865">
          <w:rPr>
            <w:noProof/>
            <w:webHidden/>
          </w:rPr>
          <w:t>33</w:t>
        </w:r>
        <w:r w:rsidR="00CC56DB">
          <w:rPr>
            <w:noProof/>
            <w:webHidden/>
          </w:rPr>
          <w:fldChar w:fldCharType="end"/>
        </w:r>
      </w:hyperlink>
    </w:p>
    <w:p w:rsidR="00CC56DB" w:rsidRDefault="00806EC0">
      <w:pPr>
        <w:pStyle w:val="TableofFigures"/>
        <w:tabs>
          <w:tab w:val="right" w:leader="dot" w:pos="9350"/>
        </w:tabs>
        <w:rPr>
          <w:rFonts w:asciiTheme="minorHAnsi" w:eastAsiaTheme="minorEastAsia" w:hAnsiTheme="minorHAnsi"/>
          <w:noProof/>
        </w:rPr>
      </w:pPr>
      <w:hyperlink w:anchor="_Toc401761844" w:history="1">
        <w:r w:rsidR="00CC56DB" w:rsidRPr="00000D77">
          <w:rPr>
            <w:rStyle w:val="Hyperlink"/>
            <w:noProof/>
            <w:lang w:val="en-AU"/>
          </w:rPr>
          <w:t>Table 4: Illustrative SIGOV management matrix</w:t>
        </w:r>
        <w:r w:rsidR="00CC56DB">
          <w:rPr>
            <w:noProof/>
            <w:webHidden/>
          </w:rPr>
          <w:tab/>
        </w:r>
        <w:r w:rsidR="00CC56DB">
          <w:rPr>
            <w:noProof/>
            <w:webHidden/>
          </w:rPr>
          <w:fldChar w:fldCharType="begin"/>
        </w:r>
        <w:r w:rsidR="00CC56DB">
          <w:rPr>
            <w:noProof/>
            <w:webHidden/>
          </w:rPr>
          <w:instrText xml:space="preserve"> PAGEREF _Toc401761844 \h </w:instrText>
        </w:r>
        <w:r w:rsidR="00CC56DB">
          <w:rPr>
            <w:noProof/>
            <w:webHidden/>
          </w:rPr>
        </w:r>
        <w:r w:rsidR="00CC56DB">
          <w:rPr>
            <w:noProof/>
            <w:webHidden/>
          </w:rPr>
          <w:fldChar w:fldCharType="separate"/>
        </w:r>
        <w:r w:rsidR="006A7865">
          <w:rPr>
            <w:noProof/>
            <w:webHidden/>
          </w:rPr>
          <w:t>39</w:t>
        </w:r>
        <w:r w:rsidR="00CC56DB">
          <w:rPr>
            <w:noProof/>
            <w:webHidden/>
          </w:rPr>
          <w:fldChar w:fldCharType="end"/>
        </w:r>
      </w:hyperlink>
    </w:p>
    <w:p w:rsidR="0052023C" w:rsidRPr="00F71B40" w:rsidRDefault="00D56625" w:rsidP="00D62A32">
      <w:pPr>
        <w:rPr>
          <w:lang w:val="en-AU"/>
        </w:rPr>
      </w:pPr>
      <w:r w:rsidRPr="00F71B40">
        <w:rPr>
          <w:lang w:val="en-AU"/>
        </w:rPr>
        <w:fldChar w:fldCharType="end"/>
      </w:r>
    </w:p>
    <w:p w:rsidR="00644B94" w:rsidRPr="00F71B40" w:rsidRDefault="00963793" w:rsidP="00D62A32">
      <w:pPr>
        <w:rPr>
          <w:b/>
          <w:lang w:val="en-AU"/>
        </w:rPr>
      </w:pPr>
      <w:r w:rsidRPr="00F71B40">
        <w:rPr>
          <w:b/>
          <w:lang w:val="en-AU"/>
        </w:rPr>
        <w:t>Annex Tables</w:t>
      </w:r>
    </w:p>
    <w:p w:rsidR="00CC56DB" w:rsidRDefault="00963793">
      <w:pPr>
        <w:pStyle w:val="TableofFigures"/>
        <w:tabs>
          <w:tab w:val="right" w:leader="dot" w:pos="9350"/>
        </w:tabs>
        <w:rPr>
          <w:rFonts w:asciiTheme="minorHAnsi" w:eastAsiaTheme="minorEastAsia" w:hAnsiTheme="minorHAnsi"/>
          <w:noProof/>
        </w:rPr>
      </w:pPr>
      <w:r w:rsidRPr="00F71B40">
        <w:rPr>
          <w:lang w:val="en-AU"/>
        </w:rPr>
        <w:fldChar w:fldCharType="begin"/>
      </w:r>
      <w:r w:rsidRPr="00F71B40">
        <w:rPr>
          <w:lang w:val="en-AU"/>
        </w:rPr>
        <w:instrText xml:space="preserve"> TOC \h \z \c "Annex table" </w:instrText>
      </w:r>
      <w:r w:rsidRPr="00F71B40">
        <w:rPr>
          <w:lang w:val="en-AU"/>
        </w:rPr>
        <w:fldChar w:fldCharType="separate"/>
      </w:r>
      <w:hyperlink w:anchor="_Toc401761845" w:history="1">
        <w:r w:rsidR="00CC56DB" w:rsidRPr="00DD6E3E">
          <w:rPr>
            <w:rStyle w:val="Hyperlink"/>
            <w:noProof/>
            <w:lang w:val="en-AU"/>
          </w:rPr>
          <w:t>Annex Table 1: Wrong reform design?</w:t>
        </w:r>
        <w:r w:rsidR="00CC56DB">
          <w:rPr>
            <w:noProof/>
            <w:webHidden/>
          </w:rPr>
          <w:tab/>
        </w:r>
        <w:r w:rsidR="00CC56DB">
          <w:rPr>
            <w:noProof/>
            <w:webHidden/>
          </w:rPr>
          <w:fldChar w:fldCharType="begin"/>
        </w:r>
        <w:r w:rsidR="00CC56DB">
          <w:rPr>
            <w:noProof/>
            <w:webHidden/>
          </w:rPr>
          <w:instrText xml:space="preserve"> PAGEREF _Toc401761845 \h </w:instrText>
        </w:r>
        <w:r w:rsidR="00CC56DB">
          <w:rPr>
            <w:noProof/>
            <w:webHidden/>
          </w:rPr>
        </w:r>
        <w:r w:rsidR="00CC56DB">
          <w:rPr>
            <w:noProof/>
            <w:webHidden/>
          </w:rPr>
          <w:fldChar w:fldCharType="separate"/>
        </w:r>
        <w:r w:rsidR="006A7865">
          <w:rPr>
            <w:noProof/>
            <w:webHidden/>
          </w:rPr>
          <w:t>40</w:t>
        </w:r>
        <w:r w:rsidR="00CC56DB">
          <w:rPr>
            <w:noProof/>
            <w:webHidden/>
          </w:rPr>
          <w:fldChar w:fldCharType="end"/>
        </w:r>
      </w:hyperlink>
    </w:p>
    <w:p w:rsidR="00CC56DB" w:rsidRDefault="00806EC0">
      <w:pPr>
        <w:pStyle w:val="TableofFigures"/>
        <w:tabs>
          <w:tab w:val="right" w:leader="dot" w:pos="9350"/>
        </w:tabs>
        <w:rPr>
          <w:rFonts w:asciiTheme="minorHAnsi" w:eastAsiaTheme="minorEastAsia" w:hAnsiTheme="minorHAnsi"/>
          <w:noProof/>
        </w:rPr>
      </w:pPr>
      <w:hyperlink w:anchor="_Toc401761846" w:history="1">
        <w:r w:rsidR="00CC56DB" w:rsidRPr="00DD6E3E">
          <w:rPr>
            <w:rStyle w:val="Hyperlink"/>
            <w:noProof/>
            <w:lang w:val="en-AU"/>
          </w:rPr>
          <w:t>Annex Table 2: Wrong intervention design?</w:t>
        </w:r>
        <w:r w:rsidR="00CC56DB">
          <w:rPr>
            <w:noProof/>
            <w:webHidden/>
          </w:rPr>
          <w:tab/>
        </w:r>
        <w:r w:rsidR="00CC56DB">
          <w:rPr>
            <w:noProof/>
            <w:webHidden/>
          </w:rPr>
          <w:fldChar w:fldCharType="begin"/>
        </w:r>
        <w:r w:rsidR="00CC56DB">
          <w:rPr>
            <w:noProof/>
            <w:webHidden/>
          </w:rPr>
          <w:instrText xml:space="preserve"> PAGEREF _Toc401761846 \h </w:instrText>
        </w:r>
        <w:r w:rsidR="00CC56DB">
          <w:rPr>
            <w:noProof/>
            <w:webHidden/>
          </w:rPr>
        </w:r>
        <w:r w:rsidR="00CC56DB">
          <w:rPr>
            <w:noProof/>
            <w:webHidden/>
          </w:rPr>
          <w:fldChar w:fldCharType="separate"/>
        </w:r>
        <w:r w:rsidR="006A7865">
          <w:rPr>
            <w:noProof/>
            <w:webHidden/>
          </w:rPr>
          <w:t>40</w:t>
        </w:r>
        <w:r w:rsidR="00CC56DB">
          <w:rPr>
            <w:noProof/>
            <w:webHidden/>
          </w:rPr>
          <w:fldChar w:fldCharType="end"/>
        </w:r>
      </w:hyperlink>
    </w:p>
    <w:p w:rsidR="00963793" w:rsidRPr="00F71B40" w:rsidRDefault="00963793" w:rsidP="00D62A32">
      <w:pPr>
        <w:rPr>
          <w:lang w:val="en-AU"/>
        </w:rPr>
      </w:pPr>
      <w:r w:rsidRPr="00F71B40">
        <w:rPr>
          <w:lang w:val="en-AU"/>
        </w:rPr>
        <w:fldChar w:fldCharType="end"/>
      </w:r>
    </w:p>
    <w:p w:rsidR="00963793" w:rsidRPr="00F71B40" w:rsidRDefault="00963793" w:rsidP="00D62A32">
      <w:pPr>
        <w:rPr>
          <w:lang w:val="en-AU"/>
        </w:rPr>
      </w:pPr>
    </w:p>
    <w:p w:rsidR="00963793" w:rsidRPr="00F71B40" w:rsidRDefault="00963793" w:rsidP="00D62A32">
      <w:pPr>
        <w:rPr>
          <w:lang w:val="en-AU"/>
        </w:rPr>
        <w:sectPr w:rsidR="00963793" w:rsidRPr="00F71B40" w:rsidSect="00644B94">
          <w:headerReference w:type="even" r:id="rId9"/>
          <w:headerReference w:type="default" r:id="rId10"/>
          <w:footerReference w:type="even" r:id="rId11"/>
          <w:footerReference w:type="default" r:id="rId12"/>
          <w:headerReference w:type="first" r:id="rId13"/>
          <w:footerReference w:type="first" r:id="rId14"/>
          <w:endnotePr>
            <w:numFmt w:val="decimal"/>
          </w:endnotePr>
          <w:pgSz w:w="12240" w:h="15840"/>
          <w:pgMar w:top="1440" w:right="1440" w:bottom="1440" w:left="1440" w:header="720" w:footer="720" w:gutter="0"/>
          <w:pgNumType w:fmt="lowerRoman"/>
          <w:cols w:space="720"/>
          <w:titlePg/>
          <w:docGrid w:linePitch="360"/>
        </w:sectPr>
      </w:pPr>
    </w:p>
    <w:p w:rsidR="00EF06B6" w:rsidRPr="00F71B40" w:rsidRDefault="00EF06B6" w:rsidP="00D62A32">
      <w:pPr>
        <w:pStyle w:val="Heading1"/>
        <w:rPr>
          <w:lang w:val="en-AU"/>
        </w:rPr>
      </w:pPr>
      <w:bookmarkStart w:id="1" w:name="_Toc399410379"/>
      <w:bookmarkStart w:id="2" w:name="_Ref396722531"/>
      <w:bookmarkStart w:id="3" w:name="_Ref396723355"/>
      <w:r w:rsidRPr="00F71B40">
        <w:rPr>
          <w:lang w:val="en-AU"/>
        </w:rPr>
        <w:lastRenderedPageBreak/>
        <w:t>Summary</w:t>
      </w:r>
      <w:bookmarkEnd w:id="1"/>
    </w:p>
    <w:p w:rsidR="00EF06B6" w:rsidRPr="00F71B40" w:rsidRDefault="00EF06B6" w:rsidP="00D62A32">
      <w:pPr>
        <w:rPr>
          <w:lang w:val="en-AU"/>
        </w:rPr>
      </w:pPr>
    </w:p>
    <w:p w:rsidR="00A215D0" w:rsidRPr="00F71B40" w:rsidRDefault="00A215D0" w:rsidP="00D62A32">
      <w:pPr>
        <w:autoSpaceDE w:val="0"/>
        <w:autoSpaceDN w:val="0"/>
        <w:adjustRightInd w:val="0"/>
        <w:rPr>
          <w:lang w:val="en-AU"/>
        </w:rPr>
      </w:pPr>
      <w:r w:rsidRPr="00F71B40">
        <w:rPr>
          <w:rFonts w:cs="Times New Roman"/>
          <w:lang w:val="en-AU"/>
        </w:rPr>
        <w:t xml:space="preserve">The Solomon Islands Economic and Public Sector Governance Program (SIGOV) was launched on July 1, 2013 to coincide with the ending of the 10 year Regional Assistance Mission to Solomon Islands (RAMSI).  </w:t>
      </w:r>
      <w:r w:rsidRPr="00F71B40">
        <w:rPr>
          <w:lang w:val="en-AU"/>
        </w:rPr>
        <w:t xml:space="preserve">The SIGOV program is part of a broader Australian Aid program focused on a stable and secure Solomon Islands built on improved prosperity and human development.  </w:t>
      </w:r>
    </w:p>
    <w:p w:rsidR="00A215D0" w:rsidRPr="00F71B40" w:rsidRDefault="00A215D0" w:rsidP="00D62A32">
      <w:pPr>
        <w:rPr>
          <w:rFonts w:cs="Times New Roman"/>
          <w:lang w:val="en-AU"/>
        </w:rPr>
      </w:pPr>
    </w:p>
    <w:p w:rsidR="00361D8F" w:rsidRDefault="00A215D0" w:rsidP="00D62A32">
      <w:pPr>
        <w:rPr>
          <w:rFonts w:cs="Times New Roman"/>
          <w:lang w:val="en-AU"/>
        </w:rPr>
      </w:pPr>
      <w:r w:rsidRPr="00F71B40">
        <w:rPr>
          <w:rFonts w:cs="Times New Roman"/>
          <w:lang w:val="en-AU"/>
        </w:rPr>
        <w:t xml:space="preserve">RAMSI was created in response to the tensions of the early 2000s – tensions with deep and lasting roots </w:t>
      </w:r>
      <w:r w:rsidR="00115AC9" w:rsidRPr="00F71B40">
        <w:rPr>
          <w:rFonts w:cs="Times New Roman"/>
          <w:lang w:val="en-AU"/>
        </w:rPr>
        <w:fldChar w:fldCharType="begin">
          <w:fldData xml:space="preserve">PEVuZE5vdGU+PENpdGU+PEF1dGhvcj5Tb2xvbW9uIElzbGFuZHMgVHJ1dGggYW5kIFJlY29uY2ls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</w:fldData>
        </w:fldChar>
      </w:r>
      <w:r w:rsidR="00115AC9" w:rsidRPr="00F71B40">
        <w:rPr>
          <w:rFonts w:cs="Times New Roman"/>
          <w:lang w:val="en-AU"/>
        </w:rPr>
        <w:instrText xml:space="preserve"> ADDIN EN.CITE </w:instrText>
      </w:r>
      <w:r w:rsidR="00115AC9" w:rsidRPr="00F71B40">
        <w:rPr>
          <w:rFonts w:cs="Times New Roman"/>
          <w:lang w:val="en-AU"/>
        </w:rPr>
        <w:fldChar w:fldCharType="begin">
          <w:fldData xml:space="preserve">PEVuZE5vdGU+PENpdGU+PEF1dGhvcj5Tb2xvbW9uIElzbGFuZHMgVHJ1dGggYW5kIFJlY29uY2ls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</w:fldData>
        </w:fldChar>
      </w:r>
      <w:r w:rsidR="00115AC9" w:rsidRPr="00F71B40">
        <w:rPr>
          <w:rFonts w:cs="Times New Roman"/>
          <w:lang w:val="en-AU"/>
        </w:rPr>
        <w:instrText xml:space="preserve"> ADDIN EN.CITE.DATA </w:instrText>
      </w:r>
      <w:r w:rsidR="00115AC9" w:rsidRPr="00F71B40">
        <w:rPr>
          <w:rFonts w:cs="Times New Roman"/>
          <w:lang w:val="en-AU"/>
        </w:rPr>
      </w:r>
      <w:r w:rsidR="00115AC9" w:rsidRPr="00F71B40">
        <w:rPr>
          <w:rFonts w:cs="Times New Roman"/>
          <w:lang w:val="en-AU"/>
        </w:rPr>
        <w:fldChar w:fldCharType="end"/>
      </w:r>
      <w:r w:rsidR="00115AC9" w:rsidRPr="00F71B40">
        <w:rPr>
          <w:rFonts w:cs="Times New Roman"/>
          <w:lang w:val="en-AU"/>
        </w:rPr>
      </w:r>
      <w:r w:rsidR="00115AC9" w:rsidRPr="00F71B40">
        <w:rPr>
          <w:rFonts w:cs="Times New Roman"/>
          <w:lang w:val="en-AU"/>
        </w:rPr>
        <w:fldChar w:fldCharType="separate"/>
      </w:r>
      <w:r w:rsidR="00115AC9" w:rsidRPr="00F71B40">
        <w:rPr>
          <w:rFonts w:cs="Times New Roman"/>
          <w:lang w:val="en-AU"/>
        </w:rPr>
        <w:t>(</w:t>
      </w:r>
      <w:hyperlink w:anchor="_ENREF_134" w:tooltip="Solomon Islands Truth and Reconciliation Commission, 2012 #4352" w:history="1">
        <w:r w:rsidR="00CC56DB" w:rsidRPr="00F71B40">
          <w:rPr>
            <w:rFonts w:cs="Times New Roman"/>
            <w:lang w:val="en-AU"/>
          </w:rPr>
          <w:t>Solomon Islands Truth and Reconciliation Commission, 2012a</w:t>
        </w:r>
      </w:hyperlink>
      <w:r w:rsidR="00115AC9" w:rsidRPr="00F71B40">
        <w:rPr>
          <w:rFonts w:cs="Times New Roman"/>
          <w:lang w:val="en-AU"/>
        </w:rPr>
        <w:t xml:space="preserve">, </w:t>
      </w:r>
      <w:hyperlink w:anchor="_ENREF_135" w:tooltip="Solomon Islands Truth and Reconciliation Commission, 2012 #4351" w:history="1">
        <w:r w:rsidR="00CC56DB" w:rsidRPr="00F71B40">
          <w:rPr>
            <w:rFonts w:cs="Times New Roman"/>
            <w:lang w:val="en-AU"/>
          </w:rPr>
          <w:t>2012b</w:t>
        </w:r>
      </w:hyperlink>
      <w:r w:rsidR="00115AC9" w:rsidRPr="00F71B40">
        <w:rPr>
          <w:rFonts w:cs="Times New Roman"/>
          <w:lang w:val="en-AU"/>
        </w:rPr>
        <w:t xml:space="preserve">, </w:t>
      </w:r>
      <w:hyperlink w:anchor="_ENREF_136" w:tooltip="Solomon Islands Truth and Reconciliation Commission, 2012 #4350" w:history="1">
        <w:r w:rsidR="00CC56DB" w:rsidRPr="00F71B40">
          <w:rPr>
            <w:rFonts w:cs="Times New Roman"/>
            <w:lang w:val="en-AU"/>
          </w:rPr>
          <w:t>2012c</w:t>
        </w:r>
      </w:hyperlink>
      <w:r w:rsidR="00115AC9" w:rsidRPr="00F71B40">
        <w:rPr>
          <w:rFonts w:cs="Times New Roman"/>
          <w:lang w:val="en-AU"/>
        </w:rPr>
        <w:t>)</w:t>
      </w:r>
      <w:r w:rsidR="00115AC9" w:rsidRPr="00F71B40">
        <w:rPr>
          <w:rFonts w:cs="Times New Roman"/>
          <w:lang w:val="en-AU"/>
        </w:rPr>
        <w:fldChar w:fldCharType="end"/>
      </w:r>
      <w:r w:rsidRPr="00F71B40">
        <w:rPr>
          <w:rFonts w:cs="Times New Roman"/>
          <w:lang w:val="en-AU"/>
        </w:rPr>
        <w:t xml:space="preserve">.  GDP growth and household incomes had been declining before </w:t>
      </w:r>
      <w:r w:rsidR="005700AE">
        <w:rPr>
          <w:rFonts w:cs="Times New Roman"/>
          <w:lang w:val="en-AU"/>
        </w:rPr>
        <w:t xml:space="preserve">the </w:t>
      </w:r>
      <w:r w:rsidRPr="00F71B40">
        <w:rPr>
          <w:rFonts w:cs="Times New Roman"/>
          <w:lang w:val="en-AU"/>
        </w:rPr>
        <w:t>mid-90s and, in a context of declining employment opportunities elsewhere, the public sector was becoming an even more significant site for political competition.  An eruption of long-standing ethnic and inter-island suspicions were the proximate cause but the deeper drivers of the conflict were that the traditional piecemeal clientilist politics could not distribute sufficient resources to households under severe pressure amidst the fallout from the Asian Fiscal crisis and the collapse of log exports and associated declines in revenue.  Neither the deeper tensions nor the proximate causes have gone away</w:t>
      </w:r>
      <w:r w:rsidR="00361D8F">
        <w:rPr>
          <w:rFonts w:cs="Times New Roman"/>
          <w:lang w:val="en-AU"/>
        </w:rPr>
        <w:t>.</w:t>
      </w:r>
      <w:r w:rsidRPr="00F71B40">
        <w:rPr>
          <w:rStyle w:val="FootnoteReference"/>
          <w:rFonts w:cs="Times New Roman"/>
          <w:lang w:val="en-AU"/>
        </w:rPr>
        <w:footnoteReference w:id="1"/>
      </w:r>
      <w:r w:rsidRPr="00F71B40">
        <w:rPr>
          <w:rFonts w:cs="Times New Roman"/>
          <w:lang w:val="en-AU"/>
        </w:rPr>
        <w:t xml:space="preserve"> </w:t>
      </w:r>
      <w:r w:rsidR="00361D8F">
        <w:rPr>
          <w:rFonts w:cs="Times New Roman"/>
          <w:lang w:val="en-AU"/>
        </w:rPr>
        <w:t xml:space="preserve"> </w:t>
      </w:r>
    </w:p>
    <w:p w:rsidR="00361D8F" w:rsidRDefault="00361D8F" w:rsidP="00D62A32">
      <w:pPr>
        <w:rPr>
          <w:rFonts w:cs="Times New Roman"/>
          <w:lang w:val="en-AU"/>
        </w:rPr>
      </w:pPr>
    </w:p>
    <w:p w:rsidR="00AF1D27" w:rsidRPr="00AF1D27" w:rsidRDefault="00AF1D27" w:rsidP="00AF1D27">
      <w:pPr>
        <w:rPr>
          <w:rFonts w:cs="Times New Roman"/>
          <w:lang w:val="en-AU"/>
        </w:rPr>
      </w:pPr>
      <w:r>
        <w:rPr>
          <w:rFonts w:cs="Times New Roman"/>
          <w:lang w:val="en-AU"/>
        </w:rPr>
        <w:t>The motivation for the review stems from</w:t>
      </w:r>
      <w:r w:rsidR="005700AE">
        <w:rPr>
          <w:rFonts w:cs="Times New Roman"/>
          <w:lang w:val="en-AU"/>
        </w:rPr>
        <w:t xml:space="preserve"> DFAT’s </w:t>
      </w:r>
      <w:r>
        <w:rPr>
          <w:rFonts w:cs="Times New Roman"/>
          <w:lang w:val="en-AU"/>
        </w:rPr>
        <w:t xml:space="preserve">concern </w:t>
      </w:r>
      <w:r w:rsidRPr="00AF1D27">
        <w:rPr>
          <w:rFonts w:cs="Times New Roman"/>
          <w:lang w:val="en-AU"/>
        </w:rPr>
        <w:t xml:space="preserve">that the program </w:t>
      </w:r>
      <w:r>
        <w:rPr>
          <w:rFonts w:cs="Times New Roman"/>
          <w:lang w:val="en-AU"/>
        </w:rPr>
        <w:t xml:space="preserve">might face the </w:t>
      </w:r>
      <w:r w:rsidR="000D738F">
        <w:rPr>
          <w:rFonts w:cs="Times New Roman"/>
          <w:lang w:val="en-AU"/>
        </w:rPr>
        <w:t>difficulty</w:t>
      </w:r>
      <w:r>
        <w:rPr>
          <w:rFonts w:cs="Times New Roman"/>
          <w:lang w:val="en-AU"/>
        </w:rPr>
        <w:t xml:space="preserve"> observed in many public sector reform programs, particularly in fragile states, of fractured </w:t>
      </w:r>
      <w:r w:rsidRPr="00AF1D27">
        <w:rPr>
          <w:rFonts w:cs="Times New Roman"/>
          <w:lang w:val="en-AU"/>
        </w:rPr>
        <w:t xml:space="preserve">connections </w:t>
      </w:r>
      <w:r>
        <w:rPr>
          <w:rFonts w:cs="Times New Roman"/>
          <w:lang w:val="en-AU"/>
        </w:rPr>
        <w:t xml:space="preserve">between central agencies and </w:t>
      </w:r>
      <w:r w:rsidR="009A6F4F">
        <w:rPr>
          <w:rFonts w:cs="Times New Roman"/>
          <w:lang w:val="en-AU"/>
        </w:rPr>
        <w:t xml:space="preserve">downstream </w:t>
      </w:r>
      <w:r w:rsidRPr="00AF1D27">
        <w:rPr>
          <w:rFonts w:cs="Times New Roman"/>
          <w:lang w:val="en-AU"/>
        </w:rPr>
        <w:t>line ministries</w:t>
      </w:r>
      <w:r w:rsidR="009A6F4F">
        <w:rPr>
          <w:rFonts w:cs="Times New Roman"/>
          <w:lang w:val="en-AU"/>
        </w:rPr>
        <w:t xml:space="preserve"> and delivery agencies.  All too often, donors report improvements at the centre but counterparts and citizens do not experience improvements in services or in the enabling environment for growth.  In recognizing this, DFAT sought a fresh </w:t>
      </w:r>
      <w:r w:rsidRPr="00AF1D27">
        <w:rPr>
          <w:rFonts w:cs="Times New Roman"/>
          <w:lang w:val="en-AU"/>
        </w:rPr>
        <w:t xml:space="preserve">approach to </w:t>
      </w:r>
      <w:r w:rsidR="009A6F4F">
        <w:rPr>
          <w:rFonts w:cs="Times New Roman"/>
          <w:lang w:val="en-AU"/>
        </w:rPr>
        <w:t xml:space="preserve">achieving </w:t>
      </w:r>
      <w:r w:rsidRPr="00AF1D27">
        <w:rPr>
          <w:rFonts w:cs="Times New Roman"/>
          <w:lang w:val="en-AU"/>
        </w:rPr>
        <w:t xml:space="preserve">the </w:t>
      </w:r>
      <w:r w:rsidR="009A6F4F">
        <w:rPr>
          <w:rFonts w:cs="Times New Roman"/>
          <w:lang w:val="en-AU"/>
        </w:rPr>
        <w:t xml:space="preserve">institutional </w:t>
      </w:r>
      <w:r w:rsidRPr="00AF1D27">
        <w:rPr>
          <w:rFonts w:cs="Times New Roman"/>
          <w:lang w:val="en-AU"/>
        </w:rPr>
        <w:t>change</w:t>
      </w:r>
      <w:r w:rsidR="009A6F4F">
        <w:rPr>
          <w:rFonts w:cs="Times New Roman"/>
          <w:lang w:val="en-AU"/>
        </w:rPr>
        <w:t>s envisaged in SIGOV</w:t>
      </w:r>
      <w:r w:rsidRPr="00AF1D27">
        <w:rPr>
          <w:rFonts w:cs="Times New Roman"/>
          <w:lang w:val="en-AU"/>
        </w:rPr>
        <w:t xml:space="preserve"> and </w:t>
      </w:r>
      <w:r w:rsidR="009A6F4F">
        <w:rPr>
          <w:rFonts w:cs="Times New Roman"/>
          <w:lang w:val="en-AU"/>
        </w:rPr>
        <w:t xml:space="preserve">accordingly </w:t>
      </w:r>
      <w:r w:rsidRPr="00AF1D27">
        <w:rPr>
          <w:rFonts w:cs="Times New Roman"/>
          <w:lang w:val="en-AU"/>
        </w:rPr>
        <w:t xml:space="preserve">commissioned this review to assist this </w:t>
      </w:r>
      <w:r w:rsidR="006B5A0C">
        <w:rPr>
          <w:rFonts w:cs="Times New Roman"/>
          <w:lang w:val="en-AU"/>
        </w:rPr>
        <w:t>reconsideration</w:t>
      </w:r>
      <w:r w:rsidRPr="00AF1D27">
        <w:rPr>
          <w:rFonts w:cs="Times New Roman"/>
          <w:lang w:val="en-AU"/>
        </w:rPr>
        <w:t>.</w:t>
      </w:r>
      <w:r w:rsidR="000D738F" w:rsidRPr="000D738F">
        <w:rPr>
          <w:rFonts w:cs="Times New Roman"/>
          <w:lang w:val="en-AU"/>
        </w:rPr>
        <w:t xml:space="preserve"> </w:t>
      </w:r>
      <w:r w:rsidR="000D738F">
        <w:rPr>
          <w:rFonts w:cs="Times New Roman"/>
          <w:lang w:val="en-AU"/>
        </w:rPr>
        <w:t xml:space="preserve">The Terms of Reference for this review are set out in </w:t>
      </w:r>
      <w:r w:rsidR="000D738F">
        <w:rPr>
          <w:rFonts w:cs="Times New Roman"/>
          <w:lang w:val="en-AU"/>
        </w:rPr>
        <w:fldChar w:fldCharType="begin"/>
      </w:r>
      <w:r w:rsidR="000D738F">
        <w:rPr>
          <w:rFonts w:cs="Times New Roman"/>
          <w:lang w:val="en-AU"/>
        </w:rPr>
        <w:instrText xml:space="preserve"> REF _Ref401676609 \h </w:instrText>
      </w:r>
      <w:r w:rsidR="000D738F">
        <w:rPr>
          <w:rFonts w:cs="Times New Roman"/>
          <w:lang w:val="en-AU"/>
        </w:rPr>
      </w:r>
      <w:r w:rsidR="000D738F">
        <w:rPr>
          <w:rFonts w:cs="Times New Roman"/>
          <w:lang w:val="en-AU"/>
        </w:rPr>
        <w:fldChar w:fldCharType="separate"/>
      </w:r>
      <w:r w:rsidR="00EF43BE" w:rsidRPr="00F71B40">
        <w:rPr>
          <w:lang w:val="en-AU"/>
        </w:rPr>
        <w:t xml:space="preserve">Annex </w:t>
      </w:r>
      <w:r w:rsidR="00EF43BE">
        <w:rPr>
          <w:noProof/>
          <w:lang w:val="en-AU"/>
        </w:rPr>
        <w:t>2</w:t>
      </w:r>
      <w:r w:rsidR="000D738F">
        <w:rPr>
          <w:rFonts w:cs="Times New Roman"/>
          <w:lang w:val="en-AU"/>
        </w:rPr>
        <w:fldChar w:fldCharType="end"/>
      </w:r>
      <w:r w:rsidR="000D738F">
        <w:rPr>
          <w:rFonts w:cs="Times New Roman"/>
          <w:lang w:val="en-AU"/>
        </w:rPr>
        <w:t>.</w:t>
      </w:r>
      <w:r w:rsidR="00E256D6">
        <w:rPr>
          <w:rFonts w:cs="Times New Roman"/>
          <w:lang w:val="en-AU"/>
        </w:rPr>
        <w:t xml:space="preserve">  </w:t>
      </w:r>
    </w:p>
    <w:p w:rsidR="00AF1D27" w:rsidRPr="00AF1D27" w:rsidRDefault="00AF1D27" w:rsidP="00AF1D27">
      <w:pPr>
        <w:rPr>
          <w:rFonts w:cs="Times New Roman"/>
          <w:lang w:val="en-AU"/>
        </w:rPr>
      </w:pPr>
    </w:p>
    <w:p w:rsidR="00EE509D" w:rsidRDefault="00361D8F" w:rsidP="00D62A32">
      <w:pPr>
        <w:rPr>
          <w:lang w:val="en-AU"/>
        </w:rPr>
      </w:pPr>
      <w:r>
        <w:rPr>
          <w:rFonts w:cs="Times New Roman"/>
          <w:lang w:val="en-AU"/>
        </w:rPr>
        <w:t xml:space="preserve">Since the </w:t>
      </w:r>
      <w:r w:rsidR="009C1866" w:rsidRPr="00F71B40">
        <w:rPr>
          <w:lang w:val="en-AU"/>
        </w:rPr>
        <w:t xml:space="preserve">SIGOV program </w:t>
      </w:r>
      <w:r w:rsidR="00A215D0" w:rsidRPr="00F71B40">
        <w:rPr>
          <w:lang w:val="en-AU"/>
        </w:rPr>
        <w:t>is</w:t>
      </w:r>
      <w:r w:rsidR="009C1866" w:rsidRPr="00F71B40">
        <w:rPr>
          <w:lang w:val="en-AU"/>
        </w:rPr>
        <w:t xml:space="preserve"> </w:t>
      </w:r>
      <w:r>
        <w:rPr>
          <w:lang w:val="en-AU"/>
        </w:rPr>
        <w:t>a</w:t>
      </w:r>
      <w:r w:rsidR="009C1866" w:rsidRPr="00F71B40">
        <w:rPr>
          <w:lang w:val="en-AU"/>
        </w:rPr>
        <w:t xml:space="preserve"> part of a </w:t>
      </w:r>
      <w:r>
        <w:rPr>
          <w:lang w:val="en-AU"/>
        </w:rPr>
        <w:t xml:space="preserve">larger Australian Aid program, </w:t>
      </w:r>
      <w:r w:rsidR="006B5A0C">
        <w:rPr>
          <w:lang w:val="en-AU"/>
        </w:rPr>
        <w:t>t</w:t>
      </w:r>
      <w:r w:rsidR="006B5A0C" w:rsidRPr="00F71B40">
        <w:rPr>
          <w:lang w:val="en-AU"/>
        </w:rPr>
        <w:t>h</w:t>
      </w:r>
      <w:r w:rsidR="006B5A0C">
        <w:rPr>
          <w:lang w:val="en-AU"/>
        </w:rPr>
        <w:t>e</w:t>
      </w:r>
      <w:r w:rsidR="006B5A0C" w:rsidRPr="00F71B40">
        <w:rPr>
          <w:lang w:val="en-AU"/>
        </w:rPr>
        <w:t xml:space="preserve"> </w:t>
      </w:r>
      <w:r w:rsidR="00EE509D" w:rsidRPr="00F71B40">
        <w:rPr>
          <w:lang w:val="en-AU"/>
        </w:rPr>
        <w:t xml:space="preserve">review begins with an exploration of the long and complex history of Australian support for the public sector in Solomon Islands.  This support has resulted in some very real gains, but also shows some persistent limitations. It is important to assert at the outset that the discussion of the limitations is not a criticism of RAMSI.  Given the complexities and the urgency of the issues at stake, even with the advantage of hindsight it is not clear what else could have been done.  Above all, the peace and macroeconomic stability </w:t>
      </w:r>
      <w:r w:rsidR="006B5A0C">
        <w:rPr>
          <w:lang w:val="en-AU"/>
        </w:rPr>
        <w:t xml:space="preserve">provided by RAMSI </w:t>
      </w:r>
      <w:r w:rsidR="00EE509D" w:rsidRPr="00F71B40">
        <w:rPr>
          <w:lang w:val="en-AU"/>
        </w:rPr>
        <w:t>shielded the poor from the damaging effects of inflation and social disruption.  The limitations in achieving</w:t>
      </w:r>
      <w:r w:rsidR="001A62D9" w:rsidRPr="00F71B40">
        <w:rPr>
          <w:lang w:val="en-AU"/>
        </w:rPr>
        <w:t xml:space="preserve"> substantial</w:t>
      </w:r>
      <w:r w:rsidR="00EE509D" w:rsidRPr="00F71B40">
        <w:rPr>
          <w:lang w:val="en-AU"/>
        </w:rPr>
        <w:t xml:space="preserve"> public sector reforms in Solomon Islands are exactly consistent with research about the difficulties in institutional reform that we see in other similar settings.  </w:t>
      </w:r>
    </w:p>
    <w:p w:rsidR="005700AE" w:rsidRPr="00F71B40" w:rsidRDefault="005700AE" w:rsidP="00D62A32">
      <w:pPr>
        <w:rPr>
          <w:lang w:val="en-AU"/>
        </w:rPr>
      </w:pPr>
    </w:p>
    <w:p w:rsidR="00EE509D" w:rsidRPr="00F71B40" w:rsidRDefault="00EE509D" w:rsidP="00D62A32">
      <w:pPr>
        <w:keepNext/>
        <w:keepLines/>
        <w:rPr>
          <w:lang w:val="en-AU"/>
        </w:rPr>
      </w:pPr>
      <w:r w:rsidRPr="00F71B40">
        <w:rPr>
          <w:lang w:val="en-AU"/>
        </w:rPr>
        <w:t xml:space="preserve">The review then explores the distinctive nature of politics in in Solomon Islands, </w:t>
      </w:r>
      <w:r w:rsidR="001A62D9" w:rsidRPr="00F71B40">
        <w:rPr>
          <w:lang w:val="en-AU"/>
        </w:rPr>
        <w:t xml:space="preserve">a key part of the context for reform.  It notes </w:t>
      </w:r>
      <w:r w:rsidRPr="00F71B40">
        <w:rPr>
          <w:lang w:val="en-AU"/>
        </w:rPr>
        <w:t>that politicians</w:t>
      </w:r>
      <w:r w:rsidR="005700AE">
        <w:rPr>
          <w:lang w:val="en-AU"/>
        </w:rPr>
        <w:t xml:space="preserve">, </w:t>
      </w:r>
      <w:r w:rsidRPr="00F71B40">
        <w:rPr>
          <w:lang w:val="en-AU"/>
        </w:rPr>
        <w:t>not public servants</w:t>
      </w:r>
      <w:r w:rsidR="005700AE">
        <w:rPr>
          <w:lang w:val="en-AU"/>
        </w:rPr>
        <w:t>,</w:t>
      </w:r>
      <w:r w:rsidRPr="00F71B40">
        <w:rPr>
          <w:lang w:val="en-AU"/>
        </w:rPr>
        <w:t xml:space="preserve"> are seen as the providers of public services.  The continued growth in the Constituency Development Funds is both cause and effect of the very personal and transactional relationship which MPs have with their constituents.  The roots of this arrangement lie in the </w:t>
      </w:r>
      <w:r w:rsidR="00F2589D">
        <w:rPr>
          <w:lang w:val="en-AU"/>
        </w:rPr>
        <w:t>nature</w:t>
      </w:r>
      <w:r w:rsidRPr="00F71B40">
        <w:rPr>
          <w:lang w:val="en-AU"/>
        </w:rPr>
        <w:t xml:space="preserve"> of the political parties.</w:t>
      </w:r>
    </w:p>
    <w:p w:rsidR="00EE509D" w:rsidRPr="00F71B40" w:rsidRDefault="00EE509D" w:rsidP="00D62A32">
      <w:pPr>
        <w:keepNext/>
        <w:keepLines/>
        <w:rPr>
          <w:lang w:val="en-AU"/>
        </w:rPr>
      </w:pPr>
    </w:p>
    <w:p w:rsidR="00EE509D" w:rsidRPr="00F71B40" w:rsidRDefault="00EE509D" w:rsidP="00D62A32">
      <w:pPr>
        <w:rPr>
          <w:rFonts w:cs="Times New Roman"/>
          <w:lang w:val="en-AU"/>
        </w:rPr>
      </w:pPr>
      <w:r w:rsidRPr="00F71B40">
        <w:rPr>
          <w:lang w:val="en-AU"/>
        </w:rPr>
        <w:t>In considering where SIGOV is headed, the review notes that it seems to be on track to continue the pattern seen during the RAMSI period</w:t>
      </w:r>
      <w:r w:rsidR="001A62D9" w:rsidRPr="00F71B40">
        <w:rPr>
          <w:lang w:val="en-AU"/>
        </w:rPr>
        <w:t>;</w:t>
      </w:r>
      <w:r w:rsidRPr="00F71B40">
        <w:rPr>
          <w:lang w:val="en-AU"/>
        </w:rPr>
        <w:t xml:space="preserve"> while it is undoubtedly stimulating change in the central agencies, there is room for doubt about whether these changes at the centre are leading to substantial downstream improvements in results.  While this observation is in line with the general findings about public management reform programs in fragile and conflict-affected states, it does present SIGOV with the clear </w:t>
      </w:r>
      <w:r w:rsidRPr="00F71B40">
        <w:rPr>
          <w:lang w:val="en-AU"/>
        </w:rPr>
        <w:lastRenderedPageBreak/>
        <w:t xml:space="preserve">risk that </w:t>
      </w:r>
      <w:r w:rsidRPr="00F71B40">
        <w:rPr>
          <w:rFonts w:cs="Times New Roman"/>
          <w:lang w:val="en-AU"/>
        </w:rPr>
        <w:t xml:space="preserve">it might be making a difference at the centre which is based more on mimicry of OECD reforms than on making a difference for final service delivery results.  </w:t>
      </w:r>
    </w:p>
    <w:p w:rsidR="00EE509D" w:rsidRPr="00F71B40" w:rsidRDefault="00EE509D" w:rsidP="00D62A32">
      <w:pPr>
        <w:rPr>
          <w:lang w:val="en-AU"/>
        </w:rPr>
      </w:pPr>
    </w:p>
    <w:p w:rsidR="00EE509D" w:rsidRPr="00F71B40" w:rsidRDefault="00EE509D" w:rsidP="00D62A32">
      <w:pPr>
        <w:rPr>
          <w:rFonts w:cs="Times New Roman"/>
          <w:lang w:val="en-AU"/>
        </w:rPr>
      </w:pPr>
      <w:r w:rsidRPr="00F71B40">
        <w:rPr>
          <w:lang w:val="en-AU"/>
        </w:rPr>
        <w:t xml:space="preserve">To the extent that history is indeed repeating itself in SIGOV, it is important to understand whether and how the limitations are emerging from the SIGOV project design.  The review </w:t>
      </w:r>
      <w:r w:rsidR="001A62D9" w:rsidRPr="00F71B40">
        <w:rPr>
          <w:lang w:val="en-AU"/>
        </w:rPr>
        <w:t>finds</w:t>
      </w:r>
      <w:r w:rsidRPr="00F71B40">
        <w:rPr>
          <w:lang w:val="en-AU"/>
        </w:rPr>
        <w:t xml:space="preserve"> that SIGOV, in common with many similar programs, has a two-part intervention logic</w:t>
      </w:r>
      <w:r w:rsidR="001A62D9" w:rsidRPr="00F71B40">
        <w:rPr>
          <w:lang w:val="en-AU"/>
        </w:rPr>
        <w:t>;</w:t>
      </w:r>
      <w:r w:rsidRPr="00F71B40">
        <w:rPr>
          <w:lang w:val="en-AU"/>
        </w:rPr>
        <w:t xml:space="preserve"> Part A entails improving the functioning of the central agencies and core public management systems, while </w:t>
      </w:r>
      <w:r w:rsidRPr="00F71B40">
        <w:rPr>
          <w:rFonts w:cs="Times New Roman"/>
          <w:lang w:val="en-AU"/>
        </w:rPr>
        <w:t>in Part B, these system changes</w:t>
      </w:r>
      <w:r w:rsidR="001A62D9" w:rsidRPr="00F71B40">
        <w:rPr>
          <w:rFonts w:cs="Times New Roman"/>
          <w:lang w:val="en-AU"/>
        </w:rPr>
        <w:t xml:space="preserve"> are intended to</w:t>
      </w:r>
      <w:r w:rsidRPr="00F71B40">
        <w:rPr>
          <w:rFonts w:cs="Times New Roman"/>
          <w:lang w:val="en-AU"/>
        </w:rPr>
        <w:t xml:space="preserve"> lead to subsequent government performance improvements in the sectors.  It identifies some shortcomings in the intervention logic – specifically that:</w:t>
      </w:r>
    </w:p>
    <w:p w:rsidR="00EE509D" w:rsidRPr="00361D8F" w:rsidRDefault="00EE509D" w:rsidP="004D15F8">
      <w:pPr>
        <w:pStyle w:val="ListParagraph"/>
        <w:keepNext/>
        <w:keepLines/>
        <w:numPr>
          <w:ilvl w:val="0"/>
          <w:numId w:val="25"/>
        </w:numPr>
        <w:rPr>
          <w:rFonts w:cs="Times New Roman"/>
          <w:i/>
          <w:lang w:val="en-AU"/>
        </w:rPr>
      </w:pPr>
      <w:r w:rsidRPr="00361D8F">
        <w:rPr>
          <w:rFonts w:cs="Times New Roman"/>
          <w:i/>
          <w:lang w:val="en-AU"/>
        </w:rPr>
        <w:t>For Part A – interventions which cause functional improvements in central agencies</w:t>
      </w:r>
    </w:p>
    <w:p w:rsidR="00EE509D" w:rsidRPr="00F71B40" w:rsidRDefault="00EE509D" w:rsidP="004D15F8">
      <w:pPr>
        <w:pStyle w:val="ListParagraph"/>
        <w:numPr>
          <w:ilvl w:val="1"/>
          <w:numId w:val="25"/>
        </w:numPr>
        <w:rPr>
          <w:lang w:val="en-AU"/>
        </w:rPr>
      </w:pPr>
      <w:r w:rsidRPr="00F71B40">
        <w:rPr>
          <w:rFonts w:cs="Times New Roman"/>
          <w:lang w:val="en-AU"/>
        </w:rPr>
        <w:t>The inputs focus narrowly on technical advice and guidance and temporary capacity enhancement through external advisors</w:t>
      </w:r>
      <w:r w:rsidRPr="00F71B40">
        <w:rPr>
          <w:lang w:val="en-AU"/>
        </w:rPr>
        <w:t>.</w:t>
      </w:r>
    </w:p>
    <w:p w:rsidR="00EE509D" w:rsidRPr="00361D8F" w:rsidRDefault="00EE509D" w:rsidP="004D15F8">
      <w:pPr>
        <w:pStyle w:val="ListParagraph"/>
        <w:keepNext/>
        <w:keepLines/>
        <w:numPr>
          <w:ilvl w:val="0"/>
          <w:numId w:val="25"/>
        </w:numPr>
        <w:rPr>
          <w:rFonts w:cs="Times New Roman"/>
          <w:i/>
          <w:lang w:val="en-AU"/>
        </w:rPr>
      </w:pPr>
      <w:r w:rsidRPr="00361D8F">
        <w:rPr>
          <w:rFonts w:cs="Times New Roman"/>
          <w:i/>
          <w:lang w:val="en-AU"/>
        </w:rPr>
        <w:t>For Part B – ensuring that those improvements result in government performance improvements</w:t>
      </w:r>
    </w:p>
    <w:p w:rsidR="00EE509D" w:rsidRPr="00F71B40" w:rsidRDefault="00EE509D" w:rsidP="004D15F8">
      <w:pPr>
        <w:pStyle w:val="ListParagraph"/>
        <w:numPr>
          <w:ilvl w:val="1"/>
          <w:numId w:val="25"/>
        </w:numPr>
        <w:rPr>
          <w:lang w:val="en-AU"/>
        </w:rPr>
      </w:pPr>
      <w:r w:rsidRPr="00F71B40">
        <w:rPr>
          <w:lang w:val="en-AU"/>
        </w:rPr>
        <w:t xml:space="preserve">Limitations on the understanding of how the public sector operates </w:t>
      </w:r>
      <w:r w:rsidR="000D738F" w:rsidRPr="00F71B40">
        <w:rPr>
          <w:lang w:val="en-AU"/>
        </w:rPr>
        <w:t xml:space="preserve">downstream </w:t>
      </w:r>
      <w:r w:rsidRPr="00F71B40">
        <w:rPr>
          <w:lang w:val="en-AU"/>
        </w:rPr>
        <w:t xml:space="preserve">now or could </w:t>
      </w:r>
      <w:r w:rsidR="001A62D9" w:rsidRPr="00F71B40">
        <w:rPr>
          <w:lang w:val="en-AU"/>
        </w:rPr>
        <w:t xml:space="preserve">in the future </w:t>
      </w:r>
      <w:r w:rsidRPr="00F71B40">
        <w:rPr>
          <w:lang w:val="en-AU"/>
        </w:rPr>
        <w:t xml:space="preserve">operate more effectively are not acknowledged explicitly and consequently no approach to learning about how the public sector operates is incorporated within the project design. </w:t>
      </w:r>
    </w:p>
    <w:p w:rsidR="00EE509D" w:rsidRPr="00F71B40" w:rsidRDefault="00EE509D" w:rsidP="004D15F8">
      <w:pPr>
        <w:pStyle w:val="ListParagraph"/>
        <w:numPr>
          <w:ilvl w:val="1"/>
          <w:numId w:val="25"/>
        </w:numPr>
        <w:rPr>
          <w:lang w:val="en-AU"/>
        </w:rPr>
      </w:pPr>
      <w:r w:rsidRPr="00F71B40">
        <w:rPr>
          <w:rFonts w:cs="Times New Roman"/>
          <w:lang w:val="en-AU"/>
        </w:rPr>
        <w:t xml:space="preserve">In turn, there is little evidence on which to </w:t>
      </w:r>
      <w:r w:rsidRPr="00F71B40">
        <w:rPr>
          <w:lang w:val="en-AU"/>
        </w:rPr>
        <w:t xml:space="preserve">prioritize improvements in the central agencies, or </w:t>
      </w:r>
      <w:r w:rsidR="000D738F">
        <w:rPr>
          <w:lang w:val="en-AU"/>
        </w:rPr>
        <w:t xml:space="preserve">to </w:t>
      </w:r>
      <w:r w:rsidRPr="00F71B40">
        <w:rPr>
          <w:lang w:val="en-AU"/>
        </w:rPr>
        <w:t>address the distinctively strong role of MPs in determining public sector outputs.</w:t>
      </w:r>
    </w:p>
    <w:p w:rsidR="00EE509D" w:rsidRPr="00F71B40" w:rsidRDefault="00EE509D" w:rsidP="004D15F8">
      <w:pPr>
        <w:pStyle w:val="ListParagraph"/>
        <w:numPr>
          <w:ilvl w:val="1"/>
          <w:numId w:val="25"/>
        </w:numPr>
        <w:rPr>
          <w:rFonts w:cs="Times New Roman"/>
          <w:lang w:val="en-AU"/>
        </w:rPr>
      </w:pPr>
      <w:r w:rsidRPr="00F71B40">
        <w:rPr>
          <w:rFonts w:cs="Times New Roman"/>
          <w:lang w:val="en-AU"/>
        </w:rPr>
        <w:t>There is also, as yet, little space for piloting, testing and refining new approaches.</w:t>
      </w:r>
    </w:p>
    <w:p w:rsidR="00EE509D" w:rsidRPr="00F71B40" w:rsidRDefault="00EE509D" w:rsidP="00D62A32">
      <w:pPr>
        <w:rPr>
          <w:lang w:val="en-AU"/>
        </w:rPr>
      </w:pPr>
    </w:p>
    <w:p w:rsidR="00EE509D" w:rsidRPr="00F71B40" w:rsidRDefault="00EE509D" w:rsidP="00D62A32">
      <w:pPr>
        <w:keepNext/>
        <w:keepLines/>
        <w:rPr>
          <w:lang w:val="en-AU"/>
        </w:rPr>
      </w:pPr>
      <w:r w:rsidRPr="00F71B40">
        <w:rPr>
          <w:lang w:val="en-AU"/>
        </w:rPr>
        <w:t xml:space="preserve">The review also notes that, in addition to the question of how SIGOV can be designed to achieve results in both Parts A and B, there is a real world consideration of protecting the Australian investment (financial and reputational) which has already been made in Solomon Islands.  </w:t>
      </w:r>
      <w:r w:rsidR="00361D8F">
        <w:rPr>
          <w:lang w:val="en-AU"/>
        </w:rPr>
        <w:t>The delicate question of some degree of “shared sovereignty” is raised.</w:t>
      </w:r>
    </w:p>
    <w:p w:rsidR="00EE509D" w:rsidRPr="00F71B40" w:rsidRDefault="00EE509D" w:rsidP="00D62A32">
      <w:pPr>
        <w:ind w:left="360"/>
        <w:rPr>
          <w:b/>
          <w:lang w:val="en-AU"/>
        </w:rPr>
      </w:pPr>
    </w:p>
    <w:p w:rsidR="00EE509D" w:rsidRPr="00F71B40" w:rsidRDefault="00EE509D" w:rsidP="00D62A32">
      <w:pPr>
        <w:rPr>
          <w:rFonts w:cs="Times New Roman"/>
          <w:lang w:val="en-AU"/>
        </w:rPr>
      </w:pPr>
      <w:r w:rsidRPr="00F71B40">
        <w:rPr>
          <w:rFonts w:cs="Times New Roman"/>
          <w:lang w:val="en-AU"/>
        </w:rPr>
        <w:t>In offering some tentative recommendations, the review notes that DFAT has two distinctive strengths</w:t>
      </w:r>
      <w:r w:rsidR="001A62D9" w:rsidRPr="00F71B40">
        <w:rPr>
          <w:rFonts w:cs="Times New Roman"/>
          <w:lang w:val="en-AU"/>
        </w:rPr>
        <w:t xml:space="preserve">. First, </w:t>
      </w:r>
      <w:r w:rsidRPr="00F71B40">
        <w:rPr>
          <w:rFonts w:cs="Times New Roman"/>
          <w:lang w:val="en-AU"/>
        </w:rPr>
        <w:t>it has a long history in the country with access to records and to “old hands” who know the country well.  Second, DFAT’s model of engagement, drawing together foreign, trade and development policies and diplomatic resources provides</w:t>
      </w:r>
      <w:r w:rsidR="001A62D9" w:rsidRPr="00F71B40">
        <w:rPr>
          <w:rFonts w:cs="Times New Roman"/>
          <w:lang w:val="en-AU"/>
        </w:rPr>
        <w:t>,</w:t>
      </w:r>
      <w:r w:rsidRPr="00F71B40">
        <w:rPr>
          <w:rFonts w:cs="Times New Roman"/>
          <w:lang w:val="en-AU"/>
        </w:rPr>
        <w:t xml:space="preserve"> in principle, the capacity to address both political and technical challenges.</w:t>
      </w:r>
      <w:r w:rsidR="00E256D6">
        <w:rPr>
          <w:rFonts w:cs="Times New Roman"/>
          <w:lang w:val="en-AU"/>
        </w:rPr>
        <w:t xml:space="preserve">  </w:t>
      </w:r>
    </w:p>
    <w:p w:rsidR="00EE509D" w:rsidRPr="00F71B40" w:rsidRDefault="00EE509D" w:rsidP="00D62A32">
      <w:pPr>
        <w:rPr>
          <w:rFonts w:cs="Times New Roman"/>
          <w:lang w:val="en-AU"/>
        </w:rPr>
      </w:pPr>
    </w:p>
    <w:p w:rsidR="00EE509D" w:rsidRPr="00F71B40" w:rsidRDefault="00EE509D" w:rsidP="00D62A32">
      <w:pPr>
        <w:rPr>
          <w:rFonts w:cs="Times New Roman"/>
          <w:lang w:val="en-AU"/>
        </w:rPr>
      </w:pPr>
      <w:r w:rsidRPr="00F71B40">
        <w:rPr>
          <w:rFonts w:cs="Times New Roman"/>
          <w:lang w:val="en-AU"/>
        </w:rPr>
        <w:t>The question is how the program design could be adjusted to use harness these strengths to ensure that SIGOV breaks free of its current rather limited trajectory.  The review makes recommendations in three areas:</w:t>
      </w:r>
    </w:p>
    <w:p w:rsidR="00EE509D" w:rsidRPr="00F71B40" w:rsidRDefault="00EE509D" w:rsidP="004D15F8">
      <w:pPr>
        <w:pStyle w:val="ListParagraph"/>
        <w:numPr>
          <w:ilvl w:val="0"/>
          <w:numId w:val="36"/>
        </w:numPr>
        <w:rPr>
          <w:b/>
          <w:lang w:val="en-AU"/>
        </w:rPr>
      </w:pPr>
      <w:r w:rsidRPr="00F71B40">
        <w:rPr>
          <w:b/>
          <w:lang w:val="en-AU"/>
        </w:rPr>
        <w:t>Program objectives</w:t>
      </w:r>
    </w:p>
    <w:p w:rsidR="00EE509D" w:rsidRPr="00F71B40" w:rsidRDefault="00EE509D" w:rsidP="00D62A32">
      <w:pPr>
        <w:ind w:left="360"/>
        <w:rPr>
          <w:rFonts w:cs="Times New Roman"/>
          <w:lang w:val="en-AU"/>
        </w:rPr>
      </w:pPr>
      <w:r w:rsidRPr="00F71B40">
        <w:rPr>
          <w:rFonts w:cs="Times New Roman"/>
          <w:lang w:val="en-AU"/>
        </w:rPr>
        <w:t>The program objectives of SIGOV could be re-specified as:</w:t>
      </w:r>
    </w:p>
    <w:p w:rsidR="00EE509D" w:rsidRPr="00F71B40" w:rsidRDefault="00EE509D" w:rsidP="004D15F8">
      <w:pPr>
        <w:pStyle w:val="ListParagraph"/>
        <w:numPr>
          <w:ilvl w:val="0"/>
          <w:numId w:val="26"/>
        </w:numPr>
        <w:ind w:left="1080"/>
        <w:rPr>
          <w:rFonts w:cs="Times New Roman"/>
          <w:lang w:val="en-AU"/>
        </w:rPr>
      </w:pPr>
      <w:r w:rsidRPr="00F71B40">
        <w:rPr>
          <w:rFonts w:cs="Times New Roman"/>
          <w:lang w:val="en-AU"/>
        </w:rPr>
        <w:t>Improving the performance of the central agencies to enable effective delivery of key services and support economic growth;</w:t>
      </w:r>
    </w:p>
    <w:p w:rsidR="00A940D2" w:rsidRPr="00F71B40" w:rsidRDefault="00A940D2" w:rsidP="00A940D2">
      <w:pPr>
        <w:pStyle w:val="ListParagraph"/>
        <w:numPr>
          <w:ilvl w:val="0"/>
          <w:numId w:val="26"/>
        </w:numPr>
        <w:ind w:left="1080"/>
        <w:rPr>
          <w:rFonts w:cs="Times New Roman"/>
          <w:lang w:val="en-AU"/>
        </w:rPr>
      </w:pPr>
      <w:r w:rsidRPr="00F71B40">
        <w:rPr>
          <w:rFonts w:cs="Times New Roman"/>
          <w:lang w:val="en-AU"/>
        </w:rPr>
        <w:t>Identifying and removing other systemic obstacles to sector service delivery</w:t>
      </w:r>
      <w:r>
        <w:rPr>
          <w:rFonts w:cs="Times New Roman"/>
          <w:lang w:val="en-AU"/>
        </w:rPr>
        <w:t xml:space="preserve"> </w:t>
      </w:r>
      <w:r w:rsidRPr="002E1439">
        <w:rPr>
          <w:rFonts w:cs="Times New Roman"/>
          <w:lang w:val="en-AU"/>
        </w:rPr>
        <w:t xml:space="preserve">and </w:t>
      </w:r>
      <w:r>
        <w:rPr>
          <w:rFonts w:cs="Times New Roman"/>
          <w:lang w:val="en-AU"/>
        </w:rPr>
        <w:t>to the creation of an</w:t>
      </w:r>
      <w:r w:rsidRPr="002E1439">
        <w:rPr>
          <w:rFonts w:cs="Times New Roman"/>
          <w:lang w:val="en-AU"/>
        </w:rPr>
        <w:t xml:space="preserve"> enabling environment for growth</w:t>
      </w:r>
      <w:r w:rsidRPr="00F71B40">
        <w:rPr>
          <w:rFonts w:cs="Times New Roman"/>
          <w:lang w:val="en-AU"/>
        </w:rPr>
        <w:t>; and</w:t>
      </w:r>
    </w:p>
    <w:p w:rsidR="00EE509D" w:rsidRPr="00F71B40" w:rsidRDefault="00EE509D" w:rsidP="004D15F8">
      <w:pPr>
        <w:pStyle w:val="ListParagraph"/>
        <w:numPr>
          <w:ilvl w:val="0"/>
          <w:numId w:val="26"/>
        </w:numPr>
        <w:ind w:left="1080"/>
        <w:rPr>
          <w:rFonts w:cs="Times New Roman"/>
          <w:lang w:val="en-AU"/>
        </w:rPr>
      </w:pPr>
      <w:r w:rsidRPr="00F71B40">
        <w:rPr>
          <w:rFonts w:cs="Times New Roman"/>
          <w:lang w:val="en-AU"/>
        </w:rPr>
        <w:t>Mitigating fiduciary risks to Australian and SIG funds.</w:t>
      </w:r>
    </w:p>
    <w:p w:rsidR="00EE509D" w:rsidRPr="00F71B40" w:rsidRDefault="00EE509D" w:rsidP="004D15F8">
      <w:pPr>
        <w:pStyle w:val="ListParagraph"/>
        <w:numPr>
          <w:ilvl w:val="0"/>
          <w:numId w:val="36"/>
        </w:numPr>
        <w:rPr>
          <w:b/>
          <w:lang w:val="en-AU"/>
        </w:rPr>
      </w:pPr>
      <w:r w:rsidRPr="00F71B40">
        <w:rPr>
          <w:b/>
          <w:lang w:val="en-AU"/>
        </w:rPr>
        <w:t>Coordinating bodies</w:t>
      </w:r>
    </w:p>
    <w:p w:rsidR="00EE509D" w:rsidRPr="00F71B40" w:rsidRDefault="00EE509D" w:rsidP="004D15F8">
      <w:pPr>
        <w:pStyle w:val="ListParagraph"/>
        <w:numPr>
          <w:ilvl w:val="0"/>
          <w:numId w:val="26"/>
        </w:numPr>
        <w:ind w:left="1080"/>
        <w:rPr>
          <w:rFonts w:cs="Times New Roman"/>
          <w:lang w:val="en-AU"/>
        </w:rPr>
      </w:pPr>
      <w:r w:rsidRPr="00F71B40">
        <w:rPr>
          <w:rFonts w:cs="Times New Roman"/>
          <w:lang w:val="en-AU"/>
        </w:rPr>
        <w:t xml:space="preserve">Reduce the number of governance bodies – principally by repositioning the </w:t>
      </w:r>
      <w:r w:rsidRPr="00F71B40">
        <w:rPr>
          <w:rFonts w:cs="Arial"/>
          <w:lang w:val="en-AU"/>
        </w:rPr>
        <w:t xml:space="preserve">Ministry of Finance and Treasury (MoFT) Board, the HRM Board and the </w:t>
      </w:r>
      <w:r w:rsidRPr="00F71B40">
        <w:rPr>
          <w:lang w:val="en-AU"/>
        </w:rPr>
        <w:t>Accountability Agencies Coordinating Forum as informal DFAT/central agency liaison meetings.  Discuss aspects of the “shared sovereignty” questions within each of these bodies separately.  Also use them to negotiate discreet support such as confidential mentoring for Permanent Secretaries or other very senior staff.</w:t>
      </w:r>
    </w:p>
    <w:p w:rsidR="00EE509D" w:rsidRPr="00F71B40" w:rsidRDefault="00EE509D" w:rsidP="004D15F8">
      <w:pPr>
        <w:pStyle w:val="ListParagraph"/>
        <w:numPr>
          <w:ilvl w:val="0"/>
          <w:numId w:val="26"/>
        </w:numPr>
        <w:ind w:left="1080"/>
        <w:rPr>
          <w:rFonts w:cs="Times New Roman"/>
          <w:lang w:val="en-AU"/>
        </w:rPr>
      </w:pPr>
      <w:r w:rsidRPr="00F71B40">
        <w:rPr>
          <w:rFonts w:cs="Times New Roman"/>
          <w:lang w:val="en-AU"/>
        </w:rPr>
        <w:lastRenderedPageBreak/>
        <w:t xml:space="preserve">Focus the </w:t>
      </w:r>
      <w:r w:rsidR="00361D8F">
        <w:rPr>
          <w:rFonts w:cs="Times New Roman"/>
          <w:lang w:val="en-AU"/>
        </w:rPr>
        <w:t>Core Economic Working Group (</w:t>
      </w:r>
      <w:r w:rsidRPr="00F71B40">
        <w:rPr>
          <w:rFonts w:cs="Times New Roman"/>
          <w:lang w:val="en-AU"/>
        </w:rPr>
        <w:t>CEWG</w:t>
      </w:r>
      <w:r w:rsidR="00361D8F">
        <w:rPr>
          <w:rFonts w:cs="Times New Roman"/>
          <w:lang w:val="en-AU"/>
        </w:rPr>
        <w:t>)</w:t>
      </w:r>
      <w:r w:rsidRPr="00F71B40">
        <w:rPr>
          <w:rFonts w:cs="Times New Roman"/>
          <w:lang w:val="en-AU"/>
        </w:rPr>
        <w:t xml:space="preserve"> on macro-economic planning and growth policy.</w:t>
      </w:r>
    </w:p>
    <w:p w:rsidR="00EE509D" w:rsidRPr="00F71B40" w:rsidRDefault="00EE509D" w:rsidP="004D15F8">
      <w:pPr>
        <w:pStyle w:val="ListParagraph"/>
        <w:numPr>
          <w:ilvl w:val="0"/>
          <w:numId w:val="26"/>
        </w:numPr>
        <w:ind w:left="1080"/>
        <w:rPr>
          <w:rFonts w:cs="Times New Roman"/>
          <w:lang w:val="en-AU"/>
        </w:rPr>
      </w:pPr>
      <w:r w:rsidRPr="00F71B40">
        <w:rPr>
          <w:rFonts w:cs="Times New Roman"/>
          <w:lang w:val="en-AU"/>
        </w:rPr>
        <w:t>Develop a new “Delivery and Results” coordinating body, with tightly limited attendance, including Permanent Secretaries from the central agencies and from key sector departments and no more than 2 or 3 donor representatives. Subcommittees might meet with NGOs and other groups – but this new body should be able to discuss political challenges to delivery in confidence.  It should be the owner of key indicators of central agency improvement and of a very small set of service delivery indicators.</w:t>
      </w:r>
    </w:p>
    <w:p w:rsidR="00EE509D" w:rsidRPr="00F71B40" w:rsidRDefault="00EE509D" w:rsidP="004D15F8">
      <w:pPr>
        <w:pStyle w:val="ListParagraph"/>
        <w:keepNext/>
        <w:numPr>
          <w:ilvl w:val="0"/>
          <w:numId w:val="36"/>
        </w:numPr>
        <w:ind w:left="362" w:hangingChars="164" w:hanging="362"/>
        <w:rPr>
          <w:b/>
          <w:lang w:val="en-AU"/>
        </w:rPr>
      </w:pPr>
      <w:r w:rsidRPr="00F71B40">
        <w:rPr>
          <w:b/>
          <w:lang w:val="en-AU"/>
        </w:rPr>
        <w:t>Incorporating learning within SIGOV</w:t>
      </w:r>
    </w:p>
    <w:p w:rsidR="00EE509D" w:rsidRPr="00F71B40" w:rsidRDefault="00EE509D" w:rsidP="004D15F8">
      <w:pPr>
        <w:pStyle w:val="ListParagraph"/>
        <w:keepNext/>
        <w:numPr>
          <w:ilvl w:val="0"/>
          <w:numId w:val="26"/>
        </w:numPr>
        <w:ind w:leftChars="326" w:left="1078" w:hangingChars="164" w:hanging="361"/>
        <w:rPr>
          <w:rFonts w:cs="Times New Roman"/>
          <w:lang w:val="en-AU"/>
        </w:rPr>
      </w:pPr>
      <w:r w:rsidRPr="00F71B40">
        <w:rPr>
          <w:lang w:val="en-AU"/>
        </w:rPr>
        <w:t xml:space="preserve">With </w:t>
      </w:r>
      <w:r w:rsidR="009449A4" w:rsidRPr="00F71B40">
        <w:rPr>
          <w:lang w:val="en-AU"/>
        </w:rPr>
        <w:t>a</w:t>
      </w:r>
      <w:r w:rsidR="009449A4" w:rsidRPr="00F71B40">
        <w:rPr>
          <w:rFonts w:cs="Times New Roman"/>
          <w:lang w:val="en-AU"/>
        </w:rPr>
        <w:t xml:space="preserve"> radically improved level of coordination with other DFAT sector programs (health, infrastructure and more), </w:t>
      </w:r>
      <w:r w:rsidR="00361D8F">
        <w:rPr>
          <w:rFonts w:cs="Times New Roman"/>
          <w:lang w:val="en-AU"/>
        </w:rPr>
        <w:t>Solomon Island Government (</w:t>
      </w:r>
      <w:r w:rsidRPr="00F71B40">
        <w:rPr>
          <w:lang w:val="en-AU"/>
        </w:rPr>
        <w:t>SIG</w:t>
      </w:r>
      <w:r w:rsidR="00361D8F">
        <w:rPr>
          <w:lang w:val="en-AU"/>
        </w:rPr>
        <w:t>)</w:t>
      </w:r>
      <w:r w:rsidRPr="00F71B40">
        <w:rPr>
          <w:lang w:val="en-AU"/>
        </w:rPr>
        <w:t xml:space="preserve"> counterparts and others working on sector service delivery issues:</w:t>
      </w:r>
    </w:p>
    <w:p w:rsidR="00EE509D" w:rsidRPr="00F71B40" w:rsidRDefault="00EE509D" w:rsidP="004D15F8">
      <w:pPr>
        <w:pStyle w:val="ListParagraph"/>
        <w:keepNext/>
        <w:numPr>
          <w:ilvl w:val="1"/>
          <w:numId w:val="26"/>
        </w:numPr>
        <w:ind w:leftChars="531" w:left="1529" w:hangingChars="164" w:hanging="361"/>
        <w:rPr>
          <w:lang w:val="en-AU"/>
        </w:rPr>
      </w:pPr>
      <w:r w:rsidRPr="00F71B40">
        <w:rPr>
          <w:lang w:val="en-AU"/>
        </w:rPr>
        <w:t>Undertake explicit diagnostic work to pinpoint where there are constraints to service delivery which are particularly amenable to central agency/upstream work by SIGOV</w:t>
      </w:r>
      <w:r w:rsidR="005066C0">
        <w:rPr>
          <w:lang w:val="en-AU"/>
        </w:rPr>
        <w:t>; and</w:t>
      </w:r>
      <w:r w:rsidRPr="00F71B40">
        <w:rPr>
          <w:lang w:val="en-AU"/>
        </w:rPr>
        <w:t xml:space="preserve">  </w:t>
      </w:r>
    </w:p>
    <w:p w:rsidR="00EE509D" w:rsidRPr="00F71B40" w:rsidRDefault="009449A4" w:rsidP="004D15F8">
      <w:pPr>
        <w:pStyle w:val="ListParagraph"/>
        <w:keepNext/>
        <w:numPr>
          <w:ilvl w:val="1"/>
          <w:numId w:val="26"/>
        </w:numPr>
        <w:ind w:leftChars="531" w:left="1529" w:hangingChars="164" w:hanging="361"/>
        <w:rPr>
          <w:lang w:val="en-AU"/>
        </w:rPr>
      </w:pPr>
      <w:r w:rsidRPr="00F71B40">
        <w:rPr>
          <w:lang w:val="en-AU"/>
        </w:rPr>
        <w:t xml:space="preserve">Undertake </w:t>
      </w:r>
      <w:r w:rsidR="00F71B40" w:rsidRPr="00F71B40">
        <w:rPr>
          <w:lang w:val="en-AU"/>
        </w:rPr>
        <w:t>cautious</w:t>
      </w:r>
      <w:r w:rsidR="00EE509D" w:rsidRPr="00F71B40">
        <w:rPr>
          <w:lang w:val="en-AU"/>
        </w:rPr>
        <w:t xml:space="preserve"> piloting, with clear specifications and criteria for considering it effective and for rolling it back if it is not, </w:t>
      </w:r>
      <w:r w:rsidR="005700AE">
        <w:rPr>
          <w:lang w:val="en-AU"/>
        </w:rPr>
        <w:t>to allow experiments in</w:t>
      </w:r>
      <w:r w:rsidR="00EE509D" w:rsidRPr="00F71B40">
        <w:rPr>
          <w:lang w:val="en-AU"/>
        </w:rPr>
        <w:t>: sector or entity level reforms; building on the Constituency Development Funds; and enhancing demand-side pressures.</w:t>
      </w:r>
    </w:p>
    <w:p w:rsidR="00EE509D" w:rsidRPr="00F71B40" w:rsidRDefault="00EE509D" w:rsidP="004D15F8">
      <w:pPr>
        <w:pStyle w:val="ListParagraph"/>
        <w:numPr>
          <w:ilvl w:val="0"/>
          <w:numId w:val="26"/>
        </w:numPr>
        <w:ind w:left="1080"/>
        <w:rPr>
          <w:lang w:val="en-AU"/>
        </w:rPr>
      </w:pPr>
      <w:r w:rsidRPr="00F71B40">
        <w:rPr>
          <w:lang w:val="en-AU"/>
        </w:rPr>
        <w:t>Experiment with management coaches and confidential advice to selected senior SIG management</w:t>
      </w:r>
      <w:r w:rsidR="005066C0">
        <w:rPr>
          <w:lang w:val="en-AU"/>
        </w:rPr>
        <w:t xml:space="preserve"> and with peer learning.</w:t>
      </w:r>
    </w:p>
    <w:p w:rsidR="00EE509D" w:rsidRPr="00F71B40" w:rsidRDefault="00C31039" w:rsidP="004D15F8">
      <w:pPr>
        <w:pStyle w:val="ListParagraph"/>
        <w:numPr>
          <w:ilvl w:val="0"/>
          <w:numId w:val="26"/>
        </w:numPr>
        <w:ind w:left="1080"/>
        <w:rPr>
          <w:lang w:val="en-AU"/>
        </w:rPr>
      </w:pPr>
      <w:r w:rsidRPr="00F71B40">
        <w:rPr>
          <w:lang w:val="en-AU"/>
        </w:rPr>
        <w:t xml:space="preserve">Develop a </w:t>
      </w:r>
      <w:r w:rsidRPr="00F71B40">
        <w:rPr>
          <w:rFonts w:cs="Times New Roman"/>
          <w:lang w:val="en-AU"/>
        </w:rPr>
        <w:t>“learning and strategy” function for SIGOV</w:t>
      </w:r>
      <w:r w:rsidR="00EE509D" w:rsidRPr="00F71B40">
        <w:rPr>
          <w:rFonts w:cs="Times New Roman"/>
          <w:lang w:val="en-AU"/>
        </w:rPr>
        <w:t xml:space="preserve">, with a few staff with experience and, most importantly, sufficient time and focus to establish disciplined diagnostic and piloting experiments and to translate the results, quickly and pragmatically, into practical ways forward for the wider program and to </w:t>
      </w:r>
      <w:r w:rsidR="00EE509D" w:rsidRPr="00F71B40">
        <w:rPr>
          <w:lang w:val="en-AU"/>
        </w:rPr>
        <w:t>learn lessons from closely related programs within DFAT which are tackling similar challenges.</w:t>
      </w:r>
      <w:r w:rsidR="00E256D6">
        <w:rPr>
          <w:lang w:val="en-AU"/>
        </w:rPr>
        <w:t xml:space="preserve">  </w:t>
      </w:r>
    </w:p>
    <w:p w:rsidR="00EE509D" w:rsidRPr="00F71B40" w:rsidRDefault="00EE509D" w:rsidP="00D62A32">
      <w:pPr>
        <w:rPr>
          <w:lang w:val="en-AU"/>
        </w:rPr>
      </w:pPr>
    </w:p>
    <w:p w:rsidR="00EE509D" w:rsidRPr="00F71B40" w:rsidRDefault="00EE509D" w:rsidP="00D62A32">
      <w:pPr>
        <w:rPr>
          <w:lang w:val="en-AU"/>
        </w:rPr>
      </w:pPr>
      <w:r w:rsidRPr="00F71B40">
        <w:rPr>
          <w:lang w:val="en-AU"/>
        </w:rPr>
        <w:t xml:space="preserve">More tentatively, </w:t>
      </w:r>
      <w:r w:rsidR="00C31039" w:rsidRPr="00F71B40">
        <w:rPr>
          <w:lang w:val="en-AU"/>
        </w:rPr>
        <w:t>the review</w:t>
      </w:r>
      <w:r w:rsidRPr="00F71B40">
        <w:rPr>
          <w:lang w:val="en-AU"/>
        </w:rPr>
        <w:t xml:space="preserve"> also suggests that consideration should be given to a new program management structure.  It offers an illustrative example, entailing the development of sub-program lead responsibilities.</w:t>
      </w:r>
    </w:p>
    <w:p w:rsidR="00EF06B6" w:rsidRPr="00F71B40" w:rsidRDefault="00EF06B6" w:rsidP="00D62A32">
      <w:pPr>
        <w:ind w:left="360"/>
        <w:rPr>
          <w:b/>
          <w:lang w:val="en-AU"/>
        </w:rPr>
      </w:pPr>
    </w:p>
    <w:p w:rsidR="00677EBB" w:rsidRPr="00F71B40" w:rsidRDefault="00677EBB" w:rsidP="00D62A32">
      <w:pPr>
        <w:pStyle w:val="Heading1"/>
        <w:rPr>
          <w:lang w:val="en-AU"/>
        </w:rPr>
      </w:pPr>
      <w:bookmarkStart w:id="4" w:name="_Ref396758674"/>
      <w:bookmarkStart w:id="5" w:name="_Ref396758789"/>
      <w:bookmarkStart w:id="6" w:name="_Ref396759301"/>
      <w:bookmarkStart w:id="7" w:name="_Ref396760154"/>
      <w:bookmarkStart w:id="8" w:name="_Toc399410380"/>
      <w:r w:rsidRPr="00F71B40">
        <w:rPr>
          <w:lang w:val="en-AU"/>
        </w:rPr>
        <w:t xml:space="preserve">The </w:t>
      </w:r>
      <w:r w:rsidR="00991063" w:rsidRPr="00F71B40">
        <w:rPr>
          <w:lang w:val="en-AU"/>
        </w:rPr>
        <w:t>starting point for</w:t>
      </w:r>
      <w:r w:rsidRPr="00F71B40">
        <w:rPr>
          <w:lang w:val="en-AU"/>
        </w:rPr>
        <w:t xml:space="preserve"> SIGOV</w:t>
      </w:r>
      <w:bookmarkEnd w:id="2"/>
      <w:bookmarkEnd w:id="3"/>
      <w:bookmarkEnd w:id="4"/>
      <w:bookmarkEnd w:id="5"/>
      <w:bookmarkEnd w:id="6"/>
      <w:bookmarkEnd w:id="7"/>
      <w:bookmarkEnd w:id="8"/>
    </w:p>
    <w:p w:rsidR="00677EBB" w:rsidRPr="00F71B40" w:rsidRDefault="00677EBB" w:rsidP="00D62A32">
      <w:pPr>
        <w:ind w:left="360"/>
        <w:rPr>
          <w:b/>
          <w:lang w:val="en-AU"/>
        </w:rPr>
      </w:pPr>
    </w:p>
    <w:p w:rsidR="00D20B23" w:rsidRPr="00F71B40" w:rsidRDefault="00D20B23" w:rsidP="00D62A32">
      <w:pPr>
        <w:rPr>
          <w:lang w:val="en-AU"/>
        </w:rPr>
      </w:pPr>
      <w:r w:rsidRPr="00F71B40">
        <w:rPr>
          <w:lang w:val="en-AU"/>
        </w:rPr>
        <w:t xml:space="preserve">This section </w:t>
      </w:r>
      <w:r w:rsidR="00382A95" w:rsidRPr="00F71B40">
        <w:rPr>
          <w:lang w:val="en-AU"/>
        </w:rPr>
        <w:t xml:space="preserve">summarizes the long and complex history of Australian support for the public sector in Solomon Islands.  </w:t>
      </w:r>
      <w:r w:rsidR="00B05BFB" w:rsidRPr="00F71B40">
        <w:rPr>
          <w:lang w:val="en-AU"/>
        </w:rPr>
        <w:t>It concludes that this</w:t>
      </w:r>
      <w:r w:rsidR="00AF3E41" w:rsidRPr="00F71B40">
        <w:rPr>
          <w:lang w:val="en-AU"/>
        </w:rPr>
        <w:t xml:space="preserve"> suppor</w:t>
      </w:r>
      <w:r w:rsidR="00382A95" w:rsidRPr="00F71B40">
        <w:rPr>
          <w:lang w:val="en-AU"/>
        </w:rPr>
        <w:t xml:space="preserve">t has resulted in some very real gains, but also shows some persistent limitations. It is important to assert at the outset that the discussion of the limitations is not a criticism of RAMSI.  Given the complexities and the urgency of the issues at stake, even with the advantage of hindsight it is not clear what else could have been done.  Above all, the peace and macroeconomic stability shielded the poor from the damaging effects of inflation and social disruption.  The </w:t>
      </w:r>
      <w:r w:rsidR="00B05BFB" w:rsidRPr="00F71B40">
        <w:rPr>
          <w:lang w:val="en-AU"/>
        </w:rPr>
        <w:t xml:space="preserve">section notes that the </w:t>
      </w:r>
      <w:r w:rsidR="00382A95" w:rsidRPr="00F71B40">
        <w:rPr>
          <w:lang w:val="en-AU"/>
        </w:rPr>
        <w:t xml:space="preserve">limitations </w:t>
      </w:r>
      <w:r w:rsidR="00B05BFB" w:rsidRPr="00F71B40">
        <w:rPr>
          <w:lang w:val="en-AU"/>
        </w:rPr>
        <w:t xml:space="preserve">in achieving effective public sector reforms in Solomon Islands </w:t>
      </w:r>
      <w:r w:rsidR="00382A95" w:rsidRPr="00F71B40">
        <w:rPr>
          <w:lang w:val="en-AU"/>
        </w:rPr>
        <w:t xml:space="preserve">are exactly consistent with those that we see elsewhere.  </w:t>
      </w:r>
    </w:p>
    <w:p w:rsidR="00382A95" w:rsidRPr="00F71B40" w:rsidRDefault="00382A95" w:rsidP="00D62A32">
      <w:pPr>
        <w:rPr>
          <w:b/>
          <w:lang w:val="en-AU"/>
        </w:rPr>
      </w:pPr>
    </w:p>
    <w:p w:rsidR="00677EBB" w:rsidRPr="00F71B40" w:rsidRDefault="00D20B23" w:rsidP="004D15F8">
      <w:pPr>
        <w:pStyle w:val="Heading2"/>
        <w:numPr>
          <w:ilvl w:val="0"/>
          <w:numId w:val="12"/>
        </w:numPr>
        <w:rPr>
          <w:lang w:val="en-AU"/>
        </w:rPr>
      </w:pPr>
      <w:bookmarkStart w:id="9" w:name="_Toc399410381"/>
      <w:r w:rsidRPr="00F71B40">
        <w:rPr>
          <w:lang w:val="en-AU"/>
        </w:rPr>
        <w:t>The chronology</w:t>
      </w:r>
      <w:r w:rsidR="00677EBB" w:rsidRPr="00F71B40">
        <w:rPr>
          <w:lang w:val="en-AU"/>
        </w:rPr>
        <w:t xml:space="preserve"> </w:t>
      </w:r>
      <w:r w:rsidR="00540957" w:rsidRPr="00F71B40">
        <w:rPr>
          <w:lang w:val="en-AU"/>
        </w:rPr>
        <w:t>of Australian assistance</w:t>
      </w:r>
      <w:bookmarkEnd w:id="9"/>
    </w:p>
    <w:p w:rsidR="00CF3A88" w:rsidRPr="00F71B40" w:rsidRDefault="00CF3A88" w:rsidP="00D62A32">
      <w:pPr>
        <w:rPr>
          <w:rFonts w:cs="Times New Roman"/>
          <w:i/>
          <w:lang w:val="en-AU"/>
        </w:rPr>
      </w:pPr>
    </w:p>
    <w:p w:rsidR="00861640" w:rsidRPr="00F71B40" w:rsidRDefault="00425C55" w:rsidP="00D62A32">
      <w:pPr>
        <w:autoSpaceDE w:val="0"/>
        <w:autoSpaceDN w:val="0"/>
        <w:adjustRightInd w:val="0"/>
        <w:rPr>
          <w:lang w:val="en-AU"/>
        </w:rPr>
      </w:pPr>
      <w:r w:rsidRPr="00F71B40">
        <w:rPr>
          <w:rFonts w:cs="Times New Roman"/>
          <w:lang w:val="en-AU"/>
        </w:rPr>
        <w:t>The Solomon Islands Economic and Public Sector Governance Program (SIGOV) was launched on July 1, 2013</w:t>
      </w:r>
      <w:r w:rsidR="00CC4AD7" w:rsidRPr="00F71B40">
        <w:rPr>
          <w:rFonts w:cs="Times New Roman"/>
          <w:lang w:val="en-AU"/>
        </w:rPr>
        <w:t xml:space="preserve"> to coincide with the ending of the 10 year Regional Assistance Mission to Solomon Islands (RAMSI).</w:t>
      </w:r>
      <w:r w:rsidRPr="00F71B40">
        <w:rPr>
          <w:rFonts w:cs="Times New Roman"/>
          <w:lang w:val="en-AU"/>
        </w:rPr>
        <w:t xml:space="preserve">  </w:t>
      </w:r>
      <w:r w:rsidR="00861640" w:rsidRPr="00F71B40">
        <w:rPr>
          <w:lang w:val="en-AU"/>
        </w:rPr>
        <w:t xml:space="preserve">The SIGOV program is part of a broader Australian Aid program focused on a stable and secure Solomon Islands built on improved prosperity and human development.  </w:t>
      </w:r>
    </w:p>
    <w:p w:rsidR="00861640" w:rsidRPr="00F71B40" w:rsidRDefault="00861640" w:rsidP="00D62A32">
      <w:pPr>
        <w:autoSpaceDE w:val="0"/>
        <w:autoSpaceDN w:val="0"/>
        <w:adjustRightInd w:val="0"/>
        <w:rPr>
          <w:lang w:val="en-AU"/>
        </w:rPr>
      </w:pPr>
    </w:p>
    <w:p w:rsidR="007D4C09" w:rsidRPr="00F71B40" w:rsidRDefault="00FC13D1" w:rsidP="00D62A32">
      <w:pPr>
        <w:autoSpaceDE w:val="0"/>
        <w:autoSpaceDN w:val="0"/>
        <w:adjustRightInd w:val="0"/>
        <w:rPr>
          <w:lang w:val="en-AU"/>
        </w:rPr>
      </w:pPr>
      <w:r w:rsidRPr="00F71B40">
        <w:rPr>
          <w:lang w:val="en-AU"/>
        </w:rPr>
        <w:lastRenderedPageBreak/>
        <w:t xml:space="preserve">As </w:t>
      </w:r>
      <w:r w:rsidRPr="00F71B40">
        <w:rPr>
          <w:rFonts w:cs="Times New Roman"/>
          <w:lang w:val="en-AU"/>
        </w:rPr>
        <w:fldChar w:fldCharType="begin"/>
      </w:r>
      <w:r w:rsidRPr="00F71B40">
        <w:rPr>
          <w:rFonts w:cs="Times New Roman"/>
          <w:lang w:val="en-AU"/>
        </w:rPr>
        <w:instrText xml:space="preserve"> REF _Ref396587843 \h  \* MERGEFORMAT </w:instrText>
      </w:r>
      <w:r w:rsidRPr="00F71B40">
        <w:rPr>
          <w:rFonts w:cs="Times New Roman"/>
          <w:lang w:val="en-AU"/>
        </w:rPr>
      </w:r>
      <w:r w:rsidRPr="00F71B40">
        <w:rPr>
          <w:rFonts w:cs="Times New Roman"/>
          <w:lang w:val="en-AU"/>
        </w:rPr>
        <w:fldChar w:fldCharType="separate"/>
      </w:r>
      <w:r w:rsidR="00EF43BE" w:rsidRPr="0098305E">
        <w:rPr>
          <w:rFonts w:cs="Times New Roman"/>
          <w:lang w:val="en-AU"/>
        </w:rPr>
        <w:t xml:space="preserve">Table </w:t>
      </w:r>
      <w:r w:rsidR="00EF43BE" w:rsidRPr="006A70A3">
        <w:rPr>
          <w:rFonts w:cs="Times New Roman"/>
          <w:lang w:val="en-AU"/>
        </w:rPr>
        <w:t>1</w:t>
      </w:r>
      <w:r w:rsidRPr="00F71B40">
        <w:rPr>
          <w:rFonts w:cs="Times New Roman"/>
          <w:lang w:val="en-AU"/>
        </w:rPr>
        <w:fldChar w:fldCharType="end"/>
      </w:r>
      <w:r w:rsidRPr="00F71B40">
        <w:rPr>
          <w:rFonts w:cs="Times New Roman"/>
          <w:lang w:val="en-AU"/>
        </w:rPr>
        <w:t xml:space="preserve"> shows, </w:t>
      </w:r>
      <w:r w:rsidRPr="00F71B40">
        <w:rPr>
          <w:lang w:val="en-AU"/>
        </w:rPr>
        <w:t xml:space="preserve">RAMSI </w:t>
      </w:r>
      <w:r w:rsidR="001013FA" w:rsidRPr="00F71B40">
        <w:rPr>
          <w:lang w:val="en-AU"/>
        </w:rPr>
        <w:t>provided support through</w:t>
      </w:r>
      <w:r w:rsidR="001D0FB9" w:rsidRPr="00F71B40">
        <w:rPr>
          <w:lang w:val="en-AU"/>
        </w:rPr>
        <w:t>:</w:t>
      </w:r>
      <w:r w:rsidR="001013FA" w:rsidRPr="00F71B40">
        <w:rPr>
          <w:lang w:val="en-AU"/>
        </w:rPr>
        <w:t xml:space="preserve"> the </w:t>
      </w:r>
      <w:r w:rsidR="00E30B7E" w:rsidRPr="00F71B40">
        <w:rPr>
          <w:lang w:val="en-AU"/>
        </w:rPr>
        <w:t xml:space="preserve">Office of the Special Coordinator created for overall policy coordination and liaison </w:t>
      </w:r>
      <w:r w:rsidR="001D0FB9" w:rsidRPr="00F71B40">
        <w:rPr>
          <w:lang w:val="en-AU"/>
        </w:rPr>
        <w:t>with Solomon Islands Government;</w:t>
      </w:r>
      <w:r w:rsidR="00E30B7E" w:rsidRPr="00F71B40">
        <w:rPr>
          <w:lang w:val="en-AU"/>
        </w:rPr>
        <w:t xml:space="preserve"> the Pacific Islands Forum and the contributing Pacific countries</w:t>
      </w:r>
      <w:r w:rsidR="001D0FB9" w:rsidRPr="00F71B40">
        <w:rPr>
          <w:lang w:val="en-AU"/>
        </w:rPr>
        <w:t>;</w:t>
      </w:r>
      <w:r w:rsidR="001013FA" w:rsidRPr="00F71B40">
        <w:rPr>
          <w:lang w:val="en-AU"/>
        </w:rPr>
        <w:t xml:space="preserve"> the Participating Police Force (PPF) </w:t>
      </w:r>
      <w:r w:rsidR="00E30B7E" w:rsidRPr="00F71B40">
        <w:rPr>
          <w:lang w:val="en-AU"/>
        </w:rPr>
        <w:t>to restore law and order</w:t>
      </w:r>
      <w:r w:rsidR="001D0FB9" w:rsidRPr="00F71B40">
        <w:rPr>
          <w:lang w:val="en-AU"/>
        </w:rPr>
        <w:t>;</w:t>
      </w:r>
      <w:r w:rsidR="001013FA" w:rsidRPr="00F71B40">
        <w:rPr>
          <w:lang w:val="en-AU"/>
        </w:rPr>
        <w:t xml:space="preserve"> the </w:t>
      </w:r>
      <w:r w:rsidR="00E30B7E" w:rsidRPr="00F71B40">
        <w:rPr>
          <w:lang w:val="en-AU"/>
        </w:rPr>
        <w:t>Combined Task Force to provide protection for the PPF and other parts of the Mission</w:t>
      </w:r>
      <w:r w:rsidR="001D0FB9" w:rsidRPr="00F71B40">
        <w:rPr>
          <w:lang w:val="en-AU"/>
        </w:rPr>
        <w:t xml:space="preserve"> and the civilian development programs encompassing the L</w:t>
      </w:r>
      <w:r w:rsidR="00E30B7E" w:rsidRPr="00F71B40">
        <w:rPr>
          <w:lang w:val="en-AU"/>
        </w:rPr>
        <w:t>aw and Justice</w:t>
      </w:r>
      <w:r w:rsidR="000B7416" w:rsidRPr="00F71B40">
        <w:rPr>
          <w:lang w:val="en-AU"/>
        </w:rPr>
        <w:t xml:space="preserve">, </w:t>
      </w:r>
      <w:r w:rsidR="00E30B7E" w:rsidRPr="00F71B40">
        <w:rPr>
          <w:lang w:val="en-AU"/>
        </w:rPr>
        <w:t xml:space="preserve">Machinery of Government </w:t>
      </w:r>
      <w:r w:rsidR="000B7416" w:rsidRPr="00F71B40">
        <w:rPr>
          <w:lang w:val="en-AU"/>
        </w:rPr>
        <w:t xml:space="preserve">and </w:t>
      </w:r>
      <w:r w:rsidR="00E30B7E" w:rsidRPr="00F71B40">
        <w:rPr>
          <w:lang w:val="en-AU"/>
        </w:rPr>
        <w:t>Financial and Economic Management Support program</w:t>
      </w:r>
      <w:r w:rsidR="000B7416" w:rsidRPr="00F71B40">
        <w:rPr>
          <w:lang w:val="en-AU"/>
        </w:rPr>
        <w:t xml:space="preserve">s. </w:t>
      </w:r>
      <w:r w:rsidR="007B4972" w:rsidRPr="00F71B40">
        <w:rPr>
          <w:lang w:val="en-AU"/>
        </w:rPr>
        <w:t>The Machinery of Government program included</w:t>
      </w:r>
      <w:r w:rsidR="007D4C09" w:rsidRPr="00F71B40">
        <w:rPr>
          <w:lang w:val="en-AU"/>
        </w:rPr>
        <w:t xml:space="preserve"> components on </w:t>
      </w:r>
      <w:r w:rsidR="007B4972" w:rsidRPr="00F71B40">
        <w:rPr>
          <w:lang w:val="en-AU"/>
        </w:rPr>
        <w:t>Accountability</w:t>
      </w:r>
      <w:r w:rsidR="007D4C09" w:rsidRPr="00F71B40">
        <w:rPr>
          <w:lang w:val="en-AU"/>
        </w:rPr>
        <w:t xml:space="preserve">, </w:t>
      </w:r>
      <w:r w:rsidR="007B4972" w:rsidRPr="00F71B40">
        <w:rPr>
          <w:lang w:val="en-AU"/>
        </w:rPr>
        <w:t>Public Service Improvement</w:t>
      </w:r>
      <w:r w:rsidR="007D4C09" w:rsidRPr="00F71B40">
        <w:rPr>
          <w:lang w:val="en-AU"/>
        </w:rPr>
        <w:t xml:space="preserve"> and </w:t>
      </w:r>
      <w:r w:rsidR="007B4972" w:rsidRPr="00F71B40">
        <w:rPr>
          <w:lang w:val="en-AU"/>
        </w:rPr>
        <w:t>Women in Government</w:t>
      </w:r>
      <w:r w:rsidR="007D4C09" w:rsidRPr="00F71B40">
        <w:rPr>
          <w:lang w:val="en-AU"/>
        </w:rPr>
        <w:t>.  In parallel, i</w:t>
      </w:r>
      <w:r w:rsidR="00E30B7E" w:rsidRPr="00F71B40">
        <w:rPr>
          <w:lang w:val="en-AU"/>
        </w:rPr>
        <w:t xml:space="preserve">nfrastructure </w:t>
      </w:r>
      <w:r w:rsidR="007D4C09" w:rsidRPr="00F71B40">
        <w:rPr>
          <w:lang w:val="en-AU"/>
        </w:rPr>
        <w:t xml:space="preserve">was </w:t>
      </w:r>
      <w:r w:rsidR="00E30B7E" w:rsidRPr="00F71B40">
        <w:rPr>
          <w:lang w:val="en-AU"/>
        </w:rPr>
        <w:t>support</w:t>
      </w:r>
      <w:r w:rsidR="007D4C09" w:rsidRPr="00F71B40">
        <w:rPr>
          <w:lang w:val="en-AU"/>
        </w:rPr>
        <w:t>ed</w:t>
      </w:r>
      <w:r w:rsidR="00E30B7E" w:rsidRPr="00F71B40">
        <w:rPr>
          <w:lang w:val="en-AU"/>
        </w:rPr>
        <w:t xml:space="preserve"> through budget support and incorporated within other </w:t>
      </w:r>
      <w:r w:rsidR="007D4C09" w:rsidRPr="00F71B40">
        <w:rPr>
          <w:lang w:val="en-AU"/>
        </w:rPr>
        <w:t xml:space="preserve">sector </w:t>
      </w:r>
      <w:r w:rsidR="00E30B7E" w:rsidRPr="00F71B40">
        <w:rPr>
          <w:lang w:val="en-AU"/>
        </w:rPr>
        <w:t>program areas</w:t>
      </w:r>
      <w:r w:rsidR="007D4C09" w:rsidRPr="00F71B40">
        <w:rPr>
          <w:lang w:val="en-AU"/>
        </w:rPr>
        <w:t>.</w:t>
      </w:r>
    </w:p>
    <w:p w:rsidR="007D4C09" w:rsidRPr="00F71B40" w:rsidRDefault="007D4C09" w:rsidP="00D62A32">
      <w:pPr>
        <w:autoSpaceDE w:val="0"/>
        <w:autoSpaceDN w:val="0"/>
        <w:adjustRightInd w:val="0"/>
        <w:rPr>
          <w:lang w:val="en-AU"/>
        </w:rPr>
      </w:pPr>
    </w:p>
    <w:p w:rsidR="003E43BF" w:rsidRPr="00F71B40" w:rsidRDefault="007D4C09" w:rsidP="00D62A32">
      <w:pPr>
        <w:autoSpaceDE w:val="0"/>
        <w:autoSpaceDN w:val="0"/>
        <w:adjustRightInd w:val="0"/>
        <w:rPr>
          <w:rFonts w:cs="Times New Roman"/>
          <w:lang w:val="en-AU"/>
        </w:rPr>
      </w:pPr>
      <w:r w:rsidRPr="00F71B40">
        <w:rPr>
          <w:lang w:val="en-AU"/>
        </w:rPr>
        <w:t>From July 2013 RAMSI became solely a policing mission, working in</w:t>
      </w:r>
      <w:r w:rsidR="004A353B" w:rsidRPr="00F71B40">
        <w:rPr>
          <w:lang w:val="en-AU"/>
        </w:rPr>
        <w:t xml:space="preserve"> partnership with the Royal S</w:t>
      </w:r>
      <w:r w:rsidR="00361D8F">
        <w:rPr>
          <w:lang w:val="en-AU"/>
        </w:rPr>
        <w:t>olomon Island</w:t>
      </w:r>
      <w:r w:rsidR="004A353B" w:rsidRPr="00F71B40">
        <w:rPr>
          <w:lang w:val="en-AU"/>
        </w:rPr>
        <w:t xml:space="preserve"> </w:t>
      </w:r>
      <w:r w:rsidRPr="00F71B40">
        <w:rPr>
          <w:lang w:val="en-AU"/>
        </w:rPr>
        <w:t>Police Force</w:t>
      </w:r>
      <w:r w:rsidR="004A353B" w:rsidRPr="00F71B40">
        <w:rPr>
          <w:lang w:val="en-AU"/>
        </w:rPr>
        <w:t>.</w:t>
      </w:r>
    </w:p>
    <w:p w:rsidR="00AB7629" w:rsidRPr="00F71B40" w:rsidRDefault="00AB7629" w:rsidP="00BA706F">
      <w:pPr>
        <w:pStyle w:val="Caption"/>
        <w:rPr>
          <w:lang w:val="en-AU"/>
        </w:rPr>
        <w:sectPr w:rsidR="00AB7629" w:rsidRPr="00F71B40" w:rsidSect="00644B94">
          <w:endnotePr>
            <w:numFmt w:val="decimal"/>
          </w:endnotePr>
          <w:pgSz w:w="12240" w:h="15840"/>
          <w:pgMar w:top="1440" w:right="1440" w:bottom="1440" w:left="1440" w:header="720" w:footer="720" w:gutter="0"/>
          <w:pgNumType w:start="1"/>
          <w:cols w:space="720"/>
          <w:docGrid w:linePitch="360"/>
        </w:sectPr>
      </w:pPr>
      <w:bookmarkStart w:id="10" w:name="_Ref396136049"/>
    </w:p>
    <w:p w:rsidR="003E43BF" w:rsidRPr="00F71B40" w:rsidRDefault="00187D1A" w:rsidP="00BA706F">
      <w:pPr>
        <w:pStyle w:val="Caption"/>
        <w:rPr>
          <w:lang w:val="en-AU"/>
        </w:rPr>
      </w:pPr>
      <w:bookmarkStart w:id="11" w:name="_Ref396587843"/>
      <w:bookmarkStart w:id="12" w:name="_Toc401761841"/>
      <w:r w:rsidRPr="00F71B40">
        <w:rPr>
          <w:lang w:val="en-AU"/>
        </w:rPr>
        <w:lastRenderedPageBreak/>
        <w:t xml:space="preserve">Table </w:t>
      </w:r>
      <w:r w:rsidR="00991063" w:rsidRPr="00F71B40">
        <w:rPr>
          <w:lang w:val="en-AU"/>
        </w:rPr>
        <w:fldChar w:fldCharType="begin"/>
      </w:r>
      <w:r w:rsidR="00991063" w:rsidRPr="00F71B40">
        <w:rPr>
          <w:lang w:val="en-AU"/>
        </w:rPr>
        <w:instrText xml:space="preserve"> SEQ Table \* ARABIC </w:instrText>
      </w:r>
      <w:r w:rsidR="00991063" w:rsidRPr="00F71B40">
        <w:rPr>
          <w:lang w:val="en-AU"/>
        </w:rPr>
        <w:fldChar w:fldCharType="separate"/>
      </w:r>
      <w:r w:rsidR="00EF43BE">
        <w:rPr>
          <w:noProof/>
          <w:lang w:val="en-AU"/>
        </w:rPr>
        <w:t>1</w:t>
      </w:r>
      <w:r w:rsidR="00991063" w:rsidRPr="00F71B40">
        <w:rPr>
          <w:lang w:val="en-AU"/>
        </w:rPr>
        <w:fldChar w:fldCharType="end"/>
      </w:r>
      <w:bookmarkEnd w:id="10"/>
      <w:bookmarkEnd w:id="11"/>
      <w:r w:rsidRPr="00F71B40">
        <w:rPr>
          <w:lang w:val="en-AU"/>
        </w:rPr>
        <w:t xml:space="preserve">: Evolution of </w:t>
      </w:r>
      <w:r w:rsidR="00BF6EAC" w:rsidRPr="00F71B40">
        <w:rPr>
          <w:lang w:val="en-AU"/>
        </w:rPr>
        <w:t xml:space="preserve">directly-managed </w:t>
      </w:r>
      <w:r w:rsidRPr="00F71B40">
        <w:rPr>
          <w:lang w:val="en-AU"/>
        </w:rPr>
        <w:t xml:space="preserve">DFAT </w:t>
      </w:r>
      <w:r w:rsidR="005D0DBB" w:rsidRPr="00F71B40">
        <w:rPr>
          <w:lang w:val="en-AU"/>
        </w:rPr>
        <w:t>(</w:t>
      </w:r>
      <w:r w:rsidR="00F663F7" w:rsidRPr="00F71B40">
        <w:rPr>
          <w:lang w:val="en-AU"/>
        </w:rPr>
        <w:t xml:space="preserve">formerly </w:t>
      </w:r>
      <w:r w:rsidR="005D0DBB" w:rsidRPr="00F71B40">
        <w:rPr>
          <w:lang w:val="en-AU"/>
        </w:rPr>
        <w:t xml:space="preserve">AusAID) </w:t>
      </w:r>
      <w:r w:rsidRPr="00F71B40">
        <w:rPr>
          <w:lang w:val="en-AU"/>
        </w:rPr>
        <w:t>programs</w:t>
      </w:r>
      <w:bookmarkEnd w:id="12"/>
    </w:p>
    <w:p w:rsidR="006028E7" w:rsidRPr="00F71B40" w:rsidRDefault="006028E7" w:rsidP="00D62A32">
      <w:pPr>
        <w:rPr>
          <w:lang w:val="en-AU"/>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67"/>
        <w:gridCol w:w="271"/>
        <w:gridCol w:w="3007"/>
        <w:gridCol w:w="232"/>
        <w:gridCol w:w="992"/>
        <w:gridCol w:w="1169"/>
        <w:gridCol w:w="154"/>
        <w:gridCol w:w="2078"/>
        <w:gridCol w:w="206"/>
        <w:gridCol w:w="919"/>
        <w:gridCol w:w="2523"/>
      </w:tblGrid>
      <w:tr w:rsidR="00113D0F" w:rsidRPr="00F71B40" w:rsidTr="003D7D17">
        <w:tc>
          <w:tcPr>
            <w:tcW w:w="563" w:type="pct"/>
            <w:tcMar>
              <w:left w:w="29" w:type="dxa"/>
              <w:right w:w="29" w:type="dxa"/>
            </w:tcMar>
          </w:tcPr>
          <w:p w:rsidR="00113D0F" w:rsidRPr="00F71B40" w:rsidRDefault="00541119" w:rsidP="00D62A32">
            <w:pPr>
              <w:autoSpaceDE w:val="0"/>
              <w:autoSpaceDN w:val="0"/>
              <w:adjustRightInd w:val="0"/>
              <w:rPr>
                <w:rFonts w:cs="Times New Roman"/>
                <w:sz w:val="18"/>
                <w:szCs w:val="18"/>
                <w:lang w:val="en-AU"/>
              </w:rPr>
            </w:pPr>
            <w:r w:rsidRPr="00F71B40">
              <w:rPr>
                <w:rFonts w:cs="Times New Roman"/>
                <w:sz w:val="18"/>
                <w:szCs w:val="18"/>
                <w:lang w:val="en-AU"/>
              </w:rPr>
              <w:t>Period and information sources</w:t>
            </w:r>
          </w:p>
        </w:tc>
        <w:tc>
          <w:tcPr>
            <w:tcW w:w="104" w:type="pct"/>
            <w:vMerge w:val="restart"/>
            <w:shd w:val="clear" w:color="auto" w:fill="auto"/>
          </w:tcPr>
          <w:p w:rsidR="00113D0F" w:rsidRPr="00F71B40" w:rsidRDefault="00113D0F" w:rsidP="00D62A32">
            <w:pPr>
              <w:autoSpaceDE w:val="0"/>
              <w:autoSpaceDN w:val="0"/>
              <w:adjustRightInd w:val="0"/>
              <w:rPr>
                <w:rFonts w:cs="Times New Roman"/>
                <w:b/>
                <w:sz w:val="18"/>
                <w:szCs w:val="18"/>
                <w:lang w:val="en-AU"/>
              </w:rPr>
            </w:pPr>
          </w:p>
        </w:tc>
        <w:tc>
          <w:tcPr>
            <w:tcW w:w="1155" w:type="pct"/>
            <w:shd w:val="clear" w:color="auto" w:fill="EEECE1" w:themeFill="background2"/>
            <w:tcMar>
              <w:left w:w="29" w:type="dxa"/>
              <w:right w:w="29" w:type="dxa"/>
            </w:tcMar>
          </w:tcPr>
          <w:p w:rsidR="00113D0F" w:rsidRPr="00F71B40" w:rsidRDefault="00113D0F" w:rsidP="00D62A32">
            <w:pPr>
              <w:autoSpaceDE w:val="0"/>
              <w:autoSpaceDN w:val="0"/>
              <w:adjustRightInd w:val="0"/>
              <w:rPr>
                <w:rFonts w:cs="Times New Roman"/>
                <w:b/>
                <w:sz w:val="18"/>
                <w:szCs w:val="18"/>
                <w:lang w:val="en-AU"/>
              </w:rPr>
            </w:pPr>
            <w:r w:rsidRPr="00F71B40">
              <w:rPr>
                <w:rFonts w:cs="Times New Roman"/>
                <w:b/>
                <w:sz w:val="18"/>
                <w:szCs w:val="18"/>
                <w:lang w:val="en-AU"/>
              </w:rPr>
              <w:t>Pre-RAMSI (2002-3)</w:t>
            </w:r>
          </w:p>
          <w:p w:rsidR="00113D0F" w:rsidRPr="00F71B40" w:rsidRDefault="00115AC9" w:rsidP="00D62A32">
            <w:pPr>
              <w:autoSpaceDE w:val="0"/>
              <w:autoSpaceDN w:val="0"/>
              <w:adjustRightInd w:val="0"/>
              <w:rPr>
                <w:rFonts w:cs="Times New Roman"/>
                <w:sz w:val="18"/>
                <w:szCs w:val="18"/>
                <w:lang w:val="en-AU"/>
              </w:rPr>
            </w:pPr>
            <w:r w:rsidRPr="00F71B40">
              <w:rPr>
                <w:rFonts w:cs="Times New Roman"/>
                <w:sz w:val="18"/>
                <w:szCs w:val="18"/>
                <w:lang w:val="en-AU"/>
              </w:rPr>
              <w:fldChar w:fldCharType="begin"/>
            </w:r>
            <w:r w:rsidRPr="00F71B40">
              <w:rPr>
                <w:rFonts w:cs="Times New Roman"/>
                <w:sz w:val="18"/>
                <w:szCs w:val="18"/>
                <w:lang w:val="en-AU"/>
              </w:rPr>
              <w:instrText xml:space="preserve"> ADDIN EN.CITE &lt;EndNote&gt;&lt;Cite&gt;&lt;Author&gt;OECD&lt;/Author&gt;&lt;Year&gt;2003&lt;/Year&gt;&lt;RecNum&gt;4314&lt;/RecNum&gt;&lt;DisplayText&gt;(OECD, 2003)&lt;/DisplayText&gt;&lt;record&gt;&lt;rec-number&gt;4314&lt;/rec-number&gt;&lt;foreign-keys&gt;&lt;key app="EN" db-id="5v9z5rrdszvwsneef06v9dapsd0apdtfapdx" timestamp="1408721648"&gt;4314&lt;/key&gt;&lt;/foreign-keys&gt;&lt;ref-type name="Book"&gt;6&lt;/ref-type&gt;&lt;contributors&gt;&lt;authors&gt;&lt;author&gt;OECD&lt;/author&gt;&lt;/authors&gt;&lt;/contributors&gt;&lt;titles&gt;&lt;title&gt;Aid Activities in Europe and Oceania 2001-2&lt;/title&gt;&lt;/titles&gt;&lt;dates&gt;&lt;year&gt;2003&lt;/year&gt;&lt;/dates&gt;&lt;pub-location&gt;Paris&lt;/pub-location&gt;&lt;publisher&gt;OECD DAC&lt;/publisher&gt;&lt;urls&gt;&lt;/urls&gt;&lt;/record&gt;&lt;/Cite&gt;&lt;/EndNote&gt;</w:instrText>
            </w:r>
            <w:r w:rsidRPr="00F71B40">
              <w:rPr>
                <w:rFonts w:cs="Times New Roman"/>
                <w:sz w:val="18"/>
                <w:szCs w:val="18"/>
                <w:lang w:val="en-AU"/>
              </w:rPr>
              <w:fldChar w:fldCharType="separate"/>
            </w:r>
            <w:r w:rsidRPr="00F71B40">
              <w:rPr>
                <w:rFonts w:cs="Times New Roman"/>
                <w:sz w:val="18"/>
                <w:szCs w:val="18"/>
                <w:lang w:val="en-AU"/>
              </w:rPr>
              <w:t>(</w:t>
            </w:r>
            <w:hyperlink w:anchor="_ENREF_113" w:tooltip="OECD, 2003 #4314" w:history="1">
              <w:r w:rsidR="00CC56DB" w:rsidRPr="00F71B40">
                <w:rPr>
                  <w:rFonts w:cs="Times New Roman"/>
                  <w:sz w:val="18"/>
                  <w:szCs w:val="18"/>
                  <w:lang w:val="en-AU"/>
                </w:rPr>
                <w:t>OECD, 2003</w:t>
              </w:r>
            </w:hyperlink>
            <w:r w:rsidRPr="00F71B40">
              <w:rPr>
                <w:rFonts w:cs="Times New Roman"/>
                <w:sz w:val="18"/>
                <w:szCs w:val="18"/>
                <w:lang w:val="en-AU"/>
              </w:rPr>
              <w:t>)</w:t>
            </w:r>
            <w:r w:rsidRPr="00F71B40">
              <w:rPr>
                <w:rFonts w:cs="Times New Roman"/>
                <w:sz w:val="18"/>
                <w:szCs w:val="18"/>
                <w:lang w:val="en-AU"/>
              </w:rPr>
              <w:fldChar w:fldCharType="end"/>
            </w:r>
            <w:r w:rsidR="00541119" w:rsidRPr="00F71B40">
              <w:rPr>
                <w:rFonts w:cs="Times New Roman"/>
                <w:sz w:val="18"/>
                <w:szCs w:val="18"/>
                <w:lang w:val="en-AU"/>
              </w:rPr>
              <w:t xml:space="preserve"> </w:t>
            </w:r>
            <w:r w:rsidR="00113D0F" w:rsidRPr="00F71B40">
              <w:rPr>
                <w:rFonts w:cs="Times New Roman"/>
                <w:sz w:val="18"/>
                <w:szCs w:val="18"/>
                <w:lang w:val="en-AU"/>
              </w:rPr>
              <w:t xml:space="preserve">(all projects less than US$1m commitment unless specified) </w:t>
            </w:r>
          </w:p>
          <w:p w:rsidR="00113D0F" w:rsidRPr="00F71B40" w:rsidRDefault="00113D0F" w:rsidP="00D62A32">
            <w:pPr>
              <w:autoSpaceDE w:val="0"/>
              <w:autoSpaceDN w:val="0"/>
              <w:adjustRightInd w:val="0"/>
              <w:rPr>
                <w:rFonts w:cs="Times New Roman"/>
                <w:b/>
                <w:sz w:val="18"/>
                <w:szCs w:val="18"/>
                <w:lang w:val="en-AU"/>
              </w:rPr>
            </w:pPr>
          </w:p>
        </w:tc>
        <w:tc>
          <w:tcPr>
            <w:tcW w:w="89" w:type="pct"/>
            <w:vMerge w:val="restart"/>
            <w:tcMar>
              <w:left w:w="29" w:type="dxa"/>
              <w:right w:w="29" w:type="dxa"/>
            </w:tcMar>
          </w:tcPr>
          <w:p w:rsidR="00113D0F" w:rsidRPr="00F71B40" w:rsidRDefault="00113D0F" w:rsidP="00D62A32">
            <w:pPr>
              <w:autoSpaceDE w:val="0"/>
              <w:autoSpaceDN w:val="0"/>
              <w:adjustRightInd w:val="0"/>
              <w:rPr>
                <w:rFonts w:cs="Times New Roman"/>
                <w:b/>
                <w:sz w:val="18"/>
                <w:szCs w:val="18"/>
                <w:lang w:val="en-AU"/>
              </w:rPr>
            </w:pPr>
          </w:p>
        </w:tc>
        <w:tc>
          <w:tcPr>
            <w:tcW w:w="1687" w:type="pct"/>
            <w:gridSpan w:val="4"/>
            <w:shd w:val="clear" w:color="auto" w:fill="EEECE1" w:themeFill="background2"/>
            <w:tcMar>
              <w:left w:w="29" w:type="dxa"/>
              <w:right w:w="29" w:type="dxa"/>
            </w:tcMar>
          </w:tcPr>
          <w:p w:rsidR="00113D0F" w:rsidRPr="00F71B40" w:rsidRDefault="00113D0F" w:rsidP="00D62A32">
            <w:pPr>
              <w:autoSpaceDE w:val="0"/>
              <w:autoSpaceDN w:val="0"/>
              <w:adjustRightInd w:val="0"/>
              <w:rPr>
                <w:rFonts w:cs="Times New Roman"/>
                <w:sz w:val="18"/>
                <w:szCs w:val="18"/>
                <w:lang w:val="en-AU"/>
              </w:rPr>
            </w:pPr>
            <w:r w:rsidRPr="00F71B40">
              <w:rPr>
                <w:rFonts w:cs="Times New Roman"/>
                <w:b/>
                <w:sz w:val="18"/>
                <w:szCs w:val="18"/>
                <w:shd w:val="clear" w:color="auto" w:fill="BFBFBF" w:themeFill="background1" w:themeFillShade="BF"/>
                <w:lang w:val="en-AU"/>
              </w:rPr>
              <w:t>RAMSI</w:t>
            </w:r>
            <w:r w:rsidRPr="00F71B40">
              <w:rPr>
                <w:rFonts w:cs="Times New Roman"/>
                <w:b/>
                <w:sz w:val="18"/>
                <w:szCs w:val="18"/>
                <w:lang w:val="en-AU"/>
              </w:rPr>
              <w:t xml:space="preserve"> and Bilateral (2003) </w:t>
            </w:r>
          </w:p>
          <w:p w:rsidR="00113D0F" w:rsidRPr="00F71B40" w:rsidRDefault="00115AC9" w:rsidP="00CC56DB">
            <w:pPr>
              <w:autoSpaceDE w:val="0"/>
              <w:autoSpaceDN w:val="0"/>
              <w:adjustRightInd w:val="0"/>
              <w:rPr>
                <w:rFonts w:cs="Times New Roman"/>
                <w:sz w:val="18"/>
                <w:szCs w:val="18"/>
                <w:lang w:val="en-AU"/>
              </w:rPr>
            </w:pPr>
            <w:r w:rsidRPr="00F71B40">
              <w:rPr>
                <w:rFonts w:cs="Times New Roman"/>
                <w:sz w:val="18"/>
                <w:szCs w:val="18"/>
                <w:lang w:val="en-AU"/>
              </w:rPr>
              <w:fldChar w:fldCharType="begin"/>
            </w:r>
            <w:r w:rsidRPr="00F71B40">
              <w:rPr>
                <w:rFonts w:cs="Times New Roman"/>
                <w:sz w:val="18"/>
                <w:szCs w:val="18"/>
                <w:lang w:val="en-AU"/>
              </w:rPr>
              <w:instrText xml:space="preserve"> ADDIN EN.CITE &lt;EndNote&gt;&lt;Cite&gt;&lt;Author&gt;AusAID&lt;/Author&gt;&lt;Year&gt;2009&lt;/Year&gt;&lt;RecNum&gt;4315&lt;/RecNum&gt;&lt;DisplayText&gt;(AusAID, 2009; Australian Government, 2013a)&lt;/DisplayText&gt;&lt;record&gt;&lt;rec-number&gt;4315&lt;/rec-number&gt;&lt;foreign-keys&gt;&lt;key app="EN" db-id="5v9z5rrdszvwsneef06v9dapsd0apdtfapdx" timestamp="1408723124"&gt;4315&lt;/key&gt;&lt;/foreign-keys&gt;&lt;ref-type name="Book"&gt;6&lt;/ref-type&gt;&lt;contributors&gt;&lt;authors&gt;&lt;author&gt;AusAID&lt;/author&gt;&lt;/authors&gt;&lt;/contributors&gt;&lt;titles&gt;&lt;title&gt;Annual Program Performance Report for Solomon Islands 2008&lt;/title&gt;&lt;/titles&gt;&lt;dates&gt;&lt;year&gt;2009&lt;/year&gt;&lt;/dates&gt;&lt;pub-location&gt;Canberra&lt;/pub-location&gt;&lt;publisher&gt;AusAID&lt;/publisher&gt;&lt;urls&gt;&lt;/urls&gt;&lt;/record&gt;&lt;/Cite&gt;&lt;Cite&gt;&lt;Author&gt;Australian Government&lt;/Author&gt;&lt;Year&gt;2013&lt;/Year&gt;&lt;RecNum&gt;4317&lt;/RecNum&gt;&lt;record&gt;&lt;rec-number&gt;4317&lt;/rec-number&gt;&lt;foreign-keys&gt;&lt;key app="EN" db-id="5v9z5rrdszvwsneef06v9dapsd0apdtfapdx" timestamp="1408724992"&gt;4317&lt;/key&gt;&lt;/foreign-keys&gt;&lt;ref-type name="Report"&gt;27&lt;/ref-type&gt;&lt;contributors&gt;&lt;authors&gt;&lt;author&gt;Australian Government,&lt;/author&gt;&lt;/authors&gt;&lt;/contributors&gt;&lt;titles&gt;&lt;title&gt;Aid Program Performance Report 2012−13: Regional Assistance Mission Solomon Islands&lt;/title&gt;&lt;/titles&gt;&lt;dates&gt;&lt;year&gt;2013&lt;/year&gt;&lt;/dates&gt;&lt;pub-location&gt;Honiara&lt;/pub-location&gt;&lt;publisher&gt;RAMSI&lt;/publisher&gt;&lt;urls&gt;&lt;/urls&gt;&lt;/record&gt;&lt;/Cite&gt;&lt;/EndNote&gt;</w:instrText>
            </w:r>
            <w:r w:rsidRPr="00F71B40">
              <w:rPr>
                <w:rFonts w:cs="Times New Roman"/>
                <w:sz w:val="18"/>
                <w:szCs w:val="18"/>
                <w:lang w:val="en-AU"/>
              </w:rPr>
              <w:fldChar w:fldCharType="separate"/>
            </w:r>
            <w:r w:rsidRPr="00F71B40">
              <w:rPr>
                <w:rFonts w:cs="Times New Roman"/>
                <w:sz w:val="18"/>
                <w:szCs w:val="18"/>
                <w:lang w:val="en-AU"/>
              </w:rPr>
              <w:t>(</w:t>
            </w:r>
            <w:hyperlink w:anchor="_ENREF_9" w:tooltip="AusAID, 2009 #4315" w:history="1">
              <w:r w:rsidR="00CC56DB" w:rsidRPr="00F71B40">
                <w:rPr>
                  <w:rFonts w:cs="Times New Roman"/>
                  <w:sz w:val="18"/>
                  <w:szCs w:val="18"/>
                  <w:lang w:val="en-AU"/>
                </w:rPr>
                <w:t>AusAID, 2009</w:t>
              </w:r>
            </w:hyperlink>
            <w:r w:rsidRPr="00F71B40">
              <w:rPr>
                <w:rFonts w:cs="Times New Roman"/>
                <w:sz w:val="18"/>
                <w:szCs w:val="18"/>
                <w:lang w:val="en-AU"/>
              </w:rPr>
              <w:t xml:space="preserve">; </w:t>
            </w:r>
            <w:hyperlink w:anchor="_ENREF_16" w:tooltip="Australian Government, 2013 #4317" w:history="1">
              <w:r w:rsidR="00CC56DB" w:rsidRPr="00F71B40">
                <w:rPr>
                  <w:rFonts w:cs="Times New Roman"/>
                  <w:sz w:val="18"/>
                  <w:szCs w:val="18"/>
                  <w:lang w:val="en-AU"/>
                </w:rPr>
                <w:t>Australian Government, 2013a</w:t>
              </w:r>
            </w:hyperlink>
            <w:r w:rsidRPr="00F71B40">
              <w:rPr>
                <w:rFonts w:cs="Times New Roman"/>
                <w:sz w:val="18"/>
                <w:szCs w:val="18"/>
                <w:lang w:val="en-AU"/>
              </w:rPr>
              <w:t>)</w:t>
            </w:r>
            <w:r w:rsidRPr="00F71B40">
              <w:rPr>
                <w:rFonts w:cs="Times New Roman"/>
                <w:sz w:val="18"/>
                <w:szCs w:val="18"/>
                <w:lang w:val="en-AU"/>
              </w:rPr>
              <w:fldChar w:fldCharType="end"/>
            </w:r>
          </w:p>
        </w:tc>
        <w:tc>
          <w:tcPr>
            <w:tcW w:w="79" w:type="pct"/>
            <w:vMerge w:val="restart"/>
            <w:tcMar>
              <w:left w:w="29" w:type="dxa"/>
              <w:right w:w="29" w:type="dxa"/>
            </w:tcMar>
          </w:tcPr>
          <w:p w:rsidR="00113D0F" w:rsidRPr="00F71B40" w:rsidRDefault="00113D0F" w:rsidP="00D62A32">
            <w:pPr>
              <w:autoSpaceDE w:val="0"/>
              <w:autoSpaceDN w:val="0"/>
              <w:adjustRightInd w:val="0"/>
              <w:rPr>
                <w:rFonts w:cs="Times New Roman"/>
                <w:b/>
                <w:sz w:val="18"/>
                <w:szCs w:val="18"/>
                <w:lang w:val="en-AU"/>
              </w:rPr>
            </w:pPr>
          </w:p>
        </w:tc>
        <w:tc>
          <w:tcPr>
            <w:tcW w:w="1322" w:type="pct"/>
            <w:gridSpan w:val="2"/>
            <w:shd w:val="clear" w:color="auto" w:fill="EEECE1" w:themeFill="background2"/>
            <w:tcMar>
              <w:left w:w="29" w:type="dxa"/>
              <w:right w:w="29" w:type="dxa"/>
            </w:tcMar>
          </w:tcPr>
          <w:p w:rsidR="00113D0F" w:rsidRPr="00F71B40" w:rsidRDefault="00113D0F" w:rsidP="00D62A32">
            <w:pPr>
              <w:autoSpaceDE w:val="0"/>
              <w:autoSpaceDN w:val="0"/>
              <w:adjustRightInd w:val="0"/>
              <w:rPr>
                <w:rFonts w:cs="Times New Roman"/>
                <w:b/>
                <w:i/>
                <w:sz w:val="18"/>
                <w:szCs w:val="18"/>
                <w:lang w:val="en-AU"/>
              </w:rPr>
            </w:pPr>
            <w:r w:rsidRPr="00F71B40">
              <w:rPr>
                <w:rFonts w:cs="Times New Roman"/>
                <w:b/>
                <w:sz w:val="18"/>
                <w:szCs w:val="18"/>
                <w:lang w:val="en-AU"/>
              </w:rPr>
              <w:t>Current DFAT programs (post 2013)</w:t>
            </w:r>
            <w:r w:rsidRPr="00F71B40">
              <w:rPr>
                <w:rFonts w:cs="Times New Roman"/>
                <w:b/>
                <w:i/>
                <w:sz w:val="18"/>
                <w:szCs w:val="18"/>
                <w:lang w:val="en-AU"/>
              </w:rPr>
              <w:t xml:space="preserve"> </w:t>
            </w:r>
          </w:p>
          <w:p w:rsidR="00113D0F" w:rsidRPr="00F71B40" w:rsidRDefault="00115AC9" w:rsidP="00CC56DB">
            <w:pPr>
              <w:autoSpaceDE w:val="0"/>
              <w:autoSpaceDN w:val="0"/>
              <w:adjustRightInd w:val="0"/>
              <w:rPr>
                <w:rFonts w:cs="Times New Roman"/>
                <w:sz w:val="18"/>
                <w:szCs w:val="18"/>
                <w:lang w:val="en-AU"/>
              </w:rPr>
            </w:pPr>
            <w:r w:rsidRPr="00F71B40">
              <w:rPr>
                <w:rFonts w:cs="Times New Roman"/>
                <w:sz w:val="18"/>
                <w:szCs w:val="18"/>
                <w:lang w:val="en-AU"/>
              </w:rPr>
              <w:fldChar w:fldCharType="begin"/>
            </w:r>
            <w:r w:rsidRPr="00F71B40">
              <w:rPr>
                <w:rFonts w:cs="Times New Roman"/>
                <w:sz w:val="18"/>
                <w:szCs w:val="18"/>
                <w:lang w:val="en-AU"/>
              </w:rPr>
              <w:instrText xml:space="preserve"> ADDIN EN.CITE &lt;EndNote&gt;&lt;Cite&gt;&lt;Author&gt;AusAID&lt;/Author&gt;&lt;Year&gt;2013&lt;/Year&gt;&lt;RecNum&gt;4260&lt;/RecNum&gt;&lt;DisplayText&gt;(AusAID, 2013; Cochrane, 2013; DFAT, 2014b)&lt;/DisplayText&gt;&lt;record&gt;&lt;rec-number&gt;4260&lt;/rec-number&gt;&lt;foreign-keys&gt;&lt;key app="EN" db-id="5v9z5rrdszvwsneef06v9dapsd0apdtfapdx" timestamp="1408387630"&gt;4260&lt;/key&gt;&lt;/foreign-keys&gt;&lt;ref-type name="Report"&gt;27&lt;/ref-type&gt;&lt;contributors&gt;&lt;authors&gt;&lt;author&gt;AusAID&lt;/author&gt;&lt;/authors&gt;&lt;/contributors&gt;&lt;titles&gt;&lt;title&gt;Delivery Strategy: Solomon Islands Economic and Public Sector Governance Program (SIGOV) 2013-4 to 2017-18&lt;/title&gt;&lt;/titles&gt;&lt;dates&gt;&lt;year&gt;2013&lt;/year&gt;&lt;/dates&gt;&lt;pub-location&gt;Canberra &lt;/pub-location&gt;&lt;publisher&gt;AusAID&lt;/publisher&gt;&lt;urls&gt;&lt;/urls&gt;&lt;/record&gt;&lt;/Cite&gt;&lt;Cite&gt;&lt;Author&gt;DFAT&lt;/Author&gt;&lt;Year&gt;2014&lt;/Year&gt;&lt;RecNum&gt;4309&lt;/RecNum&gt;&lt;record&gt;&lt;rec-number&gt;4309&lt;/rec-number&gt;&lt;foreign-keys&gt;&lt;key app="EN" db-id="5v9z5rrdszvwsneef06v9dapsd0apdtfapdx" timestamp="1408652590"&gt;4309&lt;/key&gt;&lt;/foreign-keys&gt;&lt;ref-type name="Report"&gt;27&lt;/ref-type&gt;&lt;contributors&gt;&lt;authors&gt;&lt;author&gt;DFAT&lt;/author&gt;&lt;/authors&gt;&lt;/contributors&gt;&lt;titles&gt;&lt;title&gt;Solomon Islands Governance Program (SIGOV): Quarterly Report No. 3 (January-March 2014)&lt;/title&gt;&lt;/titles&gt;&lt;dates&gt;&lt;year&gt;2014&lt;/year&gt;&lt;/dates&gt;&lt;pub-location&gt;Honiara, Solomon Islands&lt;/pub-location&gt;&lt;publisher&gt;DFAT&lt;/publisher&gt;&lt;urls&gt;&lt;/urls&gt;&lt;/record&gt;&lt;/Cite&gt;&lt;Cite&gt;&lt;Author&gt;Cochrane&lt;/Author&gt;&lt;Year&gt;2013&lt;/Year&gt;&lt;RecNum&gt;4308&lt;/RecNum&gt;&lt;record&gt;&lt;rec-number&gt;4308&lt;/rec-number&gt;&lt;foreign-keys&gt;&lt;key app="EN" db-id="5v9z5rrdszvwsneef06v9dapsd0apdtfapdx" timestamp="1408650606"&gt;4308&lt;/key&gt;&lt;/foreign-keys&gt;&lt;ref-type name="Report"&gt;27&lt;/ref-type&gt;&lt;contributors&gt;&lt;authors&gt;&lt;author&gt;Clair Cochrane&lt;/author&gt;&lt;/authors&gt;&lt;/contributors&gt;&lt;titles&gt;&lt;title&gt;Quality at Implementation Report for Solomon Islands Economic and Public Sector Governance Program (includes Economic Governance and Machinery of Government Programs)&lt;/title&gt;&lt;/titles&gt;&lt;dates&gt;&lt;year&gt;2013&lt;/year&gt;&lt;/dates&gt;&lt;pub-location&gt;Canberra&lt;/pub-location&gt;&lt;publisher&gt;DFAT&lt;/publisher&gt;&lt;urls&gt;&lt;/urls&gt;&lt;/record&gt;&lt;/Cite&gt;&lt;/EndNote&gt;</w:instrText>
            </w:r>
            <w:r w:rsidRPr="00F71B40">
              <w:rPr>
                <w:rFonts w:cs="Times New Roman"/>
                <w:sz w:val="18"/>
                <w:szCs w:val="18"/>
                <w:lang w:val="en-AU"/>
              </w:rPr>
              <w:fldChar w:fldCharType="separate"/>
            </w:r>
            <w:r w:rsidRPr="00F71B40">
              <w:rPr>
                <w:rFonts w:cs="Times New Roman"/>
                <w:sz w:val="18"/>
                <w:szCs w:val="18"/>
                <w:lang w:val="en-AU"/>
              </w:rPr>
              <w:t>(</w:t>
            </w:r>
            <w:hyperlink w:anchor="_ENREF_13" w:tooltip="AusAID, 2013 #4260" w:history="1">
              <w:r w:rsidR="00CC56DB" w:rsidRPr="00F71B40">
                <w:rPr>
                  <w:rFonts w:cs="Times New Roman"/>
                  <w:sz w:val="18"/>
                  <w:szCs w:val="18"/>
                  <w:lang w:val="en-AU"/>
                </w:rPr>
                <w:t>AusAID, 2013</w:t>
              </w:r>
            </w:hyperlink>
            <w:r w:rsidRPr="00F71B40">
              <w:rPr>
                <w:rFonts w:cs="Times New Roman"/>
                <w:sz w:val="18"/>
                <w:szCs w:val="18"/>
                <w:lang w:val="en-AU"/>
              </w:rPr>
              <w:t xml:space="preserve">; </w:t>
            </w:r>
            <w:hyperlink w:anchor="_ENREF_36" w:tooltip="Cochrane, 2013 #4308" w:history="1">
              <w:r w:rsidR="00CC56DB" w:rsidRPr="00F71B40">
                <w:rPr>
                  <w:rFonts w:cs="Times New Roman"/>
                  <w:sz w:val="18"/>
                  <w:szCs w:val="18"/>
                  <w:lang w:val="en-AU"/>
                </w:rPr>
                <w:t>Cochrane, 2013</w:t>
              </w:r>
            </w:hyperlink>
            <w:r w:rsidRPr="00F71B40">
              <w:rPr>
                <w:rFonts w:cs="Times New Roman"/>
                <w:sz w:val="18"/>
                <w:szCs w:val="18"/>
                <w:lang w:val="en-AU"/>
              </w:rPr>
              <w:t xml:space="preserve">; </w:t>
            </w:r>
            <w:hyperlink w:anchor="_ENREF_49" w:tooltip="DFAT, 2014 #4309" w:history="1">
              <w:r w:rsidR="00CC56DB" w:rsidRPr="00F71B40">
                <w:rPr>
                  <w:rFonts w:cs="Times New Roman"/>
                  <w:sz w:val="18"/>
                  <w:szCs w:val="18"/>
                  <w:lang w:val="en-AU"/>
                </w:rPr>
                <w:t>DFAT, 2014b</w:t>
              </w:r>
            </w:hyperlink>
            <w:r w:rsidRPr="00F71B40">
              <w:rPr>
                <w:rFonts w:cs="Times New Roman"/>
                <w:sz w:val="18"/>
                <w:szCs w:val="18"/>
                <w:lang w:val="en-AU"/>
              </w:rPr>
              <w:t>)</w:t>
            </w:r>
            <w:r w:rsidRPr="00F71B40">
              <w:rPr>
                <w:rFonts w:cs="Times New Roman"/>
                <w:sz w:val="18"/>
                <w:szCs w:val="18"/>
                <w:lang w:val="en-AU"/>
              </w:rPr>
              <w:fldChar w:fldCharType="end"/>
            </w:r>
          </w:p>
        </w:tc>
      </w:tr>
      <w:tr w:rsidR="00113D0F" w:rsidRPr="00F71B40" w:rsidTr="0013132E">
        <w:tc>
          <w:tcPr>
            <w:tcW w:w="563" w:type="pct"/>
            <w:tcBorders>
              <w:bottom w:val="single" w:sz="4" w:space="0" w:color="auto"/>
            </w:tcBorders>
            <w:tcMar>
              <w:left w:w="29" w:type="dxa"/>
              <w:right w:w="29" w:type="dxa"/>
            </w:tcMar>
            <w:vAlign w:val="center"/>
          </w:tcPr>
          <w:p w:rsidR="00113D0F" w:rsidRPr="00F71B40" w:rsidRDefault="00113D0F" w:rsidP="00D62A32">
            <w:pPr>
              <w:autoSpaceDE w:val="0"/>
              <w:autoSpaceDN w:val="0"/>
              <w:adjustRightInd w:val="0"/>
              <w:rPr>
                <w:rFonts w:cs="Times New Roman"/>
                <w:i/>
                <w:sz w:val="18"/>
                <w:szCs w:val="18"/>
                <w:lang w:val="en-AU"/>
              </w:rPr>
            </w:pPr>
            <w:r w:rsidRPr="00F71B40">
              <w:rPr>
                <w:rFonts w:cs="Times New Roman"/>
                <w:i/>
                <w:sz w:val="18"/>
                <w:szCs w:val="18"/>
                <w:lang w:val="en-AU"/>
              </w:rPr>
              <w:t>Aid dependence</w:t>
            </w:r>
          </w:p>
        </w:tc>
        <w:tc>
          <w:tcPr>
            <w:tcW w:w="104" w:type="pct"/>
            <w:vMerge/>
            <w:shd w:val="clear" w:color="auto" w:fill="auto"/>
          </w:tcPr>
          <w:p w:rsidR="00113D0F" w:rsidRPr="00F71B40" w:rsidRDefault="00113D0F" w:rsidP="00D62A32">
            <w:pPr>
              <w:autoSpaceDE w:val="0"/>
              <w:autoSpaceDN w:val="0"/>
              <w:adjustRightInd w:val="0"/>
              <w:rPr>
                <w:rFonts w:cs="Times New Roman"/>
                <w:i/>
                <w:sz w:val="18"/>
                <w:szCs w:val="18"/>
                <w:lang w:val="en-AU"/>
              </w:rPr>
            </w:pPr>
          </w:p>
        </w:tc>
        <w:tc>
          <w:tcPr>
            <w:tcW w:w="1155" w:type="pct"/>
            <w:tcBorders>
              <w:bottom w:val="single" w:sz="4" w:space="0" w:color="auto"/>
            </w:tcBorders>
            <w:shd w:val="clear" w:color="auto" w:fill="EEECE1" w:themeFill="background2"/>
            <w:tcMar>
              <w:left w:w="29" w:type="dxa"/>
              <w:right w:w="29" w:type="dxa"/>
            </w:tcMar>
            <w:vAlign w:val="center"/>
          </w:tcPr>
          <w:p w:rsidR="00113D0F" w:rsidRPr="00F71B40" w:rsidRDefault="00113D0F" w:rsidP="00CC56DB">
            <w:pPr>
              <w:autoSpaceDE w:val="0"/>
              <w:autoSpaceDN w:val="0"/>
              <w:adjustRightInd w:val="0"/>
              <w:rPr>
                <w:rFonts w:cs="Times New Roman"/>
                <w:i/>
                <w:sz w:val="18"/>
                <w:szCs w:val="18"/>
                <w:lang w:val="en-AU"/>
              </w:rPr>
            </w:pPr>
            <w:r w:rsidRPr="00F71B40">
              <w:rPr>
                <w:rFonts w:cs="Times New Roman"/>
                <w:i/>
                <w:sz w:val="18"/>
                <w:szCs w:val="18"/>
                <w:lang w:val="en-AU"/>
              </w:rPr>
              <w:t>24% of GDP</w:t>
            </w:r>
            <w:r w:rsidR="005F56BB" w:rsidRPr="00F71B40">
              <w:rPr>
                <w:rFonts w:cs="Times New Roman"/>
                <w:i/>
                <w:sz w:val="18"/>
                <w:szCs w:val="18"/>
                <w:lang w:val="en-AU"/>
              </w:rPr>
              <w:t xml:space="preserve"> in 2003</w:t>
            </w:r>
            <w:r w:rsidRPr="00F71B40">
              <w:rPr>
                <w:rFonts w:cs="Times New Roman"/>
                <w:i/>
                <w:sz w:val="18"/>
                <w:szCs w:val="18"/>
                <w:lang w:val="en-AU"/>
              </w:rPr>
              <w:t xml:space="preserve"> </w:t>
            </w:r>
            <w:r w:rsidR="00115AC9" w:rsidRPr="00F71B40">
              <w:rPr>
                <w:rFonts w:cs="Times New Roman"/>
                <w:i/>
                <w:sz w:val="18"/>
                <w:szCs w:val="18"/>
                <w:lang w:val="en-AU"/>
              </w:rPr>
              <w:fldChar w:fldCharType="begin"/>
            </w:r>
            <w:r w:rsidR="00115AC9" w:rsidRPr="00F71B40">
              <w:rPr>
                <w:rFonts w:cs="Times New Roman"/>
                <w:i/>
                <w:sz w:val="18"/>
                <w:szCs w:val="18"/>
                <w:lang w:val="en-AU"/>
              </w:rPr>
              <w:instrText xml:space="preserve"> ADDIN EN.CITE &lt;EndNote&gt;&lt;Cite&gt;&lt;Author&gt;Baser&lt;/Author&gt;&lt;Year&gt;2007&lt;/Year&gt;&lt;RecNum&gt;4313&lt;/RecNum&gt;&lt;DisplayText&gt;(Baser, 2007)&lt;/DisplayText&gt;&lt;record&gt;&lt;rec-number&gt;4313&lt;/rec-number&gt;&lt;foreign-keys&gt;&lt;key app="EN" db-id="5v9z5rrdszvwsneef06v9dapsd0apdtfapdx" timestamp="1408717581"&gt;4313&lt;/key&gt;&lt;/foreign-keys&gt;&lt;ref-type name="Report"&gt;27&lt;/ref-type&gt;&lt;contributors&gt;&lt;authors&gt;&lt;author&gt;Heather Baser&lt;/author&gt;&lt;/authors&gt;&lt;/contributors&gt;&lt;titles&gt;&lt;title&gt;Provision of Technical Assistance Personnel in the Solomon Islands: What can we learn from the RAMSI experience?&lt;/title&gt;&lt;/titles&gt;&lt;dates&gt;&lt;year&gt;2007&lt;/year&gt;&lt;/dates&gt;&lt;pub-location&gt;Maastricht&lt;/pub-location&gt;&lt;publisher&gt;European Centre for Development Policy Management&lt;/publisher&gt;&lt;urls&gt;&lt;/urls&gt;&lt;/record&gt;&lt;/Cite&gt;&lt;/EndNote&gt;</w:instrText>
            </w:r>
            <w:r w:rsidR="00115AC9" w:rsidRPr="00F71B40">
              <w:rPr>
                <w:rFonts w:cs="Times New Roman"/>
                <w:i/>
                <w:sz w:val="18"/>
                <w:szCs w:val="18"/>
                <w:lang w:val="en-AU"/>
              </w:rPr>
              <w:fldChar w:fldCharType="separate"/>
            </w:r>
            <w:r w:rsidR="00115AC9" w:rsidRPr="00F71B40">
              <w:rPr>
                <w:rFonts w:cs="Times New Roman"/>
                <w:i/>
                <w:sz w:val="18"/>
                <w:szCs w:val="18"/>
                <w:lang w:val="en-AU"/>
              </w:rPr>
              <w:t>(</w:t>
            </w:r>
            <w:hyperlink w:anchor="_ENREF_21" w:tooltip="Baser, 2007 #4313" w:history="1">
              <w:r w:rsidR="00CC56DB" w:rsidRPr="00F71B40">
                <w:rPr>
                  <w:rFonts w:cs="Times New Roman"/>
                  <w:i/>
                  <w:sz w:val="18"/>
                  <w:szCs w:val="18"/>
                  <w:lang w:val="en-AU"/>
                </w:rPr>
                <w:t>Baser, 2007</w:t>
              </w:r>
            </w:hyperlink>
            <w:r w:rsidR="00115AC9" w:rsidRPr="00F71B40">
              <w:rPr>
                <w:rFonts w:cs="Times New Roman"/>
                <w:i/>
                <w:sz w:val="18"/>
                <w:szCs w:val="18"/>
                <w:lang w:val="en-AU"/>
              </w:rPr>
              <w:t>)</w:t>
            </w:r>
            <w:r w:rsidR="00115AC9" w:rsidRPr="00F71B40">
              <w:rPr>
                <w:rFonts w:cs="Times New Roman"/>
                <w:i/>
                <w:sz w:val="18"/>
                <w:szCs w:val="18"/>
                <w:lang w:val="en-AU"/>
              </w:rPr>
              <w:fldChar w:fldCharType="end"/>
            </w:r>
          </w:p>
        </w:tc>
        <w:tc>
          <w:tcPr>
            <w:tcW w:w="89" w:type="pct"/>
            <w:vMerge/>
            <w:shd w:val="clear" w:color="auto" w:fill="FFFFFF" w:themeFill="background1"/>
            <w:vAlign w:val="center"/>
          </w:tcPr>
          <w:p w:rsidR="00113D0F" w:rsidRPr="00F71B40" w:rsidRDefault="00113D0F" w:rsidP="00D62A32">
            <w:pPr>
              <w:autoSpaceDE w:val="0"/>
              <w:autoSpaceDN w:val="0"/>
              <w:adjustRightInd w:val="0"/>
              <w:rPr>
                <w:rFonts w:cs="Times New Roman"/>
                <w:i/>
                <w:sz w:val="18"/>
                <w:szCs w:val="18"/>
                <w:lang w:val="en-AU"/>
              </w:rPr>
            </w:pPr>
          </w:p>
        </w:tc>
        <w:tc>
          <w:tcPr>
            <w:tcW w:w="1687" w:type="pct"/>
            <w:gridSpan w:val="4"/>
            <w:tcBorders>
              <w:bottom w:val="single" w:sz="4" w:space="0" w:color="auto"/>
            </w:tcBorders>
            <w:shd w:val="clear" w:color="auto" w:fill="EEECE1" w:themeFill="background2"/>
            <w:vAlign w:val="center"/>
          </w:tcPr>
          <w:p w:rsidR="00113D0F" w:rsidRPr="00F71B40" w:rsidRDefault="00113D0F" w:rsidP="00CC56DB">
            <w:pPr>
              <w:autoSpaceDE w:val="0"/>
              <w:autoSpaceDN w:val="0"/>
              <w:adjustRightInd w:val="0"/>
              <w:rPr>
                <w:rFonts w:cs="Times New Roman"/>
                <w:i/>
                <w:sz w:val="18"/>
                <w:szCs w:val="18"/>
                <w:lang w:val="en-AU"/>
              </w:rPr>
            </w:pPr>
            <w:r w:rsidRPr="00F71B40">
              <w:rPr>
                <w:rFonts w:cs="Times New Roman"/>
                <w:i/>
                <w:sz w:val="18"/>
                <w:szCs w:val="18"/>
                <w:lang w:val="en-AU"/>
              </w:rPr>
              <w:t xml:space="preserve">Peaked at 61% of GDP in 2006 </w:t>
            </w:r>
            <w:r w:rsidR="00115AC9" w:rsidRPr="00F71B40">
              <w:rPr>
                <w:rFonts w:cs="Times New Roman"/>
                <w:i/>
                <w:sz w:val="18"/>
                <w:szCs w:val="18"/>
                <w:lang w:val="en-AU"/>
              </w:rPr>
              <w:fldChar w:fldCharType="begin"/>
            </w:r>
            <w:r w:rsidR="00115AC9" w:rsidRPr="00F71B40">
              <w:rPr>
                <w:rFonts w:cs="Times New Roman"/>
                <w:i/>
                <w:sz w:val="18"/>
                <w:szCs w:val="18"/>
                <w:lang w:val="en-AU"/>
              </w:rPr>
              <w:instrText xml:space="preserve"> ADDIN EN.CITE &lt;EndNote&gt;&lt;Cite&gt;&lt;Author&gt;OECD&lt;/Author&gt;&lt;Year&gt;2012&lt;/Year&gt;&lt;RecNum&gt;4316&lt;/RecNum&gt;&lt;DisplayText&gt;(OECD, 2012)&lt;/DisplayText&gt;&lt;record&gt;&lt;rec-number&gt;4316&lt;/rec-number&gt;&lt;foreign-keys&gt;&lt;key app="EN" db-id="5v9z5rrdszvwsneef06v9dapsd0apdtfapdx" timestamp="1408724870"&gt;4316&lt;/key&gt;&lt;/foreign-keys&gt;&lt;ref-type name="Report"&gt;27&lt;/ref-type&gt;&lt;contributors&gt;&lt;authors&gt;&lt;author&gt;OECD&lt;/author&gt;&lt;/authors&gt;&lt;/contributors&gt;&lt;titles&gt;&lt;title&gt;MANAGING AID FOR TRADE AND DEVELOPMENT RESULTS: Solomon Islands Case Study&lt;/title&gt;&lt;/titles&gt;&lt;dates&gt;&lt;year&gt;2012&lt;/year&gt;&lt;/dates&gt;&lt;pub-location&gt;Paris&lt;/pub-location&gt;&lt;publisher&gt;OECD&lt;/publisher&gt;&lt;urls&gt;&lt;/urls&gt;&lt;/record&gt;&lt;/Cite&gt;&lt;/EndNote&gt;</w:instrText>
            </w:r>
            <w:r w:rsidR="00115AC9" w:rsidRPr="00F71B40">
              <w:rPr>
                <w:rFonts w:cs="Times New Roman"/>
                <w:i/>
                <w:sz w:val="18"/>
                <w:szCs w:val="18"/>
                <w:lang w:val="en-AU"/>
              </w:rPr>
              <w:fldChar w:fldCharType="separate"/>
            </w:r>
            <w:r w:rsidR="00115AC9" w:rsidRPr="00F71B40">
              <w:rPr>
                <w:rFonts w:cs="Times New Roman"/>
                <w:i/>
                <w:sz w:val="18"/>
                <w:szCs w:val="18"/>
                <w:lang w:val="en-AU"/>
              </w:rPr>
              <w:t>(</w:t>
            </w:r>
            <w:hyperlink w:anchor="_ENREF_114" w:tooltip="OECD, 2012 #4316" w:history="1">
              <w:r w:rsidR="00CC56DB" w:rsidRPr="00F71B40">
                <w:rPr>
                  <w:rFonts w:cs="Times New Roman"/>
                  <w:i/>
                  <w:sz w:val="18"/>
                  <w:szCs w:val="18"/>
                  <w:lang w:val="en-AU"/>
                </w:rPr>
                <w:t>OECD, 2012</w:t>
              </w:r>
            </w:hyperlink>
            <w:r w:rsidR="00115AC9" w:rsidRPr="00F71B40">
              <w:rPr>
                <w:rFonts w:cs="Times New Roman"/>
                <w:i/>
                <w:sz w:val="18"/>
                <w:szCs w:val="18"/>
                <w:lang w:val="en-AU"/>
              </w:rPr>
              <w:t>)</w:t>
            </w:r>
            <w:r w:rsidR="00115AC9" w:rsidRPr="00F71B40">
              <w:rPr>
                <w:rFonts w:cs="Times New Roman"/>
                <w:i/>
                <w:sz w:val="18"/>
                <w:szCs w:val="18"/>
                <w:lang w:val="en-AU"/>
              </w:rPr>
              <w:fldChar w:fldCharType="end"/>
            </w:r>
          </w:p>
        </w:tc>
        <w:tc>
          <w:tcPr>
            <w:tcW w:w="79" w:type="pct"/>
            <w:vMerge/>
            <w:tcMar>
              <w:left w:w="29" w:type="dxa"/>
              <w:right w:w="29" w:type="dxa"/>
            </w:tcMar>
            <w:vAlign w:val="center"/>
          </w:tcPr>
          <w:p w:rsidR="00113D0F" w:rsidRPr="00F71B40" w:rsidRDefault="00113D0F" w:rsidP="00D62A32">
            <w:pPr>
              <w:autoSpaceDE w:val="0"/>
              <w:autoSpaceDN w:val="0"/>
              <w:adjustRightInd w:val="0"/>
              <w:rPr>
                <w:rFonts w:cs="Times New Roman"/>
                <w:i/>
                <w:sz w:val="18"/>
                <w:szCs w:val="18"/>
                <w:lang w:val="en-AU"/>
              </w:rPr>
            </w:pPr>
          </w:p>
        </w:tc>
        <w:tc>
          <w:tcPr>
            <w:tcW w:w="1322" w:type="pct"/>
            <w:gridSpan w:val="2"/>
            <w:tcBorders>
              <w:bottom w:val="single" w:sz="4" w:space="0" w:color="auto"/>
            </w:tcBorders>
            <w:shd w:val="clear" w:color="auto" w:fill="EEECE1" w:themeFill="background2"/>
            <w:tcMar>
              <w:left w:w="29" w:type="dxa"/>
              <w:right w:w="29" w:type="dxa"/>
            </w:tcMar>
            <w:vAlign w:val="center"/>
          </w:tcPr>
          <w:p w:rsidR="00113D0F" w:rsidRPr="00F71B40" w:rsidRDefault="005F56BB" w:rsidP="00CC56DB">
            <w:pPr>
              <w:autoSpaceDE w:val="0"/>
              <w:autoSpaceDN w:val="0"/>
              <w:adjustRightInd w:val="0"/>
              <w:rPr>
                <w:rFonts w:cs="Times New Roman"/>
                <w:i/>
                <w:sz w:val="18"/>
                <w:szCs w:val="18"/>
                <w:lang w:val="en-AU"/>
              </w:rPr>
            </w:pPr>
            <w:r w:rsidRPr="00F71B40">
              <w:rPr>
                <w:rFonts w:cs="Times New Roman"/>
                <w:i/>
                <w:sz w:val="18"/>
                <w:szCs w:val="18"/>
                <w:lang w:val="en-AU"/>
              </w:rPr>
              <w:t>Stabilizing ~</w:t>
            </w:r>
            <w:r w:rsidR="00113D0F" w:rsidRPr="00F71B40">
              <w:rPr>
                <w:rFonts w:cs="Times New Roman"/>
                <w:i/>
                <w:sz w:val="18"/>
                <w:szCs w:val="18"/>
                <w:lang w:val="en-AU"/>
              </w:rPr>
              <w:t xml:space="preserve">50% of GDP </w:t>
            </w:r>
            <w:r w:rsidR="00115AC9" w:rsidRPr="00F71B40">
              <w:rPr>
                <w:rFonts w:cs="Times New Roman"/>
                <w:i/>
                <w:sz w:val="18"/>
                <w:szCs w:val="18"/>
                <w:lang w:val="en-AU"/>
              </w:rPr>
              <w:fldChar w:fldCharType="begin"/>
            </w:r>
            <w:r w:rsidR="00115AC9" w:rsidRPr="00F71B40">
              <w:rPr>
                <w:rFonts w:cs="Times New Roman"/>
                <w:i/>
                <w:sz w:val="18"/>
                <w:szCs w:val="18"/>
                <w:lang w:val="en-AU"/>
              </w:rPr>
              <w:instrText xml:space="preserve"> ADDIN EN.CITE &lt;EndNote&gt;&lt;Cite&gt;&lt;Author&gt;Haque&lt;/Author&gt;&lt;Year&gt;2013&lt;/Year&gt;&lt;RecNum&gt;4268&lt;/RecNum&gt;&lt;DisplayText&gt;(Haque, 2013)&lt;/DisplayText&gt;&lt;record&gt;&lt;rec-number&gt;4268&lt;/rec-number&gt;&lt;foreign-keys&gt;&lt;key app="EN" db-id="5v9z5rrdszvwsneef06v9dapsd0apdtfapdx" timestamp="1408398450"&gt;4268&lt;/key&gt;&lt;/foreign-keys&gt;&lt;ref-type name="Report"&gt;27&lt;/ref-type&gt;&lt;contributors&gt;&lt;authors&gt;&lt;author&gt;Haque, Tobias A.&lt;/author&gt;&lt;/authors&gt;&lt;/contributors&gt;&lt;titles&gt;&lt;title&gt;Economic Transition in Solomon Islands&lt;/title&gt;&lt;/titles&gt;&lt;dates&gt;&lt;year&gt;2013&lt;/year&gt;&lt;/dates&gt;&lt;pub-location&gt;Canberra&lt;/pub-location&gt;&lt;publisher&gt;Australian National University&lt;/publisher&gt;&lt;urls&gt;&lt;/urls&gt;&lt;/record&gt;&lt;/Cite&gt;&lt;/EndNote&gt;</w:instrText>
            </w:r>
            <w:r w:rsidR="00115AC9" w:rsidRPr="00F71B40">
              <w:rPr>
                <w:rFonts w:cs="Times New Roman"/>
                <w:i/>
                <w:sz w:val="18"/>
                <w:szCs w:val="18"/>
                <w:lang w:val="en-AU"/>
              </w:rPr>
              <w:fldChar w:fldCharType="separate"/>
            </w:r>
            <w:r w:rsidR="00115AC9" w:rsidRPr="00F71B40">
              <w:rPr>
                <w:rFonts w:cs="Times New Roman"/>
                <w:i/>
                <w:sz w:val="18"/>
                <w:szCs w:val="18"/>
                <w:lang w:val="en-AU"/>
              </w:rPr>
              <w:t>(</w:t>
            </w:r>
            <w:hyperlink w:anchor="_ENREF_66" w:tooltip="Haque, 2013 #4268" w:history="1">
              <w:r w:rsidR="00CC56DB" w:rsidRPr="00F71B40">
                <w:rPr>
                  <w:rFonts w:cs="Times New Roman"/>
                  <w:i/>
                  <w:sz w:val="18"/>
                  <w:szCs w:val="18"/>
                  <w:lang w:val="en-AU"/>
                </w:rPr>
                <w:t>Haque, 2013</w:t>
              </w:r>
            </w:hyperlink>
            <w:r w:rsidR="00115AC9" w:rsidRPr="00F71B40">
              <w:rPr>
                <w:rFonts w:cs="Times New Roman"/>
                <w:i/>
                <w:sz w:val="18"/>
                <w:szCs w:val="18"/>
                <w:lang w:val="en-AU"/>
              </w:rPr>
              <w:t>)</w:t>
            </w:r>
            <w:r w:rsidR="00115AC9" w:rsidRPr="00F71B40">
              <w:rPr>
                <w:rFonts w:cs="Times New Roman"/>
                <w:i/>
                <w:sz w:val="18"/>
                <w:szCs w:val="18"/>
                <w:lang w:val="en-AU"/>
              </w:rPr>
              <w:fldChar w:fldCharType="end"/>
            </w:r>
          </w:p>
        </w:tc>
      </w:tr>
      <w:tr w:rsidR="00113D0F" w:rsidRPr="00F71B40" w:rsidTr="0013132E">
        <w:tc>
          <w:tcPr>
            <w:tcW w:w="563" w:type="pct"/>
            <w:tcBorders>
              <w:top w:val="single" w:sz="4" w:space="0" w:color="auto"/>
              <w:left w:val="single" w:sz="4" w:space="0" w:color="auto"/>
              <w:bottom w:val="single" w:sz="4" w:space="0" w:color="auto"/>
            </w:tcBorders>
            <w:tcMar>
              <w:left w:w="29" w:type="dxa"/>
              <w:right w:w="29" w:type="dxa"/>
            </w:tcMar>
            <w:vAlign w:val="center"/>
          </w:tcPr>
          <w:p w:rsidR="00113D0F" w:rsidRPr="00F71B40" w:rsidRDefault="00113D0F" w:rsidP="00D62A32">
            <w:pPr>
              <w:autoSpaceDE w:val="0"/>
              <w:autoSpaceDN w:val="0"/>
              <w:adjustRightInd w:val="0"/>
              <w:rPr>
                <w:rFonts w:cs="Times New Roman"/>
                <w:sz w:val="18"/>
                <w:szCs w:val="18"/>
                <w:lang w:val="en-AU"/>
              </w:rPr>
            </w:pPr>
            <w:r w:rsidRPr="00F71B40">
              <w:rPr>
                <w:rFonts w:cs="Times New Roman"/>
                <w:sz w:val="18"/>
                <w:szCs w:val="18"/>
                <w:lang w:val="en-AU"/>
              </w:rPr>
              <w:t>Special coordination arrangements</w:t>
            </w:r>
          </w:p>
        </w:tc>
        <w:tc>
          <w:tcPr>
            <w:tcW w:w="104" w:type="pct"/>
            <w:vMerge/>
            <w:shd w:val="clear" w:color="auto" w:fill="auto"/>
          </w:tcPr>
          <w:p w:rsidR="00113D0F" w:rsidRPr="00F71B40" w:rsidRDefault="00113D0F" w:rsidP="00D62A32">
            <w:pPr>
              <w:autoSpaceDE w:val="0"/>
              <w:autoSpaceDN w:val="0"/>
              <w:adjustRightInd w:val="0"/>
              <w:rPr>
                <w:rFonts w:cs="Times New Roman"/>
                <w:sz w:val="18"/>
                <w:szCs w:val="18"/>
                <w:lang w:val="en-AU"/>
              </w:rPr>
            </w:pPr>
          </w:p>
        </w:tc>
        <w:tc>
          <w:tcPr>
            <w:tcW w:w="1155" w:type="pct"/>
            <w:tcBorders>
              <w:top w:val="single" w:sz="4" w:space="0" w:color="auto"/>
              <w:bottom w:val="single" w:sz="4" w:space="0" w:color="auto"/>
            </w:tcBorders>
            <w:shd w:val="clear" w:color="auto" w:fill="EEECE1" w:themeFill="background2"/>
            <w:tcMar>
              <w:left w:w="29" w:type="dxa"/>
              <w:right w:w="29" w:type="dxa"/>
            </w:tcMar>
            <w:vAlign w:val="center"/>
          </w:tcPr>
          <w:p w:rsidR="00113D0F" w:rsidRPr="00F71B40" w:rsidRDefault="00113D0F" w:rsidP="00D62A32">
            <w:pPr>
              <w:autoSpaceDE w:val="0"/>
              <w:autoSpaceDN w:val="0"/>
              <w:adjustRightInd w:val="0"/>
              <w:rPr>
                <w:rFonts w:cs="Times New Roman"/>
                <w:sz w:val="18"/>
                <w:szCs w:val="18"/>
                <w:lang w:val="en-AU"/>
              </w:rPr>
            </w:pPr>
          </w:p>
        </w:tc>
        <w:tc>
          <w:tcPr>
            <w:tcW w:w="89" w:type="pct"/>
            <w:vMerge/>
            <w:tcMar>
              <w:left w:w="29" w:type="dxa"/>
              <w:right w:w="29" w:type="dxa"/>
            </w:tcMar>
            <w:vAlign w:val="center"/>
          </w:tcPr>
          <w:p w:rsidR="00113D0F" w:rsidRPr="00F71B40" w:rsidRDefault="00113D0F" w:rsidP="00D62A32">
            <w:pPr>
              <w:autoSpaceDE w:val="0"/>
              <w:autoSpaceDN w:val="0"/>
              <w:adjustRightInd w:val="0"/>
              <w:rPr>
                <w:rFonts w:cs="Times New Roman"/>
                <w:sz w:val="18"/>
                <w:szCs w:val="18"/>
                <w:lang w:val="en-AU"/>
              </w:rPr>
            </w:pPr>
          </w:p>
        </w:tc>
        <w:tc>
          <w:tcPr>
            <w:tcW w:w="1687" w:type="pct"/>
            <w:gridSpan w:val="4"/>
            <w:tcBorders>
              <w:top w:val="single" w:sz="4" w:space="0" w:color="auto"/>
              <w:bottom w:val="single" w:sz="4" w:space="0" w:color="auto"/>
            </w:tcBorders>
            <w:shd w:val="clear" w:color="auto" w:fill="BFBFBF" w:themeFill="background1" w:themeFillShade="BF"/>
            <w:tcMar>
              <w:left w:w="29" w:type="dxa"/>
              <w:right w:w="29" w:type="dxa"/>
            </w:tcMar>
            <w:vAlign w:val="center"/>
          </w:tcPr>
          <w:p w:rsidR="00113D0F" w:rsidRPr="00F71B40" w:rsidRDefault="00113D0F" w:rsidP="00D62A32">
            <w:pPr>
              <w:autoSpaceDE w:val="0"/>
              <w:autoSpaceDN w:val="0"/>
              <w:adjustRightInd w:val="0"/>
              <w:rPr>
                <w:rFonts w:cs="Times New Roman"/>
                <w:sz w:val="18"/>
                <w:szCs w:val="18"/>
                <w:lang w:val="en-AU"/>
              </w:rPr>
            </w:pPr>
            <w:r w:rsidRPr="00F71B40">
              <w:rPr>
                <w:rFonts w:cs="Times New Roman"/>
                <w:sz w:val="18"/>
                <w:szCs w:val="18"/>
                <w:lang w:val="en-AU"/>
              </w:rPr>
              <w:t>Office of the Special Coordinator created for overall policy coordination and liaison with Solomon Islands Government, the Pacific Islands Forum and the contributing Pacif</w:t>
            </w:r>
            <w:r w:rsidR="00BF0C68" w:rsidRPr="00F71B40">
              <w:rPr>
                <w:rFonts w:cs="Times New Roman"/>
                <w:sz w:val="18"/>
                <w:szCs w:val="18"/>
                <w:lang w:val="en-AU"/>
              </w:rPr>
              <w:t>ic countries</w:t>
            </w:r>
          </w:p>
        </w:tc>
        <w:tc>
          <w:tcPr>
            <w:tcW w:w="79" w:type="pct"/>
            <w:vMerge/>
            <w:tcMar>
              <w:left w:w="29" w:type="dxa"/>
              <w:right w:w="29" w:type="dxa"/>
            </w:tcMar>
            <w:vAlign w:val="center"/>
          </w:tcPr>
          <w:p w:rsidR="00113D0F" w:rsidRPr="00F71B40" w:rsidRDefault="00113D0F" w:rsidP="00D62A32">
            <w:pPr>
              <w:autoSpaceDE w:val="0"/>
              <w:autoSpaceDN w:val="0"/>
              <w:adjustRightInd w:val="0"/>
              <w:rPr>
                <w:rFonts w:cs="Times New Roman"/>
                <w:sz w:val="18"/>
                <w:szCs w:val="18"/>
                <w:lang w:val="en-AU"/>
              </w:rPr>
            </w:pPr>
          </w:p>
        </w:tc>
        <w:tc>
          <w:tcPr>
            <w:tcW w:w="1322" w:type="pct"/>
            <w:gridSpan w:val="2"/>
            <w:tcBorders>
              <w:top w:val="single" w:sz="4" w:space="0" w:color="auto"/>
              <w:bottom w:val="single" w:sz="4" w:space="0" w:color="auto"/>
              <w:right w:val="single" w:sz="4" w:space="0" w:color="auto"/>
            </w:tcBorders>
            <w:shd w:val="clear" w:color="auto" w:fill="EEECE1" w:themeFill="background2"/>
            <w:tcMar>
              <w:left w:w="29" w:type="dxa"/>
              <w:right w:w="29" w:type="dxa"/>
            </w:tcMar>
            <w:vAlign w:val="center"/>
          </w:tcPr>
          <w:p w:rsidR="00113D0F" w:rsidRPr="00F71B40" w:rsidRDefault="00113D0F" w:rsidP="00D62A32">
            <w:pPr>
              <w:autoSpaceDE w:val="0"/>
              <w:autoSpaceDN w:val="0"/>
              <w:adjustRightInd w:val="0"/>
              <w:rPr>
                <w:rFonts w:cs="Times New Roman"/>
                <w:sz w:val="18"/>
                <w:szCs w:val="18"/>
                <w:lang w:val="en-AU"/>
              </w:rPr>
            </w:pPr>
          </w:p>
        </w:tc>
      </w:tr>
      <w:tr w:rsidR="00113D0F" w:rsidRPr="00F71B40" w:rsidTr="0013132E">
        <w:tc>
          <w:tcPr>
            <w:tcW w:w="563" w:type="pct"/>
            <w:tcBorders>
              <w:top w:val="single" w:sz="4" w:space="0" w:color="auto"/>
              <w:left w:val="single" w:sz="4" w:space="0" w:color="auto"/>
              <w:bottom w:val="single" w:sz="4" w:space="0" w:color="auto"/>
            </w:tcBorders>
            <w:tcMar>
              <w:left w:w="29" w:type="dxa"/>
              <w:right w:w="29" w:type="dxa"/>
            </w:tcMar>
            <w:vAlign w:val="center"/>
          </w:tcPr>
          <w:p w:rsidR="00113D0F" w:rsidRPr="00F71B40" w:rsidRDefault="00113D0F" w:rsidP="00D62A32">
            <w:pPr>
              <w:autoSpaceDE w:val="0"/>
              <w:autoSpaceDN w:val="0"/>
              <w:adjustRightInd w:val="0"/>
              <w:rPr>
                <w:rFonts w:cs="Times New Roman"/>
                <w:sz w:val="18"/>
                <w:szCs w:val="18"/>
                <w:lang w:val="en-AU"/>
              </w:rPr>
            </w:pPr>
            <w:r w:rsidRPr="00F71B40">
              <w:rPr>
                <w:rFonts w:cs="Times New Roman"/>
                <w:sz w:val="18"/>
                <w:szCs w:val="18"/>
                <w:lang w:val="en-AU"/>
              </w:rPr>
              <w:t>Police</w:t>
            </w:r>
          </w:p>
        </w:tc>
        <w:tc>
          <w:tcPr>
            <w:tcW w:w="104" w:type="pct"/>
            <w:vMerge/>
            <w:shd w:val="clear" w:color="auto" w:fill="auto"/>
          </w:tcPr>
          <w:p w:rsidR="00113D0F" w:rsidRPr="00F71B40" w:rsidRDefault="00113D0F" w:rsidP="00D62A32">
            <w:pPr>
              <w:autoSpaceDE w:val="0"/>
              <w:autoSpaceDN w:val="0"/>
              <w:adjustRightInd w:val="0"/>
              <w:rPr>
                <w:rFonts w:cs="Times New Roman"/>
                <w:sz w:val="18"/>
                <w:szCs w:val="18"/>
                <w:lang w:val="en-AU"/>
              </w:rPr>
            </w:pPr>
          </w:p>
        </w:tc>
        <w:tc>
          <w:tcPr>
            <w:tcW w:w="1155" w:type="pct"/>
            <w:tcBorders>
              <w:top w:val="single" w:sz="4" w:space="0" w:color="auto"/>
              <w:bottom w:val="single" w:sz="4" w:space="0" w:color="auto"/>
            </w:tcBorders>
            <w:shd w:val="clear" w:color="auto" w:fill="EEECE1" w:themeFill="background2"/>
            <w:tcMar>
              <w:left w:w="29" w:type="dxa"/>
              <w:right w:w="29" w:type="dxa"/>
            </w:tcMar>
            <w:vAlign w:val="center"/>
          </w:tcPr>
          <w:p w:rsidR="00113D0F" w:rsidRPr="00F71B40" w:rsidRDefault="00113D0F" w:rsidP="00D62A32">
            <w:pPr>
              <w:autoSpaceDE w:val="0"/>
              <w:autoSpaceDN w:val="0"/>
              <w:adjustRightInd w:val="0"/>
              <w:rPr>
                <w:rFonts w:cs="Times New Roman"/>
                <w:sz w:val="18"/>
                <w:szCs w:val="18"/>
                <w:lang w:val="en-AU"/>
              </w:rPr>
            </w:pPr>
          </w:p>
        </w:tc>
        <w:tc>
          <w:tcPr>
            <w:tcW w:w="89" w:type="pct"/>
            <w:vMerge/>
            <w:tcMar>
              <w:left w:w="29" w:type="dxa"/>
              <w:right w:w="29" w:type="dxa"/>
            </w:tcMar>
            <w:vAlign w:val="center"/>
          </w:tcPr>
          <w:p w:rsidR="00113D0F" w:rsidRPr="00F71B40" w:rsidRDefault="00113D0F" w:rsidP="00D62A32">
            <w:pPr>
              <w:autoSpaceDE w:val="0"/>
              <w:autoSpaceDN w:val="0"/>
              <w:adjustRightInd w:val="0"/>
              <w:rPr>
                <w:rFonts w:cs="Times New Roman"/>
                <w:sz w:val="18"/>
                <w:szCs w:val="18"/>
                <w:lang w:val="en-AU"/>
              </w:rPr>
            </w:pPr>
          </w:p>
        </w:tc>
        <w:tc>
          <w:tcPr>
            <w:tcW w:w="1687" w:type="pct"/>
            <w:gridSpan w:val="4"/>
            <w:tcBorders>
              <w:top w:val="single" w:sz="4" w:space="0" w:color="auto"/>
              <w:bottom w:val="single" w:sz="4" w:space="0" w:color="auto"/>
            </w:tcBorders>
            <w:shd w:val="clear" w:color="auto" w:fill="BFBFBF" w:themeFill="background1" w:themeFillShade="BF"/>
            <w:tcMar>
              <w:left w:w="29" w:type="dxa"/>
              <w:right w:w="29" w:type="dxa"/>
            </w:tcMar>
            <w:vAlign w:val="center"/>
          </w:tcPr>
          <w:p w:rsidR="00113D0F" w:rsidRPr="00F71B40" w:rsidRDefault="00113D0F" w:rsidP="00D62A32">
            <w:pPr>
              <w:autoSpaceDE w:val="0"/>
              <w:autoSpaceDN w:val="0"/>
              <w:adjustRightInd w:val="0"/>
              <w:rPr>
                <w:rFonts w:cs="Times New Roman"/>
                <w:sz w:val="18"/>
                <w:szCs w:val="18"/>
                <w:lang w:val="en-AU"/>
              </w:rPr>
            </w:pPr>
            <w:r w:rsidRPr="00F71B40">
              <w:rPr>
                <w:rFonts w:cs="Times New Roman"/>
                <w:sz w:val="18"/>
                <w:szCs w:val="18"/>
                <w:lang w:val="en-AU"/>
              </w:rPr>
              <w:t>Participating Police Force  to restore law and order</w:t>
            </w:r>
          </w:p>
        </w:tc>
        <w:tc>
          <w:tcPr>
            <w:tcW w:w="79" w:type="pct"/>
            <w:vMerge/>
            <w:tcMar>
              <w:left w:w="29" w:type="dxa"/>
              <w:right w:w="29" w:type="dxa"/>
            </w:tcMar>
            <w:vAlign w:val="center"/>
          </w:tcPr>
          <w:p w:rsidR="00113D0F" w:rsidRPr="00F71B40" w:rsidRDefault="00113D0F" w:rsidP="00D62A32">
            <w:pPr>
              <w:autoSpaceDE w:val="0"/>
              <w:autoSpaceDN w:val="0"/>
              <w:adjustRightInd w:val="0"/>
              <w:rPr>
                <w:rFonts w:cs="Times New Roman"/>
                <w:sz w:val="18"/>
                <w:szCs w:val="18"/>
                <w:lang w:val="en-AU"/>
              </w:rPr>
            </w:pPr>
          </w:p>
        </w:tc>
        <w:tc>
          <w:tcPr>
            <w:tcW w:w="1322" w:type="pct"/>
            <w:gridSpan w:val="2"/>
            <w:tcBorders>
              <w:top w:val="single" w:sz="4" w:space="0" w:color="auto"/>
              <w:bottom w:val="single" w:sz="4" w:space="0" w:color="auto"/>
              <w:right w:val="single" w:sz="4" w:space="0" w:color="auto"/>
            </w:tcBorders>
            <w:shd w:val="clear" w:color="auto" w:fill="EEECE1" w:themeFill="background2"/>
            <w:tcMar>
              <w:left w:w="29" w:type="dxa"/>
              <w:right w:w="29" w:type="dxa"/>
            </w:tcMar>
            <w:vAlign w:val="center"/>
          </w:tcPr>
          <w:p w:rsidR="00113D0F" w:rsidRPr="00F71B40" w:rsidRDefault="00113D0F" w:rsidP="00D62A32">
            <w:pPr>
              <w:autoSpaceDE w:val="0"/>
              <w:autoSpaceDN w:val="0"/>
              <w:adjustRightInd w:val="0"/>
              <w:rPr>
                <w:rFonts w:cs="Times New Roman"/>
                <w:sz w:val="18"/>
                <w:szCs w:val="18"/>
                <w:lang w:val="en-AU"/>
              </w:rPr>
            </w:pPr>
            <w:r w:rsidRPr="00F71B40">
              <w:rPr>
                <w:rFonts w:cs="Times New Roman"/>
                <w:sz w:val="18"/>
                <w:szCs w:val="18"/>
                <w:lang w:val="en-AU"/>
              </w:rPr>
              <w:t>RAMSI is now solely a policing mission, working in partnership with the Royal SI  Police Force</w:t>
            </w:r>
          </w:p>
        </w:tc>
      </w:tr>
      <w:tr w:rsidR="00113D0F" w:rsidRPr="00F71B40" w:rsidTr="0013132E">
        <w:tc>
          <w:tcPr>
            <w:tcW w:w="563" w:type="pct"/>
            <w:tcBorders>
              <w:top w:val="single" w:sz="4" w:space="0" w:color="auto"/>
              <w:left w:val="single" w:sz="4" w:space="0" w:color="auto"/>
              <w:bottom w:val="single" w:sz="4" w:space="0" w:color="auto"/>
            </w:tcBorders>
            <w:tcMar>
              <w:left w:w="29" w:type="dxa"/>
              <w:right w:w="29" w:type="dxa"/>
            </w:tcMar>
            <w:vAlign w:val="center"/>
          </w:tcPr>
          <w:p w:rsidR="00113D0F" w:rsidRPr="00F71B40" w:rsidRDefault="00113D0F" w:rsidP="00D62A32">
            <w:pPr>
              <w:autoSpaceDE w:val="0"/>
              <w:autoSpaceDN w:val="0"/>
              <w:adjustRightInd w:val="0"/>
              <w:rPr>
                <w:rFonts w:cs="Times New Roman"/>
                <w:sz w:val="18"/>
                <w:szCs w:val="18"/>
                <w:lang w:val="en-AU"/>
              </w:rPr>
            </w:pPr>
            <w:r w:rsidRPr="00F71B40">
              <w:rPr>
                <w:rFonts w:cs="Times New Roman"/>
                <w:sz w:val="18"/>
                <w:szCs w:val="18"/>
                <w:lang w:val="en-AU"/>
              </w:rPr>
              <w:t>Security and civil society</w:t>
            </w:r>
          </w:p>
        </w:tc>
        <w:tc>
          <w:tcPr>
            <w:tcW w:w="104" w:type="pct"/>
            <w:vMerge/>
            <w:shd w:val="clear" w:color="auto" w:fill="auto"/>
          </w:tcPr>
          <w:p w:rsidR="00113D0F" w:rsidRPr="00F71B40" w:rsidRDefault="00113D0F" w:rsidP="00D62A32">
            <w:pPr>
              <w:autoSpaceDE w:val="0"/>
              <w:autoSpaceDN w:val="0"/>
              <w:adjustRightInd w:val="0"/>
              <w:rPr>
                <w:rFonts w:cs="Times New Roman"/>
                <w:sz w:val="18"/>
                <w:szCs w:val="18"/>
                <w:lang w:val="en-AU"/>
              </w:rPr>
            </w:pPr>
          </w:p>
        </w:tc>
        <w:tc>
          <w:tcPr>
            <w:tcW w:w="1155" w:type="pct"/>
            <w:tcBorders>
              <w:top w:val="single" w:sz="4" w:space="0" w:color="auto"/>
              <w:bottom w:val="single" w:sz="4" w:space="0" w:color="auto"/>
            </w:tcBorders>
            <w:shd w:val="clear" w:color="auto" w:fill="EEECE1" w:themeFill="background2"/>
            <w:tcMar>
              <w:left w:w="29" w:type="dxa"/>
              <w:right w:w="29" w:type="dxa"/>
            </w:tcMar>
            <w:vAlign w:val="center"/>
          </w:tcPr>
          <w:p w:rsidR="00113D0F" w:rsidRPr="00F71B40" w:rsidRDefault="00113D0F" w:rsidP="00D62A32">
            <w:pPr>
              <w:autoSpaceDE w:val="0"/>
              <w:autoSpaceDN w:val="0"/>
              <w:adjustRightInd w:val="0"/>
              <w:rPr>
                <w:rFonts w:cs="Times New Roman"/>
                <w:sz w:val="18"/>
                <w:szCs w:val="18"/>
                <w:lang w:val="en-AU"/>
              </w:rPr>
            </w:pPr>
            <w:r w:rsidRPr="00F71B40">
              <w:rPr>
                <w:rFonts w:cs="Times New Roman"/>
                <w:sz w:val="18"/>
                <w:szCs w:val="18"/>
                <w:lang w:val="en-AU"/>
              </w:rPr>
              <w:t>Peaceful civil society (&gt;US$1m), Peace monitoring (&gt;US$1m), Peacekeeping (&gt;US$1m)</w:t>
            </w:r>
          </w:p>
          <w:p w:rsidR="00113D0F" w:rsidRPr="00F71B40" w:rsidRDefault="00113D0F" w:rsidP="00D62A32">
            <w:pPr>
              <w:autoSpaceDE w:val="0"/>
              <w:autoSpaceDN w:val="0"/>
              <w:adjustRightInd w:val="0"/>
              <w:rPr>
                <w:rFonts w:cs="Times New Roman"/>
                <w:sz w:val="18"/>
                <w:szCs w:val="18"/>
                <w:lang w:val="en-AU"/>
              </w:rPr>
            </w:pPr>
            <w:r w:rsidRPr="00F71B40">
              <w:rPr>
                <w:rFonts w:cs="Times New Roman"/>
                <w:sz w:val="18"/>
                <w:szCs w:val="18"/>
                <w:lang w:val="en-AU"/>
              </w:rPr>
              <w:t>+ 3 others</w:t>
            </w:r>
          </w:p>
        </w:tc>
        <w:tc>
          <w:tcPr>
            <w:tcW w:w="89" w:type="pct"/>
            <w:vMerge/>
            <w:tcMar>
              <w:left w:w="29" w:type="dxa"/>
              <w:right w:w="29" w:type="dxa"/>
            </w:tcMar>
            <w:vAlign w:val="center"/>
          </w:tcPr>
          <w:p w:rsidR="00113D0F" w:rsidRPr="00F71B40" w:rsidRDefault="00113D0F" w:rsidP="00D62A32">
            <w:pPr>
              <w:autoSpaceDE w:val="0"/>
              <w:autoSpaceDN w:val="0"/>
              <w:adjustRightInd w:val="0"/>
              <w:rPr>
                <w:rFonts w:cs="Times New Roman"/>
                <w:sz w:val="18"/>
                <w:szCs w:val="18"/>
                <w:lang w:val="en-AU"/>
              </w:rPr>
            </w:pPr>
          </w:p>
        </w:tc>
        <w:tc>
          <w:tcPr>
            <w:tcW w:w="830" w:type="pct"/>
            <w:gridSpan w:val="2"/>
            <w:tcBorders>
              <w:top w:val="single" w:sz="4" w:space="0" w:color="auto"/>
              <w:bottom w:val="single" w:sz="4" w:space="0" w:color="auto"/>
            </w:tcBorders>
            <w:shd w:val="clear" w:color="auto" w:fill="BFBFBF" w:themeFill="background1" w:themeFillShade="BF"/>
            <w:tcMar>
              <w:left w:w="29" w:type="dxa"/>
              <w:right w:w="29" w:type="dxa"/>
            </w:tcMar>
            <w:vAlign w:val="center"/>
          </w:tcPr>
          <w:p w:rsidR="00113D0F" w:rsidRPr="00F71B40" w:rsidRDefault="00113D0F" w:rsidP="00D62A32">
            <w:pPr>
              <w:autoSpaceDE w:val="0"/>
              <w:autoSpaceDN w:val="0"/>
              <w:adjustRightInd w:val="0"/>
              <w:rPr>
                <w:rFonts w:cs="Times New Roman"/>
                <w:sz w:val="18"/>
                <w:szCs w:val="18"/>
                <w:lang w:val="en-AU"/>
              </w:rPr>
            </w:pPr>
            <w:r w:rsidRPr="00F71B40">
              <w:rPr>
                <w:rFonts w:cs="Times New Roman"/>
                <w:sz w:val="18"/>
                <w:szCs w:val="18"/>
                <w:lang w:val="en-AU"/>
              </w:rPr>
              <w:t>Combined Task Force to provide protection for the PPF and other parts of the Mission</w:t>
            </w:r>
          </w:p>
        </w:tc>
        <w:tc>
          <w:tcPr>
            <w:tcW w:w="857" w:type="pct"/>
            <w:gridSpan w:val="2"/>
            <w:tcBorders>
              <w:top w:val="single" w:sz="4" w:space="0" w:color="auto"/>
              <w:bottom w:val="single" w:sz="4" w:space="0" w:color="auto"/>
            </w:tcBorders>
            <w:shd w:val="clear" w:color="auto" w:fill="EEECE1" w:themeFill="background2"/>
            <w:vAlign w:val="center"/>
          </w:tcPr>
          <w:p w:rsidR="00113D0F" w:rsidRPr="00F71B40" w:rsidRDefault="00113D0F" w:rsidP="00D62A32">
            <w:pPr>
              <w:autoSpaceDE w:val="0"/>
              <w:autoSpaceDN w:val="0"/>
              <w:adjustRightInd w:val="0"/>
              <w:rPr>
                <w:rFonts w:cs="Times New Roman"/>
                <w:sz w:val="18"/>
                <w:szCs w:val="18"/>
                <w:lang w:val="en-AU"/>
              </w:rPr>
            </w:pPr>
            <w:r w:rsidRPr="00F71B40">
              <w:rPr>
                <w:rFonts w:cs="Times New Roman"/>
                <w:sz w:val="18"/>
                <w:szCs w:val="18"/>
                <w:lang w:val="en-AU"/>
              </w:rPr>
              <w:t xml:space="preserve">Community Sector Program </w:t>
            </w:r>
          </w:p>
          <w:p w:rsidR="00113D0F" w:rsidRPr="00F71B40" w:rsidRDefault="00113D0F" w:rsidP="00D62A32">
            <w:pPr>
              <w:autoSpaceDE w:val="0"/>
              <w:autoSpaceDN w:val="0"/>
              <w:adjustRightInd w:val="0"/>
              <w:rPr>
                <w:rFonts w:cs="Times New Roman"/>
                <w:sz w:val="18"/>
                <w:szCs w:val="18"/>
                <w:lang w:val="en-AU"/>
              </w:rPr>
            </w:pPr>
            <w:r w:rsidRPr="00F71B40">
              <w:rPr>
                <w:rFonts w:cs="Times New Roman"/>
                <w:sz w:val="18"/>
                <w:szCs w:val="18"/>
                <w:lang w:val="en-AU"/>
              </w:rPr>
              <w:t>Solomon Islands NGO Cooperation Agreement</w:t>
            </w:r>
          </w:p>
        </w:tc>
        <w:tc>
          <w:tcPr>
            <w:tcW w:w="79" w:type="pct"/>
            <w:vMerge/>
            <w:tcMar>
              <w:left w:w="29" w:type="dxa"/>
              <w:right w:w="29" w:type="dxa"/>
            </w:tcMar>
            <w:vAlign w:val="center"/>
          </w:tcPr>
          <w:p w:rsidR="00113D0F" w:rsidRPr="00F71B40" w:rsidRDefault="00113D0F" w:rsidP="00D62A32">
            <w:pPr>
              <w:autoSpaceDE w:val="0"/>
              <w:autoSpaceDN w:val="0"/>
              <w:adjustRightInd w:val="0"/>
              <w:rPr>
                <w:rFonts w:cs="Times New Roman"/>
                <w:sz w:val="18"/>
                <w:szCs w:val="18"/>
                <w:lang w:val="en-AU"/>
              </w:rPr>
            </w:pPr>
          </w:p>
        </w:tc>
        <w:tc>
          <w:tcPr>
            <w:tcW w:w="1322" w:type="pct"/>
            <w:gridSpan w:val="2"/>
            <w:tcBorders>
              <w:top w:val="single" w:sz="4" w:space="0" w:color="auto"/>
              <w:bottom w:val="single" w:sz="4" w:space="0" w:color="auto"/>
              <w:right w:val="single" w:sz="4" w:space="0" w:color="auto"/>
            </w:tcBorders>
            <w:shd w:val="clear" w:color="auto" w:fill="EEECE1" w:themeFill="background2"/>
            <w:tcMar>
              <w:left w:w="29" w:type="dxa"/>
              <w:right w:w="29" w:type="dxa"/>
            </w:tcMar>
            <w:vAlign w:val="center"/>
          </w:tcPr>
          <w:p w:rsidR="00113D0F" w:rsidRPr="00F71B40" w:rsidRDefault="00113D0F" w:rsidP="00D62A32">
            <w:pPr>
              <w:autoSpaceDE w:val="0"/>
              <w:autoSpaceDN w:val="0"/>
              <w:adjustRightInd w:val="0"/>
              <w:rPr>
                <w:rFonts w:cs="Times New Roman"/>
                <w:sz w:val="18"/>
                <w:szCs w:val="18"/>
                <w:lang w:val="en-AU"/>
              </w:rPr>
            </w:pPr>
          </w:p>
        </w:tc>
      </w:tr>
      <w:tr w:rsidR="00113D0F" w:rsidRPr="00F71B40" w:rsidTr="0013132E">
        <w:tc>
          <w:tcPr>
            <w:tcW w:w="563" w:type="pct"/>
            <w:tcBorders>
              <w:top w:val="single" w:sz="4" w:space="0" w:color="auto"/>
              <w:left w:val="single" w:sz="4" w:space="0" w:color="auto"/>
              <w:bottom w:val="single" w:sz="4" w:space="0" w:color="auto"/>
            </w:tcBorders>
            <w:tcMar>
              <w:left w:w="29" w:type="dxa"/>
              <w:right w:w="29" w:type="dxa"/>
            </w:tcMar>
            <w:vAlign w:val="center"/>
          </w:tcPr>
          <w:p w:rsidR="00113D0F" w:rsidRPr="00F71B40" w:rsidRDefault="00113D0F" w:rsidP="00D62A32">
            <w:pPr>
              <w:autoSpaceDE w:val="0"/>
              <w:autoSpaceDN w:val="0"/>
              <w:adjustRightInd w:val="0"/>
              <w:rPr>
                <w:rFonts w:cs="Times New Roman"/>
                <w:sz w:val="18"/>
                <w:szCs w:val="18"/>
                <w:lang w:val="en-AU"/>
              </w:rPr>
            </w:pPr>
            <w:r w:rsidRPr="00F71B40">
              <w:rPr>
                <w:rFonts w:cs="Times New Roman"/>
                <w:sz w:val="18"/>
                <w:szCs w:val="18"/>
                <w:lang w:val="en-AU"/>
              </w:rPr>
              <w:t>Law and justice</w:t>
            </w:r>
          </w:p>
        </w:tc>
        <w:tc>
          <w:tcPr>
            <w:tcW w:w="104" w:type="pct"/>
            <w:vMerge/>
            <w:shd w:val="clear" w:color="auto" w:fill="auto"/>
          </w:tcPr>
          <w:p w:rsidR="00113D0F" w:rsidRPr="00F71B40" w:rsidRDefault="00113D0F" w:rsidP="00D62A32">
            <w:pPr>
              <w:autoSpaceDE w:val="0"/>
              <w:autoSpaceDN w:val="0"/>
              <w:adjustRightInd w:val="0"/>
              <w:rPr>
                <w:rFonts w:cs="Times New Roman"/>
                <w:sz w:val="18"/>
                <w:szCs w:val="18"/>
                <w:lang w:val="en-AU"/>
              </w:rPr>
            </w:pPr>
          </w:p>
        </w:tc>
        <w:tc>
          <w:tcPr>
            <w:tcW w:w="1155" w:type="pct"/>
            <w:tcBorders>
              <w:top w:val="single" w:sz="4" w:space="0" w:color="auto"/>
              <w:bottom w:val="single" w:sz="4" w:space="0" w:color="auto"/>
            </w:tcBorders>
            <w:shd w:val="clear" w:color="auto" w:fill="EEECE1" w:themeFill="background2"/>
            <w:tcMar>
              <w:left w:w="29" w:type="dxa"/>
              <w:right w:w="29" w:type="dxa"/>
            </w:tcMar>
            <w:vAlign w:val="center"/>
          </w:tcPr>
          <w:p w:rsidR="00113D0F" w:rsidRPr="00F71B40" w:rsidRDefault="00113D0F" w:rsidP="00D62A32">
            <w:pPr>
              <w:autoSpaceDE w:val="0"/>
              <w:autoSpaceDN w:val="0"/>
              <w:adjustRightInd w:val="0"/>
              <w:rPr>
                <w:rFonts w:cs="Times New Roman"/>
                <w:sz w:val="18"/>
                <w:szCs w:val="18"/>
                <w:lang w:val="en-AU"/>
              </w:rPr>
            </w:pPr>
            <w:r w:rsidRPr="00F71B40">
              <w:rPr>
                <w:rFonts w:cs="Times New Roman"/>
                <w:sz w:val="18"/>
                <w:szCs w:val="18"/>
                <w:lang w:val="en-AU"/>
              </w:rPr>
              <w:t>Law and justice institutional strengthening (&gt;US$1m) + 1 other</w:t>
            </w:r>
          </w:p>
        </w:tc>
        <w:tc>
          <w:tcPr>
            <w:tcW w:w="89" w:type="pct"/>
            <w:vMerge/>
            <w:tcMar>
              <w:left w:w="29" w:type="dxa"/>
              <w:right w:w="29" w:type="dxa"/>
            </w:tcMar>
            <w:vAlign w:val="center"/>
          </w:tcPr>
          <w:p w:rsidR="00113D0F" w:rsidRPr="00F71B40" w:rsidRDefault="00113D0F" w:rsidP="00D62A32">
            <w:pPr>
              <w:autoSpaceDE w:val="0"/>
              <w:autoSpaceDN w:val="0"/>
              <w:adjustRightInd w:val="0"/>
              <w:rPr>
                <w:rFonts w:cs="Times New Roman"/>
                <w:sz w:val="18"/>
                <w:szCs w:val="18"/>
                <w:lang w:val="en-AU"/>
              </w:rPr>
            </w:pPr>
          </w:p>
        </w:tc>
        <w:tc>
          <w:tcPr>
            <w:tcW w:w="381" w:type="pct"/>
            <w:tcBorders>
              <w:top w:val="single" w:sz="4" w:space="0" w:color="auto"/>
              <w:bottom w:val="dashed" w:sz="4" w:space="0" w:color="auto"/>
              <w:right w:val="dashed" w:sz="4" w:space="0" w:color="auto"/>
            </w:tcBorders>
            <w:shd w:val="clear" w:color="auto" w:fill="BFBFBF" w:themeFill="background1" w:themeFillShade="BF"/>
            <w:tcMar>
              <w:left w:w="29" w:type="dxa"/>
              <w:right w:w="29" w:type="dxa"/>
            </w:tcMar>
            <w:vAlign w:val="center"/>
          </w:tcPr>
          <w:p w:rsidR="00113D0F" w:rsidRPr="00F71B40" w:rsidRDefault="00113D0F" w:rsidP="00D62A32">
            <w:pPr>
              <w:autoSpaceDE w:val="0"/>
              <w:autoSpaceDN w:val="0"/>
              <w:adjustRightInd w:val="0"/>
              <w:rPr>
                <w:rFonts w:cs="Times New Roman"/>
                <w:sz w:val="18"/>
                <w:szCs w:val="18"/>
                <w:lang w:val="en-AU"/>
              </w:rPr>
            </w:pPr>
          </w:p>
        </w:tc>
        <w:tc>
          <w:tcPr>
            <w:tcW w:w="1306" w:type="pct"/>
            <w:gridSpan w:val="3"/>
            <w:tcBorders>
              <w:top w:val="single" w:sz="4" w:space="0" w:color="auto"/>
              <w:left w:val="dashed" w:sz="4" w:space="0" w:color="auto"/>
              <w:bottom w:val="single" w:sz="4" w:space="0" w:color="auto"/>
            </w:tcBorders>
            <w:shd w:val="clear" w:color="auto" w:fill="BFBFBF" w:themeFill="background1" w:themeFillShade="BF"/>
            <w:tcMar>
              <w:left w:w="29" w:type="dxa"/>
              <w:right w:w="29" w:type="dxa"/>
            </w:tcMar>
            <w:vAlign w:val="center"/>
          </w:tcPr>
          <w:p w:rsidR="00113D0F" w:rsidRPr="00F71B40" w:rsidRDefault="00113D0F" w:rsidP="00D62A32">
            <w:pPr>
              <w:autoSpaceDE w:val="0"/>
              <w:autoSpaceDN w:val="0"/>
              <w:adjustRightInd w:val="0"/>
              <w:rPr>
                <w:rFonts w:cs="Times New Roman"/>
                <w:sz w:val="18"/>
                <w:szCs w:val="18"/>
                <w:lang w:val="en-AU"/>
              </w:rPr>
            </w:pPr>
            <w:r w:rsidRPr="00F71B40">
              <w:rPr>
                <w:rFonts w:cs="Times New Roman"/>
                <w:sz w:val="18"/>
                <w:szCs w:val="18"/>
                <w:lang w:val="en-AU"/>
              </w:rPr>
              <w:t>Law and Justice program</w:t>
            </w:r>
          </w:p>
        </w:tc>
        <w:tc>
          <w:tcPr>
            <w:tcW w:w="79" w:type="pct"/>
            <w:vMerge/>
            <w:tcMar>
              <w:left w:w="29" w:type="dxa"/>
              <w:right w:w="29" w:type="dxa"/>
            </w:tcMar>
            <w:vAlign w:val="center"/>
          </w:tcPr>
          <w:p w:rsidR="00113D0F" w:rsidRPr="00F71B40" w:rsidRDefault="00113D0F" w:rsidP="00D62A32">
            <w:pPr>
              <w:autoSpaceDE w:val="0"/>
              <w:autoSpaceDN w:val="0"/>
              <w:adjustRightInd w:val="0"/>
              <w:rPr>
                <w:rFonts w:cs="Times New Roman"/>
                <w:sz w:val="18"/>
                <w:szCs w:val="18"/>
                <w:lang w:val="en-AU"/>
              </w:rPr>
            </w:pPr>
          </w:p>
        </w:tc>
        <w:tc>
          <w:tcPr>
            <w:tcW w:w="1322" w:type="pct"/>
            <w:gridSpan w:val="2"/>
            <w:tcBorders>
              <w:top w:val="single" w:sz="4" w:space="0" w:color="auto"/>
              <w:bottom w:val="single" w:sz="4" w:space="0" w:color="auto"/>
              <w:right w:val="single" w:sz="4" w:space="0" w:color="auto"/>
            </w:tcBorders>
            <w:shd w:val="clear" w:color="auto" w:fill="EEECE1" w:themeFill="background2"/>
            <w:tcMar>
              <w:left w:w="29" w:type="dxa"/>
              <w:right w:w="29" w:type="dxa"/>
            </w:tcMar>
            <w:vAlign w:val="center"/>
          </w:tcPr>
          <w:p w:rsidR="00113D0F" w:rsidRPr="00F71B40" w:rsidRDefault="00113D0F" w:rsidP="00D62A32">
            <w:pPr>
              <w:autoSpaceDE w:val="0"/>
              <w:autoSpaceDN w:val="0"/>
              <w:adjustRightInd w:val="0"/>
              <w:rPr>
                <w:rFonts w:cs="Times New Roman"/>
                <w:sz w:val="18"/>
                <w:szCs w:val="18"/>
                <w:lang w:val="en-AU"/>
              </w:rPr>
            </w:pPr>
            <w:r w:rsidRPr="00F71B40">
              <w:rPr>
                <w:rFonts w:cs="Times New Roman"/>
                <w:sz w:val="18"/>
                <w:szCs w:val="18"/>
                <w:lang w:val="en-AU"/>
              </w:rPr>
              <w:t>Solomon Islands Justice Program</w:t>
            </w:r>
          </w:p>
        </w:tc>
      </w:tr>
      <w:tr w:rsidR="00113D0F" w:rsidRPr="00F71B40" w:rsidTr="0013132E">
        <w:tc>
          <w:tcPr>
            <w:tcW w:w="563" w:type="pct"/>
            <w:vMerge w:val="restart"/>
            <w:tcBorders>
              <w:top w:val="single" w:sz="4" w:space="0" w:color="auto"/>
              <w:left w:val="single" w:sz="4" w:space="0" w:color="auto"/>
            </w:tcBorders>
            <w:tcMar>
              <w:left w:w="29" w:type="dxa"/>
              <w:right w:w="29" w:type="dxa"/>
            </w:tcMar>
            <w:vAlign w:val="center"/>
          </w:tcPr>
          <w:p w:rsidR="00113D0F" w:rsidRPr="00F71B40" w:rsidRDefault="00113D0F" w:rsidP="00D62A32">
            <w:pPr>
              <w:autoSpaceDE w:val="0"/>
              <w:autoSpaceDN w:val="0"/>
              <w:adjustRightInd w:val="0"/>
              <w:rPr>
                <w:rFonts w:cs="Times New Roman"/>
                <w:sz w:val="18"/>
                <w:szCs w:val="18"/>
                <w:lang w:val="en-AU"/>
              </w:rPr>
            </w:pPr>
            <w:r w:rsidRPr="00F71B40">
              <w:rPr>
                <w:rFonts w:cs="Times New Roman"/>
                <w:sz w:val="18"/>
                <w:szCs w:val="18"/>
                <w:lang w:val="en-AU"/>
              </w:rPr>
              <w:t>Public sector</w:t>
            </w:r>
            <w:r w:rsidR="00995D00" w:rsidRPr="00F71B40">
              <w:rPr>
                <w:rFonts w:cs="Times New Roman"/>
                <w:sz w:val="18"/>
                <w:szCs w:val="18"/>
                <w:lang w:val="en-AU"/>
              </w:rPr>
              <w:t xml:space="preserve"> management</w:t>
            </w:r>
          </w:p>
        </w:tc>
        <w:tc>
          <w:tcPr>
            <w:tcW w:w="104" w:type="pct"/>
            <w:vMerge/>
            <w:shd w:val="clear" w:color="auto" w:fill="auto"/>
          </w:tcPr>
          <w:p w:rsidR="00113D0F" w:rsidRPr="00F71B40" w:rsidRDefault="00113D0F" w:rsidP="00D62A32">
            <w:pPr>
              <w:autoSpaceDE w:val="0"/>
              <w:autoSpaceDN w:val="0"/>
              <w:adjustRightInd w:val="0"/>
              <w:rPr>
                <w:rFonts w:cs="Times New Roman"/>
                <w:sz w:val="18"/>
                <w:szCs w:val="18"/>
                <w:lang w:val="en-AU"/>
              </w:rPr>
            </w:pPr>
          </w:p>
        </w:tc>
        <w:tc>
          <w:tcPr>
            <w:tcW w:w="1155" w:type="pct"/>
            <w:vMerge w:val="restart"/>
            <w:tcBorders>
              <w:top w:val="single" w:sz="4" w:space="0" w:color="auto"/>
            </w:tcBorders>
            <w:shd w:val="clear" w:color="auto" w:fill="EEECE1" w:themeFill="background2"/>
            <w:tcMar>
              <w:left w:w="29" w:type="dxa"/>
              <w:right w:w="29" w:type="dxa"/>
            </w:tcMar>
            <w:vAlign w:val="center"/>
          </w:tcPr>
          <w:p w:rsidR="00113D0F" w:rsidRPr="00F71B40" w:rsidRDefault="00113D0F" w:rsidP="00D62A32">
            <w:pPr>
              <w:autoSpaceDE w:val="0"/>
              <w:autoSpaceDN w:val="0"/>
              <w:adjustRightInd w:val="0"/>
              <w:rPr>
                <w:rFonts w:cs="Times New Roman"/>
                <w:sz w:val="18"/>
                <w:szCs w:val="18"/>
                <w:lang w:val="en-AU"/>
              </w:rPr>
            </w:pPr>
          </w:p>
        </w:tc>
        <w:tc>
          <w:tcPr>
            <w:tcW w:w="89" w:type="pct"/>
            <w:vMerge/>
            <w:tcMar>
              <w:left w:w="29" w:type="dxa"/>
              <w:right w:w="29" w:type="dxa"/>
            </w:tcMar>
            <w:vAlign w:val="center"/>
          </w:tcPr>
          <w:p w:rsidR="00113D0F" w:rsidRPr="00F71B40" w:rsidRDefault="00113D0F" w:rsidP="00D62A32">
            <w:pPr>
              <w:autoSpaceDE w:val="0"/>
              <w:autoSpaceDN w:val="0"/>
              <w:adjustRightInd w:val="0"/>
              <w:rPr>
                <w:rFonts w:cs="Times New Roman"/>
                <w:sz w:val="18"/>
                <w:szCs w:val="18"/>
                <w:lang w:val="en-AU"/>
              </w:rPr>
            </w:pPr>
          </w:p>
        </w:tc>
        <w:tc>
          <w:tcPr>
            <w:tcW w:w="381" w:type="pct"/>
            <w:vMerge w:val="restart"/>
            <w:tcBorders>
              <w:top w:val="dashed" w:sz="4" w:space="0" w:color="auto"/>
              <w:right w:val="dashed" w:sz="4" w:space="0" w:color="auto"/>
            </w:tcBorders>
            <w:shd w:val="clear" w:color="auto" w:fill="BFBFBF" w:themeFill="background1" w:themeFillShade="BF"/>
            <w:tcMar>
              <w:left w:w="29" w:type="dxa"/>
              <w:right w:w="29" w:type="dxa"/>
            </w:tcMar>
            <w:vAlign w:val="center"/>
          </w:tcPr>
          <w:p w:rsidR="00113D0F" w:rsidRPr="00F71B40" w:rsidRDefault="00113D0F" w:rsidP="00D62A32">
            <w:pPr>
              <w:autoSpaceDE w:val="0"/>
              <w:autoSpaceDN w:val="0"/>
              <w:adjustRightInd w:val="0"/>
              <w:rPr>
                <w:rFonts w:cs="Times New Roman"/>
                <w:sz w:val="18"/>
                <w:szCs w:val="18"/>
                <w:lang w:val="en-AU"/>
              </w:rPr>
            </w:pPr>
            <w:r w:rsidRPr="00F71B40">
              <w:rPr>
                <w:rFonts w:cs="Times New Roman"/>
                <w:sz w:val="18"/>
                <w:szCs w:val="18"/>
                <w:lang w:val="en-AU"/>
              </w:rPr>
              <w:t xml:space="preserve">Civilian development programs </w:t>
            </w:r>
          </w:p>
        </w:tc>
        <w:tc>
          <w:tcPr>
            <w:tcW w:w="508" w:type="pct"/>
            <w:gridSpan w:val="2"/>
            <w:vMerge w:val="restart"/>
            <w:tcBorders>
              <w:top w:val="single" w:sz="4" w:space="0" w:color="auto"/>
              <w:left w:val="dashed" w:sz="4" w:space="0" w:color="auto"/>
            </w:tcBorders>
            <w:shd w:val="clear" w:color="auto" w:fill="BFBFBF" w:themeFill="background1" w:themeFillShade="BF"/>
            <w:tcMar>
              <w:left w:w="29" w:type="dxa"/>
              <w:right w:w="29" w:type="dxa"/>
            </w:tcMar>
            <w:vAlign w:val="center"/>
          </w:tcPr>
          <w:p w:rsidR="00113D0F" w:rsidRPr="00F71B40" w:rsidRDefault="00113D0F" w:rsidP="00D62A32">
            <w:pPr>
              <w:autoSpaceDE w:val="0"/>
              <w:autoSpaceDN w:val="0"/>
              <w:adjustRightInd w:val="0"/>
              <w:rPr>
                <w:rFonts w:cs="Times New Roman"/>
                <w:sz w:val="18"/>
                <w:szCs w:val="18"/>
                <w:lang w:val="en-AU"/>
              </w:rPr>
            </w:pPr>
            <w:r w:rsidRPr="00F71B40">
              <w:rPr>
                <w:rFonts w:cs="Times New Roman"/>
                <w:sz w:val="18"/>
                <w:szCs w:val="18"/>
                <w:lang w:val="en-AU"/>
              </w:rPr>
              <w:t>Machinery of Government program</w:t>
            </w:r>
          </w:p>
        </w:tc>
        <w:tc>
          <w:tcPr>
            <w:tcW w:w="798" w:type="pct"/>
            <w:tcBorders>
              <w:top w:val="single" w:sz="4" w:space="0" w:color="auto"/>
            </w:tcBorders>
            <w:shd w:val="clear" w:color="auto" w:fill="BFBFBF" w:themeFill="background1" w:themeFillShade="BF"/>
            <w:tcMar>
              <w:left w:w="29" w:type="dxa"/>
              <w:right w:w="29" w:type="dxa"/>
            </w:tcMar>
            <w:vAlign w:val="center"/>
          </w:tcPr>
          <w:p w:rsidR="00113D0F" w:rsidRPr="00F71B40" w:rsidRDefault="00113D0F" w:rsidP="00D62A32">
            <w:pPr>
              <w:autoSpaceDE w:val="0"/>
              <w:autoSpaceDN w:val="0"/>
              <w:adjustRightInd w:val="0"/>
              <w:rPr>
                <w:rFonts w:cs="Times New Roman"/>
                <w:sz w:val="18"/>
                <w:szCs w:val="18"/>
                <w:lang w:val="en-AU"/>
              </w:rPr>
            </w:pPr>
            <w:r w:rsidRPr="00F71B40">
              <w:rPr>
                <w:rFonts w:cs="Times New Roman"/>
                <w:sz w:val="18"/>
                <w:szCs w:val="18"/>
                <w:lang w:val="en-AU"/>
              </w:rPr>
              <w:t>Accountability</w:t>
            </w:r>
          </w:p>
        </w:tc>
        <w:tc>
          <w:tcPr>
            <w:tcW w:w="79" w:type="pct"/>
            <w:vMerge/>
            <w:tcMar>
              <w:left w:w="29" w:type="dxa"/>
              <w:right w:w="29" w:type="dxa"/>
            </w:tcMar>
            <w:vAlign w:val="center"/>
          </w:tcPr>
          <w:p w:rsidR="00113D0F" w:rsidRPr="00F71B40" w:rsidRDefault="00113D0F" w:rsidP="00D62A32">
            <w:pPr>
              <w:autoSpaceDE w:val="0"/>
              <w:autoSpaceDN w:val="0"/>
              <w:adjustRightInd w:val="0"/>
              <w:rPr>
                <w:rFonts w:cs="Times New Roman"/>
                <w:sz w:val="18"/>
                <w:szCs w:val="18"/>
                <w:lang w:val="en-AU"/>
              </w:rPr>
            </w:pPr>
          </w:p>
        </w:tc>
        <w:tc>
          <w:tcPr>
            <w:tcW w:w="353" w:type="pct"/>
            <w:vMerge w:val="restart"/>
            <w:tcBorders>
              <w:top w:val="single" w:sz="4" w:space="0" w:color="auto"/>
              <w:right w:val="dashed" w:sz="4" w:space="0" w:color="auto"/>
            </w:tcBorders>
            <w:shd w:val="clear" w:color="auto" w:fill="EEECE1" w:themeFill="background2"/>
            <w:tcMar>
              <w:left w:w="29" w:type="dxa"/>
              <w:right w:w="29" w:type="dxa"/>
            </w:tcMar>
            <w:vAlign w:val="center"/>
          </w:tcPr>
          <w:p w:rsidR="00CA3F7F" w:rsidRPr="00F71B40" w:rsidRDefault="00CA3F7F" w:rsidP="00D62A32">
            <w:pPr>
              <w:autoSpaceDE w:val="0"/>
              <w:autoSpaceDN w:val="0"/>
              <w:adjustRightInd w:val="0"/>
              <w:rPr>
                <w:rFonts w:cs="Times New Roman"/>
                <w:sz w:val="18"/>
                <w:szCs w:val="18"/>
                <w:lang w:val="en-AU"/>
              </w:rPr>
            </w:pPr>
          </w:p>
          <w:p w:rsidR="00AC3835" w:rsidRPr="00F71B40" w:rsidRDefault="00AC3835" w:rsidP="00D62A32">
            <w:pPr>
              <w:autoSpaceDE w:val="0"/>
              <w:autoSpaceDN w:val="0"/>
              <w:adjustRightInd w:val="0"/>
              <w:rPr>
                <w:rFonts w:cs="Times New Roman"/>
                <w:sz w:val="18"/>
                <w:szCs w:val="18"/>
                <w:lang w:val="en-AU"/>
              </w:rPr>
            </w:pPr>
          </w:p>
          <w:p w:rsidR="00113D0F" w:rsidRPr="00F71B40" w:rsidRDefault="00113D0F" w:rsidP="00D62A32">
            <w:pPr>
              <w:autoSpaceDE w:val="0"/>
              <w:autoSpaceDN w:val="0"/>
              <w:adjustRightInd w:val="0"/>
              <w:rPr>
                <w:rFonts w:cs="Times New Roman"/>
                <w:sz w:val="18"/>
                <w:szCs w:val="18"/>
                <w:lang w:val="en-AU"/>
              </w:rPr>
            </w:pPr>
            <w:r w:rsidRPr="00F71B40">
              <w:rPr>
                <w:rFonts w:cs="Times New Roman"/>
                <w:sz w:val="18"/>
                <w:szCs w:val="18"/>
                <w:lang w:val="en-AU"/>
              </w:rPr>
              <w:t>SIGOV</w:t>
            </w:r>
          </w:p>
        </w:tc>
        <w:tc>
          <w:tcPr>
            <w:tcW w:w="969" w:type="pct"/>
            <w:tcBorders>
              <w:top w:val="single" w:sz="4" w:space="0" w:color="auto"/>
              <w:left w:val="dashed" w:sz="4" w:space="0" w:color="auto"/>
              <w:right w:val="single" w:sz="4" w:space="0" w:color="auto"/>
            </w:tcBorders>
            <w:shd w:val="clear" w:color="auto" w:fill="EEECE1" w:themeFill="background2"/>
            <w:tcMar>
              <w:left w:w="29" w:type="dxa"/>
              <w:right w:w="29" w:type="dxa"/>
            </w:tcMar>
            <w:vAlign w:val="center"/>
          </w:tcPr>
          <w:p w:rsidR="00113D0F" w:rsidRPr="00F71B40" w:rsidRDefault="00113D0F" w:rsidP="00D62A32">
            <w:pPr>
              <w:autoSpaceDE w:val="0"/>
              <w:autoSpaceDN w:val="0"/>
              <w:adjustRightInd w:val="0"/>
              <w:rPr>
                <w:rFonts w:cs="Times New Roman"/>
                <w:sz w:val="18"/>
                <w:szCs w:val="18"/>
                <w:lang w:val="en-AU"/>
              </w:rPr>
            </w:pPr>
            <w:r w:rsidRPr="00F71B40">
              <w:rPr>
                <w:rFonts w:cs="Times New Roman"/>
                <w:sz w:val="18"/>
                <w:szCs w:val="18"/>
                <w:lang w:val="en-AU"/>
              </w:rPr>
              <w:t xml:space="preserve">Public service performance </w:t>
            </w:r>
          </w:p>
        </w:tc>
      </w:tr>
      <w:tr w:rsidR="00113D0F" w:rsidRPr="00F71B40" w:rsidTr="0013132E">
        <w:tc>
          <w:tcPr>
            <w:tcW w:w="563" w:type="pct"/>
            <w:vMerge/>
            <w:tcBorders>
              <w:left w:val="single" w:sz="4" w:space="0" w:color="auto"/>
            </w:tcBorders>
            <w:tcMar>
              <w:left w:w="29" w:type="dxa"/>
              <w:right w:w="29" w:type="dxa"/>
            </w:tcMar>
            <w:vAlign w:val="center"/>
          </w:tcPr>
          <w:p w:rsidR="00113D0F" w:rsidRPr="00F71B40" w:rsidRDefault="00113D0F" w:rsidP="00D62A32">
            <w:pPr>
              <w:autoSpaceDE w:val="0"/>
              <w:autoSpaceDN w:val="0"/>
              <w:adjustRightInd w:val="0"/>
              <w:rPr>
                <w:rFonts w:cs="Times New Roman"/>
                <w:sz w:val="18"/>
                <w:szCs w:val="18"/>
                <w:lang w:val="en-AU"/>
              </w:rPr>
            </w:pPr>
          </w:p>
        </w:tc>
        <w:tc>
          <w:tcPr>
            <w:tcW w:w="104" w:type="pct"/>
            <w:vMerge/>
            <w:shd w:val="clear" w:color="auto" w:fill="auto"/>
          </w:tcPr>
          <w:p w:rsidR="00113D0F" w:rsidRPr="00F71B40" w:rsidRDefault="00113D0F" w:rsidP="00D62A32">
            <w:pPr>
              <w:autoSpaceDE w:val="0"/>
              <w:autoSpaceDN w:val="0"/>
              <w:adjustRightInd w:val="0"/>
              <w:rPr>
                <w:rFonts w:cs="Times New Roman"/>
                <w:sz w:val="18"/>
                <w:szCs w:val="18"/>
                <w:lang w:val="en-AU"/>
              </w:rPr>
            </w:pPr>
          </w:p>
        </w:tc>
        <w:tc>
          <w:tcPr>
            <w:tcW w:w="1155" w:type="pct"/>
            <w:vMerge/>
            <w:shd w:val="clear" w:color="auto" w:fill="EEECE1" w:themeFill="background2"/>
            <w:tcMar>
              <w:left w:w="29" w:type="dxa"/>
              <w:right w:w="29" w:type="dxa"/>
            </w:tcMar>
            <w:vAlign w:val="center"/>
          </w:tcPr>
          <w:p w:rsidR="00113D0F" w:rsidRPr="00F71B40" w:rsidRDefault="00113D0F" w:rsidP="00D62A32">
            <w:pPr>
              <w:autoSpaceDE w:val="0"/>
              <w:autoSpaceDN w:val="0"/>
              <w:adjustRightInd w:val="0"/>
              <w:rPr>
                <w:rFonts w:cs="Times New Roman"/>
                <w:sz w:val="18"/>
                <w:szCs w:val="18"/>
                <w:lang w:val="en-AU"/>
              </w:rPr>
            </w:pPr>
          </w:p>
        </w:tc>
        <w:tc>
          <w:tcPr>
            <w:tcW w:w="89" w:type="pct"/>
            <w:vMerge/>
            <w:tcMar>
              <w:left w:w="29" w:type="dxa"/>
              <w:right w:w="29" w:type="dxa"/>
            </w:tcMar>
            <w:vAlign w:val="center"/>
          </w:tcPr>
          <w:p w:rsidR="00113D0F" w:rsidRPr="00F71B40" w:rsidRDefault="00113D0F" w:rsidP="00D62A32">
            <w:pPr>
              <w:autoSpaceDE w:val="0"/>
              <w:autoSpaceDN w:val="0"/>
              <w:adjustRightInd w:val="0"/>
              <w:rPr>
                <w:rFonts w:cs="Times New Roman"/>
                <w:sz w:val="18"/>
                <w:szCs w:val="18"/>
                <w:lang w:val="en-AU"/>
              </w:rPr>
            </w:pPr>
          </w:p>
        </w:tc>
        <w:tc>
          <w:tcPr>
            <w:tcW w:w="381" w:type="pct"/>
            <w:vMerge/>
            <w:tcBorders>
              <w:right w:val="dashed" w:sz="4" w:space="0" w:color="auto"/>
            </w:tcBorders>
            <w:shd w:val="clear" w:color="auto" w:fill="BFBFBF" w:themeFill="background1" w:themeFillShade="BF"/>
            <w:tcMar>
              <w:left w:w="29" w:type="dxa"/>
              <w:right w:w="29" w:type="dxa"/>
            </w:tcMar>
            <w:vAlign w:val="center"/>
          </w:tcPr>
          <w:p w:rsidR="00113D0F" w:rsidRPr="00F71B40" w:rsidRDefault="00113D0F" w:rsidP="00D62A32">
            <w:pPr>
              <w:autoSpaceDE w:val="0"/>
              <w:autoSpaceDN w:val="0"/>
              <w:adjustRightInd w:val="0"/>
              <w:rPr>
                <w:rFonts w:cs="Times New Roman"/>
                <w:sz w:val="18"/>
                <w:szCs w:val="18"/>
                <w:lang w:val="en-AU"/>
              </w:rPr>
            </w:pPr>
          </w:p>
        </w:tc>
        <w:tc>
          <w:tcPr>
            <w:tcW w:w="508" w:type="pct"/>
            <w:gridSpan w:val="2"/>
            <w:vMerge/>
            <w:tcBorders>
              <w:left w:val="dashed" w:sz="4" w:space="0" w:color="auto"/>
            </w:tcBorders>
            <w:shd w:val="clear" w:color="auto" w:fill="BFBFBF" w:themeFill="background1" w:themeFillShade="BF"/>
            <w:tcMar>
              <w:left w:w="29" w:type="dxa"/>
              <w:right w:w="29" w:type="dxa"/>
            </w:tcMar>
            <w:vAlign w:val="center"/>
          </w:tcPr>
          <w:p w:rsidR="00113D0F" w:rsidRPr="00F71B40" w:rsidRDefault="00113D0F" w:rsidP="00D62A32">
            <w:pPr>
              <w:autoSpaceDE w:val="0"/>
              <w:autoSpaceDN w:val="0"/>
              <w:adjustRightInd w:val="0"/>
              <w:rPr>
                <w:rFonts w:cs="Times New Roman"/>
                <w:sz w:val="18"/>
                <w:szCs w:val="18"/>
                <w:lang w:val="en-AU"/>
              </w:rPr>
            </w:pPr>
          </w:p>
        </w:tc>
        <w:tc>
          <w:tcPr>
            <w:tcW w:w="798" w:type="pct"/>
            <w:shd w:val="clear" w:color="auto" w:fill="BFBFBF" w:themeFill="background1" w:themeFillShade="BF"/>
            <w:tcMar>
              <w:left w:w="29" w:type="dxa"/>
              <w:right w:w="29" w:type="dxa"/>
            </w:tcMar>
            <w:vAlign w:val="center"/>
          </w:tcPr>
          <w:p w:rsidR="00113D0F" w:rsidRPr="00F71B40" w:rsidRDefault="00113D0F" w:rsidP="00D62A32">
            <w:pPr>
              <w:autoSpaceDE w:val="0"/>
              <w:autoSpaceDN w:val="0"/>
              <w:adjustRightInd w:val="0"/>
              <w:rPr>
                <w:rFonts w:cs="Times New Roman"/>
                <w:sz w:val="18"/>
                <w:szCs w:val="18"/>
                <w:lang w:val="en-AU"/>
              </w:rPr>
            </w:pPr>
            <w:r w:rsidRPr="00F71B40">
              <w:rPr>
                <w:rFonts w:cs="Times New Roman"/>
                <w:sz w:val="18"/>
                <w:szCs w:val="18"/>
                <w:lang w:val="en-AU"/>
              </w:rPr>
              <w:t>Public Service Improvement</w:t>
            </w:r>
          </w:p>
        </w:tc>
        <w:tc>
          <w:tcPr>
            <w:tcW w:w="79" w:type="pct"/>
            <w:vMerge/>
            <w:tcMar>
              <w:left w:w="29" w:type="dxa"/>
              <w:right w:w="29" w:type="dxa"/>
            </w:tcMar>
            <w:vAlign w:val="center"/>
          </w:tcPr>
          <w:p w:rsidR="00113D0F" w:rsidRPr="00F71B40" w:rsidRDefault="00113D0F" w:rsidP="00D62A32">
            <w:pPr>
              <w:autoSpaceDE w:val="0"/>
              <w:autoSpaceDN w:val="0"/>
              <w:adjustRightInd w:val="0"/>
              <w:rPr>
                <w:rFonts w:cs="Times New Roman"/>
                <w:sz w:val="18"/>
                <w:szCs w:val="18"/>
                <w:lang w:val="en-AU"/>
              </w:rPr>
            </w:pPr>
          </w:p>
        </w:tc>
        <w:tc>
          <w:tcPr>
            <w:tcW w:w="353" w:type="pct"/>
            <w:vMerge/>
            <w:tcBorders>
              <w:right w:val="dashed" w:sz="4" w:space="0" w:color="auto"/>
            </w:tcBorders>
            <w:shd w:val="clear" w:color="auto" w:fill="EEECE1" w:themeFill="background2"/>
            <w:tcMar>
              <w:left w:w="29" w:type="dxa"/>
              <w:right w:w="29" w:type="dxa"/>
            </w:tcMar>
            <w:vAlign w:val="center"/>
          </w:tcPr>
          <w:p w:rsidR="00113D0F" w:rsidRPr="00F71B40" w:rsidRDefault="00113D0F" w:rsidP="00D62A32">
            <w:pPr>
              <w:autoSpaceDE w:val="0"/>
              <w:autoSpaceDN w:val="0"/>
              <w:adjustRightInd w:val="0"/>
              <w:rPr>
                <w:rFonts w:cs="Times New Roman"/>
                <w:sz w:val="18"/>
                <w:szCs w:val="18"/>
                <w:lang w:val="en-AU"/>
              </w:rPr>
            </w:pPr>
          </w:p>
        </w:tc>
        <w:tc>
          <w:tcPr>
            <w:tcW w:w="969" w:type="pct"/>
            <w:tcBorders>
              <w:left w:val="dashed" w:sz="4" w:space="0" w:color="auto"/>
              <w:right w:val="single" w:sz="4" w:space="0" w:color="auto"/>
            </w:tcBorders>
            <w:shd w:val="clear" w:color="auto" w:fill="EEECE1" w:themeFill="background2"/>
            <w:tcMar>
              <w:left w:w="29" w:type="dxa"/>
              <w:right w:w="29" w:type="dxa"/>
            </w:tcMar>
            <w:vAlign w:val="center"/>
          </w:tcPr>
          <w:p w:rsidR="00113D0F" w:rsidRPr="00F71B40" w:rsidRDefault="00113D0F" w:rsidP="00D62A32">
            <w:pPr>
              <w:autoSpaceDE w:val="0"/>
              <w:autoSpaceDN w:val="0"/>
              <w:adjustRightInd w:val="0"/>
              <w:rPr>
                <w:rFonts w:cs="Times New Roman"/>
                <w:sz w:val="18"/>
                <w:szCs w:val="18"/>
                <w:lang w:val="en-AU"/>
              </w:rPr>
            </w:pPr>
            <w:r w:rsidRPr="00F71B40">
              <w:rPr>
                <w:rFonts w:cs="Times New Roman"/>
                <w:sz w:val="18"/>
                <w:szCs w:val="18"/>
                <w:lang w:val="en-AU"/>
              </w:rPr>
              <w:t xml:space="preserve">Public financial management </w:t>
            </w:r>
          </w:p>
        </w:tc>
      </w:tr>
      <w:tr w:rsidR="00113D0F" w:rsidRPr="00F71B40" w:rsidTr="0013132E">
        <w:tc>
          <w:tcPr>
            <w:tcW w:w="563" w:type="pct"/>
            <w:vMerge/>
            <w:tcBorders>
              <w:left w:val="single" w:sz="4" w:space="0" w:color="auto"/>
              <w:bottom w:val="single" w:sz="4" w:space="0" w:color="auto"/>
            </w:tcBorders>
            <w:tcMar>
              <w:left w:w="29" w:type="dxa"/>
              <w:right w:w="29" w:type="dxa"/>
            </w:tcMar>
            <w:vAlign w:val="center"/>
          </w:tcPr>
          <w:p w:rsidR="00113D0F" w:rsidRPr="00F71B40" w:rsidRDefault="00113D0F" w:rsidP="00D62A32">
            <w:pPr>
              <w:autoSpaceDE w:val="0"/>
              <w:autoSpaceDN w:val="0"/>
              <w:adjustRightInd w:val="0"/>
              <w:rPr>
                <w:rFonts w:cs="Times New Roman"/>
                <w:sz w:val="18"/>
                <w:szCs w:val="18"/>
                <w:lang w:val="en-AU"/>
              </w:rPr>
            </w:pPr>
          </w:p>
        </w:tc>
        <w:tc>
          <w:tcPr>
            <w:tcW w:w="104" w:type="pct"/>
            <w:vMerge/>
            <w:shd w:val="clear" w:color="auto" w:fill="auto"/>
          </w:tcPr>
          <w:p w:rsidR="00113D0F" w:rsidRPr="00F71B40" w:rsidRDefault="00113D0F" w:rsidP="00D62A32">
            <w:pPr>
              <w:autoSpaceDE w:val="0"/>
              <w:autoSpaceDN w:val="0"/>
              <w:adjustRightInd w:val="0"/>
              <w:rPr>
                <w:rFonts w:cs="Times New Roman"/>
                <w:sz w:val="18"/>
                <w:szCs w:val="18"/>
                <w:lang w:val="en-AU"/>
              </w:rPr>
            </w:pPr>
          </w:p>
        </w:tc>
        <w:tc>
          <w:tcPr>
            <w:tcW w:w="1155" w:type="pct"/>
            <w:vMerge/>
            <w:tcBorders>
              <w:bottom w:val="single" w:sz="4" w:space="0" w:color="auto"/>
            </w:tcBorders>
            <w:shd w:val="clear" w:color="auto" w:fill="EEECE1" w:themeFill="background2"/>
            <w:tcMar>
              <w:left w:w="29" w:type="dxa"/>
              <w:right w:w="29" w:type="dxa"/>
            </w:tcMar>
            <w:vAlign w:val="center"/>
          </w:tcPr>
          <w:p w:rsidR="00113D0F" w:rsidRPr="00F71B40" w:rsidRDefault="00113D0F" w:rsidP="00D62A32">
            <w:pPr>
              <w:autoSpaceDE w:val="0"/>
              <w:autoSpaceDN w:val="0"/>
              <w:adjustRightInd w:val="0"/>
              <w:rPr>
                <w:rFonts w:cs="Times New Roman"/>
                <w:sz w:val="18"/>
                <w:szCs w:val="18"/>
                <w:lang w:val="en-AU"/>
              </w:rPr>
            </w:pPr>
          </w:p>
        </w:tc>
        <w:tc>
          <w:tcPr>
            <w:tcW w:w="89" w:type="pct"/>
            <w:vMerge/>
            <w:tcMar>
              <w:left w:w="29" w:type="dxa"/>
              <w:right w:w="29" w:type="dxa"/>
            </w:tcMar>
            <w:vAlign w:val="center"/>
          </w:tcPr>
          <w:p w:rsidR="00113D0F" w:rsidRPr="00F71B40" w:rsidRDefault="00113D0F" w:rsidP="00D62A32">
            <w:pPr>
              <w:autoSpaceDE w:val="0"/>
              <w:autoSpaceDN w:val="0"/>
              <w:adjustRightInd w:val="0"/>
              <w:rPr>
                <w:rFonts w:cs="Times New Roman"/>
                <w:sz w:val="18"/>
                <w:szCs w:val="18"/>
                <w:lang w:val="en-AU"/>
              </w:rPr>
            </w:pPr>
          </w:p>
        </w:tc>
        <w:tc>
          <w:tcPr>
            <w:tcW w:w="381" w:type="pct"/>
            <w:vMerge/>
            <w:tcBorders>
              <w:bottom w:val="dashed" w:sz="4" w:space="0" w:color="auto"/>
              <w:right w:val="dashed" w:sz="4" w:space="0" w:color="auto"/>
            </w:tcBorders>
            <w:shd w:val="clear" w:color="auto" w:fill="BFBFBF" w:themeFill="background1" w:themeFillShade="BF"/>
            <w:tcMar>
              <w:left w:w="29" w:type="dxa"/>
              <w:right w:w="29" w:type="dxa"/>
            </w:tcMar>
            <w:vAlign w:val="center"/>
          </w:tcPr>
          <w:p w:rsidR="00113D0F" w:rsidRPr="00F71B40" w:rsidRDefault="00113D0F" w:rsidP="00D62A32">
            <w:pPr>
              <w:autoSpaceDE w:val="0"/>
              <w:autoSpaceDN w:val="0"/>
              <w:adjustRightInd w:val="0"/>
              <w:rPr>
                <w:rFonts w:cs="Times New Roman"/>
                <w:sz w:val="18"/>
                <w:szCs w:val="18"/>
                <w:lang w:val="en-AU"/>
              </w:rPr>
            </w:pPr>
          </w:p>
        </w:tc>
        <w:tc>
          <w:tcPr>
            <w:tcW w:w="508" w:type="pct"/>
            <w:gridSpan w:val="2"/>
            <w:vMerge/>
            <w:tcBorders>
              <w:left w:val="dashed" w:sz="4" w:space="0" w:color="auto"/>
              <w:bottom w:val="single" w:sz="4" w:space="0" w:color="auto"/>
            </w:tcBorders>
            <w:shd w:val="clear" w:color="auto" w:fill="BFBFBF" w:themeFill="background1" w:themeFillShade="BF"/>
            <w:tcMar>
              <w:left w:w="29" w:type="dxa"/>
              <w:right w:w="29" w:type="dxa"/>
            </w:tcMar>
            <w:vAlign w:val="center"/>
          </w:tcPr>
          <w:p w:rsidR="00113D0F" w:rsidRPr="00F71B40" w:rsidRDefault="00113D0F" w:rsidP="00D62A32">
            <w:pPr>
              <w:autoSpaceDE w:val="0"/>
              <w:autoSpaceDN w:val="0"/>
              <w:adjustRightInd w:val="0"/>
              <w:rPr>
                <w:rFonts w:cs="Times New Roman"/>
                <w:sz w:val="18"/>
                <w:szCs w:val="18"/>
                <w:lang w:val="en-AU"/>
              </w:rPr>
            </w:pPr>
          </w:p>
        </w:tc>
        <w:tc>
          <w:tcPr>
            <w:tcW w:w="798" w:type="pct"/>
            <w:tcBorders>
              <w:bottom w:val="single" w:sz="4" w:space="0" w:color="auto"/>
            </w:tcBorders>
            <w:shd w:val="clear" w:color="auto" w:fill="BFBFBF" w:themeFill="background1" w:themeFillShade="BF"/>
            <w:tcMar>
              <w:left w:w="29" w:type="dxa"/>
              <w:right w:w="29" w:type="dxa"/>
            </w:tcMar>
            <w:vAlign w:val="center"/>
          </w:tcPr>
          <w:p w:rsidR="00113D0F" w:rsidRPr="00F71B40" w:rsidRDefault="00113D0F" w:rsidP="00D62A32">
            <w:pPr>
              <w:autoSpaceDE w:val="0"/>
              <w:autoSpaceDN w:val="0"/>
              <w:adjustRightInd w:val="0"/>
              <w:rPr>
                <w:rFonts w:cs="Times New Roman"/>
                <w:sz w:val="18"/>
                <w:szCs w:val="18"/>
                <w:lang w:val="en-AU"/>
              </w:rPr>
            </w:pPr>
            <w:r w:rsidRPr="00F71B40">
              <w:rPr>
                <w:rFonts w:cs="Times New Roman"/>
                <w:sz w:val="18"/>
                <w:szCs w:val="18"/>
                <w:lang w:val="en-AU"/>
              </w:rPr>
              <w:t>Women in Government</w:t>
            </w:r>
          </w:p>
        </w:tc>
        <w:tc>
          <w:tcPr>
            <w:tcW w:w="79" w:type="pct"/>
            <w:vMerge/>
            <w:tcMar>
              <w:left w:w="29" w:type="dxa"/>
              <w:right w:w="29" w:type="dxa"/>
            </w:tcMar>
            <w:vAlign w:val="center"/>
          </w:tcPr>
          <w:p w:rsidR="00113D0F" w:rsidRPr="00F71B40" w:rsidRDefault="00113D0F" w:rsidP="00D62A32">
            <w:pPr>
              <w:autoSpaceDE w:val="0"/>
              <w:autoSpaceDN w:val="0"/>
              <w:adjustRightInd w:val="0"/>
              <w:rPr>
                <w:rFonts w:cs="Times New Roman"/>
                <w:sz w:val="18"/>
                <w:szCs w:val="18"/>
                <w:lang w:val="en-AU"/>
              </w:rPr>
            </w:pPr>
          </w:p>
        </w:tc>
        <w:tc>
          <w:tcPr>
            <w:tcW w:w="353" w:type="pct"/>
            <w:vMerge/>
            <w:tcBorders>
              <w:bottom w:val="dashed" w:sz="4" w:space="0" w:color="auto"/>
              <w:right w:val="dashed" w:sz="4" w:space="0" w:color="auto"/>
            </w:tcBorders>
            <w:shd w:val="clear" w:color="auto" w:fill="EEECE1" w:themeFill="background2"/>
            <w:tcMar>
              <w:left w:w="29" w:type="dxa"/>
              <w:right w:w="29" w:type="dxa"/>
            </w:tcMar>
            <w:vAlign w:val="center"/>
          </w:tcPr>
          <w:p w:rsidR="00113D0F" w:rsidRPr="00F71B40" w:rsidRDefault="00113D0F" w:rsidP="00D62A32">
            <w:pPr>
              <w:autoSpaceDE w:val="0"/>
              <w:autoSpaceDN w:val="0"/>
              <w:adjustRightInd w:val="0"/>
              <w:rPr>
                <w:rFonts w:cs="Times New Roman"/>
                <w:sz w:val="18"/>
                <w:szCs w:val="18"/>
                <w:lang w:val="en-AU"/>
              </w:rPr>
            </w:pPr>
          </w:p>
        </w:tc>
        <w:tc>
          <w:tcPr>
            <w:tcW w:w="969" w:type="pct"/>
            <w:tcBorders>
              <w:left w:val="dashed" w:sz="4" w:space="0" w:color="auto"/>
              <w:bottom w:val="single" w:sz="4" w:space="0" w:color="auto"/>
              <w:right w:val="single" w:sz="4" w:space="0" w:color="auto"/>
            </w:tcBorders>
            <w:shd w:val="clear" w:color="auto" w:fill="EEECE1" w:themeFill="background2"/>
            <w:tcMar>
              <w:left w:w="29" w:type="dxa"/>
              <w:right w:w="29" w:type="dxa"/>
            </w:tcMar>
            <w:vAlign w:val="center"/>
          </w:tcPr>
          <w:p w:rsidR="00113D0F" w:rsidRPr="00F71B40" w:rsidRDefault="00113D0F" w:rsidP="00D62A32">
            <w:pPr>
              <w:autoSpaceDE w:val="0"/>
              <w:autoSpaceDN w:val="0"/>
              <w:adjustRightInd w:val="0"/>
              <w:rPr>
                <w:rFonts w:cs="Times New Roman"/>
                <w:sz w:val="18"/>
                <w:szCs w:val="18"/>
                <w:lang w:val="en-AU"/>
              </w:rPr>
            </w:pPr>
            <w:r w:rsidRPr="00F71B40">
              <w:rPr>
                <w:rFonts w:cs="Times New Roman"/>
                <w:sz w:val="18"/>
                <w:szCs w:val="18"/>
                <w:lang w:val="en-AU"/>
              </w:rPr>
              <w:t xml:space="preserve">Individual and institutional accountability and transparency </w:t>
            </w:r>
          </w:p>
        </w:tc>
      </w:tr>
      <w:tr w:rsidR="00113D0F" w:rsidRPr="00F71B40" w:rsidTr="0013132E">
        <w:tc>
          <w:tcPr>
            <w:tcW w:w="563" w:type="pct"/>
            <w:tcBorders>
              <w:top w:val="single" w:sz="4" w:space="0" w:color="auto"/>
              <w:left w:val="single" w:sz="4" w:space="0" w:color="auto"/>
              <w:bottom w:val="single" w:sz="4" w:space="0" w:color="auto"/>
            </w:tcBorders>
            <w:tcMar>
              <w:left w:w="29" w:type="dxa"/>
              <w:right w:w="29" w:type="dxa"/>
            </w:tcMar>
            <w:vAlign w:val="center"/>
          </w:tcPr>
          <w:p w:rsidR="00113D0F" w:rsidRPr="00F71B40" w:rsidRDefault="00113D0F" w:rsidP="00D62A32">
            <w:pPr>
              <w:autoSpaceDE w:val="0"/>
              <w:autoSpaceDN w:val="0"/>
              <w:adjustRightInd w:val="0"/>
              <w:rPr>
                <w:rFonts w:cs="Times New Roman"/>
                <w:sz w:val="18"/>
                <w:szCs w:val="18"/>
                <w:lang w:val="en-AU"/>
              </w:rPr>
            </w:pPr>
            <w:r w:rsidRPr="00F71B40">
              <w:rPr>
                <w:rFonts w:cs="Times New Roman"/>
                <w:sz w:val="18"/>
                <w:szCs w:val="18"/>
                <w:lang w:val="en-AU"/>
              </w:rPr>
              <w:t>Economic Governance</w:t>
            </w:r>
          </w:p>
        </w:tc>
        <w:tc>
          <w:tcPr>
            <w:tcW w:w="104" w:type="pct"/>
            <w:vMerge/>
            <w:shd w:val="clear" w:color="auto" w:fill="auto"/>
          </w:tcPr>
          <w:p w:rsidR="00113D0F" w:rsidRPr="00F71B40" w:rsidRDefault="00113D0F" w:rsidP="00D62A32">
            <w:pPr>
              <w:autoSpaceDE w:val="0"/>
              <w:autoSpaceDN w:val="0"/>
              <w:adjustRightInd w:val="0"/>
              <w:rPr>
                <w:rFonts w:cs="Times New Roman"/>
                <w:sz w:val="18"/>
                <w:szCs w:val="18"/>
                <w:lang w:val="en-AU"/>
              </w:rPr>
            </w:pPr>
          </w:p>
        </w:tc>
        <w:tc>
          <w:tcPr>
            <w:tcW w:w="1155" w:type="pct"/>
            <w:tcBorders>
              <w:top w:val="single" w:sz="4" w:space="0" w:color="auto"/>
              <w:bottom w:val="single" w:sz="4" w:space="0" w:color="auto"/>
            </w:tcBorders>
            <w:shd w:val="clear" w:color="auto" w:fill="EEECE1" w:themeFill="background2"/>
            <w:tcMar>
              <w:left w:w="29" w:type="dxa"/>
              <w:right w:w="29" w:type="dxa"/>
            </w:tcMar>
            <w:vAlign w:val="center"/>
          </w:tcPr>
          <w:p w:rsidR="00113D0F" w:rsidRPr="00F71B40" w:rsidRDefault="00113D0F" w:rsidP="00D62A32">
            <w:pPr>
              <w:autoSpaceDE w:val="0"/>
              <w:autoSpaceDN w:val="0"/>
              <w:adjustRightInd w:val="0"/>
              <w:rPr>
                <w:rFonts w:cs="Times New Roman"/>
                <w:sz w:val="18"/>
                <w:szCs w:val="18"/>
                <w:lang w:val="en-AU"/>
              </w:rPr>
            </w:pPr>
            <w:r w:rsidRPr="00F71B40">
              <w:rPr>
                <w:rFonts w:cs="Times New Roman"/>
                <w:sz w:val="18"/>
                <w:szCs w:val="18"/>
                <w:lang w:val="en-AU"/>
              </w:rPr>
              <w:t>Debt relief</w:t>
            </w:r>
          </w:p>
        </w:tc>
        <w:tc>
          <w:tcPr>
            <w:tcW w:w="89" w:type="pct"/>
            <w:vMerge/>
            <w:tcMar>
              <w:left w:w="29" w:type="dxa"/>
              <w:right w:w="29" w:type="dxa"/>
            </w:tcMar>
            <w:vAlign w:val="center"/>
          </w:tcPr>
          <w:p w:rsidR="00113D0F" w:rsidRPr="00F71B40" w:rsidRDefault="00113D0F" w:rsidP="00D62A32">
            <w:pPr>
              <w:autoSpaceDE w:val="0"/>
              <w:autoSpaceDN w:val="0"/>
              <w:adjustRightInd w:val="0"/>
              <w:rPr>
                <w:rFonts w:cs="Times New Roman"/>
                <w:sz w:val="18"/>
                <w:szCs w:val="18"/>
                <w:lang w:val="en-AU"/>
              </w:rPr>
            </w:pPr>
          </w:p>
        </w:tc>
        <w:tc>
          <w:tcPr>
            <w:tcW w:w="381" w:type="pct"/>
            <w:tcBorders>
              <w:top w:val="dashed" w:sz="4" w:space="0" w:color="auto"/>
              <w:bottom w:val="single" w:sz="4" w:space="0" w:color="auto"/>
              <w:right w:val="dashed" w:sz="4" w:space="0" w:color="auto"/>
            </w:tcBorders>
            <w:shd w:val="clear" w:color="auto" w:fill="BFBFBF" w:themeFill="background1" w:themeFillShade="BF"/>
            <w:tcMar>
              <w:left w:w="29" w:type="dxa"/>
              <w:right w:w="29" w:type="dxa"/>
            </w:tcMar>
            <w:vAlign w:val="center"/>
          </w:tcPr>
          <w:p w:rsidR="00113D0F" w:rsidRPr="00F71B40" w:rsidRDefault="00113D0F" w:rsidP="00D62A32">
            <w:pPr>
              <w:autoSpaceDE w:val="0"/>
              <w:autoSpaceDN w:val="0"/>
              <w:adjustRightInd w:val="0"/>
              <w:rPr>
                <w:rFonts w:cs="Times New Roman"/>
                <w:sz w:val="18"/>
                <w:szCs w:val="18"/>
                <w:lang w:val="en-AU"/>
              </w:rPr>
            </w:pPr>
          </w:p>
        </w:tc>
        <w:tc>
          <w:tcPr>
            <w:tcW w:w="1306" w:type="pct"/>
            <w:gridSpan w:val="3"/>
            <w:tcBorders>
              <w:top w:val="single" w:sz="4" w:space="0" w:color="auto"/>
              <w:left w:val="dashed" w:sz="4" w:space="0" w:color="auto"/>
              <w:bottom w:val="single" w:sz="4" w:space="0" w:color="auto"/>
            </w:tcBorders>
            <w:shd w:val="clear" w:color="auto" w:fill="BFBFBF" w:themeFill="background1" w:themeFillShade="BF"/>
            <w:tcMar>
              <w:left w:w="29" w:type="dxa"/>
              <w:right w:w="29" w:type="dxa"/>
            </w:tcMar>
            <w:vAlign w:val="center"/>
          </w:tcPr>
          <w:p w:rsidR="00113D0F" w:rsidRPr="00F71B40" w:rsidRDefault="00113D0F" w:rsidP="00CC56DB">
            <w:pPr>
              <w:autoSpaceDE w:val="0"/>
              <w:autoSpaceDN w:val="0"/>
              <w:adjustRightInd w:val="0"/>
              <w:rPr>
                <w:rFonts w:cs="Times New Roman"/>
                <w:sz w:val="18"/>
                <w:szCs w:val="18"/>
                <w:lang w:val="en-AU"/>
              </w:rPr>
            </w:pPr>
            <w:r w:rsidRPr="00F71B40">
              <w:rPr>
                <w:rFonts w:cs="Times New Roman"/>
                <w:sz w:val="18"/>
                <w:szCs w:val="18"/>
                <w:lang w:val="en-AU"/>
              </w:rPr>
              <w:t>Economic Governance: Financial and Economic Management Support program</w:t>
            </w:r>
            <w:r w:rsidR="00BF0C68" w:rsidRPr="00F71B40">
              <w:rPr>
                <w:rFonts w:cs="Times New Roman"/>
                <w:sz w:val="18"/>
                <w:szCs w:val="18"/>
                <w:lang w:val="en-AU"/>
              </w:rPr>
              <w:t xml:space="preserve"> </w:t>
            </w:r>
            <w:r w:rsidR="00115AC9" w:rsidRPr="00F71B40">
              <w:rPr>
                <w:rFonts w:cs="Times New Roman"/>
                <w:sz w:val="18"/>
                <w:szCs w:val="18"/>
                <w:lang w:val="en-AU"/>
              </w:rPr>
              <w:fldChar w:fldCharType="begin"/>
            </w:r>
            <w:r w:rsidR="00115AC9" w:rsidRPr="00F71B40">
              <w:rPr>
                <w:rFonts w:cs="Times New Roman"/>
                <w:sz w:val="18"/>
                <w:szCs w:val="18"/>
                <w:lang w:val="en-AU"/>
              </w:rPr>
              <w:instrText xml:space="preserve"> ADDIN EN.CITE &lt;EndNote&gt;&lt;Cite&gt;&lt;Author&gt;Dixon&lt;/Author&gt;&lt;Year&gt;2012&lt;/Year&gt;&lt;RecNum&gt;4331&lt;/RecNum&gt;&lt;DisplayText&gt;(Dixon, Anderson, Deacon, Kodoleke, &amp;amp; Loudon, 2012)&lt;/DisplayText&gt;&lt;record&gt;&lt;rec-number&gt;4331&lt;/rec-number&gt;&lt;foreign-keys&gt;&lt;key app="EN" db-id="5v9z5rrdszvwsneef06v9dapsd0apdtfapdx" timestamp="1408738818"&gt;4331&lt;/key&gt;&lt;/foreign-keys&gt;&lt;ref-type name="Book Section"&gt;5&lt;/ref-type&gt;&lt;contributors&gt;&lt;authors&gt;&lt;author&gt;Geoff Dixon&lt;/author&gt;&lt;author&gt;Michael Anderson&lt;/author&gt;&lt;author&gt;Peter Deacon&lt;/author&gt;&lt;author&gt;Merrylyn Kodoleke&lt;/author&gt;&lt;author&gt;Mike Loudon&lt;/author&gt;&lt;/authors&gt;&lt;/contributors&gt;&lt;titles&gt;&lt;title&gt;FINANCIAL AND ECONOMIC MANAGEMENT SUPPORT PROGRAM (FEMSP) Mid term review&lt;/title&gt;&lt;/titles&gt;&lt;dates&gt;&lt;year&gt;2012&lt;/year&gt;&lt;/dates&gt;&lt;pub-location&gt;Canberra&lt;/pub-location&gt;&lt;publisher&gt;RAMSI&lt;/publisher&gt;&lt;urls&gt;&lt;/urls&gt;&lt;/record&gt;&lt;/Cite&gt;&lt;/EndNote&gt;</w:instrText>
            </w:r>
            <w:r w:rsidR="00115AC9" w:rsidRPr="00F71B40">
              <w:rPr>
                <w:rFonts w:cs="Times New Roman"/>
                <w:sz w:val="18"/>
                <w:szCs w:val="18"/>
                <w:lang w:val="en-AU"/>
              </w:rPr>
              <w:fldChar w:fldCharType="separate"/>
            </w:r>
            <w:r w:rsidR="00115AC9" w:rsidRPr="00F71B40">
              <w:rPr>
                <w:rFonts w:cs="Times New Roman"/>
                <w:sz w:val="18"/>
                <w:szCs w:val="18"/>
                <w:lang w:val="en-AU"/>
              </w:rPr>
              <w:t>(</w:t>
            </w:r>
            <w:hyperlink w:anchor="_ENREF_56" w:tooltip="Dixon, 2012 #4331" w:history="1">
              <w:r w:rsidR="00CC56DB" w:rsidRPr="00F71B40">
                <w:rPr>
                  <w:rFonts w:cs="Times New Roman"/>
                  <w:sz w:val="18"/>
                  <w:szCs w:val="18"/>
                  <w:lang w:val="en-AU"/>
                </w:rPr>
                <w:t>Dixon, Anderson, Deacon, Kodoleke, &amp; Loudon, 2012</w:t>
              </w:r>
            </w:hyperlink>
            <w:r w:rsidR="00115AC9" w:rsidRPr="00F71B40">
              <w:rPr>
                <w:rFonts w:cs="Times New Roman"/>
                <w:sz w:val="18"/>
                <w:szCs w:val="18"/>
                <w:lang w:val="en-AU"/>
              </w:rPr>
              <w:t>)</w:t>
            </w:r>
            <w:r w:rsidR="00115AC9" w:rsidRPr="00F71B40">
              <w:rPr>
                <w:rFonts w:cs="Times New Roman"/>
                <w:sz w:val="18"/>
                <w:szCs w:val="18"/>
                <w:lang w:val="en-AU"/>
              </w:rPr>
              <w:fldChar w:fldCharType="end"/>
            </w:r>
          </w:p>
        </w:tc>
        <w:tc>
          <w:tcPr>
            <w:tcW w:w="79" w:type="pct"/>
            <w:vMerge/>
            <w:tcMar>
              <w:left w:w="29" w:type="dxa"/>
              <w:right w:w="29" w:type="dxa"/>
            </w:tcMar>
            <w:vAlign w:val="center"/>
          </w:tcPr>
          <w:p w:rsidR="00113D0F" w:rsidRPr="00F71B40" w:rsidRDefault="00113D0F" w:rsidP="00D62A32">
            <w:pPr>
              <w:autoSpaceDE w:val="0"/>
              <w:autoSpaceDN w:val="0"/>
              <w:adjustRightInd w:val="0"/>
              <w:rPr>
                <w:rFonts w:cs="Times New Roman"/>
                <w:sz w:val="18"/>
                <w:szCs w:val="18"/>
                <w:lang w:val="en-AU"/>
              </w:rPr>
            </w:pPr>
          </w:p>
        </w:tc>
        <w:tc>
          <w:tcPr>
            <w:tcW w:w="353" w:type="pct"/>
            <w:tcBorders>
              <w:top w:val="dashed" w:sz="4" w:space="0" w:color="auto"/>
              <w:bottom w:val="single" w:sz="4" w:space="0" w:color="auto"/>
              <w:right w:val="dashed" w:sz="4" w:space="0" w:color="auto"/>
            </w:tcBorders>
            <w:shd w:val="clear" w:color="auto" w:fill="EEECE1" w:themeFill="background2"/>
            <w:tcMar>
              <w:left w:w="29" w:type="dxa"/>
              <w:right w:w="29" w:type="dxa"/>
            </w:tcMar>
            <w:vAlign w:val="center"/>
          </w:tcPr>
          <w:p w:rsidR="00113D0F" w:rsidRPr="00F71B40" w:rsidRDefault="00113D0F" w:rsidP="00D62A32">
            <w:pPr>
              <w:autoSpaceDE w:val="0"/>
              <w:autoSpaceDN w:val="0"/>
              <w:adjustRightInd w:val="0"/>
              <w:rPr>
                <w:rFonts w:cs="Times New Roman"/>
                <w:sz w:val="18"/>
                <w:szCs w:val="18"/>
                <w:lang w:val="en-AU"/>
              </w:rPr>
            </w:pPr>
          </w:p>
        </w:tc>
        <w:tc>
          <w:tcPr>
            <w:tcW w:w="969" w:type="pct"/>
            <w:tcBorders>
              <w:top w:val="single" w:sz="4" w:space="0" w:color="auto"/>
              <w:left w:val="dashed" w:sz="4" w:space="0" w:color="auto"/>
              <w:bottom w:val="single" w:sz="4" w:space="0" w:color="auto"/>
              <w:right w:val="single" w:sz="4" w:space="0" w:color="auto"/>
            </w:tcBorders>
            <w:shd w:val="clear" w:color="auto" w:fill="EEECE1" w:themeFill="background2"/>
            <w:tcMar>
              <w:left w:w="29" w:type="dxa"/>
              <w:right w:w="29" w:type="dxa"/>
            </w:tcMar>
            <w:vAlign w:val="center"/>
          </w:tcPr>
          <w:p w:rsidR="00113D0F" w:rsidRPr="00F71B40" w:rsidRDefault="00113D0F" w:rsidP="00D62A32">
            <w:pPr>
              <w:autoSpaceDE w:val="0"/>
              <w:autoSpaceDN w:val="0"/>
              <w:adjustRightInd w:val="0"/>
              <w:rPr>
                <w:rFonts w:cs="Times New Roman"/>
                <w:sz w:val="18"/>
                <w:szCs w:val="18"/>
                <w:lang w:val="en-AU"/>
              </w:rPr>
            </w:pPr>
            <w:r w:rsidRPr="00F71B40">
              <w:rPr>
                <w:rFonts w:cs="Times New Roman"/>
                <w:sz w:val="18"/>
                <w:szCs w:val="18"/>
                <w:lang w:val="en-AU"/>
              </w:rPr>
              <w:t xml:space="preserve">Economic growth </w:t>
            </w:r>
          </w:p>
        </w:tc>
      </w:tr>
      <w:tr w:rsidR="00113D0F" w:rsidRPr="00F71B40" w:rsidTr="0013132E">
        <w:tc>
          <w:tcPr>
            <w:tcW w:w="563" w:type="pct"/>
            <w:vMerge w:val="restart"/>
            <w:tcBorders>
              <w:top w:val="single" w:sz="4" w:space="0" w:color="auto"/>
              <w:left w:val="single" w:sz="4" w:space="0" w:color="auto"/>
            </w:tcBorders>
            <w:tcMar>
              <w:left w:w="29" w:type="dxa"/>
              <w:right w:w="29" w:type="dxa"/>
            </w:tcMar>
            <w:vAlign w:val="center"/>
          </w:tcPr>
          <w:p w:rsidR="00113D0F" w:rsidRPr="00F71B40" w:rsidRDefault="00113D0F" w:rsidP="00D62A32">
            <w:pPr>
              <w:autoSpaceDE w:val="0"/>
              <w:autoSpaceDN w:val="0"/>
              <w:adjustRightInd w:val="0"/>
              <w:rPr>
                <w:rFonts w:cs="Times New Roman"/>
                <w:sz w:val="18"/>
                <w:szCs w:val="18"/>
                <w:lang w:val="en-AU"/>
              </w:rPr>
            </w:pPr>
            <w:r w:rsidRPr="00F71B40">
              <w:rPr>
                <w:rFonts w:cs="Times New Roman"/>
                <w:sz w:val="18"/>
                <w:szCs w:val="18"/>
                <w:lang w:val="en-AU"/>
              </w:rPr>
              <w:t>Infrastructure</w:t>
            </w:r>
          </w:p>
        </w:tc>
        <w:tc>
          <w:tcPr>
            <w:tcW w:w="104" w:type="pct"/>
            <w:vMerge/>
            <w:shd w:val="clear" w:color="auto" w:fill="auto"/>
          </w:tcPr>
          <w:p w:rsidR="00113D0F" w:rsidRPr="00F71B40" w:rsidRDefault="00113D0F" w:rsidP="00D62A32">
            <w:pPr>
              <w:autoSpaceDE w:val="0"/>
              <w:autoSpaceDN w:val="0"/>
              <w:adjustRightInd w:val="0"/>
              <w:rPr>
                <w:rFonts w:cs="Times New Roman"/>
                <w:sz w:val="18"/>
                <w:szCs w:val="18"/>
                <w:lang w:val="en-AU"/>
              </w:rPr>
            </w:pPr>
          </w:p>
        </w:tc>
        <w:tc>
          <w:tcPr>
            <w:tcW w:w="1155" w:type="pct"/>
            <w:vMerge w:val="restart"/>
            <w:tcBorders>
              <w:top w:val="single" w:sz="4" w:space="0" w:color="auto"/>
            </w:tcBorders>
            <w:shd w:val="clear" w:color="auto" w:fill="EEECE1" w:themeFill="background2"/>
            <w:tcMar>
              <w:left w:w="29" w:type="dxa"/>
              <w:right w:w="29" w:type="dxa"/>
            </w:tcMar>
            <w:vAlign w:val="center"/>
          </w:tcPr>
          <w:p w:rsidR="00113D0F" w:rsidRPr="00F71B40" w:rsidRDefault="00113D0F" w:rsidP="00D62A32">
            <w:pPr>
              <w:autoSpaceDE w:val="0"/>
              <w:autoSpaceDN w:val="0"/>
              <w:adjustRightInd w:val="0"/>
              <w:rPr>
                <w:rFonts w:cs="Times New Roman"/>
                <w:sz w:val="18"/>
                <w:szCs w:val="18"/>
                <w:lang w:val="en-AU"/>
              </w:rPr>
            </w:pPr>
            <w:r w:rsidRPr="00F71B40">
              <w:rPr>
                <w:rFonts w:cs="Times New Roman"/>
                <w:sz w:val="18"/>
                <w:szCs w:val="18"/>
                <w:lang w:val="en-AU"/>
              </w:rPr>
              <w:t>Generator repairs</w:t>
            </w:r>
          </w:p>
        </w:tc>
        <w:tc>
          <w:tcPr>
            <w:tcW w:w="89" w:type="pct"/>
            <w:vMerge/>
            <w:tcMar>
              <w:left w:w="29" w:type="dxa"/>
              <w:right w:w="29" w:type="dxa"/>
            </w:tcMar>
            <w:vAlign w:val="center"/>
          </w:tcPr>
          <w:p w:rsidR="00113D0F" w:rsidRPr="00F71B40" w:rsidRDefault="00113D0F" w:rsidP="00D62A32">
            <w:pPr>
              <w:autoSpaceDE w:val="0"/>
              <w:autoSpaceDN w:val="0"/>
              <w:adjustRightInd w:val="0"/>
              <w:rPr>
                <w:rFonts w:cs="Times New Roman"/>
                <w:sz w:val="18"/>
                <w:szCs w:val="18"/>
                <w:lang w:val="en-AU"/>
              </w:rPr>
            </w:pPr>
          </w:p>
        </w:tc>
        <w:tc>
          <w:tcPr>
            <w:tcW w:w="1687" w:type="pct"/>
            <w:gridSpan w:val="4"/>
            <w:vMerge w:val="restart"/>
            <w:tcBorders>
              <w:top w:val="single" w:sz="4" w:space="0" w:color="auto"/>
            </w:tcBorders>
            <w:shd w:val="clear" w:color="auto" w:fill="BFBFBF" w:themeFill="background1" w:themeFillShade="BF"/>
            <w:tcMar>
              <w:left w:w="29" w:type="dxa"/>
              <w:right w:w="29" w:type="dxa"/>
            </w:tcMar>
            <w:vAlign w:val="center"/>
          </w:tcPr>
          <w:p w:rsidR="00113D0F" w:rsidRPr="00F71B40" w:rsidRDefault="00113D0F" w:rsidP="00CC56DB">
            <w:pPr>
              <w:autoSpaceDE w:val="0"/>
              <w:autoSpaceDN w:val="0"/>
              <w:adjustRightInd w:val="0"/>
              <w:rPr>
                <w:rFonts w:cs="Times New Roman"/>
                <w:sz w:val="18"/>
                <w:szCs w:val="18"/>
                <w:lang w:val="en-AU"/>
              </w:rPr>
            </w:pPr>
            <w:r w:rsidRPr="00F71B40">
              <w:rPr>
                <w:rFonts w:cs="Times New Roman"/>
                <w:sz w:val="18"/>
                <w:szCs w:val="18"/>
                <w:lang w:val="en-AU"/>
              </w:rPr>
              <w:t>Infrastructure support through budget support and incorporated within other program areas as one of three “backbone” projects (SIG RAMSI Support Facility</w:t>
            </w:r>
            <w:r w:rsidR="00BF0C68" w:rsidRPr="00F71B40">
              <w:rPr>
                <w:rFonts w:cs="Times New Roman"/>
                <w:sz w:val="18"/>
                <w:szCs w:val="18"/>
                <w:lang w:val="en-AU"/>
              </w:rPr>
              <w:t>;</w:t>
            </w:r>
            <w:r w:rsidRPr="00F71B40">
              <w:rPr>
                <w:rFonts w:cs="Times New Roman"/>
                <w:sz w:val="18"/>
                <w:szCs w:val="18"/>
                <w:lang w:val="en-AU"/>
              </w:rPr>
              <w:t xml:space="preserve"> Deployee Support Services</w:t>
            </w:r>
            <w:r w:rsidR="00BF0C68" w:rsidRPr="00F71B40">
              <w:rPr>
                <w:rFonts w:cs="Times New Roman"/>
                <w:sz w:val="18"/>
                <w:szCs w:val="18"/>
                <w:lang w:val="en-AU"/>
              </w:rPr>
              <w:t>;</w:t>
            </w:r>
            <w:r w:rsidRPr="00F71B40">
              <w:rPr>
                <w:rFonts w:cs="Times New Roman"/>
                <w:sz w:val="18"/>
                <w:szCs w:val="18"/>
                <w:lang w:val="en-AU"/>
              </w:rPr>
              <w:t xml:space="preserve"> and RAMSI Solomon Islands Infrastructure Partnership) </w:t>
            </w:r>
            <w:r w:rsidR="00115AC9" w:rsidRPr="00F71B40">
              <w:rPr>
                <w:rFonts w:cs="Times New Roman"/>
                <w:sz w:val="18"/>
                <w:szCs w:val="18"/>
                <w:lang w:val="en-AU"/>
              </w:rPr>
              <w:fldChar w:fldCharType="begin"/>
            </w:r>
            <w:r w:rsidR="00115AC9" w:rsidRPr="00F71B40">
              <w:rPr>
                <w:rFonts w:cs="Times New Roman"/>
                <w:sz w:val="18"/>
                <w:szCs w:val="18"/>
                <w:lang w:val="en-AU"/>
              </w:rPr>
              <w:instrText xml:space="preserve"> ADDIN EN.CITE &lt;EndNote&gt;&lt;Cite&gt;&lt;Author&gt;Detto&lt;/Author&gt;&lt;Year&gt;2012&lt;/Year&gt;&lt;RecNum&gt;4330&lt;/RecNum&gt;&lt;DisplayText&gt;(Detto, Heijkoop, &amp;amp; Raue, 2012)&lt;/DisplayText&gt;&lt;record&gt;&lt;rec-number&gt;4330&lt;/rec-number&gt;&lt;foreign-keys&gt;&lt;key app="EN" db-id="5v9z5rrdszvwsneef06v9dapsd0apdtfapdx" timestamp="1408738436"&gt;4330&lt;/key&gt;&lt;/foreign-keys&gt;&lt;ref-type name="Report"&gt;27&lt;/ref-type&gt;&lt;contributors&gt;&lt;authors&gt;&lt;author&gt;Kai Detto&lt;/author&gt;&lt;author&gt;Peter Heijkoop&lt;/author&gt;&lt;author&gt;Kevin Raue&lt;/author&gt;&lt;/authors&gt;&lt;/contributors&gt;&lt;titles&gt;&lt;title&gt;Review of RAMSI Delivery Support Arrangements&lt;/title&gt;&lt;/titles&gt;&lt;dates&gt;&lt;year&gt;2012&lt;/year&gt;&lt;/dates&gt;&lt;pub-location&gt;Honiara, Solomon Islands&lt;/pub-location&gt;&lt;publisher&gt;RAMSI&lt;/publisher&gt;&lt;urls&gt;&lt;/urls&gt;&lt;/record&gt;&lt;/Cite&gt;&lt;/EndNote&gt;</w:instrText>
            </w:r>
            <w:r w:rsidR="00115AC9" w:rsidRPr="00F71B40">
              <w:rPr>
                <w:rFonts w:cs="Times New Roman"/>
                <w:sz w:val="18"/>
                <w:szCs w:val="18"/>
                <w:lang w:val="en-AU"/>
              </w:rPr>
              <w:fldChar w:fldCharType="separate"/>
            </w:r>
            <w:r w:rsidR="00115AC9" w:rsidRPr="00F71B40">
              <w:rPr>
                <w:rFonts w:cs="Times New Roman"/>
                <w:sz w:val="18"/>
                <w:szCs w:val="18"/>
                <w:lang w:val="en-AU"/>
              </w:rPr>
              <w:t>(</w:t>
            </w:r>
            <w:hyperlink w:anchor="_ENREF_46" w:tooltip="Detto, 2012 #4330" w:history="1">
              <w:r w:rsidR="00CC56DB" w:rsidRPr="00F71B40">
                <w:rPr>
                  <w:rFonts w:cs="Times New Roman"/>
                  <w:sz w:val="18"/>
                  <w:szCs w:val="18"/>
                  <w:lang w:val="en-AU"/>
                </w:rPr>
                <w:t>Detto, Heijkoop, &amp; Raue, 2012</w:t>
              </w:r>
            </w:hyperlink>
            <w:r w:rsidR="00115AC9" w:rsidRPr="00F71B40">
              <w:rPr>
                <w:rFonts w:cs="Times New Roman"/>
                <w:sz w:val="18"/>
                <w:szCs w:val="18"/>
                <w:lang w:val="en-AU"/>
              </w:rPr>
              <w:t>)</w:t>
            </w:r>
            <w:r w:rsidR="00115AC9" w:rsidRPr="00F71B40">
              <w:rPr>
                <w:rFonts w:cs="Times New Roman"/>
                <w:sz w:val="18"/>
                <w:szCs w:val="18"/>
                <w:lang w:val="en-AU"/>
              </w:rPr>
              <w:fldChar w:fldCharType="end"/>
            </w:r>
          </w:p>
        </w:tc>
        <w:tc>
          <w:tcPr>
            <w:tcW w:w="79" w:type="pct"/>
            <w:vMerge/>
            <w:tcMar>
              <w:left w:w="29" w:type="dxa"/>
              <w:right w:w="29" w:type="dxa"/>
            </w:tcMar>
            <w:vAlign w:val="center"/>
          </w:tcPr>
          <w:p w:rsidR="00113D0F" w:rsidRPr="00F71B40" w:rsidRDefault="00113D0F" w:rsidP="00D62A32">
            <w:pPr>
              <w:autoSpaceDE w:val="0"/>
              <w:autoSpaceDN w:val="0"/>
              <w:adjustRightInd w:val="0"/>
              <w:rPr>
                <w:rFonts w:cs="Times New Roman"/>
                <w:sz w:val="18"/>
                <w:szCs w:val="18"/>
                <w:lang w:val="en-AU"/>
              </w:rPr>
            </w:pPr>
          </w:p>
        </w:tc>
        <w:tc>
          <w:tcPr>
            <w:tcW w:w="353" w:type="pct"/>
            <w:vMerge w:val="restart"/>
            <w:tcBorders>
              <w:top w:val="single" w:sz="4" w:space="0" w:color="auto"/>
              <w:right w:val="dashed" w:sz="4" w:space="0" w:color="auto"/>
            </w:tcBorders>
            <w:shd w:val="clear" w:color="auto" w:fill="EEECE1" w:themeFill="background2"/>
            <w:tcMar>
              <w:left w:w="29" w:type="dxa"/>
              <w:right w:w="29" w:type="dxa"/>
            </w:tcMar>
            <w:vAlign w:val="center"/>
          </w:tcPr>
          <w:p w:rsidR="00113D0F" w:rsidRPr="00F71B40" w:rsidRDefault="00113D0F" w:rsidP="00D62A32">
            <w:pPr>
              <w:autoSpaceDE w:val="0"/>
              <w:autoSpaceDN w:val="0"/>
              <w:adjustRightInd w:val="0"/>
              <w:rPr>
                <w:rFonts w:cs="Times New Roman"/>
                <w:sz w:val="18"/>
                <w:szCs w:val="18"/>
                <w:lang w:val="en-AU"/>
              </w:rPr>
            </w:pPr>
            <w:r w:rsidRPr="00F71B40">
              <w:rPr>
                <w:rFonts w:cs="Times New Roman"/>
                <w:sz w:val="18"/>
                <w:szCs w:val="18"/>
                <w:lang w:val="en-AU"/>
              </w:rPr>
              <w:t>Improved Economic Infra-structure Program</w:t>
            </w:r>
          </w:p>
        </w:tc>
        <w:tc>
          <w:tcPr>
            <w:tcW w:w="969" w:type="pct"/>
            <w:tcBorders>
              <w:top w:val="single" w:sz="4" w:space="0" w:color="auto"/>
              <w:left w:val="dashed" w:sz="4" w:space="0" w:color="auto"/>
              <w:right w:val="single" w:sz="4" w:space="0" w:color="auto"/>
            </w:tcBorders>
            <w:shd w:val="clear" w:color="auto" w:fill="EEECE1" w:themeFill="background2"/>
            <w:tcMar>
              <w:left w:w="29" w:type="dxa"/>
              <w:right w:w="29" w:type="dxa"/>
            </w:tcMar>
            <w:vAlign w:val="center"/>
          </w:tcPr>
          <w:p w:rsidR="00113D0F" w:rsidRPr="00F71B40" w:rsidRDefault="00113D0F" w:rsidP="00D62A32">
            <w:pPr>
              <w:autoSpaceDE w:val="0"/>
              <w:autoSpaceDN w:val="0"/>
              <w:adjustRightInd w:val="0"/>
              <w:rPr>
                <w:rFonts w:cs="Times New Roman"/>
                <w:sz w:val="18"/>
                <w:szCs w:val="18"/>
                <w:lang w:val="en-AU"/>
              </w:rPr>
            </w:pPr>
            <w:r w:rsidRPr="00F71B40">
              <w:rPr>
                <w:rFonts w:cs="Times New Roman"/>
                <w:sz w:val="18"/>
                <w:szCs w:val="18"/>
                <w:lang w:val="en-AU"/>
              </w:rPr>
              <w:t>Transport infrastructure</w:t>
            </w:r>
          </w:p>
        </w:tc>
      </w:tr>
      <w:tr w:rsidR="00113D0F" w:rsidRPr="00F71B40" w:rsidTr="0013132E">
        <w:tc>
          <w:tcPr>
            <w:tcW w:w="563" w:type="pct"/>
            <w:vMerge/>
            <w:tcBorders>
              <w:left w:val="single" w:sz="4" w:space="0" w:color="auto"/>
            </w:tcBorders>
            <w:tcMar>
              <w:left w:w="29" w:type="dxa"/>
              <w:right w:w="29" w:type="dxa"/>
            </w:tcMar>
            <w:vAlign w:val="center"/>
          </w:tcPr>
          <w:p w:rsidR="00113D0F" w:rsidRPr="00F71B40" w:rsidRDefault="00113D0F" w:rsidP="00D62A32">
            <w:pPr>
              <w:autoSpaceDE w:val="0"/>
              <w:autoSpaceDN w:val="0"/>
              <w:adjustRightInd w:val="0"/>
              <w:rPr>
                <w:rFonts w:cs="Times New Roman"/>
                <w:sz w:val="18"/>
                <w:szCs w:val="18"/>
                <w:lang w:val="en-AU"/>
              </w:rPr>
            </w:pPr>
          </w:p>
        </w:tc>
        <w:tc>
          <w:tcPr>
            <w:tcW w:w="104" w:type="pct"/>
            <w:vMerge/>
            <w:shd w:val="clear" w:color="auto" w:fill="auto"/>
          </w:tcPr>
          <w:p w:rsidR="00113D0F" w:rsidRPr="00F71B40" w:rsidRDefault="00113D0F" w:rsidP="00D62A32">
            <w:pPr>
              <w:autoSpaceDE w:val="0"/>
              <w:autoSpaceDN w:val="0"/>
              <w:adjustRightInd w:val="0"/>
              <w:rPr>
                <w:rFonts w:cs="Times New Roman"/>
                <w:sz w:val="18"/>
                <w:szCs w:val="18"/>
                <w:lang w:val="en-AU"/>
              </w:rPr>
            </w:pPr>
          </w:p>
        </w:tc>
        <w:tc>
          <w:tcPr>
            <w:tcW w:w="1155" w:type="pct"/>
            <w:vMerge/>
            <w:shd w:val="clear" w:color="auto" w:fill="EEECE1" w:themeFill="background2"/>
            <w:tcMar>
              <w:left w:w="29" w:type="dxa"/>
              <w:right w:w="29" w:type="dxa"/>
            </w:tcMar>
            <w:vAlign w:val="center"/>
          </w:tcPr>
          <w:p w:rsidR="00113D0F" w:rsidRPr="00F71B40" w:rsidRDefault="00113D0F" w:rsidP="00D62A32">
            <w:pPr>
              <w:autoSpaceDE w:val="0"/>
              <w:autoSpaceDN w:val="0"/>
              <w:adjustRightInd w:val="0"/>
              <w:rPr>
                <w:rFonts w:cs="Times New Roman"/>
                <w:sz w:val="18"/>
                <w:szCs w:val="18"/>
                <w:lang w:val="en-AU"/>
              </w:rPr>
            </w:pPr>
          </w:p>
        </w:tc>
        <w:tc>
          <w:tcPr>
            <w:tcW w:w="89" w:type="pct"/>
            <w:vMerge/>
            <w:tcMar>
              <w:left w:w="29" w:type="dxa"/>
              <w:right w:w="29" w:type="dxa"/>
            </w:tcMar>
            <w:vAlign w:val="center"/>
          </w:tcPr>
          <w:p w:rsidR="00113D0F" w:rsidRPr="00F71B40" w:rsidRDefault="00113D0F" w:rsidP="00D62A32">
            <w:pPr>
              <w:autoSpaceDE w:val="0"/>
              <w:autoSpaceDN w:val="0"/>
              <w:adjustRightInd w:val="0"/>
              <w:rPr>
                <w:rFonts w:cs="Times New Roman"/>
                <w:sz w:val="18"/>
                <w:szCs w:val="18"/>
                <w:lang w:val="en-AU"/>
              </w:rPr>
            </w:pPr>
          </w:p>
        </w:tc>
        <w:tc>
          <w:tcPr>
            <w:tcW w:w="1687" w:type="pct"/>
            <w:gridSpan w:val="4"/>
            <w:vMerge/>
            <w:shd w:val="clear" w:color="auto" w:fill="BFBFBF" w:themeFill="background1" w:themeFillShade="BF"/>
            <w:tcMar>
              <w:left w:w="29" w:type="dxa"/>
              <w:right w:w="29" w:type="dxa"/>
            </w:tcMar>
            <w:vAlign w:val="center"/>
          </w:tcPr>
          <w:p w:rsidR="00113D0F" w:rsidRPr="00F71B40" w:rsidRDefault="00113D0F" w:rsidP="00D62A32">
            <w:pPr>
              <w:autoSpaceDE w:val="0"/>
              <w:autoSpaceDN w:val="0"/>
              <w:adjustRightInd w:val="0"/>
              <w:rPr>
                <w:rFonts w:cs="Times New Roman"/>
                <w:sz w:val="18"/>
                <w:szCs w:val="18"/>
                <w:lang w:val="en-AU"/>
              </w:rPr>
            </w:pPr>
          </w:p>
        </w:tc>
        <w:tc>
          <w:tcPr>
            <w:tcW w:w="79" w:type="pct"/>
            <w:vMerge/>
            <w:tcMar>
              <w:left w:w="29" w:type="dxa"/>
              <w:right w:w="29" w:type="dxa"/>
            </w:tcMar>
            <w:vAlign w:val="center"/>
          </w:tcPr>
          <w:p w:rsidR="00113D0F" w:rsidRPr="00F71B40" w:rsidRDefault="00113D0F" w:rsidP="00D62A32">
            <w:pPr>
              <w:autoSpaceDE w:val="0"/>
              <w:autoSpaceDN w:val="0"/>
              <w:adjustRightInd w:val="0"/>
              <w:rPr>
                <w:rFonts w:cs="Times New Roman"/>
                <w:sz w:val="18"/>
                <w:szCs w:val="18"/>
                <w:lang w:val="en-AU"/>
              </w:rPr>
            </w:pPr>
          </w:p>
        </w:tc>
        <w:tc>
          <w:tcPr>
            <w:tcW w:w="353" w:type="pct"/>
            <w:vMerge/>
            <w:tcBorders>
              <w:right w:val="dashed" w:sz="4" w:space="0" w:color="auto"/>
            </w:tcBorders>
            <w:shd w:val="clear" w:color="auto" w:fill="EEECE1" w:themeFill="background2"/>
            <w:tcMar>
              <w:left w:w="29" w:type="dxa"/>
              <w:right w:w="29" w:type="dxa"/>
            </w:tcMar>
            <w:vAlign w:val="center"/>
          </w:tcPr>
          <w:p w:rsidR="00113D0F" w:rsidRPr="00F71B40" w:rsidRDefault="00113D0F" w:rsidP="00D62A32">
            <w:pPr>
              <w:autoSpaceDE w:val="0"/>
              <w:autoSpaceDN w:val="0"/>
              <w:adjustRightInd w:val="0"/>
              <w:rPr>
                <w:rFonts w:cs="Times New Roman"/>
                <w:sz w:val="18"/>
                <w:szCs w:val="18"/>
                <w:lang w:val="en-AU"/>
              </w:rPr>
            </w:pPr>
          </w:p>
        </w:tc>
        <w:tc>
          <w:tcPr>
            <w:tcW w:w="969" w:type="pct"/>
            <w:tcBorders>
              <w:left w:val="dashed" w:sz="4" w:space="0" w:color="auto"/>
              <w:right w:val="single" w:sz="4" w:space="0" w:color="auto"/>
            </w:tcBorders>
            <w:shd w:val="clear" w:color="auto" w:fill="EEECE1" w:themeFill="background2"/>
            <w:tcMar>
              <w:left w:w="29" w:type="dxa"/>
              <w:right w:w="29" w:type="dxa"/>
            </w:tcMar>
            <w:vAlign w:val="center"/>
          </w:tcPr>
          <w:p w:rsidR="00113D0F" w:rsidRPr="00F71B40" w:rsidRDefault="00113D0F" w:rsidP="00D62A32">
            <w:pPr>
              <w:autoSpaceDE w:val="0"/>
              <w:autoSpaceDN w:val="0"/>
              <w:adjustRightInd w:val="0"/>
              <w:rPr>
                <w:rFonts w:cs="Times New Roman"/>
                <w:sz w:val="18"/>
                <w:szCs w:val="18"/>
                <w:lang w:val="en-AU"/>
              </w:rPr>
            </w:pPr>
            <w:r w:rsidRPr="00F71B40">
              <w:rPr>
                <w:rFonts w:cs="Times New Roman"/>
                <w:sz w:val="18"/>
                <w:szCs w:val="18"/>
                <w:lang w:val="en-AU"/>
              </w:rPr>
              <w:t>Energy infrastructure</w:t>
            </w:r>
          </w:p>
        </w:tc>
      </w:tr>
      <w:tr w:rsidR="00113D0F" w:rsidRPr="00F71B40" w:rsidTr="0013132E">
        <w:tc>
          <w:tcPr>
            <w:tcW w:w="563" w:type="pct"/>
            <w:vMerge/>
            <w:tcBorders>
              <w:left w:val="single" w:sz="4" w:space="0" w:color="auto"/>
              <w:bottom w:val="single" w:sz="4" w:space="0" w:color="auto"/>
            </w:tcBorders>
            <w:tcMar>
              <w:left w:w="29" w:type="dxa"/>
              <w:right w:w="29" w:type="dxa"/>
            </w:tcMar>
            <w:vAlign w:val="center"/>
          </w:tcPr>
          <w:p w:rsidR="00113D0F" w:rsidRPr="00F71B40" w:rsidRDefault="00113D0F" w:rsidP="00D62A32">
            <w:pPr>
              <w:autoSpaceDE w:val="0"/>
              <w:autoSpaceDN w:val="0"/>
              <w:adjustRightInd w:val="0"/>
              <w:rPr>
                <w:rFonts w:cs="Times New Roman"/>
                <w:sz w:val="18"/>
                <w:szCs w:val="18"/>
                <w:lang w:val="en-AU"/>
              </w:rPr>
            </w:pPr>
          </w:p>
        </w:tc>
        <w:tc>
          <w:tcPr>
            <w:tcW w:w="104" w:type="pct"/>
            <w:vMerge/>
            <w:shd w:val="clear" w:color="auto" w:fill="auto"/>
          </w:tcPr>
          <w:p w:rsidR="00113D0F" w:rsidRPr="00F71B40" w:rsidRDefault="00113D0F" w:rsidP="00D62A32">
            <w:pPr>
              <w:autoSpaceDE w:val="0"/>
              <w:autoSpaceDN w:val="0"/>
              <w:adjustRightInd w:val="0"/>
              <w:rPr>
                <w:rFonts w:cs="Times New Roman"/>
                <w:sz w:val="18"/>
                <w:szCs w:val="18"/>
                <w:lang w:val="en-AU"/>
              </w:rPr>
            </w:pPr>
          </w:p>
        </w:tc>
        <w:tc>
          <w:tcPr>
            <w:tcW w:w="1155" w:type="pct"/>
            <w:vMerge/>
            <w:tcBorders>
              <w:bottom w:val="single" w:sz="4" w:space="0" w:color="auto"/>
            </w:tcBorders>
            <w:shd w:val="clear" w:color="auto" w:fill="EEECE1" w:themeFill="background2"/>
            <w:tcMar>
              <w:left w:w="29" w:type="dxa"/>
              <w:right w:w="29" w:type="dxa"/>
            </w:tcMar>
            <w:vAlign w:val="center"/>
          </w:tcPr>
          <w:p w:rsidR="00113D0F" w:rsidRPr="00F71B40" w:rsidRDefault="00113D0F" w:rsidP="00D62A32">
            <w:pPr>
              <w:autoSpaceDE w:val="0"/>
              <w:autoSpaceDN w:val="0"/>
              <w:adjustRightInd w:val="0"/>
              <w:rPr>
                <w:rFonts w:cs="Times New Roman"/>
                <w:sz w:val="18"/>
                <w:szCs w:val="18"/>
                <w:lang w:val="en-AU"/>
              </w:rPr>
            </w:pPr>
          </w:p>
        </w:tc>
        <w:tc>
          <w:tcPr>
            <w:tcW w:w="89" w:type="pct"/>
            <w:vMerge/>
            <w:tcMar>
              <w:left w:w="29" w:type="dxa"/>
              <w:right w:w="29" w:type="dxa"/>
            </w:tcMar>
            <w:vAlign w:val="center"/>
          </w:tcPr>
          <w:p w:rsidR="00113D0F" w:rsidRPr="00F71B40" w:rsidRDefault="00113D0F" w:rsidP="00D62A32">
            <w:pPr>
              <w:autoSpaceDE w:val="0"/>
              <w:autoSpaceDN w:val="0"/>
              <w:adjustRightInd w:val="0"/>
              <w:rPr>
                <w:rFonts w:cs="Times New Roman"/>
                <w:sz w:val="18"/>
                <w:szCs w:val="18"/>
                <w:lang w:val="en-AU"/>
              </w:rPr>
            </w:pPr>
          </w:p>
        </w:tc>
        <w:tc>
          <w:tcPr>
            <w:tcW w:w="1687" w:type="pct"/>
            <w:gridSpan w:val="4"/>
            <w:vMerge/>
            <w:tcBorders>
              <w:bottom w:val="single" w:sz="4" w:space="0" w:color="auto"/>
            </w:tcBorders>
            <w:shd w:val="clear" w:color="auto" w:fill="BFBFBF" w:themeFill="background1" w:themeFillShade="BF"/>
            <w:tcMar>
              <w:left w:w="29" w:type="dxa"/>
              <w:right w:w="29" w:type="dxa"/>
            </w:tcMar>
            <w:vAlign w:val="center"/>
          </w:tcPr>
          <w:p w:rsidR="00113D0F" w:rsidRPr="00F71B40" w:rsidRDefault="00113D0F" w:rsidP="00D62A32">
            <w:pPr>
              <w:autoSpaceDE w:val="0"/>
              <w:autoSpaceDN w:val="0"/>
              <w:adjustRightInd w:val="0"/>
              <w:rPr>
                <w:rFonts w:cs="Times New Roman"/>
                <w:sz w:val="18"/>
                <w:szCs w:val="18"/>
                <w:lang w:val="en-AU"/>
              </w:rPr>
            </w:pPr>
          </w:p>
        </w:tc>
        <w:tc>
          <w:tcPr>
            <w:tcW w:w="79" w:type="pct"/>
            <w:vMerge/>
            <w:tcMar>
              <w:left w:w="29" w:type="dxa"/>
              <w:right w:w="29" w:type="dxa"/>
            </w:tcMar>
            <w:vAlign w:val="center"/>
          </w:tcPr>
          <w:p w:rsidR="00113D0F" w:rsidRPr="00F71B40" w:rsidRDefault="00113D0F" w:rsidP="00D62A32">
            <w:pPr>
              <w:autoSpaceDE w:val="0"/>
              <w:autoSpaceDN w:val="0"/>
              <w:adjustRightInd w:val="0"/>
              <w:rPr>
                <w:rFonts w:cs="Times New Roman"/>
                <w:sz w:val="18"/>
                <w:szCs w:val="18"/>
                <w:lang w:val="en-AU"/>
              </w:rPr>
            </w:pPr>
          </w:p>
        </w:tc>
        <w:tc>
          <w:tcPr>
            <w:tcW w:w="353" w:type="pct"/>
            <w:vMerge/>
            <w:tcBorders>
              <w:bottom w:val="single" w:sz="4" w:space="0" w:color="auto"/>
              <w:right w:val="dashed" w:sz="4" w:space="0" w:color="auto"/>
            </w:tcBorders>
            <w:shd w:val="clear" w:color="auto" w:fill="EEECE1" w:themeFill="background2"/>
            <w:tcMar>
              <w:left w:w="29" w:type="dxa"/>
              <w:right w:w="29" w:type="dxa"/>
            </w:tcMar>
            <w:vAlign w:val="center"/>
          </w:tcPr>
          <w:p w:rsidR="00113D0F" w:rsidRPr="00F71B40" w:rsidRDefault="00113D0F" w:rsidP="00D62A32">
            <w:pPr>
              <w:autoSpaceDE w:val="0"/>
              <w:autoSpaceDN w:val="0"/>
              <w:adjustRightInd w:val="0"/>
              <w:rPr>
                <w:rFonts w:cs="Times New Roman"/>
                <w:sz w:val="18"/>
                <w:szCs w:val="18"/>
                <w:lang w:val="en-AU"/>
              </w:rPr>
            </w:pPr>
          </w:p>
        </w:tc>
        <w:tc>
          <w:tcPr>
            <w:tcW w:w="969" w:type="pct"/>
            <w:tcBorders>
              <w:left w:val="dashed" w:sz="4" w:space="0" w:color="auto"/>
              <w:bottom w:val="single" w:sz="4" w:space="0" w:color="auto"/>
              <w:right w:val="single" w:sz="4" w:space="0" w:color="auto"/>
            </w:tcBorders>
            <w:shd w:val="clear" w:color="auto" w:fill="EEECE1" w:themeFill="background2"/>
            <w:tcMar>
              <w:left w:w="29" w:type="dxa"/>
              <w:right w:w="29" w:type="dxa"/>
            </w:tcMar>
            <w:vAlign w:val="center"/>
          </w:tcPr>
          <w:p w:rsidR="00113D0F" w:rsidRPr="00F71B40" w:rsidRDefault="00113D0F" w:rsidP="00D62A32">
            <w:pPr>
              <w:autoSpaceDE w:val="0"/>
              <w:autoSpaceDN w:val="0"/>
              <w:adjustRightInd w:val="0"/>
              <w:rPr>
                <w:rFonts w:cs="Times New Roman"/>
                <w:sz w:val="18"/>
                <w:szCs w:val="18"/>
                <w:lang w:val="en-AU"/>
              </w:rPr>
            </w:pPr>
            <w:r w:rsidRPr="00F71B40">
              <w:rPr>
                <w:rFonts w:cs="Times New Roman"/>
                <w:sz w:val="18"/>
                <w:szCs w:val="18"/>
                <w:lang w:val="en-AU"/>
              </w:rPr>
              <w:t>Telecommunications infrastructure</w:t>
            </w:r>
          </w:p>
        </w:tc>
      </w:tr>
      <w:tr w:rsidR="00113D0F" w:rsidRPr="00F71B40" w:rsidTr="0013132E">
        <w:tc>
          <w:tcPr>
            <w:tcW w:w="563" w:type="pct"/>
            <w:vMerge w:val="restart"/>
            <w:tcBorders>
              <w:top w:val="single" w:sz="4" w:space="0" w:color="auto"/>
              <w:left w:val="single" w:sz="4" w:space="0" w:color="auto"/>
            </w:tcBorders>
            <w:tcMar>
              <w:left w:w="29" w:type="dxa"/>
              <w:right w:w="29" w:type="dxa"/>
            </w:tcMar>
            <w:vAlign w:val="center"/>
          </w:tcPr>
          <w:p w:rsidR="00113D0F" w:rsidRPr="00F71B40" w:rsidRDefault="00113D0F" w:rsidP="00D62A32">
            <w:pPr>
              <w:autoSpaceDE w:val="0"/>
              <w:autoSpaceDN w:val="0"/>
              <w:adjustRightInd w:val="0"/>
              <w:rPr>
                <w:rFonts w:cs="Times New Roman"/>
                <w:sz w:val="18"/>
                <w:szCs w:val="18"/>
                <w:lang w:val="en-AU"/>
              </w:rPr>
            </w:pPr>
            <w:r w:rsidRPr="00F71B40">
              <w:rPr>
                <w:rFonts w:cs="Times New Roman"/>
                <w:sz w:val="18"/>
                <w:szCs w:val="18"/>
                <w:lang w:val="en-AU"/>
              </w:rPr>
              <w:t>Health</w:t>
            </w:r>
          </w:p>
        </w:tc>
        <w:tc>
          <w:tcPr>
            <w:tcW w:w="104" w:type="pct"/>
            <w:vMerge/>
            <w:shd w:val="clear" w:color="auto" w:fill="auto"/>
          </w:tcPr>
          <w:p w:rsidR="00113D0F" w:rsidRPr="00F71B40" w:rsidRDefault="00113D0F" w:rsidP="00D62A32">
            <w:pPr>
              <w:autoSpaceDE w:val="0"/>
              <w:autoSpaceDN w:val="0"/>
              <w:adjustRightInd w:val="0"/>
              <w:rPr>
                <w:rFonts w:cs="Times New Roman"/>
                <w:sz w:val="18"/>
                <w:szCs w:val="18"/>
                <w:lang w:val="en-AU"/>
              </w:rPr>
            </w:pPr>
          </w:p>
        </w:tc>
        <w:tc>
          <w:tcPr>
            <w:tcW w:w="1155" w:type="pct"/>
            <w:vMerge w:val="restart"/>
            <w:tcBorders>
              <w:top w:val="single" w:sz="4" w:space="0" w:color="auto"/>
            </w:tcBorders>
            <w:shd w:val="clear" w:color="auto" w:fill="EEECE1" w:themeFill="background2"/>
            <w:tcMar>
              <w:left w:w="29" w:type="dxa"/>
              <w:right w:w="29" w:type="dxa"/>
            </w:tcMar>
            <w:vAlign w:val="center"/>
          </w:tcPr>
          <w:p w:rsidR="00113D0F" w:rsidRPr="00F71B40" w:rsidRDefault="00113D0F" w:rsidP="00D62A32">
            <w:pPr>
              <w:autoSpaceDE w:val="0"/>
              <w:autoSpaceDN w:val="0"/>
              <w:adjustRightInd w:val="0"/>
              <w:rPr>
                <w:rFonts w:cs="Times New Roman"/>
                <w:sz w:val="18"/>
                <w:szCs w:val="18"/>
                <w:lang w:val="en-AU"/>
              </w:rPr>
            </w:pPr>
            <w:r w:rsidRPr="00F71B40">
              <w:rPr>
                <w:rFonts w:cs="Times New Roman"/>
                <w:sz w:val="18"/>
                <w:szCs w:val="18"/>
                <w:lang w:val="en-AU"/>
              </w:rPr>
              <w:t>Health sector institutional strengthening project (&gt;US$1m)</w:t>
            </w:r>
          </w:p>
          <w:p w:rsidR="00113D0F" w:rsidRPr="00F71B40" w:rsidRDefault="00113D0F" w:rsidP="00D62A32">
            <w:pPr>
              <w:autoSpaceDE w:val="0"/>
              <w:autoSpaceDN w:val="0"/>
              <w:adjustRightInd w:val="0"/>
              <w:rPr>
                <w:rFonts w:cs="Times New Roman"/>
                <w:sz w:val="18"/>
                <w:szCs w:val="18"/>
                <w:lang w:val="en-AU"/>
              </w:rPr>
            </w:pPr>
            <w:r w:rsidRPr="00F71B40">
              <w:rPr>
                <w:rFonts w:cs="Times New Roman"/>
                <w:sz w:val="18"/>
                <w:szCs w:val="18"/>
                <w:lang w:val="en-AU"/>
              </w:rPr>
              <w:t>+ 4 small projects)</w:t>
            </w:r>
          </w:p>
        </w:tc>
        <w:tc>
          <w:tcPr>
            <w:tcW w:w="89" w:type="pct"/>
            <w:vMerge/>
            <w:tcMar>
              <w:left w:w="29" w:type="dxa"/>
              <w:right w:w="29" w:type="dxa"/>
            </w:tcMar>
            <w:vAlign w:val="center"/>
          </w:tcPr>
          <w:p w:rsidR="00113D0F" w:rsidRPr="00F71B40" w:rsidRDefault="00113D0F" w:rsidP="00D62A32">
            <w:pPr>
              <w:autoSpaceDE w:val="0"/>
              <w:autoSpaceDN w:val="0"/>
              <w:adjustRightInd w:val="0"/>
              <w:rPr>
                <w:rFonts w:cs="Times New Roman"/>
                <w:sz w:val="18"/>
                <w:szCs w:val="18"/>
                <w:lang w:val="en-AU"/>
              </w:rPr>
            </w:pPr>
          </w:p>
        </w:tc>
        <w:tc>
          <w:tcPr>
            <w:tcW w:w="1687" w:type="pct"/>
            <w:gridSpan w:val="4"/>
            <w:vMerge w:val="restart"/>
            <w:tcBorders>
              <w:top w:val="single" w:sz="4" w:space="0" w:color="auto"/>
            </w:tcBorders>
            <w:shd w:val="clear" w:color="auto" w:fill="EEECE1" w:themeFill="background2"/>
            <w:tcMar>
              <w:left w:w="29" w:type="dxa"/>
              <w:right w:w="29" w:type="dxa"/>
            </w:tcMar>
            <w:vAlign w:val="center"/>
          </w:tcPr>
          <w:p w:rsidR="00113D0F" w:rsidRPr="00F71B40" w:rsidRDefault="00113D0F" w:rsidP="00D62A32">
            <w:pPr>
              <w:autoSpaceDE w:val="0"/>
              <w:autoSpaceDN w:val="0"/>
              <w:adjustRightInd w:val="0"/>
              <w:rPr>
                <w:rFonts w:cs="Times New Roman"/>
                <w:sz w:val="18"/>
                <w:szCs w:val="18"/>
                <w:lang w:val="en-AU"/>
              </w:rPr>
            </w:pPr>
            <w:r w:rsidRPr="00F71B40">
              <w:rPr>
                <w:rFonts w:cs="Times New Roman"/>
                <w:sz w:val="18"/>
                <w:szCs w:val="18"/>
                <w:lang w:val="en-AU"/>
              </w:rPr>
              <w:t>Health Sector Support Program</w:t>
            </w:r>
          </w:p>
        </w:tc>
        <w:tc>
          <w:tcPr>
            <w:tcW w:w="79" w:type="pct"/>
            <w:vMerge/>
            <w:tcMar>
              <w:left w:w="29" w:type="dxa"/>
              <w:right w:w="29" w:type="dxa"/>
            </w:tcMar>
            <w:vAlign w:val="center"/>
          </w:tcPr>
          <w:p w:rsidR="00113D0F" w:rsidRPr="00F71B40" w:rsidRDefault="00113D0F" w:rsidP="00D62A32">
            <w:pPr>
              <w:autoSpaceDE w:val="0"/>
              <w:autoSpaceDN w:val="0"/>
              <w:adjustRightInd w:val="0"/>
              <w:rPr>
                <w:rFonts w:cs="Times New Roman"/>
                <w:sz w:val="18"/>
                <w:szCs w:val="18"/>
                <w:lang w:val="en-AU"/>
              </w:rPr>
            </w:pPr>
          </w:p>
        </w:tc>
        <w:tc>
          <w:tcPr>
            <w:tcW w:w="353" w:type="pct"/>
            <w:vMerge w:val="restart"/>
            <w:tcBorders>
              <w:top w:val="single" w:sz="4" w:space="0" w:color="auto"/>
              <w:right w:val="dashed" w:sz="4" w:space="0" w:color="auto"/>
            </w:tcBorders>
            <w:shd w:val="clear" w:color="auto" w:fill="EEECE1" w:themeFill="background2"/>
            <w:tcMar>
              <w:left w:w="29" w:type="dxa"/>
              <w:right w:w="29" w:type="dxa"/>
            </w:tcMar>
            <w:vAlign w:val="center"/>
          </w:tcPr>
          <w:p w:rsidR="00113D0F" w:rsidRPr="00F71B40" w:rsidRDefault="00113D0F" w:rsidP="00D62A32">
            <w:pPr>
              <w:autoSpaceDE w:val="0"/>
              <w:autoSpaceDN w:val="0"/>
              <w:adjustRightInd w:val="0"/>
              <w:rPr>
                <w:rFonts w:cs="Times New Roman"/>
                <w:sz w:val="18"/>
                <w:szCs w:val="18"/>
                <w:lang w:val="en-AU"/>
              </w:rPr>
            </w:pPr>
            <w:r w:rsidRPr="00F71B40">
              <w:rPr>
                <w:rFonts w:cs="Times New Roman"/>
                <w:sz w:val="18"/>
                <w:szCs w:val="18"/>
                <w:lang w:val="en-AU"/>
              </w:rPr>
              <w:t>Health Sector Support Program</w:t>
            </w:r>
          </w:p>
        </w:tc>
        <w:tc>
          <w:tcPr>
            <w:tcW w:w="969" w:type="pct"/>
            <w:tcBorders>
              <w:top w:val="single" w:sz="4" w:space="0" w:color="auto"/>
              <w:left w:val="dashed" w:sz="4" w:space="0" w:color="auto"/>
              <w:right w:val="single" w:sz="4" w:space="0" w:color="auto"/>
            </w:tcBorders>
            <w:shd w:val="clear" w:color="auto" w:fill="EEECE1" w:themeFill="background2"/>
            <w:tcMar>
              <w:left w:w="29" w:type="dxa"/>
              <w:right w:w="29" w:type="dxa"/>
            </w:tcMar>
            <w:vAlign w:val="center"/>
          </w:tcPr>
          <w:p w:rsidR="00113D0F" w:rsidRPr="00F71B40" w:rsidRDefault="00113D0F" w:rsidP="00D62A32">
            <w:pPr>
              <w:autoSpaceDE w:val="0"/>
              <w:autoSpaceDN w:val="0"/>
              <w:adjustRightInd w:val="0"/>
              <w:rPr>
                <w:rFonts w:cs="Times New Roman"/>
                <w:sz w:val="18"/>
                <w:szCs w:val="18"/>
                <w:lang w:val="en-AU"/>
              </w:rPr>
            </w:pPr>
            <w:r w:rsidRPr="00F71B40">
              <w:rPr>
                <w:rFonts w:cs="Times New Roman"/>
                <w:sz w:val="18"/>
                <w:szCs w:val="18"/>
                <w:lang w:val="en-AU"/>
              </w:rPr>
              <w:t>Access to health care</w:t>
            </w:r>
          </w:p>
        </w:tc>
      </w:tr>
      <w:tr w:rsidR="00113D0F" w:rsidRPr="00F71B40" w:rsidTr="0013132E">
        <w:tc>
          <w:tcPr>
            <w:tcW w:w="563" w:type="pct"/>
            <w:vMerge/>
            <w:tcBorders>
              <w:left w:val="single" w:sz="4" w:space="0" w:color="auto"/>
            </w:tcBorders>
            <w:tcMar>
              <w:left w:w="29" w:type="dxa"/>
              <w:right w:w="29" w:type="dxa"/>
            </w:tcMar>
            <w:vAlign w:val="center"/>
          </w:tcPr>
          <w:p w:rsidR="00113D0F" w:rsidRPr="00F71B40" w:rsidRDefault="00113D0F" w:rsidP="00D62A32">
            <w:pPr>
              <w:autoSpaceDE w:val="0"/>
              <w:autoSpaceDN w:val="0"/>
              <w:adjustRightInd w:val="0"/>
              <w:rPr>
                <w:rFonts w:cs="Times New Roman"/>
                <w:sz w:val="18"/>
                <w:szCs w:val="18"/>
                <w:lang w:val="en-AU"/>
              </w:rPr>
            </w:pPr>
          </w:p>
        </w:tc>
        <w:tc>
          <w:tcPr>
            <w:tcW w:w="104" w:type="pct"/>
            <w:vMerge/>
            <w:shd w:val="clear" w:color="auto" w:fill="auto"/>
          </w:tcPr>
          <w:p w:rsidR="00113D0F" w:rsidRPr="00F71B40" w:rsidRDefault="00113D0F" w:rsidP="00D62A32">
            <w:pPr>
              <w:autoSpaceDE w:val="0"/>
              <w:autoSpaceDN w:val="0"/>
              <w:adjustRightInd w:val="0"/>
              <w:rPr>
                <w:rFonts w:cs="Times New Roman"/>
                <w:sz w:val="18"/>
                <w:szCs w:val="18"/>
                <w:lang w:val="en-AU"/>
              </w:rPr>
            </w:pPr>
          </w:p>
        </w:tc>
        <w:tc>
          <w:tcPr>
            <w:tcW w:w="1155" w:type="pct"/>
            <w:vMerge/>
            <w:shd w:val="clear" w:color="auto" w:fill="EEECE1" w:themeFill="background2"/>
            <w:tcMar>
              <w:left w:w="29" w:type="dxa"/>
              <w:right w:w="29" w:type="dxa"/>
            </w:tcMar>
            <w:vAlign w:val="center"/>
          </w:tcPr>
          <w:p w:rsidR="00113D0F" w:rsidRPr="00F71B40" w:rsidRDefault="00113D0F" w:rsidP="00D62A32">
            <w:pPr>
              <w:autoSpaceDE w:val="0"/>
              <w:autoSpaceDN w:val="0"/>
              <w:adjustRightInd w:val="0"/>
              <w:rPr>
                <w:rFonts w:cs="Times New Roman"/>
                <w:sz w:val="18"/>
                <w:szCs w:val="18"/>
                <w:lang w:val="en-AU"/>
              </w:rPr>
            </w:pPr>
          </w:p>
        </w:tc>
        <w:tc>
          <w:tcPr>
            <w:tcW w:w="89" w:type="pct"/>
            <w:vMerge/>
            <w:tcMar>
              <w:left w:w="29" w:type="dxa"/>
              <w:right w:w="29" w:type="dxa"/>
            </w:tcMar>
            <w:vAlign w:val="center"/>
          </w:tcPr>
          <w:p w:rsidR="00113D0F" w:rsidRPr="00F71B40" w:rsidRDefault="00113D0F" w:rsidP="00D62A32">
            <w:pPr>
              <w:autoSpaceDE w:val="0"/>
              <w:autoSpaceDN w:val="0"/>
              <w:adjustRightInd w:val="0"/>
              <w:rPr>
                <w:rFonts w:cs="Times New Roman"/>
                <w:sz w:val="18"/>
                <w:szCs w:val="18"/>
                <w:lang w:val="en-AU"/>
              </w:rPr>
            </w:pPr>
          </w:p>
        </w:tc>
        <w:tc>
          <w:tcPr>
            <w:tcW w:w="1687" w:type="pct"/>
            <w:gridSpan w:val="4"/>
            <w:vMerge/>
            <w:shd w:val="clear" w:color="auto" w:fill="EEECE1" w:themeFill="background2"/>
            <w:tcMar>
              <w:left w:w="29" w:type="dxa"/>
              <w:right w:w="29" w:type="dxa"/>
            </w:tcMar>
            <w:vAlign w:val="center"/>
          </w:tcPr>
          <w:p w:rsidR="00113D0F" w:rsidRPr="00F71B40" w:rsidRDefault="00113D0F" w:rsidP="00D62A32">
            <w:pPr>
              <w:autoSpaceDE w:val="0"/>
              <w:autoSpaceDN w:val="0"/>
              <w:adjustRightInd w:val="0"/>
              <w:rPr>
                <w:rFonts w:cs="Times New Roman"/>
                <w:sz w:val="18"/>
                <w:szCs w:val="18"/>
                <w:lang w:val="en-AU"/>
              </w:rPr>
            </w:pPr>
          </w:p>
        </w:tc>
        <w:tc>
          <w:tcPr>
            <w:tcW w:w="79" w:type="pct"/>
            <w:vMerge/>
            <w:tcMar>
              <w:left w:w="29" w:type="dxa"/>
              <w:right w:w="29" w:type="dxa"/>
            </w:tcMar>
            <w:vAlign w:val="center"/>
          </w:tcPr>
          <w:p w:rsidR="00113D0F" w:rsidRPr="00F71B40" w:rsidRDefault="00113D0F" w:rsidP="00D62A32">
            <w:pPr>
              <w:autoSpaceDE w:val="0"/>
              <w:autoSpaceDN w:val="0"/>
              <w:adjustRightInd w:val="0"/>
              <w:rPr>
                <w:rFonts w:cs="Times New Roman"/>
                <w:sz w:val="18"/>
                <w:szCs w:val="18"/>
                <w:lang w:val="en-AU"/>
              </w:rPr>
            </w:pPr>
          </w:p>
        </w:tc>
        <w:tc>
          <w:tcPr>
            <w:tcW w:w="353" w:type="pct"/>
            <w:vMerge/>
            <w:tcBorders>
              <w:right w:val="dashed" w:sz="4" w:space="0" w:color="auto"/>
            </w:tcBorders>
            <w:shd w:val="clear" w:color="auto" w:fill="EEECE1" w:themeFill="background2"/>
            <w:tcMar>
              <w:left w:w="29" w:type="dxa"/>
              <w:right w:w="29" w:type="dxa"/>
            </w:tcMar>
            <w:vAlign w:val="center"/>
          </w:tcPr>
          <w:p w:rsidR="00113D0F" w:rsidRPr="00F71B40" w:rsidRDefault="00113D0F" w:rsidP="00D62A32">
            <w:pPr>
              <w:autoSpaceDE w:val="0"/>
              <w:autoSpaceDN w:val="0"/>
              <w:adjustRightInd w:val="0"/>
              <w:rPr>
                <w:rFonts w:cs="Times New Roman"/>
                <w:sz w:val="18"/>
                <w:szCs w:val="18"/>
                <w:lang w:val="en-AU"/>
              </w:rPr>
            </w:pPr>
          </w:p>
        </w:tc>
        <w:tc>
          <w:tcPr>
            <w:tcW w:w="969" w:type="pct"/>
            <w:tcBorders>
              <w:left w:val="dashed" w:sz="4" w:space="0" w:color="auto"/>
              <w:right w:val="single" w:sz="4" w:space="0" w:color="auto"/>
            </w:tcBorders>
            <w:shd w:val="clear" w:color="auto" w:fill="EEECE1" w:themeFill="background2"/>
            <w:tcMar>
              <w:left w:w="29" w:type="dxa"/>
              <w:right w:w="29" w:type="dxa"/>
            </w:tcMar>
            <w:vAlign w:val="center"/>
          </w:tcPr>
          <w:p w:rsidR="00113D0F" w:rsidRPr="00F71B40" w:rsidRDefault="00113D0F" w:rsidP="00D62A32">
            <w:pPr>
              <w:autoSpaceDE w:val="0"/>
              <w:autoSpaceDN w:val="0"/>
              <w:adjustRightInd w:val="0"/>
              <w:rPr>
                <w:rFonts w:cs="Times New Roman"/>
                <w:sz w:val="18"/>
                <w:szCs w:val="18"/>
                <w:lang w:val="en-AU"/>
              </w:rPr>
            </w:pPr>
            <w:r w:rsidRPr="00F71B40">
              <w:rPr>
                <w:rFonts w:cs="Times New Roman"/>
                <w:sz w:val="18"/>
                <w:szCs w:val="18"/>
                <w:lang w:val="en-AU"/>
              </w:rPr>
              <w:t xml:space="preserve">Reduce malaria incidence </w:t>
            </w:r>
          </w:p>
        </w:tc>
      </w:tr>
      <w:tr w:rsidR="00113D0F" w:rsidRPr="00F71B40" w:rsidTr="0013132E">
        <w:tc>
          <w:tcPr>
            <w:tcW w:w="563" w:type="pct"/>
            <w:vMerge/>
            <w:tcBorders>
              <w:left w:val="single" w:sz="4" w:space="0" w:color="auto"/>
            </w:tcBorders>
            <w:tcMar>
              <w:left w:w="29" w:type="dxa"/>
              <w:right w:w="29" w:type="dxa"/>
            </w:tcMar>
            <w:vAlign w:val="center"/>
          </w:tcPr>
          <w:p w:rsidR="00113D0F" w:rsidRPr="00F71B40" w:rsidRDefault="00113D0F" w:rsidP="00D62A32">
            <w:pPr>
              <w:autoSpaceDE w:val="0"/>
              <w:autoSpaceDN w:val="0"/>
              <w:adjustRightInd w:val="0"/>
              <w:rPr>
                <w:rFonts w:cs="Times New Roman"/>
                <w:sz w:val="18"/>
                <w:szCs w:val="18"/>
                <w:lang w:val="en-AU"/>
              </w:rPr>
            </w:pPr>
          </w:p>
        </w:tc>
        <w:tc>
          <w:tcPr>
            <w:tcW w:w="104" w:type="pct"/>
            <w:vMerge/>
            <w:shd w:val="clear" w:color="auto" w:fill="auto"/>
          </w:tcPr>
          <w:p w:rsidR="00113D0F" w:rsidRPr="00F71B40" w:rsidRDefault="00113D0F" w:rsidP="00D62A32">
            <w:pPr>
              <w:autoSpaceDE w:val="0"/>
              <w:autoSpaceDN w:val="0"/>
              <w:adjustRightInd w:val="0"/>
              <w:rPr>
                <w:rFonts w:cs="Times New Roman"/>
                <w:sz w:val="18"/>
                <w:szCs w:val="18"/>
                <w:lang w:val="en-AU"/>
              </w:rPr>
            </w:pPr>
          </w:p>
        </w:tc>
        <w:tc>
          <w:tcPr>
            <w:tcW w:w="1155" w:type="pct"/>
            <w:vMerge/>
            <w:shd w:val="clear" w:color="auto" w:fill="EEECE1" w:themeFill="background2"/>
            <w:tcMar>
              <w:left w:w="29" w:type="dxa"/>
              <w:right w:w="29" w:type="dxa"/>
            </w:tcMar>
            <w:vAlign w:val="center"/>
          </w:tcPr>
          <w:p w:rsidR="00113D0F" w:rsidRPr="00F71B40" w:rsidRDefault="00113D0F" w:rsidP="00D62A32">
            <w:pPr>
              <w:autoSpaceDE w:val="0"/>
              <w:autoSpaceDN w:val="0"/>
              <w:adjustRightInd w:val="0"/>
              <w:rPr>
                <w:rFonts w:cs="Times New Roman"/>
                <w:sz w:val="18"/>
                <w:szCs w:val="18"/>
                <w:lang w:val="en-AU"/>
              </w:rPr>
            </w:pPr>
          </w:p>
        </w:tc>
        <w:tc>
          <w:tcPr>
            <w:tcW w:w="89" w:type="pct"/>
            <w:vMerge/>
            <w:tcMar>
              <w:left w:w="29" w:type="dxa"/>
              <w:right w:w="29" w:type="dxa"/>
            </w:tcMar>
            <w:vAlign w:val="center"/>
          </w:tcPr>
          <w:p w:rsidR="00113D0F" w:rsidRPr="00F71B40" w:rsidRDefault="00113D0F" w:rsidP="00D62A32">
            <w:pPr>
              <w:autoSpaceDE w:val="0"/>
              <w:autoSpaceDN w:val="0"/>
              <w:adjustRightInd w:val="0"/>
              <w:rPr>
                <w:rFonts w:cs="Times New Roman"/>
                <w:sz w:val="18"/>
                <w:szCs w:val="18"/>
                <w:lang w:val="en-AU"/>
              </w:rPr>
            </w:pPr>
          </w:p>
        </w:tc>
        <w:tc>
          <w:tcPr>
            <w:tcW w:w="1687" w:type="pct"/>
            <w:gridSpan w:val="4"/>
            <w:vMerge/>
            <w:shd w:val="clear" w:color="auto" w:fill="EEECE1" w:themeFill="background2"/>
            <w:tcMar>
              <w:left w:w="29" w:type="dxa"/>
              <w:right w:w="29" w:type="dxa"/>
            </w:tcMar>
            <w:vAlign w:val="center"/>
          </w:tcPr>
          <w:p w:rsidR="00113D0F" w:rsidRPr="00F71B40" w:rsidRDefault="00113D0F" w:rsidP="00D62A32">
            <w:pPr>
              <w:autoSpaceDE w:val="0"/>
              <w:autoSpaceDN w:val="0"/>
              <w:adjustRightInd w:val="0"/>
              <w:rPr>
                <w:rFonts w:cs="Times New Roman"/>
                <w:sz w:val="18"/>
                <w:szCs w:val="18"/>
                <w:lang w:val="en-AU"/>
              </w:rPr>
            </w:pPr>
          </w:p>
        </w:tc>
        <w:tc>
          <w:tcPr>
            <w:tcW w:w="79" w:type="pct"/>
            <w:vMerge/>
            <w:tcMar>
              <w:left w:w="29" w:type="dxa"/>
              <w:right w:w="29" w:type="dxa"/>
            </w:tcMar>
            <w:vAlign w:val="center"/>
          </w:tcPr>
          <w:p w:rsidR="00113D0F" w:rsidRPr="00F71B40" w:rsidRDefault="00113D0F" w:rsidP="00D62A32">
            <w:pPr>
              <w:autoSpaceDE w:val="0"/>
              <w:autoSpaceDN w:val="0"/>
              <w:adjustRightInd w:val="0"/>
              <w:rPr>
                <w:rFonts w:cs="Times New Roman"/>
                <w:sz w:val="18"/>
                <w:szCs w:val="18"/>
                <w:lang w:val="en-AU"/>
              </w:rPr>
            </w:pPr>
          </w:p>
        </w:tc>
        <w:tc>
          <w:tcPr>
            <w:tcW w:w="353" w:type="pct"/>
            <w:vMerge/>
            <w:tcBorders>
              <w:right w:val="dashed" w:sz="4" w:space="0" w:color="auto"/>
            </w:tcBorders>
            <w:shd w:val="clear" w:color="auto" w:fill="EEECE1" w:themeFill="background2"/>
            <w:tcMar>
              <w:left w:w="29" w:type="dxa"/>
              <w:right w:w="29" w:type="dxa"/>
            </w:tcMar>
            <w:vAlign w:val="center"/>
          </w:tcPr>
          <w:p w:rsidR="00113D0F" w:rsidRPr="00F71B40" w:rsidRDefault="00113D0F" w:rsidP="00D62A32">
            <w:pPr>
              <w:autoSpaceDE w:val="0"/>
              <w:autoSpaceDN w:val="0"/>
              <w:adjustRightInd w:val="0"/>
              <w:rPr>
                <w:rFonts w:cs="Times New Roman"/>
                <w:sz w:val="18"/>
                <w:szCs w:val="18"/>
                <w:lang w:val="en-AU"/>
              </w:rPr>
            </w:pPr>
          </w:p>
        </w:tc>
        <w:tc>
          <w:tcPr>
            <w:tcW w:w="969" w:type="pct"/>
            <w:tcBorders>
              <w:left w:val="dashed" w:sz="4" w:space="0" w:color="auto"/>
              <w:right w:val="single" w:sz="4" w:space="0" w:color="auto"/>
            </w:tcBorders>
            <w:shd w:val="clear" w:color="auto" w:fill="EEECE1" w:themeFill="background2"/>
            <w:tcMar>
              <w:left w:w="29" w:type="dxa"/>
              <w:right w:w="29" w:type="dxa"/>
            </w:tcMar>
            <w:vAlign w:val="center"/>
          </w:tcPr>
          <w:p w:rsidR="00113D0F" w:rsidRPr="00F71B40" w:rsidRDefault="00113D0F" w:rsidP="00D62A32">
            <w:pPr>
              <w:autoSpaceDE w:val="0"/>
              <w:autoSpaceDN w:val="0"/>
              <w:adjustRightInd w:val="0"/>
              <w:rPr>
                <w:rFonts w:cs="Times New Roman"/>
                <w:sz w:val="18"/>
                <w:szCs w:val="18"/>
                <w:lang w:val="en-AU"/>
              </w:rPr>
            </w:pPr>
            <w:r w:rsidRPr="00F71B40">
              <w:rPr>
                <w:rFonts w:cs="Times New Roman"/>
                <w:sz w:val="18"/>
                <w:szCs w:val="18"/>
                <w:lang w:val="en-AU"/>
              </w:rPr>
              <w:t>Access to clean water and sanitation</w:t>
            </w:r>
          </w:p>
        </w:tc>
      </w:tr>
      <w:tr w:rsidR="00113D0F" w:rsidRPr="00F71B40" w:rsidTr="0013132E">
        <w:tc>
          <w:tcPr>
            <w:tcW w:w="563" w:type="pct"/>
            <w:vMerge/>
            <w:tcBorders>
              <w:left w:val="single" w:sz="4" w:space="0" w:color="auto"/>
              <w:bottom w:val="single" w:sz="4" w:space="0" w:color="auto"/>
            </w:tcBorders>
            <w:tcMar>
              <w:left w:w="29" w:type="dxa"/>
              <w:right w:w="29" w:type="dxa"/>
            </w:tcMar>
            <w:vAlign w:val="center"/>
          </w:tcPr>
          <w:p w:rsidR="00113D0F" w:rsidRPr="00F71B40" w:rsidRDefault="00113D0F" w:rsidP="00D62A32">
            <w:pPr>
              <w:autoSpaceDE w:val="0"/>
              <w:autoSpaceDN w:val="0"/>
              <w:adjustRightInd w:val="0"/>
              <w:rPr>
                <w:rFonts w:cs="Times New Roman"/>
                <w:sz w:val="18"/>
                <w:szCs w:val="18"/>
                <w:lang w:val="en-AU"/>
              </w:rPr>
            </w:pPr>
          </w:p>
        </w:tc>
        <w:tc>
          <w:tcPr>
            <w:tcW w:w="104" w:type="pct"/>
            <w:vMerge/>
            <w:shd w:val="clear" w:color="auto" w:fill="auto"/>
          </w:tcPr>
          <w:p w:rsidR="00113D0F" w:rsidRPr="00F71B40" w:rsidRDefault="00113D0F" w:rsidP="00D62A32">
            <w:pPr>
              <w:autoSpaceDE w:val="0"/>
              <w:autoSpaceDN w:val="0"/>
              <w:adjustRightInd w:val="0"/>
              <w:rPr>
                <w:rFonts w:cs="Times New Roman"/>
                <w:sz w:val="18"/>
                <w:szCs w:val="18"/>
                <w:lang w:val="en-AU"/>
              </w:rPr>
            </w:pPr>
          </w:p>
        </w:tc>
        <w:tc>
          <w:tcPr>
            <w:tcW w:w="1155" w:type="pct"/>
            <w:vMerge/>
            <w:tcBorders>
              <w:bottom w:val="single" w:sz="4" w:space="0" w:color="auto"/>
            </w:tcBorders>
            <w:shd w:val="clear" w:color="auto" w:fill="EEECE1" w:themeFill="background2"/>
            <w:tcMar>
              <w:left w:w="29" w:type="dxa"/>
              <w:right w:w="29" w:type="dxa"/>
            </w:tcMar>
            <w:vAlign w:val="center"/>
          </w:tcPr>
          <w:p w:rsidR="00113D0F" w:rsidRPr="00F71B40" w:rsidRDefault="00113D0F" w:rsidP="00D62A32">
            <w:pPr>
              <w:autoSpaceDE w:val="0"/>
              <w:autoSpaceDN w:val="0"/>
              <w:adjustRightInd w:val="0"/>
              <w:rPr>
                <w:rFonts w:cs="Times New Roman"/>
                <w:sz w:val="18"/>
                <w:szCs w:val="18"/>
                <w:lang w:val="en-AU"/>
              </w:rPr>
            </w:pPr>
          </w:p>
        </w:tc>
        <w:tc>
          <w:tcPr>
            <w:tcW w:w="89" w:type="pct"/>
            <w:vMerge/>
            <w:tcMar>
              <w:left w:w="29" w:type="dxa"/>
              <w:right w:w="29" w:type="dxa"/>
            </w:tcMar>
            <w:vAlign w:val="center"/>
          </w:tcPr>
          <w:p w:rsidR="00113D0F" w:rsidRPr="00F71B40" w:rsidRDefault="00113D0F" w:rsidP="00D62A32">
            <w:pPr>
              <w:autoSpaceDE w:val="0"/>
              <w:autoSpaceDN w:val="0"/>
              <w:adjustRightInd w:val="0"/>
              <w:rPr>
                <w:rFonts w:cs="Times New Roman"/>
                <w:sz w:val="18"/>
                <w:szCs w:val="18"/>
                <w:lang w:val="en-AU"/>
              </w:rPr>
            </w:pPr>
          </w:p>
        </w:tc>
        <w:tc>
          <w:tcPr>
            <w:tcW w:w="1687" w:type="pct"/>
            <w:gridSpan w:val="4"/>
            <w:vMerge/>
            <w:tcBorders>
              <w:bottom w:val="single" w:sz="4" w:space="0" w:color="auto"/>
            </w:tcBorders>
            <w:shd w:val="clear" w:color="auto" w:fill="EEECE1" w:themeFill="background2"/>
            <w:tcMar>
              <w:left w:w="29" w:type="dxa"/>
              <w:right w:w="29" w:type="dxa"/>
            </w:tcMar>
            <w:vAlign w:val="center"/>
          </w:tcPr>
          <w:p w:rsidR="00113D0F" w:rsidRPr="00F71B40" w:rsidRDefault="00113D0F" w:rsidP="00D62A32">
            <w:pPr>
              <w:autoSpaceDE w:val="0"/>
              <w:autoSpaceDN w:val="0"/>
              <w:adjustRightInd w:val="0"/>
              <w:rPr>
                <w:rFonts w:cs="Times New Roman"/>
                <w:sz w:val="18"/>
                <w:szCs w:val="18"/>
                <w:lang w:val="en-AU"/>
              </w:rPr>
            </w:pPr>
          </w:p>
        </w:tc>
        <w:tc>
          <w:tcPr>
            <w:tcW w:w="79" w:type="pct"/>
            <w:vMerge/>
            <w:tcMar>
              <w:left w:w="29" w:type="dxa"/>
              <w:right w:w="29" w:type="dxa"/>
            </w:tcMar>
            <w:vAlign w:val="center"/>
          </w:tcPr>
          <w:p w:rsidR="00113D0F" w:rsidRPr="00F71B40" w:rsidRDefault="00113D0F" w:rsidP="00D62A32">
            <w:pPr>
              <w:autoSpaceDE w:val="0"/>
              <w:autoSpaceDN w:val="0"/>
              <w:adjustRightInd w:val="0"/>
              <w:rPr>
                <w:rFonts w:cs="Times New Roman"/>
                <w:sz w:val="18"/>
                <w:szCs w:val="18"/>
                <w:lang w:val="en-AU"/>
              </w:rPr>
            </w:pPr>
          </w:p>
        </w:tc>
        <w:tc>
          <w:tcPr>
            <w:tcW w:w="353" w:type="pct"/>
            <w:vMerge/>
            <w:tcBorders>
              <w:bottom w:val="single" w:sz="4" w:space="0" w:color="auto"/>
              <w:right w:val="dashed" w:sz="4" w:space="0" w:color="auto"/>
            </w:tcBorders>
            <w:shd w:val="clear" w:color="auto" w:fill="EEECE1" w:themeFill="background2"/>
            <w:tcMar>
              <w:left w:w="29" w:type="dxa"/>
              <w:right w:w="29" w:type="dxa"/>
            </w:tcMar>
            <w:vAlign w:val="center"/>
          </w:tcPr>
          <w:p w:rsidR="00113D0F" w:rsidRPr="00F71B40" w:rsidRDefault="00113D0F" w:rsidP="00D62A32">
            <w:pPr>
              <w:autoSpaceDE w:val="0"/>
              <w:autoSpaceDN w:val="0"/>
              <w:adjustRightInd w:val="0"/>
              <w:rPr>
                <w:rFonts w:cs="Times New Roman"/>
                <w:sz w:val="18"/>
                <w:szCs w:val="18"/>
                <w:lang w:val="en-AU"/>
              </w:rPr>
            </w:pPr>
          </w:p>
        </w:tc>
        <w:tc>
          <w:tcPr>
            <w:tcW w:w="969" w:type="pct"/>
            <w:tcBorders>
              <w:left w:val="dashed" w:sz="4" w:space="0" w:color="auto"/>
              <w:bottom w:val="single" w:sz="4" w:space="0" w:color="auto"/>
              <w:right w:val="single" w:sz="4" w:space="0" w:color="auto"/>
            </w:tcBorders>
            <w:shd w:val="clear" w:color="auto" w:fill="EEECE1" w:themeFill="background2"/>
            <w:tcMar>
              <w:left w:w="29" w:type="dxa"/>
              <w:right w:w="29" w:type="dxa"/>
            </w:tcMar>
            <w:vAlign w:val="center"/>
          </w:tcPr>
          <w:p w:rsidR="00113D0F" w:rsidRPr="00F71B40" w:rsidRDefault="00113D0F" w:rsidP="00D62A32">
            <w:pPr>
              <w:autoSpaceDE w:val="0"/>
              <w:autoSpaceDN w:val="0"/>
              <w:adjustRightInd w:val="0"/>
              <w:rPr>
                <w:rFonts w:cs="Times New Roman"/>
                <w:sz w:val="18"/>
                <w:szCs w:val="18"/>
                <w:lang w:val="en-AU"/>
              </w:rPr>
            </w:pPr>
            <w:r w:rsidRPr="00F71B40">
              <w:rPr>
                <w:rFonts w:cs="Times New Roman"/>
                <w:sz w:val="18"/>
                <w:szCs w:val="18"/>
                <w:lang w:val="en-AU"/>
              </w:rPr>
              <w:t>Reduced maternal and infant mortality</w:t>
            </w:r>
          </w:p>
        </w:tc>
      </w:tr>
      <w:tr w:rsidR="00113D0F" w:rsidRPr="00F71B40" w:rsidTr="0013132E">
        <w:tc>
          <w:tcPr>
            <w:tcW w:w="563" w:type="pct"/>
            <w:tcBorders>
              <w:top w:val="single" w:sz="4" w:space="0" w:color="auto"/>
              <w:left w:val="single" w:sz="4" w:space="0" w:color="auto"/>
              <w:bottom w:val="single" w:sz="4" w:space="0" w:color="auto"/>
            </w:tcBorders>
            <w:tcMar>
              <w:left w:w="29" w:type="dxa"/>
              <w:right w:w="29" w:type="dxa"/>
            </w:tcMar>
            <w:vAlign w:val="center"/>
          </w:tcPr>
          <w:p w:rsidR="00113D0F" w:rsidRPr="00F71B40" w:rsidRDefault="00113D0F" w:rsidP="00D62A32">
            <w:pPr>
              <w:autoSpaceDE w:val="0"/>
              <w:autoSpaceDN w:val="0"/>
              <w:adjustRightInd w:val="0"/>
              <w:rPr>
                <w:rFonts w:cs="Times New Roman"/>
                <w:sz w:val="18"/>
                <w:szCs w:val="18"/>
                <w:lang w:val="en-AU"/>
              </w:rPr>
            </w:pPr>
            <w:r w:rsidRPr="00F71B40">
              <w:rPr>
                <w:rFonts w:cs="Times New Roman"/>
                <w:sz w:val="18"/>
                <w:szCs w:val="18"/>
                <w:lang w:val="en-AU"/>
              </w:rPr>
              <w:t>Education</w:t>
            </w:r>
          </w:p>
        </w:tc>
        <w:tc>
          <w:tcPr>
            <w:tcW w:w="104" w:type="pct"/>
            <w:vMerge/>
            <w:shd w:val="clear" w:color="auto" w:fill="auto"/>
          </w:tcPr>
          <w:p w:rsidR="00113D0F" w:rsidRPr="00F71B40" w:rsidRDefault="00113D0F" w:rsidP="00D62A32">
            <w:pPr>
              <w:autoSpaceDE w:val="0"/>
              <w:autoSpaceDN w:val="0"/>
              <w:adjustRightInd w:val="0"/>
              <w:rPr>
                <w:rFonts w:cs="Times New Roman"/>
                <w:sz w:val="18"/>
                <w:szCs w:val="18"/>
                <w:lang w:val="en-AU"/>
              </w:rPr>
            </w:pPr>
          </w:p>
        </w:tc>
        <w:tc>
          <w:tcPr>
            <w:tcW w:w="1155" w:type="pct"/>
            <w:tcBorders>
              <w:top w:val="single" w:sz="4" w:space="0" w:color="auto"/>
              <w:bottom w:val="single" w:sz="4" w:space="0" w:color="auto"/>
            </w:tcBorders>
            <w:shd w:val="clear" w:color="auto" w:fill="EEECE1" w:themeFill="background2"/>
            <w:tcMar>
              <w:left w:w="29" w:type="dxa"/>
              <w:right w:w="29" w:type="dxa"/>
            </w:tcMar>
            <w:vAlign w:val="center"/>
          </w:tcPr>
          <w:p w:rsidR="00113D0F" w:rsidRPr="00F71B40" w:rsidRDefault="00113D0F" w:rsidP="00D62A32">
            <w:pPr>
              <w:autoSpaceDE w:val="0"/>
              <w:autoSpaceDN w:val="0"/>
              <w:adjustRightInd w:val="0"/>
              <w:rPr>
                <w:rFonts w:cs="Times New Roman"/>
                <w:sz w:val="18"/>
                <w:szCs w:val="18"/>
                <w:lang w:val="en-AU"/>
              </w:rPr>
            </w:pPr>
            <w:r w:rsidRPr="00F71B40">
              <w:rPr>
                <w:rFonts w:cs="Times New Roman"/>
                <w:sz w:val="18"/>
                <w:szCs w:val="18"/>
                <w:lang w:val="en-AU"/>
              </w:rPr>
              <w:t>Education sector development</w:t>
            </w:r>
          </w:p>
        </w:tc>
        <w:tc>
          <w:tcPr>
            <w:tcW w:w="89" w:type="pct"/>
            <w:vMerge/>
            <w:tcMar>
              <w:left w:w="29" w:type="dxa"/>
              <w:right w:w="29" w:type="dxa"/>
            </w:tcMar>
            <w:vAlign w:val="center"/>
          </w:tcPr>
          <w:p w:rsidR="00113D0F" w:rsidRPr="00F71B40" w:rsidRDefault="00113D0F" w:rsidP="00D62A32">
            <w:pPr>
              <w:autoSpaceDE w:val="0"/>
              <w:autoSpaceDN w:val="0"/>
              <w:adjustRightInd w:val="0"/>
              <w:rPr>
                <w:rFonts w:cs="Times New Roman"/>
                <w:sz w:val="18"/>
                <w:szCs w:val="18"/>
                <w:lang w:val="en-AU"/>
              </w:rPr>
            </w:pPr>
          </w:p>
        </w:tc>
        <w:tc>
          <w:tcPr>
            <w:tcW w:w="1687" w:type="pct"/>
            <w:gridSpan w:val="4"/>
            <w:tcBorders>
              <w:top w:val="single" w:sz="4" w:space="0" w:color="auto"/>
              <w:bottom w:val="single" w:sz="4" w:space="0" w:color="auto"/>
            </w:tcBorders>
            <w:shd w:val="clear" w:color="auto" w:fill="EEECE1" w:themeFill="background2"/>
            <w:tcMar>
              <w:left w:w="29" w:type="dxa"/>
              <w:right w:w="29" w:type="dxa"/>
            </w:tcMar>
            <w:vAlign w:val="center"/>
          </w:tcPr>
          <w:p w:rsidR="00113D0F" w:rsidRPr="00F71B40" w:rsidRDefault="00113D0F" w:rsidP="00D62A32">
            <w:pPr>
              <w:autoSpaceDE w:val="0"/>
              <w:autoSpaceDN w:val="0"/>
              <w:adjustRightInd w:val="0"/>
              <w:rPr>
                <w:rFonts w:cs="Times New Roman"/>
                <w:sz w:val="18"/>
                <w:szCs w:val="18"/>
                <w:lang w:val="en-AU"/>
              </w:rPr>
            </w:pPr>
            <w:r w:rsidRPr="00F71B40">
              <w:rPr>
                <w:rFonts w:cs="Times New Roman"/>
                <w:sz w:val="18"/>
                <w:szCs w:val="18"/>
                <w:lang w:val="en-AU"/>
              </w:rPr>
              <w:t>Australian Development Scholarships and Australian Regional Development Scholarships</w:t>
            </w:r>
          </w:p>
        </w:tc>
        <w:tc>
          <w:tcPr>
            <w:tcW w:w="79" w:type="pct"/>
            <w:vMerge/>
            <w:tcMar>
              <w:left w:w="29" w:type="dxa"/>
              <w:right w:w="29" w:type="dxa"/>
            </w:tcMar>
            <w:vAlign w:val="center"/>
          </w:tcPr>
          <w:p w:rsidR="00113D0F" w:rsidRPr="00F71B40" w:rsidRDefault="00113D0F" w:rsidP="00D62A32">
            <w:pPr>
              <w:autoSpaceDE w:val="0"/>
              <w:autoSpaceDN w:val="0"/>
              <w:adjustRightInd w:val="0"/>
              <w:rPr>
                <w:rFonts w:cs="Times New Roman"/>
                <w:sz w:val="18"/>
                <w:szCs w:val="18"/>
                <w:lang w:val="en-AU"/>
              </w:rPr>
            </w:pPr>
          </w:p>
        </w:tc>
        <w:tc>
          <w:tcPr>
            <w:tcW w:w="1322" w:type="pct"/>
            <w:gridSpan w:val="2"/>
            <w:tcBorders>
              <w:top w:val="single" w:sz="4" w:space="0" w:color="auto"/>
              <w:bottom w:val="single" w:sz="4" w:space="0" w:color="auto"/>
              <w:right w:val="single" w:sz="4" w:space="0" w:color="auto"/>
            </w:tcBorders>
            <w:shd w:val="clear" w:color="auto" w:fill="EEECE1" w:themeFill="background2"/>
            <w:tcMar>
              <w:left w:w="29" w:type="dxa"/>
              <w:right w:w="29" w:type="dxa"/>
            </w:tcMar>
            <w:vAlign w:val="center"/>
          </w:tcPr>
          <w:p w:rsidR="00113D0F" w:rsidRPr="00F71B40" w:rsidRDefault="0013132E" w:rsidP="00D62A32">
            <w:pPr>
              <w:autoSpaceDE w:val="0"/>
              <w:autoSpaceDN w:val="0"/>
              <w:adjustRightInd w:val="0"/>
              <w:rPr>
                <w:rFonts w:cs="Times New Roman"/>
                <w:sz w:val="18"/>
                <w:szCs w:val="18"/>
                <w:lang w:val="en-AU"/>
              </w:rPr>
            </w:pPr>
            <w:r w:rsidRPr="00F71B40">
              <w:rPr>
                <w:rFonts w:cs="Times New Roman"/>
                <w:sz w:val="18"/>
                <w:szCs w:val="18"/>
                <w:lang w:val="en-AU"/>
              </w:rPr>
              <w:t xml:space="preserve">DFAT support for education </w:t>
            </w:r>
            <w:r w:rsidR="00113D0F" w:rsidRPr="00F71B40">
              <w:rPr>
                <w:rFonts w:cs="Times New Roman"/>
                <w:sz w:val="18"/>
                <w:szCs w:val="18"/>
                <w:lang w:val="en-AU"/>
              </w:rPr>
              <w:t xml:space="preserve">and rural development </w:t>
            </w:r>
            <w:r w:rsidRPr="00F71B40">
              <w:rPr>
                <w:rFonts w:cs="Times New Roman"/>
                <w:sz w:val="18"/>
                <w:szCs w:val="18"/>
                <w:lang w:val="en-AU"/>
              </w:rPr>
              <w:t>in programs</w:t>
            </w:r>
            <w:r w:rsidR="00113D0F" w:rsidRPr="00F71B40">
              <w:rPr>
                <w:rFonts w:cs="Times New Roman"/>
                <w:sz w:val="18"/>
                <w:szCs w:val="18"/>
                <w:lang w:val="en-AU"/>
              </w:rPr>
              <w:t xml:space="preserve"> led by other donors</w:t>
            </w:r>
          </w:p>
        </w:tc>
      </w:tr>
      <w:tr w:rsidR="00113D0F" w:rsidRPr="00F71B40" w:rsidTr="0013132E">
        <w:tc>
          <w:tcPr>
            <w:tcW w:w="563" w:type="pct"/>
            <w:tcBorders>
              <w:top w:val="single" w:sz="4" w:space="0" w:color="auto"/>
              <w:left w:val="single" w:sz="4" w:space="0" w:color="auto"/>
              <w:bottom w:val="single" w:sz="4" w:space="0" w:color="auto"/>
            </w:tcBorders>
            <w:tcMar>
              <w:left w:w="29" w:type="dxa"/>
              <w:right w:w="29" w:type="dxa"/>
            </w:tcMar>
            <w:vAlign w:val="center"/>
          </w:tcPr>
          <w:p w:rsidR="00113D0F" w:rsidRPr="00F71B40" w:rsidRDefault="00113D0F" w:rsidP="00D62A32">
            <w:pPr>
              <w:autoSpaceDE w:val="0"/>
              <w:autoSpaceDN w:val="0"/>
              <w:adjustRightInd w:val="0"/>
              <w:rPr>
                <w:rFonts w:cs="Times New Roman"/>
                <w:sz w:val="18"/>
                <w:szCs w:val="18"/>
                <w:lang w:val="en-AU"/>
              </w:rPr>
            </w:pPr>
            <w:r w:rsidRPr="00F71B40">
              <w:rPr>
                <w:rFonts w:cs="Times New Roman"/>
                <w:sz w:val="18"/>
                <w:szCs w:val="18"/>
                <w:lang w:val="en-AU"/>
              </w:rPr>
              <w:t>Agriculture, fisheries forestry</w:t>
            </w:r>
          </w:p>
        </w:tc>
        <w:tc>
          <w:tcPr>
            <w:tcW w:w="104" w:type="pct"/>
            <w:vMerge/>
            <w:tcBorders>
              <w:bottom w:val="single" w:sz="4" w:space="0" w:color="auto"/>
            </w:tcBorders>
            <w:shd w:val="clear" w:color="auto" w:fill="auto"/>
          </w:tcPr>
          <w:p w:rsidR="00113D0F" w:rsidRPr="00F71B40" w:rsidRDefault="00113D0F" w:rsidP="00D62A32">
            <w:pPr>
              <w:autoSpaceDE w:val="0"/>
              <w:autoSpaceDN w:val="0"/>
              <w:adjustRightInd w:val="0"/>
              <w:rPr>
                <w:rFonts w:cs="Times New Roman"/>
                <w:sz w:val="18"/>
                <w:szCs w:val="18"/>
                <w:lang w:val="en-AU"/>
              </w:rPr>
            </w:pPr>
          </w:p>
        </w:tc>
        <w:tc>
          <w:tcPr>
            <w:tcW w:w="1155" w:type="pct"/>
            <w:tcBorders>
              <w:top w:val="single" w:sz="4" w:space="0" w:color="auto"/>
              <w:bottom w:val="single" w:sz="4" w:space="0" w:color="auto"/>
            </w:tcBorders>
            <w:shd w:val="clear" w:color="auto" w:fill="EEECE1" w:themeFill="background2"/>
            <w:tcMar>
              <w:left w:w="29" w:type="dxa"/>
              <w:right w:w="29" w:type="dxa"/>
            </w:tcMar>
            <w:vAlign w:val="center"/>
          </w:tcPr>
          <w:p w:rsidR="00113D0F" w:rsidRPr="00F71B40" w:rsidRDefault="00113D0F" w:rsidP="00D62A32">
            <w:pPr>
              <w:autoSpaceDE w:val="0"/>
              <w:autoSpaceDN w:val="0"/>
              <w:adjustRightInd w:val="0"/>
              <w:rPr>
                <w:rFonts w:cs="Times New Roman"/>
                <w:sz w:val="18"/>
                <w:szCs w:val="18"/>
                <w:lang w:val="en-AU"/>
              </w:rPr>
            </w:pPr>
            <w:r w:rsidRPr="00F71B40">
              <w:rPr>
                <w:rFonts w:cs="Times New Roman"/>
                <w:sz w:val="18"/>
                <w:szCs w:val="18"/>
                <w:lang w:val="en-AU"/>
              </w:rPr>
              <w:t xml:space="preserve">4 small projects </w:t>
            </w:r>
          </w:p>
        </w:tc>
        <w:tc>
          <w:tcPr>
            <w:tcW w:w="89" w:type="pct"/>
            <w:vMerge/>
            <w:tcBorders>
              <w:bottom w:val="single" w:sz="4" w:space="0" w:color="auto"/>
            </w:tcBorders>
            <w:tcMar>
              <w:left w:w="29" w:type="dxa"/>
              <w:right w:w="29" w:type="dxa"/>
            </w:tcMar>
            <w:vAlign w:val="center"/>
          </w:tcPr>
          <w:p w:rsidR="00113D0F" w:rsidRPr="00F71B40" w:rsidRDefault="00113D0F" w:rsidP="00D62A32">
            <w:pPr>
              <w:autoSpaceDE w:val="0"/>
              <w:autoSpaceDN w:val="0"/>
              <w:adjustRightInd w:val="0"/>
              <w:rPr>
                <w:rFonts w:cs="Times New Roman"/>
                <w:sz w:val="18"/>
                <w:szCs w:val="18"/>
                <w:lang w:val="en-AU"/>
              </w:rPr>
            </w:pPr>
          </w:p>
        </w:tc>
        <w:tc>
          <w:tcPr>
            <w:tcW w:w="1687" w:type="pct"/>
            <w:gridSpan w:val="4"/>
            <w:tcBorders>
              <w:top w:val="single" w:sz="4" w:space="0" w:color="auto"/>
              <w:bottom w:val="single" w:sz="4" w:space="0" w:color="auto"/>
            </w:tcBorders>
            <w:shd w:val="clear" w:color="auto" w:fill="EEECE1" w:themeFill="background2"/>
            <w:tcMar>
              <w:left w:w="29" w:type="dxa"/>
              <w:right w:w="29" w:type="dxa"/>
            </w:tcMar>
            <w:vAlign w:val="center"/>
          </w:tcPr>
          <w:p w:rsidR="00113D0F" w:rsidRPr="00F71B40" w:rsidRDefault="00113D0F" w:rsidP="00D62A32">
            <w:pPr>
              <w:autoSpaceDE w:val="0"/>
              <w:autoSpaceDN w:val="0"/>
              <w:adjustRightInd w:val="0"/>
              <w:rPr>
                <w:rFonts w:cs="Times New Roman"/>
                <w:sz w:val="18"/>
                <w:szCs w:val="18"/>
                <w:lang w:val="en-AU"/>
              </w:rPr>
            </w:pPr>
            <w:r w:rsidRPr="00F71B40">
              <w:rPr>
                <w:rFonts w:cs="Times New Roman"/>
                <w:sz w:val="18"/>
                <w:szCs w:val="18"/>
                <w:lang w:val="en-AU"/>
              </w:rPr>
              <w:t>Forestry Management Project Phase II,  Disaster Risk Management Project</w:t>
            </w:r>
          </w:p>
        </w:tc>
        <w:tc>
          <w:tcPr>
            <w:tcW w:w="79" w:type="pct"/>
            <w:vMerge/>
            <w:tcBorders>
              <w:bottom w:val="single" w:sz="4" w:space="0" w:color="auto"/>
            </w:tcBorders>
            <w:tcMar>
              <w:left w:w="29" w:type="dxa"/>
              <w:right w:w="29" w:type="dxa"/>
            </w:tcMar>
            <w:vAlign w:val="center"/>
          </w:tcPr>
          <w:p w:rsidR="00113D0F" w:rsidRPr="00F71B40" w:rsidRDefault="00113D0F" w:rsidP="00D62A32">
            <w:pPr>
              <w:autoSpaceDE w:val="0"/>
              <w:autoSpaceDN w:val="0"/>
              <w:adjustRightInd w:val="0"/>
              <w:rPr>
                <w:rFonts w:cs="Times New Roman"/>
                <w:sz w:val="18"/>
                <w:szCs w:val="18"/>
                <w:lang w:val="en-AU"/>
              </w:rPr>
            </w:pPr>
          </w:p>
        </w:tc>
        <w:tc>
          <w:tcPr>
            <w:tcW w:w="353" w:type="pct"/>
            <w:tcBorders>
              <w:top w:val="single" w:sz="4" w:space="0" w:color="auto"/>
              <w:bottom w:val="single" w:sz="4" w:space="0" w:color="auto"/>
            </w:tcBorders>
            <w:shd w:val="clear" w:color="auto" w:fill="EEECE1" w:themeFill="background2"/>
            <w:tcMar>
              <w:left w:w="29" w:type="dxa"/>
              <w:right w:w="29" w:type="dxa"/>
            </w:tcMar>
            <w:vAlign w:val="center"/>
          </w:tcPr>
          <w:p w:rsidR="00113D0F" w:rsidRPr="00F71B40" w:rsidRDefault="00113D0F" w:rsidP="00D62A32">
            <w:pPr>
              <w:autoSpaceDE w:val="0"/>
              <w:autoSpaceDN w:val="0"/>
              <w:adjustRightInd w:val="0"/>
              <w:rPr>
                <w:rFonts w:cs="Times New Roman"/>
                <w:sz w:val="18"/>
                <w:szCs w:val="18"/>
                <w:lang w:val="en-AU"/>
              </w:rPr>
            </w:pPr>
          </w:p>
        </w:tc>
        <w:tc>
          <w:tcPr>
            <w:tcW w:w="969" w:type="pct"/>
            <w:tcBorders>
              <w:top w:val="single" w:sz="4" w:space="0" w:color="auto"/>
              <w:bottom w:val="single" w:sz="4" w:space="0" w:color="auto"/>
              <w:right w:val="single" w:sz="4" w:space="0" w:color="auto"/>
            </w:tcBorders>
            <w:shd w:val="clear" w:color="auto" w:fill="EEECE1" w:themeFill="background2"/>
            <w:tcMar>
              <w:left w:w="29" w:type="dxa"/>
              <w:right w:w="29" w:type="dxa"/>
            </w:tcMar>
            <w:vAlign w:val="center"/>
          </w:tcPr>
          <w:p w:rsidR="00113D0F" w:rsidRPr="00F71B40" w:rsidRDefault="00113D0F" w:rsidP="00D62A32">
            <w:pPr>
              <w:autoSpaceDE w:val="0"/>
              <w:autoSpaceDN w:val="0"/>
              <w:adjustRightInd w:val="0"/>
              <w:rPr>
                <w:rFonts w:cs="Times New Roman"/>
                <w:sz w:val="18"/>
                <w:szCs w:val="18"/>
                <w:lang w:val="en-AU"/>
              </w:rPr>
            </w:pPr>
          </w:p>
        </w:tc>
      </w:tr>
    </w:tbl>
    <w:p w:rsidR="00AB7629" w:rsidRPr="00F71B40" w:rsidRDefault="00AB7629" w:rsidP="00D62A32">
      <w:pPr>
        <w:rPr>
          <w:lang w:val="en-AU"/>
        </w:rPr>
        <w:sectPr w:rsidR="00AB7629" w:rsidRPr="00F71B40" w:rsidSect="00FE3D6B">
          <w:endnotePr>
            <w:numFmt w:val="decimal"/>
          </w:endnotePr>
          <w:pgSz w:w="15840" w:h="12240" w:orient="landscape"/>
          <w:pgMar w:top="1260" w:right="1440" w:bottom="1440" w:left="1440" w:header="720" w:footer="720" w:gutter="0"/>
          <w:cols w:space="720"/>
          <w:docGrid w:linePitch="360"/>
        </w:sectPr>
      </w:pPr>
    </w:p>
    <w:p w:rsidR="006D7622" w:rsidRPr="00F71B40" w:rsidRDefault="006D7622" w:rsidP="00D62A32">
      <w:pPr>
        <w:autoSpaceDE w:val="0"/>
        <w:autoSpaceDN w:val="0"/>
        <w:adjustRightInd w:val="0"/>
        <w:rPr>
          <w:rFonts w:cs="Times New Roman"/>
          <w:lang w:val="en-AU"/>
        </w:rPr>
      </w:pPr>
      <w:r w:rsidRPr="00F71B40">
        <w:rPr>
          <w:rFonts w:cs="Times New Roman"/>
          <w:lang w:val="en-AU"/>
        </w:rPr>
        <w:lastRenderedPageBreak/>
        <w:t xml:space="preserve">Although designed with a 5 year timetable, SIGOV was envisaged as “phase 1 of a 30+ year engagement” </w:t>
      </w:r>
      <w:r w:rsidR="00115AC9" w:rsidRPr="00F71B40">
        <w:rPr>
          <w:rFonts w:cs="Times New Roman"/>
          <w:lang w:val="en-AU"/>
        </w:rPr>
        <w:fldChar w:fldCharType="begin"/>
      </w:r>
      <w:r w:rsidR="00115AC9" w:rsidRPr="00F71B40">
        <w:rPr>
          <w:rFonts w:cs="Times New Roman"/>
          <w:lang w:val="en-AU"/>
        </w:rPr>
        <w:instrText xml:space="preserve"> ADDIN EN.CITE &lt;EndNote&gt;&lt;Cite&gt;&lt;Author&gt;AusAID&lt;/Author&gt;&lt;Year&gt;2012&lt;/Year&gt;&lt;RecNum&gt;4265&lt;/RecNum&gt;&lt;Suffix&gt;`, p.1&lt;/Suffix&gt;&lt;DisplayText&gt;(AusAID, 2012a, p.1; 2013, p. 7)&lt;/DisplayText&gt;&lt;record&gt;&lt;rec-number&gt;4265&lt;/rec-number&gt;&lt;foreign-keys&gt;&lt;key app="EN" db-id="5v9z5rrdszvwsneef06v9dapsd0apdtfapdx" timestamp="1408392244"&gt;4265&lt;/key&gt;&lt;/foreign-keys&gt;&lt;ref-type name="Report"&gt;27&lt;/ref-type&gt;&lt;contributors&gt;&lt;authors&gt;&lt;author&gt;AusAID&lt;/author&gt;&lt;/authors&gt;&lt;/contributors&gt;&lt;titles&gt;&lt;title&gt;Investment Concept: Solomon Islands Economic and Public Sector Governance Program&lt;/title&gt;&lt;/titles&gt;&lt;dates&gt;&lt;year&gt;2012&lt;/year&gt;&lt;/dates&gt;&lt;pub-location&gt;Canberra&lt;/pub-location&gt;&lt;publisher&gt;AusAID&lt;/publisher&gt;&lt;urls&gt;&lt;/urls&gt;&lt;/record&gt;&lt;/Cite&gt;&lt;Cite&gt;&lt;Author&gt;AusAID&lt;/Author&gt;&lt;Year&gt;2013&lt;/Year&gt;&lt;RecNum&gt;4260&lt;/RecNum&gt;&lt;Suffix&gt;`, p. 7&lt;/Suffix&gt;&lt;record&gt;&lt;rec-number&gt;4260&lt;/rec-number&gt;&lt;foreign-keys&gt;&lt;key app="EN" db-id="5v9z5rrdszvwsneef06v9dapsd0apdtfapdx" timestamp="1408387630"&gt;4260&lt;/key&gt;&lt;/foreign-keys&gt;&lt;ref-type name="Report"&gt;27&lt;/ref-type&gt;&lt;contributors&gt;&lt;authors&gt;&lt;author&gt;AusAID&lt;/author&gt;&lt;/authors&gt;&lt;/contributors&gt;&lt;titles&gt;&lt;title&gt;Delivery Strategy: Solomon Islands Economic and Public Sector Governance Program (SIGOV) 2013-4 to 2017-18&lt;/title&gt;&lt;/titles&gt;&lt;dates&gt;&lt;year&gt;2013&lt;/year&gt;&lt;/dates&gt;&lt;pub-location&gt;Canberra &lt;/pub-location&gt;&lt;publisher&gt;AusAID&lt;/publisher&gt;&lt;urls&gt;&lt;/urls&gt;&lt;/record&gt;&lt;/Cite&gt;&lt;/EndNote&gt;</w:instrText>
      </w:r>
      <w:r w:rsidR="00115AC9" w:rsidRPr="00F71B40">
        <w:rPr>
          <w:rFonts w:cs="Times New Roman"/>
          <w:lang w:val="en-AU"/>
        </w:rPr>
        <w:fldChar w:fldCharType="separate"/>
      </w:r>
      <w:r w:rsidR="00115AC9" w:rsidRPr="00F71B40">
        <w:rPr>
          <w:rFonts w:cs="Times New Roman"/>
          <w:lang w:val="en-AU"/>
        </w:rPr>
        <w:t>(</w:t>
      </w:r>
      <w:hyperlink w:anchor="_ENREF_10" w:tooltip="AusAID, 2012 #4265" w:history="1">
        <w:r w:rsidR="00CC56DB" w:rsidRPr="00F71B40">
          <w:rPr>
            <w:rFonts w:cs="Times New Roman"/>
            <w:lang w:val="en-AU"/>
          </w:rPr>
          <w:t>AusAID, 2012a, p.1</w:t>
        </w:r>
      </w:hyperlink>
      <w:r w:rsidR="00115AC9" w:rsidRPr="00F71B40">
        <w:rPr>
          <w:rFonts w:cs="Times New Roman"/>
          <w:lang w:val="en-AU"/>
        </w:rPr>
        <w:t xml:space="preserve">; </w:t>
      </w:r>
      <w:hyperlink w:anchor="_ENREF_13" w:tooltip="AusAID, 2013 #4260" w:history="1">
        <w:r w:rsidR="00CC56DB" w:rsidRPr="00F71B40">
          <w:rPr>
            <w:rFonts w:cs="Times New Roman"/>
            <w:lang w:val="en-AU"/>
          </w:rPr>
          <w:t>2013, p. 7</w:t>
        </w:r>
      </w:hyperlink>
      <w:r w:rsidR="00115AC9" w:rsidRPr="00F71B40">
        <w:rPr>
          <w:rFonts w:cs="Times New Roman"/>
          <w:lang w:val="en-AU"/>
        </w:rPr>
        <w:t>)</w:t>
      </w:r>
      <w:r w:rsidR="00115AC9" w:rsidRPr="00F71B40">
        <w:rPr>
          <w:rFonts w:cs="Times New Roman"/>
          <w:lang w:val="en-AU"/>
        </w:rPr>
        <w:fldChar w:fldCharType="end"/>
      </w:r>
      <w:r w:rsidRPr="00F71B40">
        <w:rPr>
          <w:rFonts w:cs="Times New Roman"/>
          <w:lang w:val="en-AU"/>
        </w:rPr>
        <w:t xml:space="preserve">, the engagement period in the concept reflecting insights from the 2011 World Development Report that a civil conflict costs the average developing country roughly 30 years of GDP growth </w:t>
      </w:r>
      <w:r w:rsidR="00115AC9" w:rsidRPr="00F71B40">
        <w:rPr>
          <w:rFonts w:cs="Times New Roman"/>
          <w:lang w:val="en-AU"/>
        </w:rPr>
        <w:fldChar w:fldCharType="begin"/>
      </w:r>
      <w:r w:rsidR="00115AC9" w:rsidRPr="00F71B40">
        <w:rPr>
          <w:rFonts w:cs="Times New Roman"/>
          <w:lang w:val="en-AU"/>
        </w:rPr>
        <w:instrText xml:space="preserve"> ADDIN EN.CITE &lt;EndNote&gt;&lt;Cite&gt;&lt;Author&gt;World Bank&lt;/Author&gt;&lt;Year&gt;2011&lt;/Year&gt;&lt;RecNum&gt;3267&lt;/RecNum&gt;&lt;DisplayText&gt;(World Bank, 2011)&lt;/DisplayText&gt;&lt;record&gt;&lt;rec-number&gt;3267&lt;/rec-number&gt;&lt;foreign-keys&gt;&lt;key app="EN" db-id="5v9z5rrdszvwsneef06v9dapsd0apdtfapdx" timestamp="0"&gt;3267&lt;/key&gt;&lt;/foreign-keys&gt;&lt;ref-type name="Book"&gt;6&lt;/ref-type&gt;&lt;contributors&gt;&lt;authors&gt;&lt;author&gt;World Bank,&lt;/author&gt;&lt;/authors&gt;&lt;/contributors&gt;&lt;titles&gt;&lt;title&gt;World Development Report: Conflict, Security and Development&lt;/title&gt;&lt;/titles&gt;&lt;dates&gt;&lt;year&gt;2011&lt;/year&gt;&lt;/dates&gt;&lt;pub-location&gt;Washington DC&lt;/pub-location&gt;&lt;publisher&gt;World Bank&lt;/publisher&gt;&lt;urls&gt;&lt;/urls&gt;&lt;/record&gt;&lt;/Cite&gt;&lt;/EndNote&gt;</w:instrText>
      </w:r>
      <w:r w:rsidR="00115AC9" w:rsidRPr="00F71B40">
        <w:rPr>
          <w:rFonts w:cs="Times New Roman"/>
          <w:lang w:val="en-AU"/>
        </w:rPr>
        <w:fldChar w:fldCharType="separate"/>
      </w:r>
      <w:r w:rsidR="00115AC9" w:rsidRPr="00F71B40">
        <w:rPr>
          <w:rFonts w:cs="Times New Roman"/>
          <w:lang w:val="en-AU"/>
        </w:rPr>
        <w:t>(</w:t>
      </w:r>
      <w:hyperlink w:anchor="_ENREF_149" w:tooltip="World Bank, 2011 #3267" w:history="1">
        <w:r w:rsidR="00CC56DB" w:rsidRPr="00F71B40">
          <w:rPr>
            <w:rFonts w:cs="Times New Roman"/>
            <w:lang w:val="en-AU"/>
          </w:rPr>
          <w:t>World Bank, 2011</w:t>
        </w:r>
      </w:hyperlink>
      <w:r w:rsidR="00115AC9" w:rsidRPr="00F71B40">
        <w:rPr>
          <w:rFonts w:cs="Times New Roman"/>
          <w:lang w:val="en-AU"/>
        </w:rPr>
        <w:t>)</w:t>
      </w:r>
      <w:r w:rsidR="00115AC9" w:rsidRPr="00F71B40">
        <w:rPr>
          <w:rFonts w:cs="Times New Roman"/>
          <w:lang w:val="en-AU"/>
        </w:rPr>
        <w:fldChar w:fldCharType="end"/>
      </w:r>
      <w:r w:rsidRPr="00F71B40">
        <w:rPr>
          <w:rFonts w:cs="Times New Roman"/>
          <w:lang w:val="en-AU"/>
        </w:rPr>
        <w:t>.</w:t>
      </w:r>
      <w:r w:rsidR="00E256D6">
        <w:rPr>
          <w:rFonts w:cs="Times New Roman"/>
          <w:lang w:val="en-AU"/>
        </w:rPr>
        <w:t xml:space="preserve">  </w:t>
      </w:r>
      <w:r w:rsidRPr="00F71B40">
        <w:rPr>
          <w:rFonts w:cs="Times New Roman"/>
          <w:lang w:val="en-AU"/>
        </w:rPr>
        <w:t>That indicative period of 30 years was again referenced at the time of implementation (</w:t>
      </w:r>
      <w:r w:rsidR="00115AC9" w:rsidRPr="00F71B40">
        <w:rPr>
          <w:rFonts w:cs="Times New Roman"/>
          <w:lang w:val="en-AU"/>
        </w:rPr>
        <w:fldChar w:fldCharType="begin"/>
      </w:r>
      <w:r w:rsidR="00115AC9" w:rsidRPr="00F71B40">
        <w:rPr>
          <w:rFonts w:cs="Times New Roman"/>
          <w:lang w:val="en-AU"/>
        </w:rPr>
        <w:instrText xml:space="preserve"> ADDIN EN.CITE &lt;EndNote&gt;&lt;Cite&gt;&lt;Author&gt;AusAID&lt;/Author&gt;&lt;Year&gt;2013&lt;/Year&gt;&lt;RecNum&gt;4260&lt;/RecNum&gt;&lt;Suffix&gt;`, p. 5&lt;/Suffix&gt;&lt;DisplayText&gt;(AusAID, 2013, p. 5)&lt;/DisplayText&gt;&lt;record&gt;&lt;rec-number&gt;4260&lt;/rec-number&gt;&lt;foreign-keys&gt;&lt;key app="EN" db-id="5v9z5rrdszvwsneef06v9dapsd0apdtfapdx" timestamp="1408387630"&gt;4260&lt;/key&gt;&lt;/foreign-keys&gt;&lt;ref-type name="Report"&gt;27&lt;/ref-type&gt;&lt;contributors&gt;&lt;authors&gt;&lt;author&gt;AusAID&lt;/author&gt;&lt;/authors&gt;&lt;/contributors&gt;&lt;titles&gt;&lt;title&gt;Delivery Strategy: Solomon Islands Economic and Public Sector Governance Program (SIGOV) 2013-4 to 2017-18&lt;/title&gt;&lt;/titles&gt;&lt;dates&gt;&lt;year&gt;2013&lt;/year&gt;&lt;/dates&gt;&lt;pub-location&gt;Canberra &lt;/pub-location&gt;&lt;publisher&gt;AusAID&lt;/publisher&gt;&lt;urls&gt;&lt;/urls&gt;&lt;/record&gt;&lt;/Cite&gt;&lt;/EndNote&gt;</w:instrText>
      </w:r>
      <w:r w:rsidR="00115AC9" w:rsidRPr="00F71B40">
        <w:rPr>
          <w:rFonts w:cs="Times New Roman"/>
          <w:lang w:val="en-AU"/>
        </w:rPr>
        <w:fldChar w:fldCharType="separate"/>
      </w:r>
      <w:r w:rsidR="00115AC9" w:rsidRPr="00F71B40">
        <w:rPr>
          <w:rFonts w:cs="Times New Roman"/>
          <w:lang w:val="en-AU"/>
        </w:rPr>
        <w:t>(</w:t>
      </w:r>
      <w:hyperlink w:anchor="_ENREF_13" w:tooltip="AusAID, 2013 #4260" w:history="1">
        <w:r w:rsidR="00CC56DB" w:rsidRPr="00F71B40">
          <w:rPr>
            <w:rFonts w:cs="Times New Roman"/>
            <w:lang w:val="en-AU"/>
          </w:rPr>
          <w:t>AusAID, 2013, p. 5</w:t>
        </w:r>
      </w:hyperlink>
      <w:r w:rsidR="00115AC9" w:rsidRPr="00F71B40">
        <w:rPr>
          <w:rFonts w:cs="Times New Roman"/>
          <w:lang w:val="en-AU"/>
        </w:rPr>
        <w:t>)</w:t>
      </w:r>
      <w:r w:rsidR="00115AC9" w:rsidRPr="00F71B40">
        <w:rPr>
          <w:rFonts w:cs="Times New Roman"/>
          <w:lang w:val="en-AU"/>
        </w:rPr>
        <w:fldChar w:fldCharType="end"/>
      </w:r>
      <w:r w:rsidRPr="00F71B40">
        <w:rPr>
          <w:rFonts w:cs="Times New Roman"/>
          <w:lang w:val="en-AU"/>
        </w:rPr>
        <w:t xml:space="preserve"> citing </w:t>
      </w:r>
      <w:r w:rsidR="00115AC9" w:rsidRPr="00F71B40">
        <w:rPr>
          <w:rFonts w:cs="Times New Roman"/>
          <w:lang w:val="en-AU"/>
        </w:rPr>
        <w:fldChar w:fldCharType="begin"/>
      </w:r>
      <w:r w:rsidR="00115AC9" w:rsidRPr="00F71B40">
        <w:rPr>
          <w:rFonts w:cs="Times New Roman"/>
          <w:lang w:val="en-AU"/>
        </w:rPr>
        <w:instrText xml:space="preserve"> ADDIN EN.CITE &lt;EndNote&gt;&lt;Cite&gt;&lt;Author&gt;Rondinelli&lt;/Author&gt;&lt;Year&gt;2006&lt;/Year&gt;&lt;RecNum&gt;4264&lt;/RecNum&gt;&lt;DisplayText&gt;(Rondinelli, 2006)&lt;/DisplayText&gt;&lt;record&gt;&lt;rec-number&gt;4264&lt;/rec-number&gt;&lt;foreign-keys&gt;&lt;key app="EN" db-id="5v9z5rrdszvwsneef06v9dapsd0apdtfapdx" timestamp="1408391838"&gt;4264&lt;/key&gt;&lt;/foreign-keys&gt;&lt;ref-type name="Report"&gt;27&lt;/ref-type&gt;&lt;contributors&gt;&lt;authors&gt;&lt;author&gt;Rondinelli, D. A.&lt;/author&gt;&lt;/authors&gt;&lt;/contributors&gt;&lt;titles&gt;&lt;title&gt;Reforming Public Administration in Postconflict Societies - Implications for International Assistance&lt;/title&gt;&lt;/titles&gt;&lt;dates&gt;&lt;year&gt;2006&lt;/year&gt;&lt;/dates&gt;&lt;pub-location&gt;Washington DC&lt;/pub-location&gt;&lt;publisher&gt;United States Agency for International Development&lt;/publisher&gt;&lt;urls&gt;&lt;/urls&gt;&lt;/record&gt;&lt;/Cite&gt;&lt;/EndNote&gt;</w:instrText>
      </w:r>
      <w:r w:rsidR="00115AC9" w:rsidRPr="00F71B40">
        <w:rPr>
          <w:rFonts w:cs="Times New Roman"/>
          <w:lang w:val="en-AU"/>
        </w:rPr>
        <w:fldChar w:fldCharType="separate"/>
      </w:r>
      <w:r w:rsidR="00115AC9" w:rsidRPr="00F71B40">
        <w:rPr>
          <w:rFonts w:cs="Times New Roman"/>
          <w:lang w:val="en-AU"/>
        </w:rPr>
        <w:t>(</w:t>
      </w:r>
      <w:hyperlink w:anchor="_ENREF_129" w:tooltip="Rondinelli, 2006 #4264" w:history="1">
        <w:r w:rsidR="00CC56DB" w:rsidRPr="00F71B40">
          <w:rPr>
            <w:rFonts w:cs="Times New Roman"/>
            <w:lang w:val="en-AU"/>
          </w:rPr>
          <w:t>Rondinelli, 2006</w:t>
        </w:r>
      </w:hyperlink>
      <w:r w:rsidR="00115AC9" w:rsidRPr="00F71B40">
        <w:rPr>
          <w:rFonts w:cs="Times New Roman"/>
          <w:lang w:val="en-AU"/>
        </w:rPr>
        <w:t>)</w:t>
      </w:r>
      <w:r w:rsidR="00115AC9" w:rsidRPr="00F71B40">
        <w:rPr>
          <w:rFonts w:cs="Times New Roman"/>
          <w:lang w:val="en-AU"/>
        </w:rPr>
        <w:fldChar w:fldCharType="end"/>
      </w:r>
      <w:r w:rsidRPr="00F71B40">
        <w:rPr>
          <w:rFonts w:cs="Times New Roman"/>
          <w:lang w:val="en-AU"/>
        </w:rPr>
        <w:t xml:space="preserve">).  </w:t>
      </w:r>
    </w:p>
    <w:p w:rsidR="006D7622" w:rsidRPr="00F71B40" w:rsidRDefault="006D7622" w:rsidP="00D62A32">
      <w:pPr>
        <w:autoSpaceDE w:val="0"/>
        <w:autoSpaceDN w:val="0"/>
        <w:adjustRightInd w:val="0"/>
        <w:rPr>
          <w:rFonts w:cs="Times New Roman"/>
          <w:lang w:val="en-AU"/>
        </w:rPr>
      </w:pPr>
    </w:p>
    <w:p w:rsidR="006D7622" w:rsidRPr="00F71B40" w:rsidRDefault="006D7622" w:rsidP="00D62A32">
      <w:pPr>
        <w:autoSpaceDE w:val="0"/>
        <w:autoSpaceDN w:val="0"/>
        <w:adjustRightInd w:val="0"/>
        <w:rPr>
          <w:rFonts w:cs="Arial"/>
          <w:lang w:val="en-AU"/>
        </w:rPr>
      </w:pPr>
      <w:r w:rsidRPr="00F71B40">
        <w:rPr>
          <w:rFonts w:cs="Times New Roman"/>
          <w:lang w:val="en-AU"/>
        </w:rPr>
        <w:t>The emphasis on the long term has again been noted in the most recent SIGOV Quarterly Report:  “</w:t>
      </w:r>
      <w:r w:rsidRPr="00F71B40">
        <w:rPr>
          <w:rFonts w:cs="Arial"/>
          <w:lang w:val="en-AU"/>
        </w:rPr>
        <w:t xml:space="preserve">…donor support in some form is likely to be required for many years, including in key areas to maintain reform momentum.  There does remain a need for technical assistance to continue for at least the next five to ten year period to support this momentum.” </w:t>
      </w:r>
      <w:r w:rsidR="00115AC9" w:rsidRPr="00F71B40">
        <w:rPr>
          <w:rFonts w:cs="Arial"/>
          <w:lang w:val="en-AU"/>
        </w:rPr>
        <w:fldChar w:fldCharType="begin"/>
      </w:r>
      <w:r w:rsidR="00115AC9" w:rsidRPr="00F71B40">
        <w:rPr>
          <w:rFonts w:cs="Arial"/>
          <w:lang w:val="en-AU"/>
        </w:rPr>
        <w:instrText xml:space="preserve"> ADDIN EN.CITE &lt;EndNote&gt;&lt;Cite&gt;&lt;Author&gt;DFAT&lt;/Author&gt;&lt;Year&gt;2014&lt;/Year&gt;&lt;RecNum&gt;4309&lt;/RecNum&gt;&lt;Suffix&gt; `, p.6&lt;/Suffix&gt;&lt;DisplayText&gt;(DFAT, 2014b , p.6)&lt;/DisplayText&gt;&lt;record&gt;&lt;rec-number&gt;4309&lt;/rec-number&gt;&lt;foreign-keys&gt;&lt;key app="EN" db-id="5v9z5rrdszvwsneef06v9dapsd0apdtfapdx" timestamp="1408652590"&gt;4309&lt;/key&gt;&lt;/foreign-keys&gt;&lt;ref-type name="Report"&gt;27&lt;/ref-type&gt;&lt;contributors&gt;&lt;authors&gt;&lt;author&gt;DFAT&lt;/author&gt;&lt;/authors&gt;&lt;/contributors&gt;&lt;titles&gt;&lt;title&gt;Solomon Islands Governance Program (SIGOV): Quarterly Report No. 3 (January-March 2014)&lt;/title&gt;&lt;/titles&gt;&lt;dates&gt;&lt;year&gt;2014&lt;/year&gt;&lt;/dates&gt;&lt;pub-location&gt;Honiara, Solomon Islands&lt;/pub-location&gt;&lt;publisher&gt;DFAT&lt;/publisher&gt;&lt;urls&gt;&lt;/urls&gt;&lt;/record&gt;&lt;/Cite&gt;&lt;/EndNote&gt;</w:instrText>
      </w:r>
      <w:r w:rsidR="00115AC9" w:rsidRPr="00F71B40">
        <w:rPr>
          <w:rFonts w:cs="Arial"/>
          <w:lang w:val="en-AU"/>
        </w:rPr>
        <w:fldChar w:fldCharType="separate"/>
      </w:r>
      <w:r w:rsidR="00115AC9" w:rsidRPr="00F71B40">
        <w:rPr>
          <w:rFonts w:cs="Arial"/>
          <w:lang w:val="en-AU"/>
        </w:rPr>
        <w:t>(</w:t>
      </w:r>
      <w:hyperlink w:anchor="_ENREF_49" w:tooltip="DFAT, 2014 #4309" w:history="1">
        <w:r w:rsidR="00CC56DB" w:rsidRPr="00F71B40">
          <w:rPr>
            <w:rFonts w:cs="Arial"/>
            <w:lang w:val="en-AU"/>
          </w:rPr>
          <w:t>DFAT, 2014b , p.6</w:t>
        </w:r>
      </w:hyperlink>
      <w:r w:rsidR="00115AC9" w:rsidRPr="00F71B40">
        <w:rPr>
          <w:rFonts w:cs="Arial"/>
          <w:lang w:val="en-AU"/>
        </w:rPr>
        <w:t>)</w:t>
      </w:r>
      <w:r w:rsidR="00115AC9" w:rsidRPr="00F71B40">
        <w:rPr>
          <w:rFonts w:cs="Arial"/>
          <w:lang w:val="en-AU"/>
        </w:rPr>
        <w:fldChar w:fldCharType="end"/>
      </w:r>
      <w:r w:rsidRPr="00F71B40">
        <w:rPr>
          <w:rFonts w:cs="Arial"/>
          <w:lang w:val="en-AU"/>
        </w:rPr>
        <w:t>.</w:t>
      </w:r>
    </w:p>
    <w:p w:rsidR="006D7622" w:rsidRPr="00F71B40" w:rsidRDefault="006D7622" w:rsidP="00D62A32">
      <w:pPr>
        <w:rPr>
          <w:rFonts w:cs="Times New Roman"/>
          <w:lang w:val="en-AU"/>
        </w:rPr>
      </w:pPr>
    </w:p>
    <w:p w:rsidR="00240C97" w:rsidRPr="00F71B40" w:rsidRDefault="00240C97" w:rsidP="00D62A32">
      <w:pPr>
        <w:rPr>
          <w:rFonts w:cs="Times New Roman"/>
          <w:lang w:val="en-AU"/>
        </w:rPr>
      </w:pPr>
      <w:r w:rsidRPr="00F71B40">
        <w:rPr>
          <w:rFonts w:cs="Times New Roman"/>
          <w:lang w:val="en-AU"/>
        </w:rPr>
        <w:t xml:space="preserve">There is a large amount of program documentation, with slightly differing summaries of SIGOV objectives.  The current four objectives are “evolving” rather than final </w:t>
      </w:r>
      <w:r w:rsidR="00115AC9" w:rsidRPr="00F71B40">
        <w:rPr>
          <w:rFonts w:cs="Times New Roman"/>
          <w:lang w:val="en-AU"/>
        </w:rPr>
        <w:fldChar w:fldCharType="begin"/>
      </w:r>
      <w:r w:rsidR="00115AC9" w:rsidRPr="00F71B40">
        <w:rPr>
          <w:rFonts w:cs="Times New Roman"/>
          <w:lang w:val="en-AU"/>
        </w:rPr>
        <w:instrText xml:space="preserve"> ADDIN EN.CITE &lt;EndNote&gt;&lt;Cite&gt;&lt;Author&gt;DFAT&lt;/Author&gt;&lt;Year&gt;2014&lt;/Year&gt;&lt;RecNum&gt;4341&lt;/RecNum&gt;&lt;Suffix&gt;`, p.15&lt;/Suffix&gt;&lt;DisplayText&gt;(DFAT, 2014c, p.15)&lt;/DisplayText&gt;&lt;record&gt;&lt;rec-number&gt;4341&lt;/rec-number&gt;&lt;foreign-keys&gt;&lt;key app="EN" db-id="5v9z5rrdszvwsneef06v9dapsd0apdtfapdx" timestamp="1408815992"&gt;4341&lt;/key&gt;&lt;/foreign-keys&gt;&lt;ref-type name="Manuscript"&gt;36&lt;/ref-type&gt;&lt;contributors&gt;&lt;authors&gt;&lt;author&gt;DFAT&lt;/author&gt;&lt;/authors&gt;&lt;/contributors&gt;&lt;titles&gt;&lt;title&gt;Terms of reference: Team Leader, Independent Review of DFAT&amp;apos;s Solomon Islands Economic and Public Sector Governance program&lt;/title&gt;&lt;/titles&gt;&lt;dates&gt;&lt;year&gt;2014&lt;/year&gt;&lt;/dates&gt;&lt;pub-location&gt;Canberra&lt;/pub-location&gt;&lt;urls&gt;&lt;/urls&gt;&lt;/record&gt;&lt;/Cite&gt;&lt;/EndNote&gt;</w:instrText>
      </w:r>
      <w:r w:rsidR="00115AC9" w:rsidRPr="00F71B40">
        <w:rPr>
          <w:rFonts w:cs="Times New Roman"/>
          <w:lang w:val="en-AU"/>
        </w:rPr>
        <w:fldChar w:fldCharType="separate"/>
      </w:r>
      <w:r w:rsidR="00115AC9" w:rsidRPr="00F71B40">
        <w:rPr>
          <w:rFonts w:cs="Times New Roman"/>
          <w:lang w:val="en-AU"/>
        </w:rPr>
        <w:t>(</w:t>
      </w:r>
      <w:hyperlink w:anchor="_ENREF_50" w:tooltip="DFAT, 2014 #4341" w:history="1">
        <w:r w:rsidR="00CC56DB" w:rsidRPr="00F71B40">
          <w:rPr>
            <w:rFonts w:cs="Times New Roman"/>
            <w:lang w:val="en-AU"/>
          </w:rPr>
          <w:t>DFAT, 2014c, p.15</w:t>
        </w:r>
      </w:hyperlink>
      <w:r w:rsidR="00115AC9" w:rsidRPr="00F71B40">
        <w:rPr>
          <w:rFonts w:cs="Times New Roman"/>
          <w:lang w:val="en-AU"/>
        </w:rPr>
        <w:t>)</w:t>
      </w:r>
      <w:r w:rsidR="00115AC9" w:rsidRPr="00F71B40">
        <w:rPr>
          <w:rFonts w:cs="Times New Roman"/>
          <w:lang w:val="en-AU"/>
        </w:rPr>
        <w:fldChar w:fldCharType="end"/>
      </w:r>
      <w:r w:rsidRPr="00F71B40">
        <w:rPr>
          <w:rFonts w:cs="Times New Roman"/>
          <w:lang w:val="en-AU"/>
        </w:rPr>
        <w:t>:</w:t>
      </w:r>
    </w:p>
    <w:p w:rsidR="00240C97" w:rsidRPr="00F71B40" w:rsidRDefault="00240C97" w:rsidP="004D15F8">
      <w:pPr>
        <w:pStyle w:val="ListParagraph"/>
        <w:numPr>
          <w:ilvl w:val="0"/>
          <w:numId w:val="8"/>
        </w:numPr>
        <w:rPr>
          <w:rFonts w:cs="Times New Roman"/>
          <w:lang w:val="en-AU"/>
        </w:rPr>
      </w:pPr>
      <w:r w:rsidRPr="00F71B40">
        <w:rPr>
          <w:rFonts w:cs="Times New Roman"/>
          <w:lang w:val="en-AU"/>
        </w:rPr>
        <w:t>Economic growth supported;</w:t>
      </w:r>
    </w:p>
    <w:p w:rsidR="00240C97" w:rsidRPr="00F71B40" w:rsidRDefault="00240C97" w:rsidP="004D15F8">
      <w:pPr>
        <w:pStyle w:val="ListParagraph"/>
        <w:numPr>
          <w:ilvl w:val="0"/>
          <w:numId w:val="8"/>
        </w:numPr>
        <w:rPr>
          <w:rFonts w:cs="Times New Roman"/>
          <w:lang w:val="en-AU"/>
        </w:rPr>
      </w:pPr>
      <w:r w:rsidRPr="00F71B40">
        <w:rPr>
          <w:rFonts w:cs="Times New Roman"/>
          <w:lang w:val="en-AU"/>
        </w:rPr>
        <w:t>Public service performance strengthened;</w:t>
      </w:r>
    </w:p>
    <w:p w:rsidR="00240C97" w:rsidRPr="00F71B40" w:rsidRDefault="00240C97" w:rsidP="004D15F8">
      <w:pPr>
        <w:pStyle w:val="ListParagraph"/>
        <w:numPr>
          <w:ilvl w:val="0"/>
          <w:numId w:val="8"/>
        </w:numPr>
        <w:rPr>
          <w:rFonts w:cs="Times New Roman"/>
          <w:lang w:val="en-AU"/>
        </w:rPr>
      </w:pPr>
      <w:r w:rsidRPr="00F71B40">
        <w:rPr>
          <w:rFonts w:cs="Times New Roman"/>
          <w:lang w:val="en-AU"/>
        </w:rPr>
        <w:t>Public financial management strengthened;</w:t>
      </w:r>
    </w:p>
    <w:p w:rsidR="00240C97" w:rsidRPr="00F71B40" w:rsidRDefault="00240C97" w:rsidP="004D15F8">
      <w:pPr>
        <w:pStyle w:val="ListParagraph"/>
        <w:numPr>
          <w:ilvl w:val="0"/>
          <w:numId w:val="8"/>
        </w:numPr>
        <w:rPr>
          <w:rFonts w:cs="Times New Roman"/>
          <w:lang w:val="en-AU"/>
        </w:rPr>
      </w:pPr>
      <w:r w:rsidRPr="00F71B40">
        <w:rPr>
          <w:rFonts w:cs="Times New Roman"/>
          <w:lang w:val="en-AU"/>
        </w:rPr>
        <w:t>Individual and institutional accountability and transparency improved.</w:t>
      </w:r>
    </w:p>
    <w:p w:rsidR="00240C97" w:rsidRPr="00F71B40" w:rsidRDefault="00240C97" w:rsidP="00D62A32">
      <w:pPr>
        <w:rPr>
          <w:rFonts w:cs="Times New Roman"/>
          <w:lang w:val="en-AU"/>
        </w:rPr>
      </w:pPr>
    </w:p>
    <w:p w:rsidR="00220C42" w:rsidRPr="00F71B40" w:rsidRDefault="00220C42" w:rsidP="00D62A32">
      <w:pPr>
        <w:rPr>
          <w:lang w:val="en-AU"/>
        </w:rPr>
      </w:pPr>
      <w:r w:rsidRPr="00F71B40">
        <w:rPr>
          <w:lang w:val="en-AU"/>
        </w:rPr>
        <w:t xml:space="preserve">Support from SIGOV is particularly focused on the central agencies (Ministry of Finance and Treasury, Ministry of Public Service, Public Service Commission, Office of the Auditor General, Leadership Code Commission and Office of Ombudsman).  </w:t>
      </w:r>
      <w:r w:rsidRPr="00F71B40">
        <w:rPr>
          <w:shd w:val="clear" w:color="auto" w:fill="FFFFFF" w:themeFill="background1"/>
          <w:lang w:val="en-AU"/>
        </w:rPr>
        <w:t xml:space="preserve">SIGOV has a budget of </w:t>
      </w:r>
      <w:r w:rsidR="00372750">
        <w:rPr>
          <w:shd w:val="clear" w:color="auto" w:fill="FFFFFF" w:themeFill="background1"/>
          <w:lang w:val="en-AU"/>
        </w:rPr>
        <w:t xml:space="preserve">up to </w:t>
      </w:r>
      <w:r w:rsidRPr="00F71B40">
        <w:rPr>
          <w:shd w:val="clear" w:color="auto" w:fill="FFFFFF" w:themeFill="background1"/>
          <w:lang w:val="en-AU"/>
        </w:rPr>
        <w:t>AUD14m per year, plus up to AUD3m for performance linked aid.</w:t>
      </w:r>
    </w:p>
    <w:p w:rsidR="00220C42" w:rsidRPr="00F71B40" w:rsidRDefault="00220C42" w:rsidP="00D62A32">
      <w:pPr>
        <w:rPr>
          <w:rFonts w:cs="Times New Roman"/>
          <w:lang w:val="en-AU"/>
        </w:rPr>
      </w:pPr>
    </w:p>
    <w:p w:rsidR="00CF3A88" w:rsidRPr="00F71B40" w:rsidRDefault="000E1C89" w:rsidP="00D62A32">
      <w:pPr>
        <w:autoSpaceDE w:val="0"/>
        <w:autoSpaceDN w:val="0"/>
        <w:adjustRightInd w:val="0"/>
        <w:rPr>
          <w:rFonts w:cs="Times New Roman"/>
          <w:lang w:val="en-AU"/>
        </w:rPr>
      </w:pPr>
      <w:r w:rsidRPr="00F71B40">
        <w:rPr>
          <w:rFonts w:cs="Times New Roman"/>
          <w:lang w:val="en-AU"/>
        </w:rPr>
        <w:t>In summary, t</w:t>
      </w:r>
      <w:r w:rsidR="001D5A72" w:rsidRPr="00F71B40">
        <w:rPr>
          <w:rFonts w:cs="Times New Roman"/>
          <w:lang w:val="en-AU"/>
        </w:rPr>
        <w:t xml:space="preserve">he key </w:t>
      </w:r>
      <w:r w:rsidR="00AC3835" w:rsidRPr="00F71B40">
        <w:rPr>
          <w:rFonts w:cs="Times New Roman"/>
          <w:lang w:val="en-AU"/>
        </w:rPr>
        <w:t xml:space="preserve">changes evident in AusAID’s/DFAT’s programs to support government activities in the pre to post-RAMSI periods are </w:t>
      </w:r>
      <w:r w:rsidR="000B340C" w:rsidRPr="00F71B40">
        <w:rPr>
          <w:rFonts w:cs="Times New Roman"/>
          <w:lang w:val="en-AU"/>
        </w:rPr>
        <w:t xml:space="preserve">that there is a stronger </w:t>
      </w:r>
      <w:r w:rsidR="00AC3835" w:rsidRPr="00F71B40">
        <w:rPr>
          <w:rFonts w:cs="Times New Roman"/>
          <w:lang w:val="en-AU"/>
        </w:rPr>
        <w:t xml:space="preserve">focus on </w:t>
      </w:r>
      <w:r w:rsidR="00717974" w:rsidRPr="00F71B40">
        <w:rPr>
          <w:rFonts w:cs="Times New Roman"/>
          <w:lang w:val="en-AU"/>
        </w:rPr>
        <w:t>core public sector management</w:t>
      </w:r>
      <w:r w:rsidR="000B340C" w:rsidRPr="00F71B40">
        <w:rPr>
          <w:rFonts w:cs="Times New Roman"/>
          <w:lang w:val="en-AU"/>
        </w:rPr>
        <w:t xml:space="preserve"> improvements, merged operationally </w:t>
      </w:r>
      <w:r w:rsidR="00717974" w:rsidRPr="00F71B40">
        <w:rPr>
          <w:rFonts w:cs="Times New Roman"/>
          <w:lang w:val="en-AU"/>
        </w:rPr>
        <w:t xml:space="preserve">with </w:t>
      </w:r>
      <w:r w:rsidR="000B340C" w:rsidRPr="00F71B40">
        <w:rPr>
          <w:rFonts w:cs="Times New Roman"/>
          <w:lang w:val="en-AU"/>
        </w:rPr>
        <w:t xml:space="preserve">support for improved </w:t>
      </w:r>
      <w:r w:rsidR="00AC3835" w:rsidRPr="00F71B40">
        <w:rPr>
          <w:rFonts w:cs="Times New Roman"/>
          <w:lang w:val="en-AU"/>
        </w:rPr>
        <w:t xml:space="preserve">economic policy </w:t>
      </w:r>
      <w:r w:rsidR="00FB2174" w:rsidRPr="00F71B40">
        <w:rPr>
          <w:rFonts w:cs="Times New Roman"/>
          <w:lang w:val="en-AU"/>
        </w:rPr>
        <w:t xml:space="preserve">and </w:t>
      </w:r>
      <w:r w:rsidR="00AC3835" w:rsidRPr="00F71B40">
        <w:rPr>
          <w:rFonts w:cs="Times New Roman"/>
          <w:lang w:val="en-AU"/>
        </w:rPr>
        <w:t>growth</w:t>
      </w:r>
      <w:r w:rsidR="000B340C" w:rsidRPr="00F71B40">
        <w:rPr>
          <w:rFonts w:cs="Times New Roman"/>
          <w:lang w:val="en-AU"/>
        </w:rPr>
        <w:t xml:space="preserve">, and with </w:t>
      </w:r>
      <w:r w:rsidR="00FB2174" w:rsidRPr="00F71B40">
        <w:rPr>
          <w:rFonts w:cs="Times New Roman"/>
          <w:lang w:val="en-AU"/>
        </w:rPr>
        <w:t>g</w:t>
      </w:r>
      <w:r w:rsidR="00F85553" w:rsidRPr="00F71B40">
        <w:rPr>
          <w:rFonts w:cs="Times New Roman"/>
          <w:lang w:val="en-AU"/>
        </w:rPr>
        <w:t xml:space="preserve">ender considerations </w:t>
      </w:r>
      <w:r w:rsidR="00FB2174" w:rsidRPr="00F71B40">
        <w:rPr>
          <w:rFonts w:cs="Times New Roman"/>
          <w:lang w:val="en-AU"/>
        </w:rPr>
        <w:t xml:space="preserve">now </w:t>
      </w:r>
      <w:r w:rsidR="00F85553" w:rsidRPr="00F71B40">
        <w:rPr>
          <w:rFonts w:cs="Times New Roman"/>
          <w:lang w:val="en-AU"/>
        </w:rPr>
        <w:t xml:space="preserve">subsumed within other aspects of the </w:t>
      </w:r>
      <w:r w:rsidR="00FB2174" w:rsidRPr="00F71B40">
        <w:rPr>
          <w:rFonts w:cs="Times New Roman"/>
          <w:lang w:val="en-AU"/>
        </w:rPr>
        <w:t xml:space="preserve">DFAT </w:t>
      </w:r>
      <w:r w:rsidR="00F85553" w:rsidRPr="00F71B40">
        <w:rPr>
          <w:rFonts w:cs="Times New Roman"/>
          <w:lang w:val="en-AU"/>
        </w:rPr>
        <w:t>program</w:t>
      </w:r>
      <w:r w:rsidR="00FB2174" w:rsidRPr="00F71B40">
        <w:rPr>
          <w:rFonts w:cs="Times New Roman"/>
          <w:lang w:val="en-AU"/>
        </w:rPr>
        <w:t>.</w:t>
      </w:r>
    </w:p>
    <w:p w:rsidR="00677EBB" w:rsidRPr="00F71B40" w:rsidRDefault="00677EBB" w:rsidP="00D62A32">
      <w:pPr>
        <w:rPr>
          <w:lang w:val="en-AU"/>
        </w:rPr>
      </w:pPr>
    </w:p>
    <w:p w:rsidR="00677EBB" w:rsidRPr="00F71B40" w:rsidRDefault="002A371E" w:rsidP="004D15F8">
      <w:pPr>
        <w:pStyle w:val="Heading2"/>
        <w:numPr>
          <w:ilvl w:val="0"/>
          <w:numId w:val="12"/>
        </w:numPr>
        <w:rPr>
          <w:lang w:val="en-AU"/>
        </w:rPr>
      </w:pPr>
      <w:bookmarkStart w:id="13" w:name="_Ref396722536"/>
      <w:bookmarkStart w:id="14" w:name="_Ref396722540"/>
      <w:bookmarkStart w:id="15" w:name="_Ref396723358"/>
      <w:bookmarkStart w:id="16" w:name="_Ref399233694"/>
      <w:bookmarkStart w:id="17" w:name="_Ref399234533"/>
      <w:bookmarkStart w:id="18" w:name="_Toc399410382"/>
      <w:r w:rsidRPr="00F71B40">
        <w:rPr>
          <w:lang w:val="en-AU"/>
        </w:rPr>
        <w:t>G</w:t>
      </w:r>
      <w:r w:rsidR="00677EBB" w:rsidRPr="00F71B40">
        <w:rPr>
          <w:lang w:val="en-AU"/>
        </w:rPr>
        <w:t xml:space="preserve">overnance </w:t>
      </w:r>
      <w:r w:rsidRPr="00F71B40">
        <w:rPr>
          <w:lang w:val="en-AU"/>
        </w:rPr>
        <w:t xml:space="preserve">progress during </w:t>
      </w:r>
      <w:bookmarkEnd w:id="13"/>
      <w:bookmarkEnd w:id="14"/>
      <w:bookmarkEnd w:id="15"/>
      <w:r w:rsidRPr="00F71B40">
        <w:rPr>
          <w:lang w:val="en-AU"/>
        </w:rPr>
        <w:t>RAMSI</w:t>
      </w:r>
      <w:bookmarkEnd w:id="16"/>
      <w:bookmarkEnd w:id="17"/>
      <w:bookmarkEnd w:id="18"/>
    </w:p>
    <w:p w:rsidR="00F64490" w:rsidRPr="00F71B40" w:rsidRDefault="00F64490" w:rsidP="00D62A32">
      <w:pPr>
        <w:rPr>
          <w:lang w:val="en-AU"/>
        </w:rPr>
      </w:pPr>
    </w:p>
    <w:p w:rsidR="004C5CF2" w:rsidRPr="00F71B40" w:rsidRDefault="004C5CF2" w:rsidP="00D62A32">
      <w:pPr>
        <w:autoSpaceDE w:val="0"/>
        <w:autoSpaceDN w:val="0"/>
        <w:adjustRightInd w:val="0"/>
        <w:rPr>
          <w:rFonts w:ascii="Times-Roman" w:hAnsi="Times-Roman" w:cs="Times-Roman"/>
          <w:sz w:val="20"/>
          <w:szCs w:val="20"/>
          <w:lang w:val="en-AU"/>
        </w:rPr>
      </w:pPr>
      <w:r w:rsidRPr="00F71B40">
        <w:rPr>
          <w:rFonts w:cs="Times New Roman"/>
          <w:lang w:val="en-AU"/>
        </w:rPr>
        <w:t>Views vary on the impact of RAMSI</w:t>
      </w:r>
      <w:r w:rsidR="00E16960" w:rsidRPr="00F71B40">
        <w:rPr>
          <w:rFonts w:cs="Times New Roman"/>
          <w:lang w:val="en-AU"/>
        </w:rPr>
        <w:t xml:space="preserve">.  They include </w:t>
      </w:r>
      <w:r w:rsidRPr="00F71B40">
        <w:rPr>
          <w:rFonts w:cs="Times New Roman"/>
          <w:lang w:val="en-AU"/>
        </w:rPr>
        <w:t xml:space="preserve">resoundingly positive </w:t>
      </w:r>
      <w:r w:rsidR="00E16960" w:rsidRPr="00F71B40">
        <w:rPr>
          <w:rFonts w:cs="Times New Roman"/>
          <w:lang w:val="en-AU"/>
        </w:rPr>
        <w:t xml:space="preserve">and very broad </w:t>
      </w:r>
      <w:r w:rsidRPr="00F71B40">
        <w:rPr>
          <w:rFonts w:cs="Times New Roman"/>
          <w:lang w:val="en-AU"/>
        </w:rPr>
        <w:t xml:space="preserve">endorsements </w:t>
      </w:r>
      <w:r w:rsidR="00115AC9" w:rsidRPr="00F71B40">
        <w:rPr>
          <w:rFonts w:cs="Times New Roman"/>
          <w:lang w:val="en-AU"/>
        </w:rPr>
        <w:fldChar w:fldCharType="begin"/>
      </w:r>
      <w:r w:rsidR="00115AC9" w:rsidRPr="00F71B40">
        <w:rPr>
          <w:rFonts w:cs="Times New Roman"/>
          <w:lang w:val="en-AU"/>
        </w:rPr>
        <w:instrText xml:space="preserve"> ADDIN EN.CITE &lt;EndNote&gt;&lt;Cite&gt;&lt;Author&gt;O’Callaghan&lt;/Author&gt;&lt;Year&gt;2013&lt;/Year&gt;&lt;RecNum&gt;4278&lt;/RecNum&gt;&lt;DisplayText&gt;(Australian Government, 2013a; O’Callaghan, 2013)&lt;/DisplayText&gt;&lt;record&gt;&lt;rec-number&gt;4278&lt;/rec-number&gt;&lt;foreign-keys&gt;&lt;key app="EN" db-id="5v9z5rrdszvwsneef06v9dapsd0apdtfapdx" timestamp="1408471586"&gt;4278&lt;/key&gt;&lt;/foreign-keys&gt;&lt;ref-type name="Edited Book"&gt;28&lt;/ref-type&gt;&lt;contributors&gt;&lt;authors&gt;&lt;author&gt;O’Callaghan, Mary Louise&lt;/author&gt;&lt;/authors&gt;&lt;/contributors&gt;&lt;titles&gt;&lt;title&gt;REBUILDING A NATION: Ten Years of the Solomon Islands - RAMSI Partnership&lt;/title&gt;&lt;/titles&gt;&lt;dates&gt;&lt;year&gt;2013&lt;/year&gt;&lt;/dates&gt;&lt;pub-location&gt;Honiara, Solomon Islands&lt;/pub-location&gt;&lt;publisher&gt;Regional Assistance Mission to Solomon Islands (RAMSI)&lt;/publisher&gt;&lt;urls&gt;&lt;/urls&gt;&lt;/record&gt;&lt;/Cite&gt;&lt;Cite&gt;&lt;Author&gt;Australian Government&lt;/Author&gt;&lt;Year&gt;2013&lt;/Year&gt;&lt;RecNum&gt;4317&lt;/RecNum&gt;&lt;record&gt;&lt;rec-number&gt;4317&lt;/rec-number&gt;&lt;foreign-keys&gt;&lt;key app="EN" db-id="5v9z5rrdszvwsneef06v9dapsd0apdtfapdx" timestamp="1408724992"&gt;4317&lt;/key&gt;&lt;/foreign-keys&gt;&lt;ref-type name="Report"&gt;27&lt;/ref-type&gt;&lt;contributors&gt;&lt;authors&gt;&lt;author&gt;Australian Government,&lt;/author&gt;&lt;/authors&gt;&lt;/contributors&gt;&lt;titles&gt;&lt;title&gt;Aid Program Performance Report 2012−13: Regional Assistance Mission Solomon Islands&lt;/title&gt;&lt;/titles&gt;&lt;dates&gt;&lt;year&gt;2013&lt;/year&gt;&lt;/dates&gt;&lt;pub-location&gt;Honiara&lt;/pub-location&gt;&lt;publisher&gt;RAMSI&lt;/publisher&gt;&lt;urls&gt;&lt;/urls&gt;&lt;/record&gt;&lt;/Cite&gt;&lt;/EndNote&gt;</w:instrText>
      </w:r>
      <w:r w:rsidR="00115AC9" w:rsidRPr="00F71B40">
        <w:rPr>
          <w:rFonts w:cs="Times New Roman"/>
          <w:lang w:val="en-AU"/>
        </w:rPr>
        <w:fldChar w:fldCharType="separate"/>
      </w:r>
      <w:r w:rsidR="00115AC9" w:rsidRPr="00F71B40">
        <w:rPr>
          <w:rFonts w:cs="Times New Roman"/>
          <w:lang w:val="en-AU"/>
        </w:rPr>
        <w:t>(</w:t>
      </w:r>
      <w:hyperlink w:anchor="_ENREF_16" w:tooltip="Australian Government, 2013 #4317" w:history="1">
        <w:r w:rsidR="00CC56DB" w:rsidRPr="00F71B40">
          <w:rPr>
            <w:rFonts w:cs="Times New Roman"/>
            <w:lang w:val="en-AU"/>
          </w:rPr>
          <w:t>Australian Government, 2013a</w:t>
        </w:r>
      </w:hyperlink>
      <w:r w:rsidR="00115AC9" w:rsidRPr="00F71B40">
        <w:rPr>
          <w:rFonts w:cs="Times New Roman"/>
          <w:lang w:val="en-AU"/>
        </w:rPr>
        <w:t xml:space="preserve">; </w:t>
      </w:r>
      <w:hyperlink w:anchor="_ENREF_112" w:tooltip="O’Callaghan, 2013 #4278" w:history="1">
        <w:r w:rsidR="00CC56DB" w:rsidRPr="00F71B40">
          <w:rPr>
            <w:rFonts w:cs="Times New Roman"/>
            <w:lang w:val="en-AU"/>
          </w:rPr>
          <w:t>O’Callaghan, 2013</w:t>
        </w:r>
      </w:hyperlink>
      <w:r w:rsidR="00115AC9" w:rsidRPr="00F71B40">
        <w:rPr>
          <w:rFonts w:cs="Times New Roman"/>
          <w:lang w:val="en-AU"/>
        </w:rPr>
        <w:t>)</w:t>
      </w:r>
      <w:r w:rsidR="00115AC9" w:rsidRPr="00F71B40">
        <w:rPr>
          <w:rFonts w:cs="Times New Roman"/>
          <w:lang w:val="en-AU"/>
        </w:rPr>
        <w:fldChar w:fldCharType="end"/>
      </w:r>
      <w:r w:rsidRPr="00F71B40">
        <w:rPr>
          <w:rFonts w:cs="Times New Roman"/>
          <w:lang w:val="en-AU"/>
        </w:rPr>
        <w:t xml:space="preserve"> </w:t>
      </w:r>
      <w:r w:rsidR="00E16960" w:rsidRPr="00F71B40">
        <w:rPr>
          <w:rFonts w:cs="Times New Roman"/>
          <w:lang w:val="en-AU"/>
        </w:rPr>
        <w:t xml:space="preserve">and </w:t>
      </w:r>
      <w:r w:rsidR="00B41F66" w:rsidRPr="00F71B40">
        <w:rPr>
          <w:rFonts w:cs="Times New Roman"/>
          <w:lang w:val="en-AU"/>
        </w:rPr>
        <w:t xml:space="preserve">specific recognition of </w:t>
      </w:r>
      <w:r w:rsidR="00E16960" w:rsidRPr="00F71B40">
        <w:rPr>
          <w:rFonts w:cs="Times New Roman"/>
          <w:lang w:val="en-AU"/>
        </w:rPr>
        <w:t xml:space="preserve">the peace and security provided by RAMSI </w:t>
      </w:r>
      <w:r w:rsidR="00115AC9" w:rsidRPr="00F71B40">
        <w:rPr>
          <w:rFonts w:cs="Times New Roman"/>
          <w:lang w:val="en-AU"/>
        </w:rPr>
        <w:fldChar w:fldCharType="begin"/>
      </w:r>
      <w:r w:rsidR="00115AC9" w:rsidRPr="00F71B40">
        <w:rPr>
          <w:rFonts w:cs="Times New Roman"/>
          <w:lang w:val="en-AU"/>
        </w:rPr>
        <w:instrText xml:space="preserve"> ADDIN EN.CITE &lt;EndNote&gt;&lt;Cite&gt;&lt;Author&gt;Coppel&lt;/Author&gt;&lt;Year&gt;2013&lt;/Year&gt;&lt;RecNum&gt;4271&lt;/RecNum&gt;&lt;DisplayText&gt;(Coppel, 2013)&lt;/DisplayText&gt;&lt;record&gt;&lt;rec-number&gt;4271&lt;/rec-number&gt;&lt;foreign-keys&gt;&lt;key app="EN" db-id="5v9z5rrdszvwsneef06v9dapsd0apdtfapdx" timestamp="1408399324"&gt;4271&lt;/key&gt;&lt;/foreign-keys&gt;&lt;ref-type name="Report"&gt;27&lt;/ref-type&gt;&lt;contributors&gt;&lt;authors&gt;&lt;author&gt;Nicholas Coppel&lt;/author&gt;&lt;/authors&gt;&lt;/contributors&gt;&lt;titles&gt;&lt;title&gt;Transition of the Regional Assistance Mission to Solomon Islands&lt;/title&gt;&lt;/titles&gt;&lt;dates&gt;&lt;year&gt;2013&lt;/year&gt;&lt;/dates&gt;&lt;pub-location&gt;Canberra&lt;/pub-location&gt;&lt;publisher&gt;Australian National University&lt;/publisher&gt;&lt;urls&gt;&lt;/urls&gt;&lt;/record&gt;&lt;/Cite&gt;&lt;/EndNote&gt;</w:instrText>
      </w:r>
      <w:r w:rsidR="00115AC9" w:rsidRPr="00F71B40">
        <w:rPr>
          <w:rFonts w:cs="Times New Roman"/>
          <w:lang w:val="en-AU"/>
        </w:rPr>
        <w:fldChar w:fldCharType="separate"/>
      </w:r>
      <w:r w:rsidR="00115AC9" w:rsidRPr="00F71B40">
        <w:rPr>
          <w:rFonts w:cs="Times New Roman"/>
          <w:lang w:val="en-AU"/>
        </w:rPr>
        <w:t>(</w:t>
      </w:r>
      <w:hyperlink w:anchor="_ENREF_38" w:tooltip="Coppel, 2013 #4271" w:history="1">
        <w:r w:rsidR="00CC56DB" w:rsidRPr="00F71B40">
          <w:rPr>
            <w:rFonts w:cs="Times New Roman"/>
            <w:lang w:val="en-AU"/>
          </w:rPr>
          <w:t>Coppel, 2013</w:t>
        </w:r>
      </w:hyperlink>
      <w:r w:rsidR="00115AC9" w:rsidRPr="00F71B40">
        <w:rPr>
          <w:rFonts w:cs="Times New Roman"/>
          <w:lang w:val="en-AU"/>
        </w:rPr>
        <w:t>)</w:t>
      </w:r>
      <w:r w:rsidR="00115AC9" w:rsidRPr="00F71B40">
        <w:rPr>
          <w:rFonts w:cs="Times New Roman"/>
          <w:lang w:val="en-AU"/>
        </w:rPr>
        <w:fldChar w:fldCharType="end"/>
      </w:r>
      <w:r w:rsidR="00B41F66" w:rsidRPr="00F71B40">
        <w:rPr>
          <w:rFonts w:cs="Times New Roman"/>
          <w:lang w:val="en-AU"/>
        </w:rPr>
        <w:t xml:space="preserve">. But they also include </w:t>
      </w:r>
      <w:r w:rsidRPr="00F71B40">
        <w:rPr>
          <w:rFonts w:cs="Times New Roman"/>
          <w:lang w:val="en-AU"/>
        </w:rPr>
        <w:t xml:space="preserve">more </w:t>
      </w:r>
      <w:r w:rsidR="00F71B40" w:rsidRPr="00F71B40">
        <w:rPr>
          <w:rFonts w:cs="Times New Roman"/>
          <w:lang w:val="en-AU"/>
        </w:rPr>
        <w:t>sceptical</w:t>
      </w:r>
      <w:r w:rsidRPr="00F71B40">
        <w:rPr>
          <w:rFonts w:cs="Times New Roman"/>
          <w:lang w:val="en-AU"/>
        </w:rPr>
        <w:t xml:space="preserve"> assessments both in general </w:t>
      </w:r>
      <w:r w:rsidR="00115AC9" w:rsidRPr="00F71B40">
        <w:rPr>
          <w:rFonts w:cs="Times New Roman"/>
          <w:lang w:val="en-AU"/>
        </w:rPr>
        <w:fldChar w:fldCharType="begin"/>
      </w:r>
      <w:r w:rsidR="00115AC9" w:rsidRPr="00F71B40">
        <w:rPr>
          <w:rFonts w:cs="Times New Roman"/>
          <w:lang w:val="en-AU"/>
        </w:rPr>
        <w:instrText xml:space="preserve"> ADDIN EN.CITE &lt;EndNote&gt;&lt;Cite&gt;&lt;Author&gt;Fraenkel&lt;/Author&gt;&lt;Year&gt;2014&lt;/Year&gt;&lt;RecNum&gt;4304&lt;/RecNum&gt;&lt;DisplayText&gt;(Fraenkel, Madraiwiwi, &amp;amp; Okole, 2014; Wood &amp;amp; Howes, 2013)&lt;/DisplayText&gt;&lt;record&gt;&lt;rec-number&gt;4304&lt;/rec-number&gt;&lt;foreign-keys&gt;&lt;key app="EN" db-id="5v9z5rrdszvwsneef06v9dapsd0apdtfapdx" timestamp="1408645993"&gt;4304&lt;/key&gt;&lt;/foreign-keys&gt;&lt;ref-type name="Report"&gt;27&lt;/ref-type&gt;&lt;contributors&gt;&lt;authors&gt;&lt;author&gt;Jon Fraenkel&lt;/author&gt;&lt;author&gt;Joni Madraiwiwi&lt;/author&gt;&lt;author&gt;Henry Okole&lt;/author&gt;&lt;/authors&gt;&lt;/contributors&gt;&lt;titles&gt;&lt;title&gt;The RAMSI Decade: A Review of the Regional Assistance Mission to Solomon Islands, 2003-</w:instrText>
      </w:r>
      <w:r w:rsidR="00115AC9" w:rsidRPr="00F71B40">
        <w:rPr>
          <w:rFonts w:ascii="Cambria Math" w:hAnsi="Cambria Math" w:cs="Cambria Math"/>
          <w:lang w:val="en-AU"/>
        </w:rPr>
        <w:instrText>‐</w:instrText>
      </w:r>
      <w:r w:rsidR="00115AC9" w:rsidRPr="00F71B40">
        <w:rPr>
          <w:rFonts w:cs="Times New Roman"/>
          <w:lang w:val="en-AU"/>
        </w:rPr>
        <w:instrText>2013&lt;/title&gt;&lt;/titles&gt;&lt;dates&gt;&lt;year&gt;2014&lt;/year&gt;&lt;/dates&gt;&lt;pub-location&gt;Honiara, Solomon Islands&lt;/pub-location&gt;&lt;publisher&gt;Solomon Islands Government and the Pacific Islands Forum&lt;/publisher&gt;&lt;urls&gt;&lt;/urls&gt;&lt;/record&gt;&lt;/Cite&gt;&lt;Cite&gt;&lt;Author&gt;Wood&lt;/Author&gt;&lt;Year&gt;2013&lt;/Year&gt;&lt;RecNum&gt;4298&lt;/RecNum&gt;&lt;record&gt;&lt;rec-number&gt;4298&lt;/rec-number&gt;&lt;foreign-keys&gt;&lt;key app="EN" db-id="5v9z5rrdszvwsneef06v9dapsd0apdtfapdx" timestamp="1408643613"&gt;4298&lt;/key&gt;&lt;/foreign-keys&gt;&lt;ref-type name="Edited Book"&gt;28&lt;/ref-type&gt;&lt;contributors&gt;&lt;authors&gt;&lt;author&gt;Terence Wood&lt;/author&gt;&lt;author&gt;Stephen Howes&lt;/author&gt;&lt;/authors&gt;&lt;/contributors&gt;&lt;titles&gt;&lt;title&gt;Debating ten years of RAMSI&lt;/title&gt;&lt;/titles&gt;&lt;dates&gt;&lt;year&gt;2013&lt;/year&gt;&lt;/dates&gt;&lt;pub-location&gt;Acton, ACT&lt;/pub-location&gt;&lt;publisher&gt;Development Policy Centre, Crawford School of Public Policy&lt;/publisher&gt;&lt;urls&gt;&lt;/urls&gt;&lt;/record&gt;&lt;/Cite&gt;&lt;/EndNote&gt;</w:instrText>
      </w:r>
      <w:r w:rsidR="00115AC9" w:rsidRPr="00F71B40">
        <w:rPr>
          <w:rFonts w:cs="Times New Roman"/>
          <w:lang w:val="en-AU"/>
        </w:rPr>
        <w:fldChar w:fldCharType="separate"/>
      </w:r>
      <w:r w:rsidR="00115AC9" w:rsidRPr="00F71B40">
        <w:rPr>
          <w:rFonts w:cs="Times New Roman"/>
          <w:lang w:val="en-AU"/>
        </w:rPr>
        <w:t>(</w:t>
      </w:r>
      <w:hyperlink w:anchor="_ENREF_59" w:tooltip="Fraenkel, 2014 #4304" w:history="1">
        <w:r w:rsidR="00CC56DB" w:rsidRPr="00F71B40">
          <w:rPr>
            <w:rFonts w:cs="Times New Roman"/>
            <w:lang w:val="en-AU"/>
          </w:rPr>
          <w:t>Fraenkel, Madraiwiwi, &amp; Okole, 2014</w:t>
        </w:r>
      </w:hyperlink>
      <w:r w:rsidR="00115AC9" w:rsidRPr="00F71B40">
        <w:rPr>
          <w:rFonts w:cs="Times New Roman"/>
          <w:lang w:val="en-AU"/>
        </w:rPr>
        <w:t xml:space="preserve">; </w:t>
      </w:r>
      <w:hyperlink w:anchor="_ENREF_146" w:tooltip="Wood, 2013 #4298" w:history="1">
        <w:r w:rsidR="00CC56DB" w:rsidRPr="00F71B40">
          <w:rPr>
            <w:rFonts w:cs="Times New Roman"/>
            <w:lang w:val="en-AU"/>
          </w:rPr>
          <w:t>Wood &amp; Howes, 2013</w:t>
        </w:r>
      </w:hyperlink>
      <w:r w:rsidR="00115AC9" w:rsidRPr="00F71B40">
        <w:rPr>
          <w:rFonts w:cs="Times New Roman"/>
          <w:lang w:val="en-AU"/>
        </w:rPr>
        <w:t>)</w:t>
      </w:r>
      <w:r w:rsidR="00115AC9" w:rsidRPr="00F71B40">
        <w:rPr>
          <w:rFonts w:cs="Times New Roman"/>
          <w:lang w:val="en-AU"/>
        </w:rPr>
        <w:fldChar w:fldCharType="end"/>
      </w:r>
      <w:r w:rsidRPr="00F71B40">
        <w:rPr>
          <w:rFonts w:cs="Times New Roman"/>
          <w:lang w:val="en-AU"/>
        </w:rPr>
        <w:t xml:space="preserve"> and specifically in relation to the </w:t>
      </w:r>
      <w:r w:rsidR="00F13CB1" w:rsidRPr="00F71B40">
        <w:rPr>
          <w:rFonts w:cs="Times New Roman"/>
          <w:lang w:val="en-AU"/>
        </w:rPr>
        <w:t xml:space="preserve">sustainability of the </w:t>
      </w:r>
      <w:r w:rsidRPr="00F71B40">
        <w:rPr>
          <w:rFonts w:cs="Times New Roman"/>
          <w:lang w:val="en-AU"/>
        </w:rPr>
        <w:t xml:space="preserve">justice and security </w:t>
      </w:r>
      <w:r w:rsidR="00F13CB1" w:rsidRPr="00F71B40">
        <w:rPr>
          <w:rFonts w:cs="Times New Roman"/>
          <w:lang w:val="en-AU"/>
        </w:rPr>
        <w:t xml:space="preserve">improvements </w:t>
      </w:r>
      <w:r w:rsidR="00115AC9" w:rsidRPr="00F71B40">
        <w:rPr>
          <w:rFonts w:cs="Times New Roman"/>
          <w:lang w:val="en-AU"/>
        </w:rPr>
        <w:fldChar w:fldCharType="begin"/>
      </w:r>
      <w:r w:rsidR="00115AC9" w:rsidRPr="00F71B40">
        <w:rPr>
          <w:rFonts w:cs="Times New Roman"/>
          <w:lang w:val="en-AU"/>
        </w:rPr>
        <w:instrText xml:space="preserve"> ADDIN EN.CITE &lt;EndNote&gt;&lt;Cite&gt;&lt;Author&gt;Allen&lt;/Author&gt;&lt;Year&gt;2013&lt;/Year&gt;&lt;RecNum&gt;4297&lt;/RecNum&gt;&lt;DisplayText&gt;(M. Allen, Dinnen, Evan, &amp;amp; Monson, 2013; Dinnen &amp;amp; Allen, 2013)&lt;/DisplayText&gt;&lt;record&gt;&lt;rec-number&gt;4297&lt;/rec-number&gt;&lt;foreign-keys&gt;&lt;key app="EN" db-id="5v9z5rrdszvwsneef06v9dapsd0apdtfapdx" timestamp="1408643329"&gt;4297&lt;/key&gt;&lt;/foreign-keys&gt;&lt;ref-type name="Report"&gt;27&lt;/ref-type&gt;&lt;contributors&gt;&lt;authors&gt;&lt;author&gt;Allen, M.&lt;/author&gt;&lt;author&gt;Dinnen, S.&lt;/author&gt;&lt;author&gt;Evan, D.&lt;/author&gt;&lt;author&gt;Monson, R.&lt;/author&gt;&lt;/authors&gt;&lt;/contributors&gt;&lt;titles&gt;&lt;title&gt;Justice Delivered Locally - Systems, Challenges and Innovations&lt;/title&gt;&lt;secondary-title&gt;Justice for the Poor&lt;/secondary-title&gt;&lt;/titles&gt;&lt;dates&gt;&lt;year&gt;2013&lt;/year&gt;&lt;/dates&gt;&lt;pub-location&gt;Washington DC&lt;/pub-location&gt;&lt;publisher&gt;World Bank&lt;/publisher&gt;&lt;urls&gt;&lt;/urls&gt;&lt;/record&gt;&lt;/Cite&gt;&lt;Cite&gt;&lt;Author&gt;Dinnen&lt;/Author&gt;&lt;Year&gt;2013&lt;/Year&gt;&lt;RecNum&gt;4301&lt;/RecNum&gt;&lt;record&gt;&lt;rec-number&gt;4301&lt;/rec-number&gt;&lt;foreign-keys&gt;&lt;key app="EN" db-id="5v9z5rrdszvwsneef06v9dapsd0apdtfapdx" timestamp="1408644434"&gt;4301&lt;/key&gt;&lt;/foreign-keys&gt;&lt;ref-type name="Journal Article"&gt;17&lt;/ref-type&gt;&lt;contributors&gt;&lt;authors&gt;&lt;author&gt;Dinnen, S.&lt;/author&gt;&lt;author&gt;Allen, M.&lt;/author&gt;&lt;/authors&gt;&lt;/contributors&gt;&lt;titles&gt;&lt;title&gt;Paradoxes of postcolonial police-building: Solomon Islands&lt;/title&gt;&lt;secondary-title&gt;Policing and Society&lt;/secondary-title&gt;&lt;/titles&gt;&lt;pages&gt;222-242&lt;/pages&gt;&lt;volume&gt;23&lt;/volume&gt;&lt;number&gt;2&lt;/number&gt;&lt;dates&gt;&lt;year&gt;2013&lt;/year&gt;&lt;/dates&gt;&lt;publisher&gt;World Bank&lt;/publisher&gt;&lt;urls&gt;&lt;/urls&gt;&lt;/record&gt;&lt;/Cite&gt;&lt;/EndNote&gt;</w:instrText>
      </w:r>
      <w:r w:rsidR="00115AC9" w:rsidRPr="00F71B40">
        <w:rPr>
          <w:rFonts w:cs="Times New Roman"/>
          <w:lang w:val="en-AU"/>
        </w:rPr>
        <w:fldChar w:fldCharType="separate"/>
      </w:r>
      <w:r w:rsidR="00115AC9" w:rsidRPr="00F71B40">
        <w:rPr>
          <w:rFonts w:cs="Times New Roman"/>
          <w:lang w:val="en-AU"/>
        </w:rPr>
        <w:t>(</w:t>
      </w:r>
      <w:hyperlink w:anchor="_ENREF_2" w:tooltip="Allen, 2013 #4297" w:history="1">
        <w:r w:rsidR="00CC56DB" w:rsidRPr="00F71B40">
          <w:rPr>
            <w:rFonts w:cs="Times New Roman"/>
            <w:lang w:val="en-AU"/>
          </w:rPr>
          <w:t>M. Allen, Dinnen, Evan, &amp; Monson, 2013</w:t>
        </w:r>
      </w:hyperlink>
      <w:r w:rsidR="00115AC9" w:rsidRPr="00F71B40">
        <w:rPr>
          <w:rFonts w:cs="Times New Roman"/>
          <w:lang w:val="en-AU"/>
        </w:rPr>
        <w:t xml:space="preserve">; </w:t>
      </w:r>
      <w:hyperlink w:anchor="_ENREF_55" w:tooltip="Dinnen, 2013 #4301" w:history="1">
        <w:r w:rsidR="00CC56DB" w:rsidRPr="00F71B40">
          <w:rPr>
            <w:rFonts w:cs="Times New Roman"/>
            <w:lang w:val="en-AU"/>
          </w:rPr>
          <w:t>Dinnen &amp; Allen, 2013</w:t>
        </w:r>
      </w:hyperlink>
      <w:r w:rsidR="00115AC9" w:rsidRPr="00F71B40">
        <w:rPr>
          <w:rFonts w:cs="Times New Roman"/>
          <w:lang w:val="en-AU"/>
        </w:rPr>
        <w:t>)</w:t>
      </w:r>
      <w:r w:rsidR="00115AC9" w:rsidRPr="00F71B40">
        <w:rPr>
          <w:rFonts w:cs="Times New Roman"/>
          <w:lang w:val="en-AU"/>
        </w:rPr>
        <w:fldChar w:fldCharType="end"/>
      </w:r>
      <w:r w:rsidR="00042966" w:rsidRPr="00F71B40">
        <w:rPr>
          <w:rFonts w:cs="Times New Roman"/>
          <w:lang w:val="en-AU"/>
        </w:rPr>
        <w:t>.</w:t>
      </w:r>
    </w:p>
    <w:p w:rsidR="004C5CF2" w:rsidRPr="00F71B40" w:rsidRDefault="004C5CF2" w:rsidP="00D62A32">
      <w:pPr>
        <w:autoSpaceDE w:val="0"/>
        <w:autoSpaceDN w:val="0"/>
        <w:adjustRightInd w:val="0"/>
        <w:rPr>
          <w:rFonts w:ascii="Times-Roman" w:hAnsi="Times-Roman" w:cs="Times-Roman"/>
          <w:sz w:val="20"/>
          <w:szCs w:val="20"/>
          <w:lang w:val="en-AU"/>
        </w:rPr>
      </w:pPr>
    </w:p>
    <w:p w:rsidR="008D34D1" w:rsidRPr="00F71B40" w:rsidRDefault="00F13CB1" w:rsidP="00D62A32">
      <w:pPr>
        <w:rPr>
          <w:lang w:val="en-AU"/>
        </w:rPr>
      </w:pPr>
      <w:r w:rsidRPr="00F71B40">
        <w:rPr>
          <w:lang w:val="en-AU"/>
        </w:rPr>
        <w:t xml:space="preserve">The ambiguity </w:t>
      </w:r>
      <w:r w:rsidR="00357E5C" w:rsidRPr="00F71B40">
        <w:rPr>
          <w:lang w:val="en-AU"/>
        </w:rPr>
        <w:t xml:space="preserve">arises because </w:t>
      </w:r>
      <w:r w:rsidR="001B4B2F" w:rsidRPr="00F71B40">
        <w:rPr>
          <w:lang w:val="en-AU"/>
        </w:rPr>
        <w:t>“success”</w:t>
      </w:r>
      <w:r w:rsidR="00CB78D9" w:rsidRPr="00F71B40">
        <w:rPr>
          <w:lang w:val="en-AU"/>
        </w:rPr>
        <w:t xml:space="preserve"> can be</w:t>
      </w:r>
      <w:r w:rsidR="001B4B2F" w:rsidRPr="00F71B40">
        <w:rPr>
          <w:lang w:val="en-AU"/>
        </w:rPr>
        <w:t xml:space="preserve"> defined in different ways</w:t>
      </w:r>
      <w:r w:rsidR="008D34D1" w:rsidRPr="00F71B40">
        <w:rPr>
          <w:lang w:val="en-AU"/>
        </w:rPr>
        <w:t>.</w:t>
      </w:r>
    </w:p>
    <w:p w:rsidR="008D34D1" w:rsidRPr="00F71B40" w:rsidRDefault="008D34D1" w:rsidP="004D15F8">
      <w:pPr>
        <w:pStyle w:val="ListParagraph"/>
        <w:numPr>
          <w:ilvl w:val="0"/>
          <w:numId w:val="21"/>
        </w:numPr>
        <w:rPr>
          <w:lang w:val="en-AU"/>
        </w:rPr>
      </w:pPr>
      <w:r w:rsidRPr="00F71B40">
        <w:rPr>
          <w:i/>
          <w:lang w:val="en-AU"/>
        </w:rPr>
        <w:t>Broad vs. narrow:</w:t>
      </w:r>
      <w:r w:rsidRPr="00F71B40">
        <w:rPr>
          <w:lang w:val="en-AU"/>
        </w:rPr>
        <w:t xml:space="preserve"> </w:t>
      </w:r>
      <w:r w:rsidR="001B4B2F" w:rsidRPr="00F71B40">
        <w:rPr>
          <w:lang w:val="en-AU"/>
        </w:rPr>
        <w:t xml:space="preserve">Should RAMSI have </w:t>
      </w:r>
      <w:r w:rsidR="00357E5C" w:rsidRPr="00F71B40">
        <w:rPr>
          <w:lang w:val="en-AU"/>
        </w:rPr>
        <w:t>change</w:t>
      </w:r>
      <w:r w:rsidR="001B4B2F" w:rsidRPr="00F71B40">
        <w:rPr>
          <w:lang w:val="en-AU"/>
        </w:rPr>
        <w:t>d all</w:t>
      </w:r>
      <w:r w:rsidR="00357E5C" w:rsidRPr="00F71B40">
        <w:rPr>
          <w:lang w:val="en-AU"/>
        </w:rPr>
        <w:t xml:space="preserve"> the fundamentals of a distinctly weak state</w:t>
      </w:r>
      <w:r w:rsidR="001B4B2F" w:rsidRPr="00F71B40">
        <w:rPr>
          <w:lang w:val="en-AU"/>
        </w:rPr>
        <w:t xml:space="preserve">, or just have made some progress in some key areas? </w:t>
      </w:r>
    </w:p>
    <w:p w:rsidR="008D34D1" w:rsidRPr="00F71B40" w:rsidRDefault="008D34D1" w:rsidP="004D15F8">
      <w:pPr>
        <w:pStyle w:val="ListParagraph"/>
        <w:numPr>
          <w:ilvl w:val="0"/>
          <w:numId w:val="21"/>
        </w:numPr>
        <w:rPr>
          <w:lang w:val="en-AU"/>
        </w:rPr>
      </w:pPr>
      <w:r w:rsidRPr="00F71B40">
        <w:rPr>
          <w:i/>
          <w:lang w:val="en-AU"/>
        </w:rPr>
        <w:t>Stability vs. sustainability:</w:t>
      </w:r>
      <w:r w:rsidRPr="00F71B40">
        <w:rPr>
          <w:lang w:val="en-AU"/>
        </w:rPr>
        <w:t xml:space="preserve"> </w:t>
      </w:r>
      <w:r w:rsidR="001B4B2F" w:rsidRPr="00F71B40">
        <w:rPr>
          <w:lang w:val="en-AU"/>
        </w:rPr>
        <w:t xml:space="preserve">Should all the gains be sustainable, or is </w:t>
      </w:r>
      <w:r w:rsidR="00640CC4" w:rsidRPr="00F71B40">
        <w:rPr>
          <w:lang w:val="en-AU"/>
        </w:rPr>
        <w:t xml:space="preserve">achieving 10 years without further widespread social unrest </w:t>
      </w:r>
      <w:r w:rsidR="00B77230" w:rsidRPr="00F71B40">
        <w:rPr>
          <w:lang w:val="en-AU"/>
        </w:rPr>
        <w:t xml:space="preserve">and economic disruption </w:t>
      </w:r>
      <w:r w:rsidR="00640CC4" w:rsidRPr="00F71B40">
        <w:rPr>
          <w:lang w:val="en-AU"/>
        </w:rPr>
        <w:t xml:space="preserve">a result in its own right?  </w:t>
      </w:r>
    </w:p>
    <w:p w:rsidR="00C558B8" w:rsidRPr="00F71B40" w:rsidRDefault="008D34D1" w:rsidP="004D15F8">
      <w:pPr>
        <w:pStyle w:val="ListParagraph"/>
        <w:numPr>
          <w:ilvl w:val="0"/>
          <w:numId w:val="21"/>
        </w:numPr>
        <w:rPr>
          <w:lang w:val="en-AU"/>
        </w:rPr>
      </w:pPr>
      <w:r w:rsidRPr="00F71B40">
        <w:rPr>
          <w:i/>
          <w:lang w:val="en-AU"/>
        </w:rPr>
        <w:t>Institution</w:t>
      </w:r>
      <w:r w:rsidR="00704FFF" w:rsidRPr="00F71B40">
        <w:rPr>
          <w:i/>
          <w:lang w:val="en-AU"/>
        </w:rPr>
        <w:t xml:space="preserve">-building </w:t>
      </w:r>
      <w:r w:rsidRPr="00F71B40">
        <w:rPr>
          <w:i/>
          <w:lang w:val="en-AU"/>
        </w:rPr>
        <w:t>vs. results on the ground:</w:t>
      </w:r>
      <w:r w:rsidRPr="00F71B40">
        <w:rPr>
          <w:lang w:val="en-AU"/>
        </w:rPr>
        <w:t xml:space="preserve"> </w:t>
      </w:r>
      <w:r w:rsidR="00446DDB" w:rsidRPr="00F71B40">
        <w:rPr>
          <w:lang w:val="en-AU"/>
        </w:rPr>
        <w:t xml:space="preserve">Should </w:t>
      </w:r>
      <w:r w:rsidR="00640CC4" w:rsidRPr="00F71B40">
        <w:rPr>
          <w:lang w:val="en-AU"/>
        </w:rPr>
        <w:t xml:space="preserve">all the impacts </w:t>
      </w:r>
      <w:r w:rsidR="00662CB1" w:rsidRPr="00F71B40">
        <w:rPr>
          <w:lang w:val="en-AU"/>
        </w:rPr>
        <w:t xml:space="preserve">be </w:t>
      </w:r>
      <w:r w:rsidR="00640CC4" w:rsidRPr="00F71B40">
        <w:rPr>
          <w:lang w:val="en-AU"/>
        </w:rPr>
        <w:t xml:space="preserve">visible now, or is it </w:t>
      </w:r>
      <w:r w:rsidR="00C558B8" w:rsidRPr="00F71B40">
        <w:rPr>
          <w:lang w:val="en-AU"/>
        </w:rPr>
        <w:t xml:space="preserve">progress if the foundations are set for results in the future?  </w:t>
      </w:r>
    </w:p>
    <w:p w:rsidR="00C558B8" w:rsidRPr="00F71B40" w:rsidRDefault="00C558B8" w:rsidP="00D62A32">
      <w:pPr>
        <w:rPr>
          <w:lang w:val="en-AU"/>
        </w:rPr>
      </w:pPr>
    </w:p>
    <w:p w:rsidR="007C2BD2" w:rsidRPr="00F71B40" w:rsidRDefault="00F54473" w:rsidP="00D62A32">
      <w:pPr>
        <w:rPr>
          <w:lang w:val="en-AU"/>
        </w:rPr>
      </w:pPr>
      <w:r w:rsidRPr="00F71B40">
        <w:rPr>
          <w:lang w:val="en-AU"/>
        </w:rPr>
        <w:t>In considering the breadth of progress under RAMSI</w:t>
      </w:r>
      <w:r w:rsidR="00231500" w:rsidRPr="00F71B40">
        <w:rPr>
          <w:lang w:val="en-AU"/>
        </w:rPr>
        <w:t xml:space="preserve">, while </w:t>
      </w:r>
      <w:r w:rsidR="0095481C" w:rsidRPr="00F71B40">
        <w:rPr>
          <w:lang w:val="en-AU"/>
        </w:rPr>
        <w:t xml:space="preserve">broad measures of governance show little change, in </w:t>
      </w:r>
      <w:r w:rsidR="00B41F66" w:rsidRPr="00F71B40">
        <w:rPr>
          <w:lang w:val="en-AU"/>
        </w:rPr>
        <w:t>specific areas there was significant progress</w:t>
      </w:r>
      <w:r w:rsidR="00357E5C" w:rsidRPr="00F71B40">
        <w:rPr>
          <w:lang w:val="en-AU"/>
        </w:rPr>
        <w:t xml:space="preserve">.  So, for example, </w:t>
      </w:r>
      <w:r w:rsidR="007C2BD2" w:rsidRPr="00F71B40">
        <w:rPr>
          <w:lang w:val="en-AU"/>
        </w:rPr>
        <w:fldChar w:fldCharType="begin"/>
      </w:r>
      <w:r w:rsidR="007C2BD2" w:rsidRPr="00F71B40">
        <w:rPr>
          <w:lang w:val="en-AU"/>
        </w:rPr>
        <w:instrText xml:space="preserve"> REF _Ref396574233 \h </w:instrText>
      </w:r>
      <w:r w:rsidR="00D62A32" w:rsidRPr="00F71B40">
        <w:rPr>
          <w:lang w:val="en-AU"/>
        </w:rPr>
        <w:instrText xml:space="preserve"> \* MERGEFORMAT </w:instrText>
      </w:r>
      <w:r w:rsidR="007C2BD2" w:rsidRPr="00F71B40">
        <w:rPr>
          <w:lang w:val="en-AU"/>
        </w:rPr>
      </w:r>
      <w:r w:rsidR="007C2BD2" w:rsidRPr="00F71B40">
        <w:rPr>
          <w:lang w:val="en-AU"/>
        </w:rPr>
        <w:fldChar w:fldCharType="separate"/>
      </w:r>
      <w:r w:rsidR="00EF43BE" w:rsidRPr="00F71B40">
        <w:rPr>
          <w:lang w:val="en-AU"/>
        </w:rPr>
        <w:t xml:space="preserve">Figure </w:t>
      </w:r>
      <w:r w:rsidR="00EF43BE">
        <w:rPr>
          <w:lang w:val="en-AU"/>
        </w:rPr>
        <w:t>1</w:t>
      </w:r>
      <w:r w:rsidR="007C2BD2" w:rsidRPr="00F71B40">
        <w:rPr>
          <w:lang w:val="en-AU"/>
        </w:rPr>
        <w:fldChar w:fldCharType="end"/>
      </w:r>
      <w:r w:rsidR="007C2BD2" w:rsidRPr="00F71B40">
        <w:rPr>
          <w:lang w:val="en-AU"/>
        </w:rPr>
        <w:t xml:space="preserve"> shows minimal </w:t>
      </w:r>
      <w:r w:rsidR="0095481C" w:rsidRPr="00F71B40">
        <w:rPr>
          <w:lang w:val="en-AU"/>
        </w:rPr>
        <w:t xml:space="preserve">change </w:t>
      </w:r>
      <w:r w:rsidR="00334726" w:rsidRPr="00F71B40">
        <w:rPr>
          <w:lang w:val="en-AU"/>
        </w:rPr>
        <w:t xml:space="preserve">during RAMSI </w:t>
      </w:r>
      <w:r w:rsidR="007C2BD2" w:rsidRPr="00F71B40">
        <w:rPr>
          <w:lang w:val="en-AU"/>
        </w:rPr>
        <w:t xml:space="preserve">as captured by the World Bank’s CPIA scores </w:t>
      </w:r>
      <w:r w:rsidR="00115AC9" w:rsidRPr="00F71B40">
        <w:rPr>
          <w:lang w:val="en-AU"/>
        </w:rPr>
        <w:fldChar w:fldCharType="begin"/>
      </w:r>
      <w:r w:rsidR="00115AC9" w:rsidRPr="00F71B40">
        <w:rPr>
          <w:lang w:val="en-AU"/>
        </w:rPr>
        <w:instrText xml:space="preserve"> ADDIN EN.CITE &lt;EndNote&gt;&lt;Cite&gt;&lt;Author&gt;OPCS (World Bank)&lt;/Author&gt;&lt;Year&gt;2009&lt;/Year&gt;&lt;RecNum&gt;2956&lt;/RecNum&gt;&lt;DisplayText&gt;(OPCS (World Bank), 2009)&lt;/DisplayText&gt;&lt;record&gt;&lt;rec-number&gt;2956&lt;/rec-number&gt;&lt;foreign-keys&gt;&lt;key app="EN" db-id="5v9z5rrdszvwsneef06v9dapsd0apdtfapdx" timestamp="0"&gt;2956&lt;/key&gt;&lt;/foreign-keys&gt;&lt;ref-type name="Report"&gt;27&lt;/ref-type&gt;&lt;contributors&gt;&lt;authors&gt;&lt;author&gt;OPCS (World Bank),&lt;/author&gt;&lt;/authors&gt;&lt;/contributors&gt;&lt;titles&gt;&lt;title&gt;COUNTRY POLICY AND INSTITUTIONAL ASSESSMENTS: 2009 ASSESSMENT QUESTIONNAIRE &lt;/title&gt;&lt;/titles&gt;&lt;dates&gt;&lt;year&gt;2009&lt;/year&gt;&lt;/dates&gt;&lt;pub-location&gt;Washington DC&lt;/pub-location&gt;&lt;publisher&gt;World Bank&lt;/publisher&gt;&lt;urls&gt;&lt;related-urls&gt;&lt;url&gt;http://siteresources.worldbank.org/IDA/Resources/73153-1181752621336/CPIA09CriteriaB.pdf&lt;/url&gt;&lt;/related-urls&gt;&lt;/urls&gt;&lt;/record&gt;&lt;/Cite&gt;&lt;/EndNote&gt;</w:instrText>
      </w:r>
      <w:r w:rsidR="00115AC9" w:rsidRPr="00F71B40">
        <w:rPr>
          <w:lang w:val="en-AU"/>
        </w:rPr>
        <w:fldChar w:fldCharType="separate"/>
      </w:r>
      <w:r w:rsidR="00115AC9" w:rsidRPr="00F71B40">
        <w:rPr>
          <w:lang w:val="en-AU"/>
        </w:rPr>
        <w:t>(</w:t>
      </w:r>
      <w:hyperlink w:anchor="_ENREF_117" w:tooltip="OPCS (World Bank), 2009 #2956" w:history="1">
        <w:r w:rsidR="00CC56DB" w:rsidRPr="00F71B40">
          <w:rPr>
            <w:lang w:val="en-AU"/>
          </w:rPr>
          <w:t>OPCS (World Bank), 2009</w:t>
        </w:r>
      </w:hyperlink>
      <w:r w:rsidR="00115AC9" w:rsidRPr="00F71B40">
        <w:rPr>
          <w:lang w:val="en-AU"/>
        </w:rPr>
        <w:t>)</w:t>
      </w:r>
      <w:r w:rsidR="00115AC9" w:rsidRPr="00F71B40">
        <w:rPr>
          <w:lang w:val="en-AU"/>
        </w:rPr>
        <w:fldChar w:fldCharType="end"/>
      </w:r>
      <w:r w:rsidR="007C2BD2" w:rsidRPr="00F71B40">
        <w:rPr>
          <w:lang w:val="en-AU"/>
        </w:rPr>
        <w:t xml:space="preserve"> for governance in the last 8 years.</w:t>
      </w:r>
      <w:r w:rsidR="00B77230" w:rsidRPr="00F71B40">
        <w:rPr>
          <w:lang w:val="en-AU"/>
        </w:rPr>
        <w:t xml:space="preserve">  </w:t>
      </w:r>
      <w:r w:rsidR="00B77230" w:rsidRPr="00F71B40">
        <w:rPr>
          <w:rFonts w:cs="Times New Roman"/>
          <w:lang w:val="en-AU"/>
        </w:rPr>
        <w:t xml:space="preserve">Similarly, measures of Regulatory Burden within the World Bank’s Doing Business dataset also show no change in the period 2004-2010 </w:t>
      </w:r>
      <w:r w:rsidR="00115AC9" w:rsidRPr="00F71B40">
        <w:rPr>
          <w:rFonts w:cs="Times New Roman"/>
          <w:lang w:val="en-AU"/>
        </w:rPr>
        <w:fldChar w:fldCharType="begin"/>
      </w:r>
      <w:r w:rsidR="00115AC9" w:rsidRPr="00F71B40">
        <w:rPr>
          <w:rFonts w:cs="Times New Roman"/>
          <w:lang w:val="en-AU"/>
        </w:rPr>
        <w:instrText xml:space="preserve"> ADDIN EN.CITE &lt;EndNote&gt;&lt;Cite&gt;&lt;Author&gt;Duncan&lt;/Author&gt;&lt;Year&gt;2011&lt;/Year&gt;&lt;RecNum&gt;4349&lt;/RecNum&gt;&lt;DisplayText&gt;(Duncan, 2011)&lt;/DisplayText&gt;&lt;record&gt;&lt;rec-number&gt;4349&lt;/rec-number&gt;&lt;foreign-keys&gt;&lt;key app="EN" db-id="5v9z5rrdszvwsneef06v9dapsd0apdtfapdx" timestamp="1408825696"&gt;4349&lt;/key&gt;&lt;/foreign-keys&gt;&lt;ref-type name="Book Section"&gt;5&lt;/ref-type&gt;&lt;contributors&gt;&lt;authors&gt;&lt;author&gt;Roderick Duncan&lt;/author&gt;&lt;/authors&gt;&lt;secondary-authors&gt;&lt;author&gt;Ron Duncan&lt;/author&gt;&lt;/secondary-authors&gt;&lt;/contributors&gt;&lt;titles&gt;&lt;title&gt;Governance Reform in the Public Sector in Pacific Island Countries: Understanding How Culture Matters&lt;/title&gt;&lt;secondary-title&gt;The Political Economy of Economic Reform in the Pacific&lt;/secondary-title&gt;&lt;/titles&gt;&lt;pages&gt;139-162&lt;/pages&gt;&lt;number&gt;Pacific Studies Series&lt;/number&gt;&lt;dates&gt;&lt;year&gt;2011&lt;/year&gt;&lt;/dates&gt;&lt;pub-location&gt;Manila&lt;/pub-location&gt;&lt;publisher&gt;ADB&lt;/publisher&gt;&lt;urls&gt;&lt;/urls&gt;&lt;/record&gt;&lt;/Cite&gt;&lt;/EndNote&gt;</w:instrText>
      </w:r>
      <w:r w:rsidR="00115AC9" w:rsidRPr="00F71B40">
        <w:rPr>
          <w:rFonts w:cs="Times New Roman"/>
          <w:lang w:val="en-AU"/>
        </w:rPr>
        <w:fldChar w:fldCharType="separate"/>
      </w:r>
      <w:r w:rsidR="00115AC9" w:rsidRPr="00F71B40">
        <w:rPr>
          <w:rFonts w:cs="Times New Roman"/>
          <w:lang w:val="en-AU"/>
        </w:rPr>
        <w:t>(</w:t>
      </w:r>
      <w:hyperlink w:anchor="_ENREF_57" w:tooltip="Duncan, 2011 #4349" w:history="1">
        <w:r w:rsidR="00CC56DB" w:rsidRPr="00F71B40">
          <w:rPr>
            <w:rFonts w:cs="Times New Roman"/>
            <w:lang w:val="en-AU"/>
          </w:rPr>
          <w:t>Duncan, 2011</w:t>
        </w:r>
      </w:hyperlink>
      <w:r w:rsidR="00115AC9" w:rsidRPr="00F71B40">
        <w:rPr>
          <w:rFonts w:cs="Times New Roman"/>
          <w:lang w:val="en-AU"/>
        </w:rPr>
        <w:t>)</w:t>
      </w:r>
      <w:r w:rsidR="00115AC9" w:rsidRPr="00F71B40">
        <w:rPr>
          <w:rFonts w:cs="Times New Roman"/>
          <w:lang w:val="en-AU"/>
        </w:rPr>
        <w:fldChar w:fldCharType="end"/>
      </w:r>
      <w:r w:rsidR="00B77230" w:rsidRPr="00F71B40">
        <w:rPr>
          <w:rFonts w:cs="Times New Roman"/>
          <w:lang w:val="en-AU"/>
        </w:rPr>
        <w:t xml:space="preserve">.  </w:t>
      </w:r>
    </w:p>
    <w:p w:rsidR="007C2BD2" w:rsidRPr="00F71B40" w:rsidRDefault="007C2BD2" w:rsidP="00D62A32">
      <w:pPr>
        <w:rPr>
          <w:lang w:val="en-AU"/>
        </w:rPr>
      </w:pPr>
    </w:p>
    <w:p w:rsidR="007C2BD2" w:rsidRPr="00F71B40" w:rsidRDefault="007C2BD2" w:rsidP="00BA706F">
      <w:pPr>
        <w:pStyle w:val="Caption"/>
        <w:rPr>
          <w:lang w:val="en-AU"/>
        </w:rPr>
      </w:pPr>
      <w:bookmarkStart w:id="19" w:name="_Ref396574233"/>
      <w:bookmarkStart w:id="20" w:name="_Toc401761837"/>
      <w:r w:rsidRPr="00F71B40">
        <w:rPr>
          <w:lang w:val="en-AU"/>
        </w:rPr>
        <w:t xml:space="preserve">Figure </w:t>
      </w:r>
      <w:r w:rsidR="00991063" w:rsidRPr="00F71B40">
        <w:rPr>
          <w:lang w:val="en-AU"/>
        </w:rPr>
        <w:fldChar w:fldCharType="begin"/>
      </w:r>
      <w:r w:rsidR="00991063" w:rsidRPr="00F71B40">
        <w:rPr>
          <w:lang w:val="en-AU"/>
        </w:rPr>
        <w:instrText xml:space="preserve"> SEQ Figure \* ARABIC </w:instrText>
      </w:r>
      <w:r w:rsidR="00991063" w:rsidRPr="00F71B40">
        <w:rPr>
          <w:lang w:val="en-AU"/>
        </w:rPr>
        <w:fldChar w:fldCharType="separate"/>
      </w:r>
      <w:r w:rsidR="00EF43BE">
        <w:rPr>
          <w:noProof/>
          <w:lang w:val="en-AU"/>
        </w:rPr>
        <w:t>1</w:t>
      </w:r>
      <w:r w:rsidR="00991063" w:rsidRPr="00F71B40">
        <w:rPr>
          <w:lang w:val="en-AU"/>
        </w:rPr>
        <w:fldChar w:fldCharType="end"/>
      </w:r>
      <w:bookmarkEnd w:id="19"/>
      <w:r w:rsidRPr="00F71B40">
        <w:rPr>
          <w:lang w:val="en-AU"/>
        </w:rPr>
        <w:t xml:space="preserve">: Solomon Islands CPIA Governance and Public Sector Management scores in </w:t>
      </w:r>
      <w:r w:rsidR="007A62C8" w:rsidRPr="00F71B40">
        <w:rPr>
          <w:lang w:val="en-AU"/>
        </w:rPr>
        <w:t>East Asia and Pacific</w:t>
      </w:r>
      <w:r w:rsidRPr="00F71B40">
        <w:rPr>
          <w:lang w:val="en-AU"/>
        </w:rPr>
        <w:t xml:space="preserve"> context</w:t>
      </w:r>
      <w:bookmarkEnd w:id="20"/>
    </w:p>
    <w:p w:rsidR="00B45AEE" w:rsidRPr="00F71B40" w:rsidRDefault="00B45AEE" w:rsidP="00D62A32">
      <w:pPr>
        <w:keepNext/>
        <w:keepLines/>
        <w:rPr>
          <w:lang w:val="en-AU"/>
        </w:rPr>
      </w:pPr>
    </w:p>
    <w:p w:rsidR="007C2BD2" w:rsidRPr="00F71B40" w:rsidRDefault="007C2BD2" w:rsidP="00D62A32">
      <w:pPr>
        <w:keepNext/>
        <w:keepLines/>
        <w:rPr>
          <w:rFonts w:cs="Times New Roman"/>
          <w:lang w:val="en-AU"/>
        </w:rPr>
      </w:pPr>
      <w:r w:rsidRPr="00F71B40">
        <w:rPr>
          <w:noProof/>
          <w:lang w:val="en-AU" w:eastAsia="en-AU"/>
        </w:rPr>
        <w:drawing>
          <wp:inline distT="0" distB="0" distL="0" distR="0" wp14:anchorId="3F34FC71" wp14:editId="6EC552CA">
            <wp:extent cx="5781675" cy="3476625"/>
            <wp:effectExtent l="0" t="0" r="9525" b="9525"/>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7C2BD2" w:rsidRPr="00F71B40" w:rsidRDefault="007C2BD2" w:rsidP="00D62A32">
      <w:pPr>
        <w:rPr>
          <w:lang w:val="en-AU"/>
        </w:rPr>
      </w:pPr>
    </w:p>
    <w:p w:rsidR="00835A57" w:rsidRPr="00F71B40" w:rsidRDefault="00B77230" w:rsidP="00D62A32">
      <w:pPr>
        <w:rPr>
          <w:lang w:val="en-AU"/>
        </w:rPr>
      </w:pPr>
      <w:r w:rsidRPr="00F71B40">
        <w:rPr>
          <w:rFonts w:cs="Times New Roman"/>
          <w:lang w:val="en-AU"/>
        </w:rPr>
        <w:t>However, l</w:t>
      </w:r>
      <w:r w:rsidR="00483A67" w:rsidRPr="00F71B40">
        <w:rPr>
          <w:rFonts w:cs="Times New Roman"/>
          <w:lang w:val="en-AU"/>
        </w:rPr>
        <w:t xml:space="preserve">ooking in more specific areas, RAMSI </w:t>
      </w:r>
      <w:r w:rsidR="00B34DD3" w:rsidRPr="00F71B40">
        <w:rPr>
          <w:rFonts w:cs="Times New Roman"/>
          <w:lang w:val="en-AU"/>
        </w:rPr>
        <w:t>undoubtedly achieved some considerable successes.  Macroeconomic stabilization was achieved, albeit with significant cohort of advisers placed within the Ministry of Finance</w:t>
      </w:r>
      <w:r w:rsidR="00B551A8" w:rsidRPr="00F71B40">
        <w:rPr>
          <w:rFonts w:cs="Times New Roman"/>
          <w:lang w:val="en-AU"/>
        </w:rPr>
        <w:t>.</w:t>
      </w:r>
      <w:r w:rsidR="00E256D6">
        <w:rPr>
          <w:rFonts w:cs="Times New Roman"/>
          <w:lang w:val="en-AU"/>
        </w:rPr>
        <w:t xml:space="preserve">  </w:t>
      </w:r>
      <w:r w:rsidR="003E03E0" w:rsidRPr="00F71B40">
        <w:rPr>
          <w:rFonts w:cs="Times New Roman"/>
          <w:lang w:val="en-AU"/>
        </w:rPr>
        <w:t xml:space="preserve">Fiscal deficits were reduced by 2012 and impressive revenue growth achieved with consequent reductions in public sector debt </w:t>
      </w:r>
      <w:r w:rsidR="00115AC9" w:rsidRPr="00F71B40">
        <w:rPr>
          <w:rFonts w:cs="Times New Roman"/>
          <w:lang w:val="en-AU"/>
        </w:rPr>
        <w:fldChar w:fldCharType="begin"/>
      </w:r>
      <w:r w:rsidR="00115AC9" w:rsidRPr="00F71B40">
        <w:rPr>
          <w:rFonts w:cs="Times New Roman"/>
          <w:lang w:val="en-AU"/>
        </w:rPr>
        <w:instrText xml:space="preserve"> ADDIN EN.CITE &lt;EndNote&gt;&lt;Cite&gt;&lt;Author&gt;IMF&lt;/Author&gt;&lt;Year&gt;2010&lt;/Year&gt;&lt;RecNum&gt;4270&lt;/RecNum&gt;&lt;DisplayText&gt;(IMF, 2010, 2013)&lt;/DisplayText&gt;&lt;record&gt;&lt;rec-number&gt;4270&lt;/rec-number&gt;&lt;foreign-keys&gt;&lt;key app="EN" db-id="5v9z5rrdszvwsneef06v9dapsd0apdtfapdx" timestamp="1408399147"&gt;4270&lt;/key&gt;&lt;/foreign-keys&gt;&lt;ref-type name="Report"&gt;27&lt;/ref-type&gt;&lt;contributors&gt;&lt;authors&gt;&lt;author&gt;IMF&lt;/author&gt;&lt;/authors&gt;&lt;/contributors&gt;&lt;titles&gt;&lt;title&gt;Solomon Islands Article IV Consultation Staff Report&lt;/title&gt;&lt;/titles&gt;&lt;dates&gt;&lt;year&gt;2010&lt;/year&gt;&lt;/dates&gt;&lt;pub-location&gt;Washington DC&lt;/pub-location&gt;&lt;publisher&gt;IMF&lt;/publisher&gt;&lt;urls&gt;&lt;/urls&gt;&lt;/record&gt;&lt;/Cite&gt;&lt;Cite&gt;&lt;Author&gt;IMF&lt;/Author&gt;&lt;Year&gt;2013&lt;/Year&gt;&lt;RecNum&gt;4269&lt;/RecNum&gt;&lt;record&gt;&lt;rec-number&gt;4269&lt;/rec-number&gt;&lt;foreign-keys&gt;&lt;key app="EN" db-id="5v9z5rrdszvwsneef06v9dapsd0apdtfapdx" timestamp="1408398506"&gt;4269&lt;/key&gt;&lt;/foreign-keys&gt;&lt;ref-type name="Report"&gt;27&lt;/ref-type&gt;&lt;contributors&gt;&lt;authors&gt;&lt;author&gt;IMF&lt;/author&gt;&lt;/authors&gt;&lt;/contributors&gt;&lt;titles&gt;&lt;title&gt;Solomon Islands Article IV Consultation Staff Report&lt;/title&gt;&lt;/titles&gt;&lt;dates&gt;&lt;year&gt;2013&lt;/year&gt;&lt;/dates&gt;&lt;pub-location&gt;Washington DC&lt;/pub-location&gt;&lt;publisher&gt;IMF&lt;/publisher&gt;&lt;urls&gt;&lt;/urls&gt;&lt;/record&gt;&lt;/Cite&gt;&lt;/EndNote&gt;</w:instrText>
      </w:r>
      <w:r w:rsidR="00115AC9" w:rsidRPr="00F71B40">
        <w:rPr>
          <w:rFonts w:cs="Times New Roman"/>
          <w:lang w:val="en-AU"/>
        </w:rPr>
        <w:fldChar w:fldCharType="separate"/>
      </w:r>
      <w:r w:rsidR="00115AC9" w:rsidRPr="00F71B40">
        <w:rPr>
          <w:rFonts w:cs="Times New Roman"/>
          <w:lang w:val="en-AU"/>
        </w:rPr>
        <w:t>(</w:t>
      </w:r>
      <w:hyperlink w:anchor="_ENREF_72" w:tooltip="IMF, 2010 #4270" w:history="1">
        <w:r w:rsidR="00CC56DB" w:rsidRPr="00F71B40">
          <w:rPr>
            <w:rFonts w:cs="Times New Roman"/>
            <w:lang w:val="en-AU"/>
          </w:rPr>
          <w:t>IMF, 2010</w:t>
        </w:r>
      </w:hyperlink>
      <w:r w:rsidR="00115AC9" w:rsidRPr="00F71B40">
        <w:rPr>
          <w:rFonts w:cs="Times New Roman"/>
          <w:lang w:val="en-AU"/>
        </w:rPr>
        <w:t xml:space="preserve">, </w:t>
      </w:r>
      <w:hyperlink w:anchor="_ENREF_74" w:tooltip="IMF, 2013 #4269" w:history="1">
        <w:r w:rsidR="00CC56DB" w:rsidRPr="00F71B40">
          <w:rPr>
            <w:rFonts w:cs="Times New Roman"/>
            <w:lang w:val="en-AU"/>
          </w:rPr>
          <w:t>2013</w:t>
        </w:r>
      </w:hyperlink>
      <w:r w:rsidR="00115AC9" w:rsidRPr="00F71B40">
        <w:rPr>
          <w:rFonts w:cs="Times New Roman"/>
          <w:lang w:val="en-AU"/>
        </w:rPr>
        <w:t>)</w:t>
      </w:r>
      <w:r w:rsidR="00115AC9" w:rsidRPr="00F71B40">
        <w:rPr>
          <w:rFonts w:cs="Times New Roman"/>
          <w:lang w:val="en-AU"/>
        </w:rPr>
        <w:fldChar w:fldCharType="end"/>
      </w:r>
      <w:r w:rsidR="003E03E0" w:rsidRPr="00F71B40">
        <w:rPr>
          <w:rFonts w:cs="Times New Roman"/>
          <w:lang w:val="en-AU"/>
        </w:rPr>
        <w:t xml:space="preserve"> cited in </w:t>
      </w:r>
      <w:r w:rsidR="00115AC9" w:rsidRPr="00F71B40">
        <w:rPr>
          <w:rFonts w:cs="Times New Roman"/>
          <w:lang w:val="en-AU"/>
        </w:rPr>
        <w:fldChar w:fldCharType="begin"/>
      </w:r>
      <w:r w:rsidR="00115AC9" w:rsidRPr="00F71B40">
        <w:rPr>
          <w:rFonts w:cs="Times New Roman"/>
          <w:lang w:val="en-AU"/>
        </w:rPr>
        <w:instrText xml:space="preserve"> ADDIN EN.CITE &lt;EndNote&gt;&lt;Cite&gt;&lt;Author&gt;Haque&lt;/Author&gt;&lt;Year&gt;2013&lt;/Year&gt;&lt;RecNum&gt;4268&lt;/RecNum&gt;&lt;DisplayText&gt;(Haque, 2013)&lt;/DisplayText&gt;&lt;record&gt;&lt;rec-number&gt;4268&lt;/rec-number&gt;&lt;foreign-keys&gt;&lt;key app="EN" db-id="5v9z5rrdszvwsneef06v9dapsd0apdtfapdx" timestamp="1408398450"&gt;4268&lt;/key&gt;&lt;/foreign-keys&gt;&lt;ref-type name="Report"&gt;27&lt;/ref-type&gt;&lt;contributors&gt;&lt;authors&gt;&lt;author&gt;Haque, Tobias A.&lt;/author&gt;&lt;/authors&gt;&lt;/contributors&gt;&lt;titles&gt;&lt;title&gt;Economic Transition in Solomon Islands&lt;/title&gt;&lt;/titles&gt;&lt;dates&gt;&lt;year&gt;2013&lt;/year&gt;&lt;/dates&gt;&lt;pub-location&gt;Canberra&lt;/pub-location&gt;&lt;publisher&gt;Australian National University&lt;/publisher&gt;&lt;urls&gt;&lt;/urls&gt;&lt;/record&gt;&lt;/Cite&gt;&lt;/EndNote&gt;</w:instrText>
      </w:r>
      <w:r w:rsidR="00115AC9" w:rsidRPr="00F71B40">
        <w:rPr>
          <w:rFonts w:cs="Times New Roman"/>
          <w:lang w:val="en-AU"/>
        </w:rPr>
        <w:fldChar w:fldCharType="separate"/>
      </w:r>
      <w:r w:rsidR="00115AC9" w:rsidRPr="00F71B40">
        <w:rPr>
          <w:rFonts w:cs="Times New Roman"/>
          <w:lang w:val="en-AU"/>
        </w:rPr>
        <w:t>(</w:t>
      </w:r>
      <w:hyperlink w:anchor="_ENREF_66" w:tooltip="Haque, 2013 #4268" w:history="1">
        <w:r w:rsidR="00CC56DB" w:rsidRPr="00F71B40">
          <w:rPr>
            <w:rFonts w:cs="Times New Roman"/>
            <w:lang w:val="en-AU"/>
          </w:rPr>
          <w:t>Haque, 2013</w:t>
        </w:r>
      </w:hyperlink>
      <w:r w:rsidR="00115AC9" w:rsidRPr="00F71B40">
        <w:rPr>
          <w:rFonts w:cs="Times New Roman"/>
          <w:lang w:val="en-AU"/>
        </w:rPr>
        <w:t>)</w:t>
      </w:r>
      <w:r w:rsidR="00115AC9" w:rsidRPr="00F71B40">
        <w:rPr>
          <w:rFonts w:cs="Times New Roman"/>
          <w:lang w:val="en-AU"/>
        </w:rPr>
        <w:fldChar w:fldCharType="end"/>
      </w:r>
      <w:r w:rsidR="003E03E0" w:rsidRPr="00F71B40">
        <w:rPr>
          <w:rFonts w:cs="Times New Roman"/>
          <w:lang w:val="en-AU"/>
        </w:rPr>
        <w:t xml:space="preserve">.  </w:t>
      </w:r>
      <w:r w:rsidR="002C552E" w:rsidRPr="00F71B40">
        <w:rPr>
          <w:rFonts w:cs="Times New Roman"/>
          <w:lang w:val="en-AU"/>
        </w:rPr>
        <w:t xml:space="preserve">Even the somewhat </w:t>
      </w:r>
      <w:r w:rsidR="00F71B40" w:rsidRPr="00F71B40">
        <w:rPr>
          <w:rFonts w:cs="Times New Roman"/>
          <w:lang w:val="en-AU"/>
        </w:rPr>
        <w:t>sceptical</w:t>
      </w:r>
      <w:r w:rsidR="002C552E" w:rsidRPr="00F71B40">
        <w:rPr>
          <w:rFonts w:cs="Times New Roman"/>
          <w:lang w:val="en-AU"/>
        </w:rPr>
        <w:t xml:space="preserve"> </w:t>
      </w:r>
      <w:r w:rsidR="00115AC9" w:rsidRPr="00F71B40">
        <w:rPr>
          <w:rFonts w:cs="Times New Roman"/>
          <w:lang w:val="en-AU"/>
        </w:rPr>
        <w:fldChar w:fldCharType="begin"/>
      </w:r>
      <w:r w:rsidR="00115AC9" w:rsidRPr="00F71B40">
        <w:rPr>
          <w:rFonts w:cs="Times New Roman"/>
          <w:lang w:val="en-AU"/>
        </w:rPr>
        <w:instrText xml:space="preserve"> ADDIN EN.CITE &lt;EndNote&gt;&lt;Cite&gt;&lt;Author&gt;Fraenkel&lt;/Author&gt;&lt;Year&gt;2014&lt;/Year&gt;&lt;RecNum&gt;4304&lt;/RecNum&gt;&lt;Suffix&gt;`, p.64&lt;/Suffix&gt;&lt;DisplayText&gt;(Fraenkel et al., 2014, p.64)&lt;/DisplayText&gt;&lt;record&gt;&lt;rec-number&gt;4304&lt;/rec-number&gt;&lt;foreign-keys&gt;&lt;key app="EN" db-id="5v9z5rrdszvwsneef06v9dapsd0apdtfapdx" timestamp="1408645993"&gt;4304&lt;/key&gt;&lt;/foreign-keys&gt;&lt;ref-type name="Report"&gt;27&lt;/ref-type&gt;&lt;contributors&gt;&lt;authors&gt;&lt;author&gt;Jon Fraenkel&lt;/author&gt;&lt;author&gt;Joni Madraiwiwi&lt;/author&gt;&lt;author&gt;Henry Okole&lt;/author&gt;&lt;/authors&gt;&lt;/contributors&gt;&lt;titles&gt;&lt;title&gt;The RAMSI Decade: A Review of the Regional Assistance Mission to Solomon Islands, 2003-</w:instrText>
      </w:r>
      <w:r w:rsidR="00115AC9" w:rsidRPr="00F71B40">
        <w:rPr>
          <w:rFonts w:ascii="Cambria Math" w:hAnsi="Cambria Math" w:cs="Cambria Math"/>
          <w:lang w:val="en-AU"/>
        </w:rPr>
        <w:instrText>‐</w:instrText>
      </w:r>
      <w:r w:rsidR="00115AC9" w:rsidRPr="00F71B40">
        <w:rPr>
          <w:rFonts w:cs="Times New Roman"/>
          <w:lang w:val="en-AU"/>
        </w:rPr>
        <w:instrText>2013&lt;/title&gt;&lt;/titles&gt;&lt;dates&gt;&lt;year&gt;2014&lt;/year&gt;&lt;/dates&gt;&lt;pub-location&gt;Honiara, Solomon Islands&lt;/pub-location&gt;&lt;publisher&gt;Solomon Islands Government and the Pacific Islands Forum&lt;/publisher&gt;&lt;urls&gt;&lt;/urls&gt;&lt;/record&gt;&lt;/Cite&gt;&lt;/EndNote&gt;</w:instrText>
      </w:r>
      <w:r w:rsidR="00115AC9" w:rsidRPr="00F71B40">
        <w:rPr>
          <w:rFonts w:cs="Times New Roman"/>
          <w:lang w:val="en-AU"/>
        </w:rPr>
        <w:fldChar w:fldCharType="separate"/>
      </w:r>
      <w:r w:rsidR="00115AC9" w:rsidRPr="00F71B40">
        <w:rPr>
          <w:rFonts w:cs="Times New Roman"/>
          <w:lang w:val="en-AU"/>
        </w:rPr>
        <w:t>(</w:t>
      </w:r>
      <w:hyperlink w:anchor="_ENREF_59" w:tooltip="Fraenkel, 2014 #4304" w:history="1">
        <w:r w:rsidR="00CC56DB" w:rsidRPr="00F71B40">
          <w:rPr>
            <w:rFonts w:cs="Times New Roman"/>
            <w:lang w:val="en-AU"/>
          </w:rPr>
          <w:t>Fraenkel et al., 2014, p.64</w:t>
        </w:r>
      </w:hyperlink>
      <w:r w:rsidR="00115AC9" w:rsidRPr="00F71B40">
        <w:rPr>
          <w:rFonts w:cs="Times New Roman"/>
          <w:lang w:val="en-AU"/>
        </w:rPr>
        <w:t>)</w:t>
      </w:r>
      <w:r w:rsidR="00115AC9" w:rsidRPr="00F71B40">
        <w:rPr>
          <w:rFonts w:cs="Times New Roman"/>
          <w:lang w:val="en-AU"/>
        </w:rPr>
        <w:fldChar w:fldCharType="end"/>
      </w:r>
      <w:r w:rsidR="002C552E" w:rsidRPr="00F71B40">
        <w:rPr>
          <w:rFonts w:cs="Times New Roman"/>
          <w:lang w:val="en-AU"/>
        </w:rPr>
        <w:t xml:space="preserve">  concedes that </w:t>
      </w:r>
      <w:r w:rsidR="006660F5" w:rsidRPr="00F71B40">
        <w:rPr>
          <w:rFonts w:cs="Times New Roman"/>
          <w:lang w:val="en-AU"/>
        </w:rPr>
        <w:t>“</w:t>
      </w:r>
      <w:r w:rsidR="002C552E" w:rsidRPr="00F71B40">
        <w:rPr>
          <w:rFonts w:cs="Times New Roman"/>
          <w:lang w:val="en-AU"/>
        </w:rPr>
        <w:t>(t)</w:t>
      </w:r>
      <w:r w:rsidR="006660F5" w:rsidRPr="00F71B40">
        <w:rPr>
          <w:rFonts w:cs="Times New Roman"/>
          <w:lang w:val="en-AU"/>
        </w:rPr>
        <w:t xml:space="preserve">he debt/GDP ratio has been dramatically decreased across the decade, reaching only 12% by late 2013.  Over the decade, there have been substantial increases in government revenue, both entailing improvements in Inland Revenue compliance and the ending of many (but not all) concessions at the Inland Revenue and Customs authority.” </w:t>
      </w:r>
      <w:r w:rsidR="00835A57" w:rsidRPr="00F71B40">
        <w:rPr>
          <w:rFonts w:cs="Times New Roman"/>
          <w:lang w:val="en-AU"/>
        </w:rPr>
        <w:t xml:space="preserve">The IMF noted in 2011 that “Program performance has been strong, and macroeconomic developments and the outlook remain favourable.” </w:t>
      </w:r>
      <w:r w:rsidR="00115AC9" w:rsidRPr="00F71B40">
        <w:rPr>
          <w:rFonts w:cs="Times New Roman"/>
          <w:lang w:val="en-AU"/>
        </w:rPr>
        <w:fldChar w:fldCharType="begin"/>
      </w:r>
      <w:r w:rsidR="00115AC9" w:rsidRPr="00F71B40">
        <w:rPr>
          <w:rFonts w:cs="Times New Roman"/>
          <w:lang w:val="en-AU"/>
        </w:rPr>
        <w:instrText xml:space="preserve"> ADDIN EN.CITE &lt;EndNote&gt;&lt;Cite&gt;&lt;Author&gt;IMF&lt;/Author&gt;&lt;Year&gt;2011&lt;/Year&gt;&lt;RecNum&gt;4342&lt;/RecNum&gt;&lt;Suffix&gt;`, p. 1&lt;/Suffix&gt;&lt;DisplayText&gt;(IMF, 2011, p. 1)&lt;/DisplayText&gt;&lt;record&gt;&lt;rec-number&gt;4342&lt;/rec-number&gt;&lt;foreign-keys&gt;&lt;key app="EN" db-id="5v9z5rrdszvwsneef06v9dapsd0apdtfapdx" timestamp="1408817986"&gt;4342&lt;/key&gt;&lt;/foreign-keys&gt;&lt;ref-type name="Report"&gt;27&lt;/ref-type&gt;&lt;contributors&gt;&lt;authors&gt;&lt;author&gt;IMF&lt;/author&gt;&lt;/authors&gt;&lt;/contributors&gt;&lt;titles&gt;&lt;title&gt;IMF Country Report No. 11/180&lt;/title&gt;&lt;/titles&gt;&lt;dates&gt;&lt;year&gt;2011&lt;/year&gt;&lt;/dates&gt;&lt;pub-location&gt;Washington DC&lt;/pub-location&gt;&lt;publisher&gt;IMF&lt;/publisher&gt;&lt;urls&gt;&lt;/urls&gt;&lt;/record&gt;&lt;/Cite&gt;&lt;/EndNote&gt;</w:instrText>
      </w:r>
      <w:r w:rsidR="00115AC9" w:rsidRPr="00F71B40">
        <w:rPr>
          <w:rFonts w:cs="Times New Roman"/>
          <w:lang w:val="en-AU"/>
        </w:rPr>
        <w:fldChar w:fldCharType="separate"/>
      </w:r>
      <w:r w:rsidR="00115AC9" w:rsidRPr="00F71B40">
        <w:rPr>
          <w:rFonts w:cs="Times New Roman"/>
          <w:lang w:val="en-AU"/>
        </w:rPr>
        <w:t>(</w:t>
      </w:r>
      <w:hyperlink w:anchor="_ENREF_73" w:tooltip="IMF, 2011 #4342" w:history="1">
        <w:r w:rsidR="00CC56DB" w:rsidRPr="00F71B40">
          <w:rPr>
            <w:rFonts w:cs="Times New Roman"/>
            <w:lang w:val="en-AU"/>
          </w:rPr>
          <w:t>IMF, 2011, p. 1</w:t>
        </w:r>
      </w:hyperlink>
      <w:r w:rsidR="00115AC9" w:rsidRPr="00F71B40">
        <w:rPr>
          <w:rFonts w:cs="Times New Roman"/>
          <w:lang w:val="en-AU"/>
        </w:rPr>
        <w:t>)</w:t>
      </w:r>
      <w:r w:rsidR="00115AC9" w:rsidRPr="00F71B40">
        <w:rPr>
          <w:rFonts w:cs="Times New Roman"/>
          <w:lang w:val="en-AU"/>
        </w:rPr>
        <w:fldChar w:fldCharType="end"/>
      </w:r>
      <w:r w:rsidR="00835A57" w:rsidRPr="00F71B40">
        <w:rPr>
          <w:rFonts w:cs="Times New Roman"/>
          <w:lang w:val="en-AU"/>
        </w:rPr>
        <w:t xml:space="preserve">.  </w:t>
      </w:r>
    </w:p>
    <w:p w:rsidR="007F3889" w:rsidRPr="00F71B40" w:rsidRDefault="007F3889" w:rsidP="00D62A32">
      <w:pPr>
        <w:autoSpaceDE w:val="0"/>
        <w:autoSpaceDN w:val="0"/>
        <w:adjustRightInd w:val="0"/>
        <w:rPr>
          <w:rFonts w:cs="Times New Roman"/>
          <w:lang w:val="en-AU"/>
        </w:rPr>
      </w:pPr>
    </w:p>
    <w:p w:rsidR="00835A57" w:rsidRPr="00F71B40" w:rsidRDefault="007F3889" w:rsidP="00D62A32">
      <w:pPr>
        <w:rPr>
          <w:lang w:val="en-AU"/>
        </w:rPr>
      </w:pPr>
      <w:r w:rsidRPr="00F71B40">
        <w:rPr>
          <w:rFonts w:cs="Times New Roman"/>
          <w:lang w:val="en-AU"/>
        </w:rPr>
        <w:t xml:space="preserve">The </w:t>
      </w:r>
      <w:r w:rsidR="0011353B" w:rsidRPr="00F71B40">
        <w:rPr>
          <w:rFonts w:cs="Times New Roman"/>
          <w:lang w:val="en-AU"/>
        </w:rPr>
        <w:t xml:space="preserve">RAMSI Financial and Economic Management Support </w:t>
      </w:r>
      <w:r w:rsidR="00866B58">
        <w:rPr>
          <w:rFonts w:cs="Times New Roman"/>
          <w:lang w:val="en-AU"/>
        </w:rPr>
        <w:t>P</w:t>
      </w:r>
      <w:r w:rsidR="0011353B" w:rsidRPr="00F71B40">
        <w:rPr>
          <w:rFonts w:cs="Times New Roman"/>
          <w:lang w:val="en-AU"/>
        </w:rPr>
        <w:t>rogram (FEMSP) has generally been identified as the driver of these macro gains; in relation to “…</w:t>
      </w:r>
      <w:r w:rsidR="0050329C" w:rsidRPr="00F71B40">
        <w:rPr>
          <w:rFonts w:cs="Times New Roman"/>
          <w:lang w:val="en-AU"/>
        </w:rPr>
        <w:t>sound fiscal and budget management in the transition from post-conflict stabilisation to medium term stabilisation and longer term development</w:t>
      </w:r>
      <w:r w:rsidR="0011353B" w:rsidRPr="00F71B40">
        <w:rPr>
          <w:rFonts w:cs="Times New Roman"/>
          <w:lang w:val="en-AU"/>
        </w:rPr>
        <w:t xml:space="preserve">… </w:t>
      </w:r>
      <w:r w:rsidR="0050329C" w:rsidRPr="00F71B40">
        <w:rPr>
          <w:rFonts w:cs="Times New Roman"/>
          <w:lang w:val="en-AU"/>
        </w:rPr>
        <w:t xml:space="preserve">FEMSP's achievements are good. On IMF criteria, SIG </w:t>
      </w:r>
      <w:r w:rsidR="00D2781F" w:rsidRPr="00F71B40">
        <w:rPr>
          <w:rFonts w:cs="Times New Roman"/>
          <w:lang w:val="en-AU"/>
        </w:rPr>
        <w:t xml:space="preserve">(Solomon Islands Government) </w:t>
      </w:r>
      <w:r w:rsidR="0050329C" w:rsidRPr="00F71B40">
        <w:rPr>
          <w:rFonts w:cs="Times New Roman"/>
          <w:lang w:val="en-AU"/>
        </w:rPr>
        <w:t xml:space="preserve">public finances are soundly based…  Fiscal stability has been restored in 2010 and 2011 through cash-rationing and hiring freezes, together with budget support from the development partners, and with economic growth and a borrowing freeze the ratio of public debt to GDP has fallen markedly since 2005.” </w:t>
      </w:r>
      <w:r w:rsidR="00115AC9" w:rsidRPr="00F71B40">
        <w:rPr>
          <w:rFonts w:cs="Times New Roman"/>
          <w:lang w:val="en-AU"/>
        </w:rPr>
        <w:fldChar w:fldCharType="begin"/>
      </w:r>
      <w:r w:rsidR="00115AC9" w:rsidRPr="00F71B40">
        <w:rPr>
          <w:rFonts w:cs="Times New Roman"/>
          <w:lang w:val="en-AU"/>
        </w:rPr>
        <w:instrText xml:space="preserve"> ADDIN EN.CITE &lt;EndNote&gt;&lt;Cite&gt;&lt;Author&gt;Dixon&lt;/Author&gt;&lt;Year&gt;2012&lt;/Year&gt;&lt;RecNum&gt;4331&lt;/RecNum&gt;&lt;Suffix&gt;`, p. 13&lt;/Suffix&gt;&lt;DisplayText&gt;(Dixon et al., 2012, p. 13)&lt;/DisplayText&gt;&lt;record&gt;&lt;rec-number&gt;4331&lt;/rec-number&gt;&lt;foreign-keys&gt;&lt;key app="EN" db-id="5v9z5rrdszvwsneef06v9dapsd0apdtfapdx" timestamp="1408738818"&gt;4331&lt;/key&gt;&lt;/foreign-keys&gt;&lt;ref-type name="Book Section"&gt;5&lt;/ref-type&gt;&lt;contributors&gt;&lt;authors&gt;&lt;author&gt;Geoff Dixon&lt;/author&gt;&lt;author&gt;Michael Anderson&lt;/author&gt;&lt;author&gt;Peter Deacon&lt;/author&gt;&lt;author&gt;Merrylyn Kodoleke&lt;/author&gt;&lt;author&gt;Mike Loudon&lt;/author&gt;&lt;/authors&gt;&lt;/contributors&gt;&lt;titles&gt;&lt;title&gt;FINANCIAL AND ECONOMIC MANAGEMENT SUPPORT PROGRAM (FEMSP) Mid term review&lt;/title&gt;&lt;/titles&gt;&lt;dates&gt;&lt;year&gt;2012&lt;/year&gt;&lt;/dates&gt;&lt;pub-location&gt;Canberra&lt;/pub-location&gt;&lt;publisher&gt;RAMSI&lt;/publisher&gt;&lt;urls&gt;&lt;/urls&gt;&lt;/record&gt;&lt;/Cite&gt;&lt;/EndNote&gt;</w:instrText>
      </w:r>
      <w:r w:rsidR="00115AC9" w:rsidRPr="00F71B40">
        <w:rPr>
          <w:rFonts w:cs="Times New Roman"/>
          <w:lang w:val="en-AU"/>
        </w:rPr>
        <w:fldChar w:fldCharType="separate"/>
      </w:r>
      <w:r w:rsidR="00115AC9" w:rsidRPr="00F71B40">
        <w:rPr>
          <w:rFonts w:cs="Times New Roman"/>
          <w:lang w:val="en-AU"/>
        </w:rPr>
        <w:t>(</w:t>
      </w:r>
      <w:hyperlink w:anchor="_ENREF_56" w:tooltip="Dixon, 2012 #4331" w:history="1">
        <w:r w:rsidR="00CC56DB" w:rsidRPr="00F71B40">
          <w:rPr>
            <w:rFonts w:cs="Times New Roman"/>
            <w:lang w:val="en-AU"/>
          </w:rPr>
          <w:t>Dixon et al., 2012, p. 13</w:t>
        </w:r>
      </w:hyperlink>
      <w:r w:rsidR="00115AC9" w:rsidRPr="00F71B40">
        <w:rPr>
          <w:rFonts w:cs="Times New Roman"/>
          <w:lang w:val="en-AU"/>
        </w:rPr>
        <w:t>)</w:t>
      </w:r>
      <w:r w:rsidR="00115AC9" w:rsidRPr="00F71B40">
        <w:rPr>
          <w:rFonts w:cs="Times New Roman"/>
          <w:lang w:val="en-AU"/>
        </w:rPr>
        <w:fldChar w:fldCharType="end"/>
      </w:r>
      <w:r w:rsidR="0011353B" w:rsidRPr="00F71B40">
        <w:rPr>
          <w:rFonts w:cs="Times New Roman"/>
          <w:lang w:val="en-AU"/>
        </w:rPr>
        <w:t xml:space="preserve">. </w:t>
      </w:r>
      <w:r w:rsidR="00835A57" w:rsidRPr="00F71B40">
        <w:rPr>
          <w:rFonts w:cs="Times New Roman"/>
          <w:lang w:val="en-AU"/>
        </w:rPr>
        <w:t xml:space="preserve"> </w:t>
      </w:r>
      <w:r w:rsidR="00835A57" w:rsidRPr="00F71B40">
        <w:rPr>
          <w:lang w:val="en-AU"/>
        </w:rPr>
        <w:t>FEMSP was also credited with improvements in public revenue and expenditure management to maximize SIG's resource envelope with compliance increased in Internal Revenue and Customs and successful rollout of Ax (the new financial management information system), BERT (the budget preparation system) and Aurion (t</w:t>
      </w:r>
      <w:r w:rsidR="00AF3E41" w:rsidRPr="00F71B40">
        <w:rPr>
          <w:lang w:val="en-AU"/>
        </w:rPr>
        <w:t>he payroll management system).</w:t>
      </w:r>
      <w:r w:rsidR="00AF3E41" w:rsidRPr="00F71B40">
        <w:rPr>
          <w:rStyle w:val="FootnoteReference"/>
          <w:lang w:val="en-AU"/>
        </w:rPr>
        <w:footnoteReference w:id="2"/>
      </w:r>
      <w:r w:rsidR="00835A57" w:rsidRPr="00F71B40">
        <w:rPr>
          <w:lang w:val="en-AU"/>
        </w:rPr>
        <w:t xml:space="preserve"> </w:t>
      </w:r>
    </w:p>
    <w:p w:rsidR="00835A57" w:rsidRPr="00F71B40" w:rsidRDefault="00835A57" w:rsidP="00D62A32">
      <w:pPr>
        <w:rPr>
          <w:lang w:val="en-AU"/>
        </w:rPr>
      </w:pPr>
    </w:p>
    <w:p w:rsidR="0050329C" w:rsidRPr="00F71B40" w:rsidRDefault="0011353B" w:rsidP="00D62A32">
      <w:pPr>
        <w:rPr>
          <w:lang w:val="en-AU"/>
        </w:rPr>
      </w:pPr>
      <w:r w:rsidRPr="00F71B40">
        <w:rPr>
          <w:rFonts w:cs="Times New Roman"/>
          <w:lang w:val="en-AU"/>
        </w:rPr>
        <w:t xml:space="preserve">The reference to cash rationing however </w:t>
      </w:r>
      <w:r w:rsidR="00B77230" w:rsidRPr="00F71B40">
        <w:rPr>
          <w:rFonts w:cs="Times New Roman"/>
          <w:lang w:val="en-AU"/>
        </w:rPr>
        <w:t xml:space="preserve">highlights the </w:t>
      </w:r>
      <w:r w:rsidR="00704FFF" w:rsidRPr="00F71B40">
        <w:rPr>
          <w:rFonts w:cs="Times New Roman"/>
          <w:lang w:val="en-AU"/>
        </w:rPr>
        <w:t>tension between social and economic stability and sustainability.</w:t>
      </w:r>
      <w:r w:rsidR="00E256D6">
        <w:rPr>
          <w:rFonts w:cs="Times New Roman"/>
          <w:lang w:val="en-AU"/>
        </w:rPr>
        <w:t xml:space="preserve">  </w:t>
      </w:r>
      <w:r w:rsidR="00704FFF" w:rsidRPr="00F71B40">
        <w:rPr>
          <w:rFonts w:cs="Times New Roman"/>
          <w:lang w:val="en-AU"/>
        </w:rPr>
        <w:t xml:space="preserve">Did </w:t>
      </w:r>
      <w:r w:rsidRPr="00F71B40">
        <w:rPr>
          <w:rFonts w:cs="Times New Roman"/>
          <w:lang w:val="en-AU"/>
        </w:rPr>
        <w:t xml:space="preserve">these </w:t>
      </w:r>
      <w:r w:rsidR="00704FFF" w:rsidRPr="00F71B40">
        <w:rPr>
          <w:rFonts w:cs="Times New Roman"/>
          <w:lang w:val="en-AU"/>
        </w:rPr>
        <w:t>public financial management gains represent</w:t>
      </w:r>
      <w:r w:rsidRPr="00F71B40">
        <w:rPr>
          <w:rFonts w:cs="Times New Roman"/>
          <w:lang w:val="en-AU"/>
        </w:rPr>
        <w:t xml:space="preserve"> institutional and managerial strengthening, or </w:t>
      </w:r>
      <w:r w:rsidR="00A5346E" w:rsidRPr="00F71B40">
        <w:rPr>
          <w:rFonts w:cs="Times New Roman"/>
          <w:lang w:val="en-AU"/>
        </w:rPr>
        <w:t>were</w:t>
      </w:r>
      <w:r w:rsidRPr="00F71B40">
        <w:rPr>
          <w:rFonts w:cs="Times New Roman"/>
          <w:lang w:val="en-AU"/>
        </w:rPr>
        <w:t xml:space="preserve"> they achieved through the insistence on fiscal discipline through any means possible</w:t>
      </w:r>
      <w:r w:rsidR="00240C97" w:rsidRPr="00F71B40">
        <w:rPr>
          <w:rFonts w:cs="Times New Roman"/>
          <w:lang w:val="en-AU"/>
        </w:rPr>
        <w:t>, led</w:t>
      </w:r>
      <w:r w:rsidRPr="00F71B40">
        <w:rPr>
          <w:rFonts w:cs="Times New Roman"/>
          <w:lang w:val="en-AU"/>
        </w:rPr>
        <w:t xml:space="preserve"> by external actors with considerable leverage</w:t>
      </w:r>
      <w:r w:rsidR="00835A57" w:rsidRPr="00F71B40">
        <w:rPr>
          <w:rFonts w:cs="Times New Roman"/>
          <w:lang w:val="en-AU"/>
        </w:rPr>
        <w:t xml:space="preserve"> over what Andrews </w:t>
      </w:r>
      <w:r w:rsidR="00866B58">
        <w:rPr>
          <w:rFonts w:cs="Times New Roman"/>
          <w:lang w:val="en-AU"/>
        </w:rPr>
        <w:t>terms</w:t>
      </w:r>
      <w:r w:rsidR="00835A57" w:rsidRPr="00F71B40">
        <w:rPr>
          <w:rFonts w:cs="Times New Roman"/>
          <w:lang w:val="en-AU"/>
        </w:rPr>
        <w:t xml:space="preserve"> “concentrated agents”</w:t>
      </w:r>
      <w:r w:rsidR="00370F0C" w:rsidRPr="00F71B40">
        <w:rPr>
          <w:rFonts w:cs="Times New Roman"/>
          <w:lang w:val="en-AU"/>
        </w:rPr>
        <w:t xml:space="preserve"> </w:t>
      </w:r>
      <w:r w:rsidR="00115AC9" w:rsidRPr="00F71B40">
        <w:rPr>
          <w:rFonts w:cs="Times New Roman"/>
          <w:lang w:val="en-AU"/>
        </w:rPr>
        <w:fldChar w:fldCharType="begin"/>
      </w:r>
      <w:r w:rsidR="00115AC9" w:rsidRPr="00F71B40">
        <w:rPr>
          <w:rFonts w:cs="Times New Roman"/>
          <w:lang w:val="en-AU"/>
        </w:rPr>
        <w:instrText xml:space="preserve"> ADDIN EN.CITE &lt;EndNote&gt;&lt;Cite&gt;&lt;Author&gt;Andrews&lt;/Author&gt;&lt;Year&gt;2014&lt;/Year&gt;&lt;RecNum&gt;4225&lt;/RecNum&gt;&lt;DisplayText&gt;(Andrews, 2014)&lt;/DisplayText&gt;&lt;record&gt;&lt;rec-number&gt;4225&lt;/rec-number&gt;&lt;foreign-keys&gt;&lt;key app="EN" db-id="5v9z5rrdszvwsneef06v9dapsd0apdtfapdx" timestamp="1407863224"&gt;4225&lt;/key&gt;&lt;/foreign-keys&gt;&lt;ref-type name="Report"&gt;27&lt;/ref-type&gt;&lt;contributors&gt;&lt;authors&gt;&lt;author&gt;Matt Andrews&lt;/author&gt;&lt;/authors&gt;&lt;/contributors&gt;&lt;titles&gt;&lt;title&gt;Why distributed end users often limit public financial management reform success&lt;/title&gt;&lt;/titles&gt;&lt;dates&gt;&lt;year&gt;2014&lt;/year&gt;&lt;/dates&gt;&lt;pub-location&gt;Cambridge, Mass.&lt;/pub-location&gt;&lt;publisher&gt;Center for International Development at Harvard University&lt;/publisher&gt;&lt;urls&gt;&lt;/urls&gt;&lt;/record&gt;&lt;/Cite&gt;&lt;/EndNote&gt;</w:instrText>
      </w:r>
      <w:r w:rsidR="00115AC9" w:rsidRPr="00F71B40">
        <w:rPr>
          <w:rFonts w:cs="Times New Roman"/>
          <w:lang w:val="en-AU"/>
        </w:rPr>
        <w:fldChar w:fldCharType="separate"/>
      </w:r>
      <w:r w:rsidR="00115AC9" w:rsidRPr="00F71B40">
        <w:rPr>
          <w:rFonts w:cs="Times New Roman"/>
          <w:lang w:val="en-AU"/>
        </w:rPr>
        <w:t>(</w:t>
      </w:r>
      <w:hyperlink w:anchor="_ENREF_6" w:tooltip="Andrews, 2014 #4225" w:history="1">
        <w:r w:rsidR="00CC56DB" w:rsidRPr="00F71B40">
          <w:rPr>
            <w:rFonts w:cs="Times New Roman"/>
            <w:lang w:val="en-AU"/>
          </w:rPr>
          <w:t>Andrews, 2014</w:t>
        </w:r>
      </w:hyperlink>
      <w:r w:rsidR="00115AC9" w:rsidRPr="00F71B40">
        <w:rPr>
          <w:rFonts w:cs="Times New Roman"/>
          <w:lang w:val="en-AU"/>
        </w:rPr>
        <w:t>)</w:t>
      </w:r>
      <w:r w:rsidR="00115AC9" w:rsidRPr="00F71B40">
        <w:rPr>
          <w:rFonts w:cs="Times New Roman"/>
          <w:lang w:val="en-AU"/>
        </w:rPr>
        <w:fldChar w:fldCharType="end"/>
      </w:r>
      <w:r w:rsidR="00835A57" w:rsidRPr="00F71B40">
        <w:rPr>
          <w:rFonts w:cs="Times New Roman"/>
          <w:lang w:val="en-AU"/>
        </w:rPr>
        <w:t>,</w:t>
      </w:r>
      <w:r w:rsidR="00AF3E41" w:rsidRPr="00F71B40">
        <w:rPr>
          <w:rFonts w:cs="Times New Roman"/>
          <w:lang w:val="en-AU"/>
        </w:rPr>
        <w:t xml:space="preserve"> referring to</w:t>
      </w:r>
      <w:r w:rsidR="00835A57" w:rsidRPr="00F71B40">
        <w:rPr>
          <w:rFonts w:cs="Times New Roman"/>
          <w:lang w:val="en-AU"/>
        </w:rPr>
        <w:t xml:space="preserve"> the staff who work in the central departments (like budget, treasury)</w:t>
      </w:r>
      <w:r w:rsidR="00A5346E" w:rsidRPr="00F71B40">
        <w:rPr>
          <w:rFonts w:cs="Times New Roman"/>
          <w:lang w:val="en-AU"/>
        </w:rPr>
        <w:t>?</w:t>
      </w:r>
      <w:r w:rsidR="00835A57" w:rsidRPr="00F71B40">
        <w:rPr>
          <w:rFonts w:cs="Times New Roman"/>
          <w:lang w:val="en-AU"/>
        </w:rPr>
        <w:t xml:space="preserve">  </w:t>
      </w:r>
      <w:r w:rsidR="0050329C" w:rsidRPr="00F71B40">
        <w:rPr>
          <w:lang w:val="en-AU"/>
        </w:rPr>
        <w:t xml:space="preserve">“The Economic Reform Unit is providing a local capacity for policy analysis across the breadth of government, although this has been based on unsustainably large Australian advisor inputs…  </w:t>
      </w:r>
      <w:r w:rsidR="0050329C" w:rsidRPr="00F71B40">
        <w:rPr>
          <w:i/>
          <w:lang w:val="en-AU"/>
        </w:rPr>
        <w:t>sustainability</w:t>
      </w:r>
      <w:r w:rsidR="0050329C" w:rsidRPr="00F71B40">
        <w:rPr>
          <w:lang w:val="en-AU"/>
        </w:rPr>
        <w:t xml:space="preserve"> of gains after the program ends (is uncertain since)…  FEMSP's technical successes have been based on a very high ratio of international advisors to local staff, and achieving the right transfer over time of operational and development work from advisors to local staff has been more problematic.” </w:t>
      </w:r>
      <w:r w:rsidR="00115AC9" w:rsidRPr="00F71B40">
        <w:rPr>
          <w:lang w:val="en-AU"/>
        </w:rPr>
        <w:fldChar w:fldCharType="begin"/>
      </w:r>
      <w:r w:rsidR="00115AC9" w:rsidRPr="00F71B40">
        <w:rPr>
          <w:lang w:val="en-AU"/>
        </w:rPr>
        <w:instrText xml:space="preserve"> ADDIN EN.CITE &lt;EndNote&gt;&lt;Cite&gt;&lt;Author&gt;Dixon&lt;/Author&gt;&lt;Year&gt;2012&lt;/Year&gt;&lt;RecNum&gt;4331&lt;/RecNum&gt;&lt;Suffix&gt;`, p.13&lt;/Suffix&gt;&lt;DisplayText&gt;(Dixon et al., 2012, p.13)&lt;/DisplayText&gt;&lt;record&gt;&lt;rec-number&gt;4331&lt;/rec-number&gt;&lt;foreign-keys&gt;&lt;key app="EN" db-id="5v9z5rrdszvwsneef06v9dapsd0apdtfapdx" timestamp="1408738818"&gt;4331&lt;/key&gt;&lt;/foreign-keys&gt;&lt;ref-type name="Book Section"&gt;5&lt;/ref-type&gt;&lt;contributors&gt;&lt;authors&gt;&lt;author&gt;Geoff Dixon&lt;/author&gt;&lt;author&gt;Michael Anderson&lt;/author&gt;&lt;author&gt;Peter Deacon&lt;/author&gt;&lt;author&gt;Merrylyn Kodoleke&lt;/author&gt;&lt;author&gt;Mike Loudon&lt;/author&gt;&lt;/authors&gt;&lt;/contributors&gt;&lt;titles&gt;&lt;title&gt;FINANCIAL AND ECONOMIC MANAGEMENT SUPPORT PROGRAM (FEMSP) Mid term review&lt;/title&gt;&lt;/titles&gt;&lt;dates&gt;&lt;year&gt;2012&lt;/year&gt;&lt;/dates&gt;&lt;pub-location&gt;Canberra&lt;/pub-location&gt;&lt;publisher&gt;RAMSI&lt;/publisher&gt;&lt;urls&gt;&lt;/urls&gt;&lt;/record&gt;&lt;/Cite&gt;&lt;/EndNote&gt;</w:instrText>
      </w:r>
      <w:r w:rsidR="00115AC9" w:rsidRPr="00F71B40">
        <w:rPr>
          <w:lang w:val="en-AU"/>
        </w:rPr>
        <w:fldChar w:fldCharType="separate"/>
      </w:r>
      <w:r w:rsidR="00115AC9" w:rsidRPr="00F71B40">
        <w:rPr>
          <w:lang w:val="en-AU"/>
        </w:rPr>
        <w:t>(</w:t>
      </w:r>
      <w:hyperlink w:anchor="_ENREF_56" w:tooltip="Dixon, 2012 #4331" w:history="1">
        <w:r w:rsidR="00CC56DB" w:rsidRPr="00F71B40">
          <w:rPr>
            <w:lang w:val="en-AU"/>
          </w:rPr>
          <w:t>Dixon et al., 2012, p.13</w:t>
        </w:r>
      </w:hyperlink>
      <w:r w:rsidR="00115AC9" w:rsidRPr="00F71B40">
        <w:rPr>
          <w:lang w:val="en-AU"/>
        </w:rPr>
        <w:t>)</w:t>
      </w:r>
      <w:r w:rsidR="00115AC9" w:rsidRPr="00F71B40">
        <w:rPr>
          <w:lang w:val="en-AU"/>
        </w:rPr>
        <w:fldChar w:fldCharType="end"/>
      </w:r>
    </w:p>
    <w:p w:rsidR="0050329C" w:rsidRPr="00F71B40" w:rsidRDefault="0050329C" w:rsidP="00D62A32">
      <w:pPr>
        <w:rPr>
          <w:lang w:val="en-AU"/>
        </w:rPr>
      </w:pPr>
    </w:p>
    <w:p w:rsidR="00C902F4" w:rsidRPr="00F71B40" w:rsidRDefault="00C902F4" w:rsidP="00D62A32">
      <w:pPr>
        <w:autoSpaceDE w:val="0"/>
        <w:autoSpaceDN w:val="0"/>
        <w:adjustRightInd w:val="0"/>
        <w:rPr>
          <w:rFonts w:cs="Times New Roman"/>
          <w:lang w:val="en-AU"/>
        </w:rPr>
      </w:pPr>
      <w:r w:rsidRPr="00F71B40">
        <w:rPr>
          <w:rFonts w:cs="Times New Roman"/>
          <w:lang w:val="en-AU"/>
        </w:rPr>
        <w:t xml:space="preserve">The other debate concerns the degree to which these reforms have had a </w:t>
      </w:r>
      <w:r w:rsidR="008C6274" w:rsidRPr="00F71B40">
        <w:rPr>
          <w:rFonts w:cs="Times New Roman"/>
          <w:lang w:val="en-AU"/>
        </w:rPr>
        <w:t>vis</w:t>
      </w:r>
      <w:r w:rsidR="00572B3F" w:rsidRPr="00F71B40">
        <w:rPr>
          <w:rFonts w:cs="Times New Roman"/>
          <w:lang w:val="en-AU"/>
        </w:rPr>
        <w:t>i</w:t>
      </w:r>
      <w:r w:rsidR="008C6274" w:rsidRPr="00F71B40">
        <w:rPr>
          <w:rFonts w:cs="Times New Roman"/>
          <w:lang w:val="en-AU"/>
        </w:rPr>
        <w:t xml:space="preserve">ble </w:t>
      </w:r>
      <w:r w:rsidRPr="00F71B40">
        <w:rPr>
          <w:rFonts w:cs="Times New Roman"/>
          <w:lang w:val="en-AU"/>
        </w:rPr>
        <w:t>downstream impact on public sector functioning in the spending ministries</w:t>
      </w:r>
      <w:r w:rsidR="005700AE">
        <w:rPr>
          <w:rFonts w:cs="Times New Roman"/>
          <w:lang w:val="en-AU"/>
        </w:rPr>
        <w:t xml:space="preserve">; </w:t>
      </w:r>
      <w:r w:rsidR="00704FFF" w:rsidRPr="00F71B40">
        <w:rPr>
          <w:rFonts w:cs="Times New Roman"/>
          <w:lang w:val="en-AU"/>
        </w:rPr>
        <w:t>should RAMSI have led to significant improvements in servi</w:t>
      </w:r>
      <w:r w:rsidR="00A5346E" w:rsidRPr="00F71B40">
        <w:rPr>
          <w:rFonts w:cs="Times New Roman"/>
          <w:lang w:val="en-AU"/>
        </w:rPr>
        <w:t>c</w:t>
      </w:r>
      <w:r w:rsidR="00704FFF" w:rsidRPr="00F71B40">
        <w:rPr>
          <w:rFonts w:cs="Times New Roman"/>
          <w:lang w:val="en-AU"/>
        </w:rPr>
        <w:t xml:space="preserve">e delivery, or </w:t>
      </w:r>
      <w:r w:rsidR="00A5346E" w:rsidRPr="00F71B40">
        <w:rPr>
          <w:rFonts w:cs="Times New Roman"/>
          <w:lang w:val="en-AU"/>
        </w:rPr>
        <w:t>was the strengthening of institutions with the promise of i</w:t>
      </w:r>
      <w:r w:rsidR="00875693" w:rsidRPr="00F71B40">
        <w:rPr>
          <w:rFonts w:cs="Times New Roman"/>
          <w:lang w:val="en-AU"/>
        </w:rPr>
        <w:t>m</w:t>
      </w:r>
      <w:r w:rsidR="00A5346E" w:rsidRPr="00F71B40">
        <w:rPr>
          <w:rFonts w:cs="Times New Roman"/>
          <w:lang w:val="en-AU"/>
        </w:rPr>
        <w:t>proved services later</w:t>
      </w:r>
      <w:r w:rsidR="00875693" w:rsidRPr="00F71B40">
        <w:rPr>
          <w:rFonts w:cs="Times New Roman"/>
          <w:lang w:val="en-AU"/>
        </w:rPr>
        <w:t xml:space="preserve"> a reasonable achievement? </w:t>
      </w:r>
      <w:r w:rsidRPr="00F71B40">
        <w:rPr>
          <w:rFonts w:cs="Times New Roman"/>
          <w:lang w:val="en-AU"/>
        </w:rPr>
        <w:t xml:space="preserve"> The most recent </w:t>
      </w:r>
      <w:r w:rsidR="00883BB9" w:rsidRPr="00F71B40">
        <w:rPr>
          <w:lang w:val="en-AU"/>
        </w:rPr>
        <w:t>Public Expenditure and Financial Accountability (PEFA)</w:t>
      </w:r>
      <w:r w:rsidR="00883BB9" w:rsidRPr="00F71B40">
        <w:rPr>
          <w:vertAlign w:val="superscript"/>
          <w:lang w:val="en-AU"/>
        </w:rPr>
        <w:footnoteReference w:id="3"/>
      </w:r>
      <w:r w:rsidR="00883BB9" w:rsidRPr="00F71B40">
        <w:rPr>
          <w:lang w:val="en-AU"/>
        </w:rPr>
        <w:t xml:space="preserve"> </w:t>
      </w:r>
      <w:r w:rsidRPr="00F71B40">
        <w:rPr>
          <w:rFonts w:cs="Times New Roman"/>
          <w:lang w:val="en-AU"/>
        </w:rPr>
        <w:t xml:space="preserve">update </w:t>
      </w:r>
      <w:r w:rsidR="00115AC9" w:rsidRPr="00F71B40">
        <w:rPr>
          <w:rFonts w:cs="Times New Roman"/>
          <w:lang w:val="en-AU"/>
        </w:rPr>
        <w:fldChar w:fldCharType="begin"/>
      </w:r>
      <w:r w:rsidR="00115AC9" w:rsidRPr="00F71B40">
        <w:rPr>
          <w:rFonts w:cs="Times New Roman"/>
          <w:lang w:val="en-AU"/>
        </w:rPr>
        <w:instrText xml:space="preserve"> ADDIN EN.CITE &lt;EndNote&gt;&lt;Cite&gt;&lt;Author&gt;Linpico&lt;/Author&gt;&lt;Year&gt;2012&lt;/Year&gt;&lt;RecNum&gt;4323&lt;/RecNum&gt;&lt;DisplayText&gt;(Linpico, 2012)&lt;/DisplayText&gt;&lt;record&gt;&lt;rec-number&gt;4323&lt;/rec-number&gt;&lt;foreign-keys&gt;&lt;key app="EN" db-id="5v9z5rrdszvwsneef06v9dapsd0apdtfapdx" timestamp="1408734635"&gt;4323&lt;/key&gt;&lt;/foreign-keys&gt;&lt;ref-type name="Report"&gt;27&lt;/ref-type&gt;&lt;contributors&gt;&lt;authors&gt;&lt;author&gt;Linpico&lt;/author&gt;&lt;/authors&gt;&lt;/contributors&gt;&lt;titles&gt;&lt;title&gt;Government of the Solomon Islands Public Expenditure and Financial Accountability (PEFA) Assessment: Final Report&lt;/title&gt;&lt;/titles&gt;&lt;dates&gt;&lt;year&gt;2012&lt;/year&gt;&lt;/dates&gt;&lt;pub-location&gt;Washington DC&lt;/pub-location&gt;&lt;publisher&gt;World Bank&lt;/publisher&gt;&lt;urls&gt;&lt;/urls&gt;&lt;/record&gt;&lt;/Cite&gt;&lt;/EndNote&gt;</w:instrText>
      </w:r>
      <w:r w:rsidR="00115AC9" w:rsidRPr="00F71B40">
        <w:rPr>
          <w:rFonts w:cs="Times New Roman"/>
          <w:lang w:val="en-AU"/>
        </w:rPr>
        <w:fldChar w:fldCharType="separate"/>
      </w:r>
      <w:r w:rsidR="00115AC9" w:rsidRPr="00F71B40">
        <w:rPr>
          <w:rFonts w:cs="Times New Roman"/>
          <w:lang w:val="en-AU"/>
        </w:rPr>
        <w:t>(</w:t>
      </w:r>
      <w:hyperlink w:anchor="_ENREF_94" w:tooltip="Linpico, 2012 #4323" w:history="1">
        <w:r w:rsidR="00CC56DB" w:rsidRPr="00F71B40">
          <w:rPr>
            <w:rFonts w:cs="Times New Roman"/>
            <w:lang w:val="en-AU"/>
          </w:rPr>
          <w:t>Linpico, 2012</w:t>
        </w:r>
      </w:hyperlink>
      <w:r w:rsidR="00115AC9" w:rsidRPr="00F71B40">
        <w:rPr>
          <w:rFonts w:cs="Times New Roman"/>
          <w:lang w:val="en-AU"/>
        </w:rPr>
        <w:t>)</w:t>
      </w:r>
      <w:r w:rsidR="00115AC9" w:rsidRPr="00F71B40">
        <w:rPr>
          <w:rFonts w:cs="Times New Roman"/>
          <w:lang w:val="en-AU"/>
        </w:rPr>
        <w:fldChar w:fldCharType="end"/>
      </w:r>
      <w:r w:rsidRPr="00F71B40">
        <w:rPr>
          <w:rFonts w:cs="Times New Roman"/>
          <w:lang w:val="en-AU"/>
        </w:rPr>
        <w:t xml:space="preserve"> compared the state of public expenditure management in 2012 with that in 2008 and showed some positive movements</w:t>
      </w:r>
      <w:r w:rsidR="00A52986" w:rsidRPr="00F71B40">
        <w:rPr>
          <w:rFonts w:cs="Times New Roman"/>
          <w:lang w:val="en-AU"/>
        </w:rPr>
        <w:t xml:space="preserve">.  However, </w:t>
      </w:r>
      <w:r w:rsidRPr="00F71B40">
        <w:rPr>
          <w:rFonts w:cs="Times New Roman"/>
          <w:lang w:val="en-AU"/>
        </w:rPr>
        <w:t>there was a strong theme of improvi</w:t>
      </w:r>
      <w:r w:rsidR="00572B3F" w:rsidRPr="00F71B40">
        <w:rPr>
          <w:rFonts w:cs="Times New Roman"/>
          <w:lang w:val="en-AU"/>
        </w:rPr>
        <w:t>ng formal processes at the cent</w:t>
      </w:r>
      <w:r w:rsidRPr="00F71B40">
        <w:rPr>
          <w:rFonts w:cs="Times New Roman"/>
          <w:lang w:val="en-AU"/>
        </w:rPr>
        <w:t>r</w:t>
      </w:r>
      <w:r w:rsidR="00572B3F" w:rsidRPr="00F71B40">
        <w:rPr>
          <w:rFonts w:cs="Times New Roman"/>
          <w:lang w:val="en-AU"/>
        </w:rPr>
        <w:t>e</w:t>
      </w:r>
      <w:r w:rsidRPr="00F71B40">
        <w:rPr>
          <w:rFonts w:cs="Times New Roman"/>
          <w:lang w:val="en-AU"/>
        </w:rPr>
        <w:t xml:space="preserve"> with less impact on actual behavio</w:t>
      </w:r>
      <w:r w:rsidR="00572B3F" w:rsidRPr="00F71B40">
        <w:rPr>
          <w:rFonts w:cs="Times New Roman"/>
          <w:lang w:val="en-AU"/>
        </w:rPr>
        <w:t>u</w:t>
      </w:r>
      <w:r w:rsidRPr="00F71B40">
        <w:rPr>
          <w:rFonts w:cs="Times New Roman"/>
          <w:lang w:val="en-AU"/>
        </w:rPr>
        <w:t>rs in the line departments.</w:t>
      </w:r>
      <w:r w:rsidR="00AC5C3B" w:rsidRPr="00F71B40">
        <w:rPr>
          <w:rFonts w:cs="Times New Roman"/>
          <w:lang w:val="en-AU"/>
        </w:rPr>
        <w:t xml:space="preserve">  Thus it noted that: t</w:t>
      </w:r>
      <w:r w:rsidRPr="00F71B40">
        <w:rPr>
          <w:rFonts w:cs="Times New Roman"/>
          <w:lang w:val="en-AU"/>
        </w:rPr>
        <w:t>he comprehensiveness and transparency of the Government’s Budget Papers has strengthened</w:t>
      </w:r>
      <w:r w:rsidR="00AC5C3B" w:rsidRPr="00F71B40">
        <w:rPr>
          <w:rFonts w:cs="Times New Roman"/>
          <w:lang w:val="en-AU"/>
        </w:rPr>
        <w:t xml:space="preserve"> </w:t>
      </w:r>
      <w:r w:rsidRPr="00F71B40">
        <w:rPr>
          <w:rFonts w:cs="Times New Roman"/>
          <w:lang w:val="en-AU"/>
        </w:rPr>
        <w:t>since the 2008 PEFA report</w:t>
      </w:r>
      <w:r w:rsidR="00AC5C3B" w:rsidRPr="00F71B40">
        <w:rPr>
          <w:rFonts w:cs="Times New Roman"/>
          <w:lang w:val="en-AU"/>
        </w:rPr>
        <w:t xml:space="preserve">; the </w:t>
      </w:r>
      <w:r w:rsidRPr="00F71B40">
        <w:rPr>
          <w:rFonts w:cs="Times New Roman"/>
          <w:lang w:val="en-AU"/>
        </w:rPr>
        <w:t>addition of a separate volume on the Budget Strategy</w:t>
      </w:r>
      <w:r w:rsidR="00AC5C3B" w:rsidRPr="00F71B40">
        <w:rPr>
          <w:rFonts w:cs="Times New Roman"/>
          <w:lang w:val="en-AU"/>
        </w:rPr>
        <w:t xml:space="preserve"> </w:t>
      </w:r>
      <w:r w:rsidRPr="00F71B40">
        <w:rPr>
          <w:rFonts w:cs="Times New Roman"/>
          <w:lang w:val="en-AU"/>
        </w:rPr>
        <w:t>and Outlook potentially helps members of the public who have access</w:t>
      </w:r>
      <w:r w:rsidR="00AC5C3B" w:rsidRPr="00F71B40">
        <w:rPr>
          <w:rFonts w:cs="Times New Roman"/>
          <w:lang w:val="en-AU"/>
        </w:rPr>
        <w:t xml:space="preserve"> </w:t>
      </w:r>
      <w:r w:rsidRPr="00F71B40">
        <w:rPr>
          <w:rFonts w:cs="Times New Roman"/>
          <w:lang w:val="en-AU"/>
        </w:rPr>
        <w:t xml:space="preserve">to it to strengthen their understanding of the Government’s fiscal strategy </w:t>
      </w:r>
      <w:r w:rsidR="00AC5C3B" w:rsidRPr="00F71B40">
        <w:rPr>
          <w:rFonts w:cs="Times New Roman"/>
          <w:lang w:val="en-AU"/>
        </w:rPr>
        <w:t xml:space="preserve">supported by </w:t>
      </w:r>
      <w:r w:rsidRPr="00F71B40">
        <w:rPr>
          <w:rFonts w:cs="Times New Roman"/>
          <w:lang w:val="en-AU"/>
        </w:rPr>
        <w:t>increased transparency of the</w:t>
      </w:r>
      <w:r w:rsidR="00AC5C3B" w:rsidRPr="00F71B40">
        <w:rPr>
          <w:rFonts w:cs="Times New Roman"/>
          <w:lang w:val="en-AU"/>
        </w:rPr>
        <w:t xml:space="preserve"> </w:t>
      </w:r>
      <w:r w:rsidRPr="00F71B40">
        <w:rPr>
          <w:rFonts w:cs="Times New Roman"/>
          <w:lang w:val="en-AU"/>
        </w:rPr>
        <w:t>budget classification</w:t>
      </w:r>
      <w:r w:rsidR="00AC5C3B" w:rsidRPr="00F71B40">
        <w:rPr>
          <w:rFonts w:cs="Times New Roman"/>
          <w:lang w:val="en-AU"/>
        </w:rPr>
        <w:t>; and t</w:t>
      </w:r>
      <w:r w:rsidRPr="00F71B40">
        <w:rPr>
          <w:rFonts w:cs="Times New Roman"/>
          <w:lang w:val="en-AU"/>
        </w:rPr>
        <w:t>he financial and performance audit reports of the Auditor-General are now publicly</w:t>
      </w:r>
      <w:r w:rsidR="00AC5C3B" w:rsidRPr="00F71B40">
        <w:rPr>
          <w:rFonts w:cs="Times New Roman"/>
          <w:lang w:val="en-AU"/>
        </w:rPr>
        <w:t xml:space="preserve"> </w:t>
      </w:r>
      <w:r w:rsidRPr="00F71B40">
        <w:rPr>
          <w:rFonts w:cs="Times New Roman"/>
          <w:lang w:val="en-AU"/>
        </w:rPr>
        <w:t>available</w:t>
      </w:r>
      <w:r w:rsidR="00AC5C3B" w:rsidRPr="00F71B40">
        <w:rPr>
          <w:rFonts w:cs="Times New Roman"/>
          <w:lang w:val="en-AU"/>
        </w:rPr>
        <w:t>.</w:t>
      </w:r>
      <w:r w:rsidR="00E256D6">
        <w:rPr>
          <w:rFonts w:cs="Times New Roman"/>
          <w:lang w:val="en-AU"/>
        </w:rPr>
        <w:t xml:space="preserve">  </w:t>
      </w:r>
      <w:r w:rsidR="00897D51" w:rsidRPr="00F71B40">
        <w:rPr>
          <w:rFonts w:cs="Times New Roman"/>
          <w:lang w:val="en-AU"/>
        </w:rPr>
        <w:t>However, it also noted that: u</w:t>
      </w:r>
      <w:r w:rsidRPr="00F71B40">
        <w:rPr>
          <w:rFonts w:cs="Times New Roman"/>
          <w:lang w:val="en-AU"/>
        </w:rPr>
        <w:t>nreported domestic Extra-Budgetary Operations (EBOs) in the form of Special Funds</w:t>
      </w:r>
      <w:r w:rsidR="00897D51" w:rsidRPr="00F71B40">
        <w:rPr>
          <w:rFonts w:cs="Times New Roman"/>
          <w:lang w:val="en-AU"/>
        </w:rPr>
        <w:t xml:space="preserve"> </w:t>
      </w:r>
      <w:r w:rsidRPr="00F71B40">
        <w:rPr>
          <w:rFonts w:cs="Times New Roman"/>
          <w:lang w:val="en-AU"/>
        </w:rPr>
        <w:t xml:space="preserve">still pose </w:t>
      </w:r>
      <w:r w:rsidR="00897D51" w:rsidRPr="00F71B40">
        <w:rPr>
          <w:rFonts w:cs="Times New Roman"/>
          <w:lang w:val="en-AU"/>
        </w:rPr>
        <w:t xml:space="preserve">problems; </w:t>
      </w:r>
      <w:r w:rsidRPr="00F71B40">
        <w:rPr>
          <w:rFonts w:cs="Times New Roman"/>
          <w:lang w:val="en-AU"/>
        </w:rPr>
        <w:t>sector strategies</w:t>
      </w:r>
      <w:r w:rsidR="00897D51" w:rsidRPr="00F71B40">
        <w:rPr>
          <w:rFonts w:cs="Times New Roman"/>
          <w:lang w:val="en-AU"/>
        </w:rPr>
        <w:t xml:space="preserve"> </w:t>
      </w:r>
      <w:r w:rsidRPr="00F71B40">
        <w:rPr>
          <w:rFonts w:cs="Times New Roman"/>
          <w:lang w:val="en-AU"/>
        </w:rPr>
        <w:t>are lacking in</w:t>
      </w:r>
      <w:r w:rsidR="00897D51" w:rsidRPr="00F71B40">
        <w:rPr>
          <w:rFonts w:cs="Times New Roman"/>
          <w:lang w:val="en-AU"/>
        </w:rPr>
        <w:t xml:space="preserve"> </w:t>
      </w:r>
      <w:r w:rsidRPr="00F71B40">
        <w:rPr>
          <w:rFonts w:cs="Times New Roman"/>
          <w:lang w:val="en-AU"/>
        </w:rPr>
        <w:t>fiscal realism</w:t>
      </w:r>
      <w:r w:rsidR="00897D51" w:rsidRPr="00F71B40">
        <w:rPr>
          <w:rFonts w:cs="Times New Roman"/>
          <w:lang w:val="en-AU"/>
        </w:rPr>
        <w:t xml:space="preserve">; </w:t>
      </w:r>
      <w:r w:rsidRPr="00F71B40">
        <w:rPr>
          <w:rFonts w:cs="Times New Roman"/>
          <w:lang w:val="en-AU"/>
        </w:rPr>
        <w:t xml:space="preserve">the </w:t>
      </w:r>
      <w:r w:rsidR="00866B58">
        <w:rPr>
          <w:rFonts w:cs="Times New Roman"/>
          <w:lang w:val="en-AU"/>
        </w:rPr>
        <w:t>identification of</w:t>
      </w:r>
      <w:r w:rsidRPr="00F71B40">
        <w:rPr>
          <w:rFonts w:cs="Times New Roman"/>
          <w:lang w:val="en-AU"/>
        </w:rPr>
        <w:t xml:space="preserve"> the recurrent cost implications of capital investments remains weak, limiting the</w:t>
      </w:r>
      <w:r w:rsidR="00897D51" w:rsidRPr="00F71B40">
        <w:rPr>
          <w:rFonts w:cs="Times New Roman"/>
          <w:lang w:val="en-AU"/>
        </w:rPr>
        <w:t xml:space="preserve"> </w:t>
      </w:r>
      <w:r w:rsidRPr="00F71B40">
        <w:rPr>
          <w:rFonts w:cs="Times New Roman"/>
          <w:lang w:val="en-AU"/>
        </w:rPr>
        <w:t>meaningfulness of a medium term perspective to budgeting</w:t>
      </w:r>
      <w:r w:rsidR="0025256A" w:rsidRPr="00F71B40">
        <w:rPr>
          <w:rFonts w:cs="Times New Roman"/>
          <w:lang w:val="en-AU"/>
        </w:rPr>
        <w:t xml:space="preserve">; and at the level of </w:t>
      </w:r>
      <w:r w:rsidR="00897D51" w:rsidRPr="00F71B40">
        <w:rPr>
          <w:rFonts w:cs="Times New Roman"/>
          <w:lang w:val="en-AU"/>
        </w:rPr>
        <w:t xml:space="preserve">individual line ministries, credibility of the budget was </w:t>
      </w:r>
      <w:r w:rsidR="0025256A" w:rsidRPr="00F71B40">
        <w:rPr>
          <w:rFonts w:cs="Times New Roman"/>
          <w:lang w:val="en-AU"/>
        </w:rPr>
        <w:t xml:space="preserve">poor </w:t>
      </w:r>
      <w:r w:rsidR="00897D51" w:rsidRPr="00F71B40">
        <w:rPr>
          <w:rFonts w:cs="Times New Roman"/>
          <w:lang w:val="en-AU"/>
        </w:rPr>
        <w:t>with most line ministries receiving fewer financial resources than budgeted for, despite revenues exceeding estimates in two of</w:t>
      </w:r>
      <w:r w:rsidR="0025256A" w:rsidRPr="00F71B40">
        <w:rPr>
          <w:rFonts w:cs="Times New Roman"/>
          <w:lang w:val="en-AU"/>
        </w:rPr>
        <w:t xml:space="preserve"> the three years under review.  </w:t>
      </w:r>
      <w:r w:rsidRPr="00F71B40">
        <w:rPr>
          <w:rFonts w:cs="Times New Roman"/>
          <w:lang w:val="en-AU"/>
        </w:rPr>
        <w:t>Provincial budge</w:t>
      </w:r>
      <w:r w:rsidR="0025256A" w:rsidRPr="00F71B40">
        <w:rPr>
          <w:rFonts w:cs="Times New Roman"/>
          <w:lang w:val="en-AU"/>
        </w:rPr>
        <w:t>ting remains in very poor shape with some 50% of the divisions in Is</w:t>
      </w:r>
      <w:r w:rsidR="006F7E9B" w:rsidRPr="00F71B40">
        <w:rPr>
          <w:rFonts w:cs="Times New Roman"/>
          <w:lang w:val="en-AU"/>
        </w:rPr>
        <w:t>a</w:t>
      </w:r>
      <w:r w:rsidR="0025256A" w:rsidRPr="00F71B40">
        <w:rPr>
          <w:rFonts w:cs="Times New Roman"/>
          <w:lang w:val="en-AU"/>
        </w:rPr>
        <w:t xml:space="preserve">bel and 60% of the divisions in Makira showing a variation of more than 25% between budgeted and actual expenditures </w:t>
      </w:r>
      <w:r w:rsidR="00115AC9" w:rsidRPr="00F71B40">
        <w:rPr>
          <w:rFonts w:cs="Times New Roman"/>
          <w:lang w:val="en-AU"/>
        </w:rPr>
        <w:fldChar w:fldCharType="begin"/>
      </w:r>
      <w:r w:rsidR="00885D57">
        <w:rPr>
          <w:rFonts w:cs="Times New Roman"/>
          <w:lang w:val="en-AU"/>
        </w:rPr>
        <w:instrText xml:space="preserve"> ADDIN EN.CITE &lt;EndNote&gt;&lt;Cite&gt;&lt;Author&gt;World Bank&lt;/Author&gt;&lt;Year&gt;2014&lt;/Year&gt;&lt;RecNum&gt;4345&lt;/RecNum&gt;&lt;DisplayText&gt;(World Bank, 2014b)&lt;/DisplayText&gt;&lt;record&gt;&lt;rec-number&gt;4345&lt;/rec-number&gt;&lt;foreign-keys&gt;&lt;key app="EN" db-id="5v9z5rrdszvwsneef06v9dapsd0apdtfapdx" timestamp="1408822591"&gt;4345&lt;/key&gt;&lt;/foreign-keys&gt;&lt;ref-type name="Report"&gt;27&lt;/ref-type&gt;&lt;contributors&gt;&lt;authors&gt;&lt;author&gt;World Bank,&lt;/author&gt;&lt;/authors&gt;&lt;/contributors&gt;&lt;titles&gt;&lt;title&gt; Provincial Financing Assessment: Community Officer Project&lt;/title&gt;&lt;/titles&gt;&lt;dates&gt;&lt;year&gt;2014&lt;/year&gt;&lt;/dates&gt;&lt;pub-location&gt;Honiara, Solomon Islands&lt;/pub-location&gt;&lt;publisher&gt;World Bank &lt;/publisher&gt;&lt;urls&gt;&lt;/urls&gt;&lt;/record&gt;&lt;/Cite&gt;&lt;/EndNote&gt;</w:instrText>
      </w:r>
      <w:r w:rsidR="00115AC9" w:rsidRPr="00F71B40">
        <w:rPr>
          <w:rFonts w:cs="Times New Roman"/>
          <w:lang w:val="en-AU"/>
        </w:rPr>
        <w:fldChar w:fldCharType="separate"/>
      </w:r>
      <w:r w:rsidR="00885D57">
        <w:rPr>
          <w:rFonts w:cs="Times New Roman"/>
          <w:noProof/>
          <w:lang w:val="en-AU"/>
        </w:rPr>
        <w:t>(</w:t>
      </w:r>
      <w:hyperlink w:anchor="_ENREF_153" w:tooltip="World Bank, 2014 #4345" w:history="1">
        <w:r w:rsidR="00CC56DB">
          <w:rPr>
            <w:rFonts w:cs="Times New Roman"/>
            <w:noProof/>
            <w:lang w:val="en-AU"/>
          </w:rPr>
          <w:t>World Bank, 2014b</w:t>
        </w:r>
      </w:hyperlink>
      <w:r w:rsidR="00885D57">
        <w:rPr>
          <w:rFonts w:cs="Times New Roman"/>
          <w:noProof/>
          <w:lang w:val="en-AU"/>
        </w:rPr>
        <w:t>)</w:t>
      </w:r>
      <w:r w:rsidR="00115AC9" w:rsidRPr="00F71B40">
        <w:rPr>
          <w:rFonts w:cs="Times New Roman"/>
          <w:lang w:val="en-AU"/>
        </w:rPr>
        <w:fldChar w:fldCharType="end"/>
      </w:r>
      <w:r w:rsidR="0025256A" w:rsidRPr="00F71B40">
        <w:rPr>
          <w:rFonts w:cs="Times New Roman"/>
          <w:lang w:val="en-AU"/>
        </w:rPr>
        <w:t>.</w:t>
      </w:r>
      <w:r w:rsidRPr="00F71B40">
        <w:rPr>
          <w:rFonts w:cs="Times New Roman"/>
          <w:lang w:val="en-AU"/>
        </w:rPr>
        <w:t xml:space="preserve"> </w:t>
      </w:r>
      <w:r w:rsidR="00173020" w:rsidRPr="00F71B40">
        <w:rPr>
          <w:lang w:val="en-AU"/>
        </w:rPr>
        <w:t>Other observers note that the program</w:t>
      </w:r>
      <w:r w:rsidR="00173020" w:rsidRPr="00F71B40">
        <w:rPr>
          <w:rFonts w:cs="Times New Roman"/>
          <w:lang w:val="en-AU"/>
        </w:rPr>
        <w:t xml:space="preserve"> “has been much less influential as regards controls on government expenditure and public procurement.” </w:t>
      </w:r>
      <w:r w:rsidR="00115AC9" w:rsidRPr="00F71B40">
        <w:rPr>
          <w:rFonts w:cs="Times New Roman"/>
          <w:lang w:val="en-AU"/>
        </w:rPr>
        <w:fldChar w:fldCharType="begin"/>
      </w:r>
      <w:r w:rsidR="00115AC9" w:rsidRPr="00F71B40">
        <w:rPr>
          <w:rFonts w:cs="Times New Roman"/>
          <w:lang w:val="en-AU"/>
        </w:rPr>
        <w:instrText xml:space="preserve"> ADDIN EN.CITE &lt;EndNote&gt;&lt;Cite&gt;&lt;Author&gt;Fraenkel&lt;/Author&gt;&lt;Year&gt;2014&lt;/Year&gt;&lt;RecNum&gt;4304&lt;/RecNum&gt;&lt;Suffix&gt;`, p.64&lt;/Suffix&gt;&lt;DisplayText&gt;(Fraenkel et al., 2014, p.64)&lt;/DisplayText&gt;&lt;record&gt;&lt;rec-number&gt;4304&lt;/rec-number&gt;&lt;foreign-keys&gt;&lt;key app="EN" db-id="5v9z5rrdszvwsneef06v9dapsd0apdtfapdx" timestamp="1408645993"&gt;4304&lt;/key&gt;&lt;/foreign-keys&gt;&lt;ref-type name="Report"&gt;27&lt;/ref-type&gt;&lt;contributors&gt;&lt;authors&gt;&lt;author&gt;Jon Fraenkel&lt;/author&gt;&lt;author&gt;Joni Madraiwiwi&lt;/author&gt;&lt;author&gt;Henry Okole&lt;/author&gt;&lt;/authors&gt;&lt;/contributors&gt;&lt;titles&gt;&lt;title&gt;The RAMSI Decade: A Review of the Regional Assistance Mission to Solomon Islands, 2003-</w:instrText>
      </w:r>
      <w:r w:rsidR="00115AC9" w:rsidRPr="00F71B40">
        <w:rPr>
          <w:rFonts w:ascii="Cambria Math" w:hAnsi="Cambria Math" w:cs="Cambria Math"/>
          <w:lang w:val="en-AU"/>
        </w:rPr>
        <w:instrText>‐</w:instrText>
      </w:r>
      <w:r w:rsidR="00115AC9" w:rsidRPr="00F71B40">
        <w:rPr>
          <w:rFonts w:cs="Times New Roman"/>
          <w:lang w:val="en-AU"/>
        </w:rPr>
        <w:instrText>2013&lt;/title&gt;&lt;/titles&gt;&lt;dates&gt;&lt;year&gt;2014&lt;/year&gt;&lt;/dates&gt;&lt;pub-location&gt;Honiara, Solomon Islands&lt;/pub-location&gt;&lt;publisher&gt;Solomon Islands Government and the Pacific Islands Forum&lt;/publisher&gt;&lt;urls&gt;&lt;/urls&gt;&lt;/record&gt;&lt;/Cite&gt;&lt;/EndNote&gt;</w:instrText>
      </w:r>
      <w:r w:rsidR="00115AC9" w:rsidRPr="00F71B40">
        <w:rPr>
          <w:rFonts w:cs="Times New Roman"/>
          <w:lang w:val="en-AU"/>
        </w:rPr>
        <w:fldChar w:fldCharType="separate"/>
      </w:r>
      <w:r w:rsidR="00115AC9" w:rsidRPr="00F71B40">
        <w:rPr>
          <w:rFonts w:cs="Times New Roman"/>
          <w:lang w:val="en-AU"/>
        </w:rPr>
        <w:t>(</w:t>
      </w:r>
      <w:hyperlink w:anchor="_ENREF_59" w:tooltip="Fraenkel, 2014 #4304" w:history="1">
        <w:r w:rsidR="00CC56DB" w:rsidRPr="00F71B40">
          <w:rPr>
            <w:rFonts w:cs="Times New Roman"/>
            <w:lang w:val="en-AU"/>
          </w:rPr>
          <w:t>Fraenkel et al., 2014, p.64</w:t>
        </w:r>
      </w:hyperlink>
      <w:r w:rsidR="00115AC9" w:rsidRPr="00F71B40">
        <w:rPr>
          <w:rFonts w:cs="Times New Roman"/>
          <w:lang w:val="en-AU"/>
        </w:rPr>
        <w:t>)</w:t>
      </w:r>
      <w:r w:rsidR="00115AC9" w:rsidRPr="00F71B40">
        <w:rPr>
          <w:rFonts w:cs="Times New Roman"/>
          <w:lang w:val="en-AU"/>
        </w:rPr>
        <w:fldChar w:fldCharType="end"/>
      </w:r>
      <w:r w:rsidR="00173020" w:rsidRPr="00F71B40">
        <w:rPr>
          <w:rFonts w:cs="Times New Roman"/>
          <w:lang w:val="en-AU"/>
        </w:rPr>
        <w:t xml:space="preserve">  </w:t>
      </w:r>
    </w:p>
    <w:p w:rsidR="00C902F4" w:rsidRPr="00F71B40" w:rsidRDefault="00C902F4" w:rsidP="00D62A32">
      <w:pPr>
        <w:rPr>
          <w:rFonts w:cs="Times New Roman"/>
          <w:lang w:val="en-AU"/>
        </w:rPr>
      </w:pPr>
    </w:p>
    <w:p w:rsidR="00173020" w:rsidRPr="00F71B40" w:rsidRDefault="00173020" w:rsidP="00D62A32">
      <w:pPr>
        <w:rPr>
          <w:lang w:val="en-AU"/>
        </w:rPr>
      </w:pPr>
      <w:r w:rsidRPr="00F71B40">
        <w:rPr>
          <w:lang w:val="en-AU"/>
        </w:rPr>
        <w:t>The r</w:t>
      </w:r>
      <w:r w:rsidR="00C558B8" w:rsidRPr="00F71B40">
        <w:rPr>
          <w:lang w:val="en-AU"/>
        </w:rPr>
        <w:t xml:space="preserve">esult </w:t>
      </w:r>
      <w:r w:rsidR="0015387F" w:rsidRPr="00F71B40">
        <w:rPr>
          <w:lang w:val="en-AU"/>
        </w:rPr>
        <w:t xml:space="preserve">is </w:t>
      </w:r>
      <w:r w:rsidR="00C558B8" w:rsidRPr="00F71B40">
        <w:rPr>
          <w:lang w:val="en-AU"/>
        </w:rPr>
        <w:t>some sc</w:t>
      </w:r>
      <w:r w:rsidRPr="00F71B40">
        <w:rPr>
          <w:lang w:val="en-AU"/>
        </w:rPr>
        <w:t>epticism about whether these changes at the cent</w:t>
      </w:r>
      <w:r w:rsidR="00C558B8" w:rsidRPr="00F71B40">
        <w:rPr>
          <w:lang w:val="en-AU"/>
        </w:rPr>
        <w:t>re</w:t>
      </w:r>
      <w:r w:rsidRPr="00F71B40">
        <w:rPr>
          <w:lang w:val="en-AU"/>
        </w:rPr>
        <w:t xml:space="preserve"> had led to improvements in results </w:t>
      </w:r>
      <w:r w:rsidR="00115AC9" w:rsidRPr="00F71B40">
        <w:rPr>
          <w:lang w:val="en-AU"/>
        </w:rPr>
        <w:fldChar w:fldCharType="begin"/>
      </w:r>
      <w:r w:rsidR="00115AC9" w:rsidRPr="00F71B40">
        <w:rPr>
          <w:lang w:val="en-AU"/>
        </w:rPr>
        <w:instrText xml:space="preserve"> ADDIN EN.CITE &lt;EndNote&gt;&lt;Cite&gt;&lt;Author&gt;Asian Development Bank&lt;/Author&gt;&lt;Year&gt;2014&lt;/Year&gt;&lt;RecNum&gt;4273&lt;/RecNum&gt;&lt;DisplayText&gt;(Asian Development Bank, 2014)&lt;/DisplayText&gt;&lt;record&gt;&lt;rec-number&gt;4273&lt;/rec-number&gt;&lt;foreign-keys&gt;&lt;key app="EN" db-id="5v9z5rrdszvwsneef06v9dapsd0apdtfapdx" timestamp="1408400313"&gt;4273&lt;/key&gt;&lt;/foreign-keys&gt;&lt;ref-type name="Book Section"&gt;5&lt;/ref-type&gt;&lt;contributors&gt;&lt;authors&gt;&lt;author&gt;Asian Development Bank,&lt;/author&gt;&lt;/authors&gt;&lt;/contributors&gt;&lt;titles&gt;&lt;title&gt;Solomon Islands&lt;/title&gt;&lt;secondary-title&gt;Asian Development Outlook 2014: Fiscal Policy for Inclusive Growth&lt;/secondary-title&gt;&lt;/titles&gt;&lt;pages&gt;244-247&lt;/pages&gt;&lt;dates&gt;&lt;year&gt;2014&lt;/year&gt;&lt;/dates&gt;&lt;pub-location&gt;Manila&lt;/pub-location&gt;&lt;publisher&gt;Asian Development Bank&lt;/publisher&gt;&lt;urls&gt;&lt;/urls&gt;&lt;/record&gt;&lt;/Cite&gt;&lt;/EndNote&gt;</w:instrText>
      </w:r>
      <w:r w:rsidR="00115AC9" w:rsidRPr="00F71B40">
        <w:rPr>
          <w:lang w:val="en-AU"/>
        </w:rPr>
        <w:fldChar w:fldCharType="separate"/>
      </w:r>
      <w:r w:rsidR="00115AC9" w:rsidRPr="00F71B40">
        <w:rPr>
          <w:lang w:val="en-AU"/>
        </w:rPr>
        <w:t>(</w:t>
      </w:r>
      <w:hyperlink w:anchor="_ENREF_7" w:tooltip="Asian Development Bank, 2014 #4273" w:history="1">
        <w:r w:rsidR="00CC56DB" w:rsidRPr="00F71B40">
          <w:rPr>
            <w:lang w:val="en-AU"/>
          </w:rPr>
          <w:t>Asian Development Bank, 2014</w:t>
        </w:r>
      </w:hyperlink>
      <w:r w:rsidR="00115AC9" w:rsidRPr="00F71B40">
        <w:rPr>
          <w:lang w:val="en-AU"/>
        </w:rPr>
        <w:t>)</w:t>
      </w:r>
      <w:r w:rsidR="00115AC9" w:rsidRPr="00F71B40">
        <w:rPr>
          <w:lang w:val="en-AU"/>
        </w:rPr>
        <w:fldChar w:fldCharType="end"/>
      </w:r>
      <w:r w:rsidRPr="00F71B40">
        <w:rPr>
          <w:lang w:val="en-AU"/>
        </w:rPr>
        <w:t xml:space="preserve">.  </w:t>
      </w:r>
      <w:r w:rsidR="00115AC9" w:rsidRPr="00F71B40">
        <w:rPr>
          <w:lang w:val="en-AU"/>
        </w:rPr>
        <w:fldChar w:fldCharType="begin"/>
      </w:r>
      <w:r w:rsidR="00115AC9" w:rsidRPr="00F71B40">
        <w:rPr>
          <w:lang w:val="en-AU"/>
        </w:rPr>
        <w:instrText xml:space="preserve"> ADDIN EN.CITE &lt;EndNote&gt;&lt;Cite&gt;&lt;Author&gt;Moore&lt;/Author&gt;&lt;Year&gt;2013&lt;/Year&gt;&lt;RecNum&gt;4299&lt;/RecNum&gt;&lt;Suffix&gt;`, p. 29&lt;/Suffix&gt;&lt;DisplayText&gt;(Moore, 2013, p. 29)&lt;/DisplayText&gt;&lt;record&gt;&lt;rec-number&gt;4299&lt;/rec-number&gt;&lt;foreign-keys&gt;&lt;key app="EN" db-id="5v9z5rrdszvwsneef06v9dapsd0apdtfapdx" timestamp="1408643941"&gt;4299&lt;/key&gt;&lt;/foreign-keys&gt;&lt;ref-type name="Book Section"&gt;5&lt;/ref-type&gt;&lt;contributors&gt;&lt;authors&gt;&lt;author&gt;Clive Moore&lt;/author&gt;&lt;/authors&gt;&lt;secondary-authors&gt;&lt;author&gt;Terence Wood&lt;/author&gt;&lt;author&gt;Stephen Howes&lt;/author&gt;&lt;/secondary-authors&gt;&lt;/contributors&gt;&lt;titles&gt;&lt;title&gt;Moving forward by asking the right questions of the past&lt;/title&gt;&lt;secondary-title&gt;Debating ten years of RAMSI&lt;/secondary-title&gt;&lt;/titles&gt;&lt;pages&gt;27-30&lt;/pages&gt;&lt;dates&gt;&lt;year&gt;2013&lt;/year&gt;&lt;/dates&gt;&lt;pub-location&gt;Acton, ACT&lt;/pub-location&gt;&lt;publisher&gt;Development Policy Centre, Crawford School of Public Policy&lt;/publisher&gt;&lt;urls&gt;&lt;/urls&gt;&lt;/record&gt;&lt;/Cite&gt;&lt;/EndNote&gt;</w:instrText>
      </w:r>
      <w:r w:rsidR="00115AC9" w:rsidRPr="00F71B40">
        <w:rPr>
          <w:lang w:val="en-AU"/>
        </w:rPr>
        <w:fldChar w:fldCharType="separate"/>
      </w:r>
      <w:r w:rsidR="00115AC9" w:rsidRPr="00F71B40">
        <w:rPr>
          <w:lang w:val="en-AU"/>
        </w:rPr>
        <w:t>(</w:t>
      </w:r>
      <w:hyperlink w:anchor="_ENREF_108" w:tooltip="Moore, 2013 #4299" w:history="1">
        <w:r w:rsidR="00CC56DB" w:rsidRPr="00F71B40">
          <w:rPr>
            <w:lang w:val="en-AU"/>
          </w:rPr>
          <w:t>Moore, 2013, p. 29</w:t>
        </w:r>
      </w:hyperlink>
      <w:r w:rsidR="00115AC9" w:rsidRPr="00F71B40">
        <w:rPr>
          <w:lang w:val="en-AU"/>
        </w:rPr>
        <w:t>)</w:t>
      </w:r>
      <w:r w:rsidR="00115AC9" w:rsidRPr="00F71B40">
        <w:rPr>
          <w:lang w:val="en-AU"/>
        </w:rPr>
        <w:fldChar w:fldCharType="end"/>
      </w:r>
      <w:r w:rsidRPr="00F71B40">
        <w:rPr>
          <w:lang w:val="en-AU"/>
        </w:rPr>
        <w:t xml:space="preserve"> drawing on </w:t>
      </w:r>
      <w:r w:rsidR="00115AC9" w:rsidRPr="00F71B40">
        <w:rPr>
          <w:lang w:val="en-AU"/>
        </w:rPr>
        <w:fldChar w:fldCharType="begin"/>
      </w:r>
      <w:r w:rsidR="00115AC9" w:rsidRPr="00F71B40">
        <w:rPr>
          <w:lang w:val="en-AU"/>
        </w:rPr>
        <w:instrText xml:space="preserve"> ADDIN EN.CITE &lt;EndNote&gt;&lt;Cite&gt;&lt;Author&gt;Madgwick&lt;/Author&gt;&lt;Year&gt;2013&lt;/Year&gt;&lt;RecNum&gt;4300&lt;/RecNum&gt;&lt;DisplayText&gt;(Madgwick, 2013)&lt;/DisplayText&gt;&lt;record&gt;&lt;rec-number&gt;4300&lt;/rec-number&gt;&lt;foreign-keys&gt;&lt;key app="EN" db-id="5v9z5rrdszvwsneef06v9dapsd0apdtfapdx" timestamp="1408644335"&gt;4300&lt;/key&gt;&lt;/foreign-keys&gt;&lt;ref-type name="Report"&gt;27&lt;/ref-type&gt;&lt;contributors&gt;&lt;authors&gt;&lt;author&gt;Joshua Madgwick&lt;/author&gt;&lt;/authors&gt;&lt;/contributors&gt;&lt;titles&gt;&lt;title&gt;2013 SIG RAMSI People’s Survey Report&lt;/title&gt;&lt;/titles&gt;&lt;dates&gt;&lt;year&gt;2013&lt;/year&gt;&lt;/dates&gt;&lt;pub-location&gt;Honiara, Solomon Islands&lt;/pub-location&gt;&lt;publisher&gt;ANU Edge and the University of the South Pacific&lt;/publisher&gt;&lt;urls&gt;&lt;/urls&gt;&lt;/record&gt;&lt;/Cite&gt;&lt;/EndNote&gt;</w:instrText>
      </w:r>
      <w:r w:rsidR="00115AC9" w:rsidRPr="00F71B40">
        <w:rPr>
          <w:lang w:val="en-AU"/>
        </w:rPr>
        <w:fldChar w:fldCharType="separate"/>
      </w:r>
      <w:r w:rsidR="00115AC9" w:rsidRPr="00F71B40">
        <w:rPr>
          <w:lang w:val="en-AU"/>
        </w:rPr>
        <w:t>(</w:t>
      </w:r>
      <w:hyperlink w:anchor="_ENREF_96" w:tooltip="Madgwick, 2013 #4300" w:history="1">
        <w:r w:rsidR="00CC56DB" w:rsidRPr="00F71B40">
          <w:rPr>
            <w:lang w:val="en-AU"/>
          </w:rPr>
          <w:t>Madgwick, 2013</w:t>
        </w:r>
      </w:hyperlink>
      <w:r w:rsidR="00115AC9" w:rsidRPr="00F71B40">
        <w:rPr>
          <w:lang w:val="en-AU"/>
        </w:rPr>
        <w:t>)</w:t>
      </w:r>
      <w:r w:rsidR="00115AC9" w:rsidRPr="00F71B40">
        <w:rPr>
          <w:lang w:val="en-AU"/>
        </w:rPr>
        <w:fldChar w:fldCharType="end"/>
      </w:r>
      <w:r w:rsidR="00AF3E41" w:rsidRPr="00F71B40">
        <w:rPr>
          <w:lang w:val="en-AU"/>
        </w:rPr>
        <w:t xml:space="preserve"> argues that some services have improved,</w:t>
      </w:r>
      <w:r w:rsidRPr="00F71B40">
        <w:rPr>
          <w:lang w:val="en-AU"/>
        </w:rPr>
        <w:t xml:space="preserve"> </w:t>
      </w:r>
      <w:r w:rsidR="00AF3E41" w:rsidRPr="00F71B40">
        <w:rPr>
          <w:lang w:val="en-AU"/>
        </w:rPr>
        <w:t xml:space="preserve">but </w:t>
      </w:r>
      <w:r w:rsidRPr="00F71B40">
        <w:rPr>
          <w:lang w:val="en-AU"/>
        </w:rPr>
        <w:t xml:space="preserve">it is unclear whether </w:t>
      </w:r>
      <w:r w:rsidR="00AF3E41" w:rsidRPr="00F71B40">
        <w:rPr>
          <w:lang w:val="en-AU"/>
        </w:rPr>
        <w:t xml:space="preserve">they were </w:t>
      </w:r>
      <w:r w:rsidRPr="00F71B40">
        <w:rPr>
          <w:lang w:val="en-AU"/>
        </w:rPr>
        <w:t xml:space="preserve">driven through increased resources </w:t>
      </w:r>
      <w:r w:rsidR="00AF3E41" w:rsidRPr="00F71B40">
        <w:rPr>
          <w:lang w:val="en-AU"/>
        </w:rPr>
        <w:t xml:space="preserve">or </w:t>
      </w:r>
      <w:r w:rsidRPr="00F71B40">
        <w:rPr>
          <w:lang w:val="en-AU"/>
        </w:rPr>
        <w:t>institutional change.</w:t>
      </w:r>
      <w:r w:rsidR="00E256D6">
        <w:rPr>
          <w:lang w:val="en-AU"/>
        </w:rPr>
        <w:t xml:space="preserve">  </w:t>
      </w:r>
      <w:r w:rsidR="007C2BD2" w:rsidRPr="00F71B40">
        <w:rPr>
          <w:rFonts w:cs="Times New Roman"/>
          <w:lang w:val="en-AU"/>
        </w:rPr>
        <w:t xml:space="preserve">There were </w:t>
      </w:r>
      <w:r w:rsidR="00AF3E41" w:rsidRPr="00F71B40">
        <w:rPr>
          <w:rFonts w:cs="Times New Roman"/>
          <w:lang w:val="en-AU"/>
        </w:rPr>
        <w:t xml:space="preserve">also </w:t>
      </w:r>
      <w:r w:rsidR="007C2BD2" w:rsidRPr="00F71B40">
        <w:rPr>
          <w:rFonts w:cs="Times New Roman"/>
          <w:lang w:val="en-AU"/>
        </w:rPr>
        <w:t xml:space="preserve">some signs of reform disillusionment.  </w:t>
      </w:r>
      <w:r w:rsidR="00115AC9" w:rsidRPr="00F71B40">
        <w:rPr>
          <w:rFonts w:cs="Times New Roman"/>
          <w:lang w:val="en-AU"/>
        </w:rPr>
        <w:fldChar w:fldCharType="begin"/>
      </w:r>
      <w:r w:rsidR="00115AC9" w:rsidRPr="00F71B40">
        <w:rPr>
          <w:rFonts w:cs="Times New Roman"/>
          <w:lang w:val="en-AU"/>
        </w:rPr>
        <w:instrText xml:space="preserve"> ADDIN EN.CITE &lt;EndNote&gt;&lt;Cite&gt;&lt;Author&gt;Hausman&lt;/Author&gt;&lt;Year&gt;2010&lt;/Year&gt;&lt;RecNum&gt;4291&lt;/RecNum&gt;&lt;DisplayText&gt;(Hausman, 2010)&lt;/DisplayText&gt;&lt;record&gt;&lt;rec-number&gt;4291&lt;/rec-number&gt;&lt;foreign-keys&gt;&lt;key app="EN" db-id="5v9z5rrdszvwsneef06v9dapsd0apdtfapdx" timestamp="1408638492"&gt;4291&lt;/key&gt;&lt;/foreign-keys&gt;&lt;ref-type name="Report"&gt;27&lt;/ref-type&gt;&lt;contributors&gt;&lt;authors&gt;&lt;author&gt;Hausman, David&lt;/author&gt;&lt;/authors&gt;&lt;/contributors&gt;&lt;titles&gt;&lt;title&gt;Starting from Scratch in Recruitment and Training: Solomon Islands 2004-2009&lt;/title&gt;&lt;secondary-title&gt;Innovations for Successful Societies&lt;/secondary-title&gt;&lt;/titles&gt;&lt;dates&gt;&lt;year&gt;2010&lt;/year&gt;&lt;/dates&gt;&lt;pub-location&gt;Princeton, NJ&lt;/pub-location&gt;&lt;publisher&gt;Princeton University&lt;/publisher&gt;&lt;urls&gt;&lt;/urls&gt;&lt;/record&gt;&lt;/Cite&gt;&lt;/EndNote&gt;</w:instrText>
      </w:r>
      <w:r w:rsidR="00115AC9" w:rsidRPr="00F71B40">
        <w:rPr>
          <w:rFonts w:cs="Times New Roman"/>
          <w:lang w:val="en-AU"/>
        </w:rPr>
        <w:fldChar w:fldCharType="separate"/>
      </w:r>
      <w:r w:rsidR="00115AC9" w:rsidRPr="00F71B40">
        <w:rPr>
          <w:rFonts w:cs="Times New Roman"/>
          <w:lang w:val="en-AU"/>
        </w:rPr>
        <w:t>(</w:t>
      </w:r>
      <w:hyperlink w:anchor="_ENREF_69" w:tooltip="Hausman, 2010 #4291" w:history="1">
        <w:r w:rsidR="00CC56DB" w:rsidRPr="00F71B40">
          <w:rPr>
            <w:rFonts w:cs="Times New Roman"/>
            <w:lang w:val="en-AU"/>
          </w:rPr>
          <w:t>Hausman, 2010</w:t>
        </w:r>
      </w:hyperlink>
      <w:r w:rsidR="00115AC9" w:rsidRPr="00F71B40">
        <w:rPr>
          <w:rFonts w:cs="Times New Roman"/>
          <w:lang w:val="en-AU"/>
        </w:rPr>
        <w:t>)</w:t>
      </w:r>
      <w:r w:rsidR="00115AC9" w:rsidRPr="00F71B40">
        <w:rPr>
          <w:rFonts w:cs="Times New Roman"/>
          <w:lang w:val="en-AU"/>
        </w:rPr>
        <w:fldChar w:fldCharType="end"/>
      </w:r>
      <w:r w:rsidR="007C2BD2" w:rsidRPr="00F71B40">
        <w:rPr>
          <w:rFonts w:cs="Times New Roman"/>
          <w:lang w:val="en-AU"/>
        </w:rPr>
        <w:t xml:space="preserve"> notes that interviewees in AusAID and the Ministry of Public Service indicated some dissatisfaction with the Public Service Improvement Program and a general conclusion that the HRM reforms had promised a lot but had delivered relatively little.</w:t>
      </w:r>
    </w:p>
    <w:p w:rsidR="00C902F4" w:rsidRPr="00F71B40" w:rsidRDefault="00C902F4" w:rsidP="00D62A32">
      <w:pPr>
        <w:rPr>
          <w:lang w:val="en-AU"/>
        </w:rPr>
      </w:pPr>
    </w:p>
    <w:p w:rsidR="00173020" w:rsidRPr="00F71B40" w:rsidRDefault="00173020" w:rsidP="00D62A32">
      <w:pPr>
        <w:rPr>
          <w:lang w:val="en-AU"/>
        </w:rPr>
      </w:pPr>
      <w:r w:rsidRPr="00F71B40">
        <w:rPr>
          <w:lang w:val="en-AU"/>
        </w:rPr>
        <w:t xml:space="preserve">In sum, </w:t>
      </w:r>
      <w:r w:rsidR="00C902F4" w:rsidRPr="00F71B40">
        <w:rPr>
          <w:lang w:val="en-AU"/>
        </w:rPr>
        <w:t xml:space="preserve">RAMSI </w:t>
      </w:r>
      <w:r w:rsidR="0015387F" w:rsidRPr="00F71B40">
        <w:rPr>
          <w:lang w:val="en-AU"/>
        </w:rPr>
        <w:t xml:space="preserve">undoubtedly achieved some specific gains even if these are not detectable in broad governance measures, </w:t>
      </w:r>
      <w:r w:rsidR="00806D70" w:rsidRPr="00F71B40">
        <w:rPr>
          <w:lang w:val="en-AU"/>
        </w:rPr>
        <w:t xml:space="preserve">but some of these were gains are sustainable only with the continued presence of external assistance and most of them did not result in visible service delivery improvements.  So </w:t>
      </w:r>
      <w:r w:rsidR="00D7275E" w:rsidRPr="00F71B40">
        <w:rPr>
          <w:lang w:val="en-AU"/>
        </w:rPr>
        <w:t xml:space="preserve">RAMSI delivered </w:t>
      </w:r>
      <w:r w:rsidR="00C902F4" w:rsidRPr="00F71B40">
        <w:rPr>
          <w:lang w:val="en-AU"/>
        </w:rPr>
        <w:t xml:space="preserve">macro-economic stability but found it difficult to influence or improve the mechanics of expenditure efficiency.  It contained a large number of disparate activities which did not, collectively, </w:t>
      </w:r>
      <w:r w:rsidR="00AF3E41" w:rsidRPr="00F71B40">
        <w:rPr>
          <w:lang w:val="en-AU"/>
        </w:rPr>
        <w:lastRenderedPageBreak/>
        <w:t xml:space="preserve">seem to </w:t>
      </w:r>
      <w:r w:rsidR="00C902F4" w:rsidRPr="00F71B40">
        <w:rPr>
          <w:lang w:val="en-AU"/>
        </w:rPr>
        <w:t xml:space="preserve">improve the overall functioning of the central agencies in a way which led to observable improvements in performance or outcomes </w:t>
      </w:r>
      <w:r w:rsidR="00115AC9" w:rsidRPr="00F71B40">
        <w:rPr>
          <w:lang w:val="en-AU"/>
        </w:rPr>
        <w:fldChar w:fldCharType="begin"/>
      </w:r>
      <w:r w:rsidR="00115AC9" w:rsidRPr="00F71B40">
        <w:rPr>
          <w:lang w:val="en-AU"/>
        </w:rPr>
        <w:instrText xml:space="preserve"> ADDIN EN.CITE &lt;EndNote&gt;&lt;Cite&gt;&lt;Author&gt;AusAID&lt;/Author&gt;&lt;Year&gt;2013&lt;/Year&gt;&lt;RecNum&gt;4260&lt;/RecNum&gt;&lt;Suffix&gt;`, p.4&lt;/Suffix&gt;&lt;DisplayText&gt;(AusAID, 2013, p.4)&lt;/DisplayText&gt;&lt;record&gt;&lt;rec-number&gt;4260&lt;/rec-number&gt;&lt;foreign-keys&gt;&lt;key app="EN" db-id="5v9z5rrdszvwsneef06v9dapsd0apdtfapdx" timestamp="1408387630"&gt;4260&lt;/key&gt;&lt;/foreign-keys&gt;&lt;ref-type name="Report"&gt;27&lt;/ref-type&gt;&lt;contributors&gt;&lt;authors&gt;&lt;author&gt;AusAID&lt;/author&gt;&lt;/authors&gt;&lt;/contributors&gt;&lt;titles&gt;&lt;title&gt;Delivery Strategy: Solomon Islands Economic and Public Sector Governance Program (SIGOV) 2013-4 to 2017-18&lt;/title&gt;&lt;/titles&gt;&lt;dates&gt;&lt;year&gt;2013&lt;/year&gt;&lt;/dates&gt;&lt;pub-location&gt;Canberra &lt;/pub-location&gt;&lt;publisher&gt;AusAID&lt;/publisher&gt;&lt;urls&gt;&lt;/urls&gt;&lt;/record&gt;&lt;/Cite&gt;&lt;/EndNote&gt;</w:instrText>
      </w:r>
      <w:r w:rsidR="00115AC9" w:rsidRPr="00F71B40">
        <w:rPr>
          <w:lang w:val="en-AU"/>
        </w:rPr>
        <w:fldChar w:fldCharType="separate"/>
      </w:r>
      <w:r w:rsidR="00115AC9" w:rsidRPr="00F71B40">
        <w:rPr>
          <w:lang w:val="en-AU"/>
        </w:rPr>
        <w:t>(</w:t>
      </w:r>
      <w:hyperlink w:anchor="_ENREF_13" w:tooltip="AusAID, 2013 #4260" w:history="1">
        <w:r w:rsidR="00CC56DB" w:rsidRPr="00F71B40">
          <w:rPr>
            <w:lang w:val="en-AU"/>
          </w:rPr>
          <w:t>AusAID, 2013, p.4</w:t>
        </w:r>
      </w:hyperlink>
      <w:r w:rsidR="00115AC9" w:rsidRPr="00F71B40">
        <w:rPr>
          <w:lang w:val="en-AU"/>
        </w:rPr>
        <w:t>)</w:t>
      </w:r>
      <w:r w:rsidR="00115AC9" w:rsidRPr="00F71B40">
        <w:rPr>
          <w:lang w:val="en-AU"/>
        </w:rPr>
        <w:fldChar w:fldCharType="end"/>
      </w:r>
      <w:r w:rsidR="00C902F4" w:rsidRPr="00F71B40">
        <w:rPr>
          <w:lang w:val="en-AU"/>
        </w:rPr>
        <w:t xml:space="preserve">.  </w:t>
      </w:r>
      <w:r w:rsidR="00D7275E" w:rsidRPr="00F71B40">
        <w:rPr>
          <w:rFonts w:cs="Times New Roman"/>
          <w:lang w:val="en-AU"/>
        </w:rPr>
        <w:t>I</w:t>
      </w:r>
      <w:r w:rsidR="00835A57" w:rsidRPr="00F71B40">
        <w:rPr>
          <w:rFonts w:cs="Times New Roman"/>
          <w:lang w:val="en-AU"/>
        </w:rPr>
        <w:t>t seems that while</w:t>
      </w:r>
      <w:r w:rsidR="006660F5" w:rsidRPr="00F71B40">
        <w:rPr>
          <w:rFonts w:cs="Times New Roman"/>
          <w:lang w:val="en-AU"/>
        </w:rPr>
        <w:t xml:space="preserve"> RAMSI was effective </w:t>
      </w:r>
      <w:r w:rsidR="00835A57" w:rsidRPr="00F71B40">
        <w:rPr>
          <w:rFonts w:cs="Times New Roman"/>
          <w:lang w:val="en-AU"/>
        </w:rPr>
        <w:t xml:space="preserve">in changing how the </w:t>
      </w:r>
      <w:r w:rsidR="006660F5" w:rsidRPr="00F71B40">
        <w:rPr>
          <w:rFonts w:cs="Times New Roman"/>
          <w:lang w:val="en-AU"/>
        </w:rPr>
        <w:t>“concentrated agents”</w:t>
      </w:r>
      <w:r w:rsidR="00835A57" w:rsidRPr="00F71B40">
        <w:rPr>
          <w:rFonts w:cs="Times New Roman"/>
          <w:lang w:val="en-AU"/>
        </w:rPr>
        <w:t xml:space="preserve"> at the </w:t>
      </w:r>
      <w:r w:rsidR="00F71B40" w:rsidRPr="00F71B40">
        <w:rPr>
          <w:rFonts w:cs="Times New Roman"/>
          <w:lang w:val="en-AU"/>
        </w:rPr>
        <w:t>centre</w:t>
      </w:r>
      <w:r w:rsidR="00835A57" w:rsidRPr="00F71B40">
        <w:rPr>
          <w:rFonts w:cs="Times New Roman"/>
          <w:lang w:val="en-AU"/>
        </w:rPr>
        <w:t xml:space="preserve"> worked, it was less successful in changing the </w:t>
      </w:r>
      <w:r w:rsidR="00F71B40" w:rsidRPr="00F71B40">
        <w:rPr>
          <w:rFonts w:cs="Times New Roman"/>
          <w:lang w:val="en-AU"/>
        </w:rPr>
        <w:t>behaviours</w:t>
      </w:r>
      <w:r w:rsidR="00835A57" w:rsidRPr="00F71B40">
        <w:rPr>
          <w:rFonts w:cs="Times New Roman"/>
          <w:lang w:val="en-AU"/>
        </w:rPr>
        <w:t xml:space="preserve"> of </w:t>
      </w:r>
      <w:r w:rsidR="006660F5" w:rsidRPr="00F71B40">
        <w:rPr>
          <w:rFonts w:cs="Times New Roman"/>
          <w:lang w:val="en-AU"/>
        </w:rPr>
        <w:t>the “distributed agents” (</w:t>
      </w:r>
      <w:r w:rsidR="00835A57" w:rsidRPr="00F71B40">
        <w:rPr>
          <w:rFonts w:cs="Times New Roman"/>
          <w:lang w:val="en-AU"/>
        </w:rPr>
        <w:t>“</w:t>
      </w:r>
      <w:r w:rsidR="006660F5" w:rsidRPr="00F71B40">
        <w:rPr>
          <w:rFonts w:cs="Times New Roman"/>
          <w:lang w:val="en-AU"/>
        </w:rPr>
        <w:t>budgeters, accountants, and such in sector ministries, provinces, and districts”</w:t>
      </w:r>
      <w:r w:rsidR="00835A57" w:rsidRPr="00F71B40">
        <w:rPr>
          <w:rFonts w:cs="Times New Roman"/>
          <w:lang w:val="en-AU"/>
        </w:rPr>
        <w:t xml:space="preserve"> </w:t>
      </w:r>
      <w:r w:rsidR="00115AC9" w:rsidRPr="00F71B40">
        <w:rPr>
          <w:rFonts w:cs="Times New Roman"/>
          <w:lang w:val="en-AU"/>
        </w:rPr>
        <w:fldChar w:fldCharType="begin"/>
      </w:r>
      <w:r w:rsidR="00115AC9" w:rsidRPr="00F71B40">
        <w:rPr>
          <w:rFonts w:cs="Times New Roman"/>
          <w:lang w:val="en-AU"/>
        </w:rPr>
        <w:instrText xml:space="preserve"> ADDIN EN.CITE &lt;EndNote&gt;&lt;Cite&gt;&lt;Author&gt;Andrews&lt;/Author&gt;&lt;Year&gt;2014&lt;/Year&gt;&lt;RecNum&gt;4225&lt;/RecNum&gt;&lt;Suffix&gt;`, p.1&lt;/Suffix&gt;&lt;DisplayText&gt;(Andrews, 2014, p.1)&lt;/DisplayText&gt;&lt;record&gt;&lt;rec-number&gt;4225&lt;/rec-number&gt;&lt;foreign-keys&gt;&lt;key app="EN" db-id="5v9z5rrdszvwsneef06v9dapsd0apdtfapdx" timestamp="1407863224"&gt;4225&lt;/key&gt;&lt;/foreign-keys&gt;&lt;ref-type name="Report"&gt;27&lt;/ref-type&gt;&lt;contributors&gt;&lt;authors&gt;&lt;author&gt;Matt Andrews&lt;/author&gt;&lt;/authors&gt;&lt;/contributors&gt;&lt;titles&gt;&lt;title&gt;Why distributed end users often limit public financial management reform success&lt;/title&gt;&lt;/titles&gt;&lt;dates&gt;&lt;year&gt;2014&lt;/year&gt;&lt;/dates&gt;&lt;pub-location&gt;Cambridge, Mass.&lt;/pub-location&gt;&lt;publisher&gt;Center for International Development at Harvard University&lt;/publisher&gt;&lt;urls&gt;&lt;/urls&gt;&lt;/record&gt;&lt;/Cite&gt;&lt;/EndNote&gt;</w:instrText>
      </w:r>
      <w:r w:rsidR="00115AC9" w:rsidRPr="00F71B40">
        <w:rPr>
          <w:rFonts w:cs="Times New Roman"/>
          <w:lang w:val="en-AU"/>
        </w:rPr>
        <w:fldChar w:fldCharType="separate"/>
      </w:r>
      <w:r w:rsidR="00115AC9" w:rsidRPr="00F71B40">
        <w:rPr>
          <w:rFonts w:cs="Times New Roman"/>
          <w:lang w:val="en-AU"/>
        </w:rPr>
        <w:t>(</w:t>
      </w:r>
      <w:hyperlink w:anchor="_ENREF_6" w:tooltip="Andrews, 2014 #4225" w:history="1">
        <w:r w:rsidR="00CC56DB" w:rsidRPr="00F71B40">
          <w:rPr>
            <w:rFonts w:cs="Times New Roman"/>
            <w:lang w:val="en-AU"/>
          </w:rPr>
          <w:t>Andrews, 2014, p.1</w:t>
        </w:r>
      </w:hyperlink>
      <w:r w:rsidR="00115AC9" w:rsidRPr="00F71B40">
        <w:rPr>
          <w:rFonts w:cs="Times New Roman"/>
          <w:lang w:val="en-AU"/>
        </w:rPr>
        <w:t>)</w:t>
      </w:r>
      <w:r w:rsidR="00115AC9" w:rsidRPr="00F71B40">
        <w:rPr>
          <w:rFonts w:cs="Times New Roman"/>
          <w:lang w:val="en-AU"/>
        </w:rPr>
        <w:fldChar w:fldCharType="end"/>
      </w:r>
      <w:r w:rsidR="00835A57" w:rsidRPr="00F71B40">
        <w:rPr>
          <w:rFonts w:cs="Times New Roman"/>
          <w:lang w:val="en-AU"/>
        </w:rPr>
        <w:t xml:space="preserve">) </w:t>
      </w:r>
      <w:r w:rsidR="006660F5" w:rsidRPr="00F71B40">
        <w:rPr>
          <w:rFonts w:cs="Times New Roman"/>
          <w:lang w:val="en-AU"/>
        </w:rPr>
        <w:t>in the spending ministries</w:t>
      </w:r>
      <w:r w:rsidR="00D7275E" w:rsidRPr="00F71B40">
        <w:rPr>
          <w:rFonts w:cs="Times New Roman"/>
          <w:lang w:val="en-AU"/>
        </w:rPr>
        <w:t>.</w:t>
      </w:r>
      <w:r w:rsidR="0025256A" w:rsidRPr="00F71B40">
        <w:rPr>
          <w:lang w:val="en-AU"/>
        </w:rPr>
        <w:t xml:space="preserve"> </w:t>
      </w:r>
    </w:p>
    <w:p w:rsidR="00173020" w:rsidRPr="00F71B40" w:rsidRDefault="00173020" w:rsidP="00D62A32">
      <w:pPr>
        <w:rPr>
          <w:rFonts w:cs="Times New Roman"/>
          <w:lang w:val="en-AU"/>
        </w:rPr>
      </w:pPr>
    </w:p>
    <w:p w:rsidR="002A2370" w:rsidRPr="00F71B40" w:rsidRDefault="002A2370" w:rsidP="004D15F8">
      <w:pPr>
        <w:pStyle w:val="Heading2"/>
        <w:numPr>
          <w:ilvl w:val="0"/>
          <w:numId w:val="12"/>
        </w:numPr>
        <w:rPr>
          <w:lang w:val="en-AU"/>
        </w:rPr>
      </w:pPr>
      <w:bookmarkStart w:id="21" w:name="_Toc398127095"/>
      <w:bookmarkStart w:id="22" w:name="_Ref399234499"/>
      <w:bookmarkStart w:id="23" w:name="_Ref399234517"/>
      <w:bookmarkStart w:id="24" w:name="_Ref399248152"/>
      <w:bookmarkStart w:id="25" w:name="_Ref399252420"/>
      <w:bookmarkStart w:id="26" w:name="_Toc399410383"/>
      <w:r w:rsidRPr="00F71B40">
        <w:rPr>
          <w:lang w:val="en-AU"/>
        </w:rPr>
        <w:t>Comparable reform programs have a distinctly modest track record</w:t>
      </w:r>
      <w:bookmarkEnd w:id="21"/>
      <w:bookmarkEnd w:id="22"/>
      <w:bookmarkEnd w:id="23"/>
      <w:bookmarkEnd w:id="24"/>
      <w:bookmarkEnd w:id="25"/>
      <w:bookmarkEnd w:id="26"/>
    </w:p>
    <w:p w:rsidR="002A2370" w:rsidRPr="00F71B40" w:rsidRDefault="002A2370" w:rsidP="00D62A32">
      <w:pPr>
        <w:rPr>
          <w:rFonts w:cs="Times New Roman"/>
          <w:lang w:val="en-AU"/>
        </w:rPr>
      </w:pPr>
    </w:p>
    <w:p w:rsidR="00B05BFB" w:rsidRPr="00F71B40" w:rsidRDefault="00EF09C4" w:rsidP="00D62A32">
      <w:pPr>
        <w:rPr>
          <w:rFonts w:cs="Times New Roman"/>
          <w:lang w:val="en-AU"/>
        </w:rPr>
      </w:pPr>
      <w:r w:rsidRPr="00F71B40">
        <w:rPr>
          <w:lang w:val="en-AU"/>
        </w:rPr>
        <w:t xml:space="preserve">If the emerging post mortem findings on RAMSI are that </w:t>
      </w:r>
      <w:r w:rsidR="00C971B8" w:rsidRPr="00F71B40">
        <w:rPr>
          <w:lang w:val="en-AU"/>
        </w:rPr>
        <w:t xml:space="preserve">the governance results are </w:t>
      </w:r>
      <w:r w:rsidRPr="00F71B40">
        <w:rPr>
          <w:lang w:val="en-AU"/>
        </w:rPr>
        <w:t xml:space="preserve">mixed, </w:t>
      </w:r>
      <w:r w:rsidR="00C971B8" w:rsidRPr="00F71B40">
        <w:rPr>
          <w:lang w:val="en-AU"/>
        </w:rPr>
        <w:t xml:space="preserve">this </w:t>
      </w:r>
      <w:r w:rsidR="0044308C" w:rsidRPr="00F71B40">
        <w:rPr>
          <w:lang w:val="en-AU"/>
        </w:rPr>
        <w:t>must be seen against</w:t>
      </w:r>
      <w:r w:rsidR="00C971B8" w:rsidRPr="00F71B40">
        <w:rPr>
          <w:lang w:val="en-AU"/>
        </w:rPr>
        <w:t xml:space="preserve"> the </w:t>
      </w:r>
      <w:r w:rsidRPr="00F71B40">
        <w:rPr>
          <w:lang w:val="en-AU"/>
        </w:rPr>
        <w:t xml:space="preserve">reality </w:t>
      </w:r>
      <w:r w:rsidR="00EA4453" w:rsidRPr="00F71B40">
        <w:rPr>
          <w:lang w:val="en-AU"/>
        </w:rPr>
        <w:t xml:space="preserve">that </w:t>
      </w:r>
      <w:r w:rsidR="002A2370" w:rsidRPr="00F71B40">
        <w:rPr>
          <w:rFonts w:cs="Times New Roman"/>
          <w:lang w:val="en-AU"/>
        </w:rPr>
        <w:t xml:space="preserve">public sector reforms </w:t>
      </w:r>
      <w:r w:rsidR="00EA4453" w:rsidRPr="00F71B40">
        <w:rPr>
          <w:rFonts w:cs="Times New Roman"/>
          <w:lang w:val="en-AU"/>
        </w:rPr>
        <w:t>in general</w:t>
      </w:r>
      <w:r w:rsidR="00483B70" w:rsidRPr="00F71B40">
        <w:rPr>
          <w:rFonts w:cs="Times New Roman"/>
          <w:lang w:val="en-AU"/>
        </w:rPr>
        <w:t>, and donor-supported public sector reforms in particular,</w:t>
      </w:r>
      <w:r w:rsidR="00EA4453" w:rsidRPr="00F71B40">
        <w:rPr>
          <w:rFonts w:cs="Times New Roman"/>
          <w:lang w:val="en-AU"/>
        </w:rPr>
        <w:t xml:space="preserve"> have a rather modest track record</w:t>
      </w:r>
      <w:r w:rsidR="002A2370" w:rsidRPr="00F71B40">
        <w:rPr>
          <w:rFonts w:cs="Times New Roman"/>
          <w:lang w:val="en-AU"/>
        </w:rPr>
        <w:t>.</w:t>
      </w:r>
      <w:r w:rsidR="00EA4453" w:rsidRPr="00F71B40">
        <w:rPr>
          <w:rFonts w:cs="Times New Roman"/>
          <w:lang w:val="en-AU"/>
        </w:rPr>
        <w:t xml:space="preserve">  The experience of donor support for public sector reforms in fragile and conflict-affected states is </w:t>
      </w:r>
      <w:r w:rsidR="00216109" w:rsidRPr="00F71B40">
        <w:rPr>
          <w:rFonts w:cs="Times New Roman"/>
          <w:lang w:val="en-AU"/>
        </w:rPr>
        <w:t xml:space="preserve">even less positive and is </w:t>
      </w:r>
      <w:r w:rsidR="00EA4453" w:rsidRPr="00F71B40">
        <w:rPr>
          <w:rFonts w:cs="Times New Roman"/>
          <w:lang w:val="en-AU"/>
        </w:rPr>
        <w:t xml:space="preserve">reflected in the World Bank’s recent evaluation </w:t>
      </w:r>
      <w:r w:rsidR="00483B70" w:rsidRPr="00F71B40">
        <w:rPr>
          <w:rFonts w:cs="Times New Roman"/>
          <w:lang w:val="en-AU"/>
        </w:rPr>
        <w:t xml:space="preserve">finding that, in fragile states, </w:t>
      </w:r>
      <w:r w:rsidR="002A2370" w:rsidRPr="00F71B40">
        <w:rPr>
          <w:rFonts w:cs="Times New Roman"/>
          <w:lang w:val="en-AU"/>
        </w:rPr>
        <w:t xml:space="preserve">“there are few examples where a measured and informed country strategy has built a sustained statebuilding model over time which meets the expectations of their citizens” </w:t>
      </w:r>
      <w:r w:rsidR="00115AC9" w:rsidRPr="00F71B40">
        <w:rPr>
          <w:rFonts w:cs="Times New Roman"/>
          <w:lang w:val="en-AU"/>
        </w:rPr>
        <w:fldChar w:fldCharType="begin"/>
      </w:r>
      <w:r w:rsidR="00115AC9" w:rsidRPr="00F71B40">
        <w:rPr>
          <w:rFonts w:cs="Times New Roman"/>
          <w:lang w:val="en-AU"/>
        </w:rPr>
        <w:instrText xml:space="preserve"> ADDIN EN.CITE &lt;EndNote&gt;&lt;Cite&gt;&lt;Author&gt;Independent Evaluation Group&lt;/Author&gt;&lt;Year&gt;2013&lt;/Year&gt;&lt;RecNum&gt;4366&lt;/RecNum&gt;&lt;Suffix&gt;`, p. 50&lt;/Suffix&gt;&lt;DisplayText&gt;(Independent Evaluation Group, 2013, p. 50)&lt;/DisplayText&gt;&lt;record&gt;&lt;rec-number&gt;4366&lt;/rec-number&gt;&lt;foreign-keys&gt;&lt;key app="EN" db-id="5v9z5rrdszvwsneef06v9dapsd0apdtfapdx" timestamp="1410382590"&gt;4366&lt;/key&gt;&lt;/foreign-keys&gt;&lt;ref-type name="Book"&gt;6&lt;/ref-type&gt;&lt;contributors&gt;&lt;authors&gt;&lt;author&gt;Independent Evaluation Group,&lt;/author&gt;&lt;/authors&gt;&lt;/contributors&gt;&lt;titles&gt;&lt;title&gt;World Bank Group Assistance to Low-Income Fragile and Conflict-Affected States: An Independent Evaluation&lt;/title&gt;&lt;/titles&gt;&lt;dates&gt;&lt;year&gt;2013&lt;/year&gt;&lt;/dates&gt;&lt;pub-location&gt;Washington DC&lt;/pub-location&gt;&lt;publisher&gt;World Bank&lt;/publisher&gt;&lt;urls&gt;&lt;/urls&gt;&lt;/record&gt;&lt;/Cite&gt;&lt;/EndNote&gt;</w:instrText>
      </w:r>
      <w:r w:rsidR="00115AC9" w:rsidRPr="00F71B40">
        <w:rPr>
          <w:rFonts w:cs="Times New Roman"/>
          <w:lang w:val="en-AU"/>
        </w:rPr>
        <w:fldChar w:fldCharType="separate"/>
      </w:r>
      <w:r w:rsidR="00115AC9" w:rsidRPr="00F71B40">
        <w:rPr>
          <w:rFonts w:cs="Times New Roman"/>
          <w:lang w:val="en-AU"/>
        </w:rPr>
        <w:t>(</w:t>
      </w:r>
      <w:hyperlink w:anchor="_ENREF_79" w:tooltip="Independent Evaluation Group, 2013 #4366" w:history="1">
        <w:r w:rsidR="00CC56DB" w:rsidRPr="00F71B40">
          <w:rPr>
            <w:rFonts w:cs="Times New Roman"/>
            <w:lang w:val="en-AU"/>
          </w:rPr>
          <w:t>Independent Evaluation Group, 2013, p. 50</w:t>
        </w:r>
      </w:hyperlink>
      <w:r w:rsidR="00115AC9" w:rsidRPr="00F71B40">
        <w:rPr>
          <w:rFonts w:cs="Times New Roman"/>
          <w:lang w:val="en-AU"/>
        </w:rPr>
        <w:t>)</w:t>
      </w:r>
      <w:r w:rsidR="00115AC9" w:rsidRPr="00F71B40">
        <w:rPr>
          <w:rFonts w:cs="Times New Roman"/>
          <w:lang w:val="en-AU"/>
        </w:rPr>
        <w:fldChar w:fldCharType="end"/>
      </w:r>
      <w:r w:rsidR="00483B70" w:rsidRPr="00F71B40">
        <w:rPr>
          <w:rFonts w:cs="Times New Roman"/>
          <w:lang w:val="en-AU"/>
        </w:rPr>
        <w:t>.</w:t>
      </w:r>
      <w:r w:rsidR="00AC144F" w:rsidRPr="00F71B40">
        <w:rPr>
          <w:rFonts w:cs="Times New Roman"/>
          <w:lang w:val="en-AU"/>
        </w:rPr>
        <w:t xml:space="preserve">  </w:t>
      </w:r>
    </w:p>
    <w:p w:rsidR="00715BD8" w:rsidRPr="00F71B40" w:rsidRDefault="00715BD8" w:rsidP="00D62A32">
      <w:pPr>
        <w:rPr>
          <w:rFonts w:cs="Times New Roman"/>
          <w:lang w:val="en-AU"/>
        </w:rPr>
      </w:pPr>
    </w:p>
    <w:tbl>
      <w:tblPr>
        <w:tblStyle w:val="TableGrid"/>
        <w:tblW w:w="0" w:type="auto"/>
        <w:tblLook w:val="04A0" w:firstRow="1" w:lastRow="0" w:firstColumn="1" w:lastColumn="0" w:noHBand="0" w:noVBand="1"/>
      </w:tblPr>
      <w:tblGrid>
        <w:gridCol w:w="9576"/>
      </w:tblGrid>
      <w:tr w:rsidR="00715BD8" w:rsidRPr="00F71B40" w:rsidTr="00715BD8">
        <w:tc>
          <w:tcPr>
            <w:tcW w:w="9576" w:type="dxa"/>
          </w:tcPr>
          <w:p w:rsidR="00715BD8" w:rsidRPr="00F71B40" w:rsidRDefault="00715BD8" w:rsidP="00BA706F">
            <w:pPr>
              <w:pStyle w:val="Caption"/>
              <w:rPr>
                <w:lang w:val="en-AU"/>
              </w:rPr>
            </w:pPr>
            <w:bookmarkStart w:id="27" w:name="_Ref399332864"/>
            <w:bookmarkStart w:id="28" w:name="_Toc401761829"/>
            <w:r w:rsidRPr="00F71B40">
              <w:rPr>
                <w:lang w:val="en-AU"/>
              </w:rPr>
              <w:t xml:space="preserve">Box </w:t>
            </w:r>
            <w:r w:rsidR="00361D8F" w:rsidRPr="00F71B40">
              <w:rPr>
                <w:lang w:val="en-AU"/>
              </w:rPr>
              <w:fldChar w:fldCharType="begin"/>
            </w:r>
            <w:r w:rsidR="00361D8F" w:rsidRPr="00F71B40">
              <w:rPr>
                <w:lang w:val="en-AU"/>
              </w:rPr>
              <w:instrText xml:space="preserve"> SEQ Box \* ARABIC </w:instrText>
            </w:r>
            <w:r w:rsidR="00361D8F" w:rsidRPr="00F71B40">
              <w:rPr>
                <w:lang w:val="en-AU"/>
              </w:rPr>
              <w:fldChar w:fldCharType="separate"/>
            </w:r>
            <w:r w:rsidR="00EF43BE">
              <w:rPr>
                <w:noProof/>
                <w:lang w:val="en-AU"/>
              </w:rPr>
              <w:t>1</w:t>
            </w:r>
            <w:r w:rsidR="00361D8F" w:rsidRPr="00F71B40">
              <w:rPr>
                <w:lang w:val="en-AU"/>
              </w:rPr>
              <w:fldChar w:fldCharType="end"/>
            </w:r>
            <w:bookmarkEnd w:id="27"/>
            <w:r w:rsidRPr="00F71B40">
              <w:rPr>
                <w:lang w:val="en-AU"/>
              </w:rPr>
              <w:t>: The limited track record of public sector reforms</w:t>
            </w:r>
            <w:bookmarkEnd w:id="28"/>
          </w:p>
          <w:p w:rsidR="00715BD8" w:rsidRPr="00F71B40" w:rsidRDefault="00715BD8" w:rsidP="00D62A32">
            <w:pPr>
              <w:rPr>
                <w:rFonts w:cs="Times New Roman"/>
                <w:sz w:val="20"/>
                <w:szCs w:val="20"/>
                <w:lang w:val="en-AU"/>
              </w:rPr>
            </w:pPr>
          </w:p>
          <w:p w:rsidR="00715BD8" w:rsidRPr="00F71B40" w:rsidRDefault="00715BD8" w:rsidP="00D62A32">
            <w:pPr>
              <w:rPr>
                <w:rFonts w:cs="Times New Roman"/>
                <w:bCs/>
                <w:sz w:val="20"/>
                <w:szCs w:val="20"/>
                <w:lang w:val="en-AU"/>
              </w:rPr>
            </w:pPr>
            <w:r w:rsidRPr="00F71B40">
              <w:rPr>
                <w:rFonts w:cs="Times New Roman"/>
                <w:bCs/>
                <w:sz w:val="20"/>
                <w:szCs w:val="20"/>
                <w:lang w:val="en-AU"/>
              </w:rPr>
              <w:t xml:space="preserve">The World Bank concluded in 2008 that less than a quarter of its public sector reform projects were associated with significant improvements at the country level </w:t>
            </w:r>
            <w:r w:rsidR="00115AC9" w:rsidRPr="00F71B40">
              <w:rPr>
                <w:rFonts w:cs="Times New Roman"/>
                <w:bCs/>
                <w:sz w:val="20"/>
                <w:szCs w:val="20"/>
                <w:lang w:val="en-AU"/>
              </w:rPr>
              <w:fldChar w:fldCharType="begin"/>
            </w:r>
            <w:r w:rsidR="00115AC9" w:rsidRPr="00F71B40">
              <w:rPr>
                <w:rFonts w:cs="Times New Roman"/>
                <w:bCs/>
                <w:sz w:val="20"/>
                <w:szCs w:val="20"/>
                <w:lang w:val="en-AU"/>
              </w:rPr>
              <w:instrText xml:space="preserve"> ADDIN EN.CITE &lt;EndNote&gt;&lt;Cite&gt;&lt;Author&gt;Independent Evaluation Group&lt;/Author&gt;&lt;Year&gt;2008&lt;/Year&gt;&lt;RecNum&gt;2969&lt;/RecNum&gt;&lt;Suffix&gt;`, table 4.1&lt;/Suffix&gt;&lt;DisplayText&gt;(Independent Evaluation Group, 2008, table 4.1)&lt;/DisplayText&gt;&lt;record&gt;&lt;rec-number&gt;2969&lt;/rec-number&gt;&lt;foreign-keys&gt;&lt;key app="EN" db-id="5v9z5rrdszvwsneef06v9dapsd0apdtfapdx" timestamp="0"&gt;2969&lt;/key&gt;&lt;/foreign-keys&gt;&lt;ref-type name="Book"&gt;6&lt;/ref-type&gt;&lt;contributors&gt;&lt;authors&gt;&lt;author&gt;Independent Evaluation Group,&lt;/author&gt;&lt;/authors&gt;&lt;/contributors&gt;&lt;titles&gt;&lt;title&gt;Public Sector Reform: What works and Why?&lt;/title&gt;&lt;/titles&gt;&lt;dates&gt;&lt;year&gt;2008&lt;/year&gt;&lt;/dates&gt;&lt;pub-location&gt;Washington DC&lt;/pub-location&gt;&lt;publisher&gt;World Bank&lt;/publisher&gt;&lt;urls&gt;&lt;/urls&gt;&lt;/record&gt;&lt;/Cite&gt;&lt;/EndNote&gt;</w:instrText>
            </w:r>
            <w:r w:rsidR="00115AC9" w:rsidRPr="00F71B40">
              <w:rPr>
                <w:rFonts w:cs="Times New Roman"/>
                <w:bCs/>
                <w:sz w:val="20"/>
                <w:szCs w:val="20"/>
                <w:lang w:val="en-AU"/>
              </w:rPr>
              <w:fldChar w:fldCharType="separate"/>
            </w:r>
            <w:r w:rsidR="00115AC9" w:rsidRPr="00F71B40">
              <w:rPr>
                <w:rFonts w:cs="Times New Roman"/>
                <w:bCs/>
                <w:sz w:val="20"/>
                <w:szCs w:val="20"/>
                <w:lang w:val="en-AU"/>
              </w:rPr>
              <w:t>(</w:t>
            </w:r>
            <w:hyperlink w:anchor="_ENREF_77" w:tooltip="Independent Evaluation Group, 2008 #2969" w:history="1">
              <w:r w:rsidR="00CC56DB" w:rsidRPr="00F71B40">
                <w:rPr>
                  <w:rFonts w:cs="Times New Roman"/>
                  <w:bCs/>
                  <w:sz w:val="20"/>
                  <w:szCs w:val="20"/>
                  <w:lang w:val="en-AU"/>
                </w:rPr>
                <w:t>Independent Evaluation Group, 2008, table 4.1</w:t>
              </w:r>
            </w:hyperlink>
            <w:r w:rsidR="00115AC9" w:rsidRPr="00F71B40">
              <w:rPr>
                <w:rFonts w:cs="Times New Roman"/>
                <w:bCs/>
                <w:sz w:val="20"/>
                <w:szCs w:val="20"/>
                <w:lang w:val="en-AU"/>
              </w:rPr>
              <w:t>)</w:t>
            </w:r>
            <w:r w:rsidR="00115AC9" w:rsidRPr="00F71B40">
              <w:rPr>
                <w:rFonts w:cs="Times New Roman"/>
                <w:bCs/>
                <w:sz w:val="20"/>
                <w:szCs w:val="20"/>
                <w:lang w:val="en-AU"/>
              </w:rPr>
              <w:fldChar w:fldCharType="end"/>
            </w:r>
            <w:r w:rsidRPr="00F71B40">
              <w:rPr>
                <w:rFonts w:cs="Times New Roman"/>
                <w:bCs/>
                <w:sz w:val="20"/>
                <w:szCs w:val="20"/>
                <w:lang w:val="en-AU"/>
              </w:rPr>
              <w:t xml:space="preserve">.  Subsequently, it noted that “(o)f 80 countries that received PSR (public sector reform) lending in 2007–09, 39 </w:t>
            </w:r>
            <w:r w:rsidR="00F71B40" w:rsidRPr="00F71B40">
              <w:rPr>
                <w:rFonts w:cs="Times New Roman"/>
                <w:bCs/>
                <w:sz w:val="20"/>
                <w:szCs w:val="20"/>
                <w:lang w:val="en-AU"/>
              </w:rPr>
              <w:t>per cent</w:t>
            </w:r>
            <w:r w:rsidRPr="00F71B40">
              <w:rPr>
                <w:rFonts w:cs="Times New Roman"/>
                <w:bCs/>
                <w:sz w:val="20"/>
                <w:szCs w:val="20"/>
                <w:lang w:val="en-AU"/>
              </w:rPr>
              <w:t xml:space="preserve"> improved their governance CPIAs (Country Policy and Institutional Assessment) (2006–09) and 25 </w:t>
            </w:r>
            <w:r w:rsidR="00F71B40" w:rsidRPr="00F71B40">
              <w:rPr>
                <w:rFonts w:cs="Times New Roman"/>
                <w:bCs/>
                <w:sz w:val="20"/>
                <w:szCs w:val="20"/>
                <w:lang w:val="en-AU"/>
              </w:rPr>
              <w:t>per cent</w:t>
            </w:r>
            <w:r w:rsidRPr="00F71B40">
              <w:rPr>
                <w:rFonts w:cs="Times New Roman"/>
                <w:bCs/>
                <w:sz w:val="20"/>
                <w:szCs w:val="20"/>
                <w:lang w:val="en-AU"/>
              </w:rPr>
              <w:t xml:space="preserve"> had declining CPIAs... (but) countries with no PSR lending in 2007–09 had similar rates of CPIA changes.” </w:t>
            </w:r>
            <w:r w:rsidR="00115AC9" w:rsidRPr="00F71B40">
              <w:rPr>
                <w:rFonts w:cs="Times New Roman"/>
                <w:bCs/>
                <w:sz w:val="20"/>
                <w:szCs w:val="20"/>
                <w:lang w:val="en-AU"/>
              </w:rPr>
              <w:fldChar w:fldCharType="begin"/>
            </w:r>
            <w:r w:rsidR="00115AC9" w:rsidRPr="00F71B40">
              <w:rPr>
                <w:rFonts w:cs="Times New Roman"/>
                <w:bCs/>
                <w:sz w:val="20"/>
                <w:szCs w:val="20"/>
                <w:lang w:val="en-AU"/>
              </w:rPr>
              <w:instrText xml:space="preserve"> ADDIN EN.CITE &lt;EndNote&gt;&lt;Cite&gt;&lt;Author&gt;Independent Evaluation Group&lt;/Author&gt;&lt;Year&gt;2011&lt;/Year&gt;&lt;RecNum&gt;4218&lt;/RecNum&gt;&lt;Suffix&gt;`, pp 68-9&lt;/Suffix&gt;&lt;DisplayText&gt;(Independent Evaluation Group, 2011, pp 68-9)&lt;/DisplayText&gt;&lt;record&gt;&lt;rec-number&gt;4218&lt;/rec-number&gt;&lt;foreign-keys&gt;&lt;key app="EN" db-id="5v9z5rrdszvwsneef06v9dapsd0apdtfapdx" timestamp="1405681038"&gt;4218&lt;/key&gt;&lt;/foreign-keys&gt;&lt;ref-type name="Report"&gt;27&lt;/ref-type&gt;&lt;contributors&gt;&lt;authors&gt;&lt;author&gt;Independent Evaluation Group,&lt;/author&gt;&lt;/authors&gt;&lt;/contributors&gt;&lt;titles&gt;&lt;title&gt;IEG ANNUAL REPORT 2011: Results and Performance of the World Bank Group&lt;/title&gt;&lt;/titles&gt;&lt;dates&gt;&lt;year&gt;2011&lt;/year&gt;&lt;/dates&gt;&lt;pub-location&gt;Washington DC&lt;/pub-location&gt;&lt;publisher&gt;World Bank&lt;/publisher&gt;&lt;urls&gt;&lt;/urls&gt;&lt;/record&gt;&lt;/Cite&gt;&lt;/EndNote&gt;</w:instrText>
            </w:r>
            <w:r w:rsidR="00115AC9" w:rsidRPr="00F71B40">
              <w:rPr>
                <w:rFonts w:cs="Times New Roman"/>
                <w:bCs/>
                <w:sz w:val="20"/>
                <w:szCs w:val="20"/>
                <w:lang w:val="en-AU"/>
              </w:rPr>
              <w:fldChar w:fldCharType="separate"/>
            </w:r>
            <w:r w:rsidR="00115AC9" w:rsidRPr="00F71B40">
              <w:rPr>
                <w:rFonts w:cs="Times New Roman"/>
                <w:bCs/>
                <w:sz w:val="20"/>
                <w:szCs w:val="20"/>
                <w:lang w:val="en-AU"/>
              </w:rPr>
              <w:t>(</w:t>
            </w:r>
            <w:hyperlink w:anchor="_ENREF_78" w:tooltip="Independent Evaluation Group, 2011 #4218" w:history="1">
              <w:r w:rsidR="00CC56DB" w:rsidRPr="00F71B40">
                <w:rPr>
                  <w:rFonts w:cs="Times New Roman"/>
                  <w:bCs/>
                  <w:sz w:val="20"/>
                  <w:szCs w:val="20"/>
                  <w:lang w:val="en-AU"/>
                </w:rPr>
                <w:t>Independent Evaluation Group, 2011, pp 68-9</w:t>
              </w:r>
            </w:hyperlink>
            <w:r w:rsidR="00115AC9" w:rsidRPr="00F71B40">
              <w:rPr>
                <w:rFonts w:cs="Times New Roman"/>
                <w:bCs/>
                <w:sz w:val="20"/>
                <w:szCs w:val="20"/>
                <w:lang w:val="en-AU"/>
              </w:rPr>
              <w:t>)</w:t>
            </w:r>
            <w:r w:rsidR="00115AC9" w:rsidRPr="00F71B40">
              <w:rPr>
                <w:rFonts w:cs="Times New Roman"/>
                <w:bCs/>
                <w:sz w:val="20"/>
                <w:szCs w:val="20"/>
                <w:lang w:val="en-AU"/>
              </w:rPr>
              <w:fldChar w:fldCharType="end"/>
            </w:r>
            <w:r w:rsidRPr="00F71B40">
              <w:rPr>
                <w:rFonts w:cs="Times New Roman"/>
                <w:bCs/>
                <w:sz w:val="20"/>
                <w:szCs w:val="20"/>
                <w:lang w:val="en-AU"/>
              </w:rPr>
              <w:t xml:space="preserve">.  A 2006 evaluation of projects in fragile states had earlier referred to “the Bank’s weak record in capacity development and governance” in such settings </w:t>
            </w:r>
            <w:r w:rsidR="00115AC9" w:rsidRPr="00F71B40">
              <w:rPr>
                <w:rFonts w:cs="Times New Roman"/>
                <w:bCs/>
                <w:sz w:val="20"/>
                <w:szCs w:val="20"/>
                <w:lang w:val="en-AU"/>
              </w:rPr>
              <w:fldChar w:fldCharType="begin"/>
            </w:r>
            <w:r w:rsidR="00115AC9" w:rsidRPr="00F71B40">
              <w:rPr>
                <w:rFonts w:cs="Times New Roman"/>
                <w:bCs/>
                <w:sz w:val="20"/>
                <w:szCs w:val="20"/>
                <w:lang w:val="en-AU"/>
              </w:rPr>
              <w:instrText xml:space="preserve"> ADDIN EN.CITE &lt;EndNote&gt;&lt;Cite&gt;&lt;Author&gt;Independent Evaluation Group&lt;/Author&gt;&lt;Year&gt;2006&lt;/Year&gt;&lt;RecNum&gt;4334&lt;/RecNum&gt;&lt;Suffix&gt;`, p. 25&lt;/Suffix&gt;&lt;DisplayText&gt;(Independent Evaluation Group, 2006, p. 25)&lt;/DisplayText&gt;&lt;record&gt;&lt;rec-number&gt;4334&lt;/rec-number&gt;&lt;foreign-keys&gt;&lt;key app="EN" db-id="5v9z5rrdszvwsneef06v9dapsd0apdtfapdx" timestamp="1408746006"&gt;4334&lt;/key&gt;&lt;/foreign-keys&gt;&lt;ref-type name="Book"&gt;6&lt;/ref-type&gt;&lt;contributors&gt;&lt;authors&gt;&lt;author&gt;Independent Evaluation Group,&lt;/author&gt;&lt;/authors&gt;&lt;/contributors&gt;&lt;titles&gt;&lt;title&gt;Engaging with Fragile States: An IEG Review of World Bank Support to Low-Income Countries Under Stress&lt;/title&gt;&lt;/titles&gt;&lt;dates&gt;&lt;year&gt;2006&lt;/year&gt;&lt;/dates&gt;&lt;pub-location&gt;Washington DC&lt;/pub-location&gt;&lt;publisher&gt;World Bank&lt;/publisher&gt;&lt;urls&gt;&lt;/urls&gt;&lt;/record&gt;&lt;/Cite&gt;&lt;/EndNote&gt;</w:instrText>
            </w:r>
            <w:r w:rsidR="00115AC9" w:rsidRPr="00F71B40">
              <w:rPr>
                <w:rFonts w:cs="Times New Roman"/>
                <w:bCs/>
                <w:sz w:val="20"/>
                <w:szCs w:val="20"/>
                <w:lang w:val="en-AU"/>
              </w:rPr>
              <w:fldChar w:fldCharType="separate"/>
            </w:r>
            <w:r w:rsidR="00115AC9" w:rsidRPr="00F71B40">
              <w:rPr>
                <w:rFonts w:cs="Times New Roman"/>
                <w:bCs/>
                <w:sz w:val="20"/>
                <w:szCs w:val="20"/>
                <w:lang w:val="en-AU"/>
              </w:rPr>
              <w:t>(</w:t>
            </w:r>
            <w:hyperlink w:anchor="_ENREF_76" w:tooltip="Independent Evaluation Group, 2006 #4334" w:history="1">
              <w:r w:rsidR="00CC56DB" w:rsidRPr="00F71B40">
                <w:rPr>
                  <w:rFonts w:cs="Times New Roman"/>
                  <w:bCs/>
                  <w:sz w:val="20"/>
                  <w:szCs w:val="20"/>
                  <w:lang w:val="en-AU"/>
                </w:rPr>
                <w:t>Independent Evaluation Group, 2006, p. 25</w:t>
              </w:r>
            </w:hyperlink>
            <w:r w:rsidR="00115AC9" w:rsidRPr="00F71B40">
              <w:rPr>
                <w:rFonts w:cs="Times New Roman"/>
                <w:bCs/>
                <w:sz w:val="20"/>
                <w:szCs w:val="20"/>
                <w:lang w:val="en-AU"/>
              </w:rPr>
              <w:t>)</w:t>
            </w:r>
            <w:r w:rsidR="00115AC9" w:rsidRPr="00F71B40">
              <w:rPr>
                <w:rFonts w:cs="Times New Roman"/>
                <w:bCs/>
                <w:sz w:val="20"/>
                <w:szCs w:val="20"/>
                <w:lang w:val="en-AU"/>
              </w:rPr>
              <w:fldChar w:fldCharType="end"/>
            </w:r>
            <w:r w:rsidRPr="00F71B40">
              <w:rPr>
                <w:rFonts w:cs="Times New Roman"/>
                <w:bCs/>
                <w:sz w:val="20"/>
                <w:szCs w:val="20"/>
                <w:lang w:val="en-AU"/>
              </w:rPr>
              <w:t xml:space="preserve">.  </w:t>
            </w:r>
          </w:p>
          <w:p w:rsidR="00715BD8" w:rsidRPr="00F71B40" w:rsidRDefault="00715BD8" w:rsidP="00D62A32">
            <w:pPr>
              <w:rPr>
                <w:rFonts w:cs="Times New Roman"/>
                <w:bCs/>
                <w:sz w:val="20"/>
                <w:szCs w:val="20"/>
                <w:lang w:val="en-AU"/>
              </w:rPr>
            </w:pPr>
          </w:p>
          <w:p w:rsidR="00715BD8" w:rsidRPr="00F71B40" w:rsidRDefault="00115AC9" w:rsidP="00D62A32">
            <w:pPr>
              <w:rPr>
                <w:rFonts w:cs="Times New Roman"/>
                <w:bCs/>
                <w:sz w:val="20"/>
                <w:szCs w:val="20"/>
                <w:lang w:val="en-AU"/>
              </w:rPr>
            </w:pPr>
            <w:r w:rsidRPr="00F71B40">
              <w:rPr>
                <w:rFonts w:cs="Times New Roman"/>
                <w:bCs/>
                <w:sz w:val="20"/>
                <w:szCs w:val="20"/>
                <w:lang w:val="en-AU"/>
              </w:rPr>
              <w:fldChar w:fldCharType="begin"/>
            </w:r>
            <w:r w:rsidRPr="00F71B40">
              <w:rPr>
                <w:rFonts w:cs="Times New Roman"/>
                <w:bCs/>
                <w:sz w:val="20"/>
                <w:szCs w:val="20"/>
                <w:lang w:val="en-AU"/>
              </w:rPr>
              <w:instrText xml:space="preserve"> ADDIN EN.CITE &lt;EndNote&gt;&lt;Cite&gt;&lt;Author&gt;Blum&lt;/Author&gt;&lt;Year&gt;2014&lt;/Year&gt;&lt;RecNum&gt;4125&lt;/RecNum&gt;&lt;DisplayText&gt;(Blum, 2014)&lt;/DisplayText&gt;&lt;record&gt;&lt;rec-number&gt;4125&lt;/rec-number&gt;&lt;foreign-keys&gt;&lt;key app="EN" db-id="5v9z5rrdszvwsneef06v9dapsd0apdtfapdx" timestamp="1394029451"&gt;4125&lt;/key&gt;&lt;/foreign-keys&gt;&lt;ref-type name="Report"&gt;27&lt;/ref-type&gt;&lt;contributors&gt;&lt;authors&gt;&lt;author&gt;Blum, Jürgen René&lt;/author&gt;&lt;/authors&gt;&lt;/contributors&gt;&lt;titles&gt;&lt;title&gt;What Factors Predict How Public Sector Projects Perform? A Review of the World Bank’s Public Sector Management Portfolio&lt;/title&gt;&lt;/titles&gt;&lt;dates&gt;&lt;year&gt;2014&lt;/year&gt;&lt;/dates&gt;&lt;pub-location&gt;Washington DC&lt;/pub-location&gt;&lt;publisher&gt;World Bank&lt;/publisher&gt;&lt;urls&gt;&lt;/urls&gt;&lt;/record&gt;&lt;/Cite&gt;&lt;/EndNote&gt;</w:instrText>
            </w:r>
            <w:r w:rsidRPr="00F71B40">
              <w:rPr>
                <w:rFonts w:cs="Times New Roman"/>
                <w:bCs/>
                <w:sz w:val="20"/>
                <w:szCs w:val="20"/>
                <w:lang w:val="en-AU"/>
              </w:rPr>
              <w:fldChar w:fldCharType="separate"/>
            </w:r>
            <w:r w:rsidRPr="00F71B40">
              <w:rPr>
                <w:rFonts w:cs="Times New Roman"/>
                <w:bCs/>
                <w:sz w:val="20"/>
                <w:szCs w:val="20"/>
                <w:lang w:val="en-AU"/>
              </w:rPr>
              <w:t>(</w:t>
            </w:r>
            <w:hyperlink w:anchor="_ENREF_25" w:tooltip="Blum, 2014 #4125" w:history="1">
              <w:r w:rsidR="00CC56DB" w:rsidRPr="00F71B40">
                <w:rPr>
                  <w:rFonts w:cs="Times New Roman"/>
                  <w:bCs/>
                  <w:sz w:val="20"/>
                  <w:szCs w:val="20"/>
                  <w:lang w:val="en-AU"/>
                </w:rPr>
                <w:t>Blum, 2014</w:t>
              </w:r>
            </w:hyperlink>
            <w:r w:rsidRPr="00F71B40">
              <w:rPr>
                <w:rFonts w:cs="Times New Roman"/>
                <w:bCs/>
                <w:sz w:val="20"/>
                <w:szCs w:val="20"/>
                <w:lang w:val="en-AU"/>
              </w:rPr>
              <w:t>)</w:t>
            </w:r>
            <w:r w:rsidRPr="00F71B40">
              <w:rPr>
                <w:rFonts w:cs="Times New Roman"/>
                <w:bCs/>
                <w:sz w:val="20"/>
                <w:szCs w:val="20"/>
                <w:lang w:val="en-AU"/>
              </w:rPr>
              <w:fldChar w:fldCharType="end"/>
            </w:r>
            <w:r w:rsidR="00715BD8" w:rsidRPr="00F71B40">
              <w:rPr>
                <w:rFonts w:cs="Times New Roman"/>
                <w:bCs/>
                <w:sz w:val="20"/>
                <w:szCs w:val="20"/>
                <w:lang w:val="en-AU"/>
              </w:rPr>
              <w:t xml:space="preserve"> has recently found that, when controlling for country context (and very particularly the presence of programmatic parties), the results of public sector management projects are more or less similar to those for projects in other sectors.  While this might offer some reassurance, it does not address the possibility that reform ambitions are being dumbed down in tough contexts to achieve this result. </w:t>
            </w:r>
          </w:p>
          <w:p w:rsidR="00715BD8" w:rsidRPr="00F71B40" w:rsidRDefault="00715BD8" w:rsidP="00D62A32">
            <w:pPr>
              <w:rPr>
                <w:rFonts w:cs="Times New Roman"/>
                <w:bCs/>
                <w:sz w:val="20"/>
                <w:szCs w:val="20"/>
                <w:lang w:val="en-AU"/>
              </w:rPr>
            </w:pPr>
          </w:p>
          <w:p w:rsidR="00715BD8" w:rsidRPr="00F71B40" w:rsidRDefault="00715BD8" w:rsidP="00D62A32">
            <w:pPr>
              <w:rPr>
                <w:rFonts w:cs="Times New Roman"/>
                <w:bCs/>
                <w:sz w:val="20"/>
                <w:szCs w:val="20"/>
                <w:lang w:val="en-AU"/>
              </w:rPr>
            </w:pPr>
            <w:r w:rsidRPr="00F71B40">
              <w:rPr>
                <w:rFonts w:cs="Times New Roman"/>
                <w:bCs/>
                <w:sz w:val="20"/>
                <w:szCs w:val="20"/>
                <w:lang w:val="en-AU"/>
              </w:rPr>
              <w:t>In high income countries with no external intervention,</w:t>
            </w:r>
            <w:r w:rsidRPr="00F71B40">
              <w:rPr>
                <w:rFonts w:cs="Times New Roman"/>
                <w:sz w:val="20"/>
                <w:szCs w:val="20"/>
                <w:lang w:val="en-AU"/>
              </w:rPr>
              <w:t xml:space="preserve"> public sector reforms also show very mixed results </w:t>
            </w:r>
            <w:r w:rsidR="00115AC9" w:rsidRPr="00F71B40">
              <w:rPr>
                <w:rFonts w:cs="Times New Roman"/>
                <w:sz w:val="20"/>
                <w:szCs w:val="20"/>
                <w:lang w:val="en-AU"/>
              </w:rPr>
              <w:fldChar w:fldCharType="begin"/>
            </w:r>
            <w:r w:rsidR="00115AC9" w:rsidRPr="00F71B40">
              <w:rPr>
                <w:rFonts w:cs="Times New Roman"/>
                <w:sz w:val="20"/>
                <w:szCs w:val="20"/>
                <w:lang w:val="en-AU"/>
              </w:rPr>
              <w:instrText xml:space="preserve"> ADDIN EN.CITE &lt;EndNote&gt;&lt;Cite&gt;&lt;Author&gt;Alonso&lt;/Author&gt;&lt;Year&gt;2011&lt;/Year&gt;&lt;RecNum&gt;3759&lt;/RecNum&gt;&lt;DisplayText&gt;(Alonso, Clifton, &amp;amp; Diaz-Fuentes, 2011; Van Dooren, Lonti, Sterck, &amp;amp; Bouckaert, 2007)&lt;/DisplayText&gt;&lt;record&gt;&lt;rec-number&gt;3759&lt;/rec-number&gt;&lt;foreign-keys&gt;&lt;key app="EN" db-id="5v9z5rrdszvwsneef06v9dapsd0apdtfapdx" timestamp="0"&gt;3759&lt;/key&gt;&lt;/foreign-keys&gt;&lt;ref-type name="Report"&gt;27&lt;/ref-type&gt;&lt;contributors&gt;&lt;authors&gt;&lt;author&gt;Alonso, J.&lt;/author&gt;&lt;author&gt;Clifton, J.&lt;/author&gt;&lt;author&gt;Diaz-Fuentes, D.&lt;/author&gt;&lt;/authors&gt;&lt;/contributors&gt;&lt;titles&gt;&lt;title&gt;An empirical analysis of the outsourcing and decentralization effects on public sector size (COCOPS Working Paper No.4)&lt;/title&gt;&lt;/titles&gt;&lt;dates&gt;&lt;year&gt;2011&lt;/year&gt;&lt;/dates&gt;&lt;pub-location&gt;Brussels&lt;/pub-location&gt;&lt;publisher&gt;European Commission&lt;/publisher&gt;&lt;urls&gt;&lt;/urls&gt;&lt;/record&gt;&lt;/Cite&gt;&lt;Cite&gt;&lt;Author&gt;Van Dooren&lt;/Author&gt;&lt;Year&gt;2007&lt;/Year&gt;&lt;RecNum&gt;1048&lt;/RecNum&gt;&lt;record&gt;&lt;rec-number&gt;1048&lt;/rec-number&gt;&lt;foreign-keys&gt;&lt;key app="EN" db-id="5v9z5rrdszvwsneef06v9dapsd0apdtfapdx" timestamp="0"&gt;1048&lt;/key&gt;&lt;/foreign-keys&gt;&lt;ref-type name="Report"&gt;27&lt;/ref-type&gt;&lt;contributors&gt;&lt;authors&gt;&lt;author&gt;Van Dooren, Wouter&lt;/author&gt;&lt;author&gt;Zsuzsanna Lonti&lt;/author&gt;&lt;author&gt;Miekatrien Sterck&lt;/author&gt;&lt;author&gt;Geert Bouckaert&lt;/author&gt;&lt;/authors&gt;&lt;/contributors&gt;&lt;titles&gt;&lt;title&gt;Institutional Drivers of Efficiency in the Public Sector&lt;/title&gt;&lt;/titles&gt;&lt;dates&gt;&lt;year&gt;2007&lt;/year&gt;&lt;/dates&gt;&lt;pub-location&gt;Paris&lt;/pub-location&gt;&lt;publisher&gt;OECD&lt;/publisher&gt;&lt;urls&gt;&lt;related-urls&gt;&lt;url&gt;http://www.oecd.org/dataoecd/42/38/40305170.pdf&lt;/url&gt;&lt;/related-urls&gt;&lt;/urls&gt;&lt;/record&gt;&lt;/Cite&gt;&lt;/EndNote&gt;</w:instrText>
            </w:r>
            <w:r w:rsidR="00115AC9" w:rsidRPr="00F71B40">
              <w:rPr>
                <w:rFonts w:cs="Times New Roman"/>
                <w:sz w:val="20"/>
                <w:szCs w:val="20"/>
                <w:lang w:val="en-AU"/>
              </w:rPr>
              <w:fldChar w:fldCharType="separate"/>
            </w:r>
            <w:r w:rsidR="00115AC9" w:rsidRPr="00F71B40">
              <w:rPr>
                <w:rFonts w:cs="Times New Roman"/>
                <w:sz w:val="20"/>
                <w:szCs w:val="20"/>
                <w:lang w:val="en-AU"/>
              </w:rPr>
              <w:t>(</w:t>
            </w:r>
            <w:hyperlink w:anchor="_ENREF_3" w:tooltip="Alonso, 2011 #3759" w:history="1">
              <w:r w:rsidR="00CC56DB" w:rsidRPr="00F71B40">
                <w:rPr>
                  <w:rFonts w:cs="Times New Roman"/>
                  <w:sz w:val="20"/>
                  <w:szCs w:val="20"/>
                  <w:lang w:val="en-AU"/>
                </w:rPr>
                <w:t>Alonso, Clifton, &amp; Diaz-Fuentes, 2011</w:t>
              </w:r>
            </w:hyperlink>
            <w:r w:rsidR="00115AC9" w:rsidRPr="00F71B40">
              <w:rPr>
                <w:rFonts w:cs="Times New Roman"/>
                <w:sz w:val="20"/>
                <w:szCs w:val="20"/>
                <w:lang w:val="en-AU"/>
              </w:rPr>
              <w:t xml:space="preserve">; </w:t>
            </w:r>
            <w:hyperlink w:anchor="_ENREF_143" w:tooltip="Van Dooren, 2007 #1048" w:history="1">
              <w:r w:rsidR="00CC56DB" w:rsidRPr="00F71B40">
                <w:rPr>
                  <w:rFonts w:cs="Times New Roman"/>
                  <w:sz w:val="20"/>
                  <w:szCs w:val="20"/>
                  <w:lang w:val="en-AU"/>
                </w:rPr>
                <w:t>Van Dooren, Lonti, Sterck, &amp; Bouckaert, 2007</w:t>
              </w:r>
            </w:hyperlink>
            <w:r w:rsidR="00115AC9" w:rsidRPr="00F71B40">
              <w:rPr>
                <w:rFonts w:cs="Times New Roman"/>
                <w:sz w:val="20"/>
                <w:szCs w:val="20"/>
                <w:lang w:val="en-AU"/>
              </w:rPr>
              <w:t>)</w:t>
            </w:r>
            <w:r w:rsidR="00115AC9" w:rsidRPr="00F71B40">
              <w:rPr>
                <w:rFonts w:cs="Times New Roman"/>
                <w:sz w:val="20"/>
                <w:szCs w:val="20"/>
                <w:lang w:val="en-AU"/>
              </w:rPr>
              <w:fldChar w:fldCharType="end"/>
            </w:r>
            <w:r w:rsidRPr="00F71B40">
              <w:rPr>
                <w:rFonts w:cs="Times New Roman"/>
                <w:sz w:val="20"/>
                <w:szCs w:val="20"/>
                <w:lang w:val="en-AU"/>
              </w:rPr>
              <w:t>.</w:t>
            </w:r>
            <w:r w:rsidR="00E256D6">
              <w:rPr>
                <w:rFonts w:cs="Times New Roman"/>
                <w:bCs/>
                <w:sz w:val="20"/>
                <w:szCs w:val="20"/>
                <w:lang w:val="en-AU"/>
              </w:rPr>
              <w:t xml:space="preserve">  </w:t>
            </w:r>
            <w:r w:rsidRPr="00F71B40">
              <w:rPr>
                <w:rFonts w:cs="Times New Roman"/>
                <w:sz w:val="20"/>
                <w:szCs w:val="20"/>
                <w:lang w:val="en-AU"/>
              </w:rPr>
              <w:t xml:space="preserve">A recent large scale literature review of NPM-style public management reforms across the EU concluded that it has been a very hit-and-miss process with fewer than 9% of the 519 studies </w:t>
            </w:r>
            <w:r w:rsidR="00F71B40" w:rsidRPr="00F71B40">
              <w:rPr>
                <w:rFonts w:cs="Times New Roman"/>
                <w:sz w:val="20"/>
                <w:szCs w:val="20"/>
                <w:lang w:val="en-AU"/>
              </w:rPr>
              <w:t>analysed</w:t>
            </w:r>
            <w:r w:rsidRPr="00F71B40">
              <w:rPr>
                <w:rFonts w:cs="Times New Roman"/>
                <w:sz w:val="20"/>
                <w:szCs w:val="20"/>
                <w:lang w:val="en-AU"/>
              </w:rPr>
              <w:t xml:space="preserve"> showing</w:t>
            </w:r>
            <w:r w:rsidRPr="00F71B40">
              <w:rPr>
                <w:rFonts w:cs="Times New Roman"/>
                <w:color w:val="000000"/>
                <w:sz w:val="20"/>
                <w:szCs w:val="20"/>
                <w:lang w:val="en-AU"/>
              </w:rPr>
              <w:t xml:space="preserve"> plausible information about </w:t>
            </w:r>
            <w:r w:rsidRPr="00F71B40">
              <w:rPr>
                <w:rFonts w:cs="Times New Roman"/>
                <w:sz w:val="20"/>
                <w:szCs w:val="20"/>
                <w:lang w:val="en-AU"/>
              </w:rPr>
              <w:t xml:space="preserve">changes in outcomes resulting from reforms. Only about a quarter had such information on changes in outputs. In this minority </w:t>
            </w:r>
            <w:r w:rsidRPr="00F71B40">
              <w:rPr>
                <w:rFonts w:cs="Times New Roman"/>
                <w:bCs/>
                <w:sz w:val="20"/>
                <w:szCs w:val="20"/>
                <w:lang w:val="en-AU"/>
              </w:rPr>
              <w:t xml:space="preserve">of studies where there was information relating to changes attributed to reforms, only around half the findings indicated improvements </w:t>
            </w:r>
            <w:r w:rsidR="00115AC9" w:rsidRPr="00F71B40">
              <w:rPr>
                <w:rFonts w:cs="Times New Roman"/>
                <w:bCs/>
                <w:sz w:val="20"/>
                <w:szCs w:val="20"/>
                <w:lang w:val="en-AU"/>
              </w:rPr>
              <w:fldChar w:fldCharType="begin"/>
            </w:r>
            <w:r w:rsidR="00115AC9" w:rsidRPr="00F71B40">
              <w:rPr>
                <w:rFonts w:cs="Times New Roman"/>
                <w:bCs/>
                <w:sz w:val="20"/>
                <w:szCs w:val="20"/>
                <w:lang w:val="en-AU"/>
              </w:rPr>
              <w:instrText xml:space="preserve"> ADDIN EN.CITE &lt;EndNote&gt;&lt;Cite&gt;&lt;Author&gt;Pollitt&lt;/Author&gt;&lt;Year&gt;2011&lt;/Year&gt;&lt;RecNum&gt;4089&lt;/RecNum&gt;&lt;DisplayText&gt;(Pollitt &amp;amp; Dan, 2011)&lt;/DisplayText&gt;&lt;record&gt;&lt;rec-number&gt;4089&lt;/rec-number&gt;&lt;foreign-keys&gt;&lt;key app="EN" db-id="5v9z5rrdszvwsneef06v9dapsd0apdtfapdx" timestamp="1390705826"&gt;4089&lt;/key&gt;&lt;/foreign-keys&gt;&lt;ref-type name="Book"&gt;6&lt;/ref-type&gt;&lt;contributors&gt;&lt;authors&gt;&lt;author&gt;Christopher Pollitt&lt;/author&gt;&lt;author&gt;Sorin Dan&lt;/author&gt;&lt;/authors&gt;&lt;/contributors&gt;&lt;titles&gt;&lt;title&gt;THE IMPACTS OF THE NEW PUBLIC MANAGEMENT IN EUROPE: A META-ANALYSIS (COCOPS World Package 1 - deliverable 1)&lt;/title&gt;&lt;/titles&gt;&lt;dates&gt;&lt;year&gt;2011&lt;/year&gt;&lt;/dates&gt;&lt;pub-location&gt;Brussels&lt;/pub-location&gt;&lt;publisher&gt;European Commission&lt;/publisher&gt;&lt;urls&gt;&lt;/urls&gt;&lt;custom2&gt;Yes&lt;/custom2&gt;&lt;/record&gt;&lt;/Cite&gt;&lt;/EndNote&gt;</w:instrText>
            </w:r>
            <w:r w:rsidR="00115AC9" w:rsidRPr="00F71B40">
              <w:rPr>
                <w:rFonts w:cs="Times New Roman"/>
                <w:bCs/>
                <w:sz w:val="20"/>
                <w:szCs w:val="20"/>
                <w:lang w:val="en-AU"/>
              </w:rPr>
              <w:fldChar w:fldCharType="separate"/>
            </w:r>
            <w:r w:rsidR="00115AC9" w:rsidRPr="00F71B40">
              <w:rPr>
                <w:rFonts w:cs="Times New Roman"/>
                <w:bCs/>
                <w:sz w:val="20"/>
                <w:szCs w:val="20"/>
                <w:lang w:val="en-AU"/>
              </w:rPr>
              <w:t>(</w:t>
            </w:r>
            <w:hyperlink w:anchor="_ENREF_119" w:tooltip="Pollitt, 2011 #4089" w:history="1">
              <w:r w:rsidR="00CC56DB" w:rsidRPr="00F71B40">
                <w:rPr>
                  <w:rFonts w:cs="Times New Roman"/>
                  <w:bCs/>
                  <w:sz w:val="20"/>
                  <w:szCs w:val="20"/>
                  <w:lang w:val="en-AU"/>
                </w:rPr>
                <w:t>Pollitt &amp; Dan, 2011</w:t>
              </w:r>
            </w:hyperlink>
            <w:r w:rsidR="00115AC9" w:rsidRPr="00F71B40">
              <w:rPr>
                <w:rFonts w:cs="Times New Roman"/>
                <w:bCs/>
                <w:sz w:val="20"/>
                <w:szCs w:val="20"/>
                <w:lang w:val="en-AU"/>
              </w:rPr>
              <w:t>)</w:t>
            </w:r>
            <w:r w:rsidR="00115AC9" w:rsidRPr="00F71B40">
              <w:rPr>
                <w:rFonts w:cs="Times New Roman"/>
                <w:bCs/>
                <w:sz w:val="20"/>
                <w:szCs w:val="20"/>
                <w:lang w:val="en-AU"/>
              </w:rPr>
              <w:fldChar w:fldCharType="end"/>
            </w:r>
            <w:r w:rsidRPr="00F71B40">
              <w:rPr>
                <w:rFonts w:cs="Times New Roman"/>
                <w:bCs/>
                <w:sz w:val="20"/>
                <w:szCs w:val="20"/>
                <w:lang w:val="en-AU"/>
              </w:rPr>
              <w:t>.</w:t>
            </w:r>
            <w:r w:rsidR="00E256D6">
              <w:rPr>
                <w:rFonts w:cs="Times New Roman"/>
                <w:bCs/>
                <w:sz w:val="20"/>
                <w:szCs w:val="20"/>
                <w:lang w:val="en-AU"/>
              </w:rPr>
              <w:t xml:space="preserve">  </w:t>
            </w:r>
          </w:p>
          <w:p w:rsidR="00715BD8" w:rsidRPr="00F71B40" w:rsidRDefault="00715BD8" w:rsidP="00D62A32">
            <w:pPr>
              <w:rPr>
                <w:rFonts w:cs="Times New Roman"/>
                <w:sz w:val="20"/>
                <w:szCs w:val="20"/>
                <w:lang w:val="en-AU"/>
              </w:rPr>
            </w:pPr>
          </w:p>
          <w:p w:rsidR="00715BD8" w:rsidRPr="00F71B40" w:rsidRDefault="00715BD8" w:rsidP="00CC56DB">
            <w:pPr>
              <w:rPr>
                <w:rFonts w:cs="Times New Roman"/>
                <w:sz w:val="20"/>
                <w:szCs w:val="20"/>
                <w:lang w:val="en-AU"/>
              </w:rPr>
            </w:pPr>
            <w:r w:rsidRPr="00F71B40">
              <w:rPr>
                <w:rFonts w:cs="Times New Roman"/>
                <w:sz w:val="20"/>
                <w:szCs w:val="20"/>
                <w:lang w:val="en-AU"/>
              </w:rPr>
              <w:t xml:space="preserve">Such evaluations have led to much hand-wringing about the weak track record of public sector management reforms which combines with the vast and inconclusive literature on how to facilitate productive reform in fragile settings </w:t>
            </w:r>
            <w:r w:rsidR="00115AC9" w:rsidRPr="00F71B40">
              <w:rPr>
                <w:rFonts w:cs="Times New Roman"/>
                <w:sz w:val="20"/>
                <w:szCs w:val="20"/>
                <w:lang w:val="en-AU"/>
              </w:rPr>
              <w:fldChar w:fldCharType="begin">
                <w:fldData xml:space="preserve">PEVuZE5vdGU+PENpdGU+PEF1dGhvcj5Db3g8L0F1dGhvcj48WWVhcj4yMDA5PC9ZZWFyPjxSZWNO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</w:fldData>
              </w:fldChar>
            </w:r>
            <w:r w:rsidR="003F0C47">
              <w:rPr>
                <w:rFonts w:cs="Times New Roman"/>
                <w:sz w:val="20"/>
                <w:szCs w:val="20"/>
                <w:lang w:val="en-AU"/>
              </w:rPr>
              <w:instrText xml:space="preserve"> ADDIN EN.CITE </w:instrText>
            </w:r>
            <w:r w:rsidR="003F0C47">
              <w:rPr>
                <w:rFonts w:cs="Times New Roman"/>
                <w:sz w:val="20"/>
                <w:szCs w:val="20"/>
                <w:lang w:val="en-AU"/>
              </w:rPr>
              <w:fldChar w:fldCharType="begin">
                <w:fldData xml:space="preserve">PEVuZE5vdGU+PENpdGU+PEF1dGhvcj5Db3g8L0F1dGhvcj48WWVhcj4yMDA5PC9ZZWFyPjxSZWNO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</w:fldData>
              </w:fldChar>
            </w:r>
            <w:r w:rsidR="003F0C47">
              <w:rPr>
                <w:rFonts w:cs="Times New Roman"/>
                <w:sz w:val="20"/>
                <w:szCs w:val="20"/>
                <w:lang w:val="en-AU"/>
              </w:rPr>
              <w:instrText xml:space="preserve"> ADDIN EN.CITE.DATA </w:instrText>
            </w:r>
            <w:r w:rsidR="003F0C47">
              <w:rPr>
                <w:rFonts w:cs="Times New Roman"/>
                <w:sz w:val="20"/>
                <w:szCs w:val="20"/>
                <w:lang w:val="en-AU"/>
              </w:rPr>
            </w:r>
            <w:r w:rsidR="003F0C47">
              <w:rPr>
                <w:rFonts w:cs="Times New Roman"/>
                <w:sz w:val="20"/>
                <w:szCs w:val="20"/>
                <w:lang w:val="en-AU"/>
              </w:rPr>
              <w:fldChar w:fldCharType="end"/>
            </w:r>
            <w:r w:rsidR="00115AC9" w:rsidRPr="00F71B40">
              <w:rPr>
                <w:rFonts w:cs="Times New Roman"/>
                <w:sz w:val="20"/>
                <w:szCs w:val="20"/>
                <w:lang w:val="en-AU"/>
              </w:rPr>
            </w:r>
            <w:r w:rsidR="00115AC9" w:rsidRPr="00F71B40">
              <w:rPr>
                <w:rFonts w:cs="Times New Roman"/>
                <w:sz w:val="20"/>
                <w:szCs w:val="20"/>
                <w:lang w:val="en-AU"/>
              </w:rPr>
              <w:fldChar w:fldCharType="separate"/>
            </w:r>
            <w:r w:rsidR="00115AC9" w:rsidRPr="00F71B40">
              <w:rPr>
                <w:rFonts w:cs="Times New Roman"/>
                <w:noProof/>
                <w:sz w:val="20"/>
                <w:szCs w:val="20"/>
                <w:lang w:val="en-AU"/>
              </w:rPr>
              <w:t>(</w:t>
            </w:r>
            <w:hyperlink w:anchor="_ENREF_24" w:tooltip="Bellina, 2009 #4338" w:history="1">
              <w:r w:rsidR="00CC56DB" w:rsidRPr="00F71B40">
                <w:rPr>
                  <w:rFonts w:cs="Times New Roman"/>
                  <w:noProof/>
                  <w:sz w:val="20"/>
                  <w:szCs w:val="20"/>
                  <w:lang w:val="en-AU"/>
                </w:rPr>
                <w:t>Bellina, Darbon, Eriksen, &amp; Sending, 2009</w:t>
              </w:r>
            </w:hyperlink>
            <w:r w:rsidR="00115AC9" w:rsidRPr="00F71B40">
              <w:rPr>
                <w:rFonts w:cs="Times New Roman"/>
                <w:noProof/>
                <w:sz w:val="20"/>
                <w:szCs w:val="20"/>
                <w:lang w:val="en-AU"/>
              </w:rPr>
              <w:t xml:space="preserve">; </w:t>
            </w:r>
            <w:hyperlink w:anchor="_ENREF_39" w:tooltip="Cox, 2009 #4340" w:history="1">
              <w:r w:rsidR="00CC56DB" w:rsidRPr="00F71B40">
                <w:rPr>
                  <w:rFonts w:cs="Times New Roman"/>
                  <w:noProof/>
                  <w:sz w:val="20"/>
                  <w:szCs w:val="20"/>
                  <w:lang w:val="en-AU"/>
                </w:rPr>
                <w:t>Cox &amp; Hemon, 2009</w:t>
              </w:r>
            </w:hyperlink>
            <w:r w:rsidR="00115AC9" w:rsidRPr="00F71B40">
              <w:rPr>
                <w:rFonts w:cs="Times New Roman"/>
                <w:noProof/>
                <w:sz w:val="20"/>
                <w:szCs w:val="20"/>
                <w:lang w:val="en-AU"/>
              </w:rPr>
              <w:t xml:space="preserve">; </w:t>
            </w:r>
            <w:hyperlink w:anchor="_ENREF_43" w:tooltip="DAC Fragile States Group,  #4336" w:history="1">
              <w:r w:rsidR="00CC56DB" w:rsidRPr="00F71B40">
                <w:rPr>
                  <w:rFonts w:cs="Times New Roman"/>
                  <w:noProof/>
                  <w:sz w:val="20"/>
                  <w:szCs w:val="20"/>
                  <w:lang w:val="en-AU"/>
                </w:rPr>
                <w:t>DAC Fragile States Group</w:t>
              </w:r>
            </w:hyperlink>
            <w:r w:rsidR="00115AC9" w:rsidRPr="00F71B40">
              <w:rPr>
                <w:rFonts w:cs="Times New Roman"/>
                <w:noProof/>
                <w:sz w:val="20"/>
                <w:szCs w:val="20"/>
                <w:lang w:val="en-AU"/>
              </w:rPr>
              <w:t xml:space="preserve">; </w:t>
            </w:r>
            <w:hyperlink w:anchor="_ENREF_52" w:tooltip="DfID, 2012 #4322" w:history="1">
              <w:r w:rsidR="00CC56DB" w:rsidRPr="00F71B40">
                <w:rPr>
                  <w:rFonts w:cs="Times New Roman"/>
                  <w:noProof/>
                  <w:sz w:val="20"/>
                  <w:szCs w:val="20"/>
                  <w:lang w:val="en-AU"/>
                </w:rPr>
                <w:t>DfID, 2012</w:t>
              </w:r>
            </w:hyperlink>
            <w:r w:rsidR="00115AC9" w:rsidRPr="00F71B40">
              <w:rPr>
                <w:rFonts w:cs="Times New Roman"/>
                <w:noProof/>
                <w:sz w:val="20"/>
                <w:szCs w:val="20"/>
                <w:lang w:val="en-AU"/>
              </w:rPr>
              <w:t xml:space="preserve">; </w:t>
            </w:r>
            <w:hyperlink w:anchor="_ENREF_76" w:tooltip="Independent Evaluation Group, 2006 #4334" w:history="1">
              <w:r w:rsidR="00CC56DB" w:rsidRPr="00F71B40">
                <w:rPr>
                  <w:rFonts w:cs="Times New Roman"/>
                  <w:noProof/>
                  <w:sz w:val="20"/>
                  <w:szCs w:val="20"/>
                  <w:lang w:val="en-AU"/>
                </w:rPr>
                <w:t>Independent Evaluation Group, 2006</w:t>
              </w:r>
            </w:hyperlink>
            <w:r w:rsidR="00115AC9" w:rsidRPr="00F71B40">
              <w:rPr>
                <w:rFonts w:cs="Times New Roman"/>
                <w:noProof/>
                <w:sz w:val="20"/>
                <w:szCs w:val="20"/>
                <w:lang w:val="en-AU"/>
              </w:rPr>
              <w:t xml:space="preserve">; </w:t>
            </w:r>
            <w:hyperlink w:anchor="_ENREF_91" w:tooltip="Leftwich, 2010 #4339" w:history="1">
              <w:r w:rsidR="00CC56DB" w:rsidRPr="00F71B40">
                <w:rPr>
                  <w:rFonts w:cs="Times New Roman"/>
                  <w:noProof/>
                  <w:sz w:val="20"/>
                  <w:szCs w:val="20"/>
                  <w:lang w:val="en-AU"/>
                </w:rPr>
                <w:t>Leftwich &amp; Sen, 2010</w:t>
              </w:r>
            </w:hyperlink>
            <w:r w:rsidR="00115AC9" w:rsidRPr="00F71B40">
              <w:rPr>
                <w:rFonts w:cs="Times New Roman"/>
                <w:noProof/>
                <w:sz w:val="20"/>
                <w:szCs w:val="20"/>
                <w:lang w:val="en-AU"/>
              </w:rPr>
              <w:t xml:space="preserve">; </w:t>
            </w:r>
            <w:hyperlink w:anchor="_ENREF_95" w:tooltip="London School of Economics and PricewaterhouseCoopers LLP, 2010 #4337" w:history="1">
              <w:r w:rsidR="00CC56DB" w:rsidRPr="00F71B40">
                <w:rPr>
                  <w:rFonts w:cs="Times New Roman"/>
                  <w:noProof/>
                  <w:sz w:val="20"/>
                  <w:szCs w:val="20"/>
                  <w:lang w:val="en-AU"/>
                </w:rPr>
                <w:t>London School of Economics and PricewaterhouseCoopers LLP, 2010</w:t>
              </w:r>
            </w:hyperlink>
            <w:r w:rsidR="00115AC9" w:rsidRPr="00F71B40">
              <w:rPr>
                <w:rFonts w:cs="Times New Roman"/>
                <w:noProof/>
                <w:sz w:val="20"/>
                <w:szCs w:val="20"/>
                <w:lang w:val="en-AU"/>
              </w:rPr>
              <w:t xml:space="preserve">; </w:t>
            </w:r>
            <w:hyperlink w:anchor="_ENREF_106" w:tooltip="McLoughlin, 2014 #4319" w:history="1">
              <w:r w:rsidR="00CC56DB" w:rsidRPr="00F71B40">
                <w:rPr>
                  <w:rFonts w:cs="Times New Roman"/>
                  <w:noProof/>
                  <w:sz w:val="20"/>
                  <w:szCs w:val="20"/>
                  <w:lang w:val="en-AU"/>
                </w:rPr>
                <w:t>McLoughlin, 2014</w:t>
              </w:r>
            </w:hyperlink>
            <w:r w:rsidR="00115AC9" w:rsidRPr="00F71B40">
              <w:rPr>
                <w:rFonts w:cs="Times New Roman"/>
                <w:noProof/>
                <w:sz w:val="20"/>
                <w:szCs w:val="20"/>
                <w:lang w:val="en-AU"/>
              </w:rPr>
              <w:t xml:space="preserve">; </w:t>
            </w:r>
            <w:hyperlink w:anchor="_ENREF_120" w:tooltip="Porter, 2010 #4068" w:history="1">
              <w:r w:rsidR="00CC56DB" w:rsidRPr="00F71B40">
                <w:rPr>
                  <w:rFonts w:cs="Times New Roman"/>
                  <w:noProof/>
                  <w:sz w:val="20"/>
                  <w:szCs w:val="20"/>
                  <w:lang w:val="en-AU"/>
                </w:rPr>
                <w:t>Porter, Andrews, Turkewitz, &amp; Wescott, 2010</w:t>
              </w:r>
            </w:hyperlink>
            <w:r w:rsidR="00115AC9" w:rsidRPr="00F71B40">
              <w:rPr>
                <w:rFonts w:cs="Times New Roman"/>
                <w:noProof/>
                <w:sz w:val="20"/>
                <w:szCs w:val="20"/>
                <w:lang w:val="en-AU"/>
              </w:rPr>
              <w:t xml:space="preserve">; </w:t>
            </w:r>
            <w:hyperlink w:anchor="_ENREF_121" w:tooltip="Porter, 2010 #3017" w:history="1">
              <w:r w:rsidR="00CC56DB" w:rsidRPr="00F71B40">
                <w:rPr>
                  <w:rFonts w:cs="Times New Roman"/>
                  <w:noProof/>
                  <w:sz w:val="20"/>
                  <w:szCs w:val="20"/>
                  <w:lang w:val="en-AU"/>
                </w:rPr>
                <w:t>Porter, Andrews, &amp; Wescott, 2010</w:t>
              </w:r>
            </w:hyperlink>
            <w:r w:rsidR="00115AC9" w:rsidRPr="00F71B40">
              <w:rPr>
                <w:rFonts w:cs="Times New Roman"/>
                <w:noProof/>
                <w:sz w:val="20"/>
                <w:szCs w:val="20"/>
                <w:lang w:val="en-AU"/>
              </w:rPr>
              <w:t xml:space="preserve">; </w:t>
            </w:r>
            <w:hyperlink w:anchor="_ENREF_123" w:tooltip="Pritchett, 2010 #3329" w:history="1">
              <w:r w:rsidR="00CC56DB" w:rsidRPr="00F71B40">
                <w:rPr>
                  <w:rFonts w:cs="Times New Roman"/>
                  <w:noProof/>
                  <w:sz w:val="20"/>
                  <w:szCs w:val="20"/>
                  <w:lang w:val="en-AU"/>
                </w:rPr>
                <w:t>Pritchett &amp; de Weijer, 2010</w:t>
              </w:r>
            </w:hyperlink>
            <w:r w:rsidR="00115AC9" w:rsidRPr="00F71B40">
              <w:rPr>
                <w:rFonts w:cs="Times New Roman"/>
                <w:noProof/>
                <w:sz w:val="20"/>
                <w:szCs w:val="20"/>
                <w:lang w:val="en-AU"/>
              </w:rPr>
              <w:t>)</w:t>
            </w:r>
            <w:r w:rsidR="00115AC9" w:rsidRPr="00F71B40">
              <w:rPr>
                <w:rFonts w:cs="Times New Roman"/>
                <w:sz w:val="20"/>
                <w:szCs w:val="20"/>
                <w:lang w:val="en-AU"/>
              </w:rPr>
              <w:fldChar w:fldCharType="end"/>
            </w:r>
            <w:r w:rsidRPr="00F71B40">
              <w:rPr>
                <w:rFonts w:cs="Times New Roman"/>
                <w:sz w:val="20"/>
                <w:szCs w:val="20"/>
                <w:lang w:val="en-AU"/>
              </w:rPr>
              <w:t xml:space="preserve"> to produce considerable uncertainty in the field.</w:t>
            </w:r>
          </w:p>
        </w:tc>
      </w:tr>
    </w:tbl>
    <w:p w:rsidR="00715BD8" w:rsidRPr="00F71B40" w:rsidRDefault="00715BD8" w:rsidP="00D62A32">
      <w:pPr>
        <w:rPr>
          <w:rFonts w:cs="Times New Roman"/>
          <w:lang w:val="en-AU"/>
        </w:rPr>
      </w:pPr>
    </w:p>
    <w:p w:rsidR="002A2370" w:rsidRPr="00F71B40" w:rsidRDefault="00715BD8" w:rsidP="00D62A32">
      <w:pPr>
        <w:rPr>
          <w:rFonts w:cs="Times New Roman"/>
          <w:lang w:val="en-AU"/>
        </w:rPr>
      </w:pPr>
      <w:r w:rsidRPr="00F71B40">
        <w:rPr>
          <w:rFonts w:cs="Times New Roman"/>
          <w:lang w:val="en-AU"/>
        </w:rPr>
        <w:fldChar w:fldCharType="begin"/>
      </w:r>
      <w:r w:rsidRPr="00F71B40">
        <w:rPr>
          <w:rFonts w:cs="Times New Roman"/>
          <w:lang w:val="en-AU"/>
        </w:rPr>
        <w:instrText xml:space="preserve"> REF _Ref399332864 \h  \* MERGEFORMAT </w:instrText>
      </w:r>
      <w:r w:rsidRPr="00F71B40">
        <w:rPr>
          <w:rFonts w:cs="Times New Roman"/>
          <w:lang w:val="en-AU"/>
        </w:rPr>
      </w:r>
      <w:r w:rsidRPr="00F71B40">
        <w:rPr>
          <w:rFonts w:cs="Times New Roman"/>
          <w:lang w:val="en-AU"/>
        </w:rPr>
        <w:fldChar w:fldCharType="separate"/>
      </w:r>
      <w:r w:rsidR="00EF43BE" w:rsidRPr="00F71B40">
        <w:rPr>
          <w:lang w:val="en-AU"/>
        </w:rPr>
        <w:t xml:space="preserve">Box </w:t>
      </w:r>
      <w:r w:rsidR="00EF43BE">
        <w:rPr>
          <w:lang w:val="en-AU"/>
        </w:rPr>
        <w:t>1</w:t>
      </w:r>
      <w:r w:rsidRPr="00F71B40">
        <w:rPr>
          <w:rFonts w:cs="Times New Roman"/>
          <w:lang w:val="en-AU"/>
        </w:rPr>
        <w:fldChar w:fldCharType="end"/>
      </w:r>
      <w:r w:rsidRPr="00F71B40">
        <w:rPr>
          <w:rFonts w:cs="Times New Roman"/>
          <w:lang w:val="en-AU"/>
        </w:rPr>
        <w:t xml:space="preserve"> summarizes some recent evidence concerning the limited impact of public sector reforms.  </w:t>
      </w:r>
    </w:p>
    <w:p w:rsidR="002A2370" w:rsidRPr="00F71B40" w:rsidRDefault="00483B70" w:rsidP="00D62A32">
      <w:pPr>
        <w:rPr>
          <w:lang w:val="en-AU"/>
        </w:rPr>
      </w:pPr>
      <w:r w:rsidRPr="00F71B40">
        <w:rPr>
          <w:lang w:val="en-AU"/>
        </w:rPr>
        <w:t xml:space="preserve">RAMSI </w:t>
      </w:r>
      <w:r w:rsidR="00216109" w:rsidRPr="00F71B40">
        <w:rPr>
          <w:lang w:val="en-AU"/>
        </w:rPr>
        <w:t>did no worse than other programs in other similar settings and, even in retrospect, i</w:t>
      </w:r>
      <w:r w:rsidR="00EF09C4" w:rsidRPr="00F71B40">
        <w:rPr>
          <w:lang w:val="en-AU"/>
        </w:rPr>
        <w:t>t is not clear what else could have been done</w:t>
      </w:r>
      <w:r w:rsidR="00216109" w:rsidRPr="00F71B40">
        <w:rPr>
          <w:lang w:val="en-AU"/>
        </w:rPr>
        <w:t xml:space="preserve">.  </w:t>
      </w:r>
      <w:r w:rsidR="002A2370" w:rsidRPr="00F71B40">
        <w:rPr>
          <w:rFonts w:cs="Times New Roman"/>
          <w:lang w:val="en-AU"/>
        </w:rPr>
        <w:t>The overlapping explanations for the poor track record of external support for public sector reform can be grouped under several headings, set out in</w:t>
      </w:r>
      <w:r w:rsidR="00AD28DB" w:rsidRPr="00F71B40">
        <w:rPr>
          <w:rFonts w:cs="Times New Roman"/>
          <w:lang w:val="en-AU"/>
        </w:rPr>
        <w:t xml:space="preserve"> </w:t>
      </w:r>
      <w:r w:rsidR="00AD28DB" w:rsidRPr="00F71B40">
        <w:rPr>
          <w:rFonts w:cs="Times New Roman"/>
          <w:i/>
          <w:lang w:val="en-AU"/>
        </w:rPr>
        <w:fldChar w:fldCharType="begin"/>
      </w:r>
      <w:r w:rsidR="00AD28DB" w:rsidRPr="00F71B40">
        <w:rPr>
          <w:rFonts w:cs="Times New Roman"/>
          <w:i/>
          <w:lang w:val="en-AU"/>
        </w:rPr>
        <w:instrText xml:space="preserve"> REF _Ref399344980 \h  \* MERGEFORMAT </w:instrText>
      </w:r>
      <w:r w:rsidR="00AD28DB" w:rsidRPr="00F71B40">
        <w:rPr>
          <w:rFonts w:cs="Times New Roman"/>
          <w:i/>
          <w:lang w:val="en-AU"/>
        </w:rPr>
      </w:r>
      <w:r w:rsidR="00AD28DB" w:rsidRPr="00F71B40">
        <w:rPr>
          <w:rFonts w:cs="Times New Roman"/>
          <w:i/>
          <w:lang w:val="en-AU"/>
        </w:rPr>
        <w:fldChar w:fldCharType="separate"/>
      </w:r>
      <w:r w:rsidR="00EF43BE" w:rsidRPr="006A70A3">
        <w:rPr>
          <w:i/>
          <w:lang w:val="en-AU"/>
        </w:rPr>
        <w:t>Annex 1: Explanations for the limited track record of public sector management reforms</w:t>
      </w:r>
      <w:r w:rsidR="00AD28DB" w:rsidRPr="00F71B40">
        <w:rPr>
          <w:rFonts w:cs="Times New Roman"/>
          <w:i/>
          <w:lang w:val="en-AU"/>
        </w:rPr>
        <w:fldChar w:fldCharType="end"/>
      </w:r>
      <w:r w:rsidR="00B05BFB" w:rsidRPr="00F71B40">
        <w:rPr>
          <w:rFonts w:cs="Times New Roman"/>
          <w:lang w:val="en-AU"/>
        </w:rPr>
        <w:t>.</w:t>
      </w:r>
    </w:p>
    <w:p w:rsidR="002A2370" w:rsidRPr="00F71B40" w:rsidRDefault="002A2370" w:rsidP="00D62A32">
      <w:pPr>
        <w:rPr>
          <w:rFonts w:cs="Times New Roman"/>
          <w:lang w:val="en-AU"/>
        </w:rPr>
      </w:pPr>
    </w:p>
    <w:p w:rsidR="00CF3A88" w:rsidRPr="00F71B40" w:rsidRDefault="00715BD8" w:rsidP="00D62A32">
      <w:pPr>
        <w:pStyle w:val="Heading1"/>
        <w:rPr>
          <w:lang w:val="en-AU"/>
        </w:rPr>
      </w:pPr>
      <w:bookmarkStart w:id="29" w:name="_Ref399258484"/>
      <w:bookmarkStart w:id="30" w:name="_Ref399258512"/>
      <w:bookmarkStart w:id="31" w:name="_Ref399258565"/>
      <w:bookmarkStart w:id="32" w:name="_Toc399410384"/>
      <w:r w:rsidRPr="00F71B40">
        <w:rPr>
          <w:lang w:val="en-AU"/>
        </w:rPr>
        <w:lastRenderedPageBreak/>
        <w:t xml:space="preserve">The distinctive </w:t>
      </w:r>
      <w:r w:rsidR="00F6551C" w:rsidRPr="00F71B40">
        <w:rPr>
          <w:lang w:val="en-AU"/>
        </w:rPr>
        <w:t xml:space="preserve">political </w:t>
      </w:r>
      <w:r w:rsidRPr="00F71B40">
        <w:rPr>
          <w:lang w:val="en-AU"/>
        </w:rPr>
        <w:t xml:space="preserve">logic of </w:t>
      </w:r>
      <w:r w:rsidR="00F6551C" w:rsidRPr="00F71B40">
        <w:rPr>
          <w:lang w:val="en-AU"/>
        </w:rPr>
        <w:t>Solomon Islands</w:t>
      </w:r>
      <w:bookmarkEnd w:id="29"/>
      <w:bookmarkEnd w:id="30"/>
      <w:bookmarkEnd w:id="31"/>
      <w:bookmarkEnd w:id="32"/>
    </w:p>
    <w:p w:rsidR="00A37077" w:rsidRPr="00F71B40" w:rsidRDefault="00A37077" w:rsidP="00D62A32">
      <w:pPr>
        <w:keepNext/>
        <w:keepLines/>
        <w:rPr>
          <w:lang w:val="en-AU"/>
        </w:rPr>
      </w:pPr>
    </w:p>
    <w:p w:rsidR="00A37077" w:rsidRPr="00F71B40" w:rsidRDefault="00A37077" w:rsidP="00D62A32">
      <w:pPr>
        <w:keepNext/>
        <w:keepLines/>
        <w:rPr>
          <w:lang w:val="en-AU"/>
        </w:rPr>
      </w:pPr>
      <w:r w:rsidRPr="00F71B40">
        <w:rPr>
          <w:lang w:val="en-AU"/>
        </w:rPr>
        <w:t xml:space="preserve">This section notes that in Solomon Islands, politicians and not public servants are seen as the providers of public services.  The continued growth in the Constituency Development Funds is both cause and effect of </w:t>
      </w:r>
      <w:r w:rsidR="00860020" w:rsidRPr="00F71B40">
        <w:rPr>
          <w:lang w:val="en-AU"/>
        </w:rPr>
        <w:t xml:space="preserve">the very personal and transactional relationship which MPs have with their constituents.  The roots of this arrangement lie in the </w:t>
      </w:r>
      <w:r w:rsidR="00866B58">
        <w:rPr>
          <w:lang w:val="en-AU"/>
        </w:rPr>
        <w:t>nature</w:t>
      </w:r>
      <w:r w:rsidR="00866B58" w:rsidRPr="00F71B40">
        <w:rPr>
          <w:lang w:val="en-AU"/>
        </w:rPr>
        <w:t xml:space="preserve"> </w:t>
      </w:r>
      <w:r w:rsidR="00860020" w:rsidRPr="00F71B40">
        <w:rPr>
          <w:lang w:val="en-AU"/>
        </w:rPr>
        <w:t>of the political parties.</w:t>
      </w:r>
    </w:p>
    <w:p w:rsidR="00A004BB" w:rsidRPr="00F71B40" w:rsidRDefault="00A004BB" w:rsidP="00D62A32">
      <w:pPr>
        <w:rPr>
          <w:lang w:val="en-AU"/>
        </w:rPr>
      </w:pPr>
    </w:p>
    <w:p w:rsidR="00A004BB" w:rsidRPr="00F71B40" w:rsidRDefault="007E33C1" w:rsidP="00D62A32">
      <w:pPr>
        <w:pStyle w:val="Heading2"/>
        <w:rPr>
          <w:lang w:val="en-AU"/>
        </w:rPr>
      </w:pPr>
      <w:bookmarkStart w:id="33" w:name="_Ref399258486"/>
      <w:bookmarkStart w:id="34" w:name="_Ref399258514"/>
      <w:bookmarkStart w:id="35" w:name="_Ref399258569"/>
      <w:bookmarkStart w:id="36" w:name="_Toc399410385"/>
      <w:r w:rsidRPr="00F71B40">
        <w:rPr>
          <w:lang w:val="en-AU"/>
        </w:rPr>
        <w:t xml:space="preserve">Politicians do not see the </w:t>
      </w:r>
      <w:r w:rsidR="00A004BB" w:rsidRPr="00F71B40">
        <w:rPr>
          <w:lang w:val="en-AU"/>
        </w:rPr>
        <w:t xml:space="preserve">public service </w:t>
      </w:r>
      <w:r w:rsidRPr="00F71B40">
        <w:rPr>
          <w:lang w:val="en-AU"/>
        </w:rPr>
        <w:t xml:space="preserve">as </w:t>
      </w:r>
      <w:r w:rsidR="00A004BB" w:rsidRPr="00F71B40">
        <w:rPr>
          <w:lang w:val="en-AU"/>
        </w:rPr>
        <w:t xml:space="preserve">the </w:t>
      </w:r>
      <w:r w:rsidRPr="00F71B40">
        <w:rPr>
          <w:lang w:val="en-AU"/>
        </w:rPr>
        <w:t xml:space="preserve">key </w:t>
      </w:r>
      <w:r w:rsidR="00A004BB" w:rsidRPr="00F71B40">
        <w:rPr>
          <w:lang w:val="en-AU"/>
        </w:rPr>
        <w:t>vehicle for implementing public policies</w:t>
      </w:r>
      <w:bookmarkEnd w:id="33"/>
      <w:bookmarkEnd w:id="34"/>
      <w:bookmarkEnd w:id="35"/>
      <w:bookmarkEnd w:id="36"/>
    </w:p>
    <w:p w:rsidR="00CF3A88" w:rsidRPr="00F71B40" w:rsidRDefault="00CF3A88" w:rsidP="00D62A32">
      <w:pPr>
        <w:rPr>
          <w:rFonts w:cs="Times New Roman"/>
          <w:lang w:val="en-AU"/>
        </w:rPr>
      </w:pPr>
    </w:p>
    <w:p w:rsidR="000550D1" w:rsidRPr="00F71B40" w:rsidRDefault="00A81943" w:rsidP="00D62A32">
      <w:pPr>
        <w:rPr>
          <w:rFonts w:cs="Times New Roman"/>
          <w:lang w:val="en-AU"/>
        </w:rPr>
      </w:pPr>
      <w:r w:rsidRPr="00F71B40">
        <w:rPr>
          <w:rFonts w:cs="Times New Roman"/>
          <w:lang w:val="en-AU"/>
        </w:rPr>
        <w:t>Much is said about the limited sense of nationhood in Solomon Islands</w:t>
      </w:r>
      <w:r w:rsidR="009375AD" w:rsidRPr="00F71B40">
        <w:rPr>
          <w:rFonts w:cs="Times New Roman"/>
          <w:lang w:val="en-AU"/>
        </w:rPr>
        <w:t xml:space="preserve"> </w:t>
      </w:r>
      <w:r w:rsidR="00115AC9" w:rsidRPr="00F71B40">
        <w:rPr>
          <w:rFonts w:cs="Times New Roman"/>
          <w:lang w:val="en-AU"/>
        </w:rPr>
        <w:fldChar w:fldCharType="begin"/>
      </w:r>
      <w:r w:rsidR="00115AC9" w:rsidRPr="00F71B40">
        <w:rPr>
          <w:rFonts w:cs="Times New Roman"/>
          <w:lang w:val="en-AU"/>
        </w:rPr>
        <w:instrText xml:space="preserve"> ADDIN EN.CITE &lt;EndNote&gt;&lt;Cite&gt;&lt;Author&gt;Dinnen&lt;/Author&gt;&lt;Year&gt;2008&lt;/Year&gt;&lt;RecNum&gt;4280&lt;/RecNum&gt;&lt;DisplayText&gt;(Brown, 2012; Dinnen, 2008; Fukuyama, 2008)&lt;/DisplayText&gt;&lt;record&gt;&lt;rec-number&gt;4280&lt;/rec-number&gt;&lt;foreign-keys&gt;&lt;key app="EN" db-id="5v9z5rrdszvwsneef06v9dapsd0apdtfapdx" timestamp="1408473908"&gt;4280&lt;/key&gt;&lt;/foreign-keys&gt;&lt;ref-type name="Journal Article"&gt;17&lt;/ref-type&gt;&lt;contributors&gt;&lt;authors&gt;&lt;author&gt;Dinnen, S.&lt;/author&gt;&lt;/authors&gt;&lt;/contributors&gt;&lt;titles&gt;&lt;title&gt;The Solomon Islands Intervention and the Instabilities of the Post-Colonial State&lt;/title&gt;&lt;secondary-title&gt;Global Change, Peace and Secutiry&lt;/secondary-title&gt;&lt;/titles&gt;&lt;pages&gt;339-355&lt;/pages&gt;&lt;volume&gt;20&lt;/volume&gt;&lt;number&gt;3&lt;/number&gt;&lt;dates&gt;&lt;year&gt;2008&lt;/year&gt;&lt;/dates&gt;&lt;urls&gt;&lt;/urls&gt;&lt;/record&gt;&lt;/Cite&gt;&lt;Cite&gt;&lt;Author&gt;Fukuyama&lt;/Author&gt;&lt;Year&gt;2008&lt;/Year&gt;&lt;RecNum&gt;4281&lt;/RecNum&gt;&lt;record&gt;&lt;rec-number&gt;4281&lt;/rec-number&gt;&lt;foreign-keys&gt;&lt;key app="EN" db-id="5v9z5rrdszvwsneef06v9dapsd0apdtfapdx" timestamp="1408474250"&gt;4281&lt;/key&gt;&lt;/foreign-keys&gt;&lt;ref-type name="Journal Article"&gt;17&lt;/ref-type&gt;&lt;contributors&gt;&lt;authors&gt;&lt;author&gt;Fukuyama, Francis&lt;/author&gt;&lt;/authors&gt;&lt;secondary-authors&gt;&lt;author&gt;School of Advanced International Studies&lt;/author&gt;&lt;/secondary-authors&gt;&lt;/contributors&gt;&lt;titles&gt;&lt;title&gt;STATE-BUILDING IN THE SOLOMON ISLANDS&lt;/title&gt;&lt;secondary-title&gt;Pacific Economic Bulletin&lt;/secondary-title&gt;&lt;/titles&gt;&lt;pages&gt;18-34&lt;/pages&gt;&lt;volume&gt;23&lt;/volume&gt;&lt;number&gt;3&lt;/number&gt;&lt;dates&gt;&lt;year&gt;2008&lt;/year&gt;&lt;/dates&gt;&lt;urls&gt;&lt;/urls&gt;&lt;/record&gt;&lt;/Cite&gt;&lt;Cite&gt;&lt;Author&gt;Brown&lt;/Author&gt;&lt;Year&gt;2012&lt;/Year&gt;&lt;RecNum&gt;4287&lt;/RecNum&gt;&lt;record&gt;&lt;rec-number&gt;4287&lt;/rec-number&gt;&lt;foreign-keys&gt;&lt;key app="EN" db-id="5v9z5rrdszvwsneef06v9dapsd0apdtfapdx" timestamp="1408478545"&gt;4287&lt;/key&gt;&lt;/foreign-keys&gt;&lt;ref-type name="Report"&gt;27&lt;/ref-type&gt;&lt;contributors&gt;&lt;authors&gt;&lt;author&gt;Taylor Brown&lt;/author&gt;&lt;/authors&gt;&lt;/contributors&gt;&lt;titles&gt;&lt;title&gt;Nation-Building in Solomon Islands: a think piece&lt;/title&gt;&lt;/titles&gt;&lt;dates&gt;&lt;year&gt;2012&lt;/year&gt;&lt;/dates&gt;&lt;pub-location&gt;London&lt;/pub-location&gt;&lt;publisher&gt;IDL Group&lt;/publisher&gt;&lt;urls&gt;&lt;/urls&gt;&lt;/record&gt;&lt;/Cite&gt;&lt;/EndNote&gt;</w:instrText>
      </w:r>
      <w:r w:rsidR="00115AC9" w:rsidRPr="00F71B40">
        <w:rPr>
          <w:rFonts w:cs="Times New Roman"/>
          <w:lang w:val="en-AU"/>
        </w:rPr>
        <w:fldChar w:fldCharType="separate"/>
      </w:r>
      <w:r w:rsidR="00115AC9" w:rsidRPr="00F71B40">
        <w:rPr>
          <w:rFonts w:cs="Times New Roman"/>
          <w:lang w:val="en-AU"/>
        </w:rPr>
        <w:t>(</w:t>
      </w:r>
      <w:hyperlink w:anchor="_ENREF_30" w:tooltip="Brown, 2012 #4287" w:history="1">
        <w:r w:rsidR="00CC56DB" w:rsidRPr="00F71B40">
          <w:rPr>
            <w:rFonts w:cs="Times New Roman"/>
            <w:lang w:val="en-AU"/>
          </w:rPr>
          <w:t>Brown, 2012</w:t>
        </w:r>
      </w:hyperlink>
      <w:r w:rsidR="00115AC9" w:rsidRPr="00F71B40">
        <w:rPr>
          <w:rFonts w:cs="Times New Roman"/>
          <w:lang w:val="en-AU"/>
        </w:rPr>
        <w:t xml:space="preserve">; </w:t>
      </w:r>
      <w:hyperlink w:anchor="_ENREF_54" w:tooltip="Dinnen, 2008 #4280" w:history="1">
        <w:r w:rsidR="00CC56DB" w:rsidRPr="00F71B40">
          <w:rPr>
            <w:rFonts w:cs="Times New Roman"/>
            <w:lang w:val="en-AU"/>
          </w:rPr>
          <w:t>Dinnen, 2008</w:t>
        </w:r>
      </w:hyperlink>
      <w:r w:rsidR="00115AC9" w:rsidRPr="00F71B40">
        <w:rPr>
          <w:rFonts w:cs="Times New Roman"/>
          <w:lang w:val="en-AU"/>
        </w:rPr>
        <w:t xml:space="preserve">; </w:t>
      </w:r>
      <w:hyperlink w:anchor="_ENREF_61" w:tooltip="Fukuyama, 2008 #4281" w:history="1">
        <w:r w:rsidR="00CC56DB" w:rsidRPr="00F71B40">
          <w:rPr>
            <w:rFonts w:cs="Times New Roman"/>
            <w:lang w:val="en-AU"/>
          </w:rPr>
          <w:t>Fukuyama, 2008</w:t>
        </w:r>
      </w:hyperlink>
      <w:r w:rsidR="00115AC9" w:rsidRPr="00F71B40">
        <w:rPr>
          <w:rFonts w:cs="Times New Roman"/>
          <w:lang w:val="en-AU"/>
        </w:rPr>
        <w:t>)</w:t>
      </w:r>
      <w:r w:rsidR="00115AC9" w:rsidRPr="00F71B40">
        <w:rPr>
          <w:rFonts w:cs="Times New Roman"/>
          <w:lang w:val="en-AU"/>
        </w:rPr>
        <w:fldChar w:fldCharType="end"/>
      </w:r>
      <w:r w:rsidR="002C6D83" w:rsidRPr="00F71B40">
        <w:rPr>
          <w:rFonts w:cs="Times New Roman"/>
          <w:lang w:val="en-AU"/>
        </w:rPr>
        <w:t xml:space="preserve"> and </w:t>
      </w:r>
      <w:r w:rsidR="00840011" w:rsidRPr="00F71B40">
        <w:rPr>
          <w:rFonts w:cs="Times New Roman"/>
          <w:lang w:val="en-AU"/>
        </w:rPr>
        <w:t xml:space="preserve">even </w:t>
      </w:r>
      <w:r w:rsidR="002C6D83" w:rsidRPr="00F71B40">
        <w:rPr>
          <w:rFonts w:cs="Times New Roman"/>
          <w:lang w:val="en-AU"/>
        </w:rPr>
        <w:t xml:space="preserve">by critics of these particular analyses </w:t>
      </w:r>
      <w:r w:rsidR="00115AC9" w:rsidRPr="00F71B40">
        <w:rPr>
          <w:rFonts w:cs="Times New Roman"/>
          <w:lang w:val="en-AU"/>
        </w:rPr>
        <w:fldChar w:fldCharType="begin"/>
      </w:r>
      <w:r w:rsidR="00115AC9" w:rsidRPr="00F71B40">
        <w:rPr>
          <w:rFonts w:cs="Times New Roman"/>
          <w:lang w:val="en-AU"/>
        </w:rPr>
        <w:instrText xml:space="preserve"> ADDIN EN.CITE &lt;EndNote&gt;&lt;Cite&gt;&lt;Author&gt;Brigg&lt;/Author&gt;&lt;Year&gt;2009&lt;/Year&gt;&lt;RecNum&gt;4310&lt;/RecNum&gt;&lt;DisplayText&gt;(Brigg, 2009)&lt;/DisplayText&gt;&lt;record&gt;&lt;rec-number&gt;4310&lt;/rec-number&gt;&lt;foreign-keys&gt;&lt;key app="EN" db-id="5v9z5rrdszvwsneef06v9dapsd0apdtfapdx" timestamp="1408655167"&gt;4310&lt;/key&gt;&lt;/foreign-keys&gt;&lt;ref-type name="Journal Article"&gt;17&lt;/ref-type&gt;&lt;contributors&gt;&lt;authors&gt;&lt;author&gt;Morgan Brigg&lt;/author&gt;&lt;/authors&gt;&lt;/contributors&gt;&lt;titles&gt;&lt;title&gt;Wantokism and state building in Solomon Islands: a response to Fukuyama&lt;/title&gt;&lt;secondary-title&gt;Pacific Economic Bulletin&lt;/secondary-title&gt;&lt;/titles&gt;&lt;pages&gt;148-161&lt;/pages&gt;&lt;volume&gt;24&lt;/volume&gt;&lt;number&gt;3&lt;/number&gt;&lt;dates&gt;&lt;year&gt;2009&lt;/year&gt;&lt;/dates&gt;&lt;urls&gt;&lt;/urls&gt;&lt;/record&gt;&lt;/Cite&gt;&lt;/EndNote&gt;</w:instrText>
      </w:r>
      <w:r w:rsidR="00115AC9" w:rsidRPr="00F71B40">
        <w:rPr>
          <w:rFonts w:cs="Times New Roman"/>
          <w:lang w:val="en-AU"/>
        </w:rPr>
        <w:fldChar w:fldCharType="separate"/>
      </w:r>
      <w:r w:rsidR="00115AC9" w:rsidRPr="00F71B40">
        <w:rPr>
          <w:rFonts w:cs="Times New Roman"/>
          <w:lang w:val="en-AU"/>
        </w:rPr>
        <w:t>(</w:t>
      </w:r>
      <w:hyperlink w:anchor="_ENREF_28" w:tooltip="Brigg, 2009 #4310" w:history="1">
        <w:r w:rsidR="00CC56DB" w:rsidRPr="00F71B40">
          <w:rPr>
            <w:rFonts w:cs="Times New Roman"/>
            <w:lang w:val="en-AU"/>
          </w:rPr>
          <w:t>Brigg, 2009</w:t>
        </w:r>
      </w:hyperlink>
      <w:r w:rsidR="00115AC9" w:rsidRPr="00F71B40">
        <w:rPr>
          <w:rFonts w:cs="Times New Roman"/>
          <w:lang w:val="en-AU"/>
        </w:rPr>
        <w:t>)</w:t>
      </w:r>
      <w:r w:rsidR="00115AC9" w:rsidRPr="00F71B40">
        <w:rPr>
          <w:rFonts w:cs="Times New Roman"/>
          <w:lang w:val="en-AU"/>
        </w:rPr>
        <w:fldChar w:fldCharType="end"/>
      </w:r>
      <w:r w:rsidR="00840011" w:rsidRPr="00F71B40">
        <w:rPr>
          <w:rFonts w:cs="Times New Roman"/>
          <w:lang w:val="en-AU"/>
        </w:rPr>
        <w:t>.  The most common political economy refrain seems to be that “the wantok modality tends to atomize constituencies”</w:t>
      </w:r>
      <w:r w:rsidR="00E03550" w:rsidRPr="00F71B40">
        <w:rPr>
          <w:rFonts w:cs="Times New Roman"/>
          <w:lang w:val="en-AU"/>
        </w:rPr>
        <w:t xml:space="preserve"> </w:t>
      </w:r>
      <w:r w:rsidR="00115AC9" w:rsidRPr="00F71B40">
        <w:rPr>
          <w:rFonts w:cs="Times New Roman"/>
          <w:lang w:val="en-AU"/>
        </w:rPr>
        <w:fldChar w:fldCharType="begin"/>
      </w:r>
      <w:r w:rsidR="00115AC9" w:rsidRPr="00F71B40">
        <w:rPr>
          <w:rFonts w:cs="Times New Roman"/>
          <w:lang w:val="en-AU"/>
        </w:rPr>
        <w:instrText xml:space="preserve"> ADDIN EN.CITE &lt;EndNote&gt;&lt;Cite&gt;&lt;Author&gt;Craig&lt;/Author&gt;&lt;Year&gt;2013&lt;/Year&gt;&lt;RecNum&gt;4311&lt;/RecNum&gt;&lt;Suffix&gt;`, p.8&lt;/Suffix&gt;&lt;DisplayText&gt;(Craig &amp;amp; Porter, 2013b, p.8)&lt;/DisplayText&gt;&lt;record&gt;&lt;rec-number&gt;4311&lt;/rec-number&gt;&lt;foreign-keys&gt;&lt;key app="EN" db-id="5v9z5rrdszvwsneef06v9dapsd0apdtfapdx" timestamp="1408656057"&gt;4311&lt;/key&gt;&lt;/foreign-keys&gt;&lt;ref-type name="Manuscript"&gt;36&lt;/ref-type&gt;&lt;contributors&gt;&lt;authors&gt;&lt;author&gt;David Craig&lt;/author&gt;&lt;author&gt;Doug Porter&lt;/author&gt;&lt;/authors&gt;&lt;secondary-authors&gt;&lt;author&gt;Effective States and Inclusive Development Research Centre&lt;/author&gt;&lt;/secondary-authors&gt;&lt;/contributors&gt;&lt;titles&gt;&lt;title&gt;Post conflict pacts and inclusive political settlements: institutional perspectives from Solomon Islands&lt;/title&gt;&lt;secondary-title&gt;Working Papers&lt;/secondary-title&gt;&lt;/titles&gt;&lt;dates&gt;&lt;year&gt;2013&lt;/year&gt;&lt;/dates&gt;&lt;pub-location&gt;Manchester, UK&lt;/pub-location&gt;&lt;urls&gt;&lt;/urls&gt;&lt;/record&gt;&lt;/Cite&gt;&lt;/EndNote&gt;</w:instrText>
      </w:r>
      <w:r w:rsidR="00115AC9" w:rsidRPr="00F71B40">
        <w:rPr>
          <w:rFonts w:cs="Times New Roman"/>
          <w:lang w:val="en-AU"/>
        </w:rPr>
        <w:fldChar w:fldCharType="separate"/>
      </w:r>
      <w:r w:rsidR="00115AC9" w:rsidRPr="00F71B40">
        <w:rPr>
          <w:rFonts w:cs="Times New Roman"/>
          <w:lang w:val="en-AU"/>
        </w:rPr>
        <w:t>(</w:t>
      </w:r>
      <w:hyperlink w:anchor="_ENREF_41" w:tooltip="Craig, 2013 #4311" w:history="1">
        <w:r w:rsidR="00CC56DB" w:rsidRPr="00F71B40">
          <w:rPr>
            <w:rFonts w:cs="Times New Roman"/>
            <w:lang w:val="en-AU"/>
          </w:rPr>
          <w:t>Craig &amp; Porter, 2013b, p.8</w:t>
        </w:r>
      </w:hyperlink>
      <w:r w:rsidR="00115AC9" w:rsidRPr="00F71B40">
        <w:rPr>
          <w:rFonts w:cs="Times New Roman"/>
          <w:lang w:val="en-AU"/>
        </w:rPr>
        <w:t>)</w:t>
      </w:r>
      <w:r w:rsidR="00115AC9" w:rsidRPr="00F71B40">
        <w:rPr>
          <w:rFonts w:cs="Times New Roman"/>
          <w:lang w:val="en-AU"/>
        </w:rPr>
        <w:fldChar w:fldCharType="end"/>
      </w:r>
      <w:r w:rsidR="00F64490" w:rsidRPr="00F71B40">
        <w:rPr>
          <w:rFonts w:cs="Times New Roman"/>
          <w:lang w:val="en-AU"/>
        </w:rPr>
        <w:t>.  T</w:t>
      </w:r>
      <w:r w:rsidR="009375AD" w:rsidRPr="00F71B40">
        <w:rPr>
          <w:rFonts w:cs="Times New Roman"/>
          <w:lang w:val="en-AU"/>
        </w:rPr>
        <w:t xml:space="preserve">he </w:t>
      </w:r>
      <w:r w:rsidR="00370F0C" w:rsidRPr="00F71B40">
        <w:rPr>
          <w:rFonts w:cs="Times New Roman"/>
          <w:lang w:val="en-AU"/>
        </w:rPr>
        <w:t>consequence</w:t>
      </w:r>
      <w:r w:rsidR="009375AD" w:rsidRPr="00F71B40">
        <w:rPr>
          <w:rFonts w:cs="Times New Roman"/>
          <w:lang w:val="en-AU"/>
        </w:rPr>
        <w:t xml:space="preserve"> is that the relationships between citizens as voters, politicians and the state bureaucracy are fundamentally different to </w:t>
      </w:r>
      <w:r w:rsidR="005E0AC2" w:rsidRPr="00F71B40">
        <w:rPr>
          <w:rFonts w:cs="Times New Roman"/>
          <w:lang w:val="en-AU"/>
        </w:rPr>
        <w:t xml:space="preserve">those which are currently seen as the </w:t>
      </w:r>
      <w:r w:rsidR="000550D1" w:rsidRPr="00F71B40">
        <w:rPr>
          <w:rFonts w:cs="Times New Roman"/>
          <w:lang w:val="en-AU"/>
        </w:rPr>
        <w:t xml:space="preserve">OECD </w:t>
      </w:r>
      <w:r w:rsidR="005E0AC2" w:rsidRPr="00F71B40">
        <w:rPr>
          <w:rFonts w:cs="Times New Roman"/>
          <w:lang w:val="en-AU"/>
        </w:rPr>
        <w:t>model for effective government action.</w:t>
      </w:r>
      <w:r w:rsidR="000550D1" w:rsidRPr="00F71B40">
        <w:rPr>
          <w:rFonts w:cs="Times New Roman"/>
          <w:lang w:val="en-AU"/>
        </w:rPr>
        <w:t xml:space="preserve">  The Australian Public Service Commission gives the archetypal </w:t>
      </w:r>
      <w:r w:rsidR="00370F0C" w:rsidRPr="00F71B40">
        <w:rPr>
          <w:rFonts w:cs="Times New Roman"/>
          <w:lang w:val="en-AU"/>
        </w:rPr>
        <w:t xml:space="preserve">OECD assumptions concerning </w:t>
      </w:r>
      <w:r w:rsidR="00CE1607" w:rsidRPr="00F71B40">
        <w:rPr>
          <w:rFonts w:cs="Times New Roman"/>
          <w:lang w:val="en-AU"/>
        </w:rPr>
        <w:t>the various roles:</w:t>
      </w:r>
      <w:r w:rsidR="00F64490" w:rsidRPr="00F71B40">
        <w:rPr>
          <w:rFonts w:cs="Times New Roman"/>
          <w:lang w:val="en-AU"/>
        </w:rPr>
        <w:t xml:space="preserve"> </w:t>
      </w:r>
      <w:r w:rsidR="00CE1607" w:rsidRPr="00F71B40">
        <w:rPr>
          <w:rFonts w:cs="Times New Roman"/>
          <w:lang w:val="en-AU"/>
        </w:rPr>
        <w:t xml:space="preserve">“(politicians) </w:t>
      </w:r>
      <w:r w:rsidR="000550D1" w:rsidRPr="00F71B40">
        <w:rPr>
          <w:rFonts w:cs="Times New Roman"/>
          <w:lang w:val="en-AU"/>
        </w:rPr>
        <w:t>are accountable to the Australian people at elections</w:t>
      </w:r>
      <w:r w:rsidR="00CE1607" w:rsidRPr="00F71B40">
        <w:rPr>
          <w:rFonts w:cs="Times New Roman"/>
          <w:lang w:val="en-AU"/>
        </w:rPr>
        <w:t xml:space="preserve"> (and) </w:t>
      </w:r>
      <w:r w:rsidR="000550D1" w:rsidRPr="00F71B40">
        <w:rPr>
          <w:rFonts w:cs="Times New Roman"/>
          <w:lang w:val="en-AU"/>
        </w:rPr>
        <w:t>Ministers are responsible for the overall administration of their portfolios and accountable to the Parliament for the exercise of Ministerial authority</w:t>
      </w:r>
      <w:r w:rsidR="00CE1607" w:rsidRPr="00F71B40">
        <w:rPr>
          <w:rFonts w:cs="Times New Roman"/>
          <w:lang w:val="en-AU"/>
        </w:rPr>
        <w:t xml:space="preserve">; </w:t>
      </w:r>
      <w:r w:rsidR="000550D1" w:rsidRPr="00F71B40">
        <w:rPr>
          <w:rFonts w:cs="Times New Roman"/>
          <w:lang w:val="en-AU"/>
        </w:rPr>
        <w:t xml:space="preserve">public servants are accountable to Ministers for the </w:t>
      </w:r>
      <w:r w:rsidR="00CE1607" w:rsidRPr="00F71B40">
        <w:rPr>
          <w:rFonts w:cs="Times New Roman"/>
          <w:lang w:val="en-AU"/>
        </w:rPr>
        <w:t xml:space="preserve">exercise of delegated authority… (and) </w:t>
      </w:r>
      <w:r w:rsidR="000550D1" w:rsidRPr="00F71B40">
        <w:rPr>
          <w:rFonts w:cs="Times New Roman"/>
          <w:lang w:val="en-AU"/>
        </w:rPr>
        <w:t>are also accountable for their performance through agency management systems.</w:t>
      </w:r>
      <w:r w:rsidR="00CE1607" w:rsidRPr="00F71B40">
        <w:rPr>
          <w:rFonts w:cs="Times New Roman"/>
          <w:lang w:val="en-AU"/>
        </w:rPr>
        <w:t xml:space="preserve">” </w:t>
      </w:r>
      <w:r w:rsidR="00115AC9" w:rsidRPr="00F71B40">
        <w:rPr>
          <w:rFonts w:cs="Times New Roman"/>
          <w:lang w:val="en-AU"/>
        </w:rPr>
        <w:fldChar w:fldCharType="begin"/>
      </w:r>
      <w:r w:rsidR="00115AC9" w:rsidRPr="00F71B40">
        <w:rPr>
          <w:rFonts w:cs="Times New Roman"/>
          <w:lang w:val="en-AU"/>
        </w:rPr>
        <w:instrText xml:space="preserve"> ADDIN EN.CITE &lt;EndNote&gt;&lt;Cite&gt;&lt;Author&gt;Australian Public Service Commission&lt;/Author&gt;&lt;Year&gt;2013&lt;/Year&gt;&lt;RecNum&gt;4282&lt;/RecNum&gt;&lt;DisplayText&gt;(Australian Public Service Commission, 2013)&lt;/DisplayText&gt;&lt;record&gt;&lt;rec-number&gt;4282&lt;/rec-number&gt;&lt;foreign-keys&gt;&lt;key app="EN" db-id="5v9z5rrdszvwsneef06v9dapsd0apdtfapdx" timestamp="1408474988"&gt;4282&lt;/key&gt;&lt;/foreign-keys&gt;&lt;ref-type name="Web Page"&gt;12&lt;/ref-type&gt;&lt;contributors&gt;&lt;authors&gt;&lt;author&gt;Australian Public Service Commission,&lt;/author&gt;&lt;/authors&gt;&lt;/contributors&gt;&lt;titles&gt;&lt;title&gt;Working with the Government and the Parliament&lt;/title&gt;&lt;/titles&gt;&lt;volume&gt;2014&lt;/volume&gt;&lt;dates&gt;&lt;year&gt;2013&lt;/year&gt;&lt;/dates&gt;&lt;pub-location&gt;Canberra&lt;/pub-location&gt;&lt;urls&gt;&lt;related-urls&gt;&lt;url&gt;http://www.apsc.gov.au/publications-and-media/current-publications/aps-values-and-code-of-conduct-in-practice/working-with-the-government-and-the-parliament&lt;/url&gt;&lt;/related-urls&gt;&lt;/urls&gt;&lt;/record&gt;&lt;/Cite&gt;&lt;/EndNote&gt;</w:instrText>
      </w:r>
      <w:r w:rsidR="00115AC9" w:rsidRPr="00F71B40">
        <w:rPr>
          <w:rFonts w:cs="Times New Roman"/>
          <w:lang w:val="en-AU"/>
        </w:rPr>
        <w:fldChar w:fldCharType="separate"/>
      </w:r>
      <w:r w:rsidR="00115AC9" w:rsidRPr="00F71B40">
        <w:rPr>
          <w:rFonts w:cs="Times New Roman"/>
          <w:lang w:val="en-AU"/>
        </w:rPr>
        <w:t>(</w:t>
      </w:r>
      <w:hyperlink w:anchor="_ENREF_18" w:tooltip="Australian Public Service Commission, 2013 #4282" w:history="1">
        <w:r w:rsidR="00CC56DB" w:rsidRPr="00F71B40">
          <w:rPr>
            <w:rFonts w:cs="Times New Roman"/>
            <w:lang w:val="en-AU"/>
          </w:rPr>
          <w:t>Australian Public Service Commission, 2013</w:t>
        </w:r>
      </w:hyperlink>
      <w:r w:rsidR="00115AC9" w:rsidRPr="00F71B40">
        <w:rPr>
          <w:rFonts w:cs="Times New Roman"/>
          <w:lang w:val="en-AU"/>
        </w:rPr>
        <w:t>)</w:t>
      </w:r>
      <w:r w:rsidR="00115AC9" w:rsidRPr="00F71B40">
        <w:rPr>
          <w:rFonts w:cs="Times New Roman"/>
          <w:lang w:val="en-AU"/>
        </w:rPr>
        <w:fldChar w:fldCharType="end"/>
      </w:r>
      <w:r w:rsidR="00CE1607" w:rsidRPr="00F71B40">
        <w:rPr>
          <w:rFonts w:cs="Times New Roman"/>
          <w:lang w:val="en-AU"/>
        </w:rPr>
        <w:t>.</w:t>
      </w:r>
    </w:p>
    <w:p w:rsidR="00CE1607" w:rsidRPr="00F71B40" w:rsidRDefault="00CE1607" w:rsidP="00D62A32">
      <w:pPr>
        <w:rPr>
          <w:rFonts w:cs="Times New Roman"/>
          <w:lang w:val="en-AU"/>
        </w:rPr>
      </w:pPr>
    </w:p>
    <w:p w:rsidR="007240FD" w:rsidRPr="00F71B40" w:rsidRDefault="007240FD" w:rsidP="00D62A32">
      <w:pPr>
        <w:rPr>
          <w:rFonts w:cs="Times New Roman"/>
          <w:lang w:val="en-AU"/>
        </w:rPr>
      </w:pPr>
      <w:r w:rsidRPr="00F71B40">
        <w:rPr>
          <w:rFonts w:cs="Times New Roman"/>
          <w:lang w:val="en-AU"/>
        </w:rPr>
        <w:t xml:space="preserve">As others have noted </w:t>
      </w:r>
      <w:r w:rsidR="00115AC9" w:rsidRPr="00F71B40">
        <w:rPr>
          <w:rFonts w:cs="Times New Roman"/>
          <w:lang w:val="en-AU"/>
        </w:rPr>
        <w:fldChar w:fldCharType="begin"/>
      </w:r>
      <w:r w:rsidR="00115AC9" w:rsidRPr="00F71B40">
        <w:rPr>
          <w:rFonts w:cs="Times New Roman"/>
          <w:lang w:val="en-AU"/>
        </w:rPr>
        <w:instrText xml:space="preserve"> ADDIN EN.CITE &lt;EndNote&gt;&lt;Cite&gt;&lt;Author&gt;Teskey&lt;/Author&gt;&lt;Year&gt;2013&lt;/Year&gt;&lt;RecNum&gt;4283&lt;/RecNum&gt;&lt;DisplayText&gt;(Teskey, 2013a, 2013b)&lt;/DisplayText&gt;&lt;record&gt;&lt;rec-number&gt;4283&lt;/rec-number&gt;&lt;foreign-keys&gt;&lt;key app="EN" db-id="5v9z5rrdszvwsneef06v9dapsd0apdtfapdx" timestamp="1408475665"&gt;4283&lt;/key&gt;&lt;/foreign-keys&gt;&lt;ref-type name="Manuscript"&gt;36&lt;/ref-type&gt;&lt;contributors&gt;&lt;authors&gt;&lt;author&gt;Teskey, Graham&lt;/author&gt;&lt;/authors&gt;&lt;secondary-authors&gt;&lt;author&gt;DFAT&lt;/author&gt;&lt;/secondary-authors&gt;&lt;/contributors&gt;&lt;titles&gt;&lt;title&gt;Strengthening accountability in the Solomons&lt;/title&gt;&lt;/titles&gt;&lt;dates&gt;&lt;year&gt;2013&lt;/year&gt;&lt;/dates&gt;&lt;pub-location&gt;Canberra&lt;/pub-location&gt;&lt;urls&gt;&lt;/urls&gt;&lt;/record&gt;&lt;/Cite&gt;&lt;Cite&gt;&lt;Author&gt;Teskey&lt;/Author&gt;&lt;Year&gt;2013&lt;/Year&gt;&lt;RecNum&gt;4284&lt;/RecNum&gt;&lt;record&gt;&lt;rec-number&gt;4284&lt;/rec-number&gt;&lt;foreign-keys&gt;&lt;key app="EN" db-id="5v9z5rrdszvwsneef06v9dapsd0apdtfapdx" timestamp="1408475834"&gt;4284&lt;/key&gt;&lt;/foreign-keys&gt;&lt;ref-type name="Manuscript"&gt;36&lt;/ref-type&gt;&lt;contributors&gt;&lt;authors&gt;&lt;author&gt;Graham Teskey&lt;/author&gt;&lt;/authors&gt;&lt;secondary-authors&gt;&lt;author&gt;DFAT&lt;/author&gt;&lt;/secondary-authors&gt;&lt;/contributors&gt;&lt;titles&gt;&lt;title&gt;Summary of outcomes: Solomon Islands Governance Workshop II (Honiara, 19-22 March, 2013)&lt;/title&gt;&lt;/titles&gt;&lt;dates&gt;&lt;year&gt;2013&lt;/year&gt;&lt;/dates&gt;&lt;pub-location&gt;Canberra&lt;/pub-location&gt;&lt;urls&gt;&lt;/urls&gt;&lt;/record&gt;&lt;/Cite&gt;&lt;/EndNote&gt;</w:instrText>
      </w:r>
      <w:r w:rsidR="00115AC9" w:rsidRPr="00F71B40">
        <w:rPr>
          <w:rFonts w:cs="Times New Roman"/>
          <w:lang w:val="en-AU"/>
        </w:rPr>
        <w:fldChar w:fldCharType="separate"/>
      </w:r>
      <w:r w:rsidR="00115AC9" w:rsidRPr="00F71B40">
        <w:rPr>
          <w:rFonts w:cs="Times New Roman"/>
          <w:lang w:val="en-AU"/>
        </w:rPr>
        <w:t>(</w:t>
      </w:r>
      <w:hyperlink w:anchor="_ENREF_139" w:tooltip="Teskey, 2013 #4283" w:history="1">
        <w:r w:rsidR="00CC56DB" w:rsidRPr="00F71B40">
          <w:rPr>
            <w:rFonts w:cs="Times New Roman"/>
            <w:lang w:val="en-AU"/>
          </w:rPr>
          <w:t>Teskey, 2013a</w:t>
        </w:r>
      </w:hyperlink>
      <w:r w:rsidR="00115AC9" w:rsidRPr="00F71B40">
        <w:rPr>
          <w:rFonts w:cs="Times New Roman"/>
          <w:lang w:val="en-AU"/>
        </w:rPr>
        <w:t xml:space="preserve">, </w:t>
      </w:r>
      <w:hyperlink w:anchor="_ENREF_140" w:tooltip="Teskey, 2013 #4284" w:history="1">
        <w:r w:rsidR="00CC56DB" w:rsidRPr="00F71B40">
          <w:rPr>
            <w:rFonts w:cs="Times New Roman"/>
            <w:lang w:val="en-AU"/>
          </w:rPr>
          <w:t>2013b</w:t>
        </w:r>
      </w:hyperlink>
      <w:r w:rsidR="00115AC9" w:rsidRPr="00F71B40">
        <w:rPr>
          <w:rFonts w:cs="Times New Roman"/>
          <w:lang w:val="en-AU"/>
        </w:rPr>
        <w:t>)</w:t>
      </w:r>
      <w:r w:rsidR="00115AC9" w:rsidRPr="00F71B40">
        <w:rPr>
          <w:rFonts w:cs="Times New Roman"/>
          <w:lang w:val="en-AU"/>
        </w:rPr>
        <w:fldChar w:fldCharType="end"/>
      </w:r>
      <w:r w:rsidRPr="00F71B40">
        <w:rPr>
          <w:rFonts w:cs="Times New Roman"/>
          <w:lang w:val="en-AU"/>
        </w:rPr>
        <w:t>, the accountability relationships in the Solomon Islands are, in caricature, distinctly different</w:t>
      </w:r>
      <w:r w:rsidR="002024FC" w:rsidRPr="00F71B40">
        <w:rPr>
          <w:rFonts w:cs="Times New Roman"/>
          <w:lang w:val="en-AU"/>
        </w:rPr>
        <w:t xml:space="preserve"> (</w:t>
      </w:r>
      <w:r w:rsidR="002024FC" w:rsidRPr="00F71B40">
        <w:rPr>
          <w:rFonts w:cs="Times New Roman"/>
          <w:lang w:val="en-AU"/>
        </w:rPr>
        <w:fldChar w:fldCharType="begin"/>
      </w:r>
      <w:r w:rsidR="002024FC" w:rsidRPr="00F71B40">
        <w:rPr>
          <w:rFonts w:cs="Times New Roman"/>
          <w:lang w:val="en-AU"/>
        </w:rPr>
        <w:instrText xml:space="preserve"> REF _Ref396225484 \h </w:instrText>
      </w:r>
      <w:r w:rsidR="00173020" w:rsidRPr="00F71B40">
        <w:rPr>
          <w:rFonts w:cs="Times New Roman"/>
          <w:lang w:val="en-AU"/>
        </w:rPr>
        <w:instrText xml:space="preserve"> \* MERGEFORMAT </w:instrText>
      </w:r>
      <w:r w:rsidR="002024FC" w:rsidRPr="00F71B40">
        <w:rPr>
          <w:rFonts w:cs="Times New Roman"/>
          <w:lang w:val="en-AU"/>
        </w:rPr>
      </w:r>
      <w:r w:rsidR="002024FC" w:rsidRPr="00F71B40">
        <w:rPr>
          <w:rFonts w:cs="Times New Roman"/>
          <w:lang w:val="en-AU"/>
        </w:rPr>
        <w:fldChar w:fldCharType="separate"/>
      </w:r>
      <w:r w:rsidR="00EF43BE" w:rsidRPr="0098305E">
        <w:rPr>
          <w:rFonts w:cs="Times New Roman"/>
          <w:lang w:val="en-AU"/>
        </w:rPr>
        <w:t xml:space="preserve">Figure </w:t>
      </w:r>
      <w:r w:rsidR="00EF43BE" w:rsidRPr="006A70A3">
        <w:rPr>
          <w:rFonts w:cs="Times New Roman"/>
          <w:lang w:val="en-AU"/>
        </w:rPr>
        <w:t>2</w:t>
      </w:r>
      <w:r w:rsidR="002024FC" w:rsidRPr="00F71B40">
        <w:rPr>
          <w:rFonts w:cs="Times New Roman"/>
          <w:lang w:val="en-AU"/>
        </w:rPr>
        <w:fldChar w:fldCharType="end"/>
      </w:r>
      <w:r w:rsidR="002024FC" w:rsidRPr="00F71B40">
        <w:rPr>
          <w:rFonts w:cs="Times New Roman"/>
          <w:lang w:val="en-AU"/>
        </w:rPr>
        <w:t>).</w:t>
      </w:r>
      <w:r w:rsidR="00E256D6">
        <w:rPr>
          <w:rFonts w:cs="Times New Roman"/>
          <w:lang w:val="en-AU"/>
        </w:rPr>
        <w:t xml:space="preserve">  </w:t>
      </w:r>
      <w:r w:rsidR="00BA7E65" w:rsidRPr="00F71B40">
        <w:rPr>
          <w:rFonts w:cs="Times New Roman"/>
          <w:lang w:val="en-AU"/>
        </w:rPr>
        <w:t xml:space="preserve">Rather than a triangle with politicians acting primarily as policy-setters for the public sector, the Solomon Islands </w:t>
      </w:r>
      <w:r w:rsidR="00AF3E41" w:rsidRPr="00F71B40">
        <w:rPr>
          <w:rFonts w:cs="Times New Roman"/>
          <w:lang w:val="en-AU"/>
        </w:rPr>
        <w:t xml:space="preserve">focuses their </w:t>
      </w:r>
      <w:r w:rsidR="00BA7E65" w:rsidRPr="00F71B40">
        <w:rPr>
          <w:rFonts w:cs="Times New Roman"/>
          <w:lang w:val="en-AU"/>
        </w:rPr>
        <w:t xml:space="preserve">relationship with the public sector </w:t>
      </w:r>
      <w:r w:rsidR="00AF3E41" w:rsidRPr="00F71B40">
        <w:rPr>
          <w:rFonts w:cs="Times New Roman"/>
          <w:lang w:val="en-AU"/>
        </w:rPr>
        <w:t xml:space="preserve">on </w:t>
      </w:r>
      <w:r w:rsidR="00BA7E65" w:rsidRPr="00F71B40">
        <w:rPr>
          <w:rFonts w:cs="Times New Roman"/>
          <w:lang w:val="en-AU"/>
        </w:rPr>
        <w:t>the jobs that it can offer constituents</w:t>
      </w:r>
      <w:r w:rsidR="00AF3E41" w:rsidRPr="00F71B40">
        <w:rPr>
          <w:rStyle w:val="FootnoteReference"/>
          <w:rFonts w:cs="Times New Roman"/>
          <w:lang w:val="en-AU"/>
        </w:rPr>
        <w:footnoteReference w:id="4"/>
      </w:r>
      <w:r w:rsidR="00BA7E65" w:rsidRPr="00F71B40">
        <w:rPr>
          <w:rFonts w:cs="Times New Roman"/>
          <w:lang w:val="en-AU"/>
        </w:rPr>
        <w:t xml:space="preserve"> and </w:t>
      </w:r>
      <w:r w:rsidR="00AF3E41" w:rsidRPr="00F71B40">
        <w:rPr>
          <w:rFonts w:cs="Times New Roman"/>
          <w:lang w:val="en-AU"/>
        </w:rPr>
        <w:t xml:space="preserve">gives them </w:t>
      </w:r>
      <w:r w:rsidR="00BA7E65" w:rsidRPr="00F71B40">
        <w:rPr>
          <w:rFonts w:cs="Times New Roman"/>
          <w:lang w:val="en-AU"/>
        </w:rPr>
        <w:t xml:space="preserve">a relationship with the public typified by that observed in the education sector where “…voting has increasingly become a transactional exchange, with MPs expected to offer up personal or local benefits in exchange for enough votes…” </w:t>
      </w:r>
      <w:r w:rsidR="00115AC9" w:rsidRPr="00F71B40">
        <w:rPr>
          <w:rFonts w:cs="Times New Roman"/>
          <w:lang w:val="en-AU"/>
        </w:rPr>
        <w:fldChar w:fldCharType="begin"/>
      </w:r>
      <w:r w:rsidR="00115AC9" w:rsidRPr="00F71B40">
        <w:rPr>
          <w:rFonts w:cs="Times New Roman"/>
          <w:lang w:val="en-AU"/>
        </w:rPr>
        <w:instrText xml:space="preserve"> ADDIN EN.CITE &lt;EndNote&gt;&lt;Cite&gt;&lt;Author&gt;Harris&lt;/Author&gt;&lt;Year&gt;2014&lt;/Year&gt;&lt;RecNum&gt;4312&lt;/RecNum&gt;&lt;Suffix&gt;`, p.18&lt;/Suffix&gt;&lt;DisplayText&gt;(Harris, Seeto, Tyrrel, &amp;amp; Costin, 2014, p.18)&lt;/DisplayText&gt;&lt;record&gt;&lt;rec-number&gt;4312&lt;/rec-number&gt;&lt;foreign-keys&gt;&lt;key app="EN" db-id="5v9z5rrdszvwsneef06v9dapsd0apdtfapdx" timestamp="1408666579"&gt;4312&lt;/key&gt;&lt;/foreign-keys&gt;&lt;ref-type name="Manuscript"&gt;36&lt;/ref-type&gt;&lt;contributors&gt;&lt;authors&gt;&lt;author&gt;Dan Harris&lt;/author&gt;&lt;author&gt;Cheryl Seeto&lt;/author&gt;&lt;author&gt;Lavinia Tyrrel&lt;/author&gt;&lt;author&gt;Belinda Costin&lt;/author&gt;&lt;/authors&gt;&lt;secondary-authors&gt;&lt;author&gt;DFAT and ODI&lt;/author&gt;&lt;/secondary-authors&gt;&lt;/contributors&gt;&lt;titles&gt;&lt;title&gt;Solomon Islands Education Sector: Political Economy Analysis&lt;/title&gt;&lt;/titles&gt;&lt;dates&gt;&lt;year&gt;2014&lt;/year&gt;&lt;/dates&gt;&lt;pub-location&gt;Canberra&lt;/pub-location&gt;&lt;urls&gt;&lt;/urls&gt;&lt;/record&gt;&lt;/Cite&gt;&lt;/EndNote&gt;</w:instrText>
      </w:r>
      <w:r w:rsidR="00115AC9" w:rsidRPr="00F71B40">
        <w:rPr>
          <w:rFonts w:cs="Times New Roman"/>
          <w:lang w:val="en-AU"/>
        </w:rPr>
        <w:fldChar w:fldCharType="separate"/>
      </w:r>
      <w:r w:rsidR="00115AC9" w:rsidRPr="00F71B40">
        <w:rPr>
          <w:rFonts w:cs="Times New Roman"/>
          <w:lang w:val="en-AU"/>
        </w:rPr>
        <w:t>(</w:t>
      </w:r>
      <w:hyperlink w:anchor="_ENREF_67" w:tooltip="Harris, 2014 #4312" w:history="1">
        <w:r w:rsidR="00CC56DB" w:rsidRPr="00F71B40">
          <w:rPr>
            <w:rFonts w:cs="Times New Roman"/>
            <w:lang w:val="en-AU"/>
          </w:rPr>
          <w:t>Harris, Seeto, Tyrrel, &amp; Costin, 2014, p.18</w:t>
        </w:r>
      </w:hyperlink>
      <w:r w:rsidR="00115AC9" w:rsidRPr="00F71B40">
        <w:rPr>
          <w:rFonts w:cs="Times New Roman"/>
          <w:lang w:val="en-AU"/>
        </w:rPr>
        <w:t>)</w:t>
      </w:r>
      <w:r w:rsidR="00115AC9" w:rsidRPr="00F71B40">
        <w:rPr>
          <w:rFonts w:cs="Times New Roman"/>
          <w:lang w:val="en-AU"/>
        </w:rPr>
        <w:fldChar w:fldCharType="end"/>
      </w:r>
      <w:r w:rsidR="00BA7E65" w:rsidRPr="00F71B40">
        <w:rPr>
          <w:rFonts w:cs="Times New Roman"/>
          <w:lang w:val="en-AU"/>
        </w:rPr>
        <w:t xml:space="preserve">.  In sum, at the end of RAMSI, nothing has changed the relationship between individuals and politicians in the Solomon Islands which remains clientilistic </w:t>
      </w:r>
      <w:r w:rsidR="00115AC9" w:rsidRPr="00F71B40">
        <w:rPr>
          <w:rFonts w:cs="Times New Roman"/>
          <w:lang w:val="en-AU"/>
        </w:rPr>
        <w:fldChar w:fldCharType="begin"/>
      </w:r>
      <w:r w:rsidR="00115AC9" w:rsidRPr="00F71B40">
        <w:rPr>
          <w:rFonts w:cs="Times New Roman"/>
          <w:lang w:val="en-AU"/>
        </w:rPr>
        <w:instrText xml:space="preserve"> ADDIN EN.CITE &lt;EndNote&gt;&lt;Cite&gt;&lt;Author&gt;Wood&lt;/Author&gt;&lt;Year&gt;2013&lt;/Year&gt;&lt;RecNum&gt;4267&lt;/RecNum&gt;&lt;Suffix&gt;`, p. 2&lt;/Suffix&gt;&lt;DisplayText&gt;(Wood, 2013, p. 2)&lt;/DisplayText&gt;&lt;record&gt;&lt;rec-number&gt;4267&lt;/rec-number&gt;&lt;foreign-keys&gt;&lt;key app="EN" db-id="5v9z5rrdszvwsneef06v9dapsd0apdtfapdx" timestamp="1408396097"&gt;4267&lt;/key&gt;&lt;/foreign-keys&gt;&lt;ref-type name="Blog"&gt;56&lt;/ref-type&gt;&lt;contributors&gt;&lt;authors&gt;&lt;author&gt;Terence Wood&lt;/author&gt;&lt;/authors&gt;&lt;secondary-authors&gt;&lt;author&gt;Stephen Howes&lt;/author&gt;&lt;/secondary-authors&gt;&lt;/contributors&gt;&lt;titles&gt;&lt;title&gt;RAMSI: lessons on the role for aid&lt;/title&gt;&lt;secondary-title&gt;DevpolicyBlog: From the Development Policy Centre&lt;/secondary-title&gt;&lt;/titles&gt;&lt;volume&gt;2014&lt;/volume&gt;&lt;dates&gt;&lt;year&gt;2013&lt;/year&gt;&lt;/dates&gt;&lt;pub-location&gt;Canberra&lt;/pub-location&gt;&lt;publisher&gt; Crawford School of Public Policy&lt;/publisher&gt;&lt;urls&gt;&lt;/urls&gt;&lt;/record&gt;&lt;/Cite&gt;&lt;/EndNote&gt;</w:instrText>
      </w:r>
      <w:r w:rsidR="00115AC9" w:rsidRPr="00F71B40">
        <w:rPr>
          <w:rFonts w:cs="Times New Roman"/>
          <w:lang w:val="en-AU"/>
        </w:rPr>
        <w:fldChar w:fldCharType="separate"/>
      </w:r>
      <w:r w:rsidR="00115AC9" w:rsidRPr="00F71B40">
        <w:rPr>
          <w:rFonts w:cs="Times New Roman"/>
          <w:lang w:val="en-AU"/>
        </w:rPr>
        <w:t>(</w:t>
      </w:r>
      <w:hyperlink w:anchor="_ENREF_145" w:tooltip="Wood, 2013 #4267" w:history="1">
        <w:r w:rsidR="00CC56DB" w:rsidRPr="00F71B40">
          <w:rPr>
            <w:rFonts w:cs="Times New Roman"/>
            <w:lang w:val="en-AU"/>
          </w:rPr>
          <w:t>Wood, 2013, p. 2</w:t>
        </w:r>
      </w:hyperlink>
      <w:r w:rsidR="00115AC9" w:rsidRPr="00F71B40">
        <w:rPr>
          <w:rFonts w:cs="Times New Roman"/>
          <w:lang w:val="en-AU"/>
        </w:rPr>
        <w:t>)</w:t>
      </w:r>
      <w:r w:rsidR="00115AC9" w:rsidRPr="00F71B40">
        <w:rPr>
          <w:rFonts w:cs="Times New Roman"/>
          <w:lang w:val="en-AU"/>
        </w:rPr>
        <w:fldChar w:fldCharType="end"/>
      </w:r>
      <w:r w:rsidR="00BA7E65" w:rsidRPr="00F71B40">
        <w:rPr>
          <w:rFonts w:cs="Times New Roman"/>
          <w:lang w:val="en-AU"/>
        </w:rPr>
        <w:t>.</w:t>
      </w:r>
    </w:p>
    <w:p w:rsidR="00AF27AE" w:rsidRPr="00F71B40" w:rsidRDefault="00AF27AE" w:rsidP="00D62A32">
      <w:pPr>
        <w:rPr>
          <w:rFonts w:cs="Times New Roman"/>
          <w:lang w:val="en-AU"/>
        </w:rPr>
      </w:pPr>
    </w:p>
    <w:p w:rsidR="003641EC" w:rsidRPr="00F71B40" w:rsidRDefault="00AF27AE" w:rsidP="00D62A32">
      <w:pPr>
        <w:rPr>
          <w:lang w:val="en-AU"/>
        </w:rPr>
      </w:pPr>
      <w:r w:rsidRPr="00F71B40">
        <w:rPr>
          <w:lang w:val="en-AU"/>
        </w:rPr>
        <w:t xml:space="preserve">The accountability arrangements in </w:t>
      </w:r>
      <w:r w:rsidRPr="00F71B40">
        <w:rPr>
          <w:rFonts w:cs="Times New Roman"/>
          <w:lang w:val="en-AU"/>
        </w:rPr>
        <w:fldChar w:fldCharType="begin"/>
      </w:r>
      <w:r w:rsidRPr="00F71B40">
        <w:rPr>
          <w:rFonts w:cs="Times New Roman"/>
          <w:lang w:val="en-AU"/>
        </w:rPr>
        <w:instrText xml:space="preserve"> REF _Ref396225484 \h  \* MERGEFORMAT </w:instrText>
      </w:r>
      <w:r w:rsidRPr="00F71B40">
        <w:rPr>
          <w:rFonts w:cs="Times New Roman"/>
          <w:lang w:val="en-AU"/>
        </w:rPr>
      </w:r>
      <w:r w:rsidRPr="00F71B40">
        <w:rPr>
          <w:rFonts w:cs="Times New Roman"/>
          <w:lang w:val="en-AU"/>
        </w:rPr>
        <w:fldChar w:fldCharType="separate"/>
      </w:r>
      <w:r w:rsidR="00EF43BE" w:rsidRPr="0098305E">
        <w:rPr>
          <w:rFonts w:cs="Times New Roman"/>
          <w:lang w:val="en-AU"/>
        </w:rPr>
        <w:t xml:space="preserve">Figure </w:t>
      </w:r>
      <w:r w:rsidR="00EF43BE" w:rsidRPr="006A70A3">
        <w:rPr>
          <w:rFonts w:cs="Times New Roman"/>
          <w:lang w:val="en-AU"/>
        </w:rPr>
        <w:t>2</w:t>
      </w:r>
      <w:r w:rsidRPr="00F71B40">
        <w:rPr>
          <w:rFonts w:cs="Times New Roman"/>
          <w:lang w:val="en-AU"/>
        </w:rPr>
        <w:fldChar w:fldCharType="end"/>
      </w:r>
      <w:r w:rsidRPr="00F71B40">
        <w:rPr>
          <w:rFonts w:cs="Times New Roman"/>
          <w:lang w:val="en-AU"/>
        </w:rPr>
        <w:t xml:space="preserve"> show an ominous gap between citizens and public servants.  Keeping in mind that this is a caricature, </w:t>
      </w:r>
      <w:r w:rsidRPr="00F71B40">
        <w:rPr>
          <w:lang w:val="en-AU"/>
        </w:rPr>
        <w:t xml:space="preserve">this gap arises, as </w:t>
      </w:r>
      <w:r w:rsidR="00115AC9" w:rsidRPr="00F71B40">
        <w:rPr>
          <w:lang w:val="en-AU"/>
        </w:rPr>
        <w:fldChar w:fldCharType="begin"/>
      </w:r>
      <w:r w:rsidR="00115AC9" w:rsidRPr="00F71B40">
        <w:rPr>
          <w:lang w:val="en-AU"/>
        </w:rPr>
        <w:instrText xml:space="preserve"> ADDIN EN.CITE &lt;EndNote&gt;&lt;Cite&gt;&lt;Author&gt;Kabutaulaka&lt;/Author&gt;&lt;Year&gt;2008&lt;/Year&gt;&lt;RecNum&gt;4240&lt;/RecNum&gt;&lt;DisplayText&gt;(Kabutaulaka, 2008b)&lt;/DisplayText&gt;&lt;record&gt;&lt;rec-number&gt;4240&lt;/rec-number&gt;&lt;foreign-keys&gt;&lt;key app="EN" db-id="5v9z5rrdszvwsneef06v9dapsd0apdtfapdx" timestamp="1408138633"&gt;4240&lt;/key&gt;&lt;/foreign-keys&gt;&lt;ref-type name="Book Section"&gt;5&lt;/ref-type&gt;&lt;contributors&gt;&lt;authors&gt;&lt;author&gt;Tarcisius Tara Kabutaulaka&lt;/author&gt;&lt;/authors&gt;&lt;secondary-authors&gt;&lt;author&gt;Sinclair Dinen&lt;/author&gt;&lt;author&gt;Stewart Firth&lt;/author&gt;&lt;/secondary-authors&gt;&lt;/contributors&gt;&lt;titles&gt;&lt;title&gt;Westminster meets Solomons in the Honiara riots&lt;/title&gt;&lt;secondary-title&gt;Politics and statebuilding in Solomon Islands&lt;/secondary-title&gt;&lt;/titles&gt;&lt;pages&gt;96-118&lt;/pages&gt;&lt;dates&gt;&lt;year&gt;2008&lt;/year&gt;&lt;/dates&gt;&lt;pub-location&gt;Caberra&lt;/pub-location&gt;&lt;publisher&gt;Asia Pacific Press&lt;/publisher&gt;&lt;urls&gt;&lt;/urls&gt;&lt;/record&gt;&lt;/Cite&gt;&lt;/EndNote&gt;</w:instrText>
      </w:r>
      <w:r w:rsidR="00115AC9" w:rsidRPr="00F71B40">
        <w:rPr>
          <w:lang w:val="en-AU"/>
        </w:rPr>
        <w:fldChar w:fldCharType="separate"/>
      </w:r>
      <w:r w:rsidR="00115AC9" w:rsidRPr="00F71B40">
        <w:rPr>
          <w:lang w:val="en-AU"/>
        </w:rPr>
        <w:t>(</w:t>
      </w:r>
      <w:hyperlink w:anchor="_ENREF_81" w:tooltip="Kabutaulaka, 2008 #4240" w:history="1">
        <w:r w:rsidR="00CC56DB" w:rsidRPr="00F71B40">
          <w:rPr>
            <w:lang w:val="en-AU"/>
          </w:rPr>
          <w:t>Kabutaulaka, 2008b</w:t>
        </w:r>
      </w:hyperlink>
      <w:r w:rsidR="00115AC9" w:rsidRPr="00F71B40">
        <w:rPr>
          <w:lang w:val="en-AU"/>
        </w:rPr>
        <w:t>)</w:t>
      </w:r>
      <w:r w:rsidR="00115AC9" w:rsidRPr="00F71B40">
        <w:rPr>
          <w:lang w:val="en-AU"/>
        </w:rPr>
        <w:fldChar w:fldCharType="end"/>
      </w:r>
      <w:r w:rsidRPr="00F71B40">
        <w:rPr>
          <w:lang w:val="en-AU"/>
        </w:rPr>
        <w:t xml:space="preserve"> highlights, because of the long term erosion of government presence outside of Honiara; the effective disappearance of the “district officers, headmen and </w:t>
      </w:r>
      <w:r w:rsidRPr="00F71B40">
        <w:rPr>
          <w:i/>
          <w:lang w:val="en-AU"/>
        </w:rPr>
        <w:t>ples men</w:t>
      </w:r>
      <w:r w:rsidR="0046020E" w:rsidRPr="00F71B40">
        <w:rPr>
          <w:rStyle w:val="FootnoteReference"/>
          <w:i/>
          <w:lang w:val="en-AU"/>
        </w:rPr>
        <w:footnoteReference w:id="5"/>
      </w:r>
      <w:r w:rsidRPr="00F71B40">
        <w:rPr>
          <w:i/>
          <w:lang w:val="en-AU"/>
        </w:rPr>
        <w:t xml:space="preserve">, </w:t>
      </w:r>
      <w:r w:rsidRPr="00F71B40">
        <w:rPr>
          <w:lang w:val="en-AU"/>
        </w:rPr>
        <w:t>who were the foot soldiers</w:t>
      </w:r>
      <w:r w:rsidRPr="00F71B40">
        <w:rPr>
          <w:i/>
          <w:lang w:val="en-AU"/>
        </w:rPr>
        <w:t xml:space="preserve"> </w:t>
      </w:r>
      <w:r w:rsidRPr="00F71B40">
        <w:rPr>
          <w:lang w:val="en-AU"/>
        </w:rPr>
        <w:t xml:space="preserve">of the administration, executing its instructions and enforcing its laws… Over the years… many of these officers no longer performed their duties effectively…  Many substations were closed, resulting in a decline in the visibility of government and its impact on the lives of people in communities, especially those far from Honiara.  This made the disconnect between government and communities more pronounced.” </w:t>
      </w:r>
      <w:r w:rsidR="00115AC9" w:rsidRPr="00F71B40">
        <w:rPr>
          <w:lang w:val="en-AU"/>
        </w:rPr>
        <w:fldChar w:fldCharType="begin"/>
      </w:r>
      <w:r w:rsidR="00115AC9" w:rsidRPr="00F71B40">
        <w:rPr>
          <w:lang w:val="en-AU"/>
        </w:rPr>
        <w:instrText xml:space="preserve"> ADDIN EN.CITE &lt;EndNote&gt;&lt;Cite&gt;&lt;Author&gt;Kabutaulaka&lt;/Author&gt;&lt;Year&gt;2008&lt;/Year&gt;&lt;RecNum&gt;4240&lt;/RecNum&gt;&lt;Suffix&gt;`, p.102&lt;/Suffix&gt;&lt;DisplayText&gt;(Kabutaulaka, 2008b, p.102)&lt;/DisplayText&gt;&lt;record&gt;&lt;rec-number&gt;4240&lt;/rec-number&gt;&lt;foreign-keys&gt;&lt;key app="EN" db-id="5v9z5rrdszvwsneef06v9dapsd0apdtfapdx" timestamp="1408138633"&gt;4240&lt;/key&gt;&lt;/foreign-keys&gt;&lt;ref-type name="Book Section"&gt;5&lt;/ref-type&gt;&lt;contributors&gt;&lt;authors&gt;&lt;author&gt;Tarcisius Tara Kabutaulaka&lt;/author&gt;&lt;/authors&gt;&lt;secondary-authors&gt;&lt;author&gt;Sinclair Dinen&lt;/author&gt;&lt;author&gt;Stewart Firth&lt;/author&gt;&lt;/secondary-authors&gt;&lt;/contributors&gt;&lt;titles&gt;&lt;title&gt;Westminster meets Solomons in the Honiara riots&lt;/title&gt;&lt;secondary-title&gt;Politics and statebuilding in Solomon Islands&lt;/secondary-title&gt;&lt;/titles&gt;&lt;pages&gt;96-118&lt;/pages&gt;&lt;dates&gt;&lt;year&gt;2008&lt;/year&gt;&lt;/dates&gt;&lt;pub-location&gt;Caberra&lt;/pub-location&gt;&lt;publisher&gt;Asia Pacific Press&lt;/publisher&gt;&lt;urls&gt;&lt;/urls&gt;&lt;/record&gt;&lt;/Cite&gt;&lt;/EndNote&gt;</w:instrText>
      </w:r>
      <w:r w:rsidR="00115AC9" w:rsidRPr="00F71B40">
        <w:rPr>
          <w:lang w:val="en-AU"/>
        </w:rPr>
        <w:fldChar w:fldCharType="separate"/>
      </w:r>
      <w:r w:rsidR="00115AC9" w:rsidRPr="00F71B40">
        <w:rPr>
          <w:lang w:val="en-AU"/>
        </w:rPr>
        <w:t>(</w:t>
      </w:r>
      <w:hyperlink w:anchor="_ENREF_81" w:tooltip="Kabutaulaka, 2008 #4240" w:history="1">
        <w:r w:rsidR="00CC56DB" w:rsidRPr="00F71B40">
          <w:rPr>
            <w:lang w:val="en-AU"/>
          </w:rPr>
          <w:t>Kabutaulaka, 2008b, p.102</w:t>
        </w:r>
      </w:hyperlink>
      <w:r w:rsidR="00115AC9" w:rsidRPr="00F71B40">
        <w:rPr>
          <w:lang w:val="en-AU"/>
        </w:rPr>
        <w:t>)</w:t>
      </w:r>
      <w:r w:rsidR="00115AC9" w:rsidRPr="00F71B40">
        <w:rPr>
          <w:lang w:val="en-AU"/>
        </w:rPr>
        <w:fldChar w:fldCharType="end"/>
      </w:r>
      <w:r w:rsidRPr="00F71B40">
        <w:rPr>
          <w:lang w:val="en-AU"/>
        </w:rPr>
        <w:t>.</w:t>
      </w:r>
      <w:r w:rsidR="007E7D45" w:rsidRPr="00F71B40">
        <w:rPr>
          <w:lang w:val="en-AU"/>
        </w:rPr>
        <w:t xml:space="preserve">  </w:t>
      </w:r>
    </w:p>
    <w:p w:rsidR="007240FD" w:rsidRPr="00F71B40" w:rsidRDefault="007240FD" w:rsidP="00D62A32">
      <w:pPr>
        <w:rPr>
          <w:b/>
          <w:color w:val="943634" w:themeColor="accent2" w:themeShade="BF"/>
          <w:sz w:val="23"/>
          <w:szCs w:val="23"/>
          <w:lang w:val="en-AU"/>
        </w:rPr>
      </w:pPr>
    </w:p>
    <w:p w:rsidR="002024FC" w:rsidRPr="00F71B40" w:rsidRDefault="002024FC" w:rsidP="00963793">
      <w:pPr>
        <w:pStyle w:val="Caption"/>
        <w:keepNext/>
        <w:keepLines/>
        <w:rPr>
          <w:lang w:val="en-AU"/>
        </w:rPr>
      </w:pPr>
      <w:bookmarkStart w:id="37" w:name="_Ref396225484"/>
      <w:bookmarkStart w:id="38" w:name="_Toc401761838"/>
      <w:r w:rsidRPr="00F71B40">
        <w:rPr>
          <w:lang w:val="en-AU"/>
        </w:rPr>
        <w:lastRenderedPageBreak/>
        <w:t xml:space="preserve">Figure </w:t>
      </w:r>
      <w:r w:rsidR="00991063" w:rsidRPr="00F71B40">
        <w:rPr>
          <w:lang w:val="en-AU"/>
        </w:rPr>
        <w:fldChar w:fldCharType="begin"/>
      </w:r>
      <w:r w:rsidR="00991063" w:rsidRPr="00F71B40">
        <w:rPr>
          <w:lang w:val="en-AU"/>
        </w:rPr>
        <w:instrText xml:space="preserve"> SEQ Figure \* ARABIC </w:instrText>
      </w:r>
      <w:r w:rsidR="00991063" w:rsidRPr="00F71B40">
        <w:rPr>
          <w:lang w:val="en-AU"/>
        </w:rPr>
        <w:fldChar w:fldCharType="separate"/>
      </w:r>
      <w:r w:rsidR="00EF43BE">
        <w:rPr>
          <w:noProof/>
          <w:lang w:val="en-AU"/>
        </w:rPr>
        <w:t>2</w:t>
      </w:r>
      <w:r w:rsidR="00991063" w:rsidRPr="00F71B40">
        <w:rPr>
          <w:lang w:val="en-AU"/>
        </w:rPr>
        <w:fldChar w:fldCharType="end"/>
      </w:r>
      <w:bookmarkEnd w:id="37"/>
      <w:r w:rsidRPr="00F71B40">
        <w:rPr>
          <w:lang w:val="en-AU"/>
        </w:rPr>
        <w:t>: Accountability relatio</w:t>
      </w:r>
      <w:r w:rsidR="006B5A22" w:rsidRPr="00F71B40">
        <w:rPr>
          <w:lang w:val="en-AU"/>
        </w:rPr>
        <w:t>nships</w:t>
      </w:r>
      <w:bookmarkEnd w:id="38"/>
    </w:p>
    <w:p w:rsidR="00BA7E65" w:rsidRPr="00F71B40" w:rsidRDefault="00BA7E65" w:rsidP="00963793">
      <w:pPr>
        <w:keepNext/>
        <w:keepLines/>
        <w:rPr>
          <w:lang w:val="en-AU"/>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4675"/>
        <w:gridCol w:w="4675"/>
      </w:tblGrid>
      <w:tr w:rsidR="00B96EF6" w:rsidRPr="00F71B40" w:rsidTr="00DD21D7">
        <w:tc>
          <w:tcPr>
            <w:tcW w:w="9350" w:type="dxa"/>
            <w:gridSpan w:val="2"/>
          </w:tcPr>
          <w:p w:rsidR="00B96EF6" w:rsidRPr="00F71B40" w:rsidRDefault="00B96EF6" w:rsidP="00963793">
            <w:pPr>
              <w:keepNext/>
              <w:keepLines/>
              <w:jc w:val="center"/>
              <w:rPr>
                <w:sz w:val="23"/>
                <w:szCs w:val="23"/>
                <w:lang w:val="en-AU"/>
              </w:rPr>
            </w:pPr>
            <w:r w:rsidRPr="00F71B40">
              <w:rPr>
                <w:sz w:val="23"/>
                <w:szCs w:val="23"/>
                <w:lang w:val="en-AU"/>
              </w:rPr>
              <w:t>Stylized government/citizen relationships</w:t>
            </w:r>
          </w:p>
        </w:tc>
      </w:tr>
      <w:tr w:rsidR="006B5A22" w:rsidRPr="00F71B40" w:rsidTr="00B96EF6">
        <w:tc>
          <w:tcPr>
            <w:tcW w:w="4675" w:type="dxa"/>
          </w:tcPr>
          <w:p w:rsidR="006B5A22" w:rsidRPr="00F71B40" w:rsidRDefault="006B5A22" w:rsidP="00963793">
            <w:pPr>
              <w:keepNext/>
              <w:keepLines/>
              <w:jc w:val="center"/>
              <w:rPr>
                <w:sz w:val="23"/>
                <w:szCs w:val="23"/>
                <w:lang w:val="en-AU"/>
              </w:rPr>
            </w:pPr>
            <w:r w:rsidRPr="00F71B40">
              <w:rPr>
                <w:sz w:val="23"/>
                <w:szCs w:val="23"/>
                <w:lang w:val="en-AU"/>
              </w:rPr>
              <w:t>in OECD settings</w:t>
            </w:r>
          </w:p>
        </w:tc>
        <w:tc>
          <w:tcPr>
            <w:tcW w:w="4675" w:type="dxa"/>
          </w:tcPr>
          <w:p w:rsidR="006B5A22" w:rsidRPr="00F71B40" w:rsidRDefault="006B5A22" w:rsidP="00963793">
            <w:pPr>
              <w:keepNext/>
              <w:keepLines/>
              <w:jc w:val="center"/>
              <w:rPr>
                <w:sz w:val="23"/>
                <w:szCs w:val="23"/>
                <w:lang w:val="en-AU"/>
              </w:rPr>
            </w:pPr>
            <w:r w:rsidRPr="00F71B40">
              <w:rPr>
                <w:sz w:val="23"/>
                <w:szCs w:val="23"/>
                <w:lang w:val="en-AU"/>
              </w:rPr>
              <w:t>in the Solomon Islands</w:t>
            </w:r>
          </w:p>
        </w:tc>
      </w:tr>
      <w:tr w:rsidR="006B5A22" w:rsidRPr="00F71B40" w:rsidTr="00B96EF6">
        <w:tc>
          <w:tcPr>
            <w:tcW w:w="4675" w:type="dxa"/>
          </w:tcPr>
          <w:p w:rsidR="006B5A22" w:rsidRPr="00F71B40" w:rsidRDefault="006B5A22" w:rsidP="00963793">
            <w:pPr>
              <w:keepNext/>
              <w:keepLines/>
              <w:rPr>
                <w:sz w:val="23"/>
                <w:szCs w:val="23"/>
                <w:u w:val="single"/>
                <w:lang w:val="en-AU"/>
              </w:rPr>
            </w:pPr>
            <w:r w:rsidRPr="00F71B40">
              <w:rPr>
                <w:noProof/>
                <w:sz w:val="23"/>
                <w:szCs w:val="23"/>
                <w:lang w:val="en-AU" w:eastAsia="en-AU"/>
              </w:rPr>
              <w:drawing>
                <wp:inline distT="0" distB="0" distL="0" distR="0" wp14:anchorId="61A3BF59" wp14:editId="61F0A4B4">
                  <wp:extent cx="2438400" cy="1666875"/>
                  <wp:effectExtent l="0" t="0" r="19050" b="9525"/>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tc>
        <w:tc>
          <w:tcPr>
            <w:tcW w:w="4675" w:type="dxa"/>
          </w:tcPr>
          <w:p w:rsidR="006B5A22" w:rsidRPr="00F71B40" w:rsidRDefault="006B5A22" w:rsidP="00963793">
            <w:pPr>
              <w:keepNext/>
              <w:keepLines/>
              <w:rPr>
                <w:sz w:val="23"/>
                <w:szCs w:val="23"/>
                <w:u w:val="single"/>
                <w:lang w:val="en-AU"/>
              </w:rPr>
            </w:pPr>
            <w:r w:rsidRPr="00F71B40">
              <w:rPr>
                <w:noProof/>
                <w:sz w:val="23"/>
                <w:szCs w:val="23"/>
                <w:lang w:val="en-AU" w:eastAsia="en-AU"/>
              </w:rPr>
              <w:drawing>
                <wp:inline distT="0" distB="0" distL="0" distR="0" wp14:anchorId="67EB7264" wp14:editId="4E9060D6">
                  <wp:extent cx="2438400" cy="1666875"/>
                  <wp:effectExtent l="0" t="0" r="19050" b="9525"/>
                  <wp:docPr id="15" name="Diagram 1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p>
        </w:tc>
      </w:tr>
      <w:tr w:rsidR="00BA7E65" w:rsidRPr="00361D8F" w:rsidTr="00B96EF6">
        <w:tc>
          <w:tcPr>
            <w:tcW w:w="9350" w:type="dxa"/>
            <w:gridSpan w:val="2"/>
          </w:tcPr>
          <w:p w:rsidR="00BA7E65" w:rsidRPr="00361D8F" w:rsidRDefault="00B45AEE" w:rsidP="00CC56DB">
            <w:pPr>
              <w:keepNext/>
              <w:keepLines/>
              <w:rPr>
                <w:sz w:val="20"/>
                <w:szCs w:val="20"/>
                <w:lang w:val="en-AU"/>
              </w:rPr>
            </w:pPr>
            <w:r w:rsidRPr="00361D8F">
              <w:rPr>
                <w:sz w:val="20"/>
                <w:szCs w:val="20"/>
                <w:lang w:val="en-AU"/>
              </w:rPr>
              <w:t>Source: A</w:t>
            </w:r>
            <w:r w:rsidR="00BA7E65" w:rsidRPr="00361D8F">
              <w:rPr>
                <w:sz w:val="20"/>
                <w:szCs w:val="20"/>
                <w:lang w:val="en-AU"/>
              </w:rPr>
              <w:t xml:space="preserve">uthor, drawing on </w:t>
            </w:r>
            <w:r w:rsidR="00115AC9" w:rsidRPr="00361D8F">
              <w:rPr>
                <w:rFonts w:cs="Times New Roman"/>
                <w:sz w:val="20"/>
                <w:szCs w:val="20"/>
                <w:lang w:val="en-AU"/>
              </w:rPr>
              <w:fldChar w:fldCharType="begin">
                <w:fldData xml:space="preserve">PEVuZE5vdGU+PENpdGU+PEF1dGhvcj5UZXNrZXk8L0F1dGhvcj48WWVhcj4yMDEzPC9ZZWFyPjxS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</w:fldData>
              </w:fldChar>
            </w:r>
            <w:r w:rsidR="00115AC9" w:rsidRPr="00361D8F">
              <w:rPr>
                <w:rFonts w:cs="Times New Roman"/>
                <w:sz w:val="20"/>
                <w:szCs w:val="20"/>
                <w:lang w:val="en-AU"/>
              </w:rPr>
              <w:instrText xml:space="preserve"> ADDIN EN.CITE </w:instrText>
            </w:r>
            <w:r w:rsidR="00115AC9" w:rsidRPr="00361D8F">
              <w:rPr>
                <w:rFonts w:cs="Times New Roman"/>
                <w:sz w:val="20"/>
                <w:szCs w:val="20"/>
                <w:lang w:val="en-AU"/>
              </w:rPr>
              <w:fldChar w:fldCharType="begin">
                <w:fldData xml:space="preserve">PEVuZE5vdGU+PENpdGU+PEF1dGhvcj5UZXNrZXk8L0F1dGhvcj48WWVhcj4yMDEzPC9ZZWFyPjxS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</w:fldData>
              </w:fldChar>
            </w:r>
            <w:r w:rsidR="00115AC9" w:rsidRPr="00361D8F">
              <w:rPr>
                <w:rFonts w:cs="Times New Roman"/>
                <w:sz w:val="20"/>
                <w:szCs w:val="20"/>
                <w:lang w:val="en-AU"/>
              </w:rPr>
              <w:instrText xml:space="preserve"> ADDIN EN.CITE.DATA </w:instrText>
            </w:r>
            <w:r w:rsidR="00115AC9" w:rsidRPr="00361D8F">
              <w:rPr>
                <w:rFonts w:cs="Times New Roman"/>
                <w:sz w:val="20"/>
                <w:szCs w:val="20"/>
                <w:lang w:val="en-AU"/>
              </w:rPr>
            </w:r>
            <w:r w:rsidR="00115AC9" w:rsidRPr="00361D8F">
              <w:rPr>
                <w:rFonts w:cs="Times New Roman"/>
                <w:sz w:val="20"/>
                <w:szCs w:val="20"/>
                <w:lang w:val="en-AU"/>
              </w:rPr>
              <w:fldChar w:fldCharType="end"/>
            </w:r>
            <w:r w:rsidR="00115AC9" w:rsidRPr="00361D8F">
              <w:rPr>
                <w:rFonts w:cs="Times New Roman"/>
                <w:sz w:val="20"/>
                <w:szCs w:val="20"/>
                <w:lang w:val="en-AU"/>
              </w:rPr>
            </w:r>
            <w:r w:rsidR="00115AC9" w:rsidRPr="00361D8F">
              <w:rPr>
                <w:rFonts w:cs="Times New Roman"/>
                <w:sz w:val="20"/>
                <w:szCs w:val="20"/>
                <w:lang w:val="en-AU"/>
              </w:rPr>
              <w:fldChar w:fldCharType="separate"/>
            </w:r>
            <w:r w:rsidR="00115AC9" w:rsidRPr="00361D8F">
              <w:rPr>
                <w:rFonts w:cs="Times New Roman"/>
                <w:sz w:val="20"/>
                <w:szCs w:val="20"/>
                <w:lang w:val="en-AU"/>
              </w:rPr>
              <w:t>(</w:t>
            </w:r>
            <w:hyperlink w:anchor="_ENREF_101" w:tooltip="Manning, 2010 #3097" w:history="1">
              <w:r w:rsidR="00CC56DB" w:rsidRPr="00361D8F">
                <w:rPr>
                  <w:rFonts w:cs="Times New Roman"/>
                  <w:sz w:val="20"/>
                  <w:szCs w:val="20"/>
                  <w:lang w:val="en-AU"/>
                </w:rPr>
                <w:t>Manning, Shepherd, &amp; Guerrero, 2010</w:t>
              </w:r>
            </w:hyperlink>
            <w:r w:rsidR="00115AC9" w:rsidRPr="00361D8F">
              <w:rPr>
                <w:rFonts w:cs="Times New Roman"/>
                <w:sz w:val="20"/>
                <w:szCs w:val="20"/>
                <w:lang w:val="en-AU"/>
              </w:rPr>
              <w:t xml:space="preserve">; </w:t>
            </w:r>
            <w:hyperlink w:anchor="_ENREF_139" w:tooltip="Teskey, 2013 #4283" w:history="1">
              <w:r w:rsidR="00CC56DB" w:rsidRPr="00361D8F">
                <w:rPr>
                  <w:rFonts w:cs="Times New Roman"/>
                  <w:sz w:val="20"/>
                  <w:szCs w:val="20"/>
                  <w:lang w:val="en-AU"/>
                </w:rPr>
                <w:t>Teskey, 2013a</w:t>
              </w:r>
            </w:hyperlink>
            <w:r w:rsidR="00115AC9" w:rsidRPr="00361D8F">
              <w:rPr>
                <w:rFonts w:cs="Times New Roman"/>
                <w:sz w:val="20"/>
                <w:szCs w:val="20"/>
                <w:lang w:val="en-AU"/>
              </w:rPr>
              <w:t xml:space="preserve">, </w:t>
            </w:r>
            <w:hyperlink w:anchor="_ENREF_140" w:tooltip="Teskey, 2013 #4284" w:history="1">
              <w:r w:rsidR="00CC56DB" w:rsidRPr="00361D8F">
                <w:rPr>
                  <w:rFonts w:cs="Times New Roman"/>
                  <w:sz w:val="20"/>
                  <w:szCs w:val="20"/>
                  <w:lang w:val="en-AU"/>
                </w:rPr>
                <w:t>2013b</w:t>
              </w:r>
            </w:hyperlink>
            <w:r w:rsidR="00115AC9" w:rsidRPr="00361D8F">
              <w:rPr>
                <w:rFonts w:cs="Times New Roman"/>
                <w:sz w:val="20"/>
                <w:szCs w:val="20"/>
                <w:lang w:val="en-AU"/>
              </w:rPr>
              <w:t>)</w:t>
            </w:r>
            <w:r w:rsidR="00115AC9" w:rsidRPr="00361D8F">
              <w:rPr>
                <w:rFonts w:cs="Times New Roman"/>
                <w:sz w:val="20"/>
                <w:szCs w:val="20"/>
                <w:lang w:val="en-AU"/>
              </w:rPr>
              <w:fldChar w:fldCharType="end"/>
            </w:r>
          </w:p>
        </w:tc>
      </w:tr>
    </w:tbl>
    <w:p w:rsidR="007240FD" w:rsidRPr="00F71B40" w:rsidRDefault="007240FD" w:rsidP="00D62A32">
      <w:pPr>
        <w:rPr>
          <w:sz w:val="23"/>
          <w:szCs w:val="23"/>
          <w:u w:val="single"/>
          <w:lang w:val="en-AU"/>
        </w:rPr>
      </w:pPr>
    </w:p>
    <w:p w:rsidR="0012624C" w:rsidRPr="00F71B40" w:rsidRDefault="007240FD" w:rsidP="00D62A32">
      <w:pPr>
        <w:rPr>
          <w:rFonts w:cs="Times New Roman"/>
          <w:lang w:val="en-AU"/>
        </w:rPr>
      </w:pPr>
      <w:r w:rsidRPr="00F71B40">
        <w:rPr>
          <w:rFonts w:cs="Times New Roman"/>
          <w:lang w:val="en-AU"/>
        </w:rPr>
        <w:t xml:space="preserve">Reasonable people can differ about why this state of affairs exists (and whether </w:t>
      </w:r>
      <w:r w:rsidR="00FC5F25" w:rsidRPr="00F71B40">
        <w:rPr>
          <w:rFonts w:cs="Times New Roman"/>
          <w:lang w:val="en-AU"/>
        </w:rPr>
        <w:t>the OECD model really is a gold standard)</w:t>
      </w:r>
      <w:r w:rsidR="00BA7E65" w:rsidRPr="00F71B40">
        <w:rPr>
          <w:rFonts w:cs="Times New Roman"/>
          <w:lang w:val="en-AU"/>
        </w:rPr>
        <w:t xml:space="preserve">.  It </w:t>
      </w:r>
      <w:r w:rsidR="0012624C" w:rsidRPr="00F71B40">
        <w:rPr>
          <w:rFonts w:cs="Times New Roman"/>
          <w:lang w:val="en-AU"/>
        </w:rPr>
        <w:t xml:space="preserve">is an empirical not a moral point.  Voters always want the best for themselves – whether that best is represented in a school for their children or a country whose political direction they are morally comfortable with.  The distinctive feature of clientilism is the immediacy of the transaction.  “(C)lientelist accountability represents a transaction, the direct exchange of a citizen’s vote in return for direct payments or continuing access to employment, goods, and services” </w:t>
      </w:r>
      <w:r w:rsidR="00115AC9" w:rsidRPr="00F71B40">
        <w:rPr>
          <w:rFonts w:cs="Times New Roman"/>
          <w:lang w:val="en-AU"/>
        </w:rPr>
        <w:fldChar w:fldCharType="begin"/>
      </w:r>
      <w:r w:rsidR="00115AC9" w:rsidRPr="00F71B40">
        <w:rPr>
          <w:rFonts w:cs="Times New Roman"/>
          <w:lang w:val="en-AU"/>
        </w:rPr>
        <w:instrText xml:space="preserve"> ADDIN EN.CITE &lt;EndNote&gt;&lt;Cite&gt;&lt;Author&gt;Kitschelt&lt;/Author&gt;&lt;Year&gt;2007&lt;/Year&gt;&lt;RecNum&gt;4247&lt;/RecNum&gt;&lt;Suffix&gt;`, p.2&lt;/Suffix&gt;&lt;DisplayText&gt;(Kitschelt &amp;amp; Wilkinson, 2007, p.2)&lt;/DisplayText&gt;&lt;record&gt;&lt;rec-number&gt;4247&lt;/rec-number&gt;&lt;foreign-keys&gt;&lt;key app="EN" db-id="5v9z5rrdszvwsneef06v9dapsd0apdtfapdx" timestamp="1408292429"&gt;4247&lt;/key&gt;&lt;/foreign-keys&gt;&lt;ref-type name="Book"&gt;6&lt;/ref-type&gt;&lt;contributors&gt;&lt;authors&gt;&lt;author&gt;Kitschelt, Herbert&lt;/author&gt;&lt;author&gt;Wilkinson, Steven I.&lt;/author&gt;&lt;/authors&gt;&lt;/contributors&gt;&lt;titles&gt;&lt;title&gt;Patrons, Clients, and Policies: Patterns of Democratic Accountability and Political Competition&lt;/title&gt;&lt;/titles&gt;&lt;dates&gt;&lt;year&gt;2007&lt;/year&gt;&lt;/dates&gt;&lt;pub-location&gt;Cambridge&lt;/pub-location&gt;&lt;publisher&gt;Cambridge University Press&lt;/publisher&gt;&lt;urls&gt;&lt;/urls&gt;&lt;/record&gt;&lt;/Cite&gt;&lt;/EndNote&gt;</w:instrText>
      </w:r>
      <w:r w:rsidR="00115AC9" w:rsidRPr="00F71B40">
        <w:rPr>
          <w:rFonts w:cs="Times New Roman"/>
          <w:lang w:val="en-AU"/>
        </w:rPr>
        <w:fldChar w:fldCharType="separate"/>
      </w:r>
      <w:r w:rsidR="00115AC9" w:rsidRPr="00F71B40">
        <w:rPr>
          <w:rFonts w:cs="Times New Roman"/>
          <w:lang w:val="en-AU"/>
        </w:rPr>
        <w:t>(</w:t>
      </w:r>
      <w:hyperlink w:anchor="_ENREF_88" w:tooltip="Kitschelt, 2007 #4247" w:history="1">
        <w:r w:rsidR="00CC56DB" w:rsidRPr="00F71B40">
          <w:rPr>
            <w:rFonts w:cs="Times New Roman"/>
            <w:lang w:val="en-AU"/>
          </w:rPr>
          <w:t>Kitschelt &amp; Wilkinson, 2007, p.2</w:t>
        </w:r>
      </w:hyperlink>
      <w:r w:rsidR="00115AC9" w:rsidRPr="00F71B40">
        <w:rPr>
          <w:rFonts w:cs="Times New Roman"/>
          <w:lang w:val="en-AU"/>
        </w:rPr>
        <w:t>)</w:t>
      </w:r>
      <w:r w:rsidR="00115AC9" w:rsidRPr="00F71B40">
        <w:rPr>
          <w:rFonts w:cs="Times New Roman"/>
          <w:lang w:val="en-AU"/>
        </w:rPr>
        <w:fldChar w:fldCharType="end"/>
      </w:r>
      <w:r w:rsidR="0012624C" w:rsidRPr="00F71B40">
        <w:rPr>
          <w:rFonts w:cs="Times New Roman"/>
          <w:lang w:val="en-AU"/>
        </w:rPr>
        <w:t>. Clientelism can be pre-election vote-buying and post-election transfer of benefits.  Its distinctive feature is that the transaction is short term and visible – a contrast with a non-clientilistic arrangement in which the voter has reason to believe that somehow, in the reasonably near future but not immediately, the politician will act as a delegate negotiating to achieve their particular goals. It arises when voters have no reason to trust that politicians will act in their interests in the longer term and so must resort to mechanisms which demonstrate that the politician is acting for them in the short term.</w:t>
      </w:r>
    </w:p>
    <w:p w:rsidR="00CF3A88" w:rsidRPr="00F71B40" w:rsidRDefault="00CF3A88" w:rsidP="00D62A32">
      <w:pPr>
        <w:rPr>
          <w:rFonts w:cs="Times New Roman"/>
          <w:lang w:val="en-AU"/>
        </w:rPr>
      </w:pPr>
    </w:p>
    <w:p w:rsidR="00955040" w:rsidRPr="00F71B40" w:rsidRDefault="00955040" w:rsidP="00D62A32">
      <w:pPr>
        <w:rPr>
          <w:rFonts w:cs="Times New Roman"/>
          <w:lang w:val="en-AU"/>
        </w:rPr>
      </w:pPr>
      <w:r w:rsidRPr="00F71B40">
        <w:rPr>
          <w:rFonts w:cs="Times New Roman"/>
          <w:lang w:val="en-AU"/>
        </w:rPr>
        <w:t>T</w:t>
      </w:r>
      <w:r w:rsidR="00CF3A88" w:rsidRPr="00F71B40">
        <w:rPr>
          <w:rFonts w:cs="Times New Roman"/>
          <w:lang w:val="en-AU"/>
        </w:rPr>
        <w:t xml:space="preserve">he rise and rise of the </w:t>
      </w:r>
      <w:r w:rsidRPr="00F71B40">
        <w:rPr>
          <w:rFonts w:cs="Times New Roman"/>
          <w:lang w:val="en-AU"/>
        </w:rPr>
        <w:t xml:space="preserve">Constituency Development Funds </w:t>
      </w:r>
      <w:r w:rsidR="00CF3A88" w:rsidRPr="00F71B40">
        <w:rPr>
          <w:rFonts w:cs="Times New Roman"/>
          <w:lang w:val="en-AU"/>
        </w:rPr>
        <w:t xml:space="preserve">CDFs </w:t>
      </w:r>
      <w:r w:rsidRPr="00F71B40">
        <w:rPr>
          <w:rFonts w:cs="Times New Roman"/>
          <w:lang w:val="en-AU"/>
        </w:rPr>
        <w:t xml:space="preserve">in the Solomon Islands </w:t>
      </w:r>
      <w:r w:rsidR="00115AC9" w:rsidRPr="00F71B40">
        <w:rPr>
          <w:rFonts w:cs="Times New Roman"/>
          <w:lang w:val="en-AU"/>
        </w:rPr>
        <w:fldChar w:fldCharType="begin"/>
      </w:r>
      <w:r w:rsidR="00115AC9" w:rsidRPr="00F71B40">
        <w:rPr>
          <w:rFonts w:cs="Times New Roman"/>
          <w:lang w:val="en-AU"/>
        </w:rPr>
        <w:instrText xml:space="preserve"> ADDIN EN.CITE &lt;EndNote&gt;&lt;Cite&gt;&lt;Author&gt;World Bank&lt;/Author&gt;&lt;Year&gt;2013&lt;/Year&gt;&lt;RecNum&gt;4344&lt;/RecNum&gt;&lt;DisplayText&gt;(CEWG, 2013, figure 1; World Bank, 2013)&lt;/DisplayText&gt;&lt;record&gt;&lt;rec-number&gt;4344&lt;/rec-number&gt;&lt;foreign-keys&gt;&lt;key app="EN" db-id="5v9z5rrdszvwsneef06v9dapsd0apdtfapdx" timestamp="1408820675"&gt;4344&lt;/key&gt;&lt;/foreign-keys&gt;&lt;ref-type name="Manuscript"&gt;36&lt;/ref-type&gt;&lt;contributors&gt;&lt;authors&gt;&lt;author&gt;World Bank,&lt;/author&gt;&lt;/authors&gt;&lt;secondary-authors&gt;&lt;author&gt;World Bank&lt;/author&gt;&lt;/secondary-authors&gt;&lt;/contributors&gt;&lt;titles&gt;&lt;title&gt;Constituency Development Funds: Briefing Note&lt;/title&gt;&lt;/titles&gt;&lt;dates&gt;&lt;year&gt;2013&lt;/year&gt;&lt;/dates&gt;&lt;pub-location&gt;Honiara, Solomon Islands&lt;/pub-location&gt;&lt;urls&gt;&lt;/urls&gt;&lt;/record&gt;&lt;/Cite&gt;&lt;Cite&gt;&lt;Author&gt;CEWG&lt;/Author&gt;&lt;Year&gt;2013&lt;/Year&gt;&lt;RecNum&gt;4266&lt;/RecNum&gt;&lt;Suffix&gt;`, figure 1&lt;/Suffix&gt;&lt;record&gt;&lt;rec-number&gt;4266&lt;/rec-number&gt;&lt;foreign-keys&gt;&lt;key app="EN" db-id="5v9z5rrdszvwsneef06v9dapsd0apdtfapdx" timestamp="1408393765"&gt;4266&lt;/key&gt;&lt;/foreign-keys&gt;&lt;ref-type name="Report"&gt;27&lt;/ref-type&gt;&lt;contributors&gt;&lt;authors&gt;&lt;author&gt;CEWG&lt;/author&gt;&lt;/authors&gt;&lt;/contributors&gt;&lt;titles&gt;&lt;title&gt;Report of Fourth Annual Joint Review Mission&lt;/title&gt;&lt;/titles&gt;&lt;dates&gt;&lt;year&gt;2013&lt;/year&gt;&lt;/dates&gt;&lt;pub-location&gt;Honiara&lt;/pub-location&gt;&lt;publisher&gt;Solomon Islands Core Economic Working Group&lt;/publisher&gt;&lt;urls&gt;&lt;/urls&gt;&lt;/record&gt;&lt;/Cite&gt;&lt;/EndNote&gt;</w:instrText>
      </w:r>
      <w:r w:rsidR="00115AC9" w:rsidRPr="00F71B40">
        <w:rPr>
          <w:rFonts w:cs="Times New Roman"/>
          <w:lang w:val="en-AU"/>
        </w:rPr>
        <w:fldChar w:fldCharType="separate"/>
      </w:r>
      <w:r w:rsidR="00115AC9" w:rsidRPr="00F71B40">
        <w:rPr>
          <w:rFonts w:cs="Times New Roman"/>
          <w:lang w:val="en-AU"/>
        </w:rPr>
        <w:t>(</w:t>
      </w:r>
      <w:hyperlink w:anchor="_ENREF_34" w:tooltip="CEWG, 2013 #4266" w:history="1">
        <w:r w:rsidR="00CC56DB" w:rsidRPr="00F71B40">
          <w:rPr>
            <w:rFonts w:cs="Times New Roman"/>
            <w:lang w:val="en-AU"/>
          </w:rPr>
          <w:t>CEWG, 2013, figure 1</w:t>
        </w:r>
      </w:hyperlink>
      <w:r w:rsidR="00115AC9" w:rsidRPr="00F71B40">
        <w:rPr>
          <w:rFonts w:cs="Times New Roman"/>
          <w:lang w:val="en-AU"/>
        </w:rPr>
        <w:t xml:space="preserve">; </w:t>
      </w:r>
      <w:hyperlink w:anchor="_ENREF_151" w:tooltip="World Bank, 2013 #4344" w:history="1">
        <w:r w:rsidR="00CC56DB" w:rsidRPr="00F71B40">
          <w:rPr>
            <w:rFonts w:cs="Times New Roman"/>
            <w:lang w:val="en-AU"/>
          </w:rPr>
          <w:t>World Bank, 2013</w:t>
        </w:r>
      </w:hyperlink>
      <w:r w:rsidR="00115AC9" w:rsidRPr="00F71B40">
        <w:rPr>
          <w:rFonts w:cs="Times New Roman"/>
          <w:lang w:val="en-AU"/>
        </w:rPr>
        <w:t>)</w:t>
      </w:r>
      <w:r w:rsidR="00115AC9" w:rsidRPr="00F71B40">
        <w:rPr>
          <w:rFonts w:cs="Times New Roman"/>
          <w:lang w:val="en-AU"/>
        </w:rPr>
        <w:fldChar w:fldCharType="end"/>
      </w:r>
      <w:r w:rsidR="00C2086D" w:rsidRPr="00F71B40">
        <w:rPr>
          <w:rFonts w:cs="Times New Roman"/>
          <w:lang w:val="en-AU"/>
        </w:rPr>
        <w:t xml:space="preserve"> </w:t>
      </w:r>
      <w:r w:rsidRPr="00F71B40">
        <w:rPr>
          <w:rFonts w:cs="Times New Roman"/>
          <w:lang w:val="en-AU"/>
        </w:rPr>
        <w:t>is not an aberration from a fundamentally OECD-style public sector – it signifies the fundamentally different nature of political accountability.</w:t>
      </w:r>
      <w:r w:rsidR="00370F0C" w:rsidRPr="00F71B40">
        <w:rPr>
          <w:rStyle w:val="FootnoteReference"/>
          <w:rFonts w:cs="Times New Roman"/>
          <w:lang w:val="en-AU"/>
        </w:rPr>
        <w:footnoteReference w:id="6"/>
      </w:r>
    </w:p>
    <w:p w:rsidR="00955040" w:rsidRPr="00F71B40" w:rsidRDefault="00955040" w:rsidP="00D62A32">
      <w:pPr>
        <w:rPr>
          <w:rFonts w:cs="Times New Roman"/>
          <w:lang w:val="en-AU"/>
        </w:rPr>
      </w:pPr>
    </w:p>
    <w:p w:rsidR="00442463" w:rsidRPr="00F71B40" w:rsidRDefault="00955040" w:rsidP="00D62A32">
      <w:pPr>
        <w:rPr>
          <w:rFonts w:cs="Times New Roman"/>
          <w:lang w:val="en-AU"/>
        </w:rPr>
      </w:pPr>
      <w:r w:rsidRPr="00F71B40">
        <w:rPr>
          <w:rFonts w:cs="Times New Roman"/>
          <w:lang w:val="en-AU"/>
        </w:rPr>
        <w:t xml:space="preserve">Such </w:t>
      </w:r>
      <w:r w:rsidR="005D36D0" w:rsidRPr="00F71B40">
        <w:rPr>
          <w:rFonts w:cs="Times New Roman"/>
          <w:lang w:val="en-AU"/>
        </w:rPr>
        <w:t xml:space="preserve">clientilistic </w:t>
      </w:r>
      <w:r w:rsidRPr="00F71B40">
        <w:rPr>
          <w:rFonts w:cs="Times New Roman"/>
          <w:lang w:val="en-AU"/>
        </w:rPr>
        <w:t xml:space="preserve">mechanisms are very hard to change as they are both the cause </w:t>
      </w:r>
      <w:r w:rsidR="00442463" w:rsidRPr="00F71B40">
        <w:rPr>
          <w:rFonts w:cs="Times New Roman"/>
          <w:lang w:val="en-AU"/>
        </w:rPr>
        <w:t xml:space="preserve">and effect </w:t>
      </w:r>
      <w:r w:rsidRPr="00F71B40">
        <w:rPr>
          <w:rFonts w:cs="Times New Roman"/>
          <w:lang w:val="en-AU"/>
        </w:rPr>
        <w:t xml:space="preserve">of a weak formal </w:t>
      </w:r>
      <w:r w:rsidR="00442463" w:rsidRPr="00F71B40">
        <w:rPr>
          <w:rFonts w:cs="Times New Roman"/>
          <w:lang w:val="en-AU"/>
        </w:rPr>
        <w:t>state</w:t>
      </w:r>
      <w:r w:rsidR="00C902F4" w:rsidRPr="00F71B40">
        <w:rPr>
          <w:rFonts w:cs="Times New Roman"/>
          <w:lang w:val="en-AU"/>
        </w:rPr>
        <w:t>.  On the one hand, t</w:t>
      </w:r>
      <w:r w:rsidR="00442463" w:rsidRPr="00F71B40">
        <w:rPr>
          <w:rFonts w:cs="Times New Roman"/>
          <w:lang w:val="en-AU"/>
        </w:rPr>
        <w:t xml:space="preserve">o the extent that CDFs are used for vote-buying, </w:t>
      </w:r>
      <w:r w:rsidR="00C902F4" w:rsidRPr="00F71B40">
        <w:rPr>
          <w:rFonts w:cs="Times New Roman"/>
          <w:lang w:val="en-AU"/>
        </w:rPr>
        <w:t>they undermine the state.  D</w:t>
      </w:r>
      <w:r w:rsidR="00442463" w:rsidRPr="00F71B40">
        <w:rPr>
          <w:rFonts w:cs="Times New Roman"/>
          <w:lang w:val="en-AU"/>
        </w:rPr>
        <w:t xml:space="preserve">etailed survey evidence and robust research in the Philippines has shown that </w:t>
      </w:r>
      <w:r w:rsidR="00C902F4" w:rsidRPr="00F71B40">
        <w:rPr>
          <w:rFonts w:cs="Times New Roman"/>
          <w:lang w:val="en-AU"/>
        </w:rPr>
        <w:t xml:space="preserve">such </w:t>
      </w:r>
      <w:r w:rsidR="00442463" w:rsidRPr="00F71B40">
        <w:rPr>
          <w:sz w:val="23"/>
          <w:szCs w:val="23"/>
          <w:lang w:val="en-AU"/>
        </w:rPr>
        <w:t>vote buying is robustly correlated with lower levels of services which are within local control, which are pro-poor</w:t>
      </w:r>
      <w:r w:rsidR="00866B58">
        <w:rPr>
          <w:sz w:val="23"/>
          <w:szCs w:val="23"/>
          <w:lang w:val="en-AU"/>
        </w:rPr>
        <w:t>,</w:t>
      </w:r>
      <w:r w:rsidR="00442463" w:rsidRPr="00F71B40">
        <w:rPr>
          <w:sz w:val="23"/>
          <w:szCs w:val="23"/>
          <w:lang w:val="en-AU"/>
        </w:rPr>
        <w:t xml:space="preserve"> and which are not targeted at particular groups.  Thus, for example, expenditures on local health services, which the rich tend not to use, diminish in the presence of vote-buying </w:t>
      </w:r>
      <w:r w:rsidR="00115AC9" w:rsidRPr="00F71B40">
        <w:rPr>
          <w:sz w:val="23"/>
          <w:szCs w:val="23"/>
          <w:lang w:val="en-AU"/>
        </w:rPr>
        <w:fldChar w:fldCharType="begin"/>
      </w:r>
      <w:r w:rsidR="00115AC9" w:rsidRPr="00F71B40">
        <w:rPr>
          <w:sz w:val="23"/>
          <w:szCs w:val="23"/>
          <w:lang w:val="en-AU"/>
        </w:rPr>
        <w:instrText xml:space="preserve"> ADDIN EN.CITE &lt;EndNote&gt;&lt;Cite&gt;&lt;Author&gt;Khemani&lt;/Author&gt;&lt;Year&gt;2013&lt;/Year&gt;&lt;RecNum&gt;4245&lt;/RecNum&gt;&lt;DisplayText&gt;(Khemani, 2013)&lt;/DisplayText&gt;&lt;record&gt;&lt;rec-number&gt;4245&lt;/rec-number&gt;&lt;foreign-keys&gt;&lt;key app="EN" db-id="5v9z5rrdszvwsneef06v9dapsd0apdtfapdx" timestamp="1408290631"&gt;4245&lt;/key&gt;&lt;/foreign-keys&gt;&lt;ref-type name="Report"&gt;27&lt;/ref-type&gt;&lt;contributors&gt;&lt;authors&gt;&lt;author&gt;Stuti Khemani&lt;/author&gt;&lt;/authors&gt;&lt;/contributors&gt;&lt;titles&gt;&lt;title&gt;Buying Votes Vs. Supplying Public Services Political Incentives to Under-invest in Pro-poor Policies (Policy Research Working Paper 6339)&lt;/title&gt;&lt;/titles&gt;&lt;dates&gt;&lt;year&gt;2013&lt;/year&gt;&lt;/dates&gt;&lt;pub-location&gt;Washington, DC&lt;/pub-location&gt;&lt;publisher&gt;World Bank&lt;/publisher&gt;&lt;urls&gt;&lt;/urls&gt;&lt;/record&gt;&lt;/Cite&gt;&lt;/EndNote&gt;</w:instrText>
      </w:r>
      <w:r w:rsidR="00115AC9" w:rsidRPr="00F71B40">
        <w:rPr>
          <w:sz w:val="23"/>
          <w:szCs w:val="23"/>
          <w:lang w:val="en-AU"/>
        </w:rPr>
        <w:fldChar w:fldCharType="separate"/>
      </w:r>
      <w:r w:rsidR="00115AC9" w:rsidRPr="00F71B40">
        <w:rPr>
          <w:sz w:val="23"/>
          <w:szCs w:val="23"/>
          <w:lang w:val="en-AU"/>
        </w:rPr>
        <w:t>(</w:t>
      </w:r>
      <w:hyperlink w:anchor="_ENREF_87" w:tooltip="Khemani, 2013 #4245" w:history="1">
        <w:r w:rsidR="00CC56DB" w:rsidRPr="00F71B40">
          <w:rPr>
            <w:sz w:val="23"/>
            <w:szCs w:val="23"/>
            <w:lang w:val="en-AU"/>
          </w:rPr>
          <w:t>Khemani, 2013</w:t>
        </w:r>
      </w:hyperlink>
      <w:r w:rsidR="00115AC9" w:rsidRPr="00F71B40">
        <w:rPr>
          <w:sz w:val="23"/>
          <w:szCs w:val="23"/>
          <w:lang w:val="en-AU"/>
        </w:rPr>
        <w:t>)</w:t>
      </w:r>
      <w:r w:rsidR="00115AC9" w:rsidRPr="00F71B40">
        <w:rPr>
          <w:sz w:val="23"/>
          <w:szCs w:val="23"/>
          <w:lang w:val="en-AU"/>
        </w:rPr>
        <w:fldChar w:fldCharType="end"/>
      </w:r>
      <w:r w:rsidR="00442463" w:rsidRPr="00F71B40">
        <w:rPr>
          <w:sz w:val="23"/>
          <w:szCs w:val="23"/>
          <w:lang w:val="en-AU"/>
        </w:rPr>
        <w:t>.</w:t>
      </w:r>
      <w:r w:rsidR="00C902F4" w:rsidRPr="00F71B40">
        <w:rPr>
          <w:sz w:val="23"/>
          <w:szCs w:val="23"/>
          <w:lang w:val="en-AU"/>
        </w:rPr>
        <w:t xml:space="preserve">  On the other, </w:t>
      </w:r>
      <w:r w:rsidR="00C902F4" w:rsidRPr="00F71B40">
        <w:rPr>
          <w:rFonts w:cs="Times New Roman"/>
          <w:lang w:val="en-AU"/>
        </w:rPr>
        <w:t>they are a reasonable mechanism for the delivery of some services to rural areas, substituting for an ossified bureaucracy.</w:t>
      </w:r>
      <w:r w:rsidR="00E256D6">
        <w:rPr>
          <w:rFonts w:cs="Times New Roman"/>
          <w:lang w:val="en-AU"/>
        </w:rPr>
        <w:t xml:space="preserve">  </w:t>
      </w:r>
    </w:p>
    <w:p w:rsidR="008D65C8" w:rsidRPr="00F71B40" w:rsidRDefault="008D65C8" w:rsidP="00D62A32">
      <w:pPr>
        <w:rPr>
          <w:rFonts w:cs="Times New Roman"/>
          <w:lang w:val="en-AU"/>
        </w:rPr>
      </w:pPr>
    </w:p>
    <w:p w:rsidR="008D65C8" w:rsidRPr="00F71B40" w:rsidRDefault="008D65C8" w:rsidP="00D62A32">
      <w:pPr>
        <w:rPr>
          <w:rFonts w:cs="Times New Roman"/>
          <w:lang w:val="en-AU"/>
        </w:rPr>
      </w:pPr>
      <w:r w:rsidRPr="00F71B40">
        <w:rPr>
          <w:rFonts w:cs="Times New Roman"/>
          <w:lang w:val="en-AU"/>
        </w:rPr>
        <w:lastRenderedPageBreak/>
        <w:t>So while it is tempting to look at t</w:t>
      </w:r>
      <w:r w:rsidR="00D2781F" w:rsidRPr="00F71B40">
        <w:rPr>
          <w:rFonts w:cs="Times New Roman"/>
          <w:lang w:val="en-AU"/>
        </w:rPr>
        <w:t>he Solomon Islands G</w:t>
      </w:r>
      <w:r w:rsidRPr="00F71B40">
        <w:rPr>
          <w:rFonts w:cs="Times New Roman"/>
          <w:lang w:val="en-AU"/>
        </w:rPr>
        <w:t xml:space="preserve">overnment </w:t>
      </w:r>
      <w:r w:rsidR="00D2781F" w:rsidRPr="00F71B40">
        <w:rPr>
          <w:rFonts w:cs="Times New Roman"/>
          <w:lang w:val="en-AU"/>
        </w:rPr>
        <w:t xml:space="preserve">(SIG) </w:t>
      </w:r>
      <w:r w:rsidRPr="00F71B40">
        <w:rPr>
          <w:rFonts w:cs="Times New Roman"/>
          <w:lang w:val="en-AU"/>
        </w:rPr>
        <w:t xml:space="preserve">from the perspective of the OECD-style “responsible party government (RPG) ideal” </w:t>
      </w:r>
      <w:r w:rsidR="00115AC9" w:rsidRPr="00F71B40">
        <w:rPr>
          <w:rFonts w:cs="Times New Roman"/>
          <w:lang w:val="en-AU"/>
        </w:rPr>
        <w:fldChar w:fldCharType="begin"/>
      </w:r>
      <w:r w:rsidR="00115AC9" w:rsidRPr="00F71B40">
        <w:rPr>
          <w:rFonts w:cs="Times New Roman"/>
          <w:lang w:val="en-AU"/>
        </w:rPr>
        <w:instrText xml:space="preserve"> ADDIN EN.CITE &lt;EndNote&gt;&lt;Cite&gt;&lt;Author&gt;Cheeseman&lt;/Author&gt;&lt;Year&gt;2014&lt;/Year&gt;&lt;RecNum&gt;4262&lt;/RecNum&gt;&lt;DisplayText&gt;(Cheeseman et al., 2014)&lt;/DisplayText&gt;&lt;record&gt;&lt;rec-number&gt;4262&lt;/rec-number&gt;&lt;foreign-keys&gt;&lt;key app="EN" db-id="5v9z5rrdszvwsneef06v9dapsd0apdtfapdx" timestamp="1408389108"&gt;4262&lt;/key&gt;&lt;/foreign-keys&gt;&lt;ref-type name="Book"&gt;6&lt;/ref-type&gt;&lt;contributors&gt;&lt;authors&gt;&lt;author&gt;Nic Cheeseman&lt;/author&gt;&lt;author&gt;Pablo Luna , Juan&lt;/author&gt;&lt;author&gt;Herbert Kitschelt&lt;/author&gt;&lt;author&gt;Dan Paget&lt;/author&gt;&lt;author&gt;Fernando Rosenblatt&lt;/author&gt;&lt;author&gt;Kristen Sample&lt;/author&gt;&lt;author&gt;Sergio Toro&lt;/author&gt;&lt;author&gt;Valladares Molleda, Jorge&lt;/author&gt;&lt;author&gt;Sam van der Staak&lt;/author&gt;&lt;author&gt;Yi-ting Wang&lt;/author&gt;&lt;/authors&gt;&lt;/contributors&gt;&lt;titles&gt;&lt;title&gt;Politics Meets Policies: The Emergence of Programmatic Political Parties&lt;/title&gt;&lt;/titles&gt;&lt;dates&gt;&lt;year&gt;2014&lt;/year&gt;&lt;/dates&gt;&lt;pub-location&gt;Stockholm&lt;/pub-location&gt;&lt;publisher&gt;International Institute for Democracy and Electoral Assistance&lt;/publisher&gt;&lt;urls&gt;&lt;/urls&gt;&lt;/record&gt;&lt;/Cite&gt;&lt;/EndNote&gt;</w:instrText>
      </w:r>
      <w:r w:rsidR="00115AC9" w:rsidRPr="00F71B40">
        <w:rPr>
          <w:rFonts w:cs="Times New Roman"/>
          <w:lang w:val="en-AU"/>
        </w:rPr>
        <w:fldChar w:fldCharType="separate"/>
      </w:r>
      <w:r w:rsidR="00115AC9" w:rsidRPr="00F71B40">
        <w:rPr>
          <w:rFonts w:cs="Times New Roman"/>
          <w:lang w:val="en-AU"/>
        </w:rPr>
        <w:t>(</w:t>
      </w:r>
      <w:hyperlink w:anchor="_ENREF_35" w:tooltip="Cheeseman, 2014 #4262" w:history="1">
        <w:r w:rsidR="00CC56DB" w:rsidRPr="00F71B40">
          <w:rPr>
            <w:rFonts w:cs="Times New Roman"/>
            <w:lang w:val="en-AU"/>
          </w:rPr>
          <w:t>Cheeseman et al., 2014</w:t>
        </w:r>
      </w:hyperlink>
      <w:r w:rsidR="00115AC9" w:rsidRPr="00F71B40">
        <w:rPr>
          <w:rFonts w:cs="Times New Roman"/>
          <w:lang w:val="en-AU"/>
        </w:rPr>
        <w:t>)</w:t>
      </w:r>
      <w:r w:rsidR="00115AC9" w:rsidRPr="00F71B40">
        <w:rPr>
          <w:rFonts w:cs="Times New Roman"/>
          <w:lang w:val="en-AU"/>
        </w:rPr>
        <w:fldChar w:fldCharType="end"/>
      </w:r>
      <w:r w:rsidRPr="00F71B40">
        <w:rPr>
          <w:rFonts w:cs="Times New Roman"/>
          <w:lang w:val="en-AU"/>
        </w:rPr>
        <w:t xml:space="preserve"> and seek ministers or other political champions who have clear responsibility for improving the performance of their sector, this is inconsistent with the basic structure of political incentives.  In OECD Westminster systems, there is a distinction between ministers with and without portfolios.  In political economy environments such as the Solomon Islands, the phenomenon of “portfolios without ministers” makes an appearance.</w:t>
      </w:r>
    </w:p>
    <w:p w:rsidR="002804B3" w:rsidRPr="00F71B40" w:rsidRDefault="002804B3" w:rsidP="00D62A32">
      <w:pPr>
        <w:rPr>
          <w:rFonts w:cs="Times New Roman"/>
          <w:lang w:val="en-AU"/>
        </w:rPr>
      </w:pPr>
    </w:p>
    <w:p w:rsidR="00945C76" w:rsidRPr="00F71B40" w:rsidRDefault="002804B3" w:rsidP="00D62A32">
      <w:pPr>
        <w:rPr>
          <w:highlight w:val="yellow"/>
          <w:lang w:val="en-AU"/>
        </w:rPr>
      </w:pPr>
      <w:r w:rsidRPr="00F71B40">
        <w:rPr>
          <w:rFonts w:cs="Times New Roman"/>
          <w:lang w:val="en-AU"/>
        </w:rPr>
        <w:t xml:space="preserve">It seems that </w:t>
      </w:r>
      <w:r w:rsidR="001B7A23" w:rsidRPr="00F71B40">
        <w:rPr>
          <w:rFonts w:cs="Times New Roman"/>
          <w:lang w:val="en-AU"/>
        </w:rPr>
        <w:t>common practice of senior public servants standing for parliamentary office presents them with similar incentives.</w:t>
      </w:r>
      <w:r w:rsidR="00E256D6">
        <w:rPr>
          <w:rFonts w:cs="Times New Roman"/>
          <w:lang w:val="en-AU"/>
        </w:rPr>
        <w:t xml:space="preserve">  </w:t>
      </w:r>
      <w:r w:rsidR="001B7A23" w:rsidRPr="00F71B40">
        <w:rPr>
          <w:rFonts w:cs="Times New Roman"/>
          <w:lang w:val="en-AU"/>
        </w:rPr>
        <w:t xml:space="preserve">If a Permanent Secretary is </w:t>
      </w:r>
      <w:r w:rsidR="00514A10" w:rsidRPr="00F71B40">
        <w:rPr>
          <w:rFonts w:cs="Times New Roman"/>
          <w:lang w:val="en-AU"/>
        </w:rPr>
        <w:t xml:space="preserve">to </w:t>
      </w:r>
      <w:r w:rsidR="00C849F2" w:rsidRPr="00F71B40">
        <w:rPr>
          <w:rFonts w:cs="Times New Roman"/>
          <w:lang w:val="en-AU"/>
        </w:rPr>
        <w:t xml:space="preserve">leave their civil service position and </w:t>
      </w:r>
      <w:r w:rsidR="001B7A23" w:rsidRPr="00F71B40">
        <w:rPr>
          <w:rFonts w:cs="Times New Roman"/>
          <w:lang w:val="en-AU"/>
        </w:rPr>
        <w:t>run for election</w:t>
      </w:r>
      <w:r w:rsidR="008F20ED" w:rsidRPr="00F71B40">
        <w:rPr>
          <w:rFonts w:cs="Times New Roman"/>
          <w:lang w:val="en-AU"/>
        </w:rPr>
        <w:t xml:space="preserve">, </w:t>
      </w:r>
      <w:r w:rsidR="00C849F2" w:rsidRPr="00F71B40">
        <w:rPr>
          <w:rFonts w:cs="Times New Roman"/>
          <w:lang w:val="en-AU"/>
        </w:rPr>
        <w:t xml:space="preserve">a winning </w:t>
      </w:r>
      <w:r w:rsidR="008F20ED" w:rsidRPr="00F71B40">
        <w:rPr>
          <w:rFonts w:cs="Times New Roman"/>
          <w:lang w:val="en-AU"/>
        </w:rPr>
        <w:t>strategy must focus more on convincing their future constituents that they will use the CDFs for their short term benefit</w:t>
      </w:r>
      <w:r w:rsidR="00C849F2" w:rsidRPr="00F71B40">
        <w:rPr>
          <w:rFonts w:cs="Times New Roman"/>
          <w:lang w:val="en-AU"/>
        </w:rPr>
        <w:t xml:space="preserve"> than on convincing </w:t>
      </w:r>
      <w:r w:rsidR="00514A10" w:rsidRPr="00F71B40">
        <w:rPr>
          <w:rFonts w:cs="Times New Roman"/>
          <w:lang w:val="en-AU"/>
        </w:rPr>
        <w:t xml:space="preserve">those constituents </w:t>
      </w:r>
      <w:r w:rsidR="00C849F2" w:rsidRPr="00F71B40">
        <w:rPr>
          <w:rFonts w:cs="Times New Roman"/>
          <w:lang w:val="en-AU"/>
        </w:rPr>
        <w:t xml:space="preserve">that services provided by the state will improve.  To the extent that senior officials have the possibility of </w:t>
      </w:r>
      <w:r w:rsidR="00514A10" w:rsidRPr="00F71B40">
        <w:rPr>
          <w:rFonts w:cs="Times New Roman"/>
          <w:lang w:val="en-AU"/>
        </w:rPr>
        <w:t xml:space="preserve">eventually </w:t>
      </w:r>
      <w:r w:rsidR="00C849F2" w:rsidRPr="00F71B40">
        <w:rPr>
          <w:rFonts w:cs="Times New Roman"/>
          <w:lang w:val="en-AU"/>
        </w:rPr>
        <w:t>standing for parliament in mind, this undermines the interest of this most senior management level in the civil service in managing their own departments.</w:t>
      </w:r>
    </w:p>
    <w:p w:rsidR="00442463" w:rsidRPr="00F71B40" w:rsidRDefault="00442463" w:rsidP="00D62A32">
      <w:pPr>
        <w:rPr>
          <w:rFonts w:cs="Times New Roman"/>
          <w:lang w:val="en-AU"/>
        </w:rPr>
      </w:pPr>
    </w:p>
    <w:p w:rsidR="00C902F4" w:rsidRPr="00F71B40" w:rsidRDefault="00A004BB" w:rsidP="00D62A32">
      <w:pPr>
        <w:pStyle w:val="Heading2"/>
        <w:rPr>
          <w:lang w:val="en-AU"/>
        </w:rPr>
      </w:pPr>
      <w:bookmarkStart w:id="39" w:name="_Toc399410386"/>
      <w:r w:rsidRPr="00F71B40">
        <w:rPr>
          <w:lang w:val="en-AU"/>
        </w:rPr>
        <w:t xml:space="preserve">The roots </w:t>
      </w:r>
      <w:r w:rsidR="00361D8F">
        <w:rPr>
          <w:lang w:val="en-AU"/>
        </w:rPr>
        <w:t xml:space="preserve">of the distinctive political incentives </w:t>
      </w:r>
      <w:r w:rsidRPr="00F71B40">
        <w:rPr>
          <w:lang w:val="en-AU"/>
        </w:rPr>
        <w:t>are deep</w:t>
      </w:r>
      <w:bookmarkEnd w:id="39"/>
      <w:r w:rsidR="00C902F4" w:rsidRPr="00F71B40">
        <w:rPr>
          <w:lang w:val="en-AU"/>
        </w:rPr>
        <w:t xml:space="preserve"> </w:t>
      </w:r>
    </w:p>
    <w:p w:rsidR="00C902F4" w:rsidRPr="00F71B40" w:rsidRDefault="00C902F4" w:rsidP="00D62A32">
      <w:pPr>
        <w:rPr>
          <w:rFonts w:cs="Times New Roman"/>
          <w:lang w:val="en-AU"/>
        </w:rPr>
      </w:pPr>
    </w:p>
    <w:p w:rsidR="008D65C8" w:rsidRPr="00F71B40" w:rsidRDefault="00334DDC" w:rsidP="00D62A32">
      <w:pPr>
        <w:rPr>
          <w:lang w:val="en-AU"/>
        </w:rPr>
      </w:pPr>
      <w:r w:rsidRPr="00F71B40">
        <w:rPr>
          <w:lang w:val="en-AU"/>
        </w:rPr>
        <w:t xml:space="preserve">There is now reasonably sound research evidence that when politicians are members of parties that are not organized in a way which disciplines the party leadership to follow an agreed program, they have less incentives to construct a well-functioning public administration </w:t>
      </w:r>
      <w:r w:rsidR="00115AC9" w:rsidRPr="00F71B40">
        <w:rPr>
          <w:lang w:val="en-AU"/>
        </w:rPr>
        <w:fldChar w:fldCharType="begin"/>
      </w:r>
      <w:r w:rsidR="00115AC9" w:rsidRPr="00F71B40">
        <w:rPr>
          <w:lang w:val="en-AU"/>
        </w:rPr>
        <w:instrText xml:space="preserve"> ADDIN EN.CITE &lt;EndNote&gt;&lt;Cite&gt;&lt;Author&gt;Cruz&lt;/Author&gt;&lt;Year&gt;2013&lt;/Year&gt;&lt;RecNum&gt;4242&lt;/RecNum&gt;&lt;DisplayText&gt;(Cruz &amp;amp; Keefer, 2013)&lt;/DisplayText&gt;&lt;record&gt;&lt;rec-number&gt;4242&lt;/rec-number&gt;&lt;foreign-keys&gt;&lt;key app="EN" db-id="5v9z5rrdszvwsneef06v9dapsd0apdtfapdx" timestamp="1408288167"&gt;4242&lt;/key&gt;&lt;/foreign-keys&gt;&lt;ref-type name="Report"&gt;27&lt;/ref-type&gt;&lt;contributors&gt;&lt;authors&gt;&lt;author&gt;Cesi Cruz&lt;/author&gt;&lt;author&gt;Philip Keefer&lt;/author&gt;&lt;/authors&gt;&lt;/contributors&gt;&lt;titles&gt;&lt;title&gt;The Organization of Political Parties and the Politics of Bureaucratic Reform (Policy Research Working Paper 6686)&lt;/title&gt;&lt;/titles&gt;&lt;dates&gt;&lt;year&gt;2013&lt;/year&gt;&lt;/dates&gt;&lt;pub-location&gt;Washington, DC&lt;/pub-location&gt;&lt;publisher&gt;World Bank&lt;/publisher&gt;&lt;urls&gt;&lt;/urls&gt;&lt;/record&gt;&lt;/Cite&gt;&lt;/EndNote&gt;</w:instrText>
      </w:r>
      <w:r w:rsidR="00115AC9" w:rsidRPr="00F71B40">
        <w:rPr>
          <w:lang w:val="en-AU"/>
        </w:rPr>
        <w:fldChar w:fldCharType="separate"/>
      </w:r>
      <w:r w:rsidR="00115AC9" w:rsidRPr="00F71B40">
        <w:rPr>
          <w:lang w:val="en-AU"/>
        </w:rPr>
        <w:t>(</w:t>
      </w:r>
      <w:hyperlink w:anchor="_ENREF_42" w:tooltip="Cruz, 2013 #4242" w:history="1">
        <w:r w:rsidR="00CC56DB" w:rsidRPr="00F71B40">
          <w:rPr>
            <w:lang w:val="en-AU"/>
          </w:rPr>
          <w:t>Cruz &amp; Keefer, 2013</w:t>
        </w:r>
      </w:hyperlink>
      <w:r w:rsidR="00115AC9" w:rsidRPr="00F71B40">
        <w:rPr>
          <w:lang w:val="en-AU"/>
        </w:rPr>
        <w:t>)</w:t>
      </w:r>
      <w:r w:rsidR="00115AC9" w:rsidRPr="00F71B40">
        <w:rPr>
          <w:lang w:val="en-AU"/>
        </w:rPr>
        <w:fldChar w:fldCharType="end"/>
      </w:r>
      <w:r w:rsidRPr="00F71B40">
        <w:rPr>
          <w:lang w:val="en-AU"/>
        </w:rPr>
        <w:t xml:space="preserve">. “(P)oliticians in non-programmatic parties are significantly less likely to support formal public sector management systems that limit shirking… and strengthen agency incentives and capacity to undertake the formal goals that politicians set for them… (T)ests (on 439 public sector reform projects) provide… systematic evidence that parties and party organization influence political incentives to embrace reforms to enhance the performance and oversight of the public administration.” </w:t>
      </w:r>
      <w:r w:rsidR="00115AC9" w:rsidRPr="00F71B40">
        <w:rPr>
          <w:lang w:val="en-AU"/>
        </w:rPr>
        <w:fldChar w:fldCharType="begin"/>
      </w:r>
      <w:r w:rsidR="00115AC9" w:rsidRPr="00F71B40">
        <w:rPr>
          <w:lang w:val="en-AU"/>
        </w:rPr>
        <w:instrText xml:space="preserve"> ADDIN EN.CITE &lt;EndNote&gt;&lt;Cite&gt;&lt;Author&gt;Cruz&lt;/Author&gt;&lt;Year&gt;2013&lt;/Year&gt;&lt;RecNum&gt;4242&lt;/RecNum&gt;&lt;Suffix&gt;`, p.3&lt;/Suffix&gt;&lt;DisplayText&gt;(Cruz &amp;amp; Keefer, 2013, p.3)&lt;/DisplayText&gt;&lt;record&gt;&lt;rec-number&gt;4242&lt;/rec-number&gt;&lt;foreign-keys&gt;&lt;key app="EN" db-id="5v9z5rrdszvwsneef06v9dapsd0apdtfapdx" timestamp="1408288167"&gt;4242&lt;/key&gt;&lt;/foreign-keys&gt;&lt;ref-type name="Report"&gt;27&lt;/ref-type&gt;&lt;contributors&gt;&lt;authors&gt;&lt;author&gt;Cesi Cruz&lt;/author&gt;&lt;author&gt;Philip Keefer&lt;/author&gt;&lt;/authors&gt;&lt;/contributors&gt;&lt;titles&gt;&lt;title&gt;The Organization of Political Parties and the Politics of Bureaucratic Reform (Policy Research Working Paper 6686)&lt;/title&gt;&lt;/titles&gt;&lt;dates&gt;&lt;year&gt;2013&lt;/year&gt;&lt;/dates&gt;&lt;pub-location&gt;Washington, DC&lt;/pub-location&gt;&lt;publisher&gt;World Bank&lt;/publisher&gt;&lt;urls&gt;&lt;/urls&gt;&lt;/record&gt;&lt;/Cite&gt;&lt;/EndNote&gt;</w:instrText>
      </w:r>
      <w:r w:rsidR="00115AC9" w:rsidRPr="00F71B40">
        <w:rPr>
          <w:lang w:val="en-AU"/>
        </w:rPr>
        <w:fldChar w:fldCharType="separate"/>
      </w:r>
      <w:proofErr w:type="gramStart"/>
      <w:r w:rsidR="00115AC9" w:rsidRPr="00F71B40">
        <w:rPr>
          <w:lang w:val="en-AU"/>
        </w:rPr>
        <w:t>(</w:t>
      </w:r>
      <w:hyperlink w:anchor="_ENREF_42" w:tooltip="Cruz, 2013 #4242" w:history="1">
        <w:r w:rsidR="00CC56DB" w:rsidRPr="00F71B40">
          <w:rPr>
            <w:lang w:val="en-AU"/>
          </w:rPr>
          <w:t>Cruz &amp; Keefer, 2013, p.3</w:t>
        </w:r>
      </w:hyperlink>
      <w:r w:rsidR="00115AC9" w:rsidRPr="00F71B40">
        <w:rPr>
          <w:lang w:val="en-AU"/>
        </w:rPr>
        <w:t>)</w:t>
      </w:r>
      <w:r w:rsidR="00115AC9" w:rsidRPr="00F71B40">
        <w:rPr>
          <w:lang w:val="en-AU"/>
        </w:rPr>
        <w:fldChar w:fldCharType="end"/>
      </w:r>
      <w:r w:rsidR="0060398B" w:rsidRPr="00F71B40">
        <w:rPr>
          <w:lang w:val="en-AU"/>
        </w:rPr>
        <w:t xml:space="preserve"> </w:t>
      </w:r>
      <w:r w:rsidR="00BD3985" w:rsidRPr="00F71B40">
        <w:rPr>
          <w:lang w:val="en-AU"/>
        </w:rPr>
        <w:t>(See</w:t>
      </w:r>
      <w:r w:rsidR="00B96283" w:rsidRPr="00F71B40">
        <w:rPr>
          <w:lang w:val="en-AU"/>
        </w:rPr>
        <w:t xml:space="preserve"> </w:t>
      </w:r>
      <w:r w:rsidR="00B96283" w:rsidRPr="00F71B40">
        <w:rPr>
          <w:lang w:val="en-AU"/>
        </w:rPr>
        <w:fldChar w:fldCharType="begin"/>
      </w:r>
      <w:r w:rsidR="00B96283" w:rsidRPr="00F71B40">
        <w:rPr>
          <w:lang w:val="en-AU"/>
        </w:rPr>
        <w:instrText xml:space="preserve"> REF _Ref399341437 \h </w:instrText>
      </w:r>
      <w:r w:rsidR="00B96283" w:rsidRPr="00F71B40">
        <w:rPr>
          <w:lang w:val="en-AU"/>
        </w:rPr>
      </w:r>
      <w:r w:rsidR="00B96283" w:rsidRPr="00F71B40">
        <w:rPr>
          <w:lang w:val="en-AU"/>
        </w:rPr>
        <w:fldChar w:fldCharType="separate"/>
      </w:r>
      <w:r w:rsidR="00EF43BE" w:rsidRPr="00F71B40">
        <w:rPr>
          <w:lang w:val="en-AU"/>
        </w:rPr>
        <w:t xml:space="preserve">Box </w:t>
      </w:r>
      <w:r w:rsidR="00EF43BE">
        <w:rPr>
          <w:noProof/>
          <w:lang w:val="en-AU"/>
        </w:rPr>
        <w:t>2</w:t>
      </w:r>
      <w:r w:rsidR="00B96283" w:rsidRPr="00F71B40">
        <w:rPr>
          <w:lang w:val="en-AU"/>
        </w:rPr>
        <w:fldChar w:fldCharType="end"/>
      </w:r>
      <w:r w:rsidR="00BD3985" w:rsidRPr="00F71B40">
        <w:rPr>
          <w:lang w:val="en-AU"/>
        </w:rPr>
        <w:t>).</w:t>
      </w:r>
      <w:proofErr w:type="gramEnd"/>
    </w:p>
    <w:p w:rsidR="00B96283" w:rsidRPr="00F71B40" w:rsidRDefault="00B96283" w:rsidP="00D62A32">
      <w:pPr>
        <w:rPr>
          <w:lang w:val="en-AU"/>
        </w:rPr>
      </w:pPr>
    </w:p>
    <w:tbl>
      <w:tblPr>
        <w:tblStyle w:val="TableGrid"/>
        <w:tblW w:w="0" w:type="auto"/>
        <w:tblLook w:val="04A0" w:firstRow="1" w:lastRow="0" w:firstColumn="1" w:lastColumn="0" w:noHBand="0" w:noVBand="1"/>
      </w:tblPr>
      <w:tblGrid>
        <w:gridCol w:w="9576"/>
      </w:tblGrid>
      <w:tr w:rsidR="00B96283" w:rsidRPr="00F71B40" w:rsidTr="00B96283">
        <w:tc>
          <w:tcPr>
            <w:tcW w:w="9576" w:type="dxa"/>
          </w:tcPr>
          <w:p w:rsidR="00B96283" w:rsidRPr="00F71B40" w:rsidRDefault="00B96283" w:rsidP="00BA706F">
            <w:pPr>
              <w:pStyle w:val="Caption"/>
              <w:rPr>
                <w:lang w:val="en-AU"/>
              </w:rPr>
            </w:pPr>
            <w:bookmarkStart w:id="40" w:name="_Ref399341437"/>
            <w:bookmarkStart w:id="41" w:name="_Toc401761830"/>
            <w:r w:rsidRPr="00F71B40">
              <w:rPr>
                <w:lang w:val="en-AU"/>
              </w:rPr>
              <w:t xml:space="preserve">Box </w:t>
            </w:r>
            <w:r w:rsidR="00361D8F" w:rsidRPr="00F71B40">
              <w:rPr>
                <w:lang w:val="en-AU"/>
              </w:rPr>
              <w:fldChar w:fldCharType="begin"/>
            </w:r>
            <w:r w:rsidR="00361D8F" w:rsidRPr="00F71B40">
              <w:rPr>
                <w:lang w:val="en-AU"/>
              </w:rPr>
              <w:instrText xml:space="preserve"> SEQ Box \* ARABIC </w:instrText>
            </w:r>
            <w:r w:rsidR="00361D8F" w:rsidRPr="00F71B40">
              <w:rPr>
                <w:lang w:val="en-AU"/>
              </w:rPr>
              <w:fldChar w:fldCharType="separate"/>
            </w:r>
            <w:r w:rsidR="00EF43BE">
              <w:rPr>
                <w:noProof/>
                <w:lang w:val="en-AU"/>
              </w:rPr>
              <w:t>2</w:t>
            </w:r>
            <w:r w:rsidR="00361D8F" w:rsidRPr="00F71B40">
              <w:rPr>
                <w:lang w:val="en-AU"/>
              </w:rPr>
              <w:fldChar w:fldCharType="end"/>
            </w:r>
            <w:bookmarkEnd w:id="40"/>
            <w:r w:rsidRPr="00F71B40">
              <w:rPr>
                <w:lang w:val="en-AU"/>
              </w:rPr>
              <w:t>: The significance of programmatic parties</w:t>
            </w:r>
            <w:bookmarkEnd w:id="41"/>
          </w:p>
          <w:p w:rsidR="00B96283" w:rsidRPr="00F71B40" w:rsidRDefault="00B96283" w:rsidP="00B96283">
            <w:pPr>
              <w:rPr>
                <w:sz w:val="20"/>
                <w:szCs w:val="20"/>
                <w:lang w:val="en-AU"/>
              </w:rPr>
            </w:pPr>
          </w:p>
          <w:p w:rsidR="00B96283" w:rsidRPr="00F71B40" w:rsidRDefault="00B96283" w:rsidP="00B96283">
            <w:pPr>
              <w:rPr>
                <w:rFonts w:cs="Times New Roman"/>
                <w:sz w:val="20"/>
                <w:szCs w:val="20"/>
                <w:lang w:val="en-AU"/>
              </w:rPr>
            </w:pPr>
            <w:r w:rsidRPr="00F71B40">
              <w:rPr>
                <w:rFonts w:cs="Times New Roman"/>
                <w:sz w:val="20"/>
                <w:szCs w:val="20"/>
                <w:lang w:val="en-AU"/>
              </w:rPr>
              <w:t xml:space="preserve"> “Programmatic parties’ are considered to have: </w:t>
            </w:r>
          </w:p>
          <w:p w:rsidR="00B96283" w:rsidRPr="00F71B40" w:rsidRDefault="00B96283" w:rsidP="004D15F8">
            <w:pPr>
              <w:pStyle w:val="ListParagraph"/>
              <w:numPr>
                <w:ilvl w:val="0"/>
                <w:numId w:val="8"/>
              </w:numPr>
              <w:rPr>
                <w:rFonts w:cs="Times New Roman"/>
                <w:sz w:val="20"/>
                <w:szCs w:val="20"/>
                <w:lang w:val="en-AU"/>
              </w:rPr>
            </w:pPr>
            <w:r w:rsidRPr="00F71B40">
              <w:rPr>
                <w:rFonts w:cs="Times New Roman"/>
                <w:sz w:val="20"/>
                <w:szCs w:val="20"/>
                <w:lang w:val="en-AU"/>
              </w:rPr>
              <w:t>A collection of policy positions that constitutes a well-structured and stable political program by which the party is publicly known.</w:t>
            </w:r>
          </w:p>
          <w:p w:rsidR="00B96283" w:rsidRPr="00F71B40" w:rsidRDefault="00B96283" w:rsidP="004D15F8">
            <w:pPr>
              <w:pStyle w:val="ListParagraph"/>
              <w:numPr>
                <w:ilvl w:val="0"/>
                <w:numId w:val="8"/>
              </w:numPr>
              <w:rPr>
                <w:rFonts w:cs="Times New Roman"/>
                <w:sz w:val="20"/>
                <w:szCs w:val="20"/>
                <w:lang w:val="en-AU"/>
              </w:rPr>
            </w:pPr>
            <w:r w:rsidRPr="00F71B40">
              <w:rPr>
                <w:rFonts w:cs="Times New Roman"/>
                <w:sz w:val="20"/>
                <w:szCs w:val="20"/>
                <w:lang w:val="en-AU"/>
              </w:rPr>
              <w:t xml:space="preserve">Internal coherence and agreement on a range of policy positions. </w:t>
            </w:r>
          </w:p>
          <w:p w:rsidR="00B96283" w:rsidRPr="00F71B40" w:rsidRDefault="00B96283" w:rsidP="004D15F8">
            <w:pPr>
              <w:pStyle w:val="ListParagraph"/>
              <w:numPr>
                <w:ilvl w:val="0"/>
                <w:numId w:val="8"/>
              </w:numPr>
              <w:rPr>
                <w:rFonts w:cs="Times New Roman"/>
                <w:sz w:val="20"/>
                <w:szCs w:val="20"/>
                <w:lang w:val="en-AU"/>
              </w:rPr>
            </w:pPr>
            <w:r w:rsidRPr="00F71B40">
              <w:rPr>
                <w:rFonts w:cs="Times New Roman"/>
                <w:sz w:val="20"/>
                <w:szCs w:val="20"/>
                <w:lang w:val="en-AU"/>
              </w:rPr>
              <w:t xml:space="preserve">A commitment and ability to deliver on at least some key programmatic promises when in a position of power. </w:t>
            </w:r>
          </w:p>
          <w:p w:rsidR="00B96283" w:rsidRPr="00F71B40" w:rsidRDefault="00B96283" w:rsidP="004D15F8">
            <w:pPr>
              <w:pStyle w:val="ListParagraph"/>
              <w:numPr>
                <w:ilvl w:val="0"/>
                <w:numId w:val="8"/>
              </w:numPr>
              <w:rPr>
                <w:rFonts w:cs="Times New Roman"/>
                <w:sz w:val="20"/>
                <w:szCs w:val="20"/>
                <w:lang w:val="en-AU"/>
              </w:rPr>
            </w:pPr>
            <w:r w:rsidRPr="00F71B40">
              <w:rPr>
                <w:rFonts w:cs="Times New Roman"/>
                <w:sz w:val="20"/>
                <w:szCs w:val="20"/>
                <w:lang w:val="en-AU"/>
              </w:rPr>
              <w:t xml:space="preserve">A party program that is the most defining element in how it attracts and engages its members.” </w:t>
            </w:r>
            <w:r w:rsidR="00115AC9" w:rsidRPr="00F71B40">
              <w:rPr>
                <w:rFonts w:cs="Times New Roman"/>
                <w:sz w:val="20"/>
                <w:szCs w:val="20"/>
                <w:lang w:val="en-AU"/>
              </w:rPr>
              <w:fldChar w:fldCharType="begin"/>
            </w:r>
            <w:r w:rsidR="00115AC9" w:rsidRPr="00F71B40">
              <w:rPr>
                <w:rFonts w:cs="Times New Roman"/>
                <w:sz w:val="20"/>
                <w:szCs w:val="20"/>
                <w:lang w:val="en-AU"/>
              </w:rPr>
              <w:instrText xml:space="preserve"> ADDIN EN.CITE &lt;EndNote&gt;&lt;Cite&gt;&lt;Author&gt;Cheeseman&lt;/Author&gt;&lt;Year&gt;2014&lt;/Year&gt;&lt;RecNum&gt;4262&lt;/RecNum&gt;&lt;Suffix&gt;`, p.xii&lt;/Suffix&gt;&lt;DisplayText&gt;(Cheeseman et al., 2014, p.xii)&lt;/DisplayText&gt;&lt;record&gt;&lt;rec-number&gt;4262&lt;/rec-number&gt;&lt;foreign-keys&gt;&lt;key app="EN" db-id="5v9z5rrdszvwsneef06v9dapsd0apdtfapdx" timestamp="1408389108"&gt;4262&lt;/key&gt;&lt;/foreign-keys&gt;&lt;ref-type name="Book"&gt;6&lt;/ref-type&gt;&lt;contributors&gt;&lt;authors&gt;&lt;author&gt;Nic Cheeseman&lt;/author&gt;&lt;author&gt;Pablo Luna , Juan&lt;/author&gt;&lt;author&gt;Herbert Kitschelt&lt;/author&gt;&lt;author&gt;Dan Paget&lt;/author&gt;&lt;author&gt;Fernando Rosenblatt&lt;/author&gt;&lt;author&gt;Kristen Sample&lt;/author&gt;&lt;author&gt;Sergio Toro&lt;/author&gt;&lt;author&gt;Valladares Molleda, Jorge&lt;/author&gt;&lt;author&gt;Sam van der Staak&lt;/author&gt;&lt;author&gt;Yi-ting Wang&lt;/author&gt;&lt;/authors&gt;&lt;/contributors&gt;&lt;titles&gt;&lt;title&gt;Politics Meets Policies: The Emergence of Programmatic Political Parties&lt;/title&gt;&lt;/titles&gt;&lt;dates&gt;&lt;year&gt;2014&lt;/year&gt;&lt;/dates&gt;&lt;pub-location&gt;Stockholm&lt;/pub-location&gt;&lt;publisher&gt;International Institute for Democracy and Electoral Assistance&lt;/publisher&gt;&lt;urls&gt;&lt;/urls&gt;&lt;/record&gt;&lt;/Cite&gt;&lt;/EndNote&gt;</w:instrText>
            </w:r>
            <w:r w:rsidR="00115AC9" w:rsidRPr="00F71B40">
              <w:rPr>
                <w:rFonts w:cs="Times New Roman"/>
                <w:sz w:val="20"/>
                <w:szCs w:val="20"/>
                <w:lang w:val="en-AU"/>
              </w:rPr>
              <w:fldChar w:fldCharType="separate"/>
            </w:r>
            <w:r w:rsidR="00115AC9" w:rsidRPr="00F71B40">
              <w:rPr>
                <w:rFonts w:cs="Times New Roman"/>
                <w:sz w:val="20"/>
                <w:szCs w:val="20"/>
                <w:lang w:val="en-AU"/>
              </w:rPr>
              <w:t>(</w:t>
            </w:r>
            <w:hyperlink w:anchor="_ENREF_35" w:tooltip="Cheeseman, 2014 #4262" w:history="1">
              <w:r w:rsidR="00CC56DB" w:rsidRPr="00F71B40">
                <w:rPr>
                  <w:rFonts w:cs="Times New Roman"/>
                  <w:sz w:val="20"/>
                  <w:szCs w:val="20"/>
                  <w:lang w:val="en-AU"/>
                </w:rPr>
                <w:t>Cheeseman et al., 2014, p.xii</w:t>
              </w:r>
            </w:hyperlink>
            <w:r w:rsidR="00115AC9" w:rsidRPr="00F71B40">
              <w:rPr>
                <w:rFonts w:cs="Times New Roman"/>
                <w:sz w:val="20"/>
                <w:szCs w:val="20"/>
                <w:lang w:val="en-AU"/>
              </w:rPr>
              <w:t>)</w:t>
            </w:r>
            <w:r w:rsidR="00115AC9" w:rsidRPr="00F71B40">
              <w:rPr>
                <w:rFonts w:cs="Times New Roman"/>
                <w:sz w:val="20"/>
                <w:szCs w:val="20"/>
                <w:lang w:val="en-AU"/>
              </w:rPr>
              <w:fldChar w:fldCharType="end"/>
            </w:r>
          </w:p>
          <w:p w:rsidR="00361D8F" w:rsidRDefault="00361D8F" w:rsidP="00B96283">
            <w:pPr>
              <w:rPr>
                <w:rFonts w:cs="Times New Roman"/>
                <w:color w:val="000000"/>
                <w:sz w:val="20"/>
                <w:szCs w:val="20"/>
                <w:lang w:val="en-AU"/>
              </w:rPr>
            </w:pPr>
          </w:p>
          <w:p w:rsidR="00B96283" w:rsidRPr="00F71B40" w:rsidRDefault="00B96283" w:rsidP="00B96283">
            <w:pPr>
              <w:rPr>
                <w:rFonts w:cs="Times New Roman"/>
                <w:sz w:val="20"/>
                <w:szCs w:val="20"/>
                <w:lang w:val="en-AU"/>
              </w:rPr>
            </w:pPr>
            <w:r w:rsidRPr="00F71B40">
              <w:rPr>
                <w:rFonts w:cs="Times New Roman"/>
                <w:color w:val="000000"/>
                <w:sz w:val="20"/>
                <w:szCs w:val="20"/>
                <w:lang w:val="en-AU"/>
              </w:rPr>
              <w:t xml:space="preserve">“Mobilizing voters through programmatic messages does not involve the immediate material distribution of goods in exchange for political support” </w:t>
            </w:r>
            <w:r w:rsidR="00115AC9" w:rsidRPr="00F71B40">
              <w:rPr>
                <w:rFonts w:cs="Times New Roman"/>
                <w:color w:val="000000"/>
                <w:sz w:val="20"/>
                <w:szCs w:val="20"/>
                <w:lang w:val="en-AU"/>
              </w:rPr>
              <w:fldChar w:fldCharType="begin"/>
            </w:r>
            <w:r w:rsidR="00115AC9" w:rsidRPr="00F71B40">
              <w:rPr>
                <w:rFonts w:cs="Times New Roman"/>
                <w:color w:val="000000"/>
                <w:sz w:val="20"/>
                <w:szCs w:val="20"/>
                <w:lang w:val="en-AU"/>
              </w:rPr>
              <w:instrText xml:space="preserve"> ADDIN EN.CITE &lt;EndNote&gt;&lt;Cite&gt;&lt;Author&gt;Cheeseman&lt;/Author&gt;&lt;Year&gt;2014&lt;/Year&gt;&lt;RecNum&gt;4262&lt;/RecNum&gt;&lt;Suffix&gt;`, pp101-2&lt;/Suffix&gt;&lt;DisplayText&gt;(Cheeseman et al., 2014, pp101-2)&lt;/DisplayText&gt;&lt;record&gt;&lt;rec-number&gt;4262&lt;/rec-number&gt;&lt;foreign-keys&gt;&lt;key app="EN" db-id="5v9z5rrdszvwsneef06v9dapsd0apdtfapdx" timestamp="1408389108"&gt;4262&lt;/key&gt;&lt;/foreign-keys&gt;&lt;ref-type name="Book"&gt;6&lt;/ref-type&gt;&lt;contributors&gt;&lt;authors&gt;&lt;author&gt;Nic Cheeseman&lt;/author&gt;&lt;author&gt;Pablo Luna , Juan&lt;/author&gt;&lt;author&gt;Herbert Kitschelt&lt;/author&gt;&lt;author&gt;Dan Paget&lt;/author&gt;&lt;author&gt;Fernando Rosenblatt&lt;/author&gt;&lt;author&gt;Kristen Sample&lt;/author&gt;&lt;author&gt;Sergio Toro&lt;/author&gt;&lt;author&gt;Valladares Molleda, Jorge&lt;/author&gt;&lt;author&gt;Sam van der Staak&lt;/author&gt;&lt;author&gt;Yi-ting Wang&lt;/author&gt;&lt;/authors&gt;&lt;/contributors&gt;&lt;titles&gt;&lt;title&gt;Politics Meets Policies: The Emergence of Programmatic Political Parties&lt;/title&gt;&lt;/titles&gt;&lt;dates&gt;&lt;year&gt;2014&lt;/year&gt;&lt;/dates&gt;&lt;pub-location&gt;Stockholm&lt;/pub-location&gt;&lt;publisher&gt;International Institute for Democracy and Electoral Assistance&lt;/publisher&gt;&lt;urls&gt;&lt;/urls&gt;&lt;/record&gt;&lt;/Cite&gt;&lt;/EndNote&gt;</w:instrText>
            </w:r>
            <w:r w:rsidR="00115AC9" w:rsidRPr="00F71B40">
              <w:rPr>
                <w:rFonts w:cs="Times New Roman"/>
                <w:color w:val="000000"/>
                <w:sz w:val="20"/>
                <w:szCs w:val="20"/>
                <w:lang w:val="en-AU"/>
              </w:rPr>
              <w:fldChar w:fldCharType="separate"/>
            </w:r>
            <w:r w:rsidR="00115AC9" w:rsidRPr="00F71B40">
              <w:rPr>
                <w:rFonts w:cs="Times New Roman"/>
                <w:color w:val="000000"/>
                <w:sz w:val="20"/>
                <w:szCs w:val="20"/>
                <w:lang w:val="en-AU"/>
              </w:rPr>
              <w:t>(</w:t>
            </w:r>
            <w:hyperlink w:anchor="_ENREF_35" w:tooltip="Cheeseman, 2014 #4262" w:history="1">
              <w:r w:rsidR="00CC56DB" w:rsidRPr="00F71B40">
                <w:rPr>
                  <w:rFonts w:cs="Times New Roman"/>
                  <w:color w:val="000000"/>
                  <w:sz w:val="20"/>
                  <w:szCs w:val="20"/>
                  <w:lang w:val="en-AU"/>
                </w:rPr>
                <w:t>Cheeseman et al., 2014, pp101-2</w:t>
              </w:r>
            </w:hyperlink>
            <w:r w:rsidR="00115AC9" w:rsidRPr="00F71B40">
              <w:rPr>
                <w:rFonts w:cs="Times New Roman"/>
                <w:color w:val="000000"/>
                <w:sz w:val="20"/>
                <w:szCs w:val="20"/>
                <w:lang w:val="en-AU"/>
              </w:rPr>
              <w:t>)</w:t>
            </w:r>
            <w:r w:rsidR="00115AC9" w:rsidRPr="00F71B40">
              <w:rPr>
                <w:rFonts w:cs="Times New Roman"/>
                <w:color w:val="000000"/>
                <w:sz w:val="20"/>
                <w:szCs w:val="20"/>
                <w:lang w:val="en-AU"/>
              </w:rPr>
              <w:fldChar w:fldCharType="end"/>
            </w:r>
          </w:p>
          <w:p w:rsidR="00B96283" w:rsidRPr="00F71B40" w:rsidRDefault="00B96283" w:rsidP="00B96283">
            <w:pPr>
              <w:rPr>
                <w:rFonts w:cs="Times New Roman"/>
                <w:sz w:val="20"/>
                <w:szCs w:val="20"/>
                <w:lang w:val="en-AU"/>
              </w:rPr>
            </w:pPr>
          </w:p>
          <w:p w:rsidR="00B96283" w:rsidRPr="00F71B40" w:rsidRDefault="00B96283" w:rsidP="00B96283">
            <w:pPr>
              <w:rPr>
                <w:rFonts w:cs="Times New Roman"/>
                <w:sz w:val="20"/>
                <w:szCs w:val="20"/>
                <w:lang w:val="en-AU"/>
              </w:rPr>
            </w:pPr>
            <w:r w:rsidRPr="00F71B40">
              <w:rPr>
                <w:rFonts w:cs="Times New Roman"/>
                <w:sz w:val="20"/>
                <w:szCs w:val="20"/>
                <w:lang w:val="en-AU"/>
              </w:rPr>
              <w:t xml:space="preserve">Non-programmatic parties do not have a broad membership base able to discipline party leaders.  Again, research has shown that under these circumstances, party leaders are less likely to focus public expenditures on “the more proximate determinants of development: education and the accumulation of human capital; infrastructure; security, including the protection of property and contract rights; public health; or the proper regulation of market failures, ranging from the environmental to the financial.” </w:t>
            </w:r>
            <w:r w:rsidR="00115AC9" w:rsidRPr="00F71B40">
              <w:rPr>
                <w:rFonts w:cs="Times New Roman"/>
                <w:sz w:val="20"/>
                <w:szCs w:val="20"/>
                <w:lang w:val="en-AU"/>
              </w:rPr>
              <w:fldChar w:fldCharType="begin"/>
            </w:r>
            <w:r w:rsidR="00115AC9" w:rsidRPr="00F71B40">
              <w:rPr>
                <w:rFonts w:cs="Times New Roman"/>
                <w:sz w:val="20"/>
                <w:szCs w:val="20"/>
                <w:lang w:val="en-AU"/>
              </w:rPr>
              <w:instrText xml:space="preserve"> ADDIN EN.CITE &lt;EndNote&gt;&lt;Cite&gt;&lt;Author&gt;Keefer&lt;/Author&gt;&lt;Year&gt;2013&lt;/Year&gt;&lt;RecNum&gt;4243&lt;/RecNum&gt;&lt;Suffix&gt;`, p.2&lt;/Suffix&gt;&lt;DisplayText&gt;(Keefer, 2013b, p.2)&lt;/DisplayText&gt;&lt;record&gt;&lt;rec-number&gt;4243&lt;/rec-number&gt;&lt;foreign-keys&gt;&lt;key app="EN" db-id="5v9z5rrdszvwsneef06v9dapsd0apdtfapdx" timestamp="1408290120"&gt;4243&lt;/key&gt;&lt;/foreign-keys&gt;&lt;ref-type name="Report"&gt;27&lt;/ref-type&gt;&lt;contributors&gt;&lt;authors&gt;&lt;author&gt;Philip Keefer&lt;/author&gt;&lt;/authors&gt;&lt;/contributors&gt;&lt;titles&gt;&lt;title&gt;Organizing for Prosperity Collective Action, Political Parties and the Political Economy of Development (Policy Research Working Paper 6583)&lt;/title&gt;&lt;/titles&gt;&lt;dates&gt;&lt;year&gt;2013&lt;/year&gt;&lt;/dates&gt;&lt;pub-location&gt;Washington, DC&lt;/pub-location&gt;&lt;publisher&gt;World Bank&lt;/publisher&gt;&lt;urls&gt;&lt;/urls&gt;&lt;/record&gt;&lt;/Cite&gt;&lt;/EndNote&gt;</w:instrText>
            </w:r>
            <w:r w:rsidR="00115AC9" w:rsidRPr="00F71B40">
              <w:rPr>
                <w:rFonts w:cs="Times New Roman"/>
                <w:sz w:val="20"/>
                <w:szCs w:val="20"/>
                <w:lang w:val="en-AU"/>
              </w:rPr>
              <w:fldChar w:fldCharType="separate"/>
            </w:r>
            <w:r w:rsidR="00115AC9" w:rsidRPr="00F71B40">
              <w:rPr>
                <w:rFonts w:cs="Times New Roman"/>
                <w:sz w:val="20"/>
                <w:szCs w:val="20"/>
                <w:lang w:val="en-AU"/>
              </w:rPr>
              <w:t>(</w:t>
            </w:r>
            <w:hyperlink w:anchor="_ENREF_83" w:tooltip="Keefer, 2013 #4243" w:history="1">
              <w:r w:rsidR="00CC56DB" w:rsidRPr="00F71B40">
                <w:rPr>
                  <w:rFonts w:cs="Times New Roman"/>
                  <w:sz w:val="20"/>
                  <w:szCs w:val="20"/>
                  <w:lang w:val="en-AU"/>
                </w:rPr>
                <w:t>Keefer, 2013b, p.2</w:t>
              </w:r>
            </w:hyperlink>
            <w:r w:rsidR="00115AC9" w:rsidRPr="00F71B40">
              <w:rPr>
                <w:rFonts w:cs="Times New Roman"/>
                <w:sz w:val="20"/>
                <w:szCs w:val="20"/>
                <w:lang w:val="en-AU"/>
              </w:rPr>
              <w:t>)</w:t>
            </w:r>
            <w:r w:rsidR="00115AC9" w:rsidRPr="00F71B40">
              <w:rPr>
                <w:rFonts w:cs="Times New Roman"/>
                <w:sz w:val="20"/>
                <w:szCs w:val="20"/>
                <w:lang w:val="en-AU"/>
              </w:rPr>
              <w:fldChar w:fldCharType="end"/>
            </w:r>
            <w:r w:rsidRPr="00F71B40">
              <w:rPr>
                <w:rFonts w:cs="Times New Roman"/>
                <w:sz w:val="20"/>
                <w:szCs w:val="20"/>
                <w:lang w:val="en-AU"/>
              </w:rPr>
              <w:t xml:space="preserve">.  In sum, there is evidence that “parties able to convey a programmatic policy stance or to discipline party leaders are associated with significantly different policy choices across countries, in both democracies and non-democracies” </w:t>
            </w:r>
            <w:r w:rsidR="00115AC9" w:rsidRPr="00F71B40">
              <w:rPr>
                <w:rFonts w:cs="Times New Roman"/>
                <w:sz w:val="20"/>
                <w:szCs w:val="20"/>
                <w:lang w:val="en-AU"/>
              </w:rPr>
              <w:fldChar w:fldCharType="begin"/>
            </w:r>
            <w:r w:rsidR="00115AC9" w:rsidRPr="00F71B40">
              <w:rPr>
                <w:rFonts w:cs="Times New Roman"/>
                <w:sz w:val="20"/>
                <w:szCs w:val="20"/>
                <w:lang w:val="en-AU"/>
              </w:rPr>
              <w:instrText xml:space="preserve"> ADDIN EN.CITE &lt;EndNote&gt;&lt;Cite&gt;&lt;Author&gt;Keefer&lt;/Author&gt;&lt;Year&gt;2013&lt;/Year&gt;&lt;RecNum&gt;4244&lt;/RecNum&gt;&lt;Suffix&gt;`, p.3&lt;/Suffix&gt;&lt;DisplayText&gt;(Keefer, 2013a, p.3)&lt;/DisplayText&gt;&lt;record&gt;&lt;rec-number&gt;4244&lt;/rec-number&gt;&lt;foreign-keys&gt;&lt;key app="EN" db-id="5v9z5rrdszvwsneef06v9dapsd0apdtfapdx" timestamp="1408290512"&gt;4244&lt;/key&gt;&lt;/foreign-keys&gt;&lt;ref-type name="Report"&gt;27&lt;/ref-type&gt;&lt;contributors&gt;&lt;authors&gt;&lt;author&gt;Philip Keefer&lt;/author&gt;&lt;/authors&gt;&lt;/contributors&gt;&lt;titles&gt;&lt;title&gt;Collective Action, Political Parties and Pro-Development Public Policy (Policy Research Working Paper 5676)&lt;/title&gt;&lt;/titles&gt;&lt;dates&gt;&lt;year&gt;2013&lt;/year&gt;&lt;/dates&gt;&lt;pub-location&gt;Washington, DC&lt;/pub-location&gt;&lt;publisher&gt;World Bank&lt;/publisher&gt;&lt;urls&gt;&lt;/urls&gt;&lt;/record&gt;&lt;/Cite&gt;&lt;/EndNote&gt;</w:instrText>
            </w:r>
            <w:r w:rsidR="00115AC9" w:rsidRPr="00F71B40">
              <w:rPr>
                <w:rFonts w:cs="Times New Roman"/>
                <w:sz w:val="20"/>
                <w:szCs w:val="20"/>
                <w:lang w:val="en-AU"/>
              </w:rPr>
              <w:fldChar w:fldCharType="separate"/>
            </w:r>
            <w:r w:rsidR="00115AC9" w:rsidRPr="00F71B40">
              <w:rPr>
                <w:rFonts w:cs="Times New Roman"/>
                <w:sz w:val="20"/>
                <w:szCs w:val="20"/>
                <w:lang w:val="en-AU"/>
              </w:rPr>
              <w:t>(</w:t>
            </w:r>
            <w:hyperlink w:anchor="_ENREF_82" w:tooltip="Keefer, 2013 #4244" w:history="1">
              <w:r w:rsidR="00CC56DB" w:rsidRPr="00F71B40">
                <w:rPr>
                  <w:rFonts w:cs="Times New Roman"/>
                  <w:sz w:val="20"/>
                  <w:szCs w:val="20"/>
                  <w:lang w:val="en-AU"/>
                </w:rPr>
                <w:t>Keefer, 2013a, p.3</w:t>
              </w:r>
            </w:hyperlink>
            <w:r w:rsidR="00115AC9" w:rsidRPr="00F71B40">
              <w:rPr>
                <w:rFonts w:cs="Times New Roman"/>
                <w:sz w:val="20"/>
                <w:szCs w:val="20"/>
                <w:lang w:val="en-AU"/>
              </w:rPr>
              <w:t>)</w:t>
            </w:r>
            <w:r w:rsidR="00115AC9" w:rsidRPr="00F71B40">
              <w:rPr>
                <w:rFonts w:cs="Times New Roman"/>
                <w:sz w:val="20"/>
                <w:szCs w:val="20"/>
                <w:lang w:val="en-AU"/>
              </w:rPr>
              <w:fldChar w:fldCharType="end"/>
            </w:r>
            <w:r w:rsidRPr="00F71B40">
              <w:rPr>
                <w:rFonts w:cs="Times New Roman"/>
                <w:sz w:val="20"/>
                <w:szCs w:val="20"/>
                <w:lang w:val="en-AU"/>
              </w:rPr>
              <w:t xml:space="preserve">.  </w:t>
            </w:r>
          </w:p>
          <w:p w:rsidR="00B96283" w:rsidRPr="00F71B40" w:rsidRDefault="00B96283" w:rsidP="00B96283">
            <w:pPr>
              <w:rPr>
                <w:rFonts w:cs="Times New Roman"/>
                <w:sz w:val="20"/>
                <w:szCs w:val="20"/>
                <w:lang w:val="en-AU"/>
              </w:rPr>
            </w:pPr>
          </w:p>
          <w:p w:rsidR="00B96283" w:rsidRPr="00F71B40" w:rsidRDefault="00B96283" w:rsidP="00CC56DB">
            <w:pPr>
              <w:rPr>
                <w:rFonts w:cs="Times New Roman"/>
                <w:sz w:val="20"/>
                <w:szCs w:val="20"/>
                <w:lang w:val="en-AU"/>
              </w:rPr>
            </w:pPr>
            <w:r w:rsidRPr="00F71B40">
              <w:rPr>
                <w:rFonts w:cs="Times New Roman"/>
                <w:sz w:val="20"/>
                <w:szCs w:val="20"/>
                <w:lang w:val="en-AU"/>
              </w:rPr>
              <w:t xml:space="preserve">Thus it is hardly surprising that the World Bank has recently found that “the success rate of PSM projects in countries with 100 </w:t>
            </w:r>
            <w:r w:rsidR="00F71B40" w:rsidRPr="00F71B40">
              <w:rPr>
                <w:rFonts w:cs="Times New Roman"/>
                <w:sz w:val="20"/>
                <w:szCs w:val="20"/>
                <w:lang w:val="en-AU"/>
              </w:rPr>
              <w:t>per cent</w:t>
            </w:r>
            <w:r w:rsidRPr="00F71B40">
              <w:rPr>
                <w:rFonts w:cs="Times New Roman"/>
                <w:sz w:val="20"/>
                <w:szCs w:val="20"/>
                <w:lang w:val="en-AU"/>
              </w:rPr>
              <w:t xml:space="preserve"> programmatic parties is, on average, (estimated informally to be) about 11−15 percentage points higher than in countries with no political parties… holding constant the degree of political and civil liberties and other context, content, and project management factors “ </w:t>
            </w:r>
            <w:r w:rsidR="00115AC9" w:rsidRPr="00F71B40">
              <w:rPr>
                <w:rFonts w:cs="Times New Roman"/>
                <w:sz w:val="20"/>
                <w:szCs w:val="20"/>
                <w:lang w:val="en-AU"/>
              </w:rPr>
              <w:fldChar w:fldCharType="begin"/>
            </w:r>
            <w:r w:rsidR="00115AC9" w:rsidRPr="00F71B40">
              <w:rPr>
                <w:rFonts w:cs="Times New Roman"/>
                <w:sz w:val="20"/>
                <w:szCs w:val="20"/>
                <w:lang w:val="en-AU"/>
              </w:rPr>
              <w:instrText xml:space="preserve"> ADDIN EN.CITE &lt;EndNote&gt;&lt;Cite&gt;&lt;Author&gt;Blum&lt;/Author&gt;&lt;Year&gt;2014&lt;/Year&gt;&lt;RecNum&gt;4125&lt;/RecNum&gt;&lt;Suffix&gt;`, p.32&lt;/Suffix&gt;&lt;DisplayText&gt;(Blum, 2014, p.32)&lt;/DisplayText&gt;&lt;record&gt;&lt;rec-number&gt;4125&lt;/rec-number&gt;&lt;foreign-keys&gt;&lt;key app="EN" db-id="5v9z5rrdszvwsneef06v9dapsd0apdtfapdx" timestamp="1394029451"&gt;4125&lt;/key&gt;&lt;/foreign-keys&gt;&lt;ref-type name="Report"&gt;27&lt;/ref-type&gt;&lt;contributors&gt;&lt;authors&gt;&lt;author&gt;Blum, Jürgen René&lt;/author&gt;&lt;/authors&gt;&lt;/contributors&gt;&lt;titles&gt;&lt;title&gt;What Factors Predict How Public Sector Projects Perform? A Review of the World Bank’s Public Sector Management Portfolio&lt;/title&gt;&lt;/titles&gt;&lt;dates&gt;&lt;year&gt;2014&lt;/year&gt;&lt;/dates&gt;&lt;pub-location&gt;Washington DC&lt;/pub-location&gt;&lt;publisher&gt;World Bank&lt;/publisher&gt;&lt;urls&gt;&lt;/urls&gt;&lt;/record&gt;&lt;/Cite&gt;&lt;/EndNote&gt;</w:instrText>
            </w:r>
            <w:r w:rsidR="00115AC9" w:rsidRPr="00F71B40">
              <w:rPr>
                <w:rFonts w:cs="Times New Roman"/>
                <w:sz w:val="20"/>
                <w:szCs w:val="20"/>
                <w:lang w:val="en-AU"/>
              </w:rPr>
              <w:fldChar w:fldCharType="separate"/>
            </w:r>
            <w:r w:rsidR="00115AC9" w:rsidRPr="00F71B40">
              <w:rPr>
                <w:rFonts w:cs="Times New Roman"/>
                <w:sz w:val="20"/>
                <w:szCs w:val="20"/>
                <w:lang w:val="en-AU"/>
              </w:rPr>
              <w:t>(</w:t>
            </w:r>
            <w:hyperlink w:anchor="_ENREF_25" w:tooltip="Blum, 2014 #4125" w:history="1">
              <w:r w:rsidR="00CC56DB" w:rsidRPr="00F71B40">
                <w:rPr>
                  <w:rFonts w:cs="Times New Roman"/>
                  <w:sz w:val="20"/>
                  <w:szCs w:val="20"/>
                  <w:lang w:val="en-AU"/>
                </w:rPr>
                <w:t>Blum, 2014, p.32</w:t>
              </w:r>
            </w:hyperlink>
            <w:r w:rsidR="00115AC9" w:rsidRPr="00F71B40">
              <w:rPr>
                <w:rFonts w:cs="Times New Roman"/>
                <w:sz w:val="20"/>
                <w:szCs w:val="20"/>
                <w:lang w:val="en-AU"/>
              </w:rPr>
              <w:t>)</w:t>
            </w:r>
            <w:r w:rsidR="00115AC9" w:rsidRPr="00F71B40">
              <w:rPr>
                <w:rFonts w:cs="Times New Roman"/>
                <w:sz w:val="20"/>
                <w:szCs w:val="20"/>
                <w:lang w:val="en-AU"/>
              </w:rPr>
              <w:fldChar w:fldCharType="end"/>
            </w:r>
            <w:r w:rsidRPr="00F71B40">
              <w:rPr>
                <w:rFonts w:cs="Times New Roman"/>
                <w:sz w:val="20"/>
                <w:szCs w:val="20"/>
                <w:lang w:val="en-AU"/>
              </w:rPr>
              <w:t xml:space="preserve">.  </w:t>
            </w:r>
          </w:p>
        </w:tc>
      </w:tr>
    </w:tbl>
    <w:p w:rsidR="00B96283" w:rsidRPr="00F71B40" w:rsidRDefault="00B96283" w:rsidP="00D62A32">
      <w:pPr>
        <w:rPr>
          <w:sz w:val="23"/>
          <w:szCs w:val="23"/>
          <w:lang w:val="en-AU"/>
        </w:rPr>
      </w:pPr>
    </w:p>
    <w:p w:rsidR="00B96283" w:rsidRPr="00F71B40" w:rsidRDefault="00B96283" w:rsidP="00D62A32">
      <w:pPr>
        <w:rPr>
          <w:sz w:val="23"/>
          <w:szCs w:val="23"/>
          <w:lang w:val="en-AU"/>
        </w:rPr>
      </w:pPr>
    </w:p>
    <w:p w:rsidR="006F7E9B" w:rsidRPr="00F71B40" w:rsidRDefault="006F7E9B" w:rsidP="00D62A32">
      <w:pPr>
        <w:rPr>
          <w:lang w:val="en-AU"/>
        </w:rPr>
      </w:pPr>
      <w:r w:rsidRPr="00F71B40">
        <w:rPr>
          <w:lang w:val="en-AU"/>
        </w:rPr>
        <w:t xml:space="preserve">The </w:t>
      </w:r>
      <w:r w:rsidR="008C6D39" w:rsidRPr="00F71B40">
        <w:rPr>
          <w:lang w:val="en-AU"/>
        </w:rPr>
        <w:t xml:space="preserve">tradition </w:t>
      </w:r>
      <w:r w:rsidRPr="00F71B40">
        <w:rPr>
          <w:lang w:val="en-AU"/>
        </w:rPr>
        <w:t xml:space="preserve">of temporary </w:t>
      </w:r>
      <w:r w:rsidR="002479D7" w:rsidRPr="00F71B40">
        <w:rPr>
          <w:lang w:val="en-AU"/>
        </w:rPr>
        <w:t>“</w:t>
      </w:r>
      <w:r w:rsidRPr="00F71B40">
        <w:rPr>
          <w:lang w:val="en-AU"/>
        </w:rPr>
        <w:t>pacting</w:t>
      </w:r>
      <w:r w:rsidR="002479D7" w:rsidRPr="00F71B40">
        <w:rPr>
          <w:lang w:val="en-AU"/>
        </w:rPr>
        <w:t>”</w:t>
      </w:r>
      <w:r w:rsidRPr="00F71B40">
        <w:rPr>
          <w:lang w:val="en-AU"/>
        </w:rPr>
        <w:t xml:space="preserve"> instead of programmatic political parties in the Solomon Islands </w:t>
      </w:r>
      <w:r w:rsidR="00115AC9" w:rsidRPr="00F71B40">
        <w:rPr>
          <w:lang w:val="en-AU"/>
        </w:rPr>
        <w:fldChar w:fldCharType="begin">
          <w:fldData xml:space="preserve">PEVuZE5vdGU+PENpdGU+PEF1dGhvcj5TdGVldmVzPC9BdXRob3I+PFllYXI+MjAwNjwvWWVhcj48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</w:fldData>
        </w:fldChar>
      </w:r>
      <w:r w:rsidR="00115AC9" w:rsidRPr="00F71B40">
        <w:rPr>
          <w:lang w:val="en-AU"/>
        </w:rPr>
        <w:instrText xml:space="preserve"> ADDIN EN.CITE </w:instrText>
      </w:r>
      <w:r w:rsidR="00115AC9" w:rsidRPr="00F71B40">
        <w:rPr>
          <w:lang w:val="en-AU"/>
        </w:rPr>
        <w:fldChar w:fldCharType="begin">
          <w:fldData xml:space="preserve">PEVuZE5vdGU+PENpdGU+PEF1dGhvcj5TdGVldmVzPC9BdXRob3I+PFllYXI+MjAwNjwvWWVhcj48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</w:fldData>
        </w:fldChar>
      </w:r>
      <w:r w:rsidR="00115AC9" w:rsidRPr="00F71B40">
        <w:rPr>
          <w:lang w:val="en-AU"/>
        </w:rPr>
        <w:instrText xml:space="preserve"> ADDIN EN.CITE.DATA </w:instrText>
      </w:r>
      <w:r w:rsidR="00115AC9" w:rsidRPr="00F71B40">
        <w:rPr>
          <w:lang w:val="en-AU"/>
        </w:rPr>
      </w:r>
      <w:r w:rsidR="00115AC9" w:rsidRPr="00F71B40">
        <w:rPr>
          <w:lang w:val="en-AU"/>
        </w:rPr>
        <w:fldChar w:fldCharType="end"/>
      </w:r>
      <w:r w:rsidR="00115AC9" w:rsidRPr="00F71B40">
        <w:rPr>
          <w:lang w:val="en-AU"/>
        </w:rPr>
      </w:r>
      <w:r w:rsidR="00115AC9" w:rsidRPr="00F71B40">
        <w:rPr>
          <w:lang w:val="en-AU"/>
        </w:rPr>
        <w:fldChar w:fldCharType="separate"/>
      </w:r>
      <w:r w:rsidR="00115AC9" w:rsidRPr="00F71B40">
        <w:rPr>
          <w:lang w:val="en-AU"/>
        </w:rPr>
        <w:t>(</w:t>
      </w:r>
      <w:hyperlink w:anchor="_ENREF_40" w:tooltip="Craig, 2013 #4347" w:history="1">
        <w:r w:rsidR="00CC56DB" w:rsidRPr="00F71B40">
          <w:rPr>
            <w:lang w:val="en-AU"/>
          </w:rPr>
          <w:t>Craig &amp; Porter, 2013a</w:t>
        </w:r>
      </w:hyperlink>
      <w:r w:rsidR="00115AC9" w:rsidRPr="00F71B40">
        <w:rPr>
          <w:lang w:val="en-AU"/>
        </w:rPr>
        <w:t xml:space="preserve">; </w:t>
      </w:r>
      <w:hyperlink w:anchor="_ENREF_80" w:tooltip="Kabutaulaka, 2008 #4348" w:history="1">
        <w:r w:rsidR="00CC56DB" w:rsidRPr="00F71B40">
          <w:rPr>
            <w:lang w:val="en-AU"/>
          </w:rPr>
          <w:t>Kabutaulaka, 2008a</w:t>
        </w:r>
      </w:hyperlink>
      <w:r w:rsidR="00115AC9" w:rsidRPr="00F71B40">
        <w:rPr>
          <w:lang w:val="en-AU"/>
        </w:rPr>
        <w:t xml:space="preserve">; </w:t>
      </w:r>
      <w:hyperlink w:anchor="_ENREF_137" w:tooltip="Steeves, 2006 #4346" w:history="1">
        <w:r w:rsidR="00CC56DB" w:rsidRPr="00F71B40">
          <w:rPr>
            <w:lang w:val="en-AU"/>
          </w:rPr>
          <w:t>Steeves, 2006</w:t>
        </w:r>
      </w:hyperlink>
      <w:r w:rsidR="00115AC9" w:rsidRPr="00F71B40">
        <w:rPr>
          <w:lang w:val="en-AU"/>
        </w:rPr>
        <w:t>)</w:t>
      </w:r>
      <w:r w:rsidR="00115AC9" w:rsidRPr="00F71B40">
        <w:rPr>
          <w:lang w:val="en-AU"/>
        </w:rPr>
        <w:fldChar w:fldCharType="end"/>
      </w:r>
      <w:r w:rsidRPr="00F71B40">
        <w:rPr>
          <w:lang w:val="en-AU"/>
        </w:rPr>
        <w:t xml:space="preserve"> </w:t>
      </w:r>
      <w:r w:rsidR="008C6D39" w:rsidRPr="00F71B40">
        <w:rPr>
          <w:lang w:val="en-AU"/>
        </w:rPr>
        <w:t>compounds the problem of political leadership for long term reform.  In caricature, if politicians have few incentives to use the public sector to implement preferred policy, they have equally few incentives to develop long term, nation-building developmental policies.</w:t>
      </w:r>
      <w:r w:rsidR="00627B27" w:rsidRPr="00F71B40">
        <w:rPr>
          <w:lang w:val="en-AU"/>
        </w:rPr>
        <w:t xml:space="preserve">  Although not offering a practical way forward, the Truth and Reconciliation Commission observation that “adoption of the Westminster parliamentary model </w:t>
      </w:r>
      <w:r w:rsidR="00361D8F">
        <w:rPr>
          <w:lang w:val="en-AU"/>
        </w:rPr>
        <w:t xml:space="preserve">(was made) </w:t>
      </w:r>
      <w:r w:rsidR="00627B27" w:rsidRPr="00F71B40">
        <w:rPr>
          <w:lang w:val="en-AU"/>
        </w:rPr>
        <w:t>despite widespread demand for an alternative system of governance”</w:t>
      </w:r>
      <w:r w:rsidR="00361D8F">
        <w:rPr>
          <w:lang w:val="en-AU"/>
        </w:rPr>
        <w:t>, while</w:t>
      </w:r>
      <w:r w:rsidR="00627B27" w:rsidRPr="00F71B40">
        <w:rPr>
          <w:lang w:val="en-AU"/>
        </w:rPr>
        <w:t xml:space="preserve"> problematic, is understandable</w:t>
      </w:r>
      <w:r w:rsidR="00C55426" w:rsidRPr="00F71B40">
        <w:rPr>
          <w:lang w:val="en-AU"/>
        </w:rPr>
        <w:t xml:space="preserve"> </w:t>
      </w:r>
      <w:r w:rsidR="00115AC9" w:rsidRPr="00F71B40">
        <w:rPr>
          <w:lang w:val="en-AU"/>
        </w:rPr>
        <w:fldChar w:fldCharType="begin"/>
      </w:r>
      <w:r w:rsidR="00115AC9" w:rsidRPr="00F71B40">
        <w:rPr>
          <w:lang w:val="en-AU"/>
        </w:rPr>
        <w:instrText xml:space="preserve"> ADDIN EN.CITE &lt;EndNote&gt;&lt;Cite&gt;&lt;Author&gt;Solomon Islands Truth and Reconciliation Commission&lt;/Author&gt;&lt;Year&gt;2012&lt;/Year&gt;&lt;RecNum&gt;4350&lt;/RecNum&gt;&lt;Suffix&gt;`, p.735&lt;/Suffix&gt;&lt;DisplayText&gt;(Solomon Islands Truth and Reconciliation Commission, 2012c, p.735)&lt;/DisplayText&gt;&lt;record&gt;&lt;rec-number&gt;4350&lt;/rec-number&gt;&lt;foreign-keys&gt;&lt;key app="EN" db-id="5v9z5rrdszvwsneef06v9dapsd0apdtfapdx" timestamp="1408829392"&gt;4350&lt;/key&gt;&lt;/foreign-keys&gt;&lt;ref-type name="Report"&gt;27&lt;/ref-type&gt;&lt;contributors&gt;&lt;authors&gt;&lt;author&gt;Solomon Islands Truth and Reconciliation Commission,&lt;/author&gt;&lt;/authors&gt;&lt;/contributors&gt;&lt;titles&gt;&lt;title&gt;SOLOMON ISLANDS TRUTH AND RECONCILIATION COMMISSION: Confronting the Truth for a better Solomon Islands (FINAL REPORT, VOLUME III)&lt;/title&gt;&lt;/titles&gt;&lt;dates&gt;&lt;year&gt;2012&lt;/year&gt;&lt;/dates&gt;&lt;pub-location&gt;Honiara, Solomon Islands&lt;/pub-location&gt;&lt;publisher&gt;Solomon Islands Government&lt;/publisher&gt;&lt;urls&gt;&lt;/urls&gt;&lt;/record&gt;&lt;/Cite&gt;&lt;/EndNote&gt;</w:instrText>
      </w:r>
      <w:r w:rsidR="00115AC9" w:rsidRPr="00F71B40">
        <w:rPr>
          <w:lang w:val="en-AU"/>
        </w:rPr>
        <w:fldChar w:fldCharType="separate"/>
      </w:r>
      <w:r w:rsidR="00115AC9" w:rsidRPr="00F71B40">
        <w:rPr>
          <w:lang w:val="en-AU"/>
        </w:rPr>
        <w:t>(</w:t>
      </w:r>
      <w:hyperlink w:anchor="_ENREF_136" w:tooltip="Solomon Islands Truth and Reconciliation Commission, 2012 #4350" w:history="1">
        <w:r w:rsidR="00CC56DB" w:rsidRPr="00F71B40">
          <w:rPr>
            <w:lang w:val="en-AU"/>
          </w:rPr>
          <w:t>Solomon Islands Truth and Reconciliation Commission, 2012c, p.735</w:t>
        </w:r>
      </w:hyperlink>
      <w:r w:rsidR="00115AC9" w:rsidRPr="00F71B40">
        <w:rPr>
          <w:lang w:val="en-AU"/>
        </w:rPr>
        <w:t>)</w:t>
      </w:r>
      <w:r w:rsidR="00115AC9" w:rsidRPr="00F71B40">
        <w:rPr>
          <w:lang w:val="en-AU"/>
        </w:rPr>
        <w:fldChar w:fldCharType="end"/>
      </w:r>
      <w:r w:rsidR="00627B27" w:rsidRPr="00F71B40">
        <w:rPr>
          <w:lang w:val="en-AU"/>
        </w:rPr>
        <w:t>.</w:t>
      </w:r>
      <w:r w:rsidR="002479D7" w:rsidRPr="00F71B40">
        <w:rPr>
          <w:lang w:val="en-AU"/>
        </w:rPr>
        <w:t xml:space="preserve">  From the time of the first governor-general, the awkward fit between a political system predicated on competing parties with more or less coherent platforms and the realities of a political system based around individuals with (very) transferable loyalties and no identification with parties or platforms has been a source of concern </w:t>
      </w:r>
      <w:r w:rsidR="00115AC9" w:rsidRPr="00F71B40">
        <w:rPr>
          <w:lang w:val="en-AU"/>
        </w:rPr>
        <w:fldChar w:fldCharType="begin"/>
      </w:r>
      <w:r w:rsidR="00115AC9" w:rsidRPr="00F71B40">
        <w:rPr>
          <w:lang w:val="en-AU"/>
        </w:rPr>
        <w:instrText xml:space="preserve"> ADDIN EN.CITE &lt;EndNote&gt;&lt;Cite&gt;&lt;Author&gt;Devesi&lt;/Author&gt;&lt;Year&gt;1992&lt;/Year&gt;&lt;RecNum&gt;4241&lt;/RecNum&gt;&lt;DisplayText&gt;(Devesi, 1992)&lt;/DisplayText&gt;&lt;record&gt;&lt;rec-number&gt;4241&lt;/rec-number&gt;&lt;foreign-keys&gt;&lt;key app="EN" db-id="5v9z5rrdszvwsneef06v9dapsd0apdtfapdx" timestamp="1408140782"&gt;4241&lt;/key&gt;&lt;/foreign-keys&gt;&lt;ref-type name="Book Section"&gt;5&lt;/ref-type&gt;&lt;contributors&gt;&lt;authors&gt;&lt;author&gt;Devesi, B.&lt;/author&gt;&lt;/authors&gt;&lt;secondary-authors&gt;&lt;author&gt;R. Crocombe&lt;/author&gt;&lt;author&gt;E. Tuza&lt;/author&gt;&lt;/secondary-authors&gt;&lt;/contributors&gt;&lt;titles&gt;&lt;title&gt;Independence or Dependence&lt;/title&gt;&lt;secondary-title&gt;Independence, Dependence, Interdependence: the first 10 years of Solomon Islands independence&lt;/secondary-title&gt;&lt;/titles&gt;&lt;dates&gt;&lt;year&gt;1992&lt;/year&gt;&lt;/dates&gt;&lt;pub-location&gt;Suva and Honiara&lt;/pub-location&gt;&lt;publisher&gt;South Pacific and Solomon islands Colege of Higher Education&lt;/publisher&gt;&lt;urls&gt;&lt;/urls&gt;&lt;/record&gt;&lt;/Cite&gt;&lt;/EndNote&gt;</w:instrText>
      </w:r>
      <w:r w:rsidR="00115AC9" w:rsidRPr="00F71B40">
        <w:rPr>
          <w:lang w:val="en-AU"/>
        </w:rPr>
        <w:fldChar w:fldCharType="separate"/>
      </w:r>
      <w:r w:rsidR="00115AC9" w:rsidRPr="00F71B40">
        <w:rPr>
          <w:lang w:val="en-AU"/>
        </w:rPr>
        <w:t>(</w:t>
      </w:r>
      <w:hyperlink w:anchor="_ENREF_47" w:tooltip="Devesi, 1992 #4241" w:history="1">
        <w:r w:rsidR="00CC56DB" w:rsidRPr="00F71B40">
          <w:rPr>
            <w:lang w:val="en-AU"/>
          </w:rPr>
          <w:t>Devesi, 1992</w:t>
        </w:r>
      </w:hyperlink>
      <w:r w:rsidR="00115AC9" w:rsidRPr="00F71B40">
        <w:rPr>
          <w:lang w:val="en-AU"/>
        </w:rPr>
        <w:t>)</w:t>
      </w:r>
      <w:r w:rsidR="00115AC9" w:rsidRPr="00F71B40">
        <w:rPr>
          <w:lang w:val="en-AU"/>
        </w:rPr>
        <w:fldChar w:fldCharType="end"/>
      </w:r>
      <w:r w:rsidR="002479D7" w:rsidRPr="00F71B40">
        <w:rPr>
          <w:lang w:val="en-AU"/>
        </w:rPr>
        <w:t xml:space="preserve"> cited in </w:t>
      </w:r>
      <w:r w:rsidR="00115AC9" w:rsidRPr="00F71B40">
        <w:rPr>
          <w:lang w:val="en-AU"/>
        </w:rPr>
        <w:fldChar w:fldCharType="begin"/>
      </w:r>
      <w:r w:rsidR="00115AC9" w:rsidRPr="00F71B40">
        <w:rPr>
          <w:lang w:val="en-AU"/>
        </w:rPr>
        <w:instrText xml:space="preserve"> ADDIN EN.CITE &lt;EndNote&gt;&lt;Cite&gt;&lt;Author&gt;Kabutaulaka&lt;/Author&gt;&lt;Year&gt;2008&lt;/Year&gt;&lt;RecNum&gt;4240&lt;/RecNum&gt;&lt;DisplayText&gt;(Kabutaulaka, 2008b)&lt;/DisplayText&gt;&lt;record&gt;&lt;rec-number&gt;4240&lt;/rec-number&gt;&lt;foreign-keys&gt;&lt;key app="EN" db-id="5v9z5rrdszvwsneef06v9dapsd0apdtfapdx" timestamp="1408138633"&gt;4240&lt;/key&gt;&lt;/foreign-keys&gt;&lt;ref-type name="Book Section"&gt;5&lt;/ref-type&gt;&lt;contributors&gt;&lt;authors&gt;&lt;author&gt;Tarcisius Tara Kabutaulaka&lt;/author&gt;&lt;/authors&gt;&lt;secondary-authors&gt;&lt;author&gt;Sinclair Dinen&lt;/author&gt;&lt;author&gt;Stewart Firth&lt;/author&gt;&lt;/secondary-authors&gt;&lt;/contributors&gt;&lt;titles&gt;&lt;title&gt;Westminster meets Solomons in the Honiara riots&lt;/title&gt;&lt;secondary-title&gt;Politics and statebuilding in Solomon Islands&lt;/secondary-title&gt;&lt;/titles&gt;&lt;pages&gt;96-118&lt;/pages&gt;&lt;dates&gt;&lt;year&gt;2008&lt;/year&gt;&lt;/dates&gt;&lt;pub-location&gt;Caberra&lt;/pub-location&gt;&lt;publisher&gt;Asia Pacific Press&lt;/publisher&gt;&lt;urls&gt;&lt;/urls&gt;&lt;/record&gt;&lt;/Cite&gt;&lt;/EndNote&gt;</w:instrText>
      </w:r>
      <w:r w:rsidR="00115AC9" w:rsidRPr="00F71B40">
        <w:rPr>
          <w:lang w:val="en-AU"/>
        </w:rPr>
        <w:fldChar w:fldCharType="separate"/>
      </w:r>
      <w:r w:rsidR="00115AC9" w:rsidRPr="00F71B40">
        <w:rPr>
          <w:lang w:val="en-AU"/>
        </w:rPr>
        <w:t>(</w:t>
      </w:r>
      <w:hyperlink w:anchor="_ENREF_81" w:tooltip="Kabutaulaka, 2008 #4240" w:history="1">
        <w:r w:rsidR="00CC56DB" w:rsidRPr="00F71B40">
          <w:rPr>
            <w:lang w:val="en-AU"/>
          </w:rPr>
          <w:t>Kabutaulaka, 2008b</w:t>
        </w:r>
      </w:hyperlink>
      <w:r w:rsidR="00115AC9" w:rsidRPr="00F71B40">
        <w:rPr>
          <w:lang w:val="en-AU"/>
        </w:rPr>
        <w:t>)</w:t>
      </w:r>
      <w:r w:rsidR="00115AC9" w:rsidRPr="00F71B40">
        <w:rPr>
          <w:lang w:val="en-AU"/>
        </w:rPr>
        <w:fldChar w:fldCharType="end"/>
      </w:r>
      <w:r w:rsidR="002479D7" w:rsidRPr="00F71B40">
        <w:rPr>
          <w:lang w:val="en-AU"/>
        </w:rPr>
        <w:t>.</w:t>
      </w:r>
      <w:r w:rsidR="00E256D6">
        <w:rPr>
          <w:lang w:val="en-AU"/>
        </w:rPr>
        <w:t xml:space="preserve">  </w:t>
      </w:r>
    </w:p>
    <w:p w:rsidR="00FD5DEB" w:rsidRPr="00F71B40" w:rsidRDefault="00FD5DEB" w:rsidP="00D62A32">
      <w:pPr>
        <w:rPr>
          <w:lang w:val="en-AU"/>
        </w:rPr>
      </w:pPr>
    </w:p>
    <w:p w:rsidR="00FD5DEB" w:rsidRPr="00F71B40" w:rsidRDefault="00FD5DEB" w:rsidP="00D62A32">
      <w:pPr>
        <w:pStyle w:val="Heading1"/>
        <w:rPr>
          <w:lang w:val="en-AU"/>
        </w:rPr>
      </w:pPr>
      <w:bookmarkStart w:id="42" w:name="_Ref396720908"/>
      <w:bookmarkStart w:id="43" w:name="_Ref399248166"/>
      <w:bookmarkStart w:id="44" w:name="_Toc399410387"/>
      <w:r w:rsidRPr="00F71B40">
        <w:rPr>
          <w:lang w:val="en-AU"/>
        </w:rPr>
        <w:t>Early impressions of how SIGOV</w:t>
      </w:r>
      <w:bookmarkEnd w:id="42"/>
      <w:r w:rsidRPr="00F71B40">
        <w:rPr>
          <w:lang w:val="en-AU"/>
        </w:rPr>
        <w:t xml:space="preserve"> is working</w:t>
      </w:r>
      <w:bookmarkEnd w:id="43"/>
      <w:bookmarkEnd w:id="44"/>
    </w:p>
    <w:p w:rsidR="00FD5DEB" w:rsidRPr="00F71B40" w:rsidRDefault="00FD5DEB" w:rsidP="00D62A32">
      <w:pPr>
        <w:rPr>
          <w:b/>
          <w:lang w:val="en-AU"/>
        </w:rPr>
      </w:pPr>
    </w:p>
    <w:p w:rsidR="008204BE" w:rsidRPr="00F71B40" w:rsidRDefault="00FD5DEB" w:rsidP="00D62A32">
      <w:pPr>
        <w:rPr>
          <w:lang w:val="en-AU"/>
        </w:rPr>
      </w:pPr>
      <w:r w:rsidRPr="00F71B40">
        <w:rPr>
          <w:lang w:val="en-AU"/>
        </w:rPr>
        <w:t xml:space="preserve">This section suggests that SIGOV is shaping up to continue the pattern seen during the RAMSI period (described in section </w:t>
      </w:r>
      <w:r w:rsidR="005238F5" w:rsidRPr="00F71B40">
        <w:rPr>
          <w:lang w:val="en-AU"/>
        </w:rPr>
        <w:fldChar w:fldCharType="begin"/>
      </w:r>
      <w:r w:rsidR="005238F5" w:rsidRPr="00F71B40">
        <w:rPr>
          <w:lang w:val="en-AU"/>
        </w:rPr>
        <w:instrText xml:space="preserve"> REF _Ref396758674 \r \h </w:instrText>
      </w:r>
      <w:r w:rsidR="00D62A32" w:rsidRPr="00F71B40">
        <w:rPr>
          <w:lang w:val="en-AU"/>
        </w:rPr>
        <w:instrText xml:space="preserve"> \* MERGEFORMAT </w:instrText>
      </w:r>
      <w:r w:rsidR="005238F5" w:rsidRPr="00F71B40">
        <w:rPr>
          <w:lang w:val="en-AU"/>
        </w:rPr>
      </w:r>
      <w:r w:rsidR="005238F5" w:rsidRPr="00F71B40">
        <w:rPr>
          <w:lang w:val="en-AU"/>
        </w:rPr>
        <w:fldChar w:fldCharType="separate"/>
      </w:r>
      <w:r w:rsidR="00EF43BE">
        <w:rPr>
          <w:lang w:val="en-AU"/>
        </w:rPr>
        <w:t>2</w:t>
      </w:r>
      <w:r w:rsidR="005238F5" w:rsidRPr="00F71B40">
        <w:rPr>
          <w:lang w:val="en-AU"/>
        </w:rPr>
        <w:fldChar w:fldCharType="end"/>
      </w:r>
      <w:r w:rsidR="005238F5" w:rsidRPr="00F71B40">
        <w:rPr>
          <w:lang w:val="en-AU"/>
        </w:rPr>
        <w:fldChar w:fldCharType="begin"/>
      </w:r>
      <w:r w:rsidR="005238F5" w:rsidRPr="00F71B40">
        <w:rPr>
          <w:lang w:val="en-AU"/>
        </w:rPr>
        <w:instrText xml:space="preserve"> REF _Ref399234533 \r \h </w:instrText>
      </w:r>
      <w:r w:rsidR="00D62A32" w:rsidRPr="00F71B40">
        <w:rPr>
          <w:lang w:val="en-AU"/>
        </w:rPr>
        <w:instrText xml:space="preserve"> \* MERGEFORMAT </w:instrText>
      </w:r>
      <w:r w:rsidR="005238F5" w:rsidRPr="00F71B40">
        <w:rPr>
          <w:lang w:val="en-AU"/>
        </w:rPr>
      </w:r>
      <w:r w:rsidR="005238F5" w:rsidRPr="00F71B40">
        <w:rPr>
          <w:lang w:val="en-AU"/>
        </w:rPr>
        <w:fldChar w:fldCharType="separate"/>
      </w:r>
      <w:r w:rsidR="00EF43BE">
        <w:rPr>
          <w:lang w:val="en-AU"/>
        </w:rPr>
        <w:t>b</w:t>
      </w:r>
      <w:r w:rsidR="005238F5" w:rsidRPr="00F71B40">
        <w:rPr>
          <w:lang w:val="en-AU"/>
        </w:rPr>
        <w:fldChar w:fldCharType="end"/>
      </w:r>
      <w:r w:rsidRPr="00F71B40">
        <w:rPr>
          <w:lang w:val="en-AU"/>
        </w:rPr>
        <w:t xml:space="preserve"> above)</w:t>
      </w:r>
      <w:r w:rsidR="004F05B1" w:rsidRPr="00F71B40">
        <w:rPr>
          <w:lang w:val="en-AU"/>
        </w:rPr>
        <w:t xml:space="preserve">.  It is undoubtedly stimulating change in the central agencies – ranging from </w:t>
      </w:r>
      <w:r w:rsidR="005238F5" w:rsidRPr="00F71B40">
        <w:rPr>
          <w:lang w:val="en-AU"/>
        </w:rPr>
        <w:t xml:space="preserve">incentivizing staff to turn up to the office through to more substantial legal changes.  However, there is room for doubt about whether </w:t>
      </w:r>
      <w:r w:rsidRPr="00F71B40">
        <w:rPr>
          <w:lang w:val="en-AU"/>
        </w:rPr>
        <w:t xml:space="preserve">these changes at the centre </w:t>
      </w:r>
      <w:r w:rsidR="005238F5" w:rsidRPr="00F71B40">
        <w:rPr>
          <w:lang w:val="en-AU"/>
        </w:rPr>
        <w:t xml:space="preserve">are leading to downstream </w:t>
      </w:r>
      <w:r w:rsidRPr="00F71B40">
        <w:rPr>
          <w:lang w:val="en-AU"/>
        </w:rPr>
        <w:t>improvements in results</w:t>
      </w:r>
      <w:r w:rsidR="005238F5" w:rsidRPr="00F71B40">
        <w:rPr>
          <w:lang w:val="en-AU"/>
        </w:rPr>
        <w:t xml:space="preserve">.  This tentative finding is exactly in line with the general findings about public management reform programs in fragile and conflict-affected states </w:t>
      </w:r>
      <w:r w:rsidR="00147F58" w:rsidRPr="00F71B40">
        <w:rPr>
          <w:lang w:val="en-AU"/>
        </w:rPr>
        <w:t xml:space="preserve">which were </w:t>
      </w:r>
      <w:r w:rsidR="005238F5" w:rsidRPr="00F71B40">
        <w:rPr>
          <w:lang w:val="en-AU"/>
        </w:rPr>
        <w:t xml:space="preserve">set out in section </w:t>
      </w:r>
      <w:r w:rsidR="005238F5" w:rsidRPr="00F71B40">
        <w:rPr>
          <w:lang w:val="en-AU"/>
        </w:rPr>
        <w:fldChar w:fldCharType="begin"/>
      </w:r>
      <w:r w:rsidR="005238F5" w:rsidRPr="00F71B40">
        <w:rPr>
          <w:lang w:val="en-AU"/>
        </w:rPr>
        <w:instrText xml:space="preserve"> REF _Ref396758674 \r \h </w:instrText>
      </w:r>
      <w:r w:rsidR="00D62A32" w:rsidRPr="00F71B40">
        <w:rPr>
          <w:lang w:val="en-AU"/>
        </w:rPr>
        <w:instrText xml:space="preserve"> \* MERGEFORMAT </w:instrText>
      </w:r>
      <w:r w:rsidR="005238F5" w:rsidRPr="00F71B40">
        <w:rPr>
          <w:lang w:val="en-AU"/>
        </w:rPr>
      </w:r>
      <w:r w:rsidR="005238F5" w:rsidRPr="00F71B40">
        <w:rPr>
          <w:lang w:val="en-AU"/>
        </w:rPr>
        <w:fldChar w:fldCharType="separate"/>
      </w:r>
      <w:r w:rsidR="00EF43BE">
        <w:rPr>
          <w:lang w:val="en-AU"/>
        </w:rPr>
        <w:t>2</w:t>
      </w:r>
      <w:r w:rsidR="005238F5" w:rsidRPr="00F71B40">
        <w:rPr>
          <w:lang w:val="en-AU"/>
        </w:rPr>
        <w:fldChar w:fldCharType="end"/>
      </w:r>
      <w:r w:rsidR="005238F5" w:rsidRPr="00F71B40">
        <w:rPr>
          <w:lang w:val="en-AU"/>
        </w:rPr>
        <w:fldChar w:fldCharType="begin"/>
      </w:r>
      <w:r w:rsidR="005238F5" w:rsidRPr="00F71B40">
        <w:rPr>
          <w:lang w:val="en-AU"/>
        </w:rPr>
        <w:instrText xml:space="preserve"> REF _Ref399234517 \r \h </w:instrText>
      </w:r>
      <w:r w:rsidR="00D62A32" w:rsidRPr="00F71B40">
        <w:rPr>
          <w:lang w:val="en-AU"/>
        </w:rPr>
        <w:instrText xml:space="preserve"> \* MERGEFORMAT </w:instrText>
      </w:r>
      <w:r w:rsidR="005238F5" w:rsidRPr="00F71B40">
        <w:rPr>
          <w:lang w:val="en-AU"/>
        </w:rPr>
      </w:r>
      <w:r w:rsidR="005238F5" w:rsidRPr="00F71B40">
        <w:rPr>
          <w:lang w:val="en-AU"/>
        </w:rPr>
        <w:fldChar w:fldCharType="separate"/>
      </w:r>
      <w:r w:rsidR="00EF43BE">
        <w:rPr>
          <w:lang w:val="en-AU"/>
        </w:rPr>
        <w:t>c</w:t>
      </w:r>
      <w:r w:rsidR="005238F5" w:rsidRPr="00F71B40">
        <w:rPr>
          <w:lang w:val="en-AU"/>
        </w:rPr>
        <w:fldChar w:fldCharType="end"/>
      </w:r>
      <w:r w:rsidR="005238F5" w:rsidRPr="00F71B40">
        <w:rPr>
          <w:lang w:val="en-AU"/>
        </w:rPr>
        <w:t xml:space="preserve">.  </w:t>
      </w:r>
    </w:p>
    <w:p w:rsidR="008204BE" w:rsidRPr="00F71B40" w:rsidRDefault="008204BE" w:rsidP="00D62A32">
      <w:pPr>
        <w:rPr>
          <w:lang w:val="en-AU"/>
        </w:rPr>
      </w:pPr>
    </w:p>
    <w:p w:rsidR="00FD5DEB" w:rsidRPr="00F71B40" w:rsidRDefault="00FD5DEB" w:rsidP="00D62A32">
      <w:pPr>
        <w:rPr>
          <w:lang w:val="en-AU"/>
        </w:rPr>
      </w:pPr>
      <w:r w:rsidRPr="00F71B40">
        <w:rPr>
          <w:rFonts w:cs="Times New Roman"/>
          <w:lang w:val="en-AU"/>
        </w:rPr>
        <w:t>In the extreme case, it risks making a difference at the cent</w:t>
      </w:r>
      <w:r w:rsidR="008204BE" w:rsidRPr="00F71B40">
        <w:rPr>
          <w:rFonts w:cs="Times New Roman"/>
          <w:lang w:val="en-AU"/>
        </w:rPr>
        <w:t>re</w:t>
      </w:r>
      <w:r w:rsidRPr="00F71B40">
        <w:rPr>
          <w:rFonts w:cs="Times New Roman"/>
          <w:lang w:val="en-AU"/>
        </w:rPr>
        <w:t xml:space="preserve"> which is based more on mimicry of OECD reforms than on making a difference for final service delivery results</w:t>
      </w:r>
      <w:r w:rsidR="008612CA">
        <w:rPr>
          <w:rFonts w:cs="Times New Roman"/>
          <w:lang w:val="en-AU"/>
        </w:rPr>
        <w:t xml:space="preserve"> (</w:t>
      </w:r>
      <w:r w:rsidR="008612CA">
        <w:rPr>
          <w:rFonts w:cs="Times New Roman"/>
          <w:lang w:val="en-AU"/>
        </w:rPr>
        <w:fldChar w:fldCharType="begin"/>
      </w:r>
      <w:r w:rsidR="008612CA">
        <w:rPr>
          <w:rFonts w:cs="Times New Roman"/>
          <w:lang w:val="en-AU"/>
        </w:rPr>
        <w:instrText xml:space="preserve"> REF _Ref399401989 \h </w:instrText>
      </w:r>
      <w:r w:rsidR="008612CA">
        <w:rPr>
          <w:rFonts w:cs="Times New Roman"/>
          <w:lang w:val="en-AU"/>
        </w:rPr>
      </w:r>
      <w:r w:rsidR="008612CA">
        <w:rPr>
          <w:rFonts w:cs="Times New Roman"/>
          <w:lang w:val="en-AU"/>
        </w:rPr>
        <w:fldChar w:fldCharType="separate"/>
      </w:r>
      <w:r w:rsidR="00EF43BE" w:rsidRPr="00F71B40">
        <w:rPr>
          <w:lang w:val="en-AU"/>
        </w:rPr>
        <w:t xml:space="preserve">Box </w:t>
      </w:r>
      <w:r w:rsidR="00EF43BE">
        <w:rPr>
          <w:noProof/>
          <w:lang w:val="en-AU"/>
        </w:rPr>
        <w:t>3</w:t>
      </w:r>
      <w:r w:rsidR="008612CA">
        <w:rPr>
          <w:rFonts w:cs="Times New Roman"/>
          <w:lang w:val="en-AU"/>
        </w:rPr>
        <w:fldChar w:fldCharType="end"/>
      </w:r>
      <w:r w:rsidR="008612CA">
        <w:rPr>
          <w:rFonts w:cs="Times New Roman"/>
          <w:lang w:val="en-AU"/>
        </w:rPr>
        <w:t>)</w:t>
      </w:r>
      <w:r w:rsidRPr="00F71B40">
        <w:rPr>
          <w:rFonts w:cs="Times New Roman"/>
          <w:lang w:val="en-AU"/>
        </w:rPr>
        <w:t xml:space="preserve">.  </w:t>
      </w:r>
      <w:r w:rsidRPr="00F71B40">
        <w:rPr>
          <w:lang w:val="en-AU"/>
        </w:rPr>
        <w:t>This assessment of the emergent risk is bolstered by a summary review of the traffic light report on the 2013-14 CEWG economic and reform cycle.</w:t>
      </w:r>
      <w:r w:rsidRPr="00F71B40">
        <w:rPr>
          <w:rStyle w:val="FootnoteReference"/>
          <w:lang w:val="en-AU"/>
        </w:rPr>
        <w:footnoteReference w:id="7"/>
      </w:r>
      <w:r w:rsidR="00E256D6">
        <w:rPr>
          <w:lang w:val="en-AU"/>
        </w:rPr>
        <w:t xml:space="preserve">  </w:t>
      </w:r>
      <w:r w:rsidRPr="00F71B40">
        <w:rPr>
          <w:lang w:val="en-AU"/>
        </w:rPr>
        <w:t xml:space="preserve">A distinctly informal and purely indicative review of the traffic light report suggests that those reforms which are most likely to fail are those which either require a political decision on short term </w:t>
      </w:r>
      <w:r w:rsidR="00F71B40" w:rsidRPr="00F71B40">
        <w:rPr>
          <w:lang w:val="en-AU"/>
        </w:rPr>
        <w:t>trade-offs</w:t>
      </w:r>
      <w:r w:rsidRPr="00F71B40">
        <w:rPr>
          <w:lang w:val="en-AU"/>
        </w:rPr>
        <w:t xml:space="preserve"> or other sensitive decisions or require visible policy action rather than discussion or publication of report or preparation of draft regulations or a bill.</w:t>
      </w:r>
      <w:r w:rsidRPr="00F71B40">
        <w:rPr>
          <w:rStyle w:val="FootnoteReference"/>
          <w:lang w:val="en-AU"/>
        </w:rPr>
        <w:footnoteReference w:id="8"/>
      </w:r>
      <w:r w:rsidRPr="00F71B40">
        <w:rPr>
          <w:lang w:val="en-AU"/>
        </w:rPr>
        <w:t xml:space="preserve">  In other words, central agency actors tended to avoid reform in areas which were more challenging.</w:t>
      </w:r>
    </w:p>
    <w:p w:rsidR="00FD5DEB" w:rsidRPr="00F71B40" w:rsidRDefault="00FD5DEB" w:rsidP="00D62A32">
      <w:pPr>
        <w:rPr>
          <w:lang w:val="en-AU"/>
        </w:rPr>
      </w:pPr>
    </w:p>
    <w:tbl>
      <w:tblPr>
        <w:tblStyle w:val="TableGrid"/>
        <w:tblW w:w="0" w:type="auto"/>
        <w:tblLook w:val="04A0" w:firstRow="1" w:lastRow="0" w:firstColumn="1" w:lastColumn="0" w:noHBand="0" w:noVBand="1"/>
      </w:tblPr>
      <w:tblGrid>
        <w:gridCol w:w="9576"/>
      </w:tblGrid>
      <w:tr w:rsidR="00BA706F" w:rsidRPr="00F71B40" w:rsidTr="00BA706F">
        <w:tc>
          <w:tcPr>
            <w:tcW w:w="9576" w:type="dxa"/>
          </w:tcPr>
          <w:p w:rsidR="00BA706F" w:rsidRPr="00F71B40" w:rsidRDefault="00BA706F" w:rsidP="00BA706F">
            <w:pPr>
              <w:pStyle w:val="Caption"/>
              <w:keepNext/>
              <w:keepLines/>
              <w:rPr>
                <w:lang w:val="en-AU"/>
              </w:rPr>
            </w:pPr>
            <w:bookmarkStart w:id="45" w:name="_Ref399401989"/>
            <w:bookmarkStart w:id="46" w:name="_Toc401761831"/>
            <w:r w:rsidRPr="00F71B40">
              <w:rPr>
                <w:lang w:val="en-AU"/>
              </w:rPr>
              <w:lastRenderedPageBreak/>
              <w:t xml:space="preserve">Box </w:t>
            </w:r>
            <w:r w:rsidR="00361D8F" w:rsidRPr="00F71B40">
              <w:rPr>
                <w:lang w:val="en-AU"/>
              </w:rPr>
              <w:fldChar w:fldCharType="begin"/>
            </w:r>
            <w:r w:rsidR="00361D8F" w:rsidRPr="00F71B40">
              <w:rPr>
                <w:lang w:val="en-AU"/>
              </w:rPr>
              <w:instrText xml:space="preserve"> SEQ Box \* ARABIC </w:instrText>
            </w:r>
            <w:r w:rsidR="00361D8F" w:rsidRPr="00F71B40">
              <w:rPr>
                <w:lang w:val="en-AU"/>
              </w:rPr>
              <w:fldChar w:fldCharType="separate"/>
            </w:r>
            <w:r w:rsidR="00EF43BE">
              <w:rPr>
                <w:noProof/>
                <w:lang w:val="en-AU"/>
              </w:rPr>
              <w:t>3</w:t>
            </w:r>
            <w:r w:rsidR="00361D8F" w:rsidRPr="00F71B40">
              <w:rPr>
                <w:lang w:val="en-AU"/>
              </w:rPr>
              <w:fldChar w:fldCharType="end"/>
            </w:r>
            <w:bookmarkEnd w:id="45"/>
            <w:r w:rsidRPr="00F71B40">
              <w:rPr>
                <w:lang w:val="en-AU"/>
              </w:rPr>
              <w:t>: Why OECD reform history has little to offer the Solomon Islands</w:t>
            </w:r>
            <w:bookmarkEnd w:id="46"/>
          </w:p>
          <w:p w:rsidR="00BA706F" w:rsidRPr="00F71B40" w:rsidRDefault="00BA706F" w:rsidP="00BA706F">
            <w:pPr>
              <w:keepNext/>
              <w:keepLines/>
              <w:rPr>
                <w:rFonts w:cs="Times New Roman"/>
                <w:sz w:val="20"/>
                <w:szCs w:val="20"/>
                <w:lang w:val="en-AU"/>
              </w:rPr>
            </w:pPr>
          </w:p>
          <w:p w:rsidR="00BA706F" w:rsidRPr="00F71B40" w:rsidRDefault="00BA706F" w:rsidP="00BA706F">
            <w:pPr>
              <w:keepNext/>
              <w:keepLines/>
              <w:rPr>
                <w:rFonts w:cs="Times New Roman"/>
                <w:sz w:val="20"/>
                <w:szCs w:val="20"/>
                <w:lang w:val="en-AU"/>
              </w:rPr>
            </w:pPr>
            <w:r w:rsidRPr="00F71B40">
              <w:rPr>
                <w:rFonts w:cs="Times New Roman"/>
                <w:sz w:val="20"/>
                <w:szCs w:val="20"/>
                <w:lang w:val="en-AU"/>
              </w:rPr>
              <w:t>In the nineteenth century, patronage and political influence led to a wave of meritocratic reforms in Europe and the US that established vertically integrated hierarchies with centralized recruitment in an attempt to create an apolitical public service.</w:t>
            </w:r>
            <w:r w:rsidRPr="00F71B40">
              <w:rPr>
                <w:rStyle w:val="EndnoteReference"/>
                <w:rFonts w:cs="Times New Roman"/>
                <w:sz w:val="20"/>
                <w:szCs w:val="20"/>
                <w:lang w:val="en-AU"/>
              </w:rPr>
              <w:t xml:space="preserve"> </w:t>
            </w:r>
            <w:r w:rsidRPr="00F71B40">
              <w:rPr>
                <w:rStyle w:val="FootnoteReference"/>
                <w:rFonts w:cs="Times New Roman"/>
                <w:sz w:val="20"/>
                <w:szCs w:val="20"/>
                <w:lang w:val="en-AU"/>
              </w:rPr>
              <w:footnoteReference w:id="9"/>
            </w:r>
            <w:r w:rsidRPr="00F71B40">
              <w:rPr>
                <w:rFonts w:cs="Times New Roman"/>
                <w:sz w:val="20"/>
                <w:szCs w:val="20"/>
                <w:lang w:val="en-AU"/>
              </w:rPr>
              <w:t xml:space="preserve">  In the US, the 1883 federal Pendleton Civil Service Reform Act put an end to the previous spoils system. It placed most federal employees on a system of merit-based appointments and established the United States Civil Service Commission. Previously, in the UK, the Northcote-Trevelyan report of 1854 had similarly recommended open recruitment and, slowly, put an end to most forms of patronage. In continental Europe, the most relevant example was perhaps the 1875 decision in France that the </w:t>
            </w:r>
            <w:r w:rsidRPr="00F71B40">
              <w:rPr>
                <w:rFonts w:cs="Times New Roman"/>
                <w:i/>
                <w:sz w:val="20"/>
                <w:szCs w:val="20"/>
                <w:lang w:val="en-AU"/>
              </w:rPr>
              <w:t xml:space="preserve">Conseil d’Etat </w:t>
            </w:r>
            <w:r w:rsidRPr="00F71B40">
              <w:rPr>
                <w:rFonts w:cs="Times New Roman"/>
                <w:sz w:val="20"/>
                <w:szCs w:val="20"/>
                <w:lang w:val="en-AU"/>
              </w:rPr>
              <w:t xml:space="preserve">(an administrative body) had the right to judge the legality of a policy decision taken at a political level. </w:t>
            </w:r>
          </w:p>
          <w:p w:rsidR="00BA706F" w:rsidRPr="00F71B40" w:rsidRDefault="00BA706F" w:rsidP="00BA706F">
            <w:pPr>
              <w:keepNext/>
              <w:keepLines/>
              <w:rPr>
                <w:rFonts w:cs="Times New Roman"/>
                <w:sz w:val="20"/>
                <w:szCs w:val="20"/>
                <w:lang w:val="en-AU"/>
              </w:rPr>
            </w:pPr>
          </w:p>
          <w:p w:rsidR="00BA706F" w:rsidRPr="00F71B40" w:rsidRDefault="00BA706F" w:rsidP="00BA706F">
            <w:pPr>
              <w:keepNext/>
              <w:keepLines/>
              <w:rPr>
                <w:rFonts w:cs="Times New Roman"/>
                <w:sz w:val="20"/>
                <w:szCs w:val="20"/>
                <w:lang w:val="en-AU"/>
              </w:rPr>
            </w:pPr>
            <w:r w:rsidRPr="00F71B40">
              <w:rPr>
                <w:rFonts w:cs="Times New Roman"/>
                <w:sz w:val="20"/>
                <w:szCs w:val="20"/>
                <w:lang w:val="en-AU"/>
              </w:rPr>
              <w:t xml:space="preserve">The impact of these reforms on public sector effectiveness can hardly be doubted.  However, even if we could unpack history accurately, OECD countries’ historical reform </w:t>
            </w:r>
            <w:r w:rsidR="00866B58">
              <w:rPr>
                <w:rFonts w:cs="Times New Roman"/>
                <w:sz w:val="20"/>
                <w:szCs w:val="20"/>
                <w:lang w:val="en-AU"/>
              </w:rPr>
              <w:t>paths</w:t>
            </w:r>
            <w:r w:rsidR="00866B58" w:rsidRPr="00F71B40">
              <w:rPr>
                <w:rFonts w:cs="Times New Roman"/>
                <w:sz w:val="20"/>
                <w:szCs w:val="20"/>
                <w:lang w:val="en-AU"/>
              </w:rPr>
              <w:t xml:space="preserve"> </w:t>
            </w:r>
            <w:r w:rsidRPr="00F71B40">
              <w:rPr>
                <w:rFonts w:cs="Times New Roman"/>
                <w:sz w:val="20"/>
                <w:szCs w:val="20"/>
                <w:lang w:val="en-AU"/>
              </w:rPr>
              <w:t xml:space="preserve">are tied into very specific political economy contexts that bear limited resemblance with today’s context in many developing and middle income countries. The historical trajectory of public sector institutional reform in many OECD countries is explicable in terms of related struggles to centralize monarchical authority and then to constrain it </w:t>
            </w:r>
            <w:r w:rsidR="00115AC9" w:rsidRPr="00F71B40">
              <w:rPr>
                <w:rFonts w:cs="Times New Roman"/>
                <w:sz w:val="20"/>
                <w:szCs w:val="20"/>
                <w:lang w:val="en-AU"/>
              </w:rPr>
              <w:fldChar w:fldCharType="begin"/>
            </w:r>
            <w:r w:rsidR="00115AC9" w:rsidRPr="00F71B40">
              <w:rPr>
                <w:rFonts w:cs="Times New Roman"/>
                <w:sz w:val="20"/>
                <w:szCs w:val="20"/>
                <w:lang w:val="en-AU"/>
              </w:rPr>
              <w:instrText xml:space="preserve"> ADDIN EN.CITE &lt;EndNote&gt;&lt;Cite&gt;&lt;Author&gt;Silberman&lt;/Author&gt;&lt;Year&gt;1993&lt;/Year&gt;&lt;RecNum&gt;1206&lt;/RecNum&gt;&lt;DisplayText&gt;(Silberman, 1993)&lt;/DisplayText&gt;&lt;record&gt;&lt;rec-number&gt;1206&lt;/rec-number&gt;&lt;foreign-keys&gt;&lt;key app="EN" db-id="5v9z5rrdszvwsneef06v9dapsd0apdtfapdx" timestamp="0"&gt;1206&lt;/key&gt;&lt;/foreign-keys&gt;&lt;ref-type name="Book"&gt;6&lt;/ref-type&gt;&lt;contributors&gt;&lt;authors&gt;&lt;author&gt;Silberman, Bernhard S.&lt;/author&gt;&lt;/authors&gt;&lt;/contributors&gt;&lt;titles&gt;&lt;title&gt;Cages of Reason: the Rise of the Rational State in France, Japan, the United States, and Great Britain&lt;/title&gt;&lt;/titles&gt;&lt;dates&gt;&lt;year&gt;1993&lt;/year&gt;&lt;/dates&gt;&lt;pub-location&gt;Chicago&lt;/pub-location&gt;&lt;publisher&gt;University of Chicago Press&lt;/publisher&gt;&lt;urls&gt;&lt;/urls&gt;&lt;/record&gt;&lt;/Cite&gt;&lt;/EndNote&gt;</w:instrText>
            </w:r>
            <w:r w:rsidR="00115AC9" w:rsidRPr="00F71B40">
              <w:rPr>
                <w:rFonts w:cs="Times New Roman"/>
                <w:sz w:val="20"/>
                <w:szCs w:val="20"/>
                <w:lang w:val="en-AU"/>
              </w:rPr>
              <w:fldChar w:fldCharType="separate"/>
            </w:r>
            <w:r w:rsidR="00115AC9" w:rsidRPr="00F71B40">
              <w:rPr>
                <w:rFonts w:cs="Times New Roman"/>
                <w:sz w:val="20"/>
                <w:szCs w:val="20"/>
                <w:lang w:val="en-AU"/>
              </w:rPr>
              <w:t>(</w:t>
            </w:r>
            <w:hyperlink w:anchor="_ENREF_132" w:tooltip="Silberman, 1993 #1206" w:history="1">
              <w:r w:rsidR="00CC56DB" w:rsidRPr="00F71B40">
                <w:rPr>
                  <w:rFonts w:cs="Times New Roman"/>
                  <w:sz w:val="20"/>
                  <w:szCs w:val="20"/>
                  <w:lang w:val="en-AU"/>
                </w:rPr>
                <w:t>Silberman, 1993</w:t>
              </w:r>
            </w:hyperlink>
            <w:r w:rsidR="00115AC9" w:rsidRPr="00F71B40">
              <w:rPr>
                <w:rFonts w:cs="Times New Roman"/>
                <w:sz w:val="20"/>
                <w:szCs w:val="20"/>
                <w:lang w:val="en-AU"/>
              </w:rPr>
              <w:t>)</w:t>
            </w:r>
            <w:r w:rsidR="00115AC9" w:rsidRPr="00F71B40">
              <w:rPr>
                <w:rFonts w:cs="Times New Roman"/>
                <w:sz w:val="20"/>
                <w:szCs w:val="20"/>
                <w:lang w:val="en-AU"/>
              </w:rPr>
              <w:fldChar w:fldCharType="end"/>
            </w:r>
            <w:r w:rsidRPr="00F71B40">
              <w:rPr>
                <w:rFonts w:cs="Times New Roman"/>
                <w:sz w:val="20"/>
                <w:szCs w:val="20"/>
                <w:lang w:val="en-AU"/>
              </w:rPr>
              <w:t>, but the context was one of a growing and vocal middle class, a significant dependence of the elite on domestic taxes for revenues and on local resources for managing and maintaining their assets, and elite central control over most military forces.</w:t>
            </w:r>
            <w:r w:rsidRPr="00F71B40">
              <w:rPr>
                <w:rFonts w:cs="Times New Roman"/>
                <w:sz w:val="20"/>
                <w:szCs w:val="20"/>
                <w:vertAlign w:val="superscript"/>
                <w:lang w:val="en-AU"/>
              </w:rPr>
              <w:footnoteReference w:id="10"/>
            </w:r>
            <w:r w:rsidRPr="00F71B40">
              <w:rPr>
                <w:rFonts w:cs="Times New Roman"/>
                <w:sz w:val="20"/>
                <w:szCs w:val="20"/>
                <w:vertAlign w:val="superscript"/>
                <w:lang w:val="en-AU"/>
              </w:rPr>
              <w:t xml:space="preserve">  </w:t>
            </w:r>
            <w:r w:rsidRPr="00F71B40">
              <w:rPr>
                <w:rFonts w:cs="Times New Roman"/>
                <w:sz w:val="20"/>
                <w:szCs w:val="20"/>
                <w:lang w:val="en-AU"/>
              </w:rPr>
              <w:t xml:space="preserve">Little of this context can be found in developing countries and almost none of it in fragile states. In the latter in particular there are few organized demand-side pressures for better services, tax revenue is often modest relative to the rents from minerals or drugs and to aid flows, off-shore havens can protect the assets of the elite, and there can be an active market of mercenary military force </w:t>
            </w:r>
            <w:r w:rsidR="00115AC9" w:rsidRPr="00F71B40">
              <w:rPr>
                <w:rFonts w:cs="Times New Roman"/>
                <w:sz w:val="20"/>
                <w:szCs w:val="20"/>
                <w:lang w:val="en-AU"/>
              </w:rPr>
              <w:fldChar w:fldCharType="begin"/>
            </w:r>
            <w:r w:rsidR="00115AC9" w:rsidRPr="00F71B40">
              <w:rPr>
                <w:rFonts w:cs="Times New Roman"/>
                <w:sz w:val="20"/>
                <w:szCs w:val="20"/>
                <w:lang w:val="en-AU"/>
              </w:rPr>
              <w:instrText xml:space="preserve"> ADDIN EN.CITE &lt;EndNote&gt;&lt;Cite&gt;&lt;Author&gt;Centre for the Future State&lt;/Author&gt;&lt;Year&gt;2010&lt;/Year&gt;&lt;RecNum&gt;2970&lt;/RecNum&gt;&lt;DisplayText&gt;(Centre for the Future State, 2010)&lt;/DisplayText&gt;&lt;record&gt;&lt;rec-number&gt;2970&lt;/rec-number&gt;&lt;foreign-keys&gt;&lt;key app="EN" db-id="5v9z5rrdszvwsneef06v9dapsd0apdtfapdx" timestamp="0"&gt;2970&lt;/key&gt;&lt;/foreign-keys&gt;&lt;ref-type name="Book"&gt;6&lt;/ref-type&gt;&lt;contributors&gt;&lt;authors&gt;&lt;author&gt;Centre for the Future State,&lt;/author&gt;&lt;/authors&gt;&lt;/contributors&gt;&lt;titles&gt;&lt;title&gt;An Upside Down View of Governance&lt;/title&gt;&lt;/titles&gt;&lt;dates&gt;&lt;year&gt;2010&lt;/year&gt;&lt;/dates&gt;&lt;pub-location&gt;Brighton, Sussex&lt;/pub-location&gt;&lt;publisher&gt;Institute of Development Studies&lt;/publisher&gt;&lt;urls&gt;&lt;/urls&gt;&lt;/record&gt;&lt;/Cite&gt;&lt;/EndNote&gt;</w:instrText>
            </w:r>
            <w:r w:rsidR="00115AC9" w:rsidRPr="00F71B40">
              <w:rPr>
                <w:rFonts w:cs="Times New Roman"/>
                <w:sz w:val="20"/>
                <w:szCs w:val="20"/>
                <w:lang w:val="en-AU"/>
              </w:rPr>
              <w:fldChar w:fldCharType="separate"/>
            </w:r>
            <w:r w:rsidR="00115AC9" w:rsidRPr="00F71B40">
              <w:rPr>
                <w:rFonts w:cs="Times New Roman"/>
                <w:sz w:val="20"/>
                <w:szCs w:val="20"/>
                <w:lang w:val="en-AU"/>
              </w:rPr>
              <w:t>(</w:t>
            </w:r>
            <w:hyperlink w:anchor="_ENREF_33" w:tooltip="Centre for the Future State, 2010 #2970" w:history="1">
              <w:r w:rsidR="00CC56DB" w:rsidRPr="00F71B40">
                <w:rPr>
                  <w:rFonts w:cs="Times New Roman"/>
                  <w:sz w:val="20"/>
                  <w:szCs w:val="20"/>
                  <w:lang w:val="en-AU"/>
                </w:rPr>
                <w:t>Centre for the Future State, 2010</w:t>
              </w:r>
            </w:hyperlink>
            <w:r w:rsidR="00115AC9" w:rsidRPr="00F71B40">
              <w:rPr>
                <w:rFonts w:cs="Times New Roman"/>
                <w:sz w:val="20"/>
                <w:szCs w:val="20"/>
                <w:lang w:val="en-AU"/>
              </w:rPr>
              <w:t>)</w:t>
            </w:r>
            <w:r w:rsidR="00115AC9" w:rsidRPr="00F71B40">
              <w:rPr>
                <w:rFonts w:cs="Times New Roman"/>
                <w:sz w:val="20"/>
                <w:szCs w:val="20"/>
                <w:lang w:val="en-AU"/>
              </w:rPr>
              <w:fldChar w:fldCharType="end"/>
            </w:r>
            <w:r w:rsidRPr="00F71B40">
              <w:rPr>
                <w:rFonts w:cs="Times New Roman"/>
                <w:sz w:val="20"/>
                <w:szCs w:val="20"/>
                <w:lang w:val="en-AU"/>
              </w:rPr>
              <w:t xml:space="preserve">. </w:t>
            </w:r>
          </w:p>
          <w:p w:rsidR="00BA706F" w:rsidRPr="00F71B40" w:rsidRDefault="00BA706F" w:rsidP="00BA706F">
            <w:pPr>
              <w:keepNext/>
              <w:keepLines/>
              <w:rPr>
                <w:rFonts w:cs="Times New Roman"/>
                <w:sz w:val="20"/>
                <w:szCs w:val="20"/>
                <w:lang w:val="en-AU"/>
              </w:rPr>
            </w:pPr>
          </w:p>
          <w:p w:rsidR="00BA706F" w:rsidRPr="00F71B40" w:rsidRDefault="00BA706F" w:rsidP="00BA706F">
            <w:pPr>
              <w:keepNext/>
              <w:keepLines/>
              <w:autoSpaceDE w:val="0"/>
              <w:autoSpaceDN w:val="0"/>
              <w:adjustRightInd w:val="0"/>
              <w:rPr>
                <w:rFonts w:cs="Times New Roman"/>
                <w:sz w:val="20"/>
                <w:szCs w:val="20"/>
                <w:lang w:val="en-AU"/>
              </w:rPr>
            </w:pPr>
            <w:r w:rsidRPr="00F71B40">
              <w:rPr>
                <w:rFonts w:cs="Times New Roman"/>
                <w:sz w:val="20"/>
                <w:szCs w:val="20"/>
                <w:lang w:val="en-AU"/>
              </w:rPr>
              <w:t xml:space="preserve">The impact of high commodity prices is also presenting challenges without any historical parallel.  </w:t>
            </w:r>
          </w:p>
          <w:p w:rsidR="00BA706F" w:rsidRPr="00F71B40" w:rsidRDefault="00BA706F" w:rsidP="00BA706F">
            <w:pPr>
              <w:keepNext/>
              <w:keepLines/>
              <w:autoSpaceDE w:val="0"/>
              <w:autoSpaceDN w:val="0"/>
              <w:adjustRightInd w:val="0"/>
              <w:rPr>
                <w:rFonts w:cs="Times New Roman"/>
                <w:sz w:val="20"/>
                <w:szCs w:val="20"/>
                <w:lang w:val="en-AU"/>
              </w:rPr>
            </w:pPr>
          </w:p>
          <w:p w:rsidR="00BA706F" w:rsidRPr="00F71B40" w:rsidRDefault="00BA706F" w:rsidP="00CC56DB">
            <w:pPr>
              <w:keepNext/>
              <w:keepLines/>
              <w:rPr>
                <w:rFonts w:cs="Times New Roman"/>
                <w:sz w:val="20"/>
                <w:szCs w:val="20"/>
                <w:lang w:val="en-AU"/>
              </w:rPr>
            </w:pPr>
            <w:r w:rsidRPr="00F71B40">
              <w:rPr>
                <w:rFonts w:cs="Times New Roman"/>
                <w:sz w:val="20"/>
                <w:szCs w:val="20"/>
                <w:lang w:val="en-AU"/>
              </w:rPr>
              <w:t xml:space="preserve">What we can learn from history is often at the level of larger patterns – but this tells us little about the promise of a specific reform in a given context. We can see larger historical patterns as public sector institutional arrangements evolve over centuries from various conflict-reducing compromises and agreements between elites </w:t>
            </w:r>
            <w:r w:rsidR="00115AC9" w:rsidRPr="00F71B40">
              <w:rPr>
                <w:rFonts w:cs="Times New Roman"/>
                <w:sz w:val="20"/>
                <w:szCs w:val="20"/>
                <w:lang w:val="en-AU"/>
              </w:rPr>
              <w:fldChar w:fldCharType="begin"/>
            </w:r>
            <w:r w:rsidR="00115AC9" w:rsidRPr="00F71B40">
              <w:rPr>
                <w:rFonts w:cs="Times New Roman"/>
                <w:sz w:val="20"/>
                <w:szCs w:val="20"/>
                <w:lang w:val="en-AU"/>
              </w:rPr>
              <w:instrText xml:space="preserve"> ADDIN EN.CITE &lt;EndNote&gt;&lt;Cite&gt;&lt;Author&gt;North&lt;/Author&gt;&lt;Year&gt;2007&lt;/Year&gt;&lt;RecNum&gt;1207&lt;/RecNum&gt;&lt;DisplayText&gt;(North, Wallis, Webb, &amp;amp; Weingast, 2007)&lt;/DisplayText&gt;&lt;record&gt;&lt;rec-number&gt;1207&lt;/rec-number&gt;&lt;foreign-keys&gt;&lt;key app="EN" db-id="5v9z5rrdszvwsneef06v9dapsd0apdtfapdx" timestamp="0"&gt;1207&lt;/key&gt;&lt;/foreign-keys&gt;&lt;ref-type name="Report"&gt;27&lt;/ref-type&gt;&lt;contributors&gt;&lt;authors&gt;&lt;author&gt;North, Douglass C.&lt;/author&gt;&lt;author&gt;John Joseph Wallis&lt;/author&gt;&lt;author&gt;Steven B. Webb&lt;/author&gt;&lt;author&gt;Barry R. Weingast&lt;/author&gt;&lt;/authors&gt;&lt;/contributors&gt;&lt;titles&gt;&lt;title&gt;Limited Access Orders in the Developing World: A New Approach to the Problems of Development, Policy Research Working Paper 4359&lt;/title&gt;&lt;/titles&gt;&lt;dates&gt;&lt;year&gt;2007&lt;/year&gt;&lt;/dates&gt;&lt;pub-location&gt;Washington DC&lt;/pub-location&gt;&lt;publisher&gt;World Bank&lt;/publisher&gt;&lt;urls&gt;&lt;related-urls&gt;&lt;url&gt;http://www-wds.worldbank.org/external/default/WDSContentServer/IW3P/IB/2007/09/19/000158349_20070919115851/Rendered/PDF/WPS4359.pdf&lt;/url&gt;&lt;/related-urls&gt;&lt;/urls&gt;&lt;/record&gt;&lt;/Cite&gt;&lt;/EndNote&gt;</w:instrText>
            </w:r>
            <w:r w:rsidR="00115AC9" w:rsidRPr="00F71B40">
              <w:rPr>
                <w:rFonts w:cs="Times New Roman"/>
                <w:sz w:val="20"/>
                <w:szCs w:val="20"/>
                <w:lang w:val="en-AU"/>
              </w:rPr>
              <w:fldChar w:fldCharType="separate"/>
            </w:r>
            <w:r w:rsidR="00115AC9" w:rsidRPr="00F71B40">
              <w:rPr>
                <w:rFonts w:cs="Times New Roman"/>
                <w:sz w:val="20"/>
                <w:szCs w:val="20"/>
                <w:lang w:val="en-AU"/>
              </w:rPr>
              <w:t>(</w:t>
            </w:r>
            <w:hyperlink w:anchor="_ENREF_110" w:tooltip="North, 2007 #1207" w:history="1">
              <w:r w:rsidR="00CC56DB" w:rsidRPr="00F71B40">
                <w:rPr>
                  <w:rFonts w:cs="Times New Roman"/>
                  <w:sz w:val="20"/>
                  <w:szCs w:val="20"/>
                  <w:lang w:val="en-AU"/>
                </w:rPr>
                <w:t>North, Wallis, Webb, &amp; Weingast, 2007</w:t>
              </w:r>
            </w:hyperlink>
            <w:r w:rsidR="00115AC9" w:rsidRPr="00F71B40">
              <w:rPr>
                <w:rFonts w:cs="Times New Roman"/>
                <w:sz w:val="20"/>
                <w:szCs w:val="20"/>
                <w:lang w:val="en-AU"/>
              </w:rPr>
              <w:t>)</w:t>
            </w:r>
            <w:r w:rsidR="00115AC9" w:rsidRPr="00F71B40">
              <w:rPr>
                <w:rFonts w:cs="Times New Roman"/>
                <w:sz w:val="20"/>
                <w:szCs w:val="20"/>
                <w:lang w:val="en-AU"/>
              </w:rPr>
              <w:fldChar w:fldCharType="end"/>
            </w:r>
            <w:r w:rsidRPr="00F71B40">
              <w:rPr>
                <w:rFonts w:cs="Times New Roman"/>
                <w:sz w:val="20"/>
                <w:szCs w:val="20"/>
                <w:lang w:val="en-AU"/>
              </w:rPr>
              <w:t>, but this is scarcely enough to tell us whether or not, for example, a “Senior Executive Service” is an essential element of the current public sector landscape in a particular country.</w:t>
            </w:r>
          </w:p>
        </w:tc>
      </w:tr>
    </w:tbl>
    <w:p w:rsidR="00BA706F" w:rsidRPr="00F71B40" w:rsidRDefault="00BA706F" w:rsidP="00D62A32">
      <w:pPr>
        <w:rPr>
          <w:lang w:val="en-AU"/>
        </w:rPr>
      </w:pPr>
    </w:p>
    <w:p w:rsidR="00FD5DEB" w:rsidRPr="00F71B40" w:rsidRDefault="00FD5DEB" w:rsidP="004D15F8">
      <w:pPr>
        <w:pStyle w:val="Heading2"/>
        <w:numPr>
          <w:ilvl w:val="0"/>
          <w:numId w:val="20"/>
        </w:numPr>
        <w:rPr>
          <w:lang w:val="en-AU"/>
        </w:rPr>
      </w:pPr>
      <w:bookmarkStart w:id="47" w:name="_Toc399410388"/>
      <w:r w:rsidRPr="00F71B40">
        <w:rPr>
          <w:lang w:val="en-AU"/>
        </w:rPr>
        <w:t>Human Resource Management progress within SIGOV</w:t>
      </w:r>
      <w:bookmarkEnd w:id="47"/>
    </w:p>
    <w:p w:rsidR="00FD5DEB" w:rsidRPr="00F71B40" w:rsidRDefault="00FD5DEB" w:rsidP="00D62A32">
      <w:pPr>
        <w:rPr>
          <w:lang w:val="en-AU"/>
        </w:rPr>
      </w:pPr>
    </w:p>
    <w:p w:rsidR="00A53213" w:rsidRPr="00F71B40" w:rsidRDefault="00A53213" w:rsidP="00D62A32">
      <w:pPr>
        <w:rPr>
          <w:rFonts w:cs="Arial"/>
          <w:lang w:val="en-AU"/>
        </w:rPr>
      </w:pPr>
      <w:r w:rsidRPr="00F71B40">
        <w:rPr>
          <w:lang w:val="en-AU"/>
        </w:rPr>
        <w:t>The scale of the challenge</w:t>
      </w:r>
      <w:r w:rsidR="00084B8C" w:rsidRPr="00F71B40">
        <w:rPr>
          <w:lang w:val="en-AU"/>
        </w:rPr>
        <w:t xml:space="preserve"> </w:t>
      </w:r>
      <w:r w:rsidR="001F14F9" w:rsidRPr="00F71B40">
        <w:rPr>
          <w:lang w:val="en-AU"/>
        </w:rPr>
        <w:t xml:space="preserve">facing SIGOV </w:t>
      </w:r>
      <w:r w:rsidR="00084B8C" w:rsidRPr="00F71B40">
        <w:rPr>
          <w:lang w:val="en-AU"/>
        </w:rPr>
        <w:t xml:space="preserve">can be illustrated by the need to focus on basic </w:t>
      </w:r>
      <w:r w:rsidR="001F14F9" w:rsidRPr="00F71B40">
        <w:rPr>
          <w:lang w:val="en-AU"/>
        </w:rPr>
        <w:t xml:space="preserve">human resource management (HRM) </w:t>
      </w:r>
      <w:r w:rsidR="00084B8C" w:rsidRPr="00F71B40">
        <w:rPr>
          <w:lang w:val="en-AU"/>
        </w:rPr>
        <w:t xml:space="preserve">issues such as absenteeism.  </w:t>
      </w:r>
      <w:r w:rsidR="008204BE" w:rsidRPr="00F71B40">
        <w:rPr>
          <w:lang w:val="en-AU"/>
        </w:rPr>
        <w:t xml:space="preserve">The </w:t>
      </w:r>
      <w:r w:rsidRPr="00F71B40">
        <w:rPr>
          <w:lang w:val="en-AU"/>
        </w:rPr>
        <w:t xml:space="preserve">development of the </w:t>
      </w:r>
      <w:r w:rsidRPr="00F71B40">
        <w:rPr>
          <w:rFonts w:cs="Arial"/>
          <w:lang w:val="en-AU"/>
        </w:rPr>
        <w:t xml:space="preserve">Attendance Management Policy and Procedure Manual </w:t>
      </w:r>
      <w:r w:rsidR="00115AC9" w:rsidRPr="00F71B40">
        <w:rPr>
          <w:rFonts w:cs="Arial"/>
          <w:lang w:val="en-AU"/>
        </w:rPr>
        <w:fldChar w:fldCharType="begin"/>
      </w:r>
      <w:r w:rsidR="00115AC9" w:rsidRPr="00F71B40">
        <w:rPr>
          <w:rFonts w:cs="Arial"/>
          <w:lang w:val="en-AU"/>
        </w:rPr>
        <w:instrText xml:space="preserve"> ADDIN EN.CITE &lt;EndNote&gt;&lt;Cite&gt;&lt;Author&gt;Ministry of Public Service&lt;/Author&gt;&lt;Year&gt;2014&lt;/Year&gt;&lt;RecNum&gt;4292&lt;/RecNum&gt;&lt;DisplayText&gt;(Ministry of Public Service, 2014)&lt;/DisplayText&gt;&lt;record&gt;&lt;rec-number&gt;4292&lt;/rec-number&gt;&lt;foreign-keys&gt;&lt;key app="EN" db-id="5v9z5rrdszvwsneef06v9dapsd0apdtfapdx" timestamp="1408638659"&gt;4292&lt;/key&gt;&lt;/foreign-keys&gt;&lt;ref-type name="Report"&gt;27&lt;/ref-type&gt;&lt;contributors&gt;&lt;authors&gt;&lt;author&gt;Ministry of Public Service,&lt;/author&gt;&lt;/authors&gt;&lt;/contributors&gt;&lt;titles&gt;&lt;title&gt;Attendance Management Policy and Procedure Manual&lt;/title&gt;&lt;/titles&gt;&lt;dates&gt;&lt;year&gt;2014&lt;/year&gt;&lt;/dates&gt;&lt;pub-location&gt;Honiara&lt;/pub-location&gt;&lt;publisher&gt;Ministry of Public Service&lt;/publisher&gt;&lt;urls&gt;&lt;/urls&gt;&lt;/record&gt;&lt;/Cite&gt;&lt;/EndNote&gt;</w:instrText>
      </w:r>
      <w:r w:rsidR="00115AC9" w:rsidRPr="00F71B40">
        <w:rPr>
          <w:rFonts w:cs="Arial"/>
          <w:lang w:val="en-AU"/>
        </w:rPr>
        <w:fldChar w:fldCharType="separate"/>
      </w:r>
      <w:r w:rsidR="00115AC9" w:rsidRPr="00F71B40">
        <w:rPr>
          <w:rFonts w:cs="Arial"/>
          <w:lang w:val="en-AU"/>
        </w:rPr>
        <w:t>(</w:t>
      </w:r>
      <w:hyperlink w:anchor="_ENREF_107" w:tooltip="Ministry of Public Service, 2014 #4292" w:history="1">
        <w:r w:rsidR="00CC56DB" w:rsidRPr="00F71B40">
          <w:rPr>
            <w:rFonts w:cs="Arial"/>
            <w:lang w:val="en-AU"/>
          </w:rPr>
          <w:t>Ministry of Public Service, 2014</w:t>
        </w:r>
      </w:hyperlink>
      <w:r w:rsidR="00115AC9" w:rsidRPr="00F71B40">
        <w:rPr>
          <w:rFonts w:cs="Arial"/>
          <w:lang w:val="en-AU"/>
        </w:rPr>
        <w:t>)</w:t>
      </w:r>
      <w:r w:rsidR="00115AC9" w:rsidRPr="00F71B40">
        <w:rPr>
          <w:rFonts w:cs="Arial"/>
          <w:lang w:val="en-AU"/>
        </w:rPr>
        <w:fldChar w:fldCharType="end"/>
      </w:r>
      <w:r w:rsidRPr="00F71B40">
        <w:rPr>
          <w:rFonts w:cs="Arial"/>
          <w:lang w:val="en-AU"/>
        </w:rPr>
        <w:t xml:space="preserve"> has </w:t>
      </w:r>
      <w:r w:rsidR="00084B8C" w:rsidRPr="00F71B40">
        <w:rPr>
          <w:rFonts w:cs="Arial"/>
          <w:lang w:val="en-AU"/>
        </w:rPr>
        <w:t xml:space="preserve">seemingly </w:t>
      </w:r>
      <w:r w:rsidRPr="00F71B40">
        <w:rPr>
          <w:rFonts w:cs="Arial"/>
          <w:lang w:val="en-AU"/>
        </w:rPr>
        <w:t xml:space="preserve">focused attention on </w:t>
      </w:r>
      <w:r w:rsidR="00084B8C" w:rsidRPr="00F71B40">
        <w:rPr>
          <w:rFonts w:cs="Arial"/>
          <w:lang w:val="en-AU"/>
        </w:rPr>
        <w:t xml:space="preserve">these managerial foundations and, anecdotally, </w:t>
      </w:r>
      <w:r w:rsidR="00147F58" w:rsidRPr="00F71B40">
        <w:rPr>
          <w:rFonts w:cs="Arial"/>
          <w:lang w:val="en-AU"/>
        </w:rPr>
        <w:t xml:space="preserve">even before implementation it </w:t>
      </w:r>
      <w:r w:rsidR="00084B8C" w:rsidRPr="00F71B40">
        <w:rPr>
          <w:rFonts w:cs="Arial"/>
          <w:lang w:val="en-AU"/>
        </w:rPr>
        <w:t>may have already had some modest impact</w:t>
      </w:r>
      <w:r w:rsidR="00147F58" w:rsidRPr="00F71B40">
        <w:rPr>
          <w:rFonts w:cs="Arial"/>
          <w:lang w:val="en-AU"/>
        </w:rPr>
        <w:t xml:space="preserve"> within the central agencies.  </w:t>
      </w:r>
    </w:p>
    <w:p w:rsidR="008204BE" w:rsidRPr="00F71B40" w:rsidRDefault="008204BE" w:rsidP="00D62A32">
      <w:pPr>
        <w:rPr>
          <w:lang w:val="en-AU"/>
        </w:rPr>
      </w:pPr>
    </w:p>
    <w:p w:rsidR="00FD5DEB" w:rsidRPr="00F71B40" w:rsidRDefault="003F1670" w:rsidP="00D62A32">
      <w:pPr>
        <w:rPr>
          <w:lang w:val="en-AU"/>
        </w:rPr>
      </w:pPr>
      <w:r w:rsidRPr="00F71B40">
        <w:rPr>
          <w:lang w:val="en-AU"/>
        </w:rPr>
        <w:t>M</w:t>
      </w:r>
      <w:r w:rsidR="001F14F9" w:rsidRPr="00F71B40">
        <w:rPr>
          <w:lang w:val="en-AU"/>
        </w:rPr>
        <w:t xml:space="preserve">ore structural </w:t>
      </w:r>
      <w:r w:rsidR="00FD5DEB" w:rsidRPr="00F71B40">
        <w:rPr>
          <w:lang w:val="en-AU"/>
        </w:rPr>
        <w:t>HRM reforms</w:t>
      </w:r>
      <w:r w:rsidR="001F14F9" w:rsidRPr="00F71B40">
        <w:rPr>
          <w:lang w:val="en-AU"/>
        </w:rPr>
        <w:t xml:space="preserve"> have been achieved </w:t>
      </w:r>
      <w:r w:rsidRPr="00F71B40">
        <w:rPr>
          <w:lang w:val="en-AU"/>
        </w:rPr>
        <w:t xml:space="preserve">or are underway </w:t>
      </w:r>
      <w:r w:rsidR="001F14F9" w:rsidRPr="00F71B40">
        <w:rPr>
          <w:lang w:val="en-AU"/>
        </w:rPr>
        <w:t xml:space="preserve">and are </w:t>
      </w:r>
      <w:r w:rsidR="00FD5DEB" w:rsidRPr="00F71B40">
        <w:rPr>
          <w:lang w:val="en-AU"/>
        </w:rPr>
        <w:t xml:space="preserve">well summarized in </w:t>
      </w:r>
      <w:r w:rsidR="00115AC9" w:rsidRPr="00F71B40">
        <w:rPr>
          <w:lang w:val="en-AU"/>
        </w:rPr>
        <w:fldChar w:fldCharType="begin"/>
      </w:r>
      <w:r w:rsidR="00115AC9" w:rsidRPr="00F71B40">
        <w:rPr>
          <w:lang w:val="en-AU"/>
        </w:rPr>
        <w:instrText xml:space="preserve"> ADDIN EN.CITE &lt;EndNote&gt;&lt;Cite&gt;&lt;Author&gt;DFAT&lt;/Author&gt;&lt;Year&gt;2014&lt;/Year&gt;&lt;RecNum&gt;4309&lt;/RecNum&gt;&lt;DisplayText&gt;(DFAT, 2014b)&lt;/DisplayText&gt;&lt;record&gt;&lt;rec-number&gt;4309&lt;/rec-number&gt;&lt;foreign-keys&gt;&lt;key app="EN" db-id="5v9z5rrdszvwsneef06v9dapsd0apdtfapdx" timestamp="1408652590"&gt;4309&lt;/key&gt;&lt;/foreign-keys&gt;&lt;ref-type name="Report"&gt;27&lt;/ref-type&gt;&lt;contributors&gt;&lt;authors&gt;&lt;author&gt;DFAT&lt;/author&gt;&lt;/authors&gt;&lt;/contributors&gt;&lt;titles&gt;&lt;title&gt;Solomon Islands Governance Program (SIGOV): Quarterly Report No. 3 (January-March 2014)&lt;/title&gt;&lt;/titles&gt;&lt;dates&gt;&lt;year&gt;2014&lt;/year&gt;&lt;/dates&gt;&lt;pub-location&gt;Honiara, Solomon Islands&lt;/pub-location&gt;&lt;publisher&gt;DFAT&lt;/publisher&gt;&lt;urls&gt;&lt;/urls&gt;&lt;/record&gt;&lt;/Cite&gt;&lt;/EndNote&gt;</w:instrText>
      </w:r>
      <w:r w:rsidR="00115AC9" w:rsidRPr="00F71B40">
        <w:rPr>
          <w:lang w:val="en-AU"/>
        </w:rPr>
        <w:fldChar w:fldCharType="separate"/>
      </w:r>
      <w:r w:rsidR="00115AC9" w:rsidRPr="00F71B40">
        <w:rPr>
          <w:lang w:val="en-AU"/>
        </w:rPr>
        <w:t>(</w:t>
      </w:r>
      <w:hyperlink w:anchor="_ENREF_49" w:tooltip="DFAT, 2014 #4309" w:history="1">
        <w:r w:rsidR="00CC56DB" w:rsidRPr="00F71B40">
          <w:rPr>
            <w:lang w:val="en-AU"/>
          </w:rPr>
          <w:t>DFAT, 2014b</w:t>
        </w:r>
      </w:hyperlink>
      <w:r w:rsidR="00115AC9" w:rsidRPr="00F71B40">
        <w:rPr>
          <w:lang w:val="en-AU"/>
        </w:rPr>
        <w:t>)</w:t>
      </w:r>
      <w:r w:rsidR="00115AC9" w:rsidRPr="00F71B40">
        <w:rPr>
          <w:lang w:val="en-AU"/>
        </w:rPr>
        <w:fldChar w:fldCharType="end"/>
      </w:r>
      <w:r w:rsidR="00FD5DEB" w:rsidRPr="00F71B40">
        <w:rPr>
          <w:lang w:val="en-AU"/>
        </w:rPr>
        <w:t>:</w:t>
      </w:r>
    </w:p>
    <w:p w:rsidR="00FD5DEB" w:rsidRPr="00F71B40" w:rsidRDefault="00FD5DEB" w:rsidP="004D15F8">
      <w:pPr>
        <w:pStyle w:val="ListParagraph"/>
        <w:numPr>
          <w:ilvl w:val="0"/>
          <w:numId w:val="7"/>
        </w:numPr>
        <w:rPr>
          <w:rFonts w:cs="Arial"/>
          <w:lang w:val="en-AU"/>
        </w:rPr>
      </w:pPr>
      <w:r w:rsidRPr="00F71B40">
        <w:rPr>
          <w:rFonts w:cs="Arial"/>
          <w:lang w:val="en-AU"/>
        </w:rPr>
        <w:t xml:space="preserve">The draft Public Service Bill </w:t>
      </w:r>
      <w:r w:rsidR="00115AC9" w:rsidRPr="00F71B40">
        <w:rPr>
          <w:rFonts w:cs="Arial"/>
          <w:lang w:val="en-AU"/>
        </w:rPr>
        <w:fldChar w:fldCharType="begin"/>
      </w:r>
      <w:r w:rsidR="00115AC9" w:rsidRPr="00F71B40">
        <w:rPr>
          <w:rFonts w:cs="Arial"/>
          <w:lang w:val="en-AU"/>
        </w:rPr>
        <w:instrText xml:space="preserve"> ADDIN EN.CITE &lt;EndNote&gt;&lt;Cite&gt;&lt;Author&gt;Solomon Islands Government&lt;/Author&gt;&lt;Year&gt;2014&lt;/Year&gt;&lt;RecNum&gt;4293&lt;/RecNum&gt;&lt;DisplayText&gt;(Solomon Islands Government, 2014)&lt;/DisplayText&gt;&lt;record&gt;&lt;rec-number&gt;4293&lt;/rec-number&gt;&lt;foreign-keys&gt;&lt;key app="EN" db-id="5v9z5rrdszvwsneef06v9dapsd0apdtfapdx" timestamp="1408638805"&gt;4293&lt;/key&gt;&lt;/foreign-keys&gt;&lt;ref-type name="Legal Rule or Regulation"&gt;50&lt;/ref-type&gt;&lt;contributors&gt;&lt;authors&gt;&lt;author&gt;Solomon Islands Government,&lt;/author&gt;&lt;/authors&gt;&lt;/contributors&gt;&lt;titles&gt;&lt;title&gt;Act to provide for the Human Resource Management of the Public Service and Related Matters (Bill)&lt;/title&gt;&lt;/titles&gt;&lt;dates&gt;&lt;year&gt;2014&lt;/year&gt;&lt;/dates&gt;&lt;pub-location&gt;Solomon Islands&lt;/pub-location&gt;&lt;urls&gt;&lt;/urls&gt;&lt;/record&gt;&lt;/Cite&gt;&lt;/EndNote&gt;</w:instrText>
      </w:r>
      <w:r w:rsidR="00115AC9" w:rsidRPr="00F71B40">
        <w:rPr>
          <w:rFonts w:cs="Arial"/>
          <w:lang w:val="en-AU"/>
        </w:rPr>
        <w:fldChar w:fldCharType="separate"/>
      </w:r>
      <w:r w:rsidR="00115AC9" w:rsidRPr="00F71B40">
        <w:rPr>
          <w:rFonts w:cs="Arial"/>
          <w:lang w:val="en-AU"/>
        </w:rPr>
        <w:t>(</w:t>
      </w:r>
      <w:hyperlink w:anchor="_ENREF_133" w:tooltip="Solomon Islands Government, 2014 #4293" w:history="1">
        <w:r w:rsidR="00CC56DB" w:rsidRPr="00F71B40">
          <w:rPr>
            <w:rFonts w:cs="Arial"/>
            <w:lang w:val="en-AU"/>
          </w:rPr>
          <w:t>Solomon Islands Government, 2014</w:t>
        </w:r>
      </w:hyperlink>
      <w:r w:rsidR="00115AC9" w:rsidRPr="00F71B40">
        <w:rPr>
          <w:rFonts w:cs="Arial"/>
          <w:lang w:val="en-AU"/>
        </w:rPr>
        <w:t>)</w:t>
      </w:r>
      <w:r w:rsidR="00115AC9" w:rsidRPr="00F71B40">
        <w:rPr>
          <w:rFonts w:cs="Arial"/>
          <w:lang w:val="en-AU"/>
        </w:rPr>
        <w:fldChar w:fldCharType="end"/>
      </w:r>
      <w:r w:rsidRPr="00F71B40">
        <w:rPr>
          <w:rFonts w:cs="Arial"/>
          <w:lang w:val="en-AU"/>
        </w:rPr>
        <w:t xml:space="preserve"> and revised Public Service Commission Regulations have been sub</w:t>
      </w:r>
      <w:r w:rsidR="003F1670" w:rsidRPr="00F71B40">
        <w:rPr>
          <w:rFonts w:cs="Arial"/>
          <w:lang w:val="en-AU"/>
        </w:rPr>
        <w:t>mitted to the Attorney General;</w:t>
      </w:r>
    </w:p>
    <w:p w:rsidR="00FD5DEB" w:rsidRPr="00F71B40" w:rsidRDefault="00FD5DEB" w:rsidP="004D15F8">
      <w:pPr>
        <w:pStyle w:val="ListParagraph"/>
        <w:numPr>
          <w:ilvl w:val="0"/>
          <w:numId w:val="7"/>
        </w:numPr>
        <w:rPr>
          <w:rFonts w:cs="Arial"/>
          <w:lang w:val="en-AU"/>
        </w:rPr>
      </w:pPr>
      <w:r w:rsidRPr="00F71B40">
        <w:rPr>
          <w:rFonts w:cs="Arial"/>
          <w:lang w:val="en-AU"/>
        </w:rPr>
        <w:lastRenderedPageBreak/>
        <w:t>The 2013 performance assessments for Permanent Secr</w:t>
      </w:r>
      <w:r w:rsidR="003F1670" w:rsidRPr="00F71B40">
        <w:rPr>
          <w:rFonts w:cs="Arial"/>
          <w:lang w:val="en-AU"/>
        </w:rPr>
        <w:t>etaries were completed in March;</w:t>
      </w:r>
    </w:p>
    <w:p w:rsidR="00FD5DEB" w:rsidRPr="00F71B40" w:rsidRDefault="00FD5DEB" w:rsidP="004D15F8">
      <w:pPr>
        <w:pStyle w:val="ListParagraph"/>
        <w:numPr>
          <w:ilvl w:val="0"/>
          <w:numId w:val="7"/>
        </w:numPr>
        <w:rPr>
          <w:rFonts w:cs="Arial"/>
          <w:lang w:val="en-AU"/>
        </w:rPr>
      </w:pPr>
      <w:r w:rsidRPr="00F71B40">
        <w:rPr>
          <w:rFonts w:cs="Arial"/>
          <w:lang w:val="en-AU"/>
        </w:rPr>
        <w:t>The decentralization of appointment submissions from Ministry of Public Service to line Ministries is reducing the length of time to fill a vacant public service position</w:t>
      </w:r>
      <w:r w:rsidR="005700AE">
        <w:rPr>
          <w:rFonts w:cs="Arial"/>
          <w:lang w:val="en-AU"/>
        </w:rPr>
        <w:t>; t</w:t>
      </w:r>
      <w:r w:rsidRPr="00F71B40">
        <w:rPr>
          <w:rFonts w:cs="Arial"/>
          <w:lang w:val="en-AU"/>
        </w:rPr>
        <w:t>he average recruitment time has reduced from 8.5 months to 3.2 months.</w:t>
      </w:r>
    </w:p>
    <w:p w:rsidR="00FD5DEB" w:rsidRPr="00F71B40" w:rsidRDefault="00FD5DEB" w:rsidP="00D62A32">
      <w:pPr>
        <w:rPr>
          <w:lang w:val="en-AU"/>
        </w:rPr>
      </w:pPr>
    </w:p>
    <w:p w:rsidR="00FD5DEB" w:rsidRPr="00F71B40" w:rsidRDefault="00FD5DEB" w:rsidP="00D62A32">
      <w:pPr>
        <w:rPr>
          <w:lang w:val="en-AU"/>
        </w:rPr>
      </w:pPr>
      <w:r w:rsidRPr="00F71B40">
        <w:rPr>
          <w:lang w:val="en-AU"/>
        </w:rPr>
        <w:t>However</w:t>
      </w:r>
      <w:r w:rsidR="003F1670" w:rsidRPr="00F71B40">
        <w:rPr>
          <w:lang w:val="en-AU"/>
        </w:rPr>
        <w:t xml:space="preserve"> </w:t>
      </w:r>
      <w:r w:rsidRPr="00F71B40">
        <w:rPr>
          <w:lang w:val="en-AU"/>
        </w:rPr>
        <w:t>some respondents speculated that the reforms implied by the Public Service Bill are based on a somewhat purist version of HRM, at odds with recent developments:</w:t>
      </w:r>
    </w:p>
    <w:p w:rsidR="00FD5DEB" w:rsidRPr="00F71B40" w:rsidRDefault="00FD5DEB" w:rsidP="004D15F8">
      <w:pPr>
        <w:pStyle w:val="ListParagraph"/>
        <w:numPr>
          <w:ilvl w:val="0"/>
          <w:numId w:val="10"/>
        </w:numPr>
        <w:rPr>
          <w:lang w:val="en-AU"/>
        </w:rPr>
      </w:pPr>
      <w:r w:rsidRPr="00F71B40">
        <w:rPr>
          <w:lang w:val="en-AU"/>
        </w:rPr>
        <w:t xml:space="preserve">They do not resolve the question of whether the PSC should have a more active role in relation to reform (the bill assumes the traditional Commonwealth-style merit protection role of the PSC, which is somewhat at odds with the Commission’s </w:t>
      </w:r>
      <w:r w:rsidR="003F1670" w:rsidRPr="00F71B40">
        <w:rPr>
          <w:lang w:val="en-AU"/>
        </w:rPr>
        <w:t>former</w:t>
      </w:r>
      <w:r w:rsidRPr="00F71B40">
        <w:rPr>
          <w:lang w:val="en-AU"/>
        </w:rPr>
        <w:t xml:space="preserve"> leadership of the Public Service Impr</w:t>
      </w:r>
      <w:r w:rsidR="003F1670" w:rsidRPr="00F71B40">
        <w:rPr>
          <w:lang w:val="en-AU"/>
        </w:rPr>
        <w:t>ovement Program);</w:t>
      </w:r>
    </w:p>
    <w:p w:rsidR="00FD5DEB" w:rsidRPr="00F71B40" w:rsidRDefault="00FD5DEB" w:rsidP="004D15F8">
      <w:pPr>
        <w:pStyle w:val="ListParagraph"/>
        <w:numPr>
          <w:ilvl w:val="0"/>
          <w:numId w:val="10"/>
        </w:numPr>
        <w:rPr>
          <w:lang w:val="en-AU"/>
        </w:rPr>
      </w:pPr>
      <w:r w:rsidRPr="00F71B40">
        <w:rPr>
          <w:lang w:val="en-AU"/>
        </w:rPr>
        <w:t>They seem to block any moves away from an establishment control model for controlling staffing expenditures towards a “running cost” regime</w:t>
      </w:r>
      <w:r w:rsidR="005700AE">
        <w:rPr>
          <w:lang w:val="en-AU"/>
        </w:rPr>
        <w:t xml:space="preserve"> and, while this was generally seen as a sensible direction, respondents considered that the issue was, at least, debatable.</w:t>
      </w:r>
    </w:p>
    <w:p w:rsidR="00FD5DEB" w:rsidRPr="00F71B40" w:rsidRDefault="00FD5DEB" w:rsidP="00D62A32">
      <w:pPr>
        <w:rPr>
          <w:lang w:val="en-AU"/>
        </w:rPr>
      </w:pPr>
    </w:p>
    <w:tbl>
      <w:tblPr>
        <w:tblStyle w:val="TableGrid"/>
        <w:tblW w:w="0" w:type="auto"/>
        <w:tblLook w:val="04A0" w:firstRow="1" w:lastRow="0" w:firstColumn="1" w:lastColumn="0" w:noHBand="0" w:noVBand="1"/>
      </w:tblPr>
      <w:tblGrid>
        <w:gridCol w:w="9576"/>
      </w:tblGrid>
      <w:tr w:rsidR="00B96283" w:rsidRPr="00F71B40" w:rsidTr="00B96283">
        <w:tc>
          <w:tcPr>
            <w:tcW w:w="9576" w:type="dxa"/>
          </w:tcPr>
          <w:p w:rsidR="00B96283" w:rsidRPr="00F71B40" w:rsidRDefault="00B96283" w:rsidP="00BA706F">
            <w:pPr>
              <w:pStyle w:val="Caption"/>
              <w:rPr>
                <w:lang w:val="en-AU"/>
              </w:rPr>
            </w:pPr>
            <w:bookmarkStart w:id="48" w:name="_Ref399341681"/>
            <w:bookmarkStart w:id="49" w:name="_Toc401761832"/>
            <w:r w:rsidRPr="00F71B40">
              <w:rPr>
                <w:lang w:val="en-AU"/>
              </w:rPr>
              <w:t xml:space="preserve">Box </w:t>
            </w:r>
            <w:r w:rsidR="00361D8F" w:rsidRPr="00F71B40">
              <w:rPr>
                <w:lang w:val="en-AU"/>
              </w:rPr>
              <w:fldChar w:fldCharType="begin"/>
            </w:r>
            <w:r w:rsidR="00361D8F" w:rsidRPr="00F71B40">
              <w:rPr>
                <w:lang w:val="en-AU"/>
              </w:rPr>
              <w:instrText xml:space="preserve"> SEQ Box \* ARABIC </w:instrText>
            </w:r>
            <w:r w:rsidR="00361D8F" w:rsidRPr="00F71B40">
              <w:rPr>
                <w:lang w:val="en-AU"/>
              </w:rPr>
              <w:fldChar w:fldCharType="separate"/>
            </w:r>
            <w:r w:rsidR="00EF43BE">
              <w:rPr>
                <w:noProof/>
                <w:lang w:val="en-AU"/>
              </w:rPr>
              <w:t>4</w:t>
            </w:r>
            <w:r w:rsidR="00361D8F" w:rsidRPr="00F71B40">
              <w:rPr>
                <w:lang w:val="en-AU"/>
              </w:rPr>
              <w:fldChar w:fldCharType="end"/>
            </w:r>
            <w:bookmarkEnd w:id="48"/>
            <w:r w:rsidRPr="00F71B40">
              <w:rPr>
                <w:lang w:val="en-AU"/>
              </w:rPr>
              <w:t>: Schemes of Service in Commonwealth countries</w:t>
            </w:r>
            <w:bookmarkEnd w:id="49"/>
          </w:p>
          <w:p w:rsidR="00B96283" w:rsidRPr="00F71B40" w:rsidRDefault="00B96283" w:rsidP="00B96283">
            <w:pPr>
              <w:rPr>
                <w:lang w:val="en-AU"/>
              </w:rPr>
            </w:pPr>
          </w:p>
          <w:p w:rsidR="00B96283" w:rsidRPr="00F71B40" w:rsidRDefault="00B96283" w:rsidP="00B96283">
            <w:pPr>
              <w:rPr>
                <w:rFonts w:cs="Times New Roman"/>
                <w:sz w:val="20"/>
                <w:szCs w:val="20"/>
                <w:lang w:val="en-AU"/>
              </w:rPr>
            </w:pPr>
            <w:r w:rsidRPr="00F71B40">
              <w:rPr>
                <w:rFonts w:cs="Times New Roman"/>
                <w:sz w:val="20"/>
                <w:szCs w:val="20"/>
                <w:lang w:val="en-AU"/>
              </w:rPr>
              <w:t>Commonwealth “Schemes of Service” are an example of cadres (distinct professional streams) within a career-based system.</w:t>
            </w:r>
            <w:r w:rsidR="00E256D6">
              <w:rPr>
                <w:rFonts w:cs="Times New Roman"/>
                <w:sz w:val="20"/>
                <w:szCs w:val="20"/>
                <w:lang w:val="en-AU"/>
              </w:rPr>
              <w:t xml:space="preserve">  </w:t>
            </w:r>
            <w:r w:rsidRPr="00F71B40">
              <w:rPr>
                <w:rFonts w:cs="Times New Roman"/>
                <w:sz w:val="20"/>
                <w:szCs w:val="20"/>
                <w:lang w:val="en-AU"/>
              </w:rPr>
              <w:t>Schemes of Service were at their most rigid in Commonwealth Africa, driven by the Ford Foundation amongst others as part of a post-independence capacity-building effort – but were present in varying degrees elsewhere in the Commonwealth including Solomon Islands.  Typically, they contained:</w:t>
            </w:r>
          </w:p>
          <w:p w:rsidR="00B96283" w:rsidRPr="00F71B40" w:rsidRDefault="00B96283" w:rsidP="004D15F8">
            <w:pPr>
              <w:pStyle w:val="ListParagraph"/>
              <w:numPr>
                <w:ilvl w:val="0"/>
                <w:numId w:val="16"/>
              </w:numPr>
              <w:rPr>
                <w:rFonts w:cs="Times New Roman"/>
                <w:sz w:val="20"/>
                <w:szCs w:val="20"/>
                <w:lang w:val="en-AU"/>
              </w:rPr>
            </w:pPr>
            <w:r w:rsidRPr="00F71B40">
              <w:rPr>
                <w:rFonts w:cs="Times New Roman"/>
                <w:sz w:val="20"/>
                <w:szCs w:val="20"/>
                <w:lang w:val="en-AU"/>
              </w:rPr>
              <w:t>General background to the work of this group of staff, and identification of the head of the class (responsible for the scheme and, on occasion, for appointments and postings)</w:t>
            </w:r>
          </w:p>
          <w:p w:rsidR="00B96283" w:rsidRPr="00F71B40" w:rsidRDefault="00B96283" w:rsidP="004D15F8">
            <w:pPr>
              <w:pStyle w:val="ListParagraph"/>
              <w:numPr>
                <w:ilvl w:val="0"/>
                <w:numId w:val="16"/>
              </w:numPr>
              <w:rPr>
                <w:rFonts w:cs="Times New Roman"/>
                <w:sz w:val="20"/>
                <w:szCs w:val="20"/>
                <w:lang w:val="en-AU"/>
              </w:rPr>
            </w:pPr>
            <w:r w:rsidRPr="00F71B40">
              <w:rPr>
                <w:rFonts w:cs="Times New Roman"/>
                <w:sz w:val="20"/>
                <w:szCs w:val="20"/>
                <w:lang w:val="en-AU"/>
              </w:rPr>
              <w:t>Functions of the class of employees</w:t>
            </w:r>
          </w:p>
          <w:p w:rsidR="00B96283" w:rsidRPr="00F71B40" w:rsidRDefault="00B96283" w:rsidP="004D15F8">
            <w:pPr>
              <w:pStyle w:val="ListParagraph"/>
              <w:numPr>
                <w:ilvl w:val="0"/>
                <w:numId w:val="16"/>
              </w:numPr>
              <w:rPr>
                <w:rFonts w:cs="Times New Roman"/>
                <w:sz w:val="20"/>
                <w:szCs w:val="20"/>
                <w:lang w:val="en-AU"/>
              </w:rPr>
            </w:pPr>
            <w:r w:rsidRPr="00F71B40">
              <w:rPr>
                <w:rFonts w:cs="Times New Roman"/>
                <w:sz w:val="20"/>
                <w:szCs w:val="20"/>
                <w:lang w:val="en-AU"/>
              </w:rPr>
              <w:t>Composition of the class – grades and job titles</w:t>
            </w:r>
          </w:p>
          <w:p w:rsidR="00B96283" w:rsidRPr="00F71B40" w:rsidRDefault="00B96283" w:rsidP="004D15F8">
            <w:pPr>
              <w:pStyle w:val="ListParagraph"/>
              <w:numPr>
                <w:ilvl w:val="0"/>
                <w:numId w:val="16"/>
              </w:numPr>
              <w:rPr>
                <w:rFonts w:cs="Times New Roman"/>
                <w:sz w:val="20"/>
                <w:szCs w:val="20"/>
                <w:lang w:val="en-AU"/>
              </w:rPr>
            </w:pPr>
            <w:r w:rsidRPr="00F71B40">
              <w:rPr>
                <w:rFonts w:cs="Times New Roman"/>
                <w:sz w:val="20"/>
                <w:szCs w:val="20"/>
                <w:lang w:val="en-AU"/>
              </w:rPr>
              <w:t>Specific duties of each grade</w:t>
            </w:r>
          </w:p>
          <w:p w:rsidR="00B96283" w:rsidRPr="00F71B40" w:rsidRDefault="00B96283" w:rsidP="004D15F8">
            <w:pPr>
              <w:pStyle w:val="ListParagraph"/>
              <w:numPr>
                <w:ilvl w:val="0"/>
                <w:numId w:val="16"/>
              </w:numPr>
              <w:rPr>
                <w:rFonts w:cs="Times New Roman"/>
                <w:sz w:val="20"/>
                <w:szCs w:val="20"/>
                <w:lang w:val="en-AU"/>
              </w:rPr>
            </w:pPr>
            <w:r w:rsidRPr="00F71B40">
              <w:rPr>
                <w:rFonts w:cs="Times New Roman"/>
                <w:sz w:val="20"/>
                <w:szCs w:val="20"/>
                <w:lang w:val="en-AU"/>
              </w:rPr>
              <w:t xml:space="preserve">Entry Qualifications and Career Progression for each grade: </w:t>
            </w:r>
          </w:p>
          <w:p w:rsidR="00B96283" w:rsidRPr="00F71B40" w:rsidRDefault="00B96283" w:rsidP="004D15F8">
            <w:pPr>
              <w:pStyle w:val="ListParagraph"/>
              <w:numPr>
                <w:ilvl w:val="0"/>
                <w:numId w:val="5"/>
              </w:numPr>
              <w:rPr>
                <w:rFonts w:cs="Times New Roman"/>
                <w:sz w:val="20"/>
                <w:szCs w:val="20"/>
                <w:lang w:val="en-AU"/>
              </w:rPr>
            </w:pPr>
            <w:r w:rsidRPr="00F71B40">
              <w:rPr>
                <w:rFonts w:cs="Times New Roman"/>
                <w:sz w:val="20"/>
                <w:szCs w:val="20"/>
                <w:lang w:val="en-AU"/>
              </w:rPr>
              <w:t>Qualifications  necessary for Direct Entry (only available for some grades)</w:t>
            </w:r>
          </w:p>
          <w:p w:rsidR="00B96283" w:rsidRPr="00F71B40" w:rsidRDefault="00B96283" w:rsidP="004D15F8">
            <w:pPr>
              <w:pStyle w:val="ListParagraph"/>
              <w:numPr>
                <w:ilvl w:val="0"/>
                <w:numId w:val="5"/>
              </w:numPr>
              <w:rPr>
                <w:rFonts w:cs="Times New Roman"/>
                <w:sz w:val="20"/>
                <w:szCs w:val="20"/>
                <w:lang w:val="en-AU"/>
              </w:rPr>
            </w:pPr>
            <w:r w:rsidRPr="00F71B40">
              <w:rPr>
                <w:rFonts w:cs="Times New Roman"/>
                <w:sz w:val="20"/>
                <w:szCs w:val="20"/>
                <w:lang w:val="en-AU"/>
              </w:rPr>
              <w:t>Qualifications  necessary for in-service Entry</w:t>
            </w:r>
          </w:p>
          <w:p w:rsidR="00B96283" w:rsidRPr="00F71B40" w:rsidRDefault="00B96283" w:rsidP="004D15F8">
            <w:pPr>
              <w:pStyle w:val="ListParagraph"/>
              <w:numPr>
                <w:ilvl w:val="0"/>
                <w:numId w:val="5"/>
              </w:numPr>
              <w:rPr>
                <w:rFonts w:cs="Times New Roman"/>
                <w:sz w:val="20"/>
                <w:szCs w:val="20"/>
                <w:lang w:val="en-AU"/>
              </w:rPr>
            </w:pPr>
            <w:r w:rsidRPr="00F71B40">
              <w:rPr>
                <w:rFonts w:cs="Times New Roman"/>
                <w:sz w:val="20"/>
                <w:szCs w:val="20"/>
                <w:lang w:val="en-AU"/>
              </w:rPr>
              <w:t>Qualifications for promotion</w:t>
            </w:r>
          </w:p>
          <w:p w:rsidR="00B96283" w:rsidRPr="00F71B40" w:rsidRDefault="00B96283" w:rsidP="004D15F8">
            <w:pPr>
              <w:pStyle w:val="ListParagraph"/>
              <w:numPr>
                <w:ilvl w:val="0"/>
                <w:numId w:val="16"/>
              </w:numPr>
              <w:rPr>
                <w:rFonts w:cs="Times New Roman"/>
                <w:sz w:val="20"/>
                <w:szCs w:val="20"/>
                <w:lang w:val="en-AU"/>
              </w:rPr>
            </w:pPr>
            <w:r w:rsidRPr="00F71B40">
              <w:rPr>
                <w:rFonts w:cs="Times New Roman"/>
                <w:sz w:val="20"/>
                <w:szCs w:val="20"/>
                <w:lang w:val="en-AU"/>
              </w:rPr>
              <w:t>Training to be provided – on induction and in-service</w:t>
            </w:r>
          </w:p>
          <w:p w:rsidR="00B96283" w:rsidRPr="00F71B40" w:rsidRDefault="00B96283" w:rsidP="00B96283">
            <w:pPr>
              <w:rPr>
                <w:rFonts w:cs="Times New Roman"/>
                <w:sz w:val="20"/>
                <w:szCs w:val="20"/>
                <w:lang w:val="en-AU"/>
              </w:rPr>
            </w:pPr>
          </w:p>
          <w:p w:rsidR="00B96283" w:rsidRPr="00F71B40" w:rsidRDefault="00B96283" w:rsidP="00B96283">
            <w:pPr>
              <w:rPr>
                <w:rFonts w:cs="Times New Roman"/>
                <w:sz w:val="20"/>
                <w:szCs w:val="20"/>
                <w:lang w:val="en-AU"/>
              </w:rPr>
            </w:pPr>
            <w:r w:rsidRPr="00F71B40">
              <w:rPr>
                <w:rFonts w:cs="Times New Roman"/>
                <w:sz w:val="20"/>
                <w:szCs w:val="20"/>
                <w:lang w:val="en-AU"/>
              </w:rPr>
              <w:t xml:space="preserve">In other words, in their full form they are a complete description of how the </w:t>
            </w:r>
            <w:r w:rsidR="00866B58">
              <w:rPr>
                <w:rFonts w:cs="Times New Roman"/>
                <w:sz w:val="20"/>
                <w:szCs w:val="20"/>
                <w:lang w:val="en-AU"/>
              </w:rPr>
              <w:t>“</w:t>
            </w:r>
            <w:r w:rsidRPr="00F71B40">
              <w:rPr>
                <w:rFonts w:cs="Times New Roman"/>
                <w:sz w:val="20"/>
                <w:szCs w:val="20"/>
                <w:lang w:val="en-AU"/>
              </w:rPr>
              <w:t>Class</w:t>
            </w:r>
            <w:r w:rsidR="00866B58">
              <w:rPr>
                <w:rFonts w:cs="Times New Roman"/>
                <w:sz w:val="20"/>
                <w:szCs w:val="20"/>
                <w:lang w:val="en-AU"/>
              </w:rPr>
              <w:t>”</w:t>
            </w:r>
            <w:r w:rsidRPr="00F71B40">
              <w:rPr>
                <w:rFonts w:cs="Times New Roman"/>
                <w:sz w:val="20"/>
                <w:szCs w:val="20"/>
                <w:lang w:val="en-AU"/>
              </w:rPr>
              <w:t xml:space="preserve"> is to operate as a career.  </w:t>
            </w:r>
          </w:p>
          <w:p w:rsidR="00B96283" w:rsidRPr="00F71B40" w:rsidRDefault="00B96283" w:rsidP="00B96283">
            <w:pPr>
              <w:rPr>
                <w:rFonts w:cs="Times New Roman"/>
                <w:sz w:val="20"/>
                <w:szCs w:val="20"/>
                <w:lang w:val="en-AU"/>
              </w:rPr>
            </w:pPr>
          </w:p>
          <w:p w:rsidR="00B96283" w:rsidRPr="00F71B40" w:rsidRDefault="00B96283" w:rsidP="00B96283">
            <w:pPr>
              <w:rPr>
                <w:rFonts w:cs="Times New Roman"/>
                <w:sz w:val="20"/>
                <w:szCs w:val="20"/>
                <w:lang w:val="en-AU"/>
              </w:rPr>
            </w:pPr>
            <w:r w:rsidRPr="00F71B40">
              <w:rPr>
                <w:rFonts w:cs="Times New Roman"/>
                <w:sz w:val="20"/>
                <w:szCs w:val="20"/>
                <w:lang w:val="en-AU"/>
              </w:rPr>
              <w:t>When they were present, all professional groups had Schemes of Service, regardless whether staff stayed within one ministry or were posted across government, and all Schemes of Service had heads of cadre.  For example, accountants (Head of the Cadre was the Accountant General) were Ministry of Finance staff stationed in other ministries.  There was a similar arrangement for economists.  Cadre staff filled positions in the ministry to which they were posted under the establishment of that line ministry.  Rotation of staff was handled by the head of the cadre, in discussion with the administrative head of the ministry to which they were posted.  There were also cadres with Schemes of Service whose staff never l</w:t>
            </w:r>
            <w:r w:rsidR="00FC2AEF" w:rsidRPr="00F71B40">
              <w:rPr>
                <w:rFonts w:cs="Times New Roman"/>
                <w:sz w:val="20"/>
                <w:szCs w:val="20"/>
                <w:lang w:val="en-AU"/>
              </w:rPr>
              <w:t xml:space="preserve">eft the responsible ministry - </w:t>
            </w:r>
            <w:r w:rsidRPr="00F71B40">
              <w:rPr>
                <w:rFonts w:cs="Times New Roman"/>
                <w:sz w:val="20"/>
                <w:szCs w:val="20"/>
                <w:lang w:val="en-AU"/>
              </w:rPr>
              <w:t>such as vets, engineers etc.</w:t>
            </w:r>
            <w:r w:rsidR="00E256D6">
              <w:rPr>
                <w:rFonts w:cs="Times New Roman"/>
                <w:sz w:val="20"/>
                <w:szCs w:val="20"/>
                <w:lang w:val="en-AU"/>
              </w:rPr>
              <w:t xml:space="preserve">  </w:t>
            </w:r>
          </w:p>
          <w:p w:rsidR="00B96283" w:rsidRPr="00F71B40" w:rsidRDefault="00B96283" w:rsidP="00B96283">
            <w:pPr>
              <w:rPr>
                <w:rFonts w:cs="Times New Roman"/>
                <w:sz w:val="20"/>
                <w:szCs w:val="20"/>
                <w:lang w:val="en-AU"/>
              </w:rPr>
            </w:pPr>
          </w:p>
          <w:p w:rsidR="00B96283" w:rsidRPr="00F71B40" w:rsidRDefault="00B96283" w:rsidP="00FC2AEF">
            <w:pPr>
              <w:rPr>
                <w:rFonts w:cs="Times New Roman"/>
                <w:sz w:val="20"/>
                <w:szCs w:val="20"/>
                <w:lang w:val="en-AU"/>
              </w:rPr>
            </w:pPr>
            <w:r w:rsidRPr="00F71B40">
              <w:rPr>
                <w:rFonts w:cs="Times New Roman"/>
                <w:sz w:val="20"/>
                <w:szCs w:val="20"/>
                <w:lang w:val="en-AU"/>
              </w:rPr>
              <w:t>The presumption of a career system is that staff must be “developed” within the service.</w:t>
            </w:r>
            <w:r w:rsidR="00E256D6">
              <w:rPr>
                <w:rFonts w:cs="Times New Roman"/>
                <w:sz w:val="20"/>
                <w:szCs w:val="20"/>
                <w:lang w:val="en-AU"/>
              </w:rPr>
              <w:t xml:space="preserve">  </w:t>
            </w:r>
            <w:r w:rsidRPr="00F71B40">
              <w:rPr>
                <w:rFonts w:cs="Times New Roman"/>
                <w:sz w:val="20"/>
                <w:szCs w:val="20"/>
                <w:lang w:val="en-AU"/>
              </w:rPr>
              <w:t>Schemes of Service take this one stage further and say that each specialist profession must be developed within the system, although mid-career ent</w:t>
            </w:r>
            <w:r w:rsidR="00FC2AEF" w:rsidRPr="00F71B40">
              <w:rPr>
                <w:rFonts w:cs="Times New Roman"/>
                <w:sz w:val="20"/>
                <w:szCs w:val="20"/>
                <w:lang w:val="en-AU"/>
              </w:rPr>
              <w:t xml:space="preserve">ry can still be accommodated.  </w:t>
            </w:r>
          </w:p>
        </w:tc>
      </w:tr>
    </w:tbl>
    <w:p w:rsidR="00B96283" w:rsidRPr="00F71B40" w:rsidRDefault="00B96283" w:rsidP="00D62A32">
      <w:pPr>
        <w:rPr>
          <w:lang w:val="en-AU"/>
        </w:rPr>
      </w:pPr>
    </w:p>
    <w:p w:rsidR="00FD5DEB" w:rsidRPr="00F71B40" w:rsidRDefault="00FD5DEB" w:rsidP="00D62A32">
      <w:pPr>
        <w:rPr>
          <w:lang w:val="en-AU"/>
        </w:rPr>
      </w:pPr>
      <w:r w:rsidRPr="00F71B40">
        <w:rPr>
          <w:lang w:val="en-AU"/>
        </w:rPr>
        <w:t xml:space="preserve">Similarly, some concern was expressed that the diagnostic work concerning public sector pay undertaken by </w:t>
      </w:r>
      <w:r w:rsidR="00115AC9" w:rsidRPr="00F71B40">
        <w:rPr>
          <w:lang w:val="en-AU"/>
        </w:rPr>
        <w:fldChar w:fldCharType="begin"/>
      </w:r>
      <w:r w:rsidR="00115AC9" w:rsidRPr="00F71B40">
        <w:rPr>
          <w:lang w:val="en-AU"/>
        </w:rPr>
        <w:instrText xml:space="preserve"> ADDIN EN.CITE &lt;EndNote&gt;&lt;Cite&gt;&lt;Author&gt;Gannicott&lt;/Author&gt;&lt;Year&gt;2013&lt;/Year&gt;&lt;RecNum&gt;4288&lt;/RecNum&gt;&lt;DisplayText&gt;(Gannicott &amp;amp; Powell, 2013)&lt;/DisplayText&gt;&lt;record&gt;&lt;rec-number&gt;4288&lt;/rec-number&gt;&lt;foreign-keys&gt;&lt;key app="EN" db-id="5v9z5rrdszvwsneef06v9dapsd0apdtfapdx" timestamp="1408479768"&gt;4288&lt;/key&gt;&lt;/foreign-keys&gt;&lt;ref-type name="Report"&gt;27&lt;/ref-type&gt;&lt;contributors&gt;&lt;authors&gt;&lt;author&gt;K. Gannicott&lt;/author&gt;&lt;author&gt;Wanda Powell&lt;/author&gt;&lt;/authors&gt;&lt;/contributors&gt;&lt;titles&gt;&lt;title&gt;Public Sector Remuneration in Solomon Islands: Sumary Report&lt;/title&gt;&lt;/titles&gt;&lt;dates&gt;&lt;year&gt;2013&lt;/year&gt;&lt;/dates&gt;&lt;pub-location&gt;Canberra&lt;/pub-location&gt;&lt;publisher&gt;AusAID&lt;/publisher&gt;&lt;urls&gt;&lt;/urls&gt;&lt;/record&gt;&lt;/Cite&gt;&lt;/EndNote&gt;</w:instrText>
      </w:r>
      <w:r w:rsidR="00115AC9" w:rsidRPr="00F71B40">
        <w:rPr>
          <w:lang w:val="en-AU"/>
        </w:rPr>
        <w:fldChar w:fldCharType="separate"/>
      </w:r>
      <w:r w:rsidR="00115AC9" w:rsidRPr="00F71B40">
        <w:rPr>
          <w:lang w:val="en-AU"/>
        </w:rPr>
        <w:t>(</w:t>
      </w:r>
      <w:hyperlink w:anchor="_ENREF_62" w:tooltip="Gannicott, 2013 #4288" w:history="1">
        <w:r w:rsidR="00CC56DB" w:rsidRPr="00F71B40">
          <w:rPr>
            <w:lang w:val="en-AU"/>
          </w:rPr>
          <w:t>Gannicott &amp; Powell, 2013</w:t>
        </w:r>
      </w:hyperlink>
      <w:r w:rsidR="00115AC9" w:rsidRPr="00F71B40">
        <w:rPr>
          <w:lang w:val="en-AU"/>
        </w:rPr>
        <w:t>)</w:t>
      </w:r>
      <w:r w:rsidR="00115AC9" w:rsidRPr="00F71B40">
        <w:rPr>
          <w:lang w:val="en-AU"/>
        </w:rPr>
        <w:fldChar w:fldCharType="end"/>
      </w:r>
      <w:r w:rsidRPr="00F71B40">
        <w:rPr>
          <w:lang w:val="en-AU"/>
        </w:rPr>
        <w:t xml:space="preserve"> essentially proposes an unrealistic whole of government reform of civil service pay, with proposed changes to the General Orders and other regulations to reduce the numbers of Schemes of Service</w:t>
      </w:r>
      <w:r w:rsidR="00FC2AEF" w:rsidRPr="00F71B40">
        <w:rPr>
          <w:lang w:val="en-AU"/>
        </w:rPr>
        <w:t xml:space="preserve"> (</w:t>
      </w:r>
      <w:r w:rsidR="00FC2AEF" w:rsidRPr="00F71B40">
        <w:rPr>
          <w:lang w:val="en-AU"/>
        </w:rPr>
        <w:fldChar w:fldCharType="begin"/>
      </w:r>
      <w:r w:rsidR="00FC2AEF" w:rsidRPr="00F71B40">
        <w:rPr>
          <w:lang w:val="en-AU"/>
        </w:rPr>
        <w:instrText xml:space="preserve"> REF _Ref399341681 \h </w:instrText>
      </w:r>
      <w:r w:rsidR="00FC2AEF" w:rsidRPr="00F71B40">
        <w:rPr>
          <w:lang w:val="en-AU"/>
        </w:rPr>
      </w:r>
      <w:r w:rsidR="00FC2AEF" w:rsidRPr="00F71B40">
        <w:rPr>
          <w:lang w:val="en-AU"/>
        </w:rPr>
        <w:fldChar w:fldCharType="separate"/>
      </w:r>
      <w:r w:rsidR="00EF43BE" w:rsidRPr="00F71B40">
        <w:rPr>
          <w:lang w:val="en-AU"/>
        </w:rPr>
        <w:t xml:space="preserve">Box </w:t>
      </w:r>
      <w:r w:rsidR="00EF43BE">
        <w:rPr>
          <w:noProof/>
          <w:lang w:val="en-AU"/>
        </w:rPr>
        <w:t>4</w:t>
      </w:r>
      <w:r w:rsidR="00FC2AEF" w:rsidRPr="00F71B40">
        <w:rPr>
          <w:lang w:val="en-AU"/>
        </w:rPr>
        <w:fldChar w:fldCharType="end"/>
      </w:r>
      <w:r w:rsidR="00FC2AEF" w:rsidRPr="00F71B40">
        <w:rPr>
          <w:lang w:val="en-AU"/>
        </w:rPr>
        <w:t>)</w:t>
      </w:r>
      <w:r w:rsidRPr="00F71B40">
        <w:rPr>
          <w:lang w:val="en-AU"/>
        </w:rPr>
        <w:t>.  The possibility of asymmetric pay rises is a risky consideration – but might at least allow for some movement in the short term</w:t>
      </w:r>
      <w:r w:rsidR="00FC2AEF" w:rsidRPr="00F71B40">
        <w:rPr>
          <w:lang w:val="en-AU"/>
        </w:rPr>
        <w:t xml:space="preserve"> (</w:t>
      </w:r>
      <w:r w:rsidR="00FC2AEF" w:rsidRPr="00F71B40">
        <w:rPr>
          <w:lang w:val="en-AU"/>
        </w:rPr>
        <w:fldChar w:fldCharType="begin"/>
      </w:r>
      <w:r w:rsidR="00FC2AEF" w:rsidRPr="00F71B40">
        <w:rPr>
          <w:lang w:val="en-AU"/>
        </w:rPr>
        <w:instrText xml:space="preserve"> REF _Ref399341776 \h </w:instrText>
      </w:r>
      <w:r w:rsidR="00FC2AEF" w:rsidRPr="00F71B40">
        <w:rPr>
          <w:lang w:val="en-AU"/>
        </w:rPr>
      </w:r>
      <w:r w:rsidR="00FC2AEF" w:rsidRPr="00F71B40">
        <w:rPr>
          <w:lang w:val="en-AU"/>
        </w:rPr>
        <w:fldChar w:fldCharType="separate"/>
      </w:r>
      <w:r w:rsidR="00EF43BE" w:rsidRPr="00F71B40">
        <w:rPr>
          <w:lang w:val="en-AU"/>
        </w:rPr>
        <w:t xml:space="preserve">Box </w:t>
      </w:r>
      <w:r w:rsidR="00EF43BE">
        <w:rPr>
          <w:noProof/>
          <w:lang w:val="en-AU"/>
        </w:rPr>
        <w:t>5</w:t>
      </w:r>
      <w:r w:rsidR="00FC2AEF" w:rsidRPr="00F71B40">
        <w:rPr>
          <w:lang w:val="en-AU"/>
        </w:rPr>
        <w:fldChar w:fldCharType="end"/>
      </w:r>
      <w:r w:rsidR="00FC2AEF" w:rsidRPr="00F71B40">
        <w:rPr>
          <w:lang w:val="en-AU"/>
        </w:rPr>
        <w:t>).</w:t>
      </w:r>
    </w:p>
    <w:p w:rsidR="00FC2AEF" w:rsidRPr="00F71B40" w:rsidRDefault="00FC2AEF" w:rsidP="00D62A32">
      <w:pPr>
        <w:rPr>
          <w:lang w:val="en-AU"/>
        </w:rPr>
      </w:pPr>
    </w:p>
    <w:tbl>
      <w:tblPr>
        <w:tblStyle w:val="TableGrid"/>
        <w:tblW w:w="0" w:type="auto"/>
        <w:tblLook w:val="04A0" w:firstRow="1" w:lastRow="0" w:firstColumn="1" w:lastColumn="0" w:noHBand="0" w:noVBand="1"/>
      </w:tblPr>
      <w:tblGrid>
        <w:gridCol w:w="9576"/>
      </w:tblGrid>
      <w:tr w:rsidR="00FC2AEF" w:rsidRPr="00F71B40" w:rsidTr="00FC2AEF">
        <w:tc>
          <w:tcPr>
            <w:tcW w:w="9576" w:type="dxa"/>
          </w:tcPr>
          <w:p w:rsidR="00FC2AEF" w:rsidRPr="00F71B40" w:rsidRDefault="00FC2AEF" w:rsidP="00E80C1D">
            <w:pPr>
              <w:pStyle w:val="Caption"/>
              <w:keepNext/>
              <w:keepLines/>
              <w:rPr>
                <w:lang w:val="en-AU"/>
              </w:rPr>
            </w:pPr>
            <w:bookmarkStart w:id="50" w:name="_Ref399341776"/>
            <w:bookmarkStart w:id="51" w:name="_Toc401761833"/>
            <w:r w:rsidRPr="00F71B40">
              <w:rPr>
                <w:lang w:val="en-AU"/>
              </w:rPr>
              <w:lastRenderedPageBreak/>
              <w:t xml:space="preserve">Box </w:t>
            </w:r>
            <w:r w:rsidR="00361D8F" w:rsidRPr="00F71B40">
              <w:rPr>
                <w:lang w:val="en-AU"/>
              </w:rPr>
              <w:fldChar w:fldCharType="begin"/>
            </w:r>
            <w:r w:rsidR="00361D8F" w:rsidRPr="00F71B40">
              <w:rPr>
                <w:lang w:val="en-AU"/>
              </w:rPr>
              <w:instrText xml:space="preserve"> SEQ Box \* ARABIC </w:instrText>
            </w:r>
            <w:r w:rsidR="00361D8F" w:rsidRPr="00F71B40">
              <w:rPr>
                <w:lang w:val="en-AU"/>
              </w:rPr>
              <w:fldChar w:fldCharType="separate"/>
            </w:r>
            <w:r w:rsidR="00EF43BE">
              <w:rPr>
                <w:noProof/>
                <w:lang w:val="en-AU"/>
              </w:rPr>
              <w:t>5</w:t>
            </w:r>
            <w:r w:rsidR="00361D8F" w:rsidRPr="00F71B40">
              <w:rPr>
                <w:lang w:val="en-AU"/>
              </w:rPr>
              <w:fldChar w:fldCharType="end"/>
            </w:r>
            <w:bookmarkEnd w:id="50"/>
            <w:r w:rsidRPr="00F71B40">
              <w:rPr>
                <w:lang w:val="en-AU"/>
              </w:rPr>
              <w:t>: Asymmetric system reforms</w:t>
            </w:r>
            <w:bookmarkEnd w:id="51"/>
          </w:p>
          <w:p w:rsidR="00FC2AEF" w:rsidRPr="00F71B40" w:rsidRDefault="00FC2AEF" w:rsidP="00E80C1D">
            <w:pPr>
              <w:keepNext/>
              <w:keepLines/>
              <w:rPr>
                <w:rFonts w:cs="Times New Roman"/>
                <w:b/>
                <w:sz w:val="20"/>
                <w:szCs w:val="20"/>
                <w:lang w:val="en-AU"/>
              </w:rPr>
            </w:pPr>
          </w:p>
          <w:p w:rsidR="00FC2AEF" w:rsidRPr="00F71B40" w:rsidRDefault="00FC2AEF" w:rsidP="00E80C1D">
            <w:pPr>
              <w:keepNext/>
              <w:keepLines/>
              <w:rPr>
                <w:rFonts w:cs="Times New Roman"/>
                <w:sz w:val="20"/>
                <w:szCs w:val="20"/>
                <w:lang w:val="en-AU"/>
              </w:rPr>
            </w:pPr>
            <w:r w:rsidRPr="00F71B40">
              <w:rPr>
                <w:rFonts w:cs="Times New Roman"/>
                <w:sz w:val="20"/>
                <w:szCs w:val="20"/>
                <w:lang w:val="en-AU"/>
              </w:rPr>
              <w:t xml:space="preserve">There has been some debate about the degree to which public management systems really need to be improved “symmetrically” across the whole of government or whether, more pragmatically, improvements are more likely sector by sector, cadre by cadre, or entity by entity </w:t>
            </w:r>
            <w:r w:rsidR="00115AC9" w:rsidRPr="00F71B40">
              <w:rPr>
                <w:rFonts w:cs="Times New Roman"/>
                <w:sz w:val="20"/>
                <w:szCs w:val="20"/>
                <w:lang w:val="en-AU"/>
              </w:rPr>
              <w:fldChar w:fldCharType="begin"/>
            </w:r>
            <w:r w:rsidR="00115AC9" w:rsidRPr="00F71B40">
              <w:rPr>
                <w:rFonts w:cs="Times New Roman"/>
                <w:sz w:val="20"/>
                <w:szCs w:val="20"/>
                <w:lang w:val="en-AU"/>
              </w:rPr>
              <w:instrText xml:space="preserve"> ADDIN EN.CITE &lt;EndNote&gt;&lt;Cite&gt;&lt;Author&gt;Hakimi&lt;/Author&gt;&lt;Year&gt;2004&lt;/Year&gt;&lt;RecNum&gt;679&lt;/RecNum&gt;&lt;DisplayText&gt;(Hakimi, Manning, Prasad, &amp;amp; Prince, 2004; Nunberg &amp;amp; Taliercio, 2012)&lt;/DisplayText&gt;&lt;record&gt;&lt;rec-number&gt;679&lt;/rec-number&gt;&lt;foreign-keys&gt;&lt;key app="EN" db-id="5v9z5rrdszvwsneef06v9dapsd0apdtfapdx" timestamp="0"&gt;679&lt;/key&gt;&lt;/foreign-keys&gt;&lt;ref-type name="Book"&gt;6&lt;/ref-type&gt;&lt;contributors&gt;&lt;authors&gt;&lt;author&gt;Eklil Hakimi&lt;/author&gt;&lt;author&gt;Nick Manning&lt;/author&gt;&lt;author&gt;Satyendra Prasad&lt;/author&gt;&lt;author&gt;Keir Prince&lt;/author&gt;&lt;/authors&gt;&lt;/contributors&gt;&lt;titles&gt;&lt;title&gt;Asymmetric reforms: agency-level reforms in the Afghan civil service&lt;/title&gt;&lt;secondary-title&gt;South Asia Region: PREM working paper series&lt;/secondary-title&gt;&lt;/titles&gt;&lt;dates&gt;&lt;year&gt;2004&lt;/year&gt;&lt;/dates&gt;&lt;pub-location&gt;Washington DC&lt;/pub-location&gt;&lt;publisher&gt;World Bank&lt;/publisher&gt;&lt;urls&gt;&lt;/urls&gt;&lt;custom1&gt;yes&lt;/custom1&gt;&lt;/record&gt;&lt;/Cite&gt;&lt;Cite&gt;&lt;Author&gt;Nunberg&lt;/Author&gt;&lt;Year&gt;2012&lt;/Year&gt;&lt;RecNum&gt;3639&lt;/RecNum&gt;&lt;record&gt;&lt;rec-number&gt;3639&lt;/rec-number&gt;&lt;foreign-keys&gt;&lt;key app="EN" db-id="5v9z5rrdszvwsneef06v9dapsd0apdtfapdx" timestamp="0"&gt;3639&lt;/key&gt;&lt;/foreign-keys&gt;&lt;ref-type name="Journal Article"&gt;17&lt;/ref-type&gt;&lt;contributors&gt;&lt;authors&gt;&lt;author&gt;Barbara Nunberg&lt;/author&gt;&lt;author&gt;Robert Taliercio&lt;/author&gt;&lt;/authors&gt;&lt;/contributors&gt;&lt;titles&gt;&lt;title&gt;Sabotaging Civil Service Reform in Aid-Dependent Countries: Are Donors to Blame?&lt;/title&gt;&lt;secondary-title&gt;World Development&lt;/secondary-title&gt;&lt;/titles&gt;&lt;pages&gt;1970–1981&lt;/pages&gt;&lt;volume&gt;40&lt;/volume&gt;&lt;number&gt;10&lt;/number&gt;&lt;dates&gt;&lt;year&gt;2012&lt;/year&gt;&lt;/dates&gt;&lt;pub-location&gt;Washington DC&lt;/pub-location&gt;&lt;urls&gt;&lt;/urls&gt;&lt;/record&gt;&lt;/Cite&gt;&lt;/EndNote&gt;</w:instrText>
            </w:r>
            <w:r w:rsidR="00115AC9" w:rsidRPr="00F71B40">
              <w:rPr>
                <w:rFonts w:cs="Times New Roman"/>
                <w:sz w:val="20"/>
                <w:szCs w:val="20"/>
                <w:lang w:val="en-AU"/>
              </w:rPr>
              <w:fldChar w:fldCharType="separate"/>
            </w:r>
            <w:r w:rsidR="00115AC9" w:rsidRPr="00F71B40">
              <w:rPr>
                <w:rFonts w:cs="Times New Roman"/>
                <w:sz w:val="20"/>
                <w:szCs w:val="20"/>
                <w:lang w:val="en-AU"/>
              </w:rPr>
              <w:t>(</w:t>
            </w:r>
            <w:hyperlink w:anchor="_ENREF_65" w:tooltip="Hakimi, 2004 #679" w:history="1">
              <w:r w:rsidR="00CC56DB" w:rsidRPr="00F71B40">
                <w:rPr>
                  <w:rFonts w:cs="Times New Roman"/>
                  <w:sz w:val="20"/>
                  <w:szCs w:val="20"/>
                  <w:lang w:val="en-AU"/>
                </w:rPr>
                <w:t>Hakimi, Manning, Prasad, &amp; Prince, 2004</w:t>
              </w:r>
            </w:hyperlink>
            <w:r w:rsidR="00115AC9" w:rsidRPr="00F71B40">
              <w:rPr>
                <w:rFonts w:cs="Times New Roman"/>
                <w:sz w:val="20"/>
                <w:szCs w:val="20"/>
                <w:lang w:val="en-AU"/>
              </w:rPr>
              <w:t xml:space="preserve">; </w:t>
            </w:r>
            <w:hyperlink w:anchor="_ENREF_111" w:tooltip="Nunberg, 2012 #3639" w:history="1">
              <w:r w:rsidR="00CC56DB" w:rsidRPr="00F71B40">
                <w:rPr>
                  <w:rFonts w:cs="Times New Roman"/>
                  <w:sz w:val="20"/>
                  <w:szCs w:val="20"/>
                  <w:lang w:val="en-AU"/>
                </w:rPr>
                <w:t>Nunberg &amp; Taliercio, 2012</w:t>
              </w:r>
            </w:hyperlink>
            <w:r w:rsidR="00115AC9" w:rsidRPr="00F71B40">
              <w:rPr>
                <w:rFonts w:cs="Times New Roman"/>
                <w:sz w:val="20"/>
                <w:szCs w:val="20"/>
                <w:lang w:val="en-AU"/>
              </w:rPr>
              <w:t>)</w:t>
            </w:r>
            <w:r w:rsidR="00115AC9" w:rsidRPr="00F71B40">
              <w:rPr>
                <w:rFonts w:cs="Times New Roman"/>
                <w:sz w:val="20"/>
                <w:szCs w:val="20"/>
                <w:lang w:val="en-AU"/>
              </w:rPr>
              <w:fldChar w:fldCharType="end"/>
            </w:r>
            <w:r w:rsidRPr="00F71B40">
              <w:rPr>
                <w:rFonts w:cs="Times New Roman"/>
                <w:sz w:val="20"/>
                <w:szCs w:val="20"/>
                <w:lang w:val="en-AU"/>
              </w:rPr>
              <w:t>.</w:t>
            </w:r>
            <w:r w:rsidR="00E256D6">
              <w:rPr>
                <w:rFonts w:cs="Times New Roman"/>
                <w:sz w:val="20"/>
                <w:szCs w:val="20"/>
                <w:lang w:val="en-AU"/>
              </w:rPr>
              <w:t xml:space="preserve">  </w:t>
            </w:r>
          </w:p>
          <w:p w:rsidR="00FC2AEF" w:rsidRPr="00F71B40" w:rsidRDefault="00FC2AEF" w:rsidP="00E80C1D">
            <w:pPr>
              <w:keepNext/>
              <w:keepLines/>
              <w:rPr>
                <w:rFonts w:cs="Times New Roman"/>
                <w:sz w:val="20"/>
                <w:szCs w:val="20"/>
                <w:lang w:val="en-AU"/>
              </w:rPr>
            </w:pPr>
          </w:p>
          <w:p w:rsidR="00FC2AEF" w:rsidRPr="00F71B40" w:rsidRDefault="00FC2AEF" w:rsidP="00E80C1D">
            <w:pPr>
              <w:keepNext/>
              <w:keepLines/>
              <w:rPr>
                <w:rFonts w:cs="Times New Roman"/>
                <w:sz w:val="20"/>
                <w:szCs w:val="20"/>
                <w:lang w:val="en-AU"/>
              </w:rPr>
            </w:pPr>
            <w:r w:rsidRPr="00F71B40">
              <w:rPr>
                <w:rFonts w:cs="Times New Roman"/>
                <w:sz w:val="20"/>
                <w:szCs w:val="20"/>
                <w:lang w:val="en-AU"/>
              </w:rPr>
              <w:t xml:space="preserve">Differentiated pay regimes have been the most common source of asymmetry. These are nearly always seen as a temporary measure prior to a more comprehensive pay restructuring across government.  Schemes, such as those identified by </w:t>
            </w:r>
            <w:r w:rsidR="00115AC9" w:rsidRPr="00F71B40">
              <w:rPr>
                <w:rFonts w:cs="Times New Roman"/>
                <w:sz w:val="20"/>
                <w:szCs w:val="20"/>
                <w:lang w:val="en-AU"/>
              </w:rPr>
              <w:fldChar w:fldCharType="begin"/>
            </w:r>
            <w:r w:rsidR="00115AC9" w:rsidRPr="00F71B40">
              <w:rPr>
                <w:rFonts w:cs="Times New Roman"/>
                <w:sz w:val="20"/>
                <w:szCs w:val="20"/>
                <w:lang w:val="en-AU"/>
              </w:rPr>
              <w:instrText xml:space="preserve"> ADDIN EN.CITE &lt;EndNote&gt;&lt;Cite&gt;&lt;Author&gt;Stevens&lt;/Author&gt;&lt;Year&gt;2004&lt;/Year&gt;&lt;RecNum&gt;3613&lt;/RecNum&gt;&lt;DisplayText&gt;(Stevens &amp;amp; Tegemann, 2004)&lt;/DisplayText&gt;&lt;record&gt;&lt;rec-number&gt;3613&lt;/rec-number&gt;&lt;foreign-keys&gt;&lt;key app="EN" db-id="5v9z5rrdszvwsneef06v9dapsd0apdtfapdx" timestamp="0"&gt;3613&lt;/key&gt;&lt;/foreign-keys&gt;&lt;ref-type name="Book Section"&gt;5&lt;/ref-type&gt;&lt;contributors&gt;&lt;authors&gt;&lt;author&gt;Mike Stevens&lt;/author&gt;&lt;author&gt;Stefanie Tegemann&lt;/author&gt;&lt;/authors&gt;&lt;secondary-authors&gt;&lt;author&gt;Sahr Kpundeh&lt;/author&gt;&lt;author&gt;Brian Levy&lt;/author&gt;&lt;/secondary-authors&gt;&lt;/contributors&gt;&lt;titles&gt;&lt;title&gt;Comparative Experience with Public Service Reform in Ghana, Tanzania and Zambia&lt;/title&gt;&lt;secondary-title&gt;Building State Capacity in Africa&lt;/secondary-title&gt;&lt;/titles&gt;&lt;pages&gt;43-86&lt;/pages&gt;&lt;dates&gt;&lt;year&gt;2004&lt;/year&gt;&lt;/dates&gt;&lt;pub-location&gt;Washington DC&lt;/pub-location&gt;&lt;publisher&gt;World Bank&lt;/publisher&gt;&lt;urls&gt;&lt;/urls&gt;&lt;/record&gt;&lt;/Cite&gt;&lt;/EndNote&gt;</w:instrText>
            </w:r>
            <w:r w:rsidR="00115AC9" w:rsidRPr="00F71B40">
              <w:rPr>
                <w:rFonts w:cs="Times New Roman"/>
                <w:sz w:val="20"/>
                <w:szCs w:val="20"/>
                <w:lang w:val="en-AU"/>
              </w:rPr>
              <w:fldChar w:fldCharType="separate"/>
            </w:r>
            <w:r w:rsidR="00115AC9" w:rsidRPr="00F71B40">
              <w:rPr>
                <w:rFonts w:cs="Times New Roman"/>
                <w:sz w:val="20"/>
                <w:szCs w:val="20"/>
                <w:lang w:val="en-AU"/>
              </w:rPr>
              <w:t>(</w:t>
            </w:r>
            <w:hyperlink w:anchor="_ENREF_138" w:tooltip="Stevens, 2004 #3613" w:history="1">
              <w:r w:rsidR="00CC56DB" w:rsidRPr="00F71B40">
                <w:rPr>
                  <w:rFonts w:cs="Times New Roman"/>
                  <w:sz w:val="20"/>
                  <w:szCs w:val="20"/>
                  <w:lang w:val="en-AU"/>
                </w:rPr>
                <w:t>Stevens &amp; Tegemann, 2004</w:t>
              </w:r>
            </w:hyperlink>
            <w:r w:rsidR="00115AC9" w:rsidRPr="00F71B40">
              <w:rPr>
                <w:rFonts w:cs="Times New Roman"/>
                <w:sz w:val="20"/>
                <w:szCs w:val="20"/>
                <w:lang w:val="en-AU"/>
              </w:rPr>
              <w:t>)</w:t>
            </w:r>
            <w:r w:rsidR="00115AC9" w:rsidRPr="00F71B40">
              <w:rPr>
                <w:rFonts w:cs="Times New Roman"/>
                <w:sz w:val="20"/>
                <w:szCs w:val="20"/>
                <w:lang w:val="en-AU"/>
              </w:rPr>
              <w:fldChar w:fldCharType="end"/>
            </w:r>
            <w:r w:rsidRPr="00F71B40">
              <w:rPr>
                <w:rFonts w:cs="Times New Roman"/>
                <w:sz w:val="20"/>
                <w:szCs w:val="20"/>
                <w:lang w:val="en-AU"/>
              </w:rPr>
              <w:t xml:space="preserve"> in Tanzania and (at that time) under consideration for Ghana, Zambia and Mozambique  </w:t>
            </w:r>
            <w:r w:rsidR="00115AC9" w:rsidRPr="00F71B40">
              <w:rPr>
                <w:rFonts w:cs="Times New Roman"/>
                <w:sz w:val="20"/>
                <w:szCs w:val="20"/>
                <w:lang w:val="en-AU"/>
              </w:rPr>
              <w:fldChar w:fldCharType="begin"/>
            </w:r>
            <w:r w:rsidR="00115AC9" w:rsidRPr="00F71B40">
              <w:rPr>
                <w:rFonts w:cs="Times New Roman"/>
                <w:sz w:val="20"/>
                <w:szCs w:val="20"/>
                <w:lang w:val="en-AU"/>
              </w:rPr>
              <w:instrText xml:space="preserve"> ADDIN EN.CITE &lt;EndNote&gt;&lt;Cite&gt;&lt;Author&gt;Valentine&lt;/Author&gt;&lt;Year&gt;2002&lt;/Year&gt;&lt;RecNum&gt;675&lt;/RecNum&gt;&lt;DisplayText&gt;(Valentine, 2002)&lt;/DisplayText&gt;&lt;record&gt;&lt;rec-number&gt;675&lt;/rec-number&gt;&lt;foreign-keys&gt;&lt;key app="EN" db-id="5v9z5rrdszvwsneef06v9dapsd0apdtfapdx" timestamp="0"&gt;675&lt;/key&gt;&lt;/foreign-keys&gt;&lt;ref-type name="Report"&gt;27&lt;/ref-type&gt;&lt;contributors&gt;&lt;authors&gt;&lt;author&gt;Theodore R. Valentine&lt;/author&gt;&lt;/authors&gt;&lt;/contributors&gt;&lt;titles&gt;&lt;title&gt;A Medium-Term Strategy For Enhancing Pay and Conditions of Service in the Zambian Public Service (Final Report)&lt;/title&gt;&lt;/titles&gt;&lt;dates&gt;&lt;year&gt;2002&lt;/year&gt;&lt;pub-dates&gt;&lt;date&gt;May 2002&lt;/date&gt;&lt;/pub-dates&gt;&lt;/dates&gt;&lt;pub-location&gt;Lusaka, Zambia&lt;/pub-location&gt;&lt;publisher&gt;Management Development Division, Cabinet Office&lt;/publisher&gt;&lt;urls&gt;&lt;/urls&gt;&lt;/record&gt;&lt;/Cite&gt;&lt;/EndNote&gt;</w:instrText>
            </w:r>
            <w:r w:rsidR="00115AC9" w:rsidRPr="00F71B40">
              <w:rPr>
                <w:rFonts w:cs="Times New Roman"/>
                <w:sz w:val="20"/>
                <w:szCs w:val="20"/>
                <w:lang w:val="en-AU"/>
              </w:rPr>
              <w:fldChar w:fldCharType="separate"/>
            </w:r>
            <w:r w:rsidR="00115AC9" w:rsidRPr="00F71B40">
              <w:rPr>
                <w:rFonts w:cs="Times New Roman"/>
                <w:sz w:val="20"/>
                <w:szCs w:val="20"/>
                <w:lang w:val="en-AU"/>
              </w:rPr>
              <w:t>(</w:t>
            </w:r>
            <w:hyperlink w:anchor="_ENREF_142" w:tooltip="Valentine, 2002 #675" w:history="1">
              <w:r w:rsidR="00CC56DB" w:rsidRPr="00F71B40">
                <w:rPr>
                  <w:rFonts w:cs="Times New Roman"/>
                  <w:sz w:val="20"/>
                  <w:szCs w:val="20"/>
                  <w:lang w:val="en-AU"/>
                </w:rPr>
                <w:t>Valentine, 2002</w:t>
              </w:r>
            </w:hyperlink>
            <w:r w:rsidR="00115AC9" w:rsidRPr="00F71B40">
              <w:rPr>
                <w:rFonts w:cs="Times New Roman"/>
                <w:sz w:val="20"/>
                <w:szCs w:val="20"/>
                <w:lang w:val="en-AU"/>
              </w:rPr>
              <w:t>)</w:t>
            </w:r>
            <w:r w:rsidR="00115AC9" w:rsidRPr="00F71B40">
              <w:rPr>
                <w:rFonts w:cs="Times New Roman"/>
                <w:sz w:val="20"/>
                <w:szCs w:val="20"/>
                <w:lang w:val="en-AU"/>
              </w:rPr>
              <w:fldChar w:fldCharType="end"/>
            </w:r>
            <w:r w:rsidRPr="00F71B40">
              <w:rPr>
                <w:rFonts w:cs="Times New Roman"/>
                <w:sz w:val="20"/>
                <w:szCs w:val="20"/>
                <w:lang w:val="en-AU"/>
              </w:rPr>
              <w:t xml:space="preserve"> were intended to differentiate between agencies or groups of staff to enhance retention of scarce skills or to reward for restructuring. The Tanzania Selected Accelerated Salary Enhancement Scheme (SASE) focused pay increases on selected staff within selected agencies.  The SASE scheme was structured around groups of posts that were regarded as likely to have the greatest impact on service delivery, on the reform effort and on the strategic outputs of government - within agencies that have particularly leading roles in change management, service delivery or economic growth and which have well-advanced strategic plans ready for implementation. The Afghanistan Priority Reform and Restructuring (PRR) program launched in 2003 placed entire agencies which had been restructured onto a higher pay scale as an incentive for restructuring.  It was been reported anecdotally as a success, but comments have been made to the effect that many of the later inclusions in the scheme were politically motivated </w:t>
            </w:r>
            <w:r w:rsidR="00115AC9" w:rsidRPr="00F71B40">
              <w:rPr>
                <w:rFonts w:cs="Times New Roman"/>
                <w:sz w:val="20"/>
                <w:szCs w:val="20"/>
                <w:lang w:val="en-AU"/>
              </w:rPr>
              <w:fldChar w:fldCharType="begin"/>
            </w:r>
            <w:r w:rsidR="00115AC9" w:rsidRPr="00F71B40">
              <w:rPr>
                <w:rFonts w:cs="Times New Roman"/>
                <w:sz w:val="20"/>
                <w:szCs w:val="20"/>
                <w:lang w:val="en-AU"/>
              </w:rPr>
              <w:instrText xml:space="preserve"> ADDIN EN.CITE &lt;EndNote&gt;&lt;Cite&gt;&lt;Author&gt;Hakimi&lt;/Author&gt;&lt;Year&gt;2004&lt;/Year&gt;&lt;RecNum&gt;679&lt;/RecNum&gt;&lt;DisplayText&gt;(Hakimi et al., 2004)&lt;/DisplayText&gt;&lt;record&gt;&lt;rec-number&gt;679&lt;/rec-number&gt;&lt;foreign-keys&gt;&lt;key app="EN" db-id="5v9z5rrdszvwsneef06v9dapsd0apdtfapdx" timestamp="0"&gt;679&lt;/key&gt;&lt;/foreign-keys&gt;&lt;ref-type name="Book"&gt;6&lt;/ref-type&gt;&lt;contributors&gt;&lt;authors&gt;&lt;author&gt;Eklil Hakimi&lt;/author&gt;&lt;author&gt;Nick Manning&lt;/author&gt;&lt;author&gt;Satyendra Prasad&lt;/author&gt;&lt;author&gt;Keir Prince&lt;/author&gt;&lt;/authors&gt;&lt;/contributors&gt;&lt;titles&gt;&lt;title&gt;Asymmetric reforms: agency-level reforms in the Afghan civil service&lt;/title&gt;&lt;secondary-title&gt;South Asia Region: PREM working paper series&lt;/secondary-title&gt;&lt;/titles&gt;&lt;dates&gt;&lt;year&gt;2004&lt;/year&gt;&lt;/dates&gt;&lt;pub-location&gt;Washington DC&lt;/pub-location&gt;&lt;publisher&gt;World Bank&lt;/publisher&gt;&lt;urls&gt;&lt;/urls&gt;&lt;custom1&gt;yes&lt;/custom1&gt;&lt;/record&gt;&lt;/Cite&gt;&lt;/EndNote&gt;</w:instrText>
            </w:r>
            <w:r w:rsidR="00115AC9" w:rsidRPr="00F71B40">
              <w:rPr>
                <w:rFonts w:cs="Times New Roman"/>
                <w:sz w:val="20"/>
                <w:szCs w:val="20"/>
                <w:lang w:val="en-AU"/>
              </w:rPr>
              <w:fldChar w:fldCharType="separate"/>
            </w:r>
            <w:r w:rsidR="00115AC9" w:rsidRPr="00F71B40">
              <w:rPr>
                <w:rFonts w:cs="Times New Roman"/>
                <w:sz w:val="20"/>
                <w:szCs w:val="20"/>
                <w:lang w:val="en-AU"/>
              </w:rPr>
              <w:t>(</w:t>
            </w:r>
            <w:hyperlink w:anchor="_ENREF_65" w:tooltip="Hakimi, 2004 #679" w:history="1">
              <w:r w:rsidR="00CC56DB" w:rsidRPr="00F71B40">
                <w:rPr>
                  <w:rFonts w:cs="Times New Roman"/>
                  <w:sz w:val="20"/>
                  <w:szCs w:val="20"/>
                  <w:lang w:val="en-AU"/>
                </w:rPr>
                <w:t>Hakimi et al., 2004</w:t>
              </w:r>
            </w:hyperlink>
            <w:r w:rsidR="00115AC9" w:rsidRPr="00F71B40">
              <w:rPr>
                <w:rFonts w:cs="Times New Roman"/>
                <w:sz w:val="20"/>
                <w:szCs w:val="20"/>
                <w:lang w:val="en-AU"/>
              </w:rPr>
              <w:t>)</w:t>
            </w:r>
            <w:r w:rsidR="00115AC9" w:rsidRPr="00F71B40">
              <w:rPr>
                <w:rFonts w:cs="Times New Roman"/>
                <w:sz w:val="20"/>
                <w:szCs w:val="20"/>
                <w:lang w:val="en-AU"/>
              </w:rPr>
              <w:fldChar w:fldCharType="end"/>
            </w:r>
            <w:r w:rsidRPr="00F71B40">
              <w:rPr>
                <w:rFonts w:cs="Times New Roman"/>
                <w:sz w:val="20"/>
                <w:szCs w:val="20"/>
                <w:lang w:val="en-AU"/>
              </w:rPr>
              <w:t xml:space="preserve">.  If so, any impact is likely diminishing over time.  The difficulties of managing differentiation within a highly informal context are noted (but not demonstrated) in </w:t>
            </w:r>
            <w:r w:rsidR="00115AC9" w:rsidRPr="00F71B40">
              <w:rPr>
                <w:rFonts w:cs="Times New Roman"/>
                <w:sz w:val="20"/>
                <w:szCs w:val="20"/>
                <w:lang w:val="en-AU"/>
              </w:rPr>
              <w:fldChar w:fldCharType="begin"/>
            </w:r>
            <w:r w:rsidR="00115AC9" w:rsidRPr="00F71B40">
              <w:rPr>
                <w:rFonts w:cs="Times New Roman"/>
                <w:sz w:val="20"/>
                <w:szCs w:val="20"/>
                <w:lang w:val="en-AU"/>
              </w:rPr>
              <w:instrText xml:space="preserve"> ADDIN EN.CITE &lt;EndNote&gt;&lt;Cite&gt;&lt;Author&gt;Hakimi&lt;/Author&gt;&lt;Year&gt;2004&lt;/Year&gt;&lt;RecNum&gt;679&lt;/RecNum&gt;&lt;DisplayText&gt;(Hakimi et al., 2004)&lt;/DisplayText&gt;&lt;record&gt;&lt;rec-number&gt;679&lt;/rec-number&gt;&lt;foreign-keys&gt;&lt;key app="EN" db-id="5v9z5rrdszvwsneef06v9dapsd0apdtfapdx" timestamp="0"&gt;679&lt;/key&gt;&lt;/foreign-keys&gt;&lt;ref-type name="Book"&gt;6&lt;/ref-type&gt;&lt;contributors&gt;&lt;authors&gt;&lt;author&gt;Eklil Hakimi&lt;/author&gt;&lt;author&gt;Nick Manning&lt;/author&gt;&lt;author&gt;Satyendra Prasad&lt;/author&gt;&lt;author&gt;Keir Prince&lt;/author&gt;&lt;/authors&gt;&lt;/contributors&gt;&lt;titles&gt;&lt;title&gt;Asymmetric reforms: agency-level reforms in the Afghan civil service&lt;/title&gt;&lt;secondary-title&gt;South Asia Region: PREM working paper series&lt;/secondary-title&gt;&lt;/titles&gt;&lt;dates&gt;&lt;year&gt;2004&lt;/year&gt;&lt;/dates&gt;&lt;pub-location&gt;Washington DC&lt;/pub-location&gt;&lt;publisher&gt;World Bank&lt;/publisher&gt;&lt;urls&gt;&lt;/urls&gt;&lt;custom1&gt;yes&lt;/custom1&gt;&lt;/record&gt;&lt;/Cite&gt;&lt;/EndNote&gt;</w:instrText>
            </w:r>
            <w:r w:rsidR="00115AC9" w:rsidRPr="00F71B40">
              <w:rPr>
                <w:rFonts w:cs="Times New Roman"/>
                <w:sz w:val="20"/>
                <w:szCs w:val="20"/>
                <w:lang w:val="en-AU"/>
              </w:rPr>
              <w:fldChar w:fldCharType="separate"/>
            </w:r>
            <w:r w:rsidR="00115AC9" w:rsidRPr="00F71B40">
              <w:rPr>
                <w:rFonts w:cs="Times New Roman"/>
                <w:sz w:val="20"/>
                <w:szCs w:val="20"/>
                <w:lang w:val="en-AU"/>
              </w:rPr>
              <w:t>(</w:t>
            </w:r>
            <w:hyperlink w:anchor="_ENREF_65" w:tooltip="Hakimi, 2004 #679" w:history="1">
              <w:r w:rsidR="00CC56DB" w:rsidRPr="00F71B40">
                <w:rPr>
                  <w:rFonts w:cs="Times New Roman"/>
                  <w:sz w:val="20"/>
                  <w:szCs w:val="20"/>
                  <w:lang w:val="en-AU"/>
                </w:rPr>
                <w:t>Hakimi et al., 2004</w:t>
              </w:r>
            </w:hyperlink>
            <w:r w:rsidR="00115AC9" w:rsidRPr="00F71B40">
              <w:rPr>
                <w:rFonts w:cs="Times New Roman"/>
                <w:sz w:val="20"/>
                <w:szCs w:val="20"/>
                <w:lang w:val="en-AU"/>
              </w:rPr>
              <w:t>)</w:t>
            </w:r>
            <w:r w:rsidR="00115AC9" w:rsidRPr="00F71B40">
              <w:rPr>
                <w:rFonts w:cs="Times New Roman"/>
                <w:sz w:val="20"/>
                <w:szCs w:val="20"/>
                <w:lang w:val="en-AU"/>
              </w:rPr>
              <w:fldChar w:fldCharType="end"/>
            </w:r>
            <w:r w:rsidRPr="00F71B40">
              <w:rPr>
                <w:rFonts w:cs="Times New Roman"/>
                <w:sz w:val="20"/>
                <w:szCs w:val="20"/>
                <w:lang w:val="en-AU"/>
              </w:rPr>
              <w:t xml:space="preserve">.  In Malawi, the Emergency Human Resources Program (EHRP) included a significant salary increase for health professionals </w:t>
            </w:r>
            <w:r w:rsidR="00115AC9" w:rsidRPr="00F71B40">
              <w:rPr>
                <w:rFonts w:cs="Times New Roman"/>
                <w:sz w:val="20"/>
                <w:szCs w:val="20"/>
                <w:lang w:val="en-AU"/>
              </w:rPr>
              <w:fldChar w:fldCharType="begin"/>
            </w:r>
            <w:r w:rsidR="00115AC9" w:rsidRPr="00F71B40">
              <w:rPr>
                <w:rFonts w:cs="Times New Roman"/>
                <w:sz w:val="20"/>
                <w:szCs w:val="20"/>
                <w:lang w:val="en-AU"/>
              </w:rPr>
              <w:instrText xml:space="preserve"> ADDIN EN.CITE &lt;EndNote&gt;&lt;Cite&gt;&lt;Author&gt;Mangham&lt;/Author&gt;&lt;Year&gt;2007&lt;/Year&gt;&lt;RecNum&gt;3624&lt;/RecNum&gt;&lt;DisplayText&gt;(Mangham, 2007; Palmer, 2006)&lt;/DisplayText&gt;&lt;record&gt;&lt;rec-number&gt;3624&lt;/rec-number&gt;&lt;foreign-keys&gt;&lt;key app="EN" db-id="5v9z5rrdszvwsneef06v9dapsd0apdtfapdx" timestamp="0"&gt;3624&lt;/key&gt;&lt;/foreign-keys&gt;&lt;ref-type name="Report"&gt;27&lt;/ref-type&gt;&lt;contributors&gt;&lt;authors&gt;&lt;author&gt;Lindsay Mangham&lt;/author&gt;&lt;/authors&gt;&lt;/contributors&gt;&lt;titles&gt;&lt;title&gt;Addressing the Human Resource Crisis in Malawi’s Health Sector: Employment preferences of public sector registered nurses (ESAU Working Paper 18)&lt;/title&gt;&lt;/titles&gt;&lt;dates&gt;&lt;year&gt;2007&lt;/year&gt;&lt;/dates&gt;&lt;pub-location&gt;London&lt;/pub-location&gt;&lt;publisher&gt;Overseas Development Institute&lt;/publisher&gt;&lt;urls&gt;&lt;/urls&gt;&lt;/record&gt;&lt;/Cite&gt;&lt;Cite&gt;&lt;Author&gt;Palmer&lt;/Author&gt;&lt;Year&gt;2006&lt;/Year&gt;&lt;RecNum&gt;3625&lt;/RecNum&gt;&lt;record&gt;&lt;rec-number&gt;3625&lt;/rec-number&gt;&lt;foreign-keys&gt;&lt;key app="EN" db-id="5v9z5rrdszvwsneef06v9dapsd0apdtfapdx" timestamp="0"&gt;3625&lt;/key&gt;&lt;/foreign-keys&gt;&lt;ref-type name="Journal Article"&gt;17&lt;/ref-type&gt;&lt;contributors&gt;&lt;authors&gt;&lt;author&gt;Palmer, D.&lt;/author&gt;&lt;/authors&gt;&lt;/contributors&gt;&lt;titles&gt;&lt;title&gt;Tackling Malawi&amp;apos;s human resources crisis&lt;/title&gt;&lt;secondary-title&gt;Reproductive Health Matters&lt;/secondary-title&gt;&lt;/titles&gt;&lt;pages&gt;27-39&lt;/pages&gt;&lt;volume&gt;14&lt;/volume&gt;&lt;number&gt;27&lt;/number&gt;&lt;dates&gt;&lt;year&gt;2006&lt;/year&gt;&lt;/dates&gt;&lt;urls&gt;&lt;/urls&gt;&lt;/record&gt;&lt;/Cite&gt;&lt;/EndNote&gt;</w:instrText>
            </w:r>
            <w:r w:rsidR="00115AC9" w:rsidRPr="00F71B40">
              <w:rPr>
                <w:rFonts w:cs="Times New Roman"/>
                <w:sz w:val="20"/>
                <w:szCs w:val="20"/>
                <w:lang w:val="en-AU"/>
              </w:rPr>
              <w:fldChar w:fldCharType="separate"/>
            </w:r>
            <w:r w:rsidR="00115AC9" w:rsidRPr="00F71B40">
              <w:rPr>
                <w:rFonts w:cs="Times New Roman"/>
                <w:sz w:val="20"/>
                <w:szCs w:val="20"/>
                <w:lang w:val="en-AU"/>
              </w:rPr>
              <w:t>(</w:t>
            </w:r>
            <w:hyperlink w:anchor="_ENREF_97" w:tooltip="Mangham, 2007 #3624" w:history="1">
              <w:r w:rsidR="00CC56DB" w:rsidRPr="00F71B40">
                <w:rPr>
                  <w:rFonts w:cs="Times New Roman"/>
                  <w:sz w:val="20"/>
                  <w:szCs w:val="20"/>
                  <w:lang w:val="en-AU"/>
                </w:rPr>
                <w:t>Mangham, 2007</w:t>
              </w:r>
            </w:hyperlink>
            <w:r w:rsidR="00115AC9" w:rsidRPr="00F71B40">
              <w:rPr>
                <w:rFonts w:cs="Times New Roman"/>
                <w:sz w:val="20"/>
                <w:szCs w:val="20"/>
                <w:lang w:val="en-AU"/>
              </w:rPr>
              <w:t xml:space="preserve">; </w:t>
            </w:r>
            <w:hyperlink w:anchor="_ENREF_118" w:tooltip="Palmer, 2006 #3625" w:history="1">
              <w:r w:rsidR="00CC56DB" w:rsidRPr="00F71B40">
                <w:rPr>
                  <w:rFonts w:cs="Times New Roman"/>
                  <w:sz w:val="20"/>
                  <w:szCs w:val="20"/>
                  <w:lang w:val="en-AU"/>
                </w:rPr>
                <w:t>Palmer, 2006</w:t>
              </w:r>
            </w:hyperlink>
            <w:r w:rsidR="00115AC9" w:rsidRPr="00F71B40">
              <w:rPr>
                <w:rFonts w:cs="Times New Roman"/>
                <w:sz w:val="20"/>
                <w:szCs w:val="20"/>
                <w:lang w:val="en-AU"/>
              </w:rPr>
              <w:t>)</w:t>
            </w:r>
            <w:r w:rsidR="00115AC9" w:rsidRPr="00F71B40">
              <w:rPr>
                <w:rFonts w:cs="Times New Roman"/>
                <w:sz w:val="20"/>
                <w:szCs w:val="20"/>
                <w:lang w:val="en-AU"/>
              </w:rPr>
              <w:fldChar w:fldCharType="end"/>
            </w:r>
            <w:r w:rsidRPr="00F71B40">
              <w:rPr>
                <w:rFonts w:cs="Times New Roman"/>
                <w:sz w:val="20"/>
                <w:szCs w:val="20"/>
                <w:lang w:val="en-AU"/>
              </w:rPr>
              <w:t xml:space="preserve">.  </w:t>
            </w:r>
          </w:p>
          <w:p w:rsidR="00FC2AEF" w:rsidRPr="00F71B40" w:rsidRDefault="00FC2AEF" w:rsidP="00E80C1D">
            <w:pPr>
              <w:keepNext/>
              <w:keepLines/>
              <w:rPr>
                <w:rFonts w:cs="Times New Roman"/>
                <w:sz w:val="20"/>
                <w:szCs w:val="20"/>
                <w:lang w:val="en-AU"/>
              </w:rPr>
            </w:pPr>
          </w:p>
          <w:p w:rsidR="00FC2AEF" w:rsidRPr="00F71B40" w:rsidRDefault="00115AC9" w:rsidP="00CC56DB">
            <w:pPr>
              <w:keepNext/>
              <w:keepLines/>
              <w:rPr>
                <w:rFonts w:cs="Times New Roman"/>
                <w:sz w:val="20"/>
                <w:szCs w:val="20"/>
                <w:lang w:val="en-AU"/>
              </w:rPr>
            </w:pPr>
            <w:r w:rsidRPr="00F71B40">
              <w:rPr>
                <w:rFonts w:cs="Times New Roman"/>
                <w:sz w:val="20"/>
                <w:szCs w:val="20"/>
                <w:lang w:val="en-AU"/>
              </w:rPr>
              <w:fldChar w:fldCharType="begin"/>
            </w:r>
            <w:r w:rsidRPr="00F71B40">
              <w:rPr>
                <w:rFonts w:cs="Times New Roman"/>
                <w:sz w:val="20"/>
                <w:szCs w:val="20"/>
                <w:lang w:val="en-AU"/>
              </w:rPr>
              <w:instrText xml:space="preserve"> ADDIN EN.CITE &lt;EndNote&gt;&lt;Cite&gt;&lt;Author&gt;Hasnain&lt;/Author&gt;&lt;Year&gt;2014&lt;/Year&gt;&lt;RecNum&gt;4180&lt;/RecNum&gt;&lt;DisplayText&gt;(Hasnain &amp;amp; Manning, 2014)&lt;/DisplayText&gt;&lt;record&gt;&lt;rec-number&gt;4180&lt;/rec-number&gt;&lt;foreign-keys&gt;&lt;key app="EN" db-id="5v9z5rrdszvwsneef06v9dapsd0apdtfapdx" timestamp="1401393877"&gt;4180&lt;/key&gt;&lt;/foreign-keys&gt;&lt;ref-type name="Book"&gt;6&lt;/ref-type&gt;&lt;contributors&gt;&lt;authors&gt;&lt;author&gt;Zahid Hasnain&lt;/author&gt;&lt;author&gt;Nick Manning&lt;/author&gt;&lt;/authors&gt;&lt;/contributors&gt;&lt;titles&gt;&lt;title&gt;Pay Flexibility and Government Performance&lt;/title&gt;&lt;/titles&gt;&lt;dates&gt;&lt;year&gt;2014&lt;/year&gt;&lt;/dates&gt;&lt;pub-location&gt;Washington DC&lt;/pub-location&gt;&lt;publisher&gt;World Bank&lt;/publisher&gt;&lt;urls&gt;&lt;/urls&gt;&lt;custom1&gt;Yes&lt;/custom1&gt;&lt;custom2&gt;Yes&lt;/custom2&gt;&lt;/record&gt;&lt;/Cite&gt;&lt;/EndNote&gt;</w:instrText>
            </w:r>
            <w:r w:rsidRPr="00F71B40">
              <w:rPr>
                <w:rFonts w:cs="Times New Roman"/>
                <w:sz w:val="20"/>
                <w:szCs w:val="20"/>
                <w:lang w:val="en-AU"/>
              </w:rPr>
              <w:fldChar w:fldCharType="separate"/>
            </w:r>
            <w:r w:rsidRPr="00F71B40">
              <w:rPr>
                <w:rFonts w:cs="Times New Roman"/>
                <w:sz w:val="20"/>
                <w:szCs w:val="20"/>
                <w:lang w:val="en-AU"/>
              </w:rPr>
              <w:t>(</w:t>
            </w:r>
            <w:hyperlink w:anchor="_ENREF_68" w:tooltip="Hasnain, 2014 #4180" w:history="1">
              <w:r w:rsidR="00CC56DB" w:rsidRPr="00F71B40">
                <w:rPr>
                  <w:rFonts w:cs="Times New Roman"/>
                  <w:sz w:val="20"/>
                  <w:szCs w:val="20"/>
                  <w:lang w:val="en-AU"/>
                </w:rPr>
                <w:t>Hasnain &amp; Manning, 2014</w:t>
              </w:r>
            </w:hyperlink>
            <w:r w:rsidRPr="00F71B40">
              <w:rPr>
                <w:rFonts w:cs="Times New Roman"/>
                <w:sz w:val="20"/>
                <w:szCs w:val="20"/>
                <w:lang w:val="en-AU"/>
              </w:rPr>
              <w:t>)</w:t>
            </w:r>
            <w:r w:rsidRPr="00F71B40">
              <w:rPr>
                <w:rFonts w:cs="Times New Roman"/>
                <w:sz w:val="20"/>
                <w:szCs w:val="20"/>
                <w:lang w:val="en-AU"/>
              </w:rPr>
              <w:fldChar w:fldCharType="end"/>
            </w:r>
            <w:r w:rsidR="00FC2AEF" w:rsidRPr="00F71B40">
              <w:rPr>
                <w:rFonts w:cs="Times New Roman"/>
                <w:sz w:val="20"/>
                <w:szCs w:val="20"/>
                <w:lang w:val="en-AU"/>
              </w:rPr>
              <w:t xml:space="preserve"> concludes from an empirical analysis of the introduction of pay flexibility arrangements that cautious asymmetric introduction of performance-related pay can, with many caveats, be justified.</w:t>
            </w:r>
          </w:p>
        </w:tc>
      </w:tr>
    </w:tbl>
    <w:p w:rsidR="00FC2AEF" w:rsidRPr="00F71B40" w:rsidRDefault="00FC2AEF" w:rsidP="00D62A32">
      <w:pPr>
        <w:rPr>
          <w:lang w:val="en-AU"/>
        </w:rPr>
      </w:pPr>
    </w:p>
    <w:p w:rsidR="00FD5DEB" w:rsidRPr="00F71B40" w:rsidRDefault="00FD5DEB" w:rsidP="004D15F8">
      <w:pPr>
        <w:pStyle w:val="Heading2"/>
        <w:numPr>
          <w:ilvl w:val="0"/>
          <w:numId w:val="20"/>
        </w:numPr>
        <w:rPr>
          <w:lang w:val="en-AU"/>
        </w:rPr>
      </w:pPr>
      <w:bookmarkStart w:id="52" w:name="_Toc399410389"/>
      <w:r w:rsidRPr="00F71B40">
        <w:rPr>
          <w:lang w:val="en-AU"/>
        </w:rPr>
        <w:t>Public Financial Management progress within SIGOV</w:t>
      </w:r>
      <w:bookmarkEnd w:id="52"/>
    </w:p>
    <w:p w:rsidR="00FD5DEB" w:rsidRPr="00F71B40" w:rsidRDefault="00FD5DEB" w:rsidP="00D62A32">
      <w:pPr>
        <w:keepNext/>
        <w:keepLines/>
        <w:rPr>
          <w:rFonts w:cs="Times New Roman"/>
          <w:lang w:val="en-AU"/>
        </w:rPr>
      </w:pPr>
    </w:p>
    <w:p w:rsidR="00FD5DEB" w:rsidRPr="00F71B40" w:rsidRDefault="00FD5DEB" w:rsidP="00D62A32">
      <w:pPr>
        <w:keepNext/>
        <w:keepLines/>
        <w:rPr>
          <w:rFonts w:cs="Arial"/>
          <w:lang w:val="en-AU"/>
        </w:rPr>
      </w:pPr>
      <w:r w:rsidRPr="00F71B40">
        <w:rPr>
          <w:rFonts w:cs="Times New Roman"/>
          <w:lang w:val="en-AU"/>
        </w:rPr>
        <w:t>On public financial management (PFM), recent formal successes in the central agencies are clear</w:t>
      </w:r>
      <w:r w:rsidR="00EC34A1" w:rsidRPr="00F71B40">
        <w:rPr>
          <w:rFonts w:cs="Times New Roman"/>
          <w:lang w:val="en-AU"/>
        </w:rPr>
        <w:t xml:space="preserve">.  Not least, </w:t>
      </w:r>
      <w:r w:rsidRPr="00F71B40">
        <w:rPr>
          <w:rFonts w:cs="Times New Roman"/>
          <w:lang w:val="en-AU"/>
        </w:rPr>
        <w:t>t</w:t>
      </w:r>
      <w:r w:rsidRPr="00F71B40">
        <w:rPr>
          <w:rFonts w:cs="Arial"/>
          <w:lang w:val="en-AU"/>
        </w:rPr>
        <w:t xml:space="preserve">he Final Budget Outcome for 2013 and the Public Financial Management Roadmap were prepared, and completion of the 2013 financial statements is underway. </w:t>
      </w:r>
    </w:p>
    <w:p w:rsidR="00FD5DEB" w:rsidRPr="00F71B40" w:rsidRDefault="00FD5DEB" w:rsidP="00D62A32">
      <w:pPr>
        <w:rPr>
          <w:lang w:val="en-AU"/>
        </w:rPr>
      </w:pPr>
    </w:p>
    <w:p w:rsidR="00A0656F" w:rsidRPr="00F71B40" w:rsidRDefault="00EC34A1" w:rsidP="00D62A32">
      <w:pPr>
        <w:rPr>
          <w:rFonts w:cs="Times New Roman"/>
          <w:lang w:val="en-AU"/>
        </w:rPr>
      </w:pPr>
      <w:r w:rsidRPr="00F71B40">
        <w:rPr>
          <w:rFonts w:cs="Times New Roman"/>
          <w:lang w:val="en-AU"/>
        </w:rPr>
        <w:t xml:space="preserve">However, </w:t>
      </w:r>
      <w:r w:rsidR="00FD5DEB" w:rsidRPr="00F71B40">
        <w:rPr>
          <w:rFonts w:cs="Times New Roman"/>
          <w:lang w:val="en-AU"/>
        </w:rPr>
        <w:t xml:space="preserve">respondents </w:t>
      </w:r>
      <w:r w:rsidRPr="00F71B40">
        <w:rPr>
          <w:rFonts w:cs="Times New Roman"/>
          <w:lang w:val="en-AU"/>
        </w:rPr>
        <w:t>noted some challenges concerning reform overload</w:t>
      </w:r>
      <w:r w:rsidR="00A0656F" w:rsidRPr="00F71B40">
        <w:rPr>
          <w:rFonts w:cs="Times New Roman"/>
          <w:lang w:val="en-AU"/>
        </w:rPr>
        <w:t xml:space="preserve"> and</w:t>
      </w:r>
      <w:r w:rsidRPr="00F71B40">
        <w:rPr>
          <w:rFonts w:cs="Times New Roman"/>
          <w:lang w:val="en-AU"/>
        </w:rPr>
        <w:t xml:space="preserve"> sustainability.  Thus w</w:t>
      </w:r>
      <w:r w:rsidR="00FD5DEB" w:rsidRPr="00F71B40">
        <w:rPr>
          <w:rFonts w:cs="Times New Roman"/>
          <w:lang w:val="en-AU"/>
        </w:rPr>
        <w:t xml:space="preserve">hile many of the specific actions and reforms are </w:t>
      </w:r>
      <w:r w:rsidRPr="00F71B40">
        <w:rPr>
          <w:rFonts w:cs="Times New Roman"/>
          <w:lang w:val="en-AU"/>
        </w:rPr>
        <w:t xml:space="preserve">seen as </w:t>
      </w:r>
      <w:r w:rsidR="00FD5DEB" w:rsidRPr="00F71B40">
        <w:rPr>
          <w:rFonts w:cs="Times New Roman"/>
          <w:lang w:val="en-AU"/>
        </w:rPr>
        <w:t xml:space="preserve">sensible in their own right (and often achievable in isolation) </w:t>
      </w:r>
      <w:r w:rsidRPr="00F71B40">
        <w:rPr>
          <w:rFonts w:cs="Times New Roman"/>
          <w:lang w:val="en-AU"/>
        </w:rPr>
        <w:t xml:space="preserve">concerns were expressed concerning </w:t>
      </w:r>
      <w:r w:rsidR="00FD5DEB" w:rsidRPr="00F71B40">
        <w:rPr>
          <w:rFonts w:cs="Times New Roman"/>
          <w:lang w:val="en-AU"/>
        </w:rPr>
        <w:t xml:space="preserve">the quantity of reforms being introduced through different processes and the cumulative capacity burden both </w:t>
      </w:r>
      <w:r w:rsidR="00FC2AEF" w:rsidRPr="00F71B40">
        <w:rPr>
          <w:rFonts w:cs="Times New Roman"/>
          <w:lang w:val="en-AU"/>
        </w:rPr>
        <w:t>on</w:t>
      </w:r>
      <w:r w:rsidR="00FD5DEB" w:rsidRPr="00F71B40">
        <w:rPr>
          <w:rFonts w:cs="Times New Roman"/>
          <w:lang w:val="en-AU"/>
        </w:rPr>
        <w:t xml:space="preserve"> the Ministry of Finance</w:t>
      </w:r>
      <w:r w:rsidR="00FC2AEF" w:rsidRPr="00F71B40">
        <w:rPr>
          <w:rFonts w:cs="Times New Roman"/>
          <w:lang w:val="en-AU"/>
        </w:rPr>
        <w:t xml:space="preserve"> and on line ministries that do not</w:t>
      </w:r>
      <w:r w:rsidR="00FD5DEB" w:rsidRPr="00F71B40">
        <w:rPr>
          <w:rFonts w:cs="Times New Roman"/>
          <w:lang w:val="en-AU"/>
        </w:rPr>
        <w:t xml:space="preserve"> ben</w:t>
      </w:r>
      <w:r w:rsidRPr="00F71B40">
        <w:rPr>
          <w:rFonts w:cs="Times New Roman"/>
          <w:lang w:val="en-AU"/>
        </w:rPr>
        <w:t>efit from such extensive Technical Assistance.  As an example, t</w:t>
      </w:r>
      <w:r w:rsidR="00FD5DEB" w:rsidRPr="00F71B40">
        <w:rPr>
          <w:rFonts w:cs="Times New Roman"/>
          <w:lang w:val="en-AU"/>
        </w:rPr>
        <w:t xml:space="preserve">he PFM Reform Plan includes approximately 150 actions. Many of these involve introducing new systems and processes on top of what is already being done (although a few do involve simplification of existing processes). Actions include establishment of new boards, new regulations, new legislation, new IT systems, more regular audits, more regular reconciliations, new instructions and rules, etc.  </w:t>
      </w:r>
      <w:r w:rsidR="005700AE">
        <w:rPr>
          <w:rFonts w:cs="Times New Roman"/>
          <w:lang w:val="en-AU"/>
        </w:rPr>
        <w:t xml:space="preserve">The latter require that </w:t>
      </w:r>
      <w:r w:rsidR="00FD5DEB" w:rsidRPr="00F71B40">
        <w:rPr>
          <w:rFonts w:cs="Times New Roman"/>
          <w:lang w:val="en-AU"/>
        </w:rPr>
        <w:t xml:space="preserve">PFM Reform and Budget committees </w:t>
      </w:r>
      <w:r w:rsidR="005700AE">
        <w:rPr>
          <w:rFonts w:cs="Times New Roman"/>
          <w:lang w:val="en-AU"/>
        </w:rPr>
        <w:t xml:space="preserve">are </w:t>
      </w:r>
      <w:r w:rsidR="00FD5DEB" w:rsidRPr="00F71B40">
        <w:rPr>
          <w:rFonts w:cs="Times New Roman"/>
          <w:lang w:val="en-AU"/>
        </w:rPr>
        <w:t>established in all ministries</w:t>
      </w:r>
      <w:r w:rsidR="005700AE">
        <w:rPr>
          <w:rFonts w:cs="Times New Roman"/>
          <w:lang w:val="en-AU"/>
        </w:rPr>
        <w:t xml:space="preserve"> and that a</w:t>
      </w:r>
      <w:r w:rsidR="00FD5DEB" w:rsidRPr="00F71B40">
        <w:rPr>
          <w:rFonts w:cs="Times New Roman"/>
          <w:lang w:val="en-AU"/>
        </w:rPr>
        <w:t xml:space="preserve"> public communication strategy on PFM reform map implementation</w:t>
      </w:r>
      <w:r w:rsidR="005700AE">
        <w:rPr>
          <w:rFonts w:cs="Times New Roman"/>
          <w:lang w:val="en-AU"/>
        </w:rPr>
        <w:t xml:space="preserve"> is developed</w:t>
      </w:r>
      <w:r w:rsidR="00FD5DEB" w:rsidRPr="00F71B40">
        <w:rPr>
          <w:rFonts w:cs="Times New Roman"/>
          <w:lang w:val="en-AU"/>
        </w:rPr>
        <w:t xml:space="preserve">. </w:t>
      </w:r>
    </w:p>
    <w:p w:rsidR="00A0656F" w:rsidRPr="00F71B40" w:rsidRDefault="00A0656F" w:rsidP="00D62A32">
      <w:pPr>
        <w:rPr>
          <w:rFonts w:cs="Times New Roman"/>
          <w:lang w:val="en-AU"/>
        </w:rPr>
      </w:pPr>
    </w:p>
    <w:p w:rsidR="00A0656F" w:rsidRPr="00F71B40" w:rsidRDefault="00A0656F" w:rsidP="00D62A32">
      <w:pPr>
        <w:rPr>
          <w:lang w:val="en-AU"/>
        </w:rPr>
      </w:pPr>
      <w:r w:rsidRPr="00F71B40">
        <w:rPr>
          <w:rFonts w:cs="Times New Roman"/>
          <w:lang w:val="en-AU"/>
        </w:rPr>
        <w:t xml:space="preserve">Similarly, the debt management strategy demands significant capacity. The PFM reform plan includes internally undertaken debt sustainability analysis on an annual basis – an ambition which is probably not being achieved elsewhere in the region.  The on-lending and guarantee policies and guidelines </w:t>
      </w:r>
      <w:r w:rsidR="00866B58">
        <w:rPr>
          <w:rFonts w:cs="Times New Roman"/>
          <w:lang w:val="en-AU"/>
        </w:rPr>
        <w:t xml:space="preserve">entail </w:t>
      </w:r>
      <w:r w:rsidRPr="00F71B40">
        <w:rPr>
          <w:rFonts w:cs="Times New Roman"/>
          <w:lang w:val="en-AU"/>
        </w:rPr>
        <w:t xml:space="preserve">heavily engineered approaches that would likely exceed the capacity of most covered entities and certainly all provincial governments. The problem of reform overload relative to available capacity extends to the sector ministries.  </w:t>
      </w:r>
      <w:r w:rsidRPr="00F71B40">
        <w:rPr>
          <w:lang w:val="en-AU"/>
        </w:rPr>
        <w:t xml:space="preserve">One of the problems faced in education in budget execution is the lack of expertise and capacity to comply with central tender board procurement rules (27 individual steps for </w:t>
      </w:r>
      <w:r w:rsidRPr="00F71B40">
        <w:rPr>
          <w:lang w:val="en-AU"/>
        </w:rPr>
        <w:lastRenderedPageBreak/>
        <w:t xml:space="preserve">payments over SBD 200,000). As of end-June 2014, expenditure was tracking around 45% against the recurrent budget and 3% against the development budget. </w:t>
      </w:r>
    </w:p>
    <w:p w:rsidR="00EC34A1" w:rsidRPr="00F71B40" w:rsidRDefault="00EC34A1" w:rsidP="00D62A32">
      <w:pPr>
        <w:rPr>
          <w:rFonts w:cs="Times New Roman"/>
          <w:lang w:val="en-AU"/>
        </w:rPr>
      </w:pPr>
    </w:p>
    <w:p w:rsidR="00A46DA9" w:rsidRPr="00F71B40" w:rsidRDefault="00EC34A1" w:rsidP="00D62A32">
      <w:pPr>
        <w:rPr>
          <w:rFonts w:cs="Times New Roman"/>
          <w:lang w:val="en-AU"/>
        </w:rPr>
      </w:pPr>
      <w:r w:rsidRPr="00F71B40">
        <w:rPr>
          <w:rFonts w:cs="Times New Roman"/>
          <w:lang w:val="en-AU"/>
        </w:rPr>
        <w:t xml:space="preserve">Relevance and ambition of some of the PFM reforms were also questioned.  </w:t>
      </w:r>
      <w:r w:rsidR="00FD5DEB" w:rsidRPr="00F71B40">
        <w:rPr>
          <w:rFonts w:cs="Times New Roman"/>
          <w:lang w:val="en-AU"/>
        </w:rPr>
        <w:t>The introduction of internal audit i</w:t>
      </w:r>
      <w:r w:rsidR="00E65418">
        <w:rPr>
          <w:rFonts w:cs="Times New Roman"/>
          <w:lang w:val="en-AU"/>
        </w:rPr>
        <w:t>s emphasized under the new PFM A</w:t>
      </w:r>
      <w:r w:rsidR="00FD5DEB" w:rsidRPr="00F71B40">
        <w:rPr>
          <w:rFonts w:cs="Times New Roman"/>
          <w:lang w:val="en-AU"/>
        </w:rPr>
        <w:t xml:space="preserve">ct even when the </w:t>
      </w:r>
      <w:r w:rsidR="00A0656F" w:rsidRPr="00F71B40">
        <w:rPr>
          <w:lang w:val="en-AU"/>
        </w:rPr>
        <w:t xml:space="preserve">PEFA </w:t>
      </w:r>
      <w:r w:rsidR="00A0656F" w:rsidRPr="00F71B40">
        <w:rPr>
          <w:rFonts w:cs="Times New Roman"/>
          <w:lang w:val="en-AU"/>
        </w:rPr>
        <w:t xml:space="preserve">update </w:t>
      </w:r>
      <w:r w:rsidR="00115AC9" w:rsidRPr="00F71B40">
        <w:rPr>
          <w:rFonts w:cs="Times New Roman"/>
          <w:lang w:val="en-AU"/>
        </w:rPr>
        <w:fldChar w:fldCharType="begin"/>
      </w:r>
      <w:r w:rsidR="00115AC9" w:rsidRPr="00F71B40">
        <w:rPr>
          <w:rFonts w:cs="Times New Roman"/>
          <w:lang w:val="en-AU"/>
        </w:rPr>
        <w:instrText xml:space="preserve"> ADDIN EN.CITE &lt;EndNote&gt;&lt;Cite&gt;&lt;Author&gt;Linpico&lt;/Author&gt;&lt;Year&gt;2012&lt;/Year&gt;&lt;RecNum&gt;4323&lt;/RecNum&gt;&lt;DisplayText&gt;(Linpico, 2012)&lt;/DisplayText&gt;&lt;record&gt;&lt;rec-number&gt;4323&lt;/rec-number&gt;&lt;foreign-keys&gt;&lt;key app="EN" db-id="5v9z5rrdszvwsneef06v9dapsd0apdtfapdx" timestamp="1408734635"&gt;4323&lt;/key&gt;&lt;/foreign-keys&gt;&lt;ref-type name="Report"&gt;27&lt;/ref-type&gt;&lt;contributors&gt;&lt;authors&gt;&lt;author&gt;Linpico&lt;/author&gt;&lt;/authors&gt;&lt;/contributors&gt;&lt;titles&gt;&lt;title&gt;Government of the Solomon Islands Public Expenditure and Financial Accountability (PEFA) Assessment: Final Report&lt;/title&gt;&lt;/titles&gt;&lt;dates&gt;&lt;year&gt;2012&lt;/year&gt;&lt;/dates&gt;&lt;pub-location&gt;Washington DC&lt;/pub-location&gt;&lt;publisher&gt;World Bank&lt;/publisher&gt;&lt;urls&gt;&lt;/urls&gt;&lt;/record&gt;&lt;/Cite&gt;&lt;/EndNote&gt;</w:instrText>
      </w:r>
      <w:r w:rsidR="00115AC9" w:rsidRPr="00F71B40">
        <w:rPr>
          <w:rFonts w:cs="Times New Roman"/>
          <w:lang w:val="en-AU"/>
        </w:rPr>
        <w:fldChar w:fldCharType="separate"/>
      </w:r>
      <w:r w:rsidR="00115AC9" w:rsidRPr="00F71B40">
        <w:rPr>
          <w:rFonts w:cs="Times New Roman"/>
          <w:lang w:val="en-AU"/>
        </w:rPr>
        <w:t>(</w:t>
      </w:r>
      <w:hyperlink w:anchor="_ENREF_94" w:tooltip="Linpico, 2012 #4323" w:history="1">
        <w:r w:rsidR="00CC56DB" w:rsidRPr="00F71B40">
          <w:rPr>
            <w:rFonts w:cs="Times New Roman"/>
            <w:lang w:val="en-AU"/>
          </w:rPr>
          <w:t>Linpico, 2012</w:t>
        </w:r>
      </w:hyperlink>
      <w:r w:rsidR="00115AC9" w:rsidRPr="00F71B40">
        <w:rPr>
          <w:rFonts w:cs="Times New Roman"/>
          <w:lang w:val="en-AU"/>
        </w:rPr>
        <w:t>)</w:t>
      </w:r>
      <w:r w:rsidR="00115AC9" w:rsidRPr="00F71B40">
        <w:rPr>
          <w:rFonts w:cs="Times New Roman"/>
          <w:lang w:val="en-AU"/>
        </w:rPr>
        <w:fldChar w:fldCharType="end"/>
      </w:r>
      <w:r w:rsidR="00A0656F" w:rsidRPr="00F71B40">
        <w:rPr>
          <w:rFonts w:cs="Times New Roman"/>
          <w:lang w:val="en-AU"/>
        </w:rPr>
        <w:t xml:space="preserve"> </w:t>
      </w:r>
      <w:r w:rsidR="00FD5DEB" w:rsidRPr="00F71B40">
        <w:rPr>
          <w:rFonts w:cs="Times New Roman"/>
          <w:lang w:val="en-AU"/>
        </w:rPr>
        <w:t xml:space="preserve">notes that external audit is barely functional and very seldom leads to follow-up actions and there is a shortage of qualified staff for audit functions.  </w:t>
      </w:r>
      <w:r w:rsidR="00A0656F" w:rsidRPr="00F71B40">
        <w:rPr>
          <w:rFonts w:cs="Times New Roman"/>
          <w:lang w:val="en-AU"/>
        </w:rPr>
        <w:t xml:space="preserve">Similarly, it was observed that the </w:t>
      </w:r>
      <w:r w:rsidR="00FD5DEB" w:rsidRPr="00F71B40">
        <w:rPr>
          <w:rFonts w:cs="Times New Roman"/>
          <w:lang w:val="en-AU"/>
        </w:rPr>
        <w:t>PFM Act and Roadmap heavily emphasize the medium-term expenditure framework, with 3-year revenue and expenditure forecasts required for ministries, although there are continuing problems with preparation</w:t>
      </w:r>
      <w:r w:rsidR="00FD5DEB" w:rsidRPr="00F71B40">
        <w:rPr>
          <w:rStyle w:val="FootnoteReference"/>
          <w:rFonts w:cs="Times New Roman"/>
          <w:lang w:val="en-AU"/>
        </w:rPr>
        <w:footnoteReference w:id="11"/>
      </w:r>
      <w:r w:rsidR="00FD5DEB" w:rsidRPr="00F71B40">
        <w:rPr>
          <w:rFonts w:cs="Times New Roman"/>
          <w:lang w:val="en-AU"/>
        </w:rPr>
        <w:t xml:space="preserve"> and execution of the annual budget.</w:t>
      </w:r>
      <w:r w:rsidR="00FD5DEB" w:rsidRPr="00F71B40">
        <w:rPr>
          <w:rStyle w:val="FootnoteReference"/>
          <w:rFonts w:cs="Times New Roman"/>
          <w:lang w:val="en-AU"/>
        </w:rPr>
        <w:footnoteReference w:id="12"/>
      </w:r>
      <w:r w:rsidR="00FD5DEB" w:rsidRPr="00F71B40">
        <w:rPr>
          <w:rFonts w:cs="Times New Roman"/>
          <w:lang w:val="en-AU"/>
        </w:rPr>
        <w:t xml:space="preserve"> </w:t>
      </w:r>
    </w:p>
    <w:p w:rsidR="00FD5DEB" w:rsidRPr="00F71B40" w:rsidRDefault="00FD5DEB" w:rsidP="00D62A32">
      <w:pPr>
        <w:rPr>
          <w:lang w:val="en-AU"/>
        </w:rPr>
      </w:pPr>
    </w:p>
    <w:p w:rsidR="00FD5DEB" w:rsidRPr="00F71B40" w:rsidRDefault="00FD5DEB" w:rsidP="00D62A32">
      <w:pPr>
        <w:rPr>
          <w:rFonts w:cs="Times New Roman"/>
          <w:lang w:val="en-AU"/>
        </w:rPr>
      </w:pPr>
      <w:r w:rsidRPr="00F71B40">
        <w:rPr>
          <w:lang w:val="en-AU"/>
        </w:rPr>
        <w:t xml:space="preserve">In sum, there is nothing technically “wrong” in what has been proposed and supported.  However, the emphasis on Australia-like arrangements might lie behind a distinctly ambitious scope of reform and the possibility that some of the “best practice” procedural changes lend themselves to rather superficial procedural compliance </w:t>
      </w:r>
      <w:r w:rsidR="00A46DA9" w:rsidRPr="00F71B40">
        <w:rPr>
          <w:lang w:val="en-AU"/>
        </w:rPr>
        <w:t xml:space="preserve">rather than real functional improvements downstream.  One respondent cited the continuing </w:t>
      </w:r>
      <w:r w:rsidR="00A46DA9" w:rsidRPr="00F71B40">
        <w:rPr>
          <w:rFonts w:cs="Times New Roman"/>
          <w:lang w:val="en-AU"/>
        </w:rPr>
        <w:t>m</w:t>
      </w:r>
      <w:r w:rsidR="00A46DA9" w:rsidRPr="00F71B40">
        <w:rPr>
          <w:lang w:val="en-AU"/>
        </w:rPr>
        <w:t xml:space="preserve">isuse of contingency warrants for expenditure items deemed foreseeable as an example of </w:t>
      </w:r>
      <w:r w:rsidR="00DD2F1B" w:rsidRPr="00F71B40">
        <w:rPr>
          <w:lang w:val="en-AU"/>
        </w:rPr>
        <w:t>formal change at the centre not translating into behavioural change across the public sector</w:t>
      </w:r>
      <w:r w:rsidR="00A46DA9" w:rsidRPr="00F71B40">
        <w:rPr>
          <w:lang w:val="en-AU"/>
        </w:rPr>
        <w:t>.</w:t>
      </w:r>
      <w:r w:rsidR="00A46DA9" w:rsidRPr="00F71B40">
        <w:rPr>
          <w:rStyle w:val="FootnoteReference"/>
          <w:lang w:val="en-AU"/>
        </w:rPr>
        <w:footnoteReference w:id="13"/>
      </w:r>
    </w:p>
    <w:p w:rsidR="00FD5DEB" w:rsidRPr="00F71B40" w:rsidRDefault="00FD5DEB" w:rsidP="00D62A32">
      <w:pPr>
        <w:rPr>
          <w:lang w:val="en-AU"/>
        </w:rPr>
      </w:pPr>
    </w:p>
    <w:p w:rsidR="00FD5DEB" w:rsidRPr="00F71B40" w:rsidRDefault="00FD5DEB" w:rsidP="004D15F8">
      <w:pPr>
        <w:pStyle w:val="Heading2"/>
        <w:numPr>
          <w:ilvl w:val="0"/>
          <w:numId w:val="20"/>
        </w:numPr>
        <w:rPr>
          <w:lang w:val="en-AU"/>
        </w:rPr>
      </w:pPr>
      <w:bookmarkStart w:id="53" w:name="_Ref399052893"/>
      <w:bookmarkStart w:id="54" w:name="_Toc399410390"/>
      <w:r w:rsidRPr="00F71B40">
        <w:rPr>
          <w:lang w:val="en-AU"/>
        </w:rPr>
        <w:t>Service delivery progress within SIGOV</w:t>
      </w:r>
      <w:bookmarkEnd w:id="53"/>
      <w:r w:rsidR="00C27F22" w:rsidRPr="00F71B40">
        <w:rPr>
          <w:lang w:val="en-AU"/>
        </w:rPr>
        <w:t xml:space="preserve"> – history repeats</w:t>
      </w:r>
      <w:bookmarkEnd w:id="54"/>
    </w:p>
    <w:p w:rsidR="00FD5DEB" w:rsidRPr="00F71B40" w:rsidRDefault="00FD5DEB" w:rsidP="00D62A32">
      <w:pPr>
        <w:rPr>
          <w:lang w:val="en-AU"/>
        </w:rPr>
      </w:pPr>
    </w:p>
    <w:p w:rsidR="00653491" w:rsidRPr="00F71B40" w:rsidRDefault="00DD2F1B" w:rsidP="00D62A32">
      <w:pPr>
        <w:rPr>
          <w:lang w:val="en-AU"/>
        </w:rPr>
      </w:pPr>
      <w:r w:rsidRPr="00F71B40">
        <w:rPr>
          <w:rFonts w:cs="Arial"/>
          <w:lang w:val="en-AU"/>
        </w:rPr>
        <w:t>T</w:t>
      </w:r>
      <w:r w:rsidR="00BB501F" w:rsidRPr="00F71B40">
        <w:rPr>
          <w:rFonts w:cs="Arial"/>
          <w:lang w:val="en-AU"/>
        </w:rPr>
        <w:t xml:space="preserve">he </w:t>
      </w:r>
      <w:r w:rsidR="007B74D1" w:rsidRPr="00F71B40">
        <w:rPr>
          <w:rFonts w:cs="Arial"/>
          <w:lang w:val="en-AU"/>
        </w:rPr>
        <w:t xml:space="preserve">story </w:t>
      </w:r>
      <w:r w:rsidRPr="00F71B40">
        <w:rPr>
          <w:rFonts w:cs="Arial"/>
          <w:lang w:val="en-AU"/>
        </w:rPr>
        <w:t xml:space="preserve">of the </w:t>
      </w:r>
      <w:r w:rsidR="007B74D1" w:rsidRPr="00F71B40">
        <w:rPr>
          <w:rFonts w:cs="Arial"/>
          <w:lang w:val="en-AU"/>
        </w:rPr>
        <w:t xml:space="preserve">Australian </w:t>
      </w:r>
      <w:r w:rsidRPr="00F71B40">
        <w:rPr>
          <w:rFonts w:cs="Arial"/>
          <w:lang w:val="en-AU"/>
        </w:rPr>
        <w:t xml:space="preserve">support for public sector reforms within the RAMSI </w:t>
      </w:r>
      <w:r w:rsidRPr="00F71B40">
        <w:rPr>
          <w:lang w:val="en-AU"/>
        </w:rPr>
        <w:t xml:space="preserve">period (section </w:t>
      </w:r>
      <w:r w:rsidRPr="00F71B40">
        <w:rPr>
          <w:lang w:val="en-AU"/>
        </w:rPr>
        <w:fldChar w:fldCharType="begin"/>
      </w:r>
      <w:r w:rsidRPr="00F71B40">
        <w:rPr>
          <w:lang w:val="en-AU"/>
        </w:rPr>
        <w:instrText xml:space="preserve"> REF _Ref396758674 \r \h </w:instrText>
      </w:r>
      <w:r w:rsidR="00D62A32" w:rsidRPr="00F71B40">
        <w:rPr>
          <w:lang w:val="en-AU"/>
        </w:rPr>
        <w:instrText xml:space="preserve"> \* MERGEFORMAT </w:instrText>
      </w:r>
      <w:r w:rsidRPr="00F71B40">
        <w:rPr>
          <w:lang w:val="en-AU"/>
        </w:rPr>
      </w:r>
      <w:r w:rsidRPr="00F71B40">
        <w:rPr>
          <w:lang w:val="en-AU"/>
        </w:rPr>
        <w:fldChar w:fldCharType="separate"/>
      </w:r>
      <w:r w:rsidR="00EF43BE">
        <w:rPr>
          <w:lang w:val="en-AU"/>
        </w:rPr>
        <w:t>2</w:t>
      </w:r>
      <w:r w:rsidRPr="00F71B40">
        <w:rPr>
          <w:lang w:val="en-AU"/>
        </w:rPr>
        <w:fldChar w:fldCharType="end"/>
      </w:r>
      <w:r w:rsidRPr="00F71B40">
        <w:rPr>
          <w:lang w:val="en-AU"/>
        </w:rPr>
        <w:fldChar w:fldCharType="begin"/>
      </w:r>
      <w:r w:rsidRPr="00F71B40">
        <w:rPr>
          <w:lang w:val="en-AU"/>
        </w:rPr>
        <w:instrText xml:space="preserve"> REF _Ref399234533 \r \h </w:instrText>
      </w:r>
      <w:r w:rsidR="00D62A32" w:rsidRPr="00F71B40">
        <w:rPr>
          <w:lang w:val="en-AU"/>
        </w:rPr>
        <w:instrText xml:space="preserve"> \* MERGEFORMAT </w:instrText>
      </w:r>
      <w:r w:rsidRPr="00F71B40">
        <w:rPr>
          <w:lang w:val="en-AU"/>
        </w:rPr>
      </w:r>
      <w:r w:rsidRPr="00F71B40">
        <w:rPr>
          <w:lang w:val="en-AU"/>
        </w:rPr>
        <w:fldChar w:fldCharType="separate"/>
      </w:r>
      <w:r w:rsidR="00EF43BE">
        <w:rPr>
          <w:lang w:val="en-AU"/>
        </w:rPr>
        <w:t>b</w:t>
      </w:r>
      <w:r w:rsidRPr="00F71B40">
        <w:rPr>
          <w:lang w:val="en-AU"/>
        </w:rPr>
        <w:fldChar w:fldCharType="end"/>
      </w:r>
      <w:r w:rsidRPr="00F71B40">
        <w:rPr>
          <w:lang w:val="en-AU"/>
        </w:rPr>
        <w:t xml:space="preserve">) and the more general research finding about public management reform programs in fragile and conflict-affected states (section </w:t>
      </w:r>
      <w:r w:rsidRPr="00F71B40">
        <w:rPr>
          <w:lang w:val="en-AU"/>
        </w:rPr>
        <w:fldChar w:fldCharType="begin"/>
      </w:r>
      <w:r w:rsidRPr="00F71B40">
        <w:rPr>
          <w:lang w:val="en-AU"/>
        </w:rPr>
        <w:instrText xml:space="preserve"> REF _Ref396758674 \r \h </w:instrText>
      </w:r>
      <w:r w:rsidR="00D62A32" w:rsidRPr="00F71B40">
        <w:rPr>
          <w:lang w:val="en-AU"/>
        </w:rPr>
        <w:instrText xml:space="preserve"> \* MERGEFORMAT </w:instrText>
      </w:r>
      <w:r w:rsidRPr="00F71B40">
        <w:rPr>
          <w:lang w:val="en-AU"/>
        </w:rPr>
      </w:r>
      <w:r w:rsidRPr="00F71B40">
        <w:rPr>
          <w:lang w:val="en-AU"/>
        </w:rPr>
        <w:fldChar w:fldCharType="separate"/>
      </w:r>
      <w:r w:rsidR="00EF43BE">
        <w:rPr>
          <w:lang w:val="en-AU"/>
        </w:rPr>
        <w:t>2</w:t>
      </w:r>
      <w:r w:rsidRPr="00F71B40">
        <w:rPr>
          <w:lang w:val="en-AU"/>
        </w:rPr>
        <w:fldChar w:fldCharType="end"/>
      </w:r>
      <w:r w:rsidRPr="00F71B40">
        <w:rPr>
          <w:lang w:val="en-AU"/>
        </w:rPr>
        <w:fldChar w:fldCharType="begin"/>
      </w:r>
      <w:r w:rsidRPr="00F71B40">
        <w:rPr>
          <w:lang w:val="en-AU"/>
        </w:rPr>
        <w:instrText xml:space="preserve"> REF _Ref399234517 \r \h </w:instrText>
      </w:r>
      <w:r w:rsidR="00D62A32" w:rsidRPr="00F71B40">
        <w:rPr>
          <w:lang w:val="en-AU"/>
        </w:rPr>
        <w:instrText xml:space="preserve"> \* MERGEFORMAT </w:instrText>
      </w:r>
      <w:r w:rsidRPr="00F71B40">
        <w:rPr>
          <w:lang w:val="en-AU"/>
        </w:rPr>
      </w:r>
      <w:r w:rsidRPr="00F71B40">
        <w:rPr>
          <w:lang w:val="en-AU"/>
        </w:rPr>
        <w:fldChar w:fldCharType="separate"/>
      </w:r>
      <w:r w:rsidR="00EF43BE">
        <w:rPr>
          <w:lang w:val="en-AU"/>
        </w:rPr>
        <w:t>c</w:t>
      </w:r>
      <w:r w:rsidRPr="00F71B40">
        <w:rPr>
          <w:lang w:val="en-AU"/>
        </w:rPr>
        <w:fldChar w:fldCharType="end"/>
      </w:r>
      <w:r w:rsidRPr="00F71B40">
        <w:rPr>
          <w:lang w:val="en-AU"/>
        </w:rPr>
        <w:t xml:space="preserve">) is that </w:t>
      </w:r>
      <w:r w:rsidR="007B74D1" w:rsidRPr="00F71B40">
        <w:rPr>
          <w:lang w:val="en-AU"/>
        </w:rPr>
        <w:t xml:space="preserve">intensive </w:t>
      </w:r>
      <w:r w:rsidRPr="00F71B40">
        <w:rPr>
          <w:lang w:val="en-AU"/>
        </w:rPr>
        <w:t xml:space="preserve">support for changes at the centre does </w:t>
      </w:r>
      <w:r w:rsidR="007B74D1" w:rsidRPr="00F71B40">
        <w:rPr>
          <w:lang w:val="en-AU"/>
        </w:rPr>
        <w:t xml:space="preserve">not lead to commensurate </w:t>
      </w:r>
      <w:r w:rsidRPr="00F71B40">
        <w:rPr>
          <w:lang w:val="en-AU"/>
        </w:rPr>
        <w:t xml:space="preserve">downstream improvements in results.  </w:t>
      </w:r>
      <w:r w:rsidR="007B74D1" w:rsidRPr="00F71B40">
        <w:rPr>
          <w:lang w:val="en-AU"/>
        </w:rPr>
        <w:t xml:space="preserve">It is of course very early days, but it seems likely that the same theme is emerging in SIGOV.  Certainly, the </w:t>
      </w:r>
      <w:r w:rsidR="00BB501F" w:rsidRPr="00F71B40">
        <w:rPr>
          <w:rFonts w:cs="Arial"/>
          <w:lang w:val="en-AU"/>
        </w:rPr>
        <w:t>impact of the</w:t>
      </w:r>
      <w:r w:rsidR="007B74D1" w:rsidRPr="00F71B40">
        <w:rPr>
          <w:rFonts w:cs="Arial"/>
          <w:lang w:val="en-AU"/>
        </w:rPr>
        <w:t xml:space="preserve"> very real changes at the central agency level</w:t>
      </w:r>
      <w:r w:rsidR="00D25EB0" w:rsidRPr="00F71B40">
        <w:rPr>
          <w:rFonts w:cs="Arial"/>
          <w:lang w:val="en-AU"/>
        </w:rPr>
        <w:t xml:space="preserve"> on</w:t>
      </w:r>
      <w:r w:rsidR="007B74D1" w:rsidRPr="00F71B40">
        <w:rPr>
          <w:rFonts w:cs="Arial"/>
          <w:lang w:val="en-AU"/>
        </w:rPr>
        <w:t xml:space="preserve"> </w:t>
      </w:r>
      <w:r w:rsidR="00BB501F" w:rsidRPr="00F71B40">
        <w:rPr>
          <w:rFonts w:cs="Arial"/>
          <w:lang w:val="en-AU"/>
        </w:rPr>
        <w:t xml:space="preserve">the behaviour of line ministries and the achievement of </w:t>
      </w:r>
      <w:r w:rsidR="00BB501F" w:rsidRPr="00F71B40">
        <w:rPr>
          <w:lang w:val="en-AU"/>
        </w:rPr>
        <w:t xml:space="preserve">downstream service delivery is hard to detect in recent documents available to the review team.  </w:t>
      </w:r>
    </w:p>
    <w:p w:rsidR="00653491" w:rsidRPr="00F71B40" w:rsidRDefault="00653491" w:rsidP="00D62A32">
      <w:pPr>
        <w:rPr>
          <w:lang w:val="en-AU"/>
        </w:rPr>
      </w:pPr>
    </w:p>
    <w:p w:rsidR="00BB501F" w:rsidRPr="00F71B40" w:rsidRDefault="00BB501F" w:rsidP="00D62A32">
      <w:pPr>
        <w:rPr>
          <w:lang w:val="en-AU"/>
        </w:rPr>
      </w:pPr>
      <w:r w:rsidRPr="00F71B40">
        <w:rPr>
          <w:lang w:val="en-AU"/>
        </w:rPr>
        <w:t xml:space="preserve">The Quality at Implementation Reports for 2012 and 2013 for the Health Sector Support Program (Phase 2) </w:t>
      </w:r>
      <w:r w:rsidR="00115AC9" w:rsidRPr="00F71B40">
        <w:rPr>
          <w:lang w:val="en-AU"/>
        </w:rPr>
        <w:fldChar w:fldCharType="begin"/>
      </w:r>
      <w:r w:rsidR="00115AC9" w:rsidRPr="00F71B40">
        <w:rPr>
          <w:lang w:val="en-AU"/>
        </w:rPr>
        <w:instrText xml:space="preserve"> ADDIN EN.CITE &lt;EndNote&gt;&lt;Cite&gt;&lt;Author&gt;Francis&lt;/Author&gt;&lt;Year&gt;2014&lt;/Year&gt;&lt;RecNum&gt;4258&lt;/RecNum&gt;&lt;DisplayText&gt;(Francis &amp;amp; Kelly, 2014; Kelly, 2013)&lt;/DisplayText&gt;&lt;record&gt;&lt;rec-number&gt;4258&lt;/rec-number&gt;&lt;foreign-keys&gt;&lt;key app="EN" db-id="5v9z5rrdszvwsneef06v9dapsd0apdtfapdx" timestamp="1408313844"&gt;4258&lt;/key&gt;&lt;/foreign-keys&gt;&lt;ref-type name="Report"&gt;27&lt;/ref-type&gt;&lt;contributors&gt;&lt;authors&gt;&lt;author&gt;John Francis&lt;/author&gt;&lt;author&gt;David Kelly&lt;/author&gt;&lt;/authors&gt;&lt;/contributors&gt;&lt;titles&gt;&lt;title&gt;Quality at Implementation Report for Solomon Islands Bilateral Health Program&lt;/title&gt;&lt;/titles&gt;&lt;dates&gt;&lt;year&gt;2014&lt;/year&gt;&lt;/dates&gt;&lt;pub-location&gt;Canberra&lt;/pub-location&gt;&lt;publisher&gt;DFAT&lt;/publisher&gt;&lt;urls&gt;&lt;/urls&gt;&lt;/record&gt;&lt;/Cite&gt;&lt;Cite&gt;&lt;Author&gt;Kelly&lt;/Author&gt;&lt;Year&gt;2013&lt;/Year&gt;&lt;RecNum&gt;4257&lt;/RecNum&gt;&lt;record&gt;&lt;rec-number&gt;4257&lt;/rec-number&gt;&lt;foreign-keys&gt;&lt;key app="EN" db-id="5v9z5rrdszvwsneef06v9dapsd0apdtfapdx" timestamp="1408313824"&gt;4257&lt;/key&gt;&lt;/foreign-keys&gt;&lt;ref-type name="Report"&gt;27&lt;/ref-type&gt;&lt;contributors&gt;&lt;authors&gt;&lt;author&gt;David Kelly&lt;/author&gt;&lt;/authors&gt;&lt;/contributors&gt;&lt;titles&gt;&lt;title&gt;Quality at Implementation Report for Solomon Islands Bilateral Health Program&lt;/title&gt;&lt;/titles&gt;&lt;dates&gt;&lt;year&gt;2013&lt;/year&gt;&lt;/dates&gt;&lt;pub-location&gt;Canberra&lt;/pub-location&gt;&lt;publisher&gt;AusAID&lt;/publisher&gt;&lt;urls&gt;&lt;/urls&gt;&lt;/record&gt;&lt;/Cite&gt;&lt;/EndNote&gt;</w:instrText>
      </w:r>
      <w:r w:rsidR="00115AC9" w:rsidRPr="00F71B40">
        <w:rPr>
          <w:lang w:val="en-AU"/>
        </w:rPr>
        <w:fldChar w:fldCharType="separate"/>
      </w:r>
      <w:r w:rsidR="00115AC9" w:rsidRPr="00F71B40">
        <w:rPr>
          <w:lang w:val="en-AU"/>
        </w:rPr>
        <w:t>(</w:t>
      </w:r>
      <w:hyperlink w:anchor="_ENREF_60" w:tooltip="Francis, 2014 #4258" w:history="1">
        <w:r w:rsidR="00CC56DB" w:rsidRPr="00F71B40">
          <w:rPr>
            <w:lang w:val="en-AU"/>
          </w:rPr>
          <w:t>Francis &amp; Kelly, 2014</w:t>
        </w:r>
      </w:hyperlink>
      <w:r w:rsidR="00115AC9" w:rsidRPr="00F71B40">
        <w:rPr>
          <w:lang w:val="en-AU"/>
        </w:rPr>
        <w:t xml:space="preserve">; </w:t>
      </w:r>
      <w:hyperlink w:anchor="_ENREF_86" w:tooltip="Kelly, 2013 #4257" w:history="1">
        <w:r w:rsidR="00CC56DB" w:rsidRPr="00F71B40">
          <w:rPr>
            <w:lang w:val="en-AU"/>
          </w:rPr>
          <w:t>Kelly, 2013</w:t>
        </w:r>
      </w:hyperlink>
      <w:r w:rsidR="00115AC9" w:rsidRPr="00F71B40">
        <w:rPr>
          <w:lang w:val="en-AU"/>
        </w:rPr>
        <w:t>)</w:t>
      </w:r>
      <w:r w:rsidR="00115AC9" w:rsidRPr="00F71B40">
        <w:rPr>
          <w:lang w:val="en-AU"/>
        </w:rPr>
        <w:fldChar w:fldCharType="end"/>
      </w:r>
      <w:r w:rsidRPr="00F71B40">
        <w:rPr>
          <w:lang w:val="en-AU"/>
        </w:rPr>
        <w:t xml:space="preserve"> give little indication that system-wide improvements in public financial management or HRM have assisted in any of the sectoral outcome improvements. This is not to say that they </w:t>
      </w:r>
      <w:r w:rsidR="005700AE">
        <w:rPr>
          <w:lang w:val="en-AU"/>
        </w:rPr>
        <w:t>did not</w:t>
      </w:r>
      <w:r w:rsidRPr="00F71B40">
        <w:rPr>
          <w:lang w:val="en-AU"/>
        </w:rPr>
        <w:t xml:space="preserve"> – but the link is unclear.</w:t>
      </w:r>
      <w:r w:rsidR="00E256D6">
        <w:rPr>
          <w:lang w:val="en-AU"/>
        </w:rPr>
        <w:t xml:space="preserve">  </w:t>
      </w:r>
      <w:r w:rsidRPr="00F71B40">
        <w:rPr>
          <w:lang w:val="en-AU"/>
        </w:rPr>
        <w:t>So, for example, the 2013 Report highlights that while the expenditure has fallen from 13% to 11% of the budget in the period from 2010 to 2013, the government still continues to invest more in this sector than any other country in the Pacific.</w:t>
      </w:r>
      <w:r w:rsidR="00E256D6">
        <w:rPr>
          <w:lang w:val="en-AU"/>
        </w:rPr>
        <w:t xml:space="preserve">  </w:t>
      </w:r>
      <w:r w:rsidRPr="00F71B40">
        <w:rPr>
          <w:lang w:val="en-AU"/>
        </w:rPr>
        <w:t xml:space="preserve">Is this relative protection for the health sector the result of the improvements in the national budget process?  The 2013 report is suggestive of this in noting the improved quality of the budget submission </w:t>
      </w:r>
      <w:r w:rsidR="00115AC9" w:rsidRPr="00F71B40">
        <w:rPr>
          <w:lang w:val="en-AU"/>
        </w:rPr>
        <w:fldChar w:fldCharType="begin"/>
      </w:r>
      <w:r w:rsidR="00115AC9" w:rsidRPr="00F71B40">
        <w:rPr>
          <w:lang w:val="en-AU"/>
        </w:rPr>
        <w:instrText xml:space="preserve"> ADDIN EN.CITE &lt;EndNote&gt;&lt;Cite&gt;&lt;Author&gt;Francis&lt;/Author&gt;&lt;Year&gt;2014&lt;/Year&gt;&lt;RecNum&gt;4258&lt;/RecNum&gt;&lt;Suffix&gt;`, p.6 and p.9&lt;/Suffix&gt;&lt;DisplayText&gt;(Francis &amp;amp; Kelly, 2014, p.6 and p.9)&lt;/DisplayText&gt;&lt;record&gt;&lt;rec-number&gt;4258&lt;/rec-number&gt;&lt;foreign-keys&gt;&lt;key app="EN" db-id="5v9z5rrdszvwsneef06v9dapsd0apdtfapdx" timestamp="1408313844"&gt;4258&lt;/key&gt;&lt;/foreign-keys&gt;&lt;ref-type name="Report"&gt;27&lt;/ref-type&gt;&lt;contributors&gt;&lt;authors&gt;&lt;author&gt;John Francis&lt;/author&gt;&lt;author&gt;David Kelly&lt;/author&gt;&lt;/authors&gt;&lt;/contributors&gt;&lt;titles&gt;&lt;title&gt;Quality at Implementation Report for Solomon Islands Bilateral Health Program&lt;/title&gt;&lt;/titles&gt;&lt;dates&gt;&lt;year&gt;2014&lt;/year&gt;&lt;/dates&gt;&lt;pub-location&gt;Canberra&lt;/pub-location&gt;&lt;publisher&gt;DFAT&lt;/publisher&gt;&lt;urls&gt;&lt;/urls&gt;&lt;/record&gt;&lt;/Cite&gt;&lt;/EndNote&gt;</w:instrText>
      </w:r>
      <w:r w:rsidR="00115AC9" w:rsidRPr="00F71B40">
        <w:rPr>
          <w:lang w:val="en-AU"/>
        </w:rPr>
        <w:fldChar w:fldCharType="separate"/>
      </w:r>
      <w:r w:rsidR="00115AC9" w:rsidRPr="00F71B40">
        <w:rPr>
          <w:lang w:val="en-AU"/>
        </w:rPr>
        <w:t>(</w:t>
      </w:r>
      <w:hyperlink w:anchor="_ENREF_60" w:tooltip="Francis, 2014 #4258" w:history="1">
        <w:r w:rsidR="00CC56DB" w:rsidRPr="00F71B40">
          <w:rPr>
            <w:lang w:val="en-AU"/>
          </w:rPr>
          <w:t>Francis &amp; Kelly, 2014, p.6 and p.9</w:t>
        </w:r>
      </w:hyperlink>
      <w:r w:rsidR="00115AC9" w:rsidRPr="00F71B40">
        <w:rPr>
          <w:lang w:val="en-AU"/>
        </w:rPr>
        <w:t>)</w:t>
      </w:r>
      <w:r w:rsidR="00115AC9" w:rsidRPr="00F71B40">
        <w:rPr>
          <w:lang w:val="en-AU"/>
        </w:rPr>
        <w:fldChar w:fldCharType="end"/>
      </w:r>
      <w:r w:rsidRPr="00F71B40">
        <w:rPr>
          <w:lang w:val="en-AU"/>
        </w:rPr>
        <w:t xml:space="preserve">. </w:t>
      </w:r>
      <w:r w:rsidR="00C7583E">
        <w:rPr>
          <w:lang w:val="en-AU"/>
        </w:rPr>
        <w:t>However</w:t>
      </w:r>
      <w:r w:rsidRPr="00F71B40">
        <w:rPr>
          <w:lang w:val="en-AU"/>
        </w:rPr>
        <w:t xml:space="preserve">, it </w:t>
      </w:r>
      <w:r w:rsidR="00C7583E">
        <w:rPr>
          <w:lang w:val="en-AU"/>
        </w:rPr>
        <w:t xml:space="preserve">also </w:t>
      </w:r>
      <w:r w:rsidRPr="00F71B40">
        <w:rPr>
          <w:lang w:val="en-AU"/>
        </w:rPr>
        <w:t>suggest</w:t>
      </w:r>
      <w:r w:rsidR="00C7583E">
        <w:rPr>
          <w:lang w:val="en-AU"/>
        </w:rPr>
        <w:t>s</w:t>
      </w:r>
      <w:r w:rsidRPr="00F71B40">
        <w:rPr>
          <w:lang w:val="en-AU"/>
        </w:rPr>
        <w:t xml:space="preserve"> that there are some clear problems facing the sector which have their origins upstream in the central agencies.  The 2012 Report refers to unspecified “ongoing challenges with central agency processes” </w:t>
      </w:r>
      <w:r w:rsidR="00115AC9" w:rsidRPr="00F71B40">
        <w:rPr>
          <w:lang w:val="en-AU"/>
        </w:rPr>
        <w:fldChar w:fldCharType="begin"/>
      </w:r>
      <w:r w:rsidR="00115AC9" w:rsidRPr="00F71B40">
        <w:rPr>
          <w:lang w:val="en-AU"/>
        </w:rPr>
        <w:instrText xml:space="preserve"> ADDIN EN.CITE &lt;EndNote&gt;&lt;Cite&gt;&lt;Author&gt;Kelly&lt;/Author&gt;&lt;Year&gt;2013&lt;/Year&gt;&lt;RecNum&gt;4257&lt;/RecNum&gt;&lt;Suffix&gt;`, p.6&lt;/Suffix&gt;&lt;DisplayText&gt;(Kelly, 2013, p.6)&lt;/DisplayText&gt;&lt;record&gt;&lt;rec-number&gt;4257&lt;/rec-number&gt;&lt;foreign-keys&gt;&lt;key app="EN" db-id="5v9z5rrdszvwsneef06v9dapsd0apdtfapdx" timestamp="1408313824"&gt;4257&lt;/key&gt;&lt;/foreign-keys&gt;&lt;ref-type name="Report"&gt;27&lt;/ref-type&gt;&lt;contributors&gt;&lt;authors&gt;&lt;author&gt;David Kelly&lt;/author&gt;&lt;/authors&gt;&lt;/contributors&gt;&lt;titles&gt;&lt;title&gt;Quality at Implementation Report for Solomon Islands Bilateral Health Program&lt;/title&gt;&lt;/titles&gt;&lt;dates&gt;&lt;year&gt;2013&lt;/year&gt;&lt;/dates&gt;&lt;pub-location&gt;Canberra&lt;/pub-location&gt;&lt;publisher&gt;AusAID&lt;/publisher&gt;&lt;urls&gt;&lt;/urls&gt;&lt;/record&gt;&lt;/Cite&gt;&lt;/EndNote&gt;</w:instrText>
      </w:r>
      <w:r w:rsidR="00115AC9" w:rsidRPr="00F71B40">
        <w:rPr>
          <w:lang w:val="en-AU"/>
        </w:rPr>
        <w:fldChar w:fldCharType="separate"/>
      </w:r>
      <w:r w:rsidR="00115AC9" w:rsidRPr="00F71B40">
        <w:rPr>
          <w:lang w:val="en-AU"/>
        </w:rPr>
        <w:t>(</w:t>
      </w:r>
      <w:hyperlink w:anchor="_ENREF_86" w:tooltip="Kelly, 2013 #4257" w:history="1">
        <w:r w:rsidR="00CC56DB" w:rsidRPr="00F71B40">
          <w:rPr>
            <w:lang w:val="en-AU"/>
          </w:rPr>
          <w:t>Kelly, 2013, p.6</w:t>
        </w:r>
      </w:hyperlink>
      <w:r w:rsidR="00115AC9" w:rsidRPr="00F71B40">
        <w:rPr>
          <w:lang w:val="en-AU"/>
        </w:rPr>
        <w:t>)</w:t>
      </w:r>
      <w:r w:rsidR="00115AC9" w:rsidRPr="00F71B40">
        <w:rPr>
          <w:lang w:val="en-AU"/>
        </w:rPr>
        <w:fldChar w:fldCharType="end"/>
      </w:r>
      <w:r w:rsidRPr="00F71B40">
        <w:rPr>
          <w:lang w:val="en-AU"/>
        </w:rPr>
        <w:t xml:space="preserve">, it notes the delays in budgetary appropriations, delays in </w:t>
      </w:r>
      <w:r w:rsidRPr="00F71B40">
        <w:rPr>
          <w:lang w:val="en-AU"/>
        </w:rPr>
        <w:lastRenderedPageBreak/>
        <w:t xml:space="preserve">advertising of tenders and high vacancy rates because of long recruitment processes managed by the Ministry of Public Service </w:t>
      </w:r>
      <w:r w:rsidR="00115AC9" w:rsidRPr="00F71B40">
        <w:rPr>
          <w:lang w:val="en-AU"/>
        </w:rPr>
        <w:fldChar w:fldCharType="begin"/>
      </w:r>
      <w:r w:rsidR="00115AC9" w:rsidRPr="00F71B40">
        <w:rPr>
          <w:lang w:val="en-AU"/>
        </w:rPr>
        <w:instrText xml:space="preserve"> ADDIN EN.CITE &lt;EndNote&gt;&lt;Cite&gt;&lt;Author&gt;Kelly&lt;/Author&gt;&lt;Year&gt;2013&lt;/Year&gt;&lt;RecNum&gt;4257&lt;/RecNum&gt;&lt;Suffix&gt;`, p.7&lt;/Suffix&gt;&lt;DisplayText&gt;(Kelly, 2013, p.7)&lt;/DisplayText&gt;&lt;record&gt;&lt;rec-number&gt;4257&lt;/rec-number&gt;&lt;foreign-keys&gt;&lt;key app="EN" db-id="5v9z5rrdszvwsneef06v9dapsd0apdtfapdx" timestamp="1408313824"&gt;4257&lt;/key&gt;&lt;/foreign-keys&gt;&lt;ref-type name="Report"&gt;27&lt;/ref-type&gt;&lt;contributors&gt;&lt;authors&gt;&lt;author&gt;David Kelly&lt;/author&gt;&lt;/authors&gt;&lt;/contributors&gt;&lt;titles&gt;&lt;title&gt;Quality at Implementation Report for Solomon Islands Bilateral Health Program&lt;/title&gt;&lt;/titles&gt;&lt;dates&gt;&lt;year&gt;2013&lt;/year&gt;&lt;/dates&gt;&lt;pub-location&gt;Canberra&lt;/pub-location&gt;&lt;publisher&gt;AusAID&lt;/publisher&gt;&lt;urls&gt;&lt;/urls&gt;&lt;/record&gt;&lt;/Cite&gt;&lt;/EndNote&gt;</w:instrText>
      </w:r>
      <w:r w:rsidR="00115AC9" w:rsidRPr="00F71B40">
        <w:rPr>
          <w:lang w:val="en-AU"/>
        </w:rPr>
        <w:fldChar w:fldCharType="separate"/>
      </w:r>
      <w:r w:rsidR="00115AC9" w:rsidRPr="00F71B40">
        <w:rPr>
          <w:lang w:val="en-AU"/>
        </w:rPr>
        <w:t>(</w:t>
      </w:r>
      <w:hyperlink w:anchor="_ENREF_86" w:tooltip="Kelly, 2013 #4257" w:history="1">
        <w:r w:rsidR="00CC56DB" w:rsidRPr="00F71B40">
          <w:rPr>
            <w:lang w:val="en-AU"/>
          </w:rPr>
          <w:t>Kelly, 2013, p.7</w:t>
        </w:r>
      </w:hyperlink>
      <w:r w:rsidR="00115AC9" w:rsidRPr="00F71B40">
        <w:rPr>
          <w:lang w:val="en-AU"/>
        </w:rPr>
        <w:t>)</w:t>
      </w:r>
      <w:r w:rsidR="00115AC9" w:rsidRPr="00F71B40">
        <w:rPr>
          <w:lang w:val="en-AU"/>
        </w:rPr>
        <w:fldChar w:fldCharType="end"/>
      </w:r>
      <w:r w:rsidRPr="00F71B40">
        <w:rPr>
          <w:lang w:val="en-AU"/>
        </w:rPr>
        <w:t>.</w:t>
      </w:r>
      <w:r w:rsidR="00E256D6">
        <w:rPr>
          <w:lang w:val="en-AU"/>
        </w:rPr>
        <w:t xml:space="preserve">  </w:t>
      </w:r>
      <w:r w:rsidRPr="00F71B40">
        <w:rPr>
          <w:lang w:val="en-AU"/>
        </w:rPr>
        <w:t xml:space="preserve">Both reports emphasize the problem of inadequate budgeted finance for maintenance </w:t>
      </w:r>
      <w:r w:rsidR="00115AC9" w:rsidRPr="00F71B40">
        <w:rPr>
          <w:lang w:val="en-AU"/>
        </w:rPr>
        <w:fldChar w:fldCharType="begin"/>
      </w:r>
      <w:r w:rsidR="00115AC9" w:rsidRPr="00F71B40">
        <w:rPr>
          <w:lang w:val="en-AU"/>
        </w:rPr>
        <w:instrText xml:space="preserve"> ADDIN EN.CITE &lt;EndNote&gt;&lt;Cite&gt;&lt;Author&gt;Kelly&lt;/Author&gt;&lt;Year&gt;2013&lt;/Year&gt;&lt;RecNum&gt;4257&lt;/RecNum&gt;&lt;Suffix&gt;`, p.13&lt;/Suffix&gt;&lt;DisplayText&gt;(Francis &amp;amp; Kelly, 2014, p.9; Kelly, 2013, p.13)&lt;/DisplayText&gt;&lt;record&gt;&lt;rec-number&gt;4257&lt;/rec-number&gt;&lt;foreign-keys&gt;&lt;key app="EN" db-id="5v9z5rrdszvwsneef06v9dapsd0apdtfapdx" timestamp="1408313824"&gt;4257&lt;/key&gt;&lt;/foreign-keys&gt;&lt;ref-type name="Report"&gt;27&lt;/ref-type&gt;&lt;contributors&gt;&lt;authors&gt;&lt;author&gt;David Kelly&lt;/author&gt;&lt;/authors&gt;&lt;/contributors&gt;&lt;titles&gt;&lt;title&gt;Quality at Implementation Report for Solomon Islands Bilateral Health Program&lt;/title&gt;&lt;/titles&gt;&lt;dates&gt;&lt;year&gt;2013&lt;/year&gt;&lt;/dates&gt;&lt;pub-location&gt;Canberra&lt;/pub-location&gt;&lt;publisher&gt;AusAID&lt;/publisher&gt;&lt;urls&gt;&lt;/urls&gt;&lt;/record&gt;&lt;/Cite&gt;&lt;Cite&gt;&lt;Author&gt;Francis&lt;/Author&gt;&lt;Year&gt;2014&lt;/Year&gt;&lt;RecNum&gt;4258&lt;/RecNum&gt;&lt;Suffix&gt;`, p.9&lt;/Suffix&gt;&lt;record&gt;&lt;rec-number&gt;4258&lt;/rec-number&gt;&lt;foreign-keys&gt;&lt;key app="EN" db-id="5v9z5rrdszvwsneef06v9dapsd0apdtfapdx" timestamp="1408313844"&gt;4258&lt;/key&gt;&lt;/foreign-keys&gt;&lt;ref-type name="Report"&gt;27&lt;/ref-type&gt;&lt;contributors&gt;&lt;authors&gt;&lt;author&gt;John Francis&lt;/author&gt;&lt;author&gt;David Kelly&lt;/author&gt;&lt;/authors&gt;&lt;/contributors&gt;&lt;titles&gt;&lt;title&gt;Quality at Implementation Report for Solomon Islands Bilateral Health Program&lt;/title&gt;&lt;/titles&gt;&lt;dates&gt;&lt;year&gt;2014&lt;/year&gt;&lt;/dates&gt;&lt;pub-location&gt;Canberra&lt;/pub-location&gt;&lt;publisher&gt;DFAT&lt;/publisher&gt;&lt;urls&gt;&lt;/urls&gt;&lt;/record&gt;&lt;/Cite&gt;&lt;/EndNote&gt;</w:instrText>
      </w:r>
      <w:r w:rsidR="00115AC9" w:rsidRPr="00F71B40">
        <w:rPr>
          <w:lang w:val="en-AU"/>
        </w:rPr>
        <w:fldChar w:fldCharType="separate"/>
      </w:r>
      <w:r w:rsidR="00115AC9" w:rsidRPr="00F71B40">
        <w:rPr>
          <w:lang w:val="en-AU"/>
        </w:rPr>
        <w:t>(</w:t>
      </w:r>
      <w:hyperlink w:anchor="_ENREF_60" w:tooltip="Francis, 2014 #4258" w:history="1">
        <w:r w:rsidR="00CC56DB" w:rsidRPr="00F71B40">
          <w:rPr>
            <w:lang w:val="en-AU"/>
          </w:rPr>
          <w:t>Francis &amp; Kelly, 2014, p.9</w:t>
        </w:r>
      </w:hyperlink>
      <w:r w:rsidR="00115AC9" w:rsidRPr="00F71B40">
        <w:rPr>
          <w:lang w:val="en-AU"/>
        </w:rPr>
        <w:t xml:space="preserve">; </w:t>
      </w:r>
      <w:hyperlink w:anchor="_ENREF_86" w:tooltip="Kelly, 2013 #4257" w:history="1">
        <w:r w:rsidR="00CC56DB" w:rsidRPr="00F71B40">
          <w:rPr>
            <w:lang w:val="en-AU"/>
          </w:rPr>
          <w:t>Kelly, 2013, p.13</w:t>
        </w:r>
      </w:hyperlink>
      <w:r w:rsidR="00115AC9" w:rsidRPr="00F71B40">
        <w:rPr>
          <w:lang w:val="en-AU"/>
        </w:rPr>
        <w:t>)</w:t>
      </w:r>
      <w:r w:rsidR="00115AC9" w:rsidRPr="00F71B40">
        <w:rPr>
          <w:lang w:val="en-AU"/>
        </w:rPr>
        <w:fldChar w:fldCharType="end"/>
      </w:r>
      <w:r w:rsidRPr="00F71B40">
        <w:rPr>
          <w:lang w:val="en-AU"/>
        </w:rPr>
        <w:t>.</w:t>
      </w:r>
    </w:p>
    <w:p w:rsidR="00BB501F" w:rsidRPr="00F71B40" w:rsidRDefault="00BB501F" w:rsidP="00D62A32">
      <w:pPr>
        <w:rPr>
          <w:lang w:val="en-AU"/>
        </w:rPr>
      </w:pPr>
    </w:p>
    <w:p w:rsidR="00A46DA9" w:rsidRDefault="00C7583E" w:rsidP="00D62A32">
      <w:pPr>
        <w:rPr>
          <w:lang w:val="en-AU"/>
        </w:rPr>
      </w:pPr>
      <w:r>
        <w:rPr>
          <w:lang w:val="en-AU"/>
        </w:rPr>
        <w:t xml:space="preserve">As </w:t>
      </w:r>
      <w:r w:rsidR="00037011">
        <w:rPr>
          <w:lang w:val="en-AU"/>
        </w:rPr>
        <w:fldChar w:fldCharType="begin"/>
      </w:r>
      <w:r w:rsidR="00037011">
        <w:rPr>
          <w:lang w:val="en-AU"/>
        </w:rPr>
        <w:instrText xml:space="preserve"> ADDIN EN.CITE &lt;EndNote&gt;&lt;Cite&gt;&lt;Author&gt;CEWG&lt;/Author&gt;&lt;Year&gt;2013&lt;/Year&gt;&lt;RecNum&gt;4266&lt;/RecNum&gt;&lt;Suffix&gt;`, p. 28&lt;/Suffix&gt;&lt;DisplayText&gt;(CEWG, 2013, p. 28)&lt;/DisplayText&gt;&lt;record&gt;&lt;rec-number&gt;4266&lt;/rec-number&gt;&lt;foreign-keys&gt;&lt;key app="EN" db-id="5v9z5rrdszvwsneef06v9dapsd0apdtfapdx" timestamp="1408393765"&gt;4266&lt;/key&gt;&lt;/foreign-keys&gt;&lt;ref-type name="Report"&gt;27&lt;/ref-type&gt;&lt;contributors&gt;&lt;authors&gt;&lt;author&gt;CEWG&lt;/author&gt;&lt;/authors&gt;&lt;/contributors&gt;&lt;titles&gt;&lt;title&gt;Report of Fourth Annual Joint Review Mission&lt;/title&gt;&lt;/titles&gt;&lt;dates&gt;&lt;year&gt;2013&lt;/year&gt;&lt;/dates&gt;&lt;pub-location&gt;Honiara&lt;/pub-location&gt;&lt;publisher&gt;Solomon Islands Core Economic Working Group&lt;/publisher&gt;&lt;urls&gt;&lt;/urls&gt;&lt;/record&gt;&lt;/Cite&gt;&lt;/EndNote&gt;</w:instrText>
      </w:r>
      <w:r w:rsidR="00037011">
        <w:rPr>
          <w:lang w:val="en-AU"/>
        </w:rPr>
        <w:fldChar w:fldCharType="separate"/>
      </w:r>
      <w:r w:rsidR="00037011">
        <w:rPr>
          <w:noProof/>
          <w:lang w:val="en-AU"/>
        </w:rPr>
        <w:t>(</w:t>
      </w:r>
      <w:hyperlink w:anchor="_ENREF_34" w:tooltip="CEWG, 2013 #4266" w:history="1">
        <w:r w:rsidR="00CC56DB">
          <w:rPr>
            <w:noProof/>
            <w:lang w:val="en-AU"/>
          </w:rPr>
          <w:t>CEWG, 2013, p. 28</w:t>
        </w:r>
      </w:hyperlink>
      <w:r w:rsidR="00037011">
        <w:rPr>
          <w:noProof/>
          <w:lang w:val="en-AU"/>
        </w:rPr>
        <w:t>)</w:t>
      </w:r>
      <w:r w:rsidR="00037011">
        <w:rPr>
          <w:lang w:val="en-AU"/>
        </w:rPr>
        <w:fldChar w:fldCharType="end"/>
      </w:r>
      <w:r>
        <w:rPr>
          <w:lang w:val="en-AU"/>
        </w:rPr>
        <w:t xml:space="preserve"> </w:t>
      </w:r>
      <w:r w:rsidR="00A46DA9" w:rsidRPr="00F71B40">
        <w:rPr>
          <w:lang w:val="en-AU"/>
        </w:rPr>
        <w:t>notes “… significant progress has been made in strengthening the institutional framework for PFM</w:t>
      </w:r>
      <w:r w:rsidR="00C27F22" w:rsidRPr="00F71B40">
        <w:rPr>
          <w:lang w:val="en-AU"/>
        </w:rPr>
        <w:t xml:space="preserve"> (but, in the future)…</w:t>
      </w:r>
      <w:r w:rsidR="00A46DA9" w:rsidRPr="00F71B40">
        <w:rPr>
          <w:lang w:val="en-AU"/>
        </w:rPr>
        <w:t xml:space="preserve">the </w:t>
      </w:r>
      <w:r w:rsidR="00D25EB0" w:rsidRPr="00F71B40">
        <w:rPr>
          <w:lang w:val="en-AU"/>
        </w:rPr>
        <w:t>Joint Review Mission</w:t>
      </w:r>
      <w:r w:rsidR="00A46DA9" w:rsidRPr="00F71B40">
        <w:rPr>
          <w:lang w:val="en-AU"/>
        </w:rPr>
        <w:t xml:space="preserve"> suggests that the focus should be on ensuring that these reforms yield tangible improvements in public service delivery…  there is an urgent need to broaden the focus of reform efforts beyond MoFT to overcome weaknesses and constraints that hinder the effectiveness of PFM reforms (including) (e)ngaging on civil service reform (and) (l)inking PFM reforms more tightly to improvements in service delivery.”</w:t>
      </w:r>
    </w:p>
    <w:p w:rsidR="00C62B7E" w:rsidRDefault="00C62B7E" w:rsidP="00D62A32">
      <w:pPr>
        <w:rPr>
          <w:lang w:val="en-AU"/>
        </w:rPr>
      </w:pPr>
    </w:p>
    <w:p w:rsidR="00677EBB" w:rsidRDefault="00866B58" w:rsidP="00D62A32">
      <w:pPr>
        <w:rPr>
          <w:lang w:val="en-AU"/>
        </w:rPr>
      </w:pPr>
      <w:r w:rsidRPr="006A70A3">
        <w:rPr>
          <w:lang w:val="en-AU"/>
        </w:rPr>
        <w:t>It is important to note that m</w:t>
      </w:r>
      <w:r w:rsidR="00C62B7E" w:rsidRPr="0098305E">
        <w:rPr>
          <w:lang w:val="en-AU"/>
        </w:rPr>
        <w:t xml:space="preserve">aking progress on this fundamental challenge is not just a task for SIGOV.  </w:t>
      </w:r>
      <w:r w:rsidR="00F07109" w:rsidRPr="0098305E">
        <w:rPr>
          <w:lang w:val="en-AU"/>
        </w:rPr>
        <w:t>W</w:t>
      </w:r>
      <w:r w:rsidR="00F07109" w:rsidRPr="006A70A3">
        <w:rPr>
          <w:lang w:val="en-AU"/>
        </w:rPr>
        <w:t xml:space="preserve">hile the design of SIGOV must be driven by the need to achieve downstream </w:t>
      </w:r>
      <w:r w:rsidRPr="006A70A3">
        <w:rPr>
          <w:lang w:val="en-AU"/>
        </w:rPr>
        <w:t>results</w:t>
      </w:r>
      <w:r w:rsidR="00F07109" w:rsidRPr="0098305E">
        <w:rPr>
          <w:lang w:val="en-AU"/>
        </w:rPr>
        <w:t xml:space="preserve">, there are DFAT and other </w:t>
      </w:r>
      <w:r w:rsidRPr="006A70A3">
        <w:rPr>
          <w:lang w:val="en-AU"/>
        </w:rPr>
        <w:t xml:space="preserve">donor </w:t>
      </w:r>
      <w:r w:rsidR="00F07109" w:rsidRPr="0098305E">
        <w:rPr>
          <w:lang w:val="en-AU"/>
        </w:rPr>
        <w:t xml:space="preserve">programs working directly with </w:t>
      </w:r>
      <w:r w:rsidRPr="006A70A3">
        <w:rPr>
          <w:lang w:val="en-AU"/>
        </w:rPr>
        <w:t>delivery</w:t>
      </w:r>
      <w:r w:rsidR="00F07109" w:rsidRPr="0098305E">
        <w:rPr>
          <w:lang w:val="en-AU"/>
        </w:rPr>
        <w:t xml:space="preserve"> agencies in infrastructure, health, water and sanitation</w:t>
      </w:r>
      <w:r w:rsidR="00F07109" w:rsidRPr="006A70A3">
        <w:rPr>
          <w:lang w:val="en-AU"/>
        </w:rPr>
        <w:t xml:space="preserve">, education and rural development.  There is a task for these programs </w:t>
      </w:r>
      <w:r w:rsidRPr="006A70A3">
        <w:rPr>
          <w:lang w:val="en-AU"/>
        </w:rPr>
        <w:t>to</w:t>
      </w:r>
      <w:r w:rsidR="00F07109" w:rsidRPr="0098305E">
        <w:rPr>
          <w:lang w:val="en-AU"/>
        </w:rPr>
        <w:t xml:space="preserve"> support</w:t>
      </w:r>
      <w:r w:rsidRPr="006A70A3">
        <w:rPr>
          <w:lang w:val="en-AU"/>
        </w:rPr>
        <w:t xml:space="preserve"> and seize</w:t>
      </w:r>
      <w:r w:rsidR="00F07109" w:rsidRPr="0098305E">
        <w:rPr>
          <w:lang w:val="en-AU"/>
        </w:rPr>
        <w:t xml:space="preserve"> the oppo</w:t>
      </w:r>
      <w:r w:rsidR="00F07109" w:rsidRPr="006A70A3">
        <w:rPr>
          <w:lang w:val="en-AU"/>
        </w:rPr>
        <w:t xml:space="preserve">rtunities created by the central agency changes and to incorporate </w:t>
      </w:r>
      <w:r w:rsidR="002E24FA" w:rsidRPr="006A70A3">
        <w:rPr>
          <w:lang w:val="en-AU"/>
        </w:rPr>
        <w:t xml:space="preserve">support for </w:t>
      </w:r>
      <w:r w:rsidR="00F07109" w:rsidRPr="006A70A3">
        <w:rPr>
          <w:lang w:val="en-AU"/>
        </w:rPr>
        <w:t xml:space="preserve">financial management, procurement and human resource management </w:t>
      </w:r>
      <w:r w:rsidR="002E24FA" w:rsidRPr="006A70A3">
        <w:rPr>
          <w:lang w:val="en-AU"/>
        </w:rPr>
        <w:t xml:space="preserve">improvements </w:t>
      </w:r>
      <w:r w:rsidRPr="006A70A3">
        <w:rPr>
          <w:lang w:val="en-AU"/>
        </w:rPr>
        <w:t xml:space="preserve">in their activities </w:t>
      </w:r>
      <w:r w:rsidR="002E24FA" w:rsidRPr="0098305E">
        <w:rPr>
          <w:lang w:val="en-AU"/>
        </w:rPr>
        <w:t>at the sector level</w:t>
      </w:r>
      <w:r w:rsidR="00F07109" w:rsidRPr="0098305E">
        <w:rPr>
          <w:lang w:val="en-AU"/>
        </w:rPr>
        <w:t>.</w:t>
      </w:r>
      <w:r w:rsidR="00F07109">
        <w:rPr>
          <w:lang w:val="en-AU"/>
        </w:rPr>
        <w:t xml:space="preserve"> </w:t>
      </w:r>
    </w:p>
    <w:p w:rsidR="00F07109" w:rsidRPr="00F71B40" w:rsidRDefault="00F07109" w:rsidP="00D62A32">
      <w:pPr>
        <w:rPr>
          <w:lang w:val="en-AU"/>
        </w:rPr>
      </w:pPr>
    </w:p>
    <w:p w:rsidR="00677EBB" w:rsidRPr="00F71B40" w:rsidRDefault="005238F5" w:rsidP="00D62A32">
      <w:pPr>
        <w:pStyle w:val="Heading1"/>
        <w:rPr>
          <w:lang w:val="en-AU"/>
        </w:rPr>
      </w:pPr>
      <w:bookmarkStart w:id="55" w:name="_Ref396646754"/>
      <w:bookmarkStart w:id="56" w:name="_Ref396646770"/>
      <w:bookmarkStart w:id="57" w:name="_Toc399410391"/>
      <w:r w:rsidRPr="00F71B40">
        <w:rPr>
          <w:lang w:val="en-AU"/>
        </w:rPr>
        <w:t>Unpacking</w:t>
      </w:r>
      <w:r w:rsidR="004D44B0" w:rsidRPr="00F71B40">
        <w:rPr>
          <w:lang w:val="en-AU"/>
        </w:rPr>
        <w:t xml:space="preserve"> the</w:t>
      </w:r>
      <w:r w:rsidR="00677EBB" w:rsidRPr="00F71B40">
        <w:rPr>
          <w:lang w:val="en-AU"/>
        </w:rPr>
        <w:t xml:space="preserve"> SIGOV </w:t>
      </w:r>
      <w:r w:rsidR="004D44B0" w:rsidRPr="00F71B40">
        <w:rPr>
          <w:lang w:val="en-AU"/>
        </w:rPr>
        <w:t>design</w:t>
      </w:r>
      <w:bookmarkEnd w:id="55"/>
      <w:bookmarkEnd w:id="56"/>
      <w:bookmarkEnd w:id="57"/>
    </w:p>
    <w:p w:rsidR="00BE5217" w:rsidRPr="00F71B40" w:rsidRDefault="00BE5217" w:rsidP="00D62A32">
      <w:pPr>
        <w:rPr>
          <w:rFonts w:cs="Times New Roman"/>
          <w:i/>
          <w:lang w:val="en-AU"/>
        </w:rPr>
      </w:pPr>
    </w:p>
    <w:p w:rsidR="00860020" w:rsidRPr="00F71B40" w:rsidRDefault="00E56FAE" w:rsidP="00D62A32">
      <w:pPr>
        <w:rPr>
          <w:rFonts w:cs="Times New Roman"/>
          <w:lang w:val="en-AU"/>
        </w:rPr>
      </w:pPr>
      <w:r w:rsidRPr="00F71B40">
        <w:rPr>
          <w:lang w:val="en-AU"/>
        </w:rPr>
        <w:t xml:space="preserve">To the extent that history is indeed repeating itself in SIGOV, </w:t>
      </w:r>
      <w:r w:rsidR="00535533">
        <w:rPr>
          <w:lang w:val="en-AU"/>
        </w:rPr>
        <w:t>the next questions concern</w:t>
      </w:r>
      <w:r w:rsidRPr="00F71B40">
        <w:rPr>
          <w:lang w:val="en-AU"/>
        </w:rPr>
        <w:t xml:space="preserve"> whether and how the limitations are emerging from the SIGOV project design.  </w:t>
      </w:r>
      <w:r w:rsidR="00860020" w:rsidRPr="00F71B40">
        <w:rPr>
          <w:lang w:val="en-AU"/>
        </w:rPr>
        <w:t xml:space="preserve">This section notes that SIGOV, in common with many similar programs, has a two-part intervention logic: Part A entails improving the functioning of the central agencies and core public management systems, while </w:t>
      </w:r>
      <w:r w:rsidR="00860020" w:rsidRPr="00F71B40">
        <w:rPr>
          <w:rFonts w:cs="Times New Roman"/>
          <w:lang w:val="en-AU"/>
        </w:rPr>
        <w:t xml:space="preserve">in Part B, these system changes lead to subsequent government performance improvements in the sectors.  </w:t>
      </w:r>
    </w:p>
    <w:p w:rsidR="00860020" w:rsidRPr="00F71B40" w:rsidRDefault="00860020" w:rsidP="00D62A32">
      <w:pPr>
        <w:rPr>
          <w:rFonts w:cs="Times New Roman"/>
          <w:lang w:val="en-AU"/>
        </w:rPr>
      </w:pPr>
    </w:p>
    <w:p w:rsidR="00860020" w:rsidRPr="00F71B40" w:rsidRDefault="00FC2AEF" w:rsidP="00D62A32">
      <w:pPr>
        <w:rPr>
          <w:rFonts w:cs="Times New Roman"/>
          <w:lang w:val="en-AU"/>
        </w:rPr>
      </w:pPr>
      <w:r w:rsidRPr="00F71B40">
        <w:rPr>
          <w:rFonts w:cs="Times New Roman"/>
          <w:lang w:val="en-AU"/>
        </w:rPr>
        <w:t>The section</w:t>
      </w:r>
      <w:r w:rsidR="00860020" w:rsidRPr="00F71B40">
        <w:rPr>
          <w:rFonts w:cs="Times New Roman"/>
          <w:lang w:val="en-AU"/>
        </w:rPr>
        <w:t xml:space="preserve"> concludes that:</w:t>
      </w:r>
    </w:p>
    <w:p w:rsidR="00860020" w:rsidRPr="00406E5B" w:rsidRDefault="00860020" w:rsidP="004D15F8">
      <w:pPr>
        <w:pStyle w:val="ListParagraph"/>
        <w:keepNext/>
        <w:keepLines/>
        <w:numPr>
          <w:ilvl w:val="0"/>
          <w:numId w:val="25"/>
        </w:numPr>
        <w:rPr>
          <w:rFonts w:cs="Times New Roman"/>
          <w:i/>
          <w:lang w:val="en-AU"/>
        </w:rPr>
      </w:pPr>
      <w:r w:rsidRPr="00406E5B">
        <w:rPr>
          <w:rFonts w:cs="Times New Roman"/>
          <w:i/>
          <w:lang w:val="en-AU"/>
        </w:rPr>
        <w:t>For Part A – interventions which cause functional improvements in central agencies</w:t>
      </w:r>
    </w:p>
    <w:p w:rsidR="00860020" w:rsidRPr="00F71B40" w:rsidRDefault="00860020" w:rsidP="004D15F8">
      <w:pPr>
        <w:pStyle w:val="ListParagraph"/>
        <w:numPr>
          <w:ilvl w:val="1"/>
          <w:numId w:val="25"/>
        </w:numPr>
        <w:rPr>
          <w:lang w:val="en-AU"/>
        </w:rPr>
      </w:pPr>
      <w:r w:rsidRPr="00F71B40">
        <w:rPr>
          <w:rFonts w:cs="Times New Roman"/>
          <w:lang w:val="en-AU"/>
        </w:rPr>
        <w:t>The inputs focus narrowly on technical advice and guidance and temporary capacity enhancement through external advisors</w:t>
      </w:r>
      <w:r w:rsidRPr="00F71B40">
        <w:rPr>
          <w:lang w:val="en-AU"/>
        </w:rPr>
        <w:t>.</w:t>
      </w:r>
    </w:p>
    <w:p w:rsidR="00860020" w:rsidRPr="00406E5B" w:rsidRDefault="00860020" w:rsidP="004D15F8">
      <w:pPr>
        <w:pStyle w:val="ListParagraph"/>
        <w:keepNext/>
        <w:keepLines/>
        <w:numPr>
          <w:ilvl w:val="0"/>
          <w:numId w:val="25"/>
        </w:numPr>
        <w:rPr>
          <w:rFonts w:cs="Times New Roman"/>
          <w:i/>
          <w:lang w:val="en-AU"/>
        </w:rPr>
      </w:pPr>
      <w:r w:rsidRPr="00406E5B">
        <w:rPr>
          <w:rFonts w:cs="Times New Roman"/>
          <w:i/>
          <w:lang w:val="en-AU"/>
        </w:rPr>
        <w:t>For Part B – ensuring that those improvements result in government performance improvements</w:t>
      </w:r>
    </w:p>
    <w:p w:rsidR="00860020" w:rsidRPr="00F71B40" w:rsidRDefault="000D738F" w:rsidP="004D15F8">
      <w:pPr>
        <w:pStyle w:val="ListParagraph"/>
        <w:numPr>
          <w:ilvl w:val="1"/>
          <w:numId w:val="25"/>
        </w:numPr>
        <w:rPr>
          <w:lang w:val="en-AU"/>
        </w:rPr>
      </w:pPr>
      <w:r w:rsidRPr="00F71B40">
        <w:rPr>
          <w:lang w:val="en-AU"/>
        </w:rPr>
        <w:t>Limitations on the understanding of how the public sector operates downstream now or could in the future operate more effectively are not acknowledged explicitly and consequently no approach to learning about how the public sector operates is incorporated within the project design</w:t>
      </w:r>
      <w:r w:rsidR="00860020" w:rsidRPr="00F71B40">
        <w:rPr>
          <w:lang w:val="en-AU"/>
        </w:rPr>
        <w:t xml:space="preserve">. </w:t>
      </w:r>
    </w:p>
    <w:p w:rsidR="00860020" w:rsidRPr="00F71B40" w:rsidRDefault="00860020" w:rsidP="004D15F8">
      <w:pPr>
        <w:pStyle w:val="ListParagraph"/>
        <w:numPr>
          <w:ilvl w:val="1"/>
          <w:numId w:val="25"/>
        </w:numPr>
        <w:rPr>
          <w:lang w:val="en-AU"/>
        </w:rPr>
      </w:pPr>
      <w:r w:rsidRPr="00F71B40">
        <w:rPr>
          <w:rFonts w:cs="Times New Roman"/>
          <w:lang w:val="en-AU"/>
        </w:rPr>
        <w:t xml:space="preserve">In turn, there is little evidence on which to </w:t>
      </w:r>
      <w:r w:rsidRPr="00F71B40">
        <w:rPr>
          <w:lang w:val="en-AU"/>
        </w:rPr>
        <w:t xml:space="preserve">prioritize improvements in the central agencies, or </w:t>
      </w:r>
      <w:r w:rsidR="000D738F">
        <w:rPr>
          <w:lang w:val="en-AU"/>
        </w:rPr>
        <w:t xml:space="preserve">to </w:t>
      </w:r>
      <w:r w:rsidRPr="00F71B40">
        <w:rPr>
          <w:lang w:val="en-AU"/>
        </w:rPr>
        <w:t>address the distinctively strong role of MPs in de</w:t>
      </w:r>
      <w:r w:rsidR="005A552E" w:rsidRPr="00F71B40">
        <w:rPr>
          <w:lang w:val="en-AU"/>
        </w:rPr>
        <w:t>termining public sector outputs.</w:t>
      </w:r>
    </w:p>
    <w:p w:rsidR="00860020" w:rsidRPr="00F71B40" w:rsidRDefault="005A552E" w:rsidP="004D15F8">
      <w:pPr>
        <w:pStyle w:val="ListParagraph"/>
        <w:numPr>
          <w:ilvl w:val="1"/>
          <w:numId w:val="25"/>
        </w:numPr>
        <w:rPr>
          <w:rFonts w:cs="Times New Roman"/>
          <w:lang w:val="en-AU"/>
        </w:rPr>
      </w:pPr>
      <w:r w:rsidRPr="00F71B40">
        <w:rPr>
          <w:rFonts w:cs="Times New Roman"/>
          <w:lang w:val="en-AU"/>
        </w:rPr>
        <w:t xml:space="preserve">There is also, as yet, little space for piloting, </w:t>
      </w:r>
      <w:r w:rsidR="00860020" w:rsidRPr="00F71B40">
        <w:rPr>
          <w:rFonts w:cs="Times New Roman"/>
          <w:lang w:val="en-AU"/>
        </w:rPr>
        <w:t>test</w:t>
      </w:r>
      <w:r w:rsidRPr="00F71B40">
        <w:rPr>
          <w:rFonts w:cs="Times New Roman"/>
          <w:lang w:val="en-AU"/>
        </w:rPr>
        <w:t>ing and refining new approaches</w:t>
      </w:r>
      <w:r w:rsidR="00860020" w:rsidRPr="00F71B40">
        <w:rPr>
          <w:rFonts w:cs="Times New Roman"/>
          <w:lang w:val="en-AU"/>
        </w:rPr>
        <w:t>.</w:t>
      </w:r>
    </w:p>
    <w:p w:rsidR="00CE01DC" w:rsidRPr="00F71B40" w:rsidRDefault="00CE01DC" w:rsidP="00D62A32">
      <w:pPr>
        <w:rPr>
          <w:lang w:val="en-AU"/>
        </w:rPr>
      </w:pPr>
    </w:p>
    <w:p w:rsidR="005A552E" w:rsidRPr="00F71B40" w:rsidRDefault="005A552E" w:rsidP="00D62A32">
      <w:pPr>
        <w:keepNext/>
        <w:keepLines/>
        <w:rPr>
          <w:lang w:val="en-AU"/>
        </w:rPr>
      </w:pPr>
      <w:r w:rsidRPr="00F71B40">
        <w:rPr>
          <w:lang w:val="en-AU"/>
        </w:rPr>
        <w:t xml:space="preserve">The section also notes that, in addition to the question of how SIGOV can be designed to achieve results in both Parts A and B, there is a real world consideration of protecting the Australian investment (financial and reputational) which has already been made in Solomon Islands.  </w:t>
      </w:r>
    </w:p>
    <w:p w:rsidR="005A552E" w:rsidRPr="00F71B40" w:rsidRDefault="005A552E" w:rsidP="00D62A32">
      <w:pPr>
        <w:rPr>
          <w:lang w:val="en-AU"/>
        </w:rPr>
      </w:pPr>
    </w:p>
    <w:p w:rsidR="00CE01DC" w:rsidRPr="00F71B40" w:rsidRDefault="00CE01DC" w:rsidP="0098305E">
      <w:pPr>
        <w:pStyle w:val="Heading2"/>
        <w:numPr>
          <w:ilvl w:val="0"/>
          <w:numId w:val="23"/>
        </w:numPr>
        <w:rPr>
          <w:lang w:val="en-AU"/>
        </w:rPr>
      </w:pPr>
      <w:bookmarkStart w:id="58" w:name="_Toc399410392"/>
      <w:r w:rsidRPr="00F71B40">
        <w:rPr>
          <w:lang w:val="en-AU"/>
        </w:rPr>
        <w:lastRenderedPageBreak/>
        <w:t>The intervention design</w:t>
      </w:r>
      <w:bookmarkEnd w:id="58"/>
    </w:p>
    <w:p w:rsidR="00CE01DC" w:rsidRPr="00F71B40" w:rsidRDefault="00CE01DC" w:rsidP="006A70A3">
      <w:pPr>
        <w:keepNext/>
        <w:keepLines/>
        <w:rPr>
          <w:lang w:val="en-AU"/>
        </w:rPr>
      </w:pPr>
    </w:p>
    <w:p w:rsidR="005E6A33" w:rsidRPr="00F71B40" w:rsidRDefault="005E6A33" w:rsidP="006A70A3">
      <w:pPr>
        <w:keepNext/>
        <w:keepLines/>
        <w:rPr>
          <w:rFonts w:cs="Times New Roman"/>
          <w:lang w:val="en-AU"/>
        </w:rPr>
      </w:pPr>
      <w:r w:rsidRPr="00F71B40">
        <w:rPr>
          <w:rFonts w:cs="Times New Roman"/>
          <w:lang w:val="en-AU"/>
        </w:rPr>
        <w:t xml:space="preserve">As noted above, the “evolving” SIGOV program objectives are </w:t>
      </w:r>
      <w:r w:rsidR="00115AC9" w:rsidRPr="00F71B40">
        <w:rPr>
          <w:rFonts w:cs="Times New Roman"/>
          <w:lang w:val="en-AU"/>
        </w:rPr>
        <w:fldChar w:fldCharType="begin"/>
      </w:r>
      <w:r w:rsidR="00115AC9" w:rsidRPr="00F71B40">
        <w:rPr>
          <w:rFonts w:cs="Times New Roman"/>
          <w:lang w:val="en-AU"/>
        </w:rPr>
        <w:instrText xml:space="preserve"> ADDIN EN.CITE &lt;EndNote&gt;&lt;Cite&gt;&lt;Author&gt;DFAT&lt;/Author&gt;&lt;Year&gt;2014&lt;/Year&gt;&lt;RecNum&gt;4341&lt;/RecNum&gt;&lt;Suffix&gt;`, p.15&lt;/Suffix&gt;&lt;DisplayText&gt;(DFAT, 2014c, p.15)&lt;/DisplayText&gt;&lt;record&gt;&lt;rec-number&gt;4341&lt;/rec-number&gt;&lt;foreign-keys&gt;&lt;key app="EN" db-id="5v9z5rrdszvwsneef06v9dapsd0apdtfapdx" timestamp="1408815992"&gt;4341&lt;/key&gt;&lt;/foreign-keys&gt;&lt;ref-type name="Manuscript"&gt;36&lt;/ref-type&gt;&lt;contributors&gt;&lt;authors&gt;&lt;author&gt;DFAT&lt;/author&gt;&lt;/authors&gt;&lt;/contributors&gt;&lt;titles&gt;&lt;title&gt;Terms of reference: Team Leader, Independent Review of DFAT&amp;apos;s Solomon Islands Economic and Public Sector Governance program&lt;/title&gt;&lt;/titles&gt;&lt;dates&gt;&lt;year&gt;2014&lt;/year&gt;&lt;/dates&gt;&lt;pub-location&gt;Canberra&lt;/pub-location&gt;&lt;urls&gt;&lt;/urls&gt;&lt;/record&gt;&lt;/Cite&gt;&lt;/EndNote&gt;</w:instrText>
      </w:r>
      <w:r w:rsidR="00115AC9" w:rsidRPr="00F71B40">
        <w:rPr>
          <w:rFonts w:cs="Times New Roman"/>
          <w:lang w:val="en-AU"/>
        </w:rPr>
        <w:fldChar w:fldCharType="separate"/>
      </w:r>
      <w:r w:rsidR="00115AC9" w:rsidRPr="00F71B40">
        <w:rPr>
          <w:rFonts w:cs="Times New Roman"/>
          <w:lang w:val="en-AU"/>
        </w:rPr>
        <w:t>(</w:t>
      </w:r>
      <w:hyperlink w:anchor="_ENREF_50" w:tooltip="DFAT, 2014 #4341" w:history="1">
        <w:r w:rsidR="00CC56DB" w:rsidRPr="00F71B40">
          <w:rPr>
            <w:rFonts w:cs="Times New Roman"/>
            <w:lang w:val="en-AU"/>
          </w:rPr>
          <w:t>DFAT, 2014c, p.15</w:t>
        </w:r>
      </w:hyperlink>
      <w:r w:rsidR="00115AC9" w:rsidRPr="00F71B40">
        <w:rPr>
          <w:rFonts w:cs="Times New Roman"/>
          <w:lang w:val="en-AU"/>
        </w:rPr>
        <w:t>)</w:t>
      </w:r>
      <w:r w:rsidR="00115AC9" w:rsidRPr="00F71B40">
        <w:rPr>
          <w:rFonts w:cs="Times New Roman"/>
          <w:lang w:val="en-AU"/>
        </w:rPr>
        <w:fldChar w:fldCharType="end"/>
      </w:r>
      <w:r w:rsidRPr="00F71B40">
        <w:rPr>
          <w:rFonts w:cs="Times New Roman"/>
          <w:lang w:val="en-AU"/>
        </w:rPr>
        <w:t>:</w:t>
      </w:r>
    </w:p>
    <w:p w:rsidR="005E6A33" w:rsidRPr="00F71B40" w:rsidRDefault="005E6A33" w:rsidP="006A70A3">
      <w:pPr>
        <w:pStyle w:val="ListParagraph"/>
        <w:keepNext/>
        <w:keepLines/>
        <w:numPr>
          <w:ilvl w:val="0"/>
          <w:numId w:val="8"/>
        </w:numPr>
        <w:rPr>
          <w:rFonts w:cs="Times New Roman"/>
          <w:lang w:val="en-AU"/>
        </w:rPr>
      </w:pPr>
      <w:r w:rsidRPr="00F71B40">
        <w:rPr>
          <w:rFonts w:cs="Times New Roman"/>
          <w:lang w:val="en-AU"/>
        </w:rPr>
        <w:t>Economic growth supported;</w:t>
      </w:r>
    </w:p>
    <w:p w:rsidR="005E6A33" w:rsidRPr="00F71B40" w:rsidRDefault="005E6A33" w:rsidP="006A70A3">
      <w:pPr>
        <w:pStyle w:val="ListParagraph"/>
        <w:keepNext/>
        <w:keepLines/>
        <w:numPr>
          <w:ilvl w:val="0"/>
          <w:numId w:val="8"/>
        </w:numPr>
        <w:rPr>
          <w:rFonts w:cs="Times New Roman"/>
          <w:lang w:val="en-AU"/>
        </w:rPr>
      </w:pPr>
      <w:r w:rsidRPr="00F71B40">
        <w:rPr>
          <w:rFonts w:cs="Times New Roman"/>
          <w:lang w:val="en-AU"/>
        </w:rPr>
        <w:t>Public service performance strengthened;</w:t>
      </w:r>
    </w:p>
    <w:p w:rsidR="005E6A33" w:rsidRPr="00F71B40" w:rsidRDefault="005E6A33" w:rsidP="006A70A3">
      <w:pPr>
        <w:pStyle w:val="ListParagraph"/>
        <w:keepNext/>
        <w:keepLines/>
        <w:numPr>
          <w:ilvl w:val="0"/>
          <w:numId w:val="8"/>
        </w:numPr>
        <w:rPr>
          <w:rFonts w:cs="Times New Roman"/>
          <w:lang w:val="en-AU"/>
        </w:rPr>
      </w:pPr>
      <w:r w:rsidRPr="00F71B40">
        <w:rPr>
          <w:rFonts w:cs="Times New Roman"/>
          <w:lang w:val="en-AU"/>
        </w:rPr>
        <w:t>Public financial management strengthened;</w:t>
      </w:r>
    </w:p>
    <w:p w:rsidR="005E6A33" w:rsidRPr="00F71B40" w:rsidRDefault="005E6A33" w:rsidP="006A70A3">
      <w:pPr>
        <w:pStyle w:val="ListParagraph"/>
        <w:keepNext/>
        <w:keepLines/>
        <w:numPr>
          <w:ilvl w:val="0"/>
          <w:numId w:val="8"/>
        </w:numPr>
        <w:rPr>
          <w:rFonts w:cs="Times New Roman"/>
          <w:lang w:val="en-AU"/>
        </w:rPr>
      </w:pPr>
      <w:r w:rsidRPr="00F71B40">
        <w:rPr>
          <w:rFonts w:cs="Times New Roman"/>
          <w:lang w:val="en-AU"/>
        </w:rPr>
        <w:t>Individual and institutional accountability and transparency improved.</w:t>
      </w:r>
    </w:p>
    <w:p w:rsidR="005E6A33" w:rsidRPr="00F71B40" w:rsidRDefault="005E6A33" w:rsidP="00D62A32">
      <w:pPr>
        <w:rPr>
          <w:lang w:val="en-AU"/>
        </w:rPr>
      </w:pPr>
    </w:p>
    <w:p w:rsidR="00886E59" w:rsidRPr="00F71B40" w:rsidRDefault="00886E59" w:rsidP="00D62A32">
      <w:pPr>
        <w:rPr>
          <w:rFonts w:cs="Times New Roman"/>
          <w:lang w:val="en-AU"/>
        </w:rPr>
      </w:pPr>
      <w:r w:rsidRPr="00F71B40">
        <w:rPr>
          <w:rFonts w:cs="Times New Roman"/>
          <w:lang w:val="en-AU"/>
        </w:rPr>
        <w:t>How does the design of SIGOV intend to ensure that these goals are achieved?</w:t>
      </w:r>
    </w:p>
    <w:p w:rsidR="00886E59" w:rsidRPr="00F71B40" w:rsidRDefault="00886E59" w:rsidP="00D62A32">
      <w:pPr>
        <w:rPr>
          <w:rFonts w:cs="Times New Roman"/>
          <w:lang w:val="en-AU"/>
        </w:rPr>
      </w:pPr>
    </w:p>
    <w:p w:rsidR="004D44B0" w:rsidRPr="00F71B40" w:rsidRDefault="00BE5217" w:rsidP="00D62A32">
      <w:pPr>
        <w:rPr>
          <w:lang w:val="en-AU"/>
        </w:rPr>
      </w:pPr>
      <w:r w:rsidRPr="00F71B40">
        <w:rPr>
          <w:rFonts w:cs="Times New Roman"/>
          <w:lang w:val="en-AU"/>
        </w:rPr>
        <w:t>The SIGOV documentation is dauntingly complex and</w:t>
      </w:r>
      <w:r w:rsidR="007D0399">
        <w:rPr>
          <w:rFonts w:cs="Times New Roman"/>
          <w:lang w:val="en-AU"/>
        </w:rPr>
        <w:t>,</w:t>
      </w:r>
      <w:r w:rsidRPr="00F71B40">
        <w:rPr>
          <w:rFonts w:cs="Times New Roman"/>
          <w:lang w:val="en-AU"/>
        </w:rPr>
        <w:t xml:space="preserve"> when combined with the various RAMSI reports</w:t>
      </w:r>
      <w:r w:rsidR="00F915DD" w:rsidRPr="00F71B40">
        <w:rPr>
          <w:rFonts w:cs="Times New Roman"/>
          <w:lang w:val="en-AU"/>
        </w:rPr>
        <w:t>,</w:t>
      </w:r>
      <w:r w:rsidRPr="00F71B40">
        <w:rPr>
          <w:rFonts w:cs="Times New Roman"/>
          <w:lang w:val="en-AU"/>
        </w:rPr>
        <w:t xml:space="preserve"> </w:t>
      </w:r>
      <w:r w:rsidR="00F915DD" w:rsidRPr="00F71B40">
        <w:rPr>
          <w:rFonts w:cs="Times New Roman"/>
          <w:lang w:val="en-AU"/>
        </w:rPr>
        <w:t xml:space="preserve">the material does not make it easy </w:t>
      </w:r>
      <w:r w:rsidRPr="00F71B40">
        <w:rPr>
          <w:rFonts w:cs="Times New Roman"/>
          <w:lang w:val="en-AU"/>
        </w:rPr>
        <w:t xml:space="preserve">for the reader to maintain a clear perspective on the program logic.  </w:t>
      </w:r>
      <w:r w:rsidR="004D44B0" w:rsidRPr="00F71B40">
        <w:rPr>
          <w:lang w:val="en-AU"/>
        </w:rPr>
        <w:t>In understanding complex programs of reform with many moving parts and</w:t>
      </w:r>
      <w:r w:rsidR="00F915DD" w:rsidRPr="00F71B40">
        <w:rPr>
          <w:lang w:val="en-AU"/>
        </w:rPr>
        <w:t>, in common w</w:t>
      </w:r>
      <w:r w:rsidR="00886E59" w:rsidRPr="00F71B40">
        <w:rPr>
          <w:lang w:val="en-AU"/>
        </w:rPr>
        <w:t>ith all development literature,</w:t>
      </w:r>
      <w:r w:rsidR="004D44B0" w:rsidRPr="00F71B40">
        <w:rPr>
          <w:lang w:val="en-AU"/>
        </w:rPr>
        <w:t xml:space="preserve"> a</w:t>
      </w:r>
      <w:r w:rsidR="00247F58" w:rsidRPr="00F71B40">
        <w:rPr>
          <w:lang w:val="en-AU"/>
        </w:rPr>
        <w:t xml:space="preserve"> not inconsiderable weight of </w:t>
      </w:r>
      <w:r w:rsidR="004D44B0" w:rsidRPr="00F71B40">
        <w:rPr>
          <w:lang w:val="en-AU"/>
        </w:rPr>
        <w:t>rhetoric, it is useful to separate out three sets of nested assumptions</w:t>
      </w:r>
      <w:r w:rsidR="00247F58" w:rsidRPr="00F71B40">
        <w:rPr>
          <w:lang w:val="en-AU"/>
        </w:rPr>
        <w:t xml:space="preserve"> within the intervention design</w:t>
      </w:r>
      <w:r w:rsidR="004D44B0" w:rsidRPr="00F71B40">
        <w:rPr>
          <w:lang w:val="en-AU"/>
        </w:rPr>
        <w:t>:</w:t>
      </w:r>
    </w:p>
    <w:p w:rsidR="004D44B0" w:rsidRPr="00F71B40" w:rsidRDefault="007F4BD0" w:rsidP="004D15F8">
      <w:pPr>
        <w:pStyle w:val="ListParagraph"/>
        <w:numPr>
          <w:ilvl w:val="0"/>
          <w:numId w:val="24"/>
        </w:numPr>
        <w:contextualSpacing w:val="0"/>
        <w:rPr>
          <w:lang w:val="en-AU"/>
        </w:rPr>
      </w:pPr>
      <w:r w:rsidRPr="00F71B40">
        <w:rPr>
          <w:lang w:val="en-AU"/>
        </w:rPr>
        <w:t>What is being fixed</w:t>
      </w:r>
      <w:r w:rsidR="006D16A8" w:rsidRPr="00F71B40">
        <w:rPr>
          <w:lang w:val="en-AU"/>
        </w:rPr>
        <w:t xml:space="preserve"> or improved</w:t>
      </w:r>
      <w:r w:rsidR="002C351F" w:rsidRPr="00F71B40">
        <w:rPr>
          <w:lang w:val="en-AU"/>
        </w:rPr>
        <w:t>?</w:t>
      </w:r>
      <w:r w:rsidR="00F95B40" w:rsidRPr="00F71B40">
        <w:rPr>
          <w:lang w:val="en-AU"/>
        </w:rPr>
        <w:t xml:space="preserve"> </w:t>
      </w:r>
      <w:r w:rsidR="00F95B40" w:rsidRPr="00F71B40">
        <w:rPr>
          <w:i/>
          <w:lang w:val="en-AU"/>
        </w:rPr>
        <w:t>(How does, or could, the public sector results chain operate?)</w:t>
      </w:r>
    </w:p>
    <w:p w:rsidR="004D44B0" w:rsidRPr="00F71B40" w:rsidRDefault="006D16A8" w:rsidP="004D15F8">
      <w:pPr>
        <w:pStyle w:val="ListParagraph"/>
        <w:numPr>
          <w:ilvl w:val="0"/>
          <w:numId w:val="24"/>
        </w:numPr>
        <w:contextualSpacing w:val="0"/>
        <w:rPr>
          <w:lang w:val="en-AU"/>
        </w:rPr>
      </w:pPr>
      <w:r w:rsidRPr="00F71B40">
        <w:rPr>
          <w:lang w:val="en-AU"/>
        </w:rPr>
        <w:t xml:space="preserve">How </w:t>
      </w:r>
      <w:r w:rsidR="002C351F" w:rsidRPr="00F71B40">
        <w:rPr>
          <w:lang w:val="en-AU"/>
        </w:rPr>
        <w:t>will we help fix or improve it?</w:t>
      </w:r>
      <w:r w:rsidR="00F95B40" w:rsidRPr="00F71B40">
        <w:rPr>
          <w:lang w:val="en-AU"/>
        </w:rPr>
        <w:t xml:space="preserve"> </w:t>
      </w:r>
      <w:r w:rsidR="00F95B40" w:rsidRPr="00F71B40">
        <w:rPr>
          <w:i/>
          <w:lang w:val="en-AU"/>
        </w:rPr>
        <w:t>(What are the inputs that make up the intervention and on what basis are they deployed?)</w:t>
      </w:r>
    </w:p>
    <w:p w:rsidR="004D44B0" w:rsidRPr="00F71B40" w:rsidRDefault="004D44B0" w:rsidP="004D15F8">
      <w:pPr>
        <w:pStyle w:val="ListParagraph"/>
        <w:numPr>
          <w:ilvl w:val="0"/>
          <w:numId w:val="24"/>
        </w:numPr>
        <w:contextualSpacing w:val="0"/>
        <w:rPr>
          <w:i/>
          <w:lang w:val="en-AU"/>
        </w:rPr>
      </w:pPr>
      <w:r w:rsidRPr="00F71B40">
        <w:rPr>
          <w:lang w:val="en-AU"/>
        </w:rPr>
        <w:t xml:space="preserve">Why will </w:t>
      </w:r>
      <w:r w:rsidR="00662CB1" w:rsidRPr="00F71B40">
        <w:rPr>
          <w:lang w:val="en-AU"/>
        </w:rPr>
        <w:t xml:space="preserve">actors comply so that </w:t>
      </w:r>
      <w:r w:rsidR="006D16A8" w:rsidRPr="00F71B40">
        <w:rPr>
          <w:lang w:val="en-AU"/>
        </w:rPr>
        <w:t xml:space="preserve">our assistance </w:t>
      </w:r>
      <w:r w:rsidRPr="00F71B40">
        <w:rPr>
          <w:lang w:val="en-AU"/>
        </w:rPr>
        <w:t>make</w:t>
      </w:r>
      <w:r w:rsidR="00662CB1" w:rsidRPr="00F71B40">
        <w:rPr>
          <w:lang w:val="en-AU"/>
        </w:rPr>
        <w:t>s</w:t>
      </w:r>
      <w:r w:rsidRPr="00F71B40">
        <w:rPr>
          <w:lang w:val="en-AU"/>
        </w:rPr>
        <w:t xml:space="preserve"> a lasting difference?</w:t>
      </w:r>
      <w:r w:rsidR="002C351F" w:rsidRPr="00F71B40">
        <w:rPr>
          <w:lang w:val="en-AU"/>
        </w:rPr>
        <w:t xml:space="preserve"> </w:t>
      </w:r>
      <w:r w:rsidR="002C351F" w:rsidRPr="00F71B40">
        <w:rPr>
          <w:i/>
          <w:lang w:val="en-AU"/>
        </w:rPr>
        <w:t>(What is the theory of change?)</w:t>
      </w:r>
    </w:p>
    <w:p w:rsidR="008C4FCE" w:rsidRPr="00F71B40" w:rsidRDefault="008C4FCE" w:rsidP="00D62A32">
      <w:pPr>
        <w:rPr>
          <w:lang w:val="en-AU"/>
        </w:rPr>
      </w:pPr>
    </w:p>
    <w:p w:rsidR="00CE01DC" w:rsidRPr="00F71B40" w:rsidRDefault="00ED64E4" w:rsidP="00D62A32">
      <w:pPr>
        <w:rPr>
          <w:lang w:val="en-AU"/>
        </w:rPr>
      </w:pPr>
      <w:r w:rsidRPr="00F71B40">
        <w:rPr>
          <w:lang w:val="en-AU"/>
        </w:rPr>
        <w:t>The need to answer the first two questions is self-evident; the “what” and the “how” are clearly crucial to understanding the way that the program is meant to operate.</w:t>
      </w:r>
      <w:r w:rsidR="00E256D6">
        <w:rPr>
          <w:lang w:val="en-AU"/>
        </w:rPr>
        <w:t xml:space="preserve">  </w:t>
      </w:r>
      <w:r w:rsidR="00CE01DC" w:rsidRPr="00F71B40">
        <w:rPr>
          <w:lang w:val="en-AU"/>
        </w:rPr>
        <w:t>An articulated theory of change could be seen as a mere embellishment.</w:t>
      </w:r>
      <w:r w:rsidR="00E256D6">
        <w:rPr>
          <w:lang w:val="en-AU"/>
        </w:rPr>
        <w:t xml:space="preserve">  </w:t>
      </w:r>
      <w:r w:rsidR="00CE01DC" w:rsidRPr="00F71B40">
        <w:rPr>
          <w:lang w:val="en-AU"/>
        </w:rPr>
        <w:t>Why worry if it is not obvious why the intervention works as long as it does?  Like all theories, there are two purposes of an explicit theory of change. By providing ideas which can be tested in practice day to day, it is a device for keeping an open mind to the need to change strategy without waiting for long term evaluation.</w:t>
      </w:r>
      <w:r w:rsidR="00E256D6">
        <w:rPr>
          <w:lang w:val="en-AU"/>
        </w:rPr>
        <w:t xml:space="preserve">  </w:t>
      </w:r>
      <w:r w:rsidR="00CE01DC" w:rsidRPr="00F71B40">
        <w:rPr>
          <w:lang w:val="en-AU"/>
        </w:rPr>
        <w:t>It also provides a way of leveraging the impact of a successful project through convincing others to take actions in line with the theory.</w:t>
      </w:r>
      <w:r w:rsidR="00CE01DC" w:rsidRPr="00F71B40">
        <w:rPr>
          <w:rStyle w:val="FootnoteReference"/>
          <w:lang w:val="en-AU"/>
        </w:rPr>
        <w:footnoteReference w:id="14"/>
      </w:r>
      <w:r w:rsidR="00CE01DC" w:rsidRPr="00F71B40">
        <w:rPr>
          <w:lang w:val="en-AU"/>
        </w:rPr>
        <w:t xml:space="preserve"> </w:t>
      </w:r>
    </w:p>
    <w:p w:rsidR="00CE01DC" w:rsidRPr="00F71B40" w:rsidRDefault="00CE01DC" w:rsidP="00D62A32">
      <w:pPr>
        <w:rPr>
          <w:lang w:val="en-AU"/>
        </w:rPr>
      </w:pPr>
    </w:p>
    <w:p w:rsidR="008C4FCE" w:rsidRPr="00F71B40" w:rsidRDefault="008C4FCE" w:rsidP="00D62A32">
      <w:pPr>
        <w:rPr>
          <w:rFonts w:cs="Times New Roman"/>
          <w:lang w:val="en-AU"/>
        </w:rPr>
      </w:pPr>
      <w:r w:rsidRPr="00F71B40">
        <w:rPr>
          <w:rFonts w:cs="Times New Roman"/>
          <w:lang w:val="en-AU"/>
        </w:rPr>
        <w:t xml:space="preserve">Clearly understanding the assumptions being made </w:t>
      </w:r>
      <w:r w:rsidR="00991A72" w:rsidRPr="00F71B40">
        <w:rPr>
          <w:rFonts w:cs="Times New Roman"/>
          <w:lang w:val="en-AU"/>
        </w:rPr>
        <w:t xml:space="preserve">in the intervention design </w:t>
      </w:r>
      <w:r w:rsidRPr="00F71B40">
        <w:rPr>
          <w:rFonts w:cs="Times New Roman"/>
          <w:lang w:val="en-AU"/>
        </w:rPr>
        <w:t>is part of what has been referred to by AusAID as “clarity of intent”</w:t>
      </w:r>
      <w:r w:rsidR="00991A72" w:rsidRPr="00F71B40">
        <w:rPr>
          <w:rFonts w:cs="Times New Roman"/>
          <w:lang w:val="en-AU"/>
        </w:rPr>
        <w:t xml:space="preserve"> </w:t>
      </w:r>
      <w:r w:rsidR="00115AC9" w:rsidRPr="00F71B40">
        <w:rPr>
          <w:rFonts w:cs="Times New Roman"/>
          <w:lang w:val="en-AU"/>
        </w:rPr>
        <w:fldChar w:fldCharType="begin"/>
      </w:r>
      <w:r w:rsidR="00115AC9" w:rsidRPr="00F71B40">
        <w:rPr>
          <w:rFonts w:cs="Times New Roman"/>
          <w:lang w:val="en-AU"/>
        </w:rPr>
        <w:instrText xml:space="preserve"> ADDIN EN.CITE &lt;EndNote&gt;&lt;Cite&gt;&lt;Author&gt;Office of Development Effectiveness&lt;/Author&gt;&lt;Year&gt;2011&lt;/Year&gt;&lt;RecNum&gt;4275&lt;/RecNum&gt;&lt;DisplayText&gt;(Office of Development Effectiveness, 2011)&lt;/DisplayText&gt;&lt;record&gt;&lt;rec-number&gt;4275&lt;/rec-number&gt;&lt;foreign-keys&gt;&lt;key app="EN" db-id="5v9z5rrdszvwsneef06v9dapsd0apdtfapdx" timestamp="1408468061"&gt;4275&lt;/key&gt;&lt;/foreign-keys&gt;&lt;ref-type name="Report"&gt;27&lt;/ref-type&gt;&lt;contributors&gt;&lt;authors&gt;&lt;author&gt;Office of Development Effectiveness,&lt;/author&gt;&lt;/authors&gt;&lt;/contributors&gt;&lt;titles&gt;&lt;title&gt;Theory of Policy Dialogue Success: Policy Dialogue Evaluation Working Paper &lt;/title&gt;&lt;/titles&gt;&lt;dates&gt;&lt;year&gt;2011&lt;/year&gt;&lt;/dates&gt;&lt;pub-location&gt;Canberra&lt;/pub-location&gt;&lt;publisher&gt;AusAID&lt;/publisher&gt;&lt;urls&gt;&lt;/urls&gt;&lt;/record&gt;&lt;/Cite&gt;&lt;/EndNote&gt;</w:instrText>
      </w:r>
      <w:r w:rsidR="00115AC9" w:rsidRPr="00F71B40">
        <w:rPr>
          <w:rFonts w:cs="Times New Roman"/>
          <w:lang w:val="en-AU"/>
        </w:rPr>
        <w:fldChar w:fldCharType="separate"/>
      </w:r>
      <w:r w:rsidR="00115AC9" w:rsidRPr="00F71B40">
        <w:rPr>
          <w:rFonts w:cs="Times New Roman"/>
          <w:lang w:val="en-AU"/>
        </w:rPr>
        <w:t>(</w:t>
      </w:r>
      <w:hyperlink w:anchor="_ENREF_116" w:tooltip="Office of Development Effectiveness, 2011 #4275" w:history="1">
        <w:r w:rsidR="00CC56DB" w:rsidRPr="00F71B40">
          <w:rPr>
            <w:rFonts w:cs="Times New Roman"/>
            <w:lang w:val="en-AU"/>
          </w:rPr>
          <w:t>Office of Development Effectiveness, 2011</w:t>
        </w:r>
      </w:hyperlink>
      <w:r w:rsidR="00115AC9" w:rsidRPr="00F71B40">
        <w:rPr>
          <w:rFonts w:cs="Times New Roman"/>
          <w:lang w:val="en-AU"/>
        </w:rPr>
        <w:t>)</w:t>
      </w:r>
      <w:r w:rsidR="00115AC9" w:rsidRPr="00F71B40">
        <w:rPr>
          <w:rFonts w:cs="Times New Roman"/>
          <w:lang w:val="en-AU"/>
        </w:rPr>
        <w:fldChar w:fldCharType="end"/>
      </w:r>
      <w:r w:rsidR="00247F58" w:rsidRPr="00F71B40">
        <w:rPr>
          <w:rFonts w:cs="Times New Roman"/>
          <w:lang w:val="en-AU"/>
        </w:rPr>
        <w:t>.</w:t>
      </w:r>
      <w:r w:rsidR="00E256D6">
        <w:rPr>
          <w:rFonts w:cs="Times New Roman"/>
          <w:lang w:val="en-AU"/>
        </w:rPr>
        <w:t xml:space="preserve">  </w:t>
      </w:r>
      <w:r w:rsidR="00247F58" w:rsidRPr="00F71B40">
        <w:rPr>
          <w:rFonts w:cs="Times New Roman"/>
          <w:lang w:val="en-AU"/>
        </w:rPr>
        <w:t>“</w:t>
      </w:r>
      <w:r w:rsidRPr="00F71B40">
        <w:rPr>
          <w:rFonts w:cs="Times New Roman"/>
          <w:lang w:val="en-AU"/>
        </w:rPr>
        <w:t>Policy dialogue is likely to be more successful if AusAID and its counterparts are both relatively clear on the intent of their engagement</w:t>
      </w:r>
      <w:r w:rsidR="00247F58" w:rsidRPr="00F71B40">
        <w:rPr>
          <w:rFonts w:cs="Times New Roman"/>
          <w:lang w:val="en-AU"/>
        </w:rPr>
        <w:t xml:space="preserve">” </w:t>
      </w:r>
      <w:r w:rsidR="00115AC9" w:rsidRPr="00F71B40">
        <w:rPr>
          <w:rFonts w:cs="Times New Roman"/>
          <w:lang w:val="en-AU"/>
        </w:rPr>
        <w:fldChar w:fldCharType="begin"/>
      </w:r>
      <w:r w:rsidR="00115AC9" w:rsidRPr="00F71B40">
        <w:rPr>
          <w:rFonts w:cs="Times New Roman"/>
          <w:lang w:val="en-AU"/>
        </w:rPr>
        <w:instrText xml:space="preserve"> ADDIN EN.CITE &lt;EndNote&gt;&lt;Cite&gt;&lt;Author&gt;Office of Development Effectiveness&lt;/Author&gt;&lt;Year&gt;2011&lt;/Year&gt;&lt;RecNum&gt;4275&lt;/RecNum&gt;&lt;Suffix&gt;`, p. 5&lt;/Suffix&gt;&lt;DisplayText&gt;(Office of Development Effectiveness, 2011, p. 5)&lt;/DisplayText&gt;&lt;record&gt;&lt;rec-number&gt;4275&lt;/rec-number&gt;&lt;foreign-keys&gt;&lt;key app="EN" db-id="5v9z5rrdszvwsneef06v9dapsd0apdtfapdx" timestamp="1408468061"&gt;4275&lt;/key&gt;&lt;/foreign-keys&gt;&lt;ref-type name="Report"&gt;27&lt;/ref-type&gt;&lt;contributors&gt;&lt;authors&gt;&lt;author&gt;Office of Development Effectiveness,&lt;/author&gt;&lt;/authors&gt;&lt;/contributors&gt;&lt;titles&gt;&lt;title&gt;Theory of Policy Dialogue Success: Policy Dialogue Evaluation Working Paper &lt;/title&gt;&lt;/titles&gt;&lt;dates&gt;&lt;year&gt;2011&lt;/year&gt;&lt;/dates&gt;&lt;pub-location&gt;Canberra&lt;/pub-location&gt;&lt;publisher&gt;AusAID&lt;/publisher&gt;&lt;urls&gt;&lt;/urls&gt;&lt;/record&gt;&lt;/Cite&gt;&lt;/EndNote&gt;</w:instrText>
      </w:r>
      <w:r w:rsidR="00115AC9" w:rsidRPr="00F71B40">
        <w:rPr>
          <w:rFonts w:cs="Times New Roman"/>
          <w:lang w:val="en-AU"/>
        </w:rPr>
        <w:fldChar w:fldCharType="separate"/>
      </w:r>
      <w:r w:rsidR="00115AC9" w:rsidRPr="00F71B40">
        <w:rPr>
          <w:rFonts w:cs="Times New Roman"/>
          <w:lang w:val="en-AU"/>
        </w:rPr>
        <w:t>(</w:t>
      </w:r>
      <w:hyperlink w:anchor="_ENREF_116" w:tooltip="Office of Development Effectiveness, 2011 #4275" w:history="1">
        <w:r w:rsidR="00CC56DB" w:rsidRPr="00F71B40">
          <w:rPr>
            <w:rFonts w:cs="Times New Roman"/>
            <w:lang w:val="en-AU"/>
          </w:rPr>
          <w:t>Office of Development Effectiveness, 2011, p. 5</w:t>
        </w:r>
      </w:hyperlink>
      <w:r w:rsidR="00115AC9" w:rsidRPr="00F71B40">
        <w:rPr>
          <w:rFonts w:cs="Times New Roman"/>
          <w:lang w:val="en-AU"/>
        </w:rPr>
        <w:t>)</w:t>
      </w:r>
      <w:r w:rsidR="00115AC9" w:rsidRPr="00F71B40">
        <w:rPr>
          <w:rFonts w:cs="Times New Roman"/>
          <w:lang w:val="en-AU"/>
        </w:rPr>
        <w:fldChar w:fldCharType="end"/>
      </w:r>
      <w:r w:rsidR="00247F58" w:rsidRPr="00F71B40">
        <w:rPr>
          <w:rFonts w:cs="Times New Roman"/>
          <w:lang w:val="en-AU"/>
        </w:rPr>
        <w:t xml:space="preserve">.  </w:t>
      </w:r>
      <w:r w:rsidRPr="00F71B40">
        <w:rPr>
          <w:rFonts w:cs="Times New Roman"/>
          <w:lang w:val="en-AU"/>
        </w:rPr>
        <w:t xml:space="preserve">“Clarity of intent” is not the same thing as putting all the cards on the table. </w:t>
      </w:r>
      <w:r w:rsidR="00247F58" w:rsidRPr="00F71B40">
        <w:rPr>
          <w:rFonts w:cs="Times New Roman"/>
          <w:lang w:val="en-AU"/>
        </w:rPr>
        <w:t xml:space="preserve"> One should not “…</w:t>
      </w:r>
      <w:r w:rsidRPr="00F71B40">
        <w:rPr>
          <w:rFonts w:cs="Times New Roman"/>
          <w:lang w:val="en-AU"/>
        </w:rPr>
        <w:t>expect both parties to expose their negotiating positions completely or for there to be prior consensus. They should, however, be clear in their own minds what it is they want to achieve.”</w:t>
      </w:r>
      <w:r w:rsidR="00991A72" w:rsidRPr="00F71B40">
        <w:rPr>
          <w:rFonts w:cs="Times New Roman"/>
          <w:lang w:val="en-AU"/>
        </w:rPr>
        <w:t xml:space="preserve"> </w:t>
      </w:r>
      <w:r w:rsidR="00115AC9" w:rsidRPr="00F71B40">
        <w:rPr>
          <w:rFonts w:cs="Times New Roman"/>
          <w:lang w:val="en-AU"/>
        </w:rPr>
        <w:fldChar w:fldCharType="begin"/>
      </w:r>
      <w:r w:rsidR="00115AC9" w:rsidRPr="00F71B40">
        <w:rPr>
          <w:rFonts w:cs="Times New Roman"/>
          <w:lang w:val="en-AU"/>
        </w:rPr>
        <w:instrText xml:space="preserve"> ADDIN EN.CITE &lt;EndNote&gt;&lt;Cite&gt;&lt;Author&gt;Office of Development Effectiveness&lt;/Author&gt;&lt;Year&gt;2011&lt;/Year&gt;&lt;RecNum&gt;4275&lt;/RecNum&gt;&lt;Suffix&gt;`, p. 5&lt;/Suffix&gt;&lt;DisplayText&gt;(Office of Development Effectiveness, 2011, p. 5)&lt;/DisplayText&gt;&lt;record&gt;&lt;rec-number&gt;4275&lt;/rec-number&gt;&lt;foreign-keys&gt;&lt;key app="EN" db-id="5v9z5rrdszvwsneef06v9dapsd0apdtfapdx" timestamp="1408468061"&gt;4275&lt;/key&gt;&lt;/foreign-keys&gt;&lt;ref-type name="Report"&gt;27&lt;/ref-type&gt;&lt;contributors&gt;&lt;authors&gt;&lt;author&gt;Office of Development Effectiveness,&lt;/author&gt;&lt;/authors&gt;&lt;/contributors&gt;&lt;titles&gt;&lt;title&gt;Theory of Policy Dialogue Success: Policy Dialogue Evaluation Working Paper &lt;/title&gt;&lt;/titles&gt;&lt;dates&gt;&lt;year&gt;2011&lt;/year&gt;&lt;/dates&gt;&lt;pub-location&gt;Canberra&lt;/pub-location&gt;&lt;publisher&gt;AusAID&lt;/publisher&gt;&lt;urls&gt;&lt;/urls&gt;&lt;/record&gt;&lt;/Cite&gt;&lt;/EndNote&gt;</w:instrText>
      </w:r>
      <w:r w:rsidR="00115AC9" w:rsidRPr="00F71B40">
        <w:rPr>
          <w:rFonts w:cs="Times New Roman"/>
          <w:lang w:val="en-AU"/>
        </w:rPr>
        <w:fldChar w:fldCharType="separate"/>
      </w:r>
      <w:r w:rsidR="00115AC9" w:rsidRPr="00F71B40">
        <w:rPr>
          <w:rFonts w:cs="Times New Roman"/>
          <w:lang w:val="en-AU"/>
        </w:rPr>
        <w:t>(</w:t>
      </w:r>
      <w:hyperlink w:anchor="_ENREF_116" w:tooltip="Office of Development Effectiveness, 2011 #4275" w:history="1">
        <w:r w:rsidR="00CC56DB" w:rsidRPr="00F71B40">
          <w:rPr>
            <w:rFonts w:cs="Times New Roman"/>
            <w:lang w:val="en-AU"/>
          </w:rPr>
          <w:t>Office of Development Effectiveness, 2011, p. 5</w:t>
        </w:r>
      </w:hyperlink>
      <w:r w:rsidR="00115AC9" w:rsidRPr="00F71B40">
        <w:rPr>
          <w:rFonts w:cs="Times New Roman"/>
          <w:lang w:val="en-AU"/>
        </w:rPr>
        <w:t>)</w:t>
      </w:r>
      <w:r w:rsidR="00115AC9" w:rsidRPr="00F71B40">
        <w:rPr>
          <w:rFonts w:cs="Times New Roman"/>
          <w:lang w:val="en-AU"/>
        </w:rPr>
        <w:fldChar w:fldCharType="end"/>
      </w:r>
      <w:r w:rsidRPr="00F71B40">
        <w:rPr>
          <w:rFonts w:cs="Times New Roman"/>
          <w:lang w:val="en-AU"/>
        </w:rPr>
        <w:t xml:space="preserve">  </w:t>
      </w:r>
    </w:p>
    <w:p w:rsidR="00284C0A" w:rsidRPr="00F71B40" w:rsidRDefault="00284C0A" w:rsidP="00D62A32">
      <w:pPr>
        <w:rPr>
          <w:lang w:val="en-AU"/>
        </w:rPr>
      </w:pPr>
    </w:p>
    <w:p w:rsidR="00810687" w:rsidRPr="00F71B40" w:rsidRDefault="00223901" w:rsidP="00D62A32">
      <w:pPr>
        <w:pStyle w:val="Heading3"/>
        <w:rPr>
          <w:lang w:val="en-AU"/>
        </w:rPr>
      </w:pPr>
      <w:bookmarkStart w:id="59" w:name="_Toc399410393"/>
      <w:r w:rsidRPr="00F71B40">
        <w:rPr>
          <w:lang w:val="en-AU"/>
        </w:rPr>
        <w:t xml:space="preserve">What is being fixed? </w:t>
      </w:r>
      <w:r w:rsidR="00B91009" w:rsidRPr="00F71B40">
        <w:rPr>
          <w:lang w:val="en-AU"/>
        </w:rPr>
        <w:t>The p</w:t>
      </w:r>
      <w:r w:rsidR="00187D1A" w:rsidRPr="00F71B40">
        <w:rPr>
          <w:lang w:val="en-AU"/>
        </w:rPr>
        <w:t>ublic sector results chain</w:t>
      </w:r>
      <w:r w:rsidR="00B45AEE" w:rsidRPr="00F71B40">
        <w:rPr>
          <w:lang w:val="en-AU"/>
        </w:rPr>
        <w:t xml:space="preserve"> assumed by SIGOV</w:t>
      </w:r>
      <w:bookmarkEnd w:id="59"/>
    </w:p>
    <w:p w:rsidR="00B91009" w:rsidRPr="00F71B40" w:rsidRDefault="00B91009" w:rsidP="00D62A32">
      <w:pPr>
        <w:rPr>
          <w:lang w:val="en-AU"/>
        </w:rPr>
      </w:pPr>
    </w:p>
    <w:p w:rsidR="00810687" w:rsidRPr="00F71B40" w:rsidRDefault="00B91009" w:rsidP="00D62A32">
      <w:pPr>
        <w:rPr>
          <w:lang w:val="en-AU"/>
        </w:rPr>
      </w:pPr>
      <w:r w:rsidRPr="00F71B40">
        <w:rPr>
          <w:lang w:val="en-AU"/>
        </w:rPr>
        <w:t>In its focus on the central agencies, SIGOV assumes that f</w:t>
      </w:r>
      <w:r w:rsidR="004D44B0" w:rsidRPr="00F71B40">
        <w:rPr>
          <w:lang w:val="en-AU"/>
        </w:rPr>
        <w:t>inancial and human resources are marshal</w:t>
      </w:r>
      <w:r w:rsidR="00791855" w:rsidRPr="00F71B40">
        <w:rPr>
          <w:lang w:val="en-AU"/>
        </w:rPr>
        <w:t>l</w:t>
      </w:r>
      <w:r w:rsidR="004D44B0" w:rsidRPr="00F71B40">
        <w:rPr>
          <w:lang w:val="en-AU"/>
        </w:rPr>
        <w:t xml:space="preserve">ed and regulated through the central agencies </w:t>
      </w:r>
      <w:r w:rsidR="00B45AEE" w:rsidRPr="00F71B40">
        <w:rPr>
          <w:lang w:val="en-AU"/>
        </w:rPr>
        <w:t xml:space="preserve">to enable and require downstream ministries to undertake </w:t>
      </w:r>
      <w:r w:rsidR="004D44B0" w:rsidRPr="00F71B40">
        <w:rPr>
          <w:lang w:val="en-AU"/>
        </w:rPr>
        <w:t>service provision.</w:t>
      </w:r>
      <w:r w:rsidR="00E256D6">
        <w:rPr>
          <w:lang w:val="en-AU"/>
        </w:rPr>
        <w:t xml:space="preserve">  </w:t>
      </w:r>
      <w:r w:rsidR="00B45AEE" w:rsidRPr="00F71B40">
        <w:rPr>
          <w:lang w:val="en-AU"/>
        </w:rPr>
        <w:t>It also presupposes that the central agencies themselves produce growth-enhancing policies and design and operate cross-cutting systems which ensure transparency (</w:t>
      </w:r>
      <w:r w:rsidR="00B45AEE" w:rsidRPr="00F71B40">
        <w:rPr>
          <w:lang w:val="en-AU"/>
        </w:rPr>
        <w:fldChar w:fldCharType="begin"/>
      </w:r>
      <w:r w:rsidR="00B45AEE" w:rsidRPr="00F71B40">
        <w:rPr>
          <w:lang w:val="en-AU"/>
        </w:rPr>
        <w:instrText xml:space="preserve"> REF _Ref396582855 \h </w:instrText>
      </w:r>
      <w:r w:rsidR="00D62A32" w:rsidRPr="00F71B40">
        <w:rPr>
          <w:lang w:val="en-AU"/>
        </w:rPr>
        <w:instrText xml:space="preserve"> \* MERGEFORMAT </w:instrText>
      </w:r>
      <w:r w:rsidR="00B45AEE" w:rsidRPr="00F71B40">
        <w:rPr>
          <w:lang w:val="en-AU"/>
        </w:rPr>
      </w:r>
      <w:r w:rsidR="00B45AEE" w:rsidRPr="00F71B40">
        <w:rPr>
          <w:lang w:val="en-AU"/>
        </w:rPr>
        <w:fldChar w:fldCharType="separate"/>
      </w:r>
      <w:r w:rsidR="00EF43BE" w:rsidRPr="00F71B40">
        <w:rPr>
          <w:lang w:val="en-AU"/>
        </w:rPr>
        <w:t xml:space="preserve">Figure </w:t>
      </w:r>
      <w:r w:rsidR="00EF43BE">
        <w:rPr>
          <w:lang w:val="en-AU"/>
        </w:rPr>
        <w:t>3</w:t>
      </w:r>
      <w:r w:rsidR="00B45AEE" w:rsidRPr="00F71B40">
        <w:rPr>
          <w:lang w:val="en-AU"/>
        </w:rPr>
        <w:fldChar w:fldCharType="end"/>
      </w:r>
      <w:r w:rsidR="00B45AEE" w:rsidRPr="00F71B40">
        <w:rPr>
          <w:lang w:val="en-AU"/>
        </w:rPr>
        <w:t xml:space="preserve">).  </w:t>
      </w:r>
    </w:p>
    <w:p w:rsidR="00810687" w:rsidRPr="00F71B40" w:rsidRDefault="00F95B40" w:rsidP="00D62A32">
      <w:pPr>
        <w:spacing w:after="200" w:line="276" w:lineRule="auto"/>
        <w:rPr>
          <w:lang w:val="en-AU"/>
        </w:rPr>
      </w:pPr>
      <w:r w:rsidRPr="00F71B40">
        <w:rPr>
          <w:lang w:val="en-AU"/>
        </w:rPr>
        <w:br w:type="page"/>
      </w:r>
    </w:p>
    <w:p w:rsidR="00B45AEE" w:rsidRPr="00F71B40" w:rsidRDefault="00B45AEE" w:rsidP="00BA706F">
      <w:pPr>
        <w:pStyle w:val="Caption"/>
        <w:rPr>
          <w:lang w:val="en-AU"/>
        </w:rPr>
      </w:pPr>
      <w:bookmarkStart w:id="60" w:name="_Ref396582855"/>
      <w:bookmarkStart w:id="61" w:name="_Toc401761839"/>
      <w:r w:rsidRPr="00F71B40">
        <w:rPr>
          <w:lang w:val="en-AU"/>
        </w:rPr>
        <w:lastRenderedPageBreak/>
        <w:t xml:space="preserve">Figure </w:t>
      </w:r>
      <w:r w:rsidR="00991063" w:rsidRPr="00F71B40">
        <w:rPr>
          <w:lang w:val="en-AU"/>
        </w:rPr>
        <w:fldChar w:fldCharType="begin"/>
      </w:r>
      <w:r w:rsidR="00991063" w:rsidRPr="00F71B40">
        <w:rPr>
          <w:lang w:val="en-AU"/>
        </w:rPr>
        <w:instrText xml:space="preserve"> SEQ Figure \* ARABIC </w:instrText>
      </w:r>
      <w:r w:rsidR="00991063" w:rsidRPr="00F71B40">
        <w:rPr>
          <w:lang w:val="en-AU"/>
        </w:rPr>
        <w:fldChar w:fldCharType="separate"/>
      </w:r>
      <w:r w:rsidR="00EF43BE">
        <w:rPr>
          <w:noProof/>
          <w:lang w:val="en-AU"/>
        </w:rPr>
        <w:t>3</w:t>
      </w:r>
      <w:r w:rsidR="00991063" w:rsidRPr="00F71B40">
        <w:rPr>
          <w:lang w:val="en-AU"/>
        </w:rPr>
        <w:fldChar w:fldCharType="end"/>
      </w:r>
      <w:bookmarkEnd w:id="60"/>
      <w:r w:rsidRPr="00F71B40">
        <w:rPr>
          <w:lang w:val="en-AU"/>
        </w:rPr>
        <w:t xml:space="preserve">: The </w:t>
      </w:r>
      <w:r w:rsidR="00F95B40" w:rsidRPr="00F71B40">
        <w:rPr>
          <w:lang w:val="en-AU"/>
        </w:rPr>
        <w:t>assumed</w:t>
      </w:r>
      <w:r w:rsidRPr="00F71B40">
        <w:rPr>
          <w:lang w:val="en-AU"/>
        </w:rPr>
        <w:t xml:space="preserve"> </w:t>
      </w:r>
      <w:r w:rsidR="00F95B40" w:rsidRPr="00F71B40">
        <w:rPr>
          <w:lang w:val="en-AU"/>
        </w:rPr>
        <w:t xml:space="preserve">public sector </w:t>
      </w:r>
      <w:r w:rsidRPr="00F71B40">
        <w:rPr>
          <w:lang w:val="en-AU"/>
        </w:rPr>
        <w:t>results chain</w:t>
      </w:r>
      <w:r w:rsidR="00F95B40" w:rsidRPr="00F71B40">
        <w:rPr>
          <w:lang w:val="en-AU"/>
        </w:rPr>
        <w:t xml:space="preserve"> in Solomon Islands</w:t>
      </w:r>
      <w:bookmarkEnd w:id="61"/>
    </w:p>
    <w:p w:rsidR="00B45AEE" w:rsidRPr="00F71B40" w:rsidRDefault="00B45AEE" w:rsidP="00D62A32">
      <w:pPr>
        <w:keepNext/>
        <w:keepLines/>
        <w:rPr>
          <w:lang w:val="en-AU"/>
        </w:rPr>
      </w:pPr>
    </w:p>
    <w:tbl>
      <w:tblPr>
        <w:tblStyle w:val="TableGrid"/>
        <w:tblW w:w="0" w:type="auto"/>
        <w:tblLook w:val="04A0" w:firstRow="1" w:lastRow="0" w:firstColumn="1" w:lastColumn="0" w:noHBand="0" w:noVBand="1"/>
      </w:tblPr>
      <w:tblGrid>
        <w:gridCol w:w="9576"/>
      </w:tblGrid>
      <w:tr w:rsidR="00B45AEE" w:rsidRPr="00F71B40" w:rsidTr="00B45AEE">
        <w:tc>
          <w:tcPr>
            <w:tcW w:w="9576" w:type="dxa"/>
          </w:tcPr>
          <w:p w:rsidR="00B45AEE" w:rsidRPr="00F71B40" w:rsidRDefault="00667008" w:rsidP="00D62A32">
            <w:pPr>
              <w:keepNext/>
              <w:keepLines/>
              <w:rPr>
                <w:lang w:val="en-AU"/>
              </w:rPr>
            </w:pPr>
            <w:r>
              <w:rPr>
                <w:noProof/>
                <w:lang w:val="en-AU" w:eastAsia="en-AU"/>
              </w:rPr>
              <w:drawing>
                <wp:inline distT="0" distB="0" distL="0" distR="0" wp14:anchorId="012EDA5B" wp14:editId="7D7B95A5">
                  <wp:extent cx="5939790" cy="5716905"/>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939790" cy="5716905"/>
                          </a:xfrm>
                          <a:prstGeom prst="rect">
                            <a:avLst/>
                          </a:prstGeom>
                          <a:noFill/>
                          <a:ln>
                            <a:noFill/>
                          </a:ln>
                        </pic:spPr>
                      </pic:pic>
                    </a:graphicData>
                  </a:graphic>
                </wp:inline>
              </w:drawing>
            </w:r>
          </w:p>
          <w:p w:rsidR="00B45AEE" w:rsidRPr="00F71B40" w:rsidRDefault="00B45AEE" w:rsidP="00D62A32">
            <w:pPr>
              <w:keepNext/>
              <w:keepLines/>
              <w:rPr>
                <w:lang w:val="en-AU"/>
              </w:rPr>
            </w:pPr>
            <w:r w:rsidRPr="00F71B40">
              <w:rPr>
                <w:lang w:val="en-AU"/>
              </w:rPr>
              <w:t>Source: Author</w:t>
            </w:r>
          </w:p>
        </w:tc>
      </w:tr>
    </w:tbl>
    <w:p w:rsidR="00B45AEE" w:rsidRPr="00F71B40" w:rsidRDefault="00B45AEE" w:rsidP="00D62A32">
      <w:pPr>
        <w:rPr>
          <w:lang w:val="en-AU"/>
        </w:rPr>
      </w:pPr>
    </w:p>
    <w:p w:rsidR="003E4A1F" w:rsidRPr="00F71B40" w:rsidRDefault="00873D58" w:rsidP="00D62A32">
      <w:pPr>
        <w:rPr>
          <w:lang w:val="en-AU"/>
        </w:rPr>
      </w:pPr>
      <w:r w:rsidRPr="00F71B40">
        <w:rPr>
          <w:rFonts w:cs="Times New Roman"/>
          <w:lang w:val="en-AU"/>
        </w:rPr>
        <w:t>T</w:t>
      </w:r>
      <w:r w:rsidR="000F6CF1" w:rsidRPr="00F71B40">
        <w:rPr>
          <w:rFonts w:cs="Times New Roman"/>
          <w:lang w:val="en-AU"/>
        </w:rPr>
        <w:t>he assumptions concerning the key role of the central agencies are very reasonable</w:t>
      </w:r>
      <w:r w:rsidR="00A45DAB" w:rsidRPr="00F71B40">
        <w:rPr>
          <w:rFonts w:cs="Times New Roman"/>
          <w:lang w:val="en-AU"/>
        </w:rPr>
        <w:t>.  H</w:t>
      </w:r>
      <w:r w:rsidRPr="00F71B40">
        <w:rPr>
          <w:rFonts w:cs="Times New Roman"/>
          <w:lang w:val="en-AU"/>
        </w:rPr>
        <w:t xml:space="preserve">owever </w:t>
      </w:r>
      <w:r w:rsidR="00A45DAB" w:rsidRPr="00F71B40">
        <w:rPr>
          <w:rFonts w:cs="Times New Roman"/>
          <w:lang w:val="en-AU"/>
        </w:rPr>
        <w:t xml:space="preserve">the assumed results chain sees </w:t>
      </w:r>
      <w:r w:rsidR="00EA20E1" w:rsidRPr="00F71B40">
        <w:rPr>
          <w:rFonts w:cs="Times New Roman"/>
          <w:lang w:val="en-AU"/>
        </w:rPr>
        <w:t xml:space="preserve">improvements in the central agencies </w:t>
      </w:r>
      <w:r w:rsidR="00A45DAB" w:rsidRPr="00F71B40">
        <w:rPr>
          <w:rFonts w:cs="Times New Roman"/>
          <w:lang w:val="en-AU"/>
        </w:rPr>
        <w:t xml:space="preserve">as necessary and sufficient for </w:t>
      </w:r>
      <w:r w:rsidR="00EA20E1" w:rsidRPr="00F71B40">
        <w:rPr>
          <w:rFonts w:cs="Times New Roman"/>
          <w:lang w:val="en-AU"/>
        </w:rPr>
        <w:t>successful downstream service delivery</w:t>
      </w:r>
      <w:r w:rsidR="00A45DAB" w:rsidRPr="00F71B40">
        <w:rPr>
          <w:rFonts w:cs="Times New Roman"/>
          <w:lang w:val="en-AU"/>
        </w:rPr>
        <w:t xml:space="preserve">. As noted above, the history of </w:t>
      </w:r>
      <w:r w:rsidR="00EA20E1" w:rsidRPr="00F71B40">
        <w:rPr>
          <w:rFonts w:cs="Times New Roman"/>
          <w:lang w:val="en-AU"/>
        </w:rPr>
        <w:t xml:space="preserve">RAMSI (see section </w:t>
      </w:r>
      <w:r w:rsidR="00EA20E1" w:rsidRPr="00F71B40">
        <w:rPr>
          <w:rFonts w:cs="Times New Roman"/>
          <w:lang w:val="en-AU"/>
        </w:rPr>
        <w:fldChar w:fldCharType="begin"/>
      </w:r>
      <w:r w:rsidR="00EA20E1" w:rsidRPr="00F71B40">
        <w:rPr>
          <w:rFonts w:cs="Times New Roman"/>
          <w:lang w:val="en-AU"/>
        </w:rPr>
        <w:instrText xml:space="preserve"> REF _Ref396758674 \r \h </w:instrText>
      </w:r>
      <w:r w:rsidR="00D62A32" w:rsidRPr="00F71B40">
        <w:rPr>
          <w:rFonts w:cs="Times New Roman"/>
          <w:lang w:val="en-AU"/>
        </w:rPr>
        <w:instrText xml:space="preserve"> \* MERGEFORMAT </w:instrText>
      </w:r>
      <w:r w:rsidR="00EA20E1" w:rsidRPr="00F71B40">
        <w:rPr>
          <w:rFonts w:cs="Times New Roman"/>
          <w:lang w:val="en-AU"/>
        </w:rPr>
      </w:r>
      <w:r w:rsidR="00EA20E1" w:rsidRPr="00F71B40">
        <w:rPr>
          <w:rFonts w:cs="Times New Roman"/>
          <w:lang w:val="en-AU"/>
        </w:rPr>
        <w:fldChar w:fldCharType="separate"/>
      </w:r>
      <w:r w:rsidR="00EF43BE">
        <w:rPr>
          <w:rFonts w:cs="Times New Roman"/>
          <w:lang w:val="en-AU"/>
        </w:rPr>
        <w:t>2</w:t>
      </w:r>
      <w:r w:rsidR="00EA20E1" w:rsidRPr="00F71B40">
        <w:rPr>
          <w:rFonts w:cs="Times New Roman"/>
          <w:lang w:val="en-AU"/>
        </w:rPr>
        <w:fldChar w:fldCharType="end"/>
      </w:r>
      <w:r w:rsidR="00EA20E1" w:rsidRPr="00F71B40">
        <w:rPr>
          <w:rFonts w:cs="Times New Roman"/>
          <w:lang w:val="en-AU"/>
        </w:rPr>
        <w:fldChar w:fldCharType="begin"/>
      </w:r>
      <w:r w:rsidR="00EA20E1" w:rsidRPr="00F71B40">
        <w:rPr>
          <w:rFonts w:cs="Times New Roman"/>
          <w:lang w:val="en-AU"/>
        </w:rPr>
        <w:instrText xml:space="preserve"> REF _Ref399233694 \r \h </w:instrText>
      </w:r>
      <w:r w:rsidR="00D62A32" w:rsidRPr="00F71B40">
        <w:rPr>
          <w:rFonts w:cs="Times New Roman"/>
          <w:lang w:val="en-AU"/>
        </w:rPr>
        <w:instrText xml:space="preserve"> \* MERGEFORMAT </w:instrText>
      </w:r>
      <w:r w:rsidR="00EA20E1" w:rsidRPr="00F71B40">
        <w:rPr>
          <w:rFonts w:cs="Times New Roman"/>
          <w:lang w:val="en-AU"/>
        </w:rPr>
      </w:r>
      <w:r w:rsidR="00EA20E1" w:rsidRPr="00F71B40">
        <w:rPr>
          <w:rFonts w:cs="Times New Roman"/>
          <w:lang w:val="en-AU"/>
        </w:rPr>
        <w:fldChar w:fldCharType="separate"/>
      </w:r>
      <w:r w:rsidR="00EF43BE">
        <w:rPr>
          <w:rFonts w:cs="Times New Roman"/>
          <w:lang w:val="en-AU"/>
        </w:rPr>
        <w:t>b</w:t>
      </w:r>
      <w:r w:rsidR="00EA20E1" w:rsidRPr="00F71B40">
        <w:rPr>
          <w:rFonts w:cs="Times New Roman"/>
          <w:lang w:val="en-AU"/>
        </w:rPr>
        <w:fldChar w:fldCharType="end"/>
      </w:r>
      <w:r w:rsidR="00EA20E1" w:rsidRPr="00F71B40">
        <w:rPr>
          <w:rFonts w:cs="Times New Roman"/>
          <w:lang w:val="en-AU"/>
        </w:rPr>
        <w:t xml:space="preserve">), wider research (see section </w:t>
      </w:r>
      <w:r w:rsidR="00EA20E1" w:rsidRPr="00F71B40">
        <w:rPr>
          <w:rFonts w:cs="Times New Roman"/>
          <w:lang w:val="en-AU"/>
        </w:rPr>
        <w:fldChar w:fldCharType="begin"/>
      </w:r>
      <w:r w:rsidR="00EA20E1" w:rsidRPr="00F71B40">
        <w:rPr>
          <w:rFonts w:cs="Times New Roman"/>
          <w:lang w:val="en-AU"/>
        </w:rPr>
        <w:instrText xml:space="preserve"> REF _Ref396758674 \r \h </w:instrText>
      </w:r>
      <w:r w:rsidR="00D62A32" w:rsidRPr="00F71B40">
        <w:rPr>
          <w:rFonts w:cs="Times New Roman"/>
          <w:lang w:val="en-AU"/>
        </w:rPr>
        <w:instrText xml:space="preserve"> \* MERGEFORMAT </w:instrText>
      </w:r>
      <w:r w:rsidR="00EA20E1" w:rsidRPr="00F71B40">
        <w:rPr>
          <w:rFonts w:cs="Times New Roman"/>
          <w:lang w:val="en-AU"/>
        </w:rPr>
      </w:r>
      <w:r w:rsidR="00EA20E1" w:rsidRPr="00F71B40">
        <w:rPr>
          <w:rFonts w:cs="Times New Roman"/>
          <w:lang w:val="en-AU"/>
        </w:rPr>
        <w:fldChar w:fldCharType="separate"/>
      </w:r>
      <w:r w:rsidR="00EF43BE">
        <w:rPr>
          <w:rFonts w:cs="Times New Roman"/>
          <w:lang w:val="en-AU"/>
        </w:rPr>
        <w:t>2</w:t>
      </w:r>
      <w:r w:rsidR="00EA20E1" w:rsidRPr="00F71B40">
        <w:rPr>
          <w:rFonts w:cs="Times New Roman"/>
          <w:lang w:val="en-AU"/>
        </w:rPr>
        <w:fldChar w:fldCharType="end"/>
      </w:r>
      <w:r w:rsidR="00EA20E1" w:rsidRPr="00F71B40">
        <w:rPr>
          <w:rFonts w:cs="Times New Roman"/>
          <w:lang w:val="en-AU"/>
        </w:rPr>
        <w:fldChar w:fldCharType="begin"/>
      </w:r>
      <w:r w:rsidR="00EA20E1" w:rsidRPr="00F71B40">
        <w:rPr>
          <w:rFonts w:cs="Times New Roman"/>
          <w:lang w:val="en-AU"/>
        </w:rPr>
        <w:instrText xml:space="preserve"> REF _Ref399248152 \r \h </w:instrText>
      </w:r>
      <w:r w:rsidR="00D62A32" w:rsidRPr="00F71B40">
        <w:rPr>
          <w:rFonts w:cs="Times New Roman"/>
          <w:lang w:val="en-AU"/>
        </w:rPr>
        <w:instrText xml:space="preserve"> \* MERGEFORMAT </w:instrText>
      </w:r>
      <w:r w:rsidR="00EA20E1" w:rsidRPr="00F71B40">
        <w:rPr>
          <w:rFonts w:cs="Times New Roman"/>
          <w:lang w:val="en-AU"/>
        </w:rPr>
      </w:r>
      <w:r w:rsidR="00EA20E1" w:rsidRPr="00F71B40">
        <w:rPr>
          <w:rFonts w:cs="Times New Roman"/>
          <w:lang w:val="en-AU"/>
        </w:rPr>
        <w:fldChar w:fldCharType="separate"/>
      </w:r>
      <w:r w:rsidR="00EF43BE">
        <w:rPr>
          <w:rFonts w:cs="Times New Roman"/>
          <w:lang w:val="en-AU"/>
        </w:rPr>
        <w:t>c</w:t>
      </w:r>
      <w:r w:rsidR="00EA20E1" w:rsidRPr="00F71B40">
        <w:rPr>
          <w:rFonts w:cs="Times New Roman"/>
          <w:lang w:val="en-AU"/>
        </w:rPr>
        <w:fldChar w:fldCharType="end"/>
      </w:r>
      <w:r w:rsidR="00EA20E1" w:rsidRPr="00F71B40">
        <w:rPr>
          <w:rFonts w:cs="Times New Roman"/>
          <w:lang w:val="en-AU"/>
        </w:rPr>
        <w:t xml:space="preserve">) and early views on the </w:t>
      </w:r>
      <w:r w:rsidR="00A45DAB" w:rsidRPr="00F71B40">
        <w:rPr>
          <w:rFonts w:cs="Times New Roman"/>
          <w:lang w:val="en-AU"/>
        </w:rPr>
        <w:t xml:space="preserve">impact of the </w:t>
      </w:r>
      <w:r w:rsidR="00EA20E1" w:rsidRPr="00F71B40">
        <w:rPr>
          <w:rFonts w:cs="Times New Roman"/>
          <w:lang w:val="en-AU"/>
        </w:rPr>
        <w:t xml:space="preserve">SIGOV </w:t>
      </w:r>
      <w:r w:rsidR="00421453" w:rsidRPr="00F71B40">
        <w:rPr>
          <w:rFonts w:cs="Times New Roman"/>
          <w:lang w:val="en-AU"/>
        </w:rPr>
        <w:t>program</w:t>
      </w:r>
      <w:r w:rsidR="00EA20E1" w:rsidRPr="00F71B40">
        <w:rPr>
          <w:rFonts w:cs="Times New Roman"/>
          <w:lang w:val="en-AU"/>
        </w:rPr>
        <w:t xml:space="preserve"> itself (section </w:t>
      </w:r>
      <w:r w:rsidR="00EA20E1" w:rsidRPr="00F71B40">
        <w:rPr>
          <w:rFonts w:cs="Times New Roman"/>
          <w:lang w:val="en-AU"/>
        </w:rPr>
        <w:fldChar w:fldCharType="begin"/>
      </w:r>
      <w:r w:rsidR="00EA20E1" w:rsidRPr="00F71B40">
        <w:rPr>
          <w:rFonts w:cs="Times New Roman"/>
          <w:lang w:val="en-AU"/>
        </w:rPr>
        <w:instrText xml:space="preserve"> REF _Ref399248166 \r \h </w:instrText>
      </w:r>
      <w:r w:rsidR="00D62A32" w:rsidRPr="00F71B40">
        <w:rPr>
          <w:rFonts w:cs="Times New Roman"/>
          <w:lang w:val="en-AU"/>
        </w:rPr>
        <w:instrText xml:space="preserve"> \* MERGEFORMAT </w:instrText>
      </w:r>
      <w:r w:rsidR="00EA20E1" w:rsidRPr="00F71B40">
        <w:rPr>
          <w:rFonts w:cs="Times New Roman"/>
          <w:lang w:val="en-AU"/>
        </w:rPr>
      </w:r>
      <w:r w:rsidR="00EA20E1" w:rsidRPr="00F71B40">
        <w:rPr>
          <w:rFonts w:cs="Times New Roman"/>
          <w:lang w:val="en-AU"/>
        </w:rPr>
        <w:fldChar w:fldCharType="separate"/>
      </w:r>
      <w:r w:rsidR="00EF43BE">
        <w:rPr>
          <w:rFonts w:cs="Times New Roman"/>
          <w:lang w:val="en-AU"/>
        </w:rPr>
        <w:t>4</w:t>
      </w:r>
      <w:r w:rsidR="00EA20E1" w:rsidRPr="00F71B40">
        <w:rPr>
          <w:rFonts w:cs="Times New Roman"/>
          <w:lang w:val="en-AU"/>
        </w:rPr>
        <w:fldChar w:fldCharType="end"/>
      </w:r>
      <w:r w:rsidR="00EA20E1" w:rsidRPr="00F71B40">
        <w:rPr>
          <w:rFonts w:cs="Times New Roman"/>
          <w:lang w:val="en-AU"/>
        </w:rPr>
        <w:t>)</w:t>
      </w:r>
      <w:r w:rsidR="00A45DAB" w:rsidRPr="00F71B40">
        <w:rPr>
          <w:rFonts w:cs="Times New Roman"/>
          <w:lang w:val="en-AU"/>
        </w:rPr>
        <w:t xml:space="preserve"> suggest that this may not be correct</w:t>
      </w:r>
      <w:r w:rsidR="00EA20E1" w:rsidRPr="00F71B40">
        <w:rPr>
          <w:rFonts w:cs="Times New Roman"/>
          <w:lang w:val="en-AU"/>
        </w:rPr>
        <w:t xml:space="preserve">.  </w:t>
      </w:r>
      <w:r w:rsidR="003E4A1F" w:rsidRPr="00F71B40">
        <w:rPr>
          <w:lang w:val="en-AU"/>
        </w:rPr>
        <w:t xml:space="preserve">In reality, beyond broad generalities it is not clear what the central agencies are doing or failing to do which is most relevant for line departments and we do not know </w:t>
      </w:r>
      <w:r w:rsidR="001F785D" w:rsidRPr="00F71B40">
        <w:rPr>
          <w:lang w:val="en-AU"/>
        </w:rPr>
        <w:t>whether any improvements other than the functioning of the central agencies would help in improving service delivery.</w:t>
      </w:r>
      <w:r w:rsidR="00E256D6">
        <w:rPr>
          <w:lang w:val="en-AU"/>
        </w:rPr>
        <w:t xml:space="preserve">  </w:t>
      </w:r>
    </w:p>
    <w:p w:rsidR="003E4A1F" w:rsidRPr="00F71B40" w:rsidRDefault="003E4A1F" w:rsidP="00D62A32">
      <w:pPr>
        <w:rPr>
          <w:lang w:val="en-AU"/>
        </w:rPr>
      </w:pPr>
    </w:p>
    <w:p w:rsidR="00832F2E" w:rsidRPr="00F71B40" w:rsidRDefault="00535533" w:rsidP="00D62A32">
      <w:pPr>
        <w:rPr>
          <w:lang w:val="en-AU"/>
        </w:rPr>
      </w:pPr>
      <w:r>
        <w:rPr>
          <w:lang w:val="en-AU"/>
        </w:rPr>
        <w:t xml:space="preserve">Demand-side pressures, the role of politicians, key differences between sectors, are not incorporated within the assumed model.  </w:t>
      </w:r>
      <w:r w:rsidR="00B409D7" w:rsidRPr="00F71B40">
        <w:rPr>
          <w:lang w:val="en-AU"/>
        </w:rPr>
        <w:t>T</w:t>
      </w:r>
      <w:r w:rsidR="001C7E8F" w:rsidRPr="00F71B40">
        <w:rPr>
          <w:lang w:val="en-AU"/>
        </w:rPr>
        <w:t>hese gaps</w:t>
      </w:r>
      <w:r w:rsidR="00DF6E2F" w:rsidRPr="00F71B40">
        <w:rPr>
          <w:lang w:val="en-AU"/>
        </w:rPr>
        <w:t xml:space="preserve"> might be because it is not fully understood how the public sector does, or could</w:t>
      </w:r>
      <w:r w:rsidR="007155FA" w:rsidRPr="00F71B40">
        <w:rPr>
          <w:lang w:val="en-AU"/>
        </w:rPr>
        <w:t xml:space="preserve"> bette</w:t>
      </w:r>
      <w:r w:rsidR="00D62916" w:rsidRPr="00F71B40">
        <w:rPr>
          <w:lang w:val="en-AU"/>
        </w:rPr>
        <w:t>r</w:t>
      </w:r>
      <w:r w:rsidR="00DF6E2F" w:rsidRPr="00F71B40">
        <w:rPr>
          <w:lang w:val="en-AU"/>
        </w:rPr>
        <w:t xml:space="preserve">, operate at that delivery level.  </w:t>
      </w:r>
      <w:r w:rsidR="00B409D7" w:rsidRPr="00F71B40">
        <w:rPr>
          <w:lang w:val="en-AU"/>
        </w:rPr>
        <w:t xml:space="preserve">It would be reasonable in that case to acknowledge </w:t>
      </w:r>
      <w:r w:rsidR="001C7E8F" w:rsidRPr="00F71B40">
        <w:rPr>
          <w:lang w:val="en-AU"/>
        </w:rPr>
        <w:lastRenderedPageBreak/>
        <w:t xml:space="preserve">this point.  </w:t>
      </w:r>
      <w:r w:rsidR="004C240E" w:rsidRPr="00F71B40">
        <w:rPr>
          <w:lang w:val="en-AU"/>
        </w:rPr>
        <w:t>This is not an embarrassing admission as t</w:t>
      </w:r>
      <w:r w:rsidR="001C7E8F" w:rsidRPr="00F71B40">
        <w:rPr>
          <w:lang w:val="en-AU"/>
        </w:rPr>
        <w:t xml:space="preserve">he rather dismal track record of similar reforms (section </w:t>
      </w:r>
      <w:r w:rsidR="001C7E8F" w:rsidRPr="00F71B40">
        <w:rPr>
          <w:lang w:val="en-AU"/>
        </w:rPr>
        <w:fldChar w:fldCharType="begin"/>
      </w:r>
      <w:r w:rsidR="001C7E8F" w:rsidRPr="00F71B40">
        <w:rPr>
          <w:lang w:val="en-AU"/>
        </w:rPr>
        <w:instrText xml:space="preserve"> REF _Ref396758674 \r \h </w:instrText>
      </w:r>
      <w:r w:rsidR="00D62A32" w:rsidRPr="00F71B40">
        <w:rPr>
          <w:lang w:val="en-AU"/>
        </w:rPr>
        <w:instrText xml:space="preserve"> \* MERGEFORMAT </w:instrText>
      </w:r>
      <w:r w:rsidR="001C7E8F" w:rsidRPr="00F71B40">
        <w:rPr>
          <w:lang w:val="en-AU"/>
        </w:rPr>
      </w:r>
      <w:r w:rsidR="001C7E8F" w:rsidRPr="00F71B40">
        <w:rPr>
          <w:lang w:val="en-AU"/>
        </w:rPr>
        <w:fldChar w:fldCharType="separate"/>
      </w:r>
      <w:r w:rsidR="00EF43BE">
        <w:rPr>
          <w:lang w:val="en-AU"/>
        </w:rPr>
        <w:t>2</w:t>
      </w:r>
      <w:r w:rsidR="001C7E8F" w:rsidRPr="00F71B40">
        <w:rPr>
          <w:lang w:val="en-AU"/>
        </w:rPr>
        <w:fldChar w:fldCharType="end"/>
      </w:r>
      <w:r w:rsidR="001C7E8F" w:rsidRPr="00F71B40">
        <w:rPr>
          <w:lang w:val="en-AU"/>
        </w:rPr>
        <w:fldChar w:fldCharType="begin"/>
      </w:r>
      <w:r w:rsidR="001C7E8F" w:rsidRPr="00F71B40">
        <w:rPr>
          <w:lang w:val="en-AU"/>
        </w:rPr>
        <w:instrText xml:space="preserve"> REF _Ref399252420 \r \h </w:instrText>
      </w:r>
      <w:r w:rsidR="00D62A32" w:rsidRPr="00F71B40">
        <w:rPr>
          <w:lang w:val="en-AU"/>
        </w:rPr>
        <w:instrText xml:space="preserve"> \* MERGEFORMAT </w:instrText>
      </w:r>
      <w:r w:rsidR="001C7E8F" w:rsidRPr="00F71B40">
        <w:rPr>
          <w:lang w:val="en-AU"/>
        </w:rPr>
      </w:r>
      <w:r w:rsidR="001C7E8F" w:rsidRPr="00F71B40">
        <w:rPr>
          <w:lang w:val="en-AU"/>
        </w:rPr>
        <w:fldChar w:fldCharType="separate"/>
      </w:r>
      <w:r w:rsidR="00EF43BE">
        <w:rPr>
          <w:lang w:val="en-AU"/>
        </w:rPr>
        <w:t>c</w:t>
      </w:r>
      <w:r w:rsidR="001C7E8F" w:rsidRPr="00F71B40">
        <w:rPr>
          <w:lang w:val="en-AU"/>
        </w:rPr>
        <w:fldChar w:fldCharType="end"/>
      </w:r>
      <w:r w:rsidR="001C7E8F" w:rsidRPr="00F71B40">
        <w:rPr>
          <w:lang w:val="en-AU"/>
        </w:rPr>
        <w:t xml:space="preserve">) </w:t>
      </w:r>
      <w:r>
        <w:rPr>
          <w:lang w:val="en-AU"/>
        </w:rPr>
        <w:t>suggests</w:t>
      </w:r>
      <w:r w:rsidR="001C7E8F" w:rsidRPr="00F71B40">
        <w:rPr>
          <w:lang w:val="en-AU"/>
        </w:rPr>
        <w:t xml:space="preserve"> that most public sector interventions in similar low capacity settings are made without a </w:t>
      </w:r>
      <w:r w:rsidR="00896C87">
        <w:rPr>
          <w:lang w:val="en-AU"/>
        </w:rPr>
        <w:t>detailed</w:t>
      </w:r>
      <w:r w:rsidR="001C7E8F" w:rsidRPr="00F71B40">
        <w:rPr>
          <w:lang w:val="en-AU"/>
        </w:rPr>
        <w:t xml:space="preserve"> understanding of </w:t>
      </w:r>
      <w:r>
        <w:rPr>
          <w:lang w:val="en-AU"/>
        </w:rPr>
        <w:t xml:space="preserve">what makes delivery work in some downstream agencies and not in others.  </w:t>
      </w:r>
    </w:p>
    <w:p w:rsidR="00832F2E" w:rsidRPr="00F71B40" w:rsidRDefault="00832F2E" w:rsidP="00D62A32">
      <w:pPr>
        <w:rPr>
          <w:lang w:val="en-AU"/>
        </w:rPr>
      </w:pPr>
    </w:p>
    <w:p w:rsidR="00CF3A88" w:rsidRPr="00F71B40" w:rsidRDefault="00952783" w:rsidP="00D62A32">
      <w:pPr>
        <w:pStyle w:val="Heading3"/>
        <w:keepNext w:val="0"/>
        <w:keepLines w:val="0"/>
        <w:rPr>
          <w:lang w:val="en-AU"/>
        </w:rPr>
      </w:pPr>
      <w:bookmarkStart w:id="62" w:name="_Toc393458261"/>
      <w:bookmarkStart w:id="63" w:name="_Toc394676747"/>
      <w:bookmarkStart w:id="64" w:name="_Toc399410394"/>
      <w:r w:rsidRPr="00F71B40">
        <w:rPr>
          <w:lang w:val="en-AU"/>
        </w:rPr>
        <w:t xml:space="preserve">How will </w:t>
      </w:r>
      <w:r w:rsidR="00734CD4" w:rsidRPr="00F71B40">
        <w:rPr>
          <w:lang w:val="en-AU"/>
        </w:rPr>
        <w:t>SIGOV</w:t>
      </w:r>
      <w:r w:rsidRPr="00F71B40">
        <w:rPr>
          <w:lang w:val="en-AU"/>
        </w:rPr>
        <w:t xml:space="preserve"> help fix it? </w:t>
      </w:r>
      <w:r w:rsidR="00CF3A88" w:rsidRPr="00F71B40">
        <w:rPr>
          <w:lang w:val="en-AU"/>
        </w:rPr>
        <w:t xml:space="preserve">The </w:t>
      </w:r>
      <w:r w:rsidR="00351CF7" w:rsidRPr="00F71B40">
        <w:rPr>
          <w:lang w:val="en-AU"/>
        </w:rPr>
        <w:t xml:space="preserve">two-part </w:t>
      </w:r>
      <w:r w:rsidR="00CF3A88" w:rsidRPr="00F71B40">
        <w:rPr>
          <w:lang w:val="en-AU"/>
        </w:rPr>
        <w:t>intervention logic</w:t>
      </w:r>
      <w:bookmarkEnd w:id="62"/>
      <w:bookmarkEnd w:id="63"/>
      <w:r w:rsidR="00B45AEE" w:rsidRPr="00F71B40">
        <w:rPr>
          <w:lang w:val="en-AU"/>
        </w:rPr>
        <w:t xml:space="preserve"> assumed by SIGOV</w:t>
      </w:r>
      <w:bookmarkEnd w:id="64"/>
    </w:p>
    <w:p w:rsidR="00B45AEE" w:rsidRPr="00F71B40" w:rsidRDefault="00B45AEE" w:rsidP="00D62A32">
      <w:pPr>
        <w:rPr>
          <w:b/>
          <w:lang w:val="en-AU"/>
        </w:rPr>
      </w:pPr>
    </w:p>
    <w:p w:rsidR="00511D08" w:rsidRPr="00F71B40" w:rsidRDefault="00B45AEE" w:rsidP="00D62A32">
      <w:pPr>
        <w:rPr>
          <w:rFonts w:cs="Times New Roman"/>
          <w:lang w:val="en-AU"/>
        </w:rPr>
      </w:pPr>
      <w:r w:rsidRPr="00F71B40">
        <w:rPr>
          <w:lang w:val="en-AU"/>
        </w:rPr>
        <w:t>The intervention logic of SIG</w:t>
      </w:r>
      <w:r w:rsidR="004133AB" w:rsidRPr="00F71B40">
        <w:rPr>
          <w:lang w:val="en-AU"/>
        </w:rPr>
        <w:t>O</w:t>
      </w:r>
      <w:r w:rsidRPr="00F71B40">
        <w:rPr>
          <w:lang w:val="en-AU"/>
        </w:rPr>
        <w:t xml:space="preserve">V follows more or less automatically from the pivotal role of the central agencies in the results chain.  </w:t>
      </w:r>
      <w:r w:rsidR="00806871" w:rsidRPr="00F71B40">
        <w:rPr>
          <w:lang w:val="en-AU"/>
        </w:rPr>
        <w:t xml:space="preserve">“SIGOV Program support will focus on SIG’s central agencies and on the core upstream functions of the public service” </w:t>
      </w:r>
      <w:r w:rsidR="00115AC9" w:rsidRPr="00F71B40">
        <w:rPr>
          <w:lang w:val="en-AU"/>
        </w:rPr>
        <w:fldChar w:fldCharType="begin"/>
      </w:r>
      <w:r w:rsidR="00115AC9" w:rsidRPr="00F71B40">
        <w:rPr>
          <w:lang w:val="en-AU"/>
        </w:rPr>
        <w:instrText xml:space="preserve"> ADDIN EN.CITE &lt;EndNote&gt;&lt;Cite&gt;&lt;Author&gt;AusAID&lt;/Author&gt;&lt;Year&gt;2013&lt;/Year&gt;&lt;RecNum&gt;4260&lt;/RecNum&gt;&lt;Suffix&gt;`, p.iv&lt;/Suffix&gt;&lt;DisplayText&gt;(AusAID, 2013, p.iv)&lt;/DisplayText&gt;&lt;record&gt;&lt;rec-number&gt;4260&lt;/rec-number&gt;&lt;foreign-keys&gt;&lt;key app="EN" db-id="5v9z5rrdszvwsneef06v9dapsd0apdtfapdx" timestamp="1408387630"&gt;4260&lt;/key&gt;&lt;/foreign-keys&gt;&lt;ref-type name="Report"&gt;27&lt;/ref-type&gt;&lt;contributors&gt;&lt;authors&gt;&lt;author&gt;AusAID&lt;/author&gt;&lt;/authors&gt;&lt;/contributors&gt;&lt;titles&gt;&lt;title&gt;Delivery Strategy: Solomon Islands Economic and Public Sector Governance Program (SIGOV) 2013-4 to 2017-18&lt;/title&gt;&lt;/titles&gt;&lt;dates&gt;&lt;year&gt;2013&lt;/year&gt;&lt;/dates&gt;&lt;pub-location&gt;Canberra &lt;/pub-location&gt;&lt;publisher&gt;AusAID&lt;/publisher&gt;&lt;urls&gt;&lt;/urls&gt;&lt;/record&gt;&lt;/Cite&gt;&lt;/EndNote&gt;</w:instrText>
      </w:r>
      <w:r w:rsidR="00115AC9" w:rsidRPr="00F71B40">
        <w:rPr>
          <w:lang w:val="en-AU"/>
        </w:rPr>
        <w:fldChar w:fldCharType="separate"/>
      </w:r>
      <w:r w:rsidR="00115AC9" w:rsidRPr="00F71B40">
        <w:rPr>
          <w:lang w:val="en-AU"/>
        </w:rPr>
        <w:t>(</w:t>
      </w:r>
      <w:hyperlink w:anchor="_ENREF_13" w:tooltip="AusAID, 2013 #4260" w:history="1">
        <w:r w:rsidR="00CC56DB" w:rsidRPr="00F71B40">
          <w:rPr>
            <w:lang w:val="en-AU"/>
          </w:rPr>
          <w:t>AusAID, 2013, p.iv</w:t>
        </w:r>
      </w:hyperlink>
      <w:r w:rsidR="00115AC9" w:rsidRPr="00F71B40">
        <w:rPr>
          <w:lang w:val="en-AU"/>
        </w:rPr>
        <w:t>)</w:t>
      </w:r>
      <w:r w:rsidR="00115AC9" w:rsidRPr="00F71B40">
        <w:rPr>
          <w:lang w:val="en-AU"/>
        </w:rPr>
        <w:fldChar w:fldCharType="end"/>
      </w:r>
      <w:r w:rsidR="00806871" w:rsidRPr="00F71B40">
        <w:rPr>
          <w:lang w:val="en-AU"/>
        </w:rPr>
        <w:t>.</w:t>
      </w:r>
      <w:r w:rsidR="00511D08" w:rsidRPr="00F71B40">
        <w:rPr>
          <w:lang w:val="en-AU"/>
        </w:rPr>
        <w:t xml:space="preserve">  As </w:t>
      </w:r>
      <w:r w:rsidR="00511D08" w:rsidRPr="00F71B40">
        <w:rPr>
          <w:lang w:val="en-AU"/>
        </w:rPr>
        <w:fldChar w:fldCharType="begin"/>
      </w:r>
      <w:r w:rsidR="00511D08" w:rsidRPr="00F71B40">
        <w:rPr>
          <w:lang w:val="en-AU"/>
        </w:rPr>
        <w:instrText xml:space="preserve"> REF _Ref396584502 \h </w:instrText>
      </w:r>
      <w:r w:rsidR="00D62A32" w:rsidRPr="00F71B40">
        <w:rPr>
          <w:lang w:val="en-AU"/>
        </w:rPr>
        <w:instrText xml:space="preserve"> \* MERGEFORMAT </w:instrText>
      </w:r>
      <w:r w:rsidR="00511D08" w:rsidRPr="00F71B40">
        <w:rPr>
          <w:lang w:val="en-AU"/>
        </w:rPr>
      </w:r>
      <w:r w:rsidR="00511D08" w:rsidRPr="00F71B40">
        <w:rPr>
          <w:lang w:val="en-AU"/>
        </w:rPr>
        <w:fldChar w:fldCharType="separate"/>
      </w:r>
      <w:r w:rsidR="00EF43BE" w:rsidRPr="00F71B40">
        <w:rPr>
          <w:lang w:val="en-AU"/>
        </w:rPr>
        <w:t xml:space="preserve">Figure </w:t>
      </w:r>
      <w:r w:rsidR="00EF43BE">
        <w:rPr>
          <w:lang w:val="en-AU"/>
        </w:rPr>
        <w:t>4</w:t>
      </w:r>
      <w:r w:rsidR="00511D08" w:rsidRPr="00F71B40">
        <w:rPr>
          <w:lang w:val="en-AU"/>
        </w:rPr>
        <w:fldChar w:fldCharType="end"/>
      </w:r>
      <w:r w:rsidR="00511D08" w:rsidRPr="00F71B40">
        <w:rPr>
          <w:lang w:val="en-AU"/>
        </w:rPr>
        <w:t xml:space="preserve"> highlights, this is equivalent to Part A of </w:t>
      </w:r>
      <w:proofErr w:type="gramStart"/>
      <w:r w:rsidR="00511D08" w:rsidRPr="00F71B40">
        <w:rPr>
          <w:lang w:val="en-AU"/>
        </w:rPr>
        <w:t>a two</w:t>
      </w:r>
      <w:proofErr w:type="gramEnd"/>
      <w:r w:rsidR="00511D08" w:rsidRPr="00F71B40">
        <w:rPr>
          <w:lang w:val="en-AU"/>
        </w:rPr>
        <w:t xml:space="preserve">-part intervention logic. </w:t>
      </w:r>
      <w:r w:rsidR="00511D08" w:rsidRPr="00F71B40">
        <w:rPr>
          <w:rFonts w:cs="Times New Roman"/>
          <w:lang w:val="en-AU"/>
        </w:rPr>
        <w:t xml:space="preserve">The intention is that, in Part B, these system changes lead to subsequent government performance improvements changes which have a more direct bearing on the lives and futures of Solomon Islanders through sector service delivery, policy and process improvements.  </w:t>
      </w:r>
    </w:p>
    <w:p w:rsidR="00511D08" w:rsidRPr="00F71B40" w:rsidRDefault="00511D08" w:rsidP="00D62A32">
      <w:pPr>
        <w:rPr>
          <w:rFonts w:cs="Times New Roman"/>
          <w:lang w:val="en-AU"/>
        </w:rPr>
      </w:pPr>
    </w:p>
    <w:p w:rsidR="00511D08" w:rsidRPr="00F71B40" w:rsidRDefault="00511D08" w:rsidP="00D62A32">
      <w:pPr>
        <w:rPr>
          <w:rFonts w:cs="Times New Roman"/>
          <w:lang w:val="en-AU"/>
        </w:rPr>
      </w:pPr>
      <w:r w:rsidRPr="00F71B40">
        <w:rPr>
          <w:rFonts w:cs="Times New Roman"/>
          <w:lang w:val="en-AU"/>
        </w:rPr>
        <w:t xml:space="preserve">This two-part intervention logic is shared with many other public sector reform interventions supported by donors </w:t>
      </w:r>
      <w:r w:rsidR="00115AC9" w:rsidRPr="00F71B40">
        <w:rPr>
          <w:rFonts w:cs="Times New Roman"/>
          <w:lang w:val="en-AU"/>
        </w:rPr>
        <w:fldChar w:fldCharType="begin"/>
      </w:r>
      <w:r w:rsidR="00115AC9" w:rsidRPr="00F71B40">
        <w:rPr>
          <w:rFonts w:cs="Times New Roman"/>
          <w:lang w:val="en-AU"/>
        </w:rPr>
        <w:instrText xml:space="preserve"> ADDIN EN.CITE &lt;EndNote&gt;&lt;Cite&gt;&lt;Author&gt;World Bank&lt;/Author&gt;&lt;Year&gt;2012&lt;/Year&gt;&lt;RecNum&gt;3722&lt;/RecNum&gt;&lt;DisplayText&gt;(World Bank, 2012)&lt;/DisplayText&gt;&lt;record&gt;&lt;rec-number&gt;3722&lt;/rec-number&gt;&lt;foreign-keys&gt;&lt;key app="EN" db-id="5v9z5rrdszvwsneef06v9dapsd0apdtfapdx" timestamp="0"&gt;3722&lt;/key&gt;&lt;/foreign-keys&gt;&lt;ref-type name="Report"&gt;27&lt;/ref-type&gt;&lt;contributors&gt;&lt;authors&gt;&lt;author&gt;World Bank,&lt;/author&gt;&lt;/authors&gt;&lt;/contributors&gt;&lt;titles&gt;&lt;title&gt;The World Bank’s Approach to Public Sector Management 2011-2020: Better Results from Public Sector Institutions&lt;/title&gt;&lt;/titles&gt;&lt;dates&gt;&lt;year&gt;2012&lt;/year&gt;&lt;/dates&gt;&lt;pub-location&gt;Washington DC&lt;/pub-location&gt;&lt;publisher&gt;World Bank&lt;/publisher&gt;&lt;urls&gt;&lt;/urls&gt;&lt;/record&gt;&lt;/Cite&gt;&lt;/EndNote&gt;</w:instrText>
      </w:r>
      <w:r w:rsidR="00115AC9" w:rsidRPr="00F71B40">
        <w:rPr>
          <w:rFonts w:cs="Times New Roman"/>
          <w:lang w:val="en-AU"/>
        </w:rPr>
        <w:fldChar w:fldCharType="separate"/>
      </w:r>
      <w:r w:rsidR="00115AC9" w:rsidRPr="00F71B40">
        <w:rPr>
          <w:rFonts w:cs="Times New Roman"/>
          <w:lang w:val="en-AU"/>
        </w:rPr>
        <w:t>(</w:t>
      </w:r>
      <w:hyperlink w:anchor="_ENREF_150" w:tooltip="World Bank, 2012 #3722" w:history="1">
        <w:r w:rsidR="00CC56DB" w:rsidRPr="00F71B40">
          <w:rPr>
            <w:rFonts w:cs="Times New Roman"/>
            <w:lang w:val="en-AU"/>
          </w:rPr>
          <w:t>World Bank, 2012</w:t>
        </w:r>
      </w:hyperlink>
      <w:r w:rsidR="00115AC9" w:rsidRPr="00F71B40">
        <w:rPr>
          <w:rFonts w:cs="Times New Roman"/>
          <w:lang w:val="en-AU"/>
        </w:rPr>
        <w:t>)</w:t>
      </w:r>
      <w:r w:rsidR="00115AC9" w:rsidRPr="00F71B40">
        <w:rPr>
          <w:rFonts w:cs="Times New Roman"/>
          <w:lang w:val="en-AU"/>
        </w:rPr>
        <w:fldChar w:fldCharType="end"/>
      </w:r>
      <w:r w:rsidRPr="00F71B40">
        <w:rPr>
          <w:rFonts w:cs="Times New Roman"/>
          <w:lang w:val="en-AU"/>
        </w:rPr>
        <w:t>.</w:t>
      </w:r>
      <w:r w:rsidR="00E256D6">
        <w:rPr>
          <w:rFonts w:cs="Times New Roman"/>
          <w:lang w:val="en-AU"/>
        </w:rPr>
        <w:t xml:space="preserve">  </w:t>
      </w:r>
      <w:r w:rsidRPr="00F71B40">
        <w:rPr>
          <w:rFonts w:cs="Times New Roman"/>
          <w:lang w:val="en-AU"/>
        </w:rPr>
        <w:t xml:space="preserve">For example, the design of the DFAT Governance for Development </w:t>
      </w:r>
      <w:r w:rsidR="001C0C3B">
        <w:rPr>
          <w:rFonts w:cs="Times New Roman"/>
          <w:lang w:val="en-AU"/>
        </w:rPr>
        <w:t xml:space="preserve">(GfD) </w:t>
      </w:r>
      <w:r w:rsidRPr="00F71B40">
        <w:rPr>
          <w:rFonts w:cs="Times New Roman"/>
          <w:lang w:val="en-AU"/>
        </w:rPr>
        <w:t>program in Timor-Leste sets out this thinking very clearly: “Central government systems relevant to service delivery are administered by the Ministry of Finance, the Civil Service Commission and the Ministry of State Administration... (and) there are particular challenges associated with how the parts of service delivery systems owned by the central agencies and the Line Ministries interact to enable or inhibit the effective provision of services…</w:t>
      </w:r>
      <w:r w:rsidR="00E256D6">
        <w:rPr>
          <w:rFonts w:cs="Times New Roman"/>
          <w:lang w:val="en-AU"/>
        </w:rPr>
        <w:t xml:space="preserve">  </w:t>
      </w:r>
      <w:r w:rsidRPr="00F71B40">
        <w:rPr>
          <w:rFonts w:cs="Times New Roman"/>
          <w:lang w:val="en-AU"/>
        </w:rPr>
        <w:t xml:space="preserve">Central agencies are responsible for many aspects of the broader service delivery system that either enable or impede the ability of Line Ministries to deliver quality services to poor people… GfD aims to increase effectiveness of government services for the poor by working with central agencies to improve the aspects of the service delivery system that they are responsible for.” </w:t>
      </w:r>
      <w:r w:rsidR="00115AC9" w:rsidRPr="00F71B40">
        <w:rPr>
          <w:rFonts w:cs="Times New Roman"/>
          <w:lang w:val="en-AU"/>
        </w:rPr>
        <w:fldChar w:fldCharType="begin"/>
      </w:r>
      <w:r w:rsidR="003F0C47">
        <w:rPr>
          <w:rFonts w:cs="Times New Roman"/>
          <w:lang w:val="en-AU"/>
        </w:rPr>
        <w:instrText xml:space="preserve"> ADDIN EN.CITE &lt;EndNote&gt;&lt;Cite&gt;&lt;Author&gt;AusAID&lt;/Author&gt;&lt;Year&gt;2012&lt;/Year&gt;&lt;RecNum&gt;4259&lt;/RecNum&gt;&lt;Suffix&gt;`, pp. 24-7&lt;/Suffix&gt;&lt;DisplayText&gt;(AusAID, 2012c, pp. 24-7)&lt;/DisplayText&gt;&lt;record&gt;&lt;rec-number&gt;4259&lt;/rec-number&gt;&lt;foreign-keys&gt;&lt;key app="EN" db-id="5v9z5rrdszvwsneef06v9dapsd0apdtfapdx" timestamp="1408316604"&gt;4259&lt;/key&gt;&lt;/foreign-keys&gt;&lt;ref-type name="Report"&gt;27&lt;/ref-type&gt;&lt;contributors&gt;&lt;authors&gt;&lt;author&gt;AusAID&lt;/author&gt;&lt;/authors&gt;&lt;/contributors&gt;&lt;titles&gt;&lt;title&gt;Timor-Leste: Governance for Development Investment Design&lt;/title&gt;&lt;/titles&gt;&lt;dates&gt;&lt;year&gt;2012&lt;/year&gt;&lt;/dates&gt;&lt;pub-location&gt;Canberra&lt;/pub-location&gt;&lt;publisher&gt;AusAID&lt;/publisher&gt;&lt;urls&gt;&lt;/urls&gt;&lt;/record&gt;&lt;/Cite&gt;&lt;/EndNote&gt;</w:instrText>
      </w:r>
      <w:r w:rsidR="00115AC9" w:rsidRPr="00F71B40">
        <w:rPr>
          <w:rFonts w:cs="Times New Roman"/>
          <w:lang w:val="en-AU"/>
        </w:rPr>
        <w:fldChar w:fldCharType="separate"/>
      </w:r>
      <w:r w:rsidR="003F0C47">
        <w:rPr>
          <w:rFonts w:cs="Times New Roman"/>
          <w:noProof/>
          <w:lang w:val="en-AU"/>
        </w:rPr>
        <w:t>(</w:t>
      </w:r>
      <w:hyperlink w:anchor="_ENREF_12" w:tooltip="AusAID, 2012 #4259" w:history="1">
        <w:r w:rsidR="00CC56DB">
          <w:rPr>
            <w:rFonts w:cs="Times New Roman"/>
            <w:noProof/>
            <w:lang w:val="en-AU"/>
          </w:rPr>
          <w:t>AusAID, 2012c, pp. 24-7</w:t>
        </w:r>
      </w:hyperlink>
      <w:r w:rsidR="003F0C47">
        <w:rPr>
          <w:rFonts w:cs="Times New Roman"/>
          <w:noProof/>
          <w:lang w:val="en-AU"/>
        </w:rPr>
        <w:t>)</w:t>
      </w:r>
      <w:r w:rsidR="00115AC9" w:rsidRPr="00F71B40">
        <w:rPr>
          <w:rFonts w:cs="Times New Roman"/>
          <w:lang w:val="en-AU"/>
        </w:rPr>
        <w:fldChar w:fldCharType="end"/>
      </w:r>
      <w:r w:rsidRPr="00F71B40">
        <w:rPr>
          <w:rFonts w:cs="Times New Roman"/>
          <w:lang w:val="en-AU"/>
        </w:rPr>
        <w:t>.</w:t>
      </w:r>
      <w:r w:rsidR="00E256D6">
        <w:rPr>
          <w:rFonts w:cs="Times New Roman"/>
          <w:lang w:val="en-AU"/>
        </w:rPr>
        <w:t xml:space="preserve">  </w:t>
      </w:r>
    </w:p>
    <w:p w:rsidR="00B45AEE" w:rsidRPr="00F71B40" w:rsidRDefault="00B45AEE" w:rsidP="00D62A32">
      <w:pPr>
        <w:rPr>
          <w:lang w:val="en-AU"/>
        </w:rPr>
      </w:pPr>
    </w:p>
    <w:p w:rsidR="00513A54" w:rsidRPr="00F71B40" w:rsidRDefault="00513A54" w:rsidP="00E80C1D">
      <w:pPr>
        <w:pStyle w:val="Caption"/>
        <w:keepNext/>
        <w:keepLines/>
        <w:rPr>
          <w:lang w:val="en-AU"/>
        </w:rPr>
      </w:pPr>
      <w:bookmarkStart w:id="65" w:name="_Ref396584502"/>
      <w:bookmarkStart w:id="66" w:name="_Toc401761840"/>
      <w:r w:rsidRPr="00F71B40">
        <w:rPr>
          <w:lang w:val="en-AU"/>
        </w:rPr>
        <w:lastRenderedPageBreak/>
        <w:t xml:space="preserve">Figure </w:t>
      </w:r>
      <w:r w:rsidR="00991063" w:rsidRPr="00F71B40">
        <w:rPr>
          <w:lang w:val="en-AU"/>
        </w:rPr>
        <w:fldChar w:fldCharType="begin"/>
      </w:r>
      <w:r w:rsidR="00991063" w:rsidRPr="00F71B40">
        <w:rPr>
          <w:lang w:val="en-AU"/>
        </w:rPr>
        <w:instrText xml:space="preserve"> SEQ Figure \* ARABIC </w:instrText>
      </w:r>
      <w:r w:rsidR="00991063" w:rsidRPr="00F71B40">
        <w:rPr>
          <w:lang w:val="en-AU"/>
        </w:rPr>
        <w:fldChar w:fldCharType="separate"/>
      </w:r>
      <w:r w:rsidR="00EF43BE">
        <w:rPr>
          <w:noProof/>
          <w:lang w:val="en-AU"/>
        </w:rPr>
        <w:t>4</w:t>
      </w:r>
      <w:r w:rsidR="00991063" w:rsidRPr="00F71B40">
        <w:rPr>
          <w:lang w:val="en-AU"/>
        </w:rPr>
        <w:fldChar w:fldCharType="end"/>
      </w:r>
      <w:bookmarkEnd w:id="65"/>
      <w:r w:rsidRPr="00F71B40">
        <w:rPr>
          <w:lang w:val="en-AU"/>
        </w:rPr>
        <w:t>: The SIGOV intervention logic</w:t>
      </w:r>
      <w:bookmarkEnd w:id="66"/>
    </w:p>
    <w:p w:rsidR="00513A54" w:rsidRPr="00F71B40" w:rsidRDefault="00513A54" w:rsidP="00E80C1D">
      <w:pPr>
        <w:keepNext/>
        <w:keepLines/>
        <w:rPr>
          <w:lang w:val="en-AU"/>
        </w:rPr>
      </w:pPr>
    </w:p>
    <w:tbl>
      <w:tblPr>
        <w:tblStyle w:val="TableGrid"/>
        <w:tblW w:w="0" w:type="auto"/>
        <w:tblLook w:val="04A0" w:firstRow="1" w:lastRow="0" w:firstColumn="1" w:lastColumn="0" w:noHBand="0" w:noVBand="1"/>
      </w:tblPr>
      <w:tblGrid>
        <w:gridCol w:w="9576"/>
      </w:tblGrid>
      <w:tr w:rsidR="00584494" w:rsidRPr="00F71B40" w:rsidTr="00584494">
        <w:tc>
          <w:tcPr>
            <w:tcW w:w="9576" w:type="dxa"/>
          </w:tcPr>
          <w:p w:rsidR="00584494" w:rsidRPr="00F71B40" w:rsidRDefault="00AB725E" w:rsidP="00E80C1D">
            <w:pPr>
              <w:keepNext/>
              <w:keepLines/>
              <w:rPr>
                <w:lang w:val="en-AU"/>
              </w:rPr>
            </w:pPr>
            <w:r w:rsidRPr="00F71B40">
              <w:rPr>
                <w:noProof/>
                <w:lang w:val="en-AU" w:eastAsia="en-AU"/>
              </w:rPr>
              <w:drawing>
                <wp:inline distT="0" distB="0" distL="0" distR="0" wp14:anchorId="0928CAD0" wp14:editId="7CF953C4">
                  <wp:extent cx="5943600" cy="336232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943600" cy="3362325"/>
                          </a:xfrm>
                          <a:prstGeom prst="rect">
                            <a:avLst/>
                          </a:prstGeom>
                          <a:noFill/>
                          <a:ln>
                            <a:noFill/>
                          </a:ln>
                        </pic:spPr>
                      </pic:pic>
                    </a:graphicData>
                  </a:graphic>
                </wp:inline>
              </w:drawing>
            </w:r>
          </w:p>
          <w:p w:rsidR="00584494" w:rsidRPr="00F71B40" w:rsidRDefault="00584494" w:rsidP="00E80C1D">
            <w:pPr>
              <w:keepNext/>
              <w:keepLines/>
              <w:rPr>
                <w:lang w:val="en-AU"/>
              </w:rPr>
            </w:pPr>
            <w:r w:rsidRPr="00F71B40">
              <w:rPr>
                <w:lang w:val="en-AU"/>
              </w:rPr>
              <w:t>Source: Author</w:t>
            </w:r>
          </w:p>
        </w:tc>
      </w:tr>
    </w:tbl>
    <w:p w:rsidR="009C343C" w:rsidRPr="00F71B40" w:rsidRDefault="009C343C" w:rsidP="00D62A32">
      <w:pPr>
        <w:rPr>
          <w:lang w:val="en-AU"/>
        </w:rPr>
      </w:pPr>
    </w:p>
    <w:p w:rsidR="00CF3A88" w:rsidRPr="00F71B40" w:rsidRDefault="00CF3A88" w:rsidP="00D62A32">
      <w:pPr>
        <w:rPr>
          <w:rFonts w:cs="Times New Roman"/>
          <w:lang w:val="en-AU"/>
        </w:rPr>
      </w:pPr>
      <w:r w:rsidRPr="00F71B40">
        <w:rPr>
          <w:rFonts w:cs="Times New Roman"/>
          <w:lang w:val="en-AU"/>
        </w:rPr>
        <w:t xml:space="preserve">In essence, </w:t>
      </w:r>
      <w:r w:rsidR="00511D08" w:rsidRPr="00F71B40">
        <w:rPr>
          <w:rFonts w:cs="Times New Roman"/>
          <w:lang w:val="en-AU"/>
        </w:rPr>
        <w:t xml:space="preserve">for </w:t>
      </w:r>
      <w:r w:rsidR="00D047DC" w:rsidRPr="00F71B40">
        <w:rPr>
          <w:rFonts w:cs="Times New Roman"/>
          <w:lang w:val="en-AU"/>
        </w:rPr>
        <w:t>Part A</w:t>
      </w:r>
      <w:r w:rsidR="00511D08" w:rsidRPr="00F71B40">
        <w:rPr>
          <w:rFonts w:cs="Times New Roman"/>
          <w:lang w:val="en-AU"/>
        </w:rPr>
        <w:t xml:space="preserve">, </w:t>
      </w:r>
      <w:r w:rsidRPr="00F71B40">
        <w:rPr>
          <w:rFonts w:cs="Times New Roman"/>
          <w:lang w:val="en-AU"/>
        </w:rPr>
        <w:t xml:space="preserve">the SIGOV interventions are intended to lead </w:t>
      </w:r>
      <w:r w:rsidR="00677172" w:rsidRPr="00F71B40">
        <w:rPr>
          <w:rFonts w:cs="Times New Roman"/>
          <w:lang w:val="en-AU"/>
        </w:rPr>
        <w:t xml:space="preserve">directly </w:t>
      </w:r>
      <w:r w:rsidRPr="00F71B40">
        <w:rPr>
          <w:rFonts w:cs="Times New Roman"/>
          <w:lang w:val="en-AU"/>
        </w:rPr>
        <w:t xml:space="preserve">to institutional and system improvements in the functioning of some public sector central agencies (MOFT, MOFT-ERU, MOFT-Customs, MOFT-DIR, MPS, PSC and OAG) and the associated public management systems </w:t>
      </w:r>
      <w:r w:rsidR="00677172" w:rsidRPr="00F71B40">
        <w:rPr>
          <w:rFonts w:cs="Times New Roman"/>
          <w:lang w:val="en-AU"/>
        </w:rPr>
        <w:t>(</w:t>
      </w:r>
      <w:r w:rsidR="00677172" w:rsidRPr="00F71B40">
        <w:rPr>
          <w:rFonts w:cs="Times New Roman"/>
          <w:lang w:val="en-AU"/>
        </w:rPr>
        <w:fldChar w:fldCharType="begin"/>
      </w:r>
      <w:r w:rsidR="00677172" w:rsidRPr="00F71B40">
        <w:rPr>
          <w:rFonts w:cs="Times New Roman"/>
          <w:lang w:val="en-AU"/>
        </w:rPr>
        <w:instrText xml:space="preserve"> REF _Ref396584502 \h </w:instrText>
      </w:r>
      <w:r w:rsidR="00D62A32" w:rsidRPr="00F71B40">
        <w:rPr>
          <w:rFonts w:cs="Times New Roman"/>
          <w:lang w:val="en-AU"/>
        </w:rPr>
        <w:instrText xml:space="preserve"> \* MERGEFORMAT </w:instrText>
      </w:r>
      <w:r w:rsidR="00677172" w:rsidRPr="00F71B40">
        <w:rPr>
          <w:rFonts w:cs="Times New Roman"/>
          <w:lang w:val="en-AU"/>
        </w:rPr>
      </w:r>
      <w:r w:rsidR="00677172" w:rsidRPr="00F71B40">
        <w:rPr>
          <w:rFonts w:cs="Times New Roman"/>
          <w:lang w:val="en-AU"/>
        </w:rPr>
        <w:fldChar w:fldCharType="separate"/>
      </w:r>
      <w:r w:rsidR="00EF43BE" w:rsidRPr="00F71B40">
        <w:rPr>
          <w:lang w:val="en-AU"/>
        </w:rPr>
        <w:t xml:space="preserve">Figure </w:t>
      </w:r>
      <w:r w:rsidR="00EF43BE">
        <w:rPr>
          <w:lang w:val="en-AU"/>
        </w:rPr>
        <w:t>4</w:t>
      </w:r>
      <w:r w:rsidR="00677172" w:rsidRPr="00F71B40">
        <w:rPr>
          <w:rFonts w:cs="Times New Roman"/>
          <w:lang w:val="en-AU"/>
        </w:rPr>
        <w:fldChar w:fldCharType="end"/>
      </w:r>
      <w:r w:rsidR="00677172" w:rsidRPr="00F71B40">
        <w:rPr>
          <w:rFonts w:cs="Times New Roman"/>
          <w:lang w:val="en-AU"/>
        </w:rPr>
        <w:t>)</w:t>
      </w:r>
      <w:r w:rsidR="007F2B6E" w:rsidRPr="00F71B40">
        <w:rPr>
          <w:rFonts w:cs="Times New Roman"/>
          <w:lang w:val="en-AU"/>
        </w:rPr>
        <w:t xml:space="preserve">.  The interventions envisaged by SIGOV are primarily technical advice and guidance, and temporary capacity enhancement through external advisors.  </w:t>
      </w:r>
    </w:p>
    <w:p w:rsidR="00052715" w:rsidRPr="00F71B40" w:rsidRDefault="00052715" w:rsidP="00D62A32">
      <w:pPr>
        <w:rPr>
          <w:rFonts w:cs="Times New Roman"/>
          <w:lang w:val="en-AU"/>
        </w:rPr>
      </w:pPr>
    </w:p>
    <w:p w:rsidR="003D2394" w:rsidRPr="00F71B40" w:rsidRDefault="00511D08" w:rsidP="00D62A32">
      <w:pPr>
        <w:rPr>
          <w:lang w:val="en-AU"/>
        </w:rPr>
      </w:pPr>
      <w:r w:rsidRPr="00F71B40">
        <w:rPr>
          <w:rFonts w:cs="Times New Roman"/>
          <w:lang w:val="en-AU"/>
        </w:rPr>
        <w:t xml:space="preserve">On </w:t>
      </w:r>
      <w:r w:rsidR="00D047DC" w:rsidRPr="00F71B40">
        <w:rPr>
          <w:rFonts w:cs="Times New Roman"/>
          <w:lang w:val="en-AU"/>
        </w:rPr>
        <w:t>Part B</w:t>
      </w:r>
      <w:r w:rsidRPr="00F71B40">
        <w:rPr>
          <w:rFonts w:cs="Times New Roman"/>
          <w:lang w:val="en-AU"/>
        </w:rPr>
        <w:t>, s</w:t>
      </w:r>
      <w:r w:rsidR="00B409D7" w:rsidRPr="00F71B40">
        <w:rPr>
          <w:lang w:val="en-AU"/>
        </w:rPr>
        <w:t>ince SIGOV has no clear hypotheses about why these central agency improvements will translate into final results it has correspondingly little to say about</w:t>
      </w:r>
      <w:r w:rsidR="001F785D" w:rsidRPr="00F71B40">
        <w:rPr>
          <w:lang w:val="en-AU"/>
        </w:rPr>
        <w:t xml:space="preserve"> prioritization or about</w:t>
      </w:r>
      <w:r w:rsidR="00B409D7" w:rsidRPr="00F71B40">
        <w:rPr>
          <w:lang w:val="en-AU"/>
        </w:rPr>
        <w:t xml:space="preserve"> </w:t>
      </w:r>
      <w:r w:rsidR="001F785D" w:rsidRPr="00F71B40">
        <w:rPr>
          <w:lang w:val="en-AU"/>
        </w:rPr>
        <w:t>potential interventions outside of the central agencies.</w:t>
      </w:r>
      <w:r w:rsidR="001C7E8F" w:rsidRPr="00F71B40">
        <w:rPr>
          <w:lang w:val="en-AU"/>
        </w:rPr>
        <w:t xml:space="preserve">  Interventions are not targeted with types of service delivery </w:t>
      </w:r>
      <w:r w:rsidRPr="00F71B40">
        <w:rPr>
          <w:lang w:val="en-AU"/>
        </w:rPr>
        <w:t xml:space="preserve">in mind or with any focus on </w:t>
      </w:r>
      <w:r w:rsidR="003D2394" w:rsidRPr="00F71B40">
        <w:rPr>
          <w:lang w:val="en-AU"/>
        </w:rPr>
        <w:t>the role of user groups or citizen pressure</w:t>
      </w:r>
      <w:r w:rsidRPr="00F71B40">
        <w:rPr>
          <w:lang w:val="en-AU"/>
        </w:rPr>
        <w:t xml:space="preserve">s.  </w:t>
      </w:r>
    </w:p>
    <w:p w:rsidR="00062CBC" w:rsidRPr="00F71B40" w:rsidRDefault="00062CBC" w:rsidP="00D62A32">
      <w:pPr>
        <w:rPr>
          <w:rFonts w:cs="Times New Roman"/>
          <w:lang w:val="en-AU"/>
        </w:rPr>
      </w:pPr>
    </w:p>
    <w:p w:rsidR="00031026" w:rsidRPr="00F71B40" w:rsidRDefault="00FB466C" w:rsidP="00D62A32">
      <w:pPr>
        <w:rPr>
          <w:lang w:val="en-AU"/>
        </w:rPr>
      </w:pPr>
      <w:r w:rsidRPr="00F71B40">
        <w:rPr>
          <w:rFonts w:cs="Times New Roman"/>
          <w:lang w:val="en-AU"/>
        </w:rPr>
        <w:t xml:space="preserve">An intervention logic for Part B must consider </w:t>
      </w:r>
      <w:r w:rsidR="00031026" w:rsidRPr="00F71B40">
        <w:rPr>
          <w:rFonts w:cs="Times New Roman"/>
          <w:lang w:val="en-AU"/>
        </w:rPr>
        <w:t>h</w:t>
      </w:r>
      <w:r w:rsidR="00EE19C6" w:rsidRPr="00F71B40">
        <w:rPr>
          <w:lang w:val="en-AU"/>
        </w:rPr>
        <w:t xml:space="preserve">ow </w:t>
      </w:r>
      <w:r w:rsidR="00426A0F" w:rsidRPr="00F71B40">
        <w:rPr>
          <w:lang w:val="en-AU"/>
        </w:rPr>
        <w:t xml:space="preserve">to identify those sectors or services where central agency functioning is </w:t>
      </w:r>
      <w:r w:rsidR="00DE4286" w:rsidRPr="00F71B40">
        <w:rPr>
          <w:lang w:val="en-AU"/>
        </w:rPr>
        <w:t>the</w:t>
      </w:r>
      <w:r w:rsidR="00426A0F" w:rsidRPr="00F71B40">
        <w:rPr>
          <w:lang w:val="en-AU"/>
        </w:rPr>
        <w:t xml:space="preserve"> binding constraint to effective service delivery</w:t>
      </w:r>
      <w:r w:rsidR="00DE4286" w:rsidRPr="00F71B40">
        <w:rPr>
          <w:lang w:val="en-AU"/>
        </w:rPr>
        <w:t xml:space="preserve"> and so improvements in the central agencies will be sufficient to make a difference – and where this will not be enough, what else is needed and where this might come from</w:t>
      </w:r>
      <w:r w:rsidR="00EE19C6" w:rsidRPr="00F71B40">
        <w:rPr>
          <w:lang w:val="en-AU"/>
        </w:rPr>
        <w:t xml:space="preserve">.  </w:t>
      </w:r>
    </w:p>
    <w:p w:rsidR="00D62916" w:rsidRPr="00F71B40" w:rsidRDefault="00D62916" w:rsidP="00D62A32">
      <w:pPr>
        <w:rPr>
          <w:lang w:val="en-AU"/>
        </w:rPr>
      </w:pPr>
    </w:p>
    <w:p w:rsidR="00DE4286" w:rsidRPr="00F71B40" w:rsidRDefault="00D62916" w:rsidP="00D62A32">
      <w:pPr>
        <w:rPr>
          <w:lang w:val="en-AU"/>
        </w:rPr>
      </w:pPr>
      <w:r w:rsidRPr="00F71B40">
        <w:rPr>
          <w:lang w:val="en-AU"/>
        </w:rPr>
        <w:t>Most crucially, if it is correct that SIGOV does not start from a full understanding of how the incentives for downstream delivery are or could be enhanced beyond working with the central agencies, then it will need to explore this flexibly as implementation proceeds.</w:t>
      </w:r>
      <w:r w:rsidR="00E256D6">
        <w:rPr>
          <w:lang w:val="en-AU"/>
        </w:rPr>
        <w:t xml:space="preserve">  </w:t>
      </w:r>
      <w:r w:rsidRPr="00F71B40">
        <w:rPr>
          <w:lang w:val="en-AU"/>
        </w:rPr>
        <w:t>The intervention logic for Part B must embody an approach to learning how the public sector operates in practice and adjusting implementation accordingly.</w:t>
      </w:r>
      <w:r w:rsidR="00175AB5" w:rsidRPr="00F71B40">
        <w:rPr>
          <w:rStyle w:val="FootnoteReference"/>
          <w:rFonts w:cs="Times New Roman"/>
          <w:lang w:val="en-AU"/>
        </w:rPr>
        <w:footnoteReference w:id="15"/>
      </w:r>
      <w:r w:rsidR="00E256D6">
        <w:rPr>
          <w:rFonts w:cs="Times New Roman"/>
          <w:lang w:val="en-AU"/>
        </w:rPr>
        <w:t xml:space="preserve">  </w:t>
      </w:r>
    </w:p>
    <w:p w:rsidR="00D62916" w:rsidRPr="00F71B40" w:rsidRDefault="00D62916" w:rsidP="00D62A32">
      <w:pPr>
        <w:rPr>
          <w:lang w:val="en-AU"/>
        </w:rPr>
      </w:pPr>
    </w:p>
    <w:p w:rsidR="002D57F5" w:rsidRPr="00F71B40" w:rsidRDefault="009175E5" w:rsidP="00D62A32">
      <w:pPr>
        <w:rPr>
          <w:rFonts w:cs="Times New Roman"/>
          <w:lang w:val="en-AU"/>
        </w:rPr>
      </w:pPr>
      <w:r w:rsidRPr="00F71B40">
        <w:rPr>
          <w:lang w:val="en-AU"/>
        </w:rPr>
        <w:t xml:space="preserve">In both </w:t>
      </w:r>
      <w:r w:rsidR="002D57F5" w:rsidRPr="00F71B40">
        <w:rPr>
          <w:lang w:val="en-AU"/>
        </w:rPr>
        <w:t xml:space="preserve">Parts A and B, the intervention logic must also consider the types of inputs that the project is to offer.  In designing SIGOV, </w:t>
      </w:r>
      <w:r w:rsidR="00115AC9" w:rsidRPr="00F71B40">
        <w:rPr>
          <w:rFonts w:cs="Times New Roman"/>
          <w:lang w:val="en-AU"/>
        </w:rPr>
        <w:fldChar w:fldCharType="begin"/>
      </w:r>
      <w:r w:rsidR="00115AC9" w:rsidRPr="00F71B40">
        <w:rPr>
          <w:rFonts w:cs="Times New Roman"/>
          <w:lang w:val="en-AU"/>
        </w:rPr>
        <w:instrText xml:space="preserve"> ADDIN EN.CITE &lt;EndNote&gt;&lt;Cite&gt;&lt;Author&gt;AusAID&lt;/Author&gt;&lt;Year&gt;2013&lt;/Year&gt;&lt;RecNum&gt;4260&lt;/RecNum&gt;&lt;DisplayText&gt;(AusAID, 2013)&lt;/DisplayText&gt;&lt;record&gt;&lt;rec-number&gt;4260&lt;/rec-number&gt;&lt;foreign-keys&gt;&lt;key app="EN" db-id="5v9z5rrdszvwsneef06v9dapsd0apdtfapdx" timestamp="1408387630"&gt;4260&lt;/key&gt;&lt;/foreign-keys&gt;&lt;ref-type name="Report"&gt;27&lt;/ref-type&gt;&lt;contributors&gt;&lt;authors&gt;&lt;author&gt;AusAID&lt;/author&gt;&lt;/authors&gt;&lt;/contributors&gt;&lt;titles&gt;&lt;title&gt;Delivery Strategy: Solomon Islands Economic and Public Sector Governance Program (SIGOV) 2013-4 to 2017-18&lt;/title&gt;&lt;/titles&gt;&lt;dates&gt;&lt;year&gt;2013&lt;/year&gt;&lt;/dates&gt;&lt;pub-location&gt;Canberra &lt;/pub-location&gt;&lt;publisher&gt;AusAID&lt;/publisher&gt;&lt;urls&gt;&lt;/urls&gt;&lt;/record&gt;&lt;/Cite&gt;&lt;/EndNote&gt;</w:instrText>
      </w:r>
      <w:r w:rsidR="00115AC9" w:rsidRPr="00F71B40">
        <w:rPr>
          <w:rFonts w:cs="Times New Roman"/>
          <w:lang w:val="en-AU"/>
        </w:rPr>
        <w:fldChar w:fldCharType="separate"/>
      </w:r>
      <w:r w:rsidR="00115AC9" w:rsidRPr="00F71B40">
        <w:rPr>
          <w:rFonts w:cs="Times New Roman"/>
          <w:lang w:val="en-AU"/>
        </w:rPr>
        <w:t>(</w:t>
      </w:r>
      <w:hyperlink w:anchor="_ENREF_13" w:tooltip="AusAID, 2013 #4260" w:history="1">
        <w:r w:rsidR="00CC56DB" w:rsidRPr="00F71B40">
          <w:rPr>
            <w:rFonts w:cs="Times New Roman"/>
            <w:lang w:val="en-AU"/>
          </w:rPr>
          <w:t>AusAID, 2013</w:t>
        </w:r>
      </w:hyperlink>
      <w:r w:rsidR="00115AC9" w:rsidRPr="00F71B40">
        <w:rPr>
          <w:rFonts w:cs="Times New Roman"/>
          <w:lang w:val="en-AU"/>
        </w:rPr>
        <w:t>)</w:t>
      </w:r>
      <w:r w:rsidR="00115AC9" w:rsidRPr="00F71B40">
        <w:rPr>
          <w:rFonts w:cs="Times New Roman"/>
          <w:lang w:val="en-AU"/>
        </w:rPr>
        <w:fldChar w:fldCharType="end"/>
      </w:r>
      <w:r w:rsidR="002D57F5" w:rsidRPr="00F71B40">
        <w:rPr>
          <w:rFonts w:cs="Times New Roman"/>
          <w:lang w:val="en-AU"/>
        </w:rPr>
        <w:t xml:space="preserve"> envisaged a broad range of </w:t>
      </w:r>
      <w:r w:rsidR="001D3A61" w:rsidRPr="00F71B40">
        <w:rPr>
          <w:rFonts w:cs="Times New Roman"/>
          <w:lang w:val="en-AU"/>
        </w:rPr>
        <w:t>inputs</w:t>
      </w:r>
      <w:r w:rsidR="002D57F5" w:rsidRPr="00F71B40">
        <w:rPr>
          <w:rFonts w:cs="Times New Roman"/>
          <w:lang w:val="en-AU"/>
        </w:rPr>
        <w:t xml:space="preserve">.  “SIGOV support will include staffing supplementation (i.e. support for salaries for urgently needed positions that can only be absorbed on the SIG establishment over time), targeted direct financing using multi-year accountable cash grants, twining activities with like institutions and funding of recurrent budget needs and/or infrastructure to close identified gaps in planning and implementation.” </w:t>
      </w:r>
      <w:r w:rsidR="00115AC9" w:rsidRPr="00F71B40">
        <w:rPr>
          <w:rFonts w:cs="Times New Roman"/>
          <w:lang w:val="en-AU"/>
        </w:rPr>
        <w:fldChar w:fldCharType="begin"/>
      </w:r>
      <w:r w:rsidR="00115AC9" w:rsidRPr="00F71B40">
        <w:rPr>
          <w:rFonts w:cs="Times New Roman"/>
          <w:lang w:val="en-AU"/>
        </w:rPr>
        <w:instrText xml:space="preserve"> ADDIN EN.CITE &lt;EndNote&gt;&lt;Cite&gt;&lt;Author&gt;AusAID&lt;/Author&gt;&lt;Year&gt;2013&lt;/Year&gt;&lt;RecNum&gt;4260&lt;/RecNum&gt;&lt;Suffix&gt;`, p. 15&lt;/Suffix&gt;&lt;DisplayText&gt;(AusAID, 2013, p. 15)&lt;/DisplayText&gt;&lt;record&gt;&lt;rec-number&gt;4260&lt;/rec-number&gt;&lt;foreign-keys&gt;&lt;key app="EN" db-id="5v9z5rrdszvwsneef06v9dapsd0apdtfapdx" timestamp="1408387630"&gt;4260&lt;/key&gt;&lt;/foreign-keys&gt;&lt;ref-type name="Report"&gt;27&lt;/ref-type&gt;&lt;contributors&gt;&lt;authors&gt;&lt;author&gt;AusAID&lt;/author&gt;&lt;/authors&gt;&lt;/contributors&gt;&lt;titles&gt;&lt;title&gt;Delivery Strategy: Solomon Islands Economic and Public Sector Governance Program (SIGOV) 2013-4 to 2017-18&lt;/title&gt;&lt;/titles&gt;&lt;dates&gt;&lt;year&gt;2013&lt;/year&gt;&lt;/dates&gt;&lt;pub-location&gt;Canberra &lt;/pub-location&gt;&lt;publisher&gt;AusAID&lt;/publisher&gt;&lt;urls&gt;&lt;/urls&gt;&lt;/record&gt;&lt;/Cite&gt;&lt;/EndNote&gt;</w:instrText>
      </w:r>
      <w:r w:rsidR="00115AC9" w:rsidRPr="00F71B40">
        <w:rPr>
          <w:rFonts w:cs="Times New Roman"/>
          <w:lang w:val="en-AU"/>
        </w:rPr>
        <w:fldChar w:fldCharType="separate"/>
      </w:r>
      <w:r w:rsidR="00115AC9" w:rsidRPr="00F71B40">
        <w:rPr>
          <w:rFonts w:cs="Times New Roman"/>
          <w:lang w:val="en-AU"/>
        </w:rPr>
        <w:t>(</w:t>
      </w:r>
      <w:hyperlink w:anchor="_ENREF_13" w:tooltip="AusAID, 2013 #4260" w:history="1">
        <w:r w:rsidR="00CC56DB" w:rsidRPr="00F71B40">
          <w:rPr>
            <w:rFonts w:cs="Times New Roman"/>
            <w:lang w:val="en-AU"/>
          </w:rPr>
          <w:t>AusAID, 2013, p. 15</w:t>
        </w:r>
      </w:hyperlink>
      <w:r w:rsidR="00115AC9" w:rsidRPr="00F71B40">
        <w:rPr>
          <w:rFonts w:cs="Times New Roman"/>
          <w:lang w:val="en-AU"/>
        </w:rPr>
        <w:t>)</w:t>
      </w:r>
      <w:r w:rsidR="00115AC9" w:rsidRPr="00F71B40">
        <w:rPr>
          <w:rFonts w:cs="Times New Roman"/>
          <w:lang w:val="en-AU"/>
        </w:rPr>
        <w:fldChar w:fldCharType="end"/>
      </w:r>
      <w:r w:rsidR="002D57F5" w:rsidRPr="00F71B40">
        <w:rPr>
          <w:rFonts w:cs="Times New Roman"/>
          <w:lang w:val="en-AU"/>
        </w:rPr>
        <w:t>.</w:t>
      </w:r>
      <w:r w:rsidR="00E256D6">
        <w:rPr>
          <w:rFonts w:cs="Times New Roman"/>
          <w:lang w:val="en-AU"/>
        </w:rPr>
        <w:t xml:space="preserve">  </w:t>
      </w:r>
      <w:r w:rsidR="002D57F5" w:rsidRPr="00F71B40">
        <w:rPr>
          <w:rFonts w:cs="Times New Roman"/>
          <w:lang w:val="en-AU"/>
        </w:rPr>
        <w:t xml:space="preserve">In practice, long term technical assistance is the primary mode of intervention – through Australian federal government employees (referred to as “Whole of Government” staff) and through independent consultants.  It seems that most of these advisors have a strong institutional rather than coaching background.  Accountable cash grants are available but </w:t>
      </w:r>
      <w:r w:rsidR="008E310B">
        <w:rPr>
          <w:rFonts w:cs="Times New Roman"/>
          <w:lang w:val="en-AU"/>
        </w:rPr>
        <w:t xml:space="preserve">are seen as having a weak track record </w:t>
      </w:r>
      <w:r w:rsidR="002D57F5" w:rsidRPr="00F71B40">
        <w:rPr>
          <w:rFonts w:cs="Times New Roman"/>
          <w:lang w:val="en-AU"/>
        </w:rPr>
        <w:t xml:space="preserve">because of delays in disbursements and fiduciary concerns resulting from the recent procurement scandal.  </w:t>
      </w:r>
    </w:p>
    <w:p w:rsidR="002D57F5" w:rsidRPr="00F71B40" w:rsidRDefault="002D57F5" w:rsidP="00D62A32">
      <w:pPr>
        <w:rPr>
          <w:lang w:val="en-AU"/>
        </w:rPr>
      </w:pPr>
    </w:p>
    <w:p w:rsidR="009438AE" w:rsidRPr="00F71B40" w:rsidRDefault="002D57F5" w:rsidP="00D62A32">
      <w:pPr>
        <w:rPr>
          <w:lang w:val="en-AU"/>
        </w:rPr>
      </w:pPr>
      <w:r w:rsidRPr="00F71B40">
        <w:rPr>
          <w:lang w:val="en-AU"/>
        </w:rPr>
        <w:t xml:space="preserve">In considering the inputs, the intervention logic should reflect on the possibility that there is more that could be done “between the </w:t>
      </w:r>
      <w:r w:rsidR="000D6DE1" w:rsidRPr="00F71B40">
        <w:rPr>
          <w:lang w:val="en-AU"/>
        </w:rPr>
        <w:t>rules</w:t>
      </w:r>
      <w:r w:rsidRPr="00F71B40">
        <w:rPr>
          <w:lang w:val="en-AU"/>
        </w:rPr>
        <w:t>” through coaching and confidential mentoring.  Not all improvements are the result of formal legal and regulatory reforms – some arise through enhanced managerial effort.</w:t>
      </w:r>
    </w:p>
    <w:p w:rsidR="009438AE" w:rsidRPr="00F71B40" w:rsidRDefault="009438AE" w:rsidP="00D62A32">
      <w:pPr>
        <w:rPr>
          <w:rFonts w:cs="Times New Roman"/>
          <w:lang w:val="en-AU"/>
        </w:rPr>
      </w:pPr>
    </w:p>
    <w:p w:rsidR="00CF3A88" w:rsidRPr="00F71B40" w:rsidRDefault="00952783" w:rsidP="00D62A32">
      <w:pPr>
        <w:pStyle w:val="Heading3"/>
        <w:rPr>
          <w:lang w:val="en-AU"/>
        </w:rPr>
      </w:pPr>
      <w:bookmarkStart w:id="67" w:name="_Toc394676748"/>
      <w:bookmarkStart w:id="68" w:name="_Toc399410395"/>
      <w:r w:rsidRPr="00F71B40">
        <w:rPr>
          <w:lang w:val="en-AU"/>
        </w:rPr>
        <w:t xml:space="preserve">Why will actors comply so that assistance from SIGOV makes a lasting difference? </w:t>
      </w:r>
      <w:r w:rsidR="00F3093A" w:rsidRPr="00F71B40">
        <w:rPr>
          <w:lang w:val="en-AU"/>
        </w:rPr>
        <w:t xml:space="preserve">An incomplete </w:t>
      </w:r>
      <w:r w:rsidR="009A1634" w:rsidRPr="00F71B40">
        <w:rPr>
          <w:lang w:val="en-AU"/>
        </w:rPr>
        <w:t>“</w:t>
      </w:r>
      <w:r w:rsidR="00CF3A88" w:rsidRPr="00F71B40">
        <w:rPr>
          <w:lang w:val="en-AU"/>
        </w:rPr>
        <w:t>theory of change</w:t>
      </w:r>
      <w:bookmarkEnd w:id="67"/>
      <w:r w:rsidR="009A1634" w:rsidRPr="00F71B40">
        <w:rPr>
          <w:lang w:val="en-AU"/>
        </w:rPr>
        <w:t>”</w:t>
      </w:r>
      <w:bookmarkEnd w:id="68"/>
    </w:p>
    <w:p w:rsidR="00CF3A88" w:rsidRPr="00F71B40" w:rsidRDefault="00CF3A88" w:rsidP="00D62A32">
      <w:pPr>
        <w:rPr>
          <w:rFonts w:cs="Times New Roman"/>
          <w:lang w:val="en-AU"/>
        </w:rPr>
      </w:pPr>
    </w:p>
    <w:p w:rsidR="00513A54" w:rsidRPr="00F71B40" w:rsidRDefault="00584494" w:rsidP="00D62A32">
      <w:pPr>
        <w:rPr>
          <w:lang w:val="en-AU"/>
        </w:rPr>
      </w:pPr>
      <w:r w:rsidRPr="00F71B40">
        <w:rPr>
          <w:lang w:val="en-AU"/>
        </w:rPr>
        <w:t>SIGOV was not designed f</w:t>
      </w:r>
      <w:r w:rsidR="00D51927" w:rsidRPr="00F71B40">
        <w:rPr>
          <w:lang w:val="en-AU"/>
        </w:rPr>
        <w:t>ro</w:t>
      </w:r>
      <w:r w:rsidRPr="00F71B40">
        <w:rPr>
          <w:lang w:val="en-AU"/>
        </w:rPr>
        <w:t xml:space="preserve">m a blank slate.  The current project team inherited many components of the project from RAMSI and there was an understandable preoccupation within government and within DFAT that the transition should be “seamless”.  Thus it is hardly surprising if, as </w:t>
      </w:r>
      <w:r w:rsidR="00115AC9" w:rsidRPr="00F71B40">
        <w:rPr>
          <w:lang w:val="en-AU"/>
        </w:rPr>
        <w:fldChar w:fldCharType="begin"/>
      </w:r>
      <w:r w:rsidR="00115AC9" w:rsidRPr="00F71B40">
        <w:rPr>
          <w:lang w:val="en-AU"/>
        </w:rPr>
        <w:instrText xml:space="preserve"> ADDIN EN.CITE &lt;EndNote&gt;&lt;Cite&gt;&lt;Author&gt;Cochrane&lt;/Author&gt;&lt;Year&gt;2013&lt;/Year&gt;&lt;RecNum&gt;4308&lt;/RecNum&gt;&lt;DisplayText&gt;(Cochrane, 2013)&lt;/DisplayText&gt;&lt;record&gt;&lt;rec-number&gt;4308&lt;/rec-number&gt;&lt;foreign-keys&gt;&lt;key app="EN" db-id="5v9z5rrdszvwsneef06v9dapsd0apdtfapdx" timestamp="1408650606"&gt;4308&lt;/key&gt;&lt;/foreign-keys&gt;&lt;ref-type name="Report"&gt;27&lt;/ref-type&gt;&lt;contributors&gt;&lt;authors&gt;&lt;author&gt;Clair Cochrane&lt;/author&gt;&lt;/authors&gt;&lt;/contributors&gt;&lt;titles&gt;&lt;title&gt;Quality at Implementation Report for Solomon Islands Economic and Public Sector Governance Program (includes Economic Governance and Machinery of Government Programs)&lt;/title&gt;&lt;/titles&gt;&lt;dates&gt;&lt;year&gt;2013&lt;/year&gt;&lt;/dates&gt;&lt;pub-location&gt;Canberra&lt;/pub-location&gt;&lt;publisher&gt;DFAT&lt;/publisher&gt;&lt;urls&gt;&lt;/urls&gt;&lt;/record&gt;&lt;/Cite&gt;&lt;/EndNote&gt;</w:instrText>
      </w:r>
      <w:r w:rsidR="00115AC9" w:rsidRPr="00F71B40">
        <w:rPr>
          <w:lang w:val="en-AU"/>
        </w:rPr>
        <w:fldChar w:fldCharType="separate"/>
      </w:r>
      <w:r w:rsidR="00115AC9" w:rsidRPr="00F71B40">
        <w:rPr>
          <w:lang w:val="en-AU"/>
        </w:rPr>
        <w:t>(</w:t>
      </w:r>
      <w:hyperlink w:anchor="_ENREF_36" w:tooltip="Cochrane, 2013 #4308" w:history="1">
        <w:r w:rsidR="00CC56DB" w:rsidRPr="00F71B40">
          <w:rPr>
            <w:lang w:val="en-AU"/>
          </w:rPr>
          <w:t>Cochrane, 2013</w:t>
        </w:r>
      </w:hyperlink>
      <w:r w:rsidR="00115AC9" w:rsidRPr="00F71B40">
        <w:rPr>
          <w:lang w:val="en-AU"/>
        </w:rPr>
        <w:t>)</w:t>
      </w:r>
      <w:r w:rsidR="00115AC9" w:rsidRPr="00F71B40">
        <w:rPr>
          <w:lang w:val="en-AU"/>
        </w:rPr>
        <w:fldChar w:fldCharType="end"/>
      </w:r>
      <w:r w:rsidR="0045174C" w:rsidRPr="00F71B40">
        <w:rPr>
          <w:lang w:val="en-AU"/>
        </w:rPr>
        <w:t xml:space="preserve"> very straightforwardly</w:t>
      </w:r>
      <w:r w:rsidRPr="00F71B40">
        <w:rPr>
          <w:lang w:val="en-AU"/>
        </w:rPr>
        <w:t xml:space="preserve"> points out, t</w:t>
      </w:r>
      <w:r w:rsidR="00513A54" w:rsidRPr="00F71B40">
        <w:rPr>
          <w:lang w:val="en-AU"/>
        </w:rPr>
        <w:t xml:space="preserve">he </w:t>
      </w:r>
      <w:r w:rsidRPr="00F71B40">
        <w:rPr>
          <w:lang w:val="en-AU"/>
        </w:rPr>
        <w:t xml:space="preserve">SIGOV </w:t>
      </w:r>
      <w:r w:rsidR="00513A54" w:rsidRPr="00F71B40">
        <w:rPr>
          <w:lang w:val="en-AU"/>
        </w:rPr>
        <w:t>theory of change require</w:t>
      </w:r>
      <w:r w:rsidRPr="00F71B40">
        <w:rPr>
          <w:lang w:val="en-AU"/>
        </w:rPr>
        <w:t>s further articulation.</w:t>
      </w:r>
    </w:p>
    <w:p w:rsidR="00677172" w:rsidRPr="00F71B40" w:rsidRDefault="00677172" w:rsidP="00D62A32">
      <w:pPr>
        <w:rPr>
          <w:lang w:val="en-AU"/>
        </w:rPr>
      </w:pPr>
    </w:p>
    <w:p w:rsidR="00E82659" w:rsidRPr="00F71B40" w:rsidRDefault="00677172" w:rsidP="00D62A32">
      <w:pPr>
        <w:rPr>
          <w:rFonts w:cs="Times New Roman"/>
          <w:lang w:val="en-AU"/>
        </w:rPr>
      </w:pPr>
      <w:r w:rsidRPr="00F71B40">
        <w:rPr>
          <w:lang w:val="en-AU"/>
        </w:rPr>
        <w:t xml:space="preserve">The theory of change is answering the question </w:t>
      </w:r>
      <w:r w:rsidRPr="00F71B40">
        <w:rPr>
          <w:b/>
          <w:i/>
          <w:lang w:val="en-AU"/>
        </w:rPr>
        <w:t>why</w:t>
      </w:r>
      <w:r w:rsidRPr="00F71B40">
        <w:rPr>
          <w:lang w:val="en-AU"/>
        </w:rPr>
        <w:t xml:space="preserve"> the relevant actors </w:t>
      </w:r>
      <w:r w:rsidR="00D20B23" w:rsidRPr="00F71B40">
        <w:rPr>
          <w:lang w:val="en-AU"/>
        </w:rPr>
        <w:t xml:space="preserve">will </w:t>
      </w:r>
      <w:r w:rsidRPr="00F71B40">
        <w:rPr>
          <w:lang w:val="en-AU"/>
        </w:rPr>
        <w:t>comply in making changes</w:t>
      </w:r>
      <w:r w:rsidR="00D20B23" w:rsidRPr="00F71B40">
        <w:rPr>
          <w:lang w:val="en-AU"/>
        </w:rPr>
        <w:t>.</w:t>
      </w:r>
      <w:r w:rsidR="00E256D6">
        <w:rPr>
          <w:lang w:val="en-AU"/>
        </w:rPr>
        <w:t xml:space="preserve">  </w:t>
      </w:r>
      <w:r w:rsidRPr="00F71B40">
        <w:rPr>
          <w:lang w:val="en-AU"/>
        </w:rPr>
        <w:t xml:space="preserve">Discussions during the review mission suggested that the assumption in Part A is that there are political </w:t>
      </w:r>
      <w:r w:rsidR="00F15D92" w:rsidRPr="00F71B40">
        <w:rPr>
          <w:lang w:val="en-AU"/>
        </w:rPr>
        <w:t xml:space="preserve">and managerial </w:t>
      </w:r>
      <w:r w:rsidRPr="00F71B40">
        <w:rPr>
          <w:lang w:val="en-AU"/>
        </w:rPr>
        <w:t>champions within the central agencies who can</w:t>
      </w:r>
      <w:r w:rsidR="00D62916" w:rsidRPr="00F71B40">
        <w:rPr>
          <w:lang w:val="en-AU"/>
        </w:rPr>
        <w:t xml:space="preserve"> be helped and encouraged to </w:t>
      </w:r>
      <w:r w:rsidRPr="00F71B40">
        <w:rPr>
          <w:lang w:val="en-AU"/>
        </w:rPr>
        <w:t xml:space="preserve">support reform.  The </w:t>
      </w:r>
      <w:r w:rsidR="00D62916" w:rsidRPr="00F71B40">
        <w:rPr>
          <w:lang w:val="en-AU"/>
        </w:rPr>
        <w:t xml:space="preserve">partial </w:t>
      </w:r>
      <w:r w:rsidRPr="00F71B40">
        <w:rPr>
          <w:lang w:val="en-AU"/>
        </w:rPr>
        <w:t xml:space="preserve">successes of similar reforms </w:t>
      </w:r>
      <w:r w:rsidR="00F15D92" w:rsidRPr="00F71B40">
        <w:rPr>
          <w:lang w:val="en-AU"/>
        </w:rPr>
        <w:t xml:space="preserve">during RAMSI in introducing upstream reforms in the central agencies, very particularly </w:t>
      </w:r>
      <w:r w:rsidR="00F15D92" w:rsidRPr="00F71B40">
        <w:rPr>
          <w:rFonts w:cs="Times New Roman"/>
          <w:lang w:val="en-AU"/>
        </w:rPr>
        <w:t>Financial and Economic Management Support program (FEMSP) (as discussed</w:t>
      </w:r>
      <w:r w:rsidR="00AF3DCB" w:rsidRPr="00F71B40">
        <w:rPr>
          <w:rFonts w:cs="Times New Roman"/>
          <w:lang w:val="en-AU"/>
        </w:rPr>
        <w:t xml:space="preserve"> in Section </w:t>
      </w:r>
      <w:r w:rsidR="000F1F38" w:rsidRPr="00F71B40">
        <w:rPr>
          <w:rFonts w:cs="Times New Roman"/>
          <w:lang w:val="en-AU"/>
        </w:rPr>
        <w:fldChar w:fldCharType="begin"/>
      </w:r>
      <w:r w:rsidR="000F1F38" w:rsidRPr="00F71B40">
        <w:rPr>
          <w:rFonts w:cs="Times New Roman"/>
          <w:lang w:val="en-AU"/>
        </w:rPr>
        <w:instrText xml:space="preserve"> REF _Ref396758789 \r \h </w:instrText>
      </w:r>
      <w:r w:rsidR="00D62A32" w:rsidRPr="00F71B40">
        <w:rPr>
          <w:rFonts w:cs="Times New Roman"/>
          <w:lang w:val="en-AU"/>
        </w:rPr>
        <w:instrText xml:space="preserve"> \* MERGEFORMAT </w:instrText>
      </w:r>
      <w:r w:rsidR="000F1F38" w:rsidRPr="00F71B40">
        <w:rPr>
          <w:rFonts w:cs="Times New Roman"/>
          <w:lang w:val="en-AU"/>
        </w:rPr>
      </w:r>
      <w:r w:rsidR="000F1F38" w:rsidRPr="00F71B40">
        <w:rPr>
          <w:rFonts w:cs="Times New Roman"/>
          <w:lang w:val="en-AU"/>
        </w:rPr>
        <w:fldChar w:fldCharType="separate"/>
      </w:r>
      <w:r w:rsidR="00EF43BE">
        <w:rPr>
          <w:rFonts w:cs="Times New Roman"/>
          <w:lang w:val="en-AU"/>
        </w:rPr>
        <w:t>2</w:t>
      </w:r>
      <w:r w:rsidR="000F1F38" w:rsidRPr="00F71B40">
        <w:rPr>
          <w:rFonts w:cs="Times New Roman"/>
          <w:lang w:val="en-AU"/>
        </w:rPr>
        <w:fldChar w:fldCharType="end"/>
      </w:r>
      <w:r w:rsidR="00AF3DCB" w:rsidRPr="00F71B40">
        <w:rPr>
          <w:rFonts w:cs="Times New Roman"/>
          <w:lang w:val="en-AU"/>
        </w:rPr>
        <w:fldChar w:fldCharType="begin"/>
      </w:r>
      <w:r w:rsidR="00AF3DCB" w:rsidRPr="00F71B40">
        <w:rPr>
          <w:rFonts w:cs="Times New Roman"/>
          <w:lang w:val="en-AU"/>
        </w:rPr>
        <w:instrText xml:space="preserve"> REF _Ref396722540 \n \p \h </w:instrText>
      </w:r>
      <w:r w:rsidR="00D62A32" w:rsidRPr="00F71B40">
        <w:rPr>
          <w:rFonts w:cs="Times New Roman"/>
          <w:lang w:val="en-AU"/>
        </w:rPr>
        <w:instrText xml:space="preserve"> \* MERGEFORMAT </w:instrText>
      </w:r>
      <w:r w:rsidR="00AF3DCB" w:rsidRPr="00F71B40">
        <w:rPr>
          <w:rFonts w:cs="Times New Roman"/>
          <w:lang w:val="en-AU"/>
        </w:rPr>
      </w:r>
      <w:r w:rsidR="00AF3DCB" w:rsidRPr="00F71B40">
        <w:rPr>
          <w:rFonts w:cs="Times New Roman"/>
          <w:lang w:val="en-AU"/>
        </w:rPr>
        <w:fldChar w:fldCharType="separate"/>
      </w:r>
      <w:r w:rsidR="00EF43BE">
        <w:rPr>
          <w:rFonts w:cs="Times New Roman"/>
          <w:lang w:val="en-AU"/>
        </w:rPr>
        <w:t>b above</w:t>
      </w:r>
      <w:r w:rsidR="00AF3DCB" w:rsidRPr="00F71B40">
        <w:rPr>
          <w:rFonts w:cs="Times New Roman"/>
          <w:lang w:val="en-AU"/>
        </w:rPr>
        <w:fldChar w:fldCharType="end"/>
      </w:r>
      <w:r w:rsidR="00F15D92" w:rsidRPr="00F71B40">
        <w:rPr>
          <w:rFonts w:cs="Times New Roman"/>
          <w:lang w:val="en-AU"/>
        </w:rPr>
        <w:t xml:space="preserve">), suggests that this is </w:t>
      </w:r>
      <w:r w:rsidR="00D047DC" w:rsidRPr="00F71B40">
        <w:rPr>
          <w:rFonts w:cs="Times New Roman"/>
          <w:lang w:val="en-AU"/>
        </w:rPr>
        <w:t>not an un</w:t>
      </w:r>
      <w:r w:rsidR="00F15D92" w:rsidRPr="00F71B40">
        <w:rPr>
          <w:rFonts w:cs="Times New Roman"/>
          <w:lang w:val="en-AU"/>
        </w:rPr>
        <w:t xml:space="preserve">reasonable proposition.  However, that same discussion highlights that </w:t>
      </w:r>
      <w:r w:rsidR="00E82659" w:rsidRPr="00F71B40">
        <w:rPr>
          <w:rFonts w:cs="Times New Roman"/>
          <w:lang w:val="en-AU"/>
        </w:rPr>
        <w:t xml:space="preserve">this might be a little simplistic and that </w:t>
      </w:r>
      <w:r w:rsidR="000F1F38" w:rsidRPr="00F71B40">
        <w:rPr>
          <w:rFonts w:cs="Times New Roman"/>
          <w:lang w:val="en-AU"/>
        </w:rPr>
        <w:t xml:space="preserve">while </w:t>
      </w:r>
      <w:r w:rsidR="00E82659" w:rsidRPr="00F71B40">
        <w:rPr>
          <w:rFonts w:cs="Times New Roman"/>
          <w:lang w:val="en-AU"/>
        </w:rPr>
        <w:t xml:space="preserve">central agency heads/political champions may want to be seen </w:t>
      </w:r>
      <w:r w:rsidR="00C15894" w:rsidRPr="00F71B40">
        <w:rPr>
          <w:rFonts w:cs="Times New Roman"/>
          <w:lang w:val="en-AU"/>
        </w:rPr>
        <w:t xml:space="preserve">undertaking some high profile, somewhat formalistic, reforms, </w:t>
      </w:r>
      <w:r w:rsidR="000F1F38" w:rsidRPr="00F71B40">
        <w:rPr>
          <w:rFonts w:cs="Times New Roman"/>
          <w:lang w:val="en-AU"/>
        </w:rPr>
        <w:t xml:space="preserve">they might also be </w:t>
      </w:r>
      <w:r w:rsidR="00C15894" w:rsidRPr="00F71B40">
        <w:rPr>
          <w:rFonts w:cs="Times New Roman"/>
          <w:lang w:val="en-AU"/>
        </w:rPr>
        <w:t>avoiding implementation of changes which are politically challenging or which might raise problems with their colleagues in sector ministries.</w:t>
      </w:r>
    </w:p>
    <w:p w:rsidR="00B14563" w:rsidRPr="00F71B40" w:rsidRDefault="00B14563" w:rsidP="00D62A32">
      <w:pPr>
        <w:rPr>
          <w:rFonts w:cs="Times New Roman"/>
          <w:lang w:val="en-AU"/>
        </w:rPr>
      </w:pPr>
    </w:p>
    <w:p w:rsidR="00C15894" w:rsidRPr="00F71B40" w:rsidRDefault="009A7E32" w:rsidP="00D62A32">
      <w:pPr>
        <w:rPr>
          <w:rFonts w:cs="Times New Roman"/>
          <w:lang w:val="en-AU"/>
        </w:rPr>
      </w:pPr>
      <w:r w:rsidRPr="00F71B40">
        <w:rPr>
          <w:rFonts w:cs="Times New Roman"/>
          <w:lang w:val="en-AU"/>
        </w:rPr>
        <w:t xml:space="preserve">Again, </w:t>
      </w:r>
      <w:r w:rsidR="00C15894" w:rsidRPr="00F71B40">
        <w:rPr>
          <w:rFonts w:cs="Times New Roman"/>
          <w:lang w:val="en-AU"/>
        </w:rPr>
        <w:t xml:space="preserve">SIGOV seems to embody no theory relevant to Part B </w:t>
      </w:r>
      <w:r w:rsidR="001F4928" w:rsidRPr="00F71B40">
        <w:rPr>
          <w:rFonts w:cs="Times New Roman"/>
          <w:lang w:val="en-AU"/>
        </w:rPr>
        <w:t xml:space="preserve">about when and why line departments and MPs should want to achieve a short term and visible impact on service delivery in the sectors.  </w:t>
      </w:r>
      <w:r w:rsidR="0076146F" w:rsidRPr="00F71B40">
        <w:rPr>
          <w:rFonts w:cs="Times New Roman"/>
          <w:lang w:val="en-AU"/>
        </w:rPr>
        <w:t xml:space="preserve">Ultimately, if the </w:t>
      </w:r>
      <w:r w:rsidR="001F4928" w:rsidRPr="00F71B40">
        <w:rPr>
          <w:rFonts w:cs="Times New Roman"/>
          <w:lang w:val="en-AU"/>
        </w:rPr>
        <w:t xml:space="preserve">weak incentives for line departments to </w:t>
      </w:r>
      <w:r w:rsidR="003C7CD6" w:rsidRPr="00F71B40">
        <w:rPr>
          <w:rFonts w:cs="Times New Roman"/>
          <w:lang w:val="en-AU"/>
        </w:rPr>
        <w:t>provide service</w:t>
      </w:r>
      <w:r w:rsidR="001F4928" w:rsidRPr="00F71B40">
        <w:rPr>
          <w:rFonts w:cs="Times New Roman"/>
          <w:lang w:val="en-AU"/>
        </w:rPr>
        <w:t xml:space="preserve">s on the ground </w:t>
      </w:r>
      <w:r w:rsidR="0076146F" w:rsidRPr="00F71B40">
        <w:rPr>
          <w:rFonts w:cs="Times New Roman"/>
          <w:lang w:val="en-AU"/>
        </w:rPr>
        <w:t xml:space="preserve">serve </w:t>
      </w:r>
      <w:r w:rsidR="001F4928" w:rsidRPr="00F71B40">
        <w:rPr>
          <w:rFonts w:cs="Times New Roman"/>
          <w:lang w:val="en-AU"/>
        </w:rPr>
        <w:t xml:space="preserve">the implicit </w:t>
      </w:r>
      <w:r w:rsidR="0076146F" w:rsidRPr="00F71B40">
        <w:rPr>
          <w:rFonts w:cs="Times New Roman"/>
          <w:lang w:val="en-AU"/>
        </w:rPr>
        <w:t>political purpose</w:t>
      </w:r>
      <w:r w:rsidR="001F4928" w:rsidRPr="00F71B40">
        <w:rPr>
          <w:rFonts w:cs="Times New Roman"/>
          <w:lang w:val="en-AU"/>
        </w:rPr>
        <w:t xml:space="preserve"> of keeping MPs central and protecting their electoral base</w:t>
      </w:r>
      <w:r w:rsidR="003C7CD6" w:rsidRPr="00F71B40">
        <w:rPr>
          <w:rFonts w:cs="Times New Roman"/>
          <w:lang w:val="en-AU"/>
        </w:rPr>
        <w:t xml:space="preserve">, what is it that SIGOV </w:t>
      </w:r>
      <w:r w:rsidR="00F96F56" w:rsidRPr="00F71B40">
        <w:rPr>
          <w:rFonts w:cs="Times New Roman"/>
          <w:lang w:val="en-AU"/>
        </w:rPr>
        <w:t xml:space="preserve">and the central agencies </w:t>
      </w:r>
      <w:r w:rsidR="003C7CD6" w:rsidRPr="00F71B40">
        <w:rPr>
          <w:rFonts w:cs="Times New Roman"/>
          <w:lang w:val="en-AU"/>
        </w:rPr>
        <w:t>might do which would change those incentives?</w:t>
      </w:r>
    </w:p>
    <w:p w:rsidR="00677172" w:rsidRPr="00F71B40" w:rsidRDefault="00677172" w:rsidP="00D62A32">
      <w:pPr>
        <w:rPr>
          <w:lang w:val="en-AU"/>
        </w:rPr>
      </w:pPr>
    </w:p>
    <w:p w:rsidR="00395553" w:rsidRPr="00F71B40" w:rsidRDefault="00B442F8" w:rsidP="00D62A32">
      <w:pPr>
        <w:rPr>
          <w:lang w:val="en-AU"/>
        </w:rPr>
      </w:pPr>
      <w:r w:rsidRPr="00F71B40">
        <w:rPr>
          <w:lang w:val="en-AU"/>
        </w:rPr>
        <w:t>As noted above, this</w:t>
      </w:r>
      <w:r w:rsidR="00395553" w:rsidRPr="00F71B40">
        <w:rPr>
          <w:lang w:val="en-AU"/>
        </w:rPr>
        <w:t xml:space="preserve"> absence of an articulated theory of change is not, per se, a</w:t>
      </w:r>
      <w:r w:rsidRPr="00F71B40">
        <w:rPr>
          <w:lang w:val="en-AU"/>
        </w:rPr>
        <w:t>n overwhelming</w:t>
      </w:r>
      <w:r w:rsidR="00395553" w:rsidRPr="00F71B40">
        <w:rPr>
          <w:lang w:val="en-AU"/>
        </w:rPr>
        <w:t xml:space="preserve"> problem.</w:t>
      </w:r>
      <w:r w:rsidR="00E256D6">
        <w:rPr>
          <w:lang w:val="en-AU"/>
        </w:rPr>
        <w:t xml:space="preserve">  </w:t>
      </w:r>
      <w:r w:rsidR="00395553" w:rsidRPr="00F71B40">
        <w:rPr>
          <w:lang w:val="en-AU"/>
        </w:rPr>
        <w:t xml:space="preserve">A theory is just a theory – it is not a proven fact.  The </w:t>
      </w:r>
      <w:r w:rsidR="00052715" w:rsidRPr="00F71B40">
        <w:rPr>
          <w:lang w:val="en-AU"/>
        </w:rPr>
        <w:t xml:space="preserve">purpose of an explicit theory is to </w:t>
      </w:r>
      <w:r w:rsidRPr="00F71B40">
        <w:rPr>
          <w:lang w:val="en-AU"/>
        </w:rPr>
        <w:t xml:space="preserve">mobilize others to help and to </w:t>
      </w:r>
      <w:r w:rsidR="00052715" w:rsidRPr="00F71B40">
        <w:rPr>
          <w:lang w:val="en-AU"/>
        </w:rPr>
        <w:t xml:space="preserve">sound an alarm if </w:t>
      </w:r>
      <w:r w:rsidRPr="00F71B40">
        <w:rPr>
          <w:lang w:val="en-AU"/>
        </w:rPr>
        <w:t>the assumptions on which the project is based turn</w:t>
      </w:r>
      <w:r w:rsidR="00052715" w:rsidRPr="00F71B40">
        <w:rPr>
          <w:lang w:val="en-AU"/>
        </w:rPr>
        <w:t xml:space="preserve"> out to be wrong.  The risk in not having an </w:t>
      </w:r>
      <w:r w:rsidRPr="00F71B40">
        <w:rPr>
          <w:lang w:val="en-AU"/>
        </w:rPr>
        <w:t xml:space="preserve">adequate theory of change for Part A and in not having any </w:t>
      </w:r>
      <w:r w:rsidR="00052715" w:rsidRPr="00F71B40">
        <w:rPr>
          <w:lang w:val="en-AU"/>
        </w:rPr>
        <w:t xml:space="preserve">explicit theory of change for Part B is that all involved might not be sufficiently mindful about whether </w:t>
      </w:r>
      <w:r w:rsidRPr="00F71B40">
        <w:rPr>
          <w:lang w:val="en-AU"/>
        </w:rPr>
        <w:t>SIGOV</w:t>
      </w:r>
      <w:r w:rsidR="00052715" w:rsidRPr="00F71B40">
        <w:rPr>
          <w:lang w:val="en-AU"/>
        </w:rPr>
        <w:t xml:space="preserve"> is heading in the right direction and whether any course corrections are needed.</w:t>
      </w:r>
    </w:p>
    <w:p w:rsidR="00AF5C8A" w:rsidRPr="00F71B40" w:rsidRDefault="00AF5C8A" w:rsidP="00D62A32">
      <w:pPr>
        <w:rPr>
          <w:lang w:val="en-AU"/>
        </w:rPr>
      </w:pPr>
    </w:p>
    <w:p w:rsidR="00AF5C8A" w:rsidRPr="00F71B40" w:rsidRDefault="00B21093" w:rsidP="004D15F8">
      <w:pPr>
        <w:pStyle w:val="Heading2"/>
        <w:numPr>
          <w:ilvl w:val="0"/>
          <w:numId w:val="23"/>
        </w:numPr>
        <w:rPr>
          <w:lang w:val="en-AU"/>
        </w:rPr>
      </w:pPr>
      <w:bookmarkStart w:id="69" w:name="_Toc399410396"/>
      <w:r w:rsidRPr="00F71B40">
        <w:rPr>
          <w:lang w:val="en-AU"/>
        </w:rPr>
        <w:t>Matching the means to the e</w:t>
      </w:r>
      <w:r w:rsidR="001A6F75" w:rsidRPr="00F71B40">
        <w:rPr>
          <w:lang w:val="en-AU"/>
        </w:rPr>
        <w:t>nds</w:t>
      </w:r>
      <w:bookmarkEnd w:id="69"/>
      <w:r w:rsidR="001A6F75" w:rsidRPr="00F71B40">
        <w:rPr>
          <w:lang w:val="en-AU"/>
        </w:rPr>
        <w:t xml:space="preserve"> </w:t>
      </w:r>
    </w:p>
    <w:p w:rsidR="00AF5C8A" w:rsidRPr="00F71B40" w:rsidRDefault="00AF5C8A" w:rsidP="00D62A32">
      <w:pPr>
        <w:rPr>
          <w:lang w:val="en-AU"/>
        </w:rPr>
      </w:pPr>
    </w:p>
    <w:p w:rsidR="00AF5C8A" w:rsidRPr="00F71B40" w:rsidRDefault="00AF5C8A" w:rsidP="00D62A32">
      <w:pPr>
        <w:rPr>
          <w:lang w:val="en-AU"/>
        </w:rPr>
      </w:pPr>
      <w:r w:rsidRPr="00F71B40">
        <w:rPr>
          <w:lang w:val="en-AU"/>
        </w:rPr>
        <w:fldChar w:fldCharType="begin"/>
      </w:r>
      <w:r w:rsidRPr="00F71B40">
        <w:rPr>
          <w:lang w:val="en-AU"/>
        </w:rPr>
        <w:instrText xml:space="preserve"> REF _Ref396727775 \h </w:instrText>
      </w:r>
      <w:r w:rsidR="00D62A32" w:rsidRPr="00F71B40">
        <w:rPr>
          <w:lang w:val="en-AU"/>
        </w:rPr>
        <w:instrText xml:space="preserve"> \* MERGEFORMAT </w:instrText>
      </w:r>
      <w:r w:rsidRPr="00F71B40">
        <w:rPr>
          <w:lang w:val="en-AU"/>
        </w:rPr>
      </w:r>
      <w:r w:rsidRPr="00F71B40">
        <w:rPr>
          <w:lang w:val="en-AU"/>
        </w:rPr>
        <w:fldChar w:fldCharType="separate"/>
      </w:r>
      <w:r w:rsidR="00EF43BE" w:rsidRPr="00F71B40">
        <w:rPr>
          <w:lang w:val="en-AU"/>
        </w:rPr>
        <w:t xml:space="preserve">Table </w:t>
      </w:r>
      <w:r w:rsidR="00EF43BE">
        <w:rPr>
          <w:lang w:val="en-AU"/>
        </w:rPr>
        <w:t>2</w:t>
      </w:r>
      <w:r w:rsidRPr="00F71B40">
        <w:rPr>
          <w:lang w:val="en-AU"/>
        </w:rPr>
        <w:fldChar w:fldCharType="end"/>
      </w:r>
      <w:r w:rsidRPr="00F71B40">
        <w:rPr>
          <w:lang w:val="en-AU"/>
        </w:rPr>
        <w:t xml:space="preserve"> summarizes the discussion above</w:t>
      </w:r>
      <w:r w:rsidR="00E82659" w:rsidRPr="00F71B40">
        <w:rPr>
          <w:lang w:val="en-AU"/>
        </w:rPr>
        <w:t xml:space="preserve">, highlighting that the key design </w:t>
      </w:r>
      <w:r w:rsidR="001D3A61" w:rsidRPr="00F71B40">
        <w:rPr>
          <w:lang w:val="en-AU"/>
        </w:rPr>
        <w:t>problem is around Part B – originating in a rather implausible model about how the public sector operates now or could operate more effectively downstream.</w:t>
      </w:r>
    </w:p>
    <w:p w:rsidR="001D3A61" w:rsidRPr="00F71B40" w:rsidRDefault="001D3A61" w:rsidP="00D62A32">
      <w:pPr>
        <w:rPr>
          <w:lang w:val="en-AU"/>
        </w:rPr>
      </w:pPr>
    </w:p>
    <w:p w:rsidR="00AF5C8A" w:rsidRPr="00F71B40" w:rsidRDefault="00AF5C8A" w:rsidP="00EF43BE">
      <w:pPr>
        <w:pStyle w:val="Caption"/>
        <w:keepNext/>
        <w:keepLines/>
        <w:rPr>
          <w:lang w:val="en-AU"/>
        </w:rPr>
      </w:pPr>
      <w:bookmarkStart w:id="70" w:name="_Ref396727775"/>
      <w:bookmarkStart w:id="71" w:name="_Toc401761842"/>
      <w:r w:rsidRPr="00F71B40">
        <w:rPr>
          <w:lang w:val="en-AU"/>
        </w:rPr>
        <w:t xml:space="preserve">Table </w:t>
      </w:r>
      <w:r w:rsidR="00991063" w:rsidRPr="00F71B40">
        <w:rPr>
          <w:lang w:val="en-AU"/>
        </w:rPr>
        <w:fldChar w:fldCharType="begin"/>
      </w:r>
      <w:r w:rsidR="00991063" w:rsidRPr="00F71B40">
        <w:rPr>
          <w:lang w:val="en-AU"/>
        </w:rPr>
        <w:instrText xml:space="preserve"> SEQ Table \* ARABIC </w:instrText>
      </w:r>
      <w:r w:rsidR="00991063" w:rsidRPr="00F71B40">
        <w:rPr>
          <w:lang w:val="en-AU"/>
        </w:rPr>
        <w:fldChar w:fldCharType="separate"/>
      </w:r>
      <w:r w:rsidR="00EF43BE">
        <w:rPr>
          <w:noProof/>
          <w:lang w:val="en-AU"/>
        </w:rPr>
        <w:t>2</w:t>
      </w:r>
      <w:r w:rsidR="00991063" w:rsidRPr="00F71B40">
        <w:rPr>
          <w:lang w:val="en-AU"/>
        </w:rPr>
        <w:fldChar w:fldCharType="end"/>
      </w:r>
      <w:bookmarkEnd w:id="70"/>
      <w:r w:rsidRPr="00F71B40">
        <w:rPr>
          <w:lang w:val="en-AU"/>
        </w:rPr>
        <w:t xml:space="preserve">: Summary assessment of strengths and weaknesses in the intervention </w:t>
      </w:r>
      <w:r w:rsidR="00F11EAE" w:rsidRPr="00F71B40">
        <w:rPr>
          <w:lang w:val="en-AU"/>
        </w:rPr>
        <w:t>design</w:t>
      </w:r>
      <w:bookmarkEnd w:id="71"/>
    </w:p>
    <w:p w:rsidR="00AF5C8A" w:rsidRPr="00F71B40" w:rsidRDefault="00AF5C8A" w:rsidP="0098305E">
      <w:pPr>
        <w:pStyle w:val="ListParagraph"/>
        <w:keepNext/>
        <w:keepLines/>
        <w:ind w:left="0"/>
        <w:contextualSpacing w:val="0"/>
        <w:rPr>
          <w:lang w:val="en-AU"/>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115" w:type="dxa"/>
        </w:tblCellMar>
        <w:tblLook w:val="04A0" w:firstRow="1" w:lastRow="0" w:firstColumn="1" w:lastColumn="0" w:noHBand="0" w:noVBand="1"/>
      </w:tblPr>
      <w:tblGrid>
        <w:gridCol w:w="558"/>
        <w:gridCol w:w="1660"/>
        <w:gridCol w:w="2491"/>
        <w:gridCol w:w="3101"/>
        <w:gridCol w:w="1694"/>
      </w:tblGrid>
      <w:tr w:rsidR="007155FA" w:rsidRPr="00F71B40" w:rsidTr="00582450">
        <w:tc>
          <w:tcPr>
            <w:tcW w:w="558" w:type="dxa"/>
          </w:tcPr>
          <w:p w:rsidR="001A6F75" w:rsidRPr="00F71B40" w:rsidRDefault="001A6F75" w:rsidP="006A70A3">
            <w:pPr>
              <w:keepNext/>
              <w:keepLines/>
              <w:rPr>
                <w:sz w:val="20"/>
                <w:szCs w:val="20"/>
                <w:lang w:val="en-AU"/>
              </w:rPr>
            </w:pPr>
          </w:p>
        </w:tc>
        <w:tc>
          <w:tcPr>
            <w:tcW w:w="1660" w:type="dxa"/>
            <w:tcBorders>
              <w:right w:val="single" w:sz="4" w:space="0" w:color="auto"/>
            </w:tcBorders>
          </w:tcPr>
          <w:p w:rsidR="001A6F75" w:rsidRPr="00F71B40" w:rsidRDefault="001A6F75" w:rsidP="006A70A3">
            <w:pPr>
              <w:keepNext/>
              <w:keepLines/>
              <w:rPr>
                <w:sz w:val="20"/>
                <w:szCs w:val="20"/>
                <w:lang w:val="en-AU"/>
              </w:rPr>
            </w:pPr>
          </w:p>
        </w:tc>
        <w:tc>
          <w:tcPr>
            <w:tcW w:w="0" w:type="auto"/>
            <w:gridSpan w:val="3"/>
            <w:tcBorders>
              <w:top w:val="single" w:sz="4" w:space="0" w:color="auto"/>
              <w:left w:val="single" w:sz="4" w:space="0" w:color="auto"/>
              <w:right w:val="single" w:sz="4" w:space="0" w:color="auto"/>
            </w:tcBorders>
          </w:tcPr>
          <w:p w:rsidR="001A6F75" w:rsidRPr="00F71B40" w:rsidRDefault="001A6F75" w:rsidP="006A70A3">
            <w:pPr>
              <w:keepNext/>
              <w:keepLines/>
              <w:jc w:val="center"/>
              <w:rPr>
                <w:b/>
                <w:sz w:val="20"/>
                <w:szCs w:val="20"/>
                <w:lang w:val="en-AU"/>
              </w:rPr>
            </w:pPr>
            <w:r w:rsidRPr="00F71B40">
              <w:rPr>
                <w:b/>
                <w:sz w:val="20"/>
                <w:szCs w:val="20"/>
                <w:lang w:val="en-AU"/>
              </w:rPr>
              <w:t>Intervention design – the means</w:t>
            </w:r>
          </w:p>
          <w:p w:rsidR="001A6F75" w:rsidRPr="00F71B40" w:rsidRDefault="001A6F75" w:rsidP="006A70A3">
            <w:pPr>
              <w:keepNext/>
              <w:keepLines/>
              <w:rPr>
                <w:b/>
                <w:sz w:val="20"/>
                <w:szCs w:val="20"/>
                <w:lang w:val="en-AU"/>
              </w:rPr>
            </w:pPr>
          </w:p>
        </w:tc>
      </w:tr>
      <w:tr w:rsidR="00D047DC" w:rsidRPr="00F71B40" w:rsidTr="006A70A3">
        <w:tc>
          <w:tcPr>
            <w:tcW w:w="558" w:type="dxa"/>
            <w:tcBorders>
              <w:bottom w:val="single" w:sz="4" w:space="0" w:color="auto"/>
            </w:tcBorders>
          </w:tcPr>
          <w:p w:rsidR="00D047DC" w:rsidRPr="00F71B40" w:rsidRDefault="00D047DC" w:rsidP="0098305E">
            <w:pPr>
              <w:keepNext/>
              <w:keepLines/>
              <w:rPr>
                <w:sz w:val="20"/>
                <w:szCs w:val="20"/>
                <w:lang w:val="en-AU"/>
              </w:rPr>
            </w:pPr>
          </w:p>
        </w:tc>
        <w:tc>
          <w:tcPr>
            <w:tcW w:w="1660" w:type="dxa"/>
            <w:tcBorders>
              <w:bottom w:val="single" w:sz="4" w:space="0" w:color="auto"/>
              <w:right w:val="single" w:sz="4" w:space="0" w:color="auto"/>
            </w:tcBorders>
          </w:tcPr>
          <w:p w:rsidR="00D047DC" w:rsidRPr="00F71B40" w:rsidRDefault="00D047DC" w:rsidP="006A70A3">
            <w:pPr>
              <w:keepNext/>
              <w:keepLines/>
              <w:rPr>
                <w:sz w:val="20"/>
                <w:szCs w:val="20"/>
                <w:lang w:val="en-AU"/>
              </w:rPr>
            </w:pPr>
          </w:p>
        </w:tc>
        <w:tc>
          <w:tcPr>
            <w:tcW w:w="2491" w:type="dxa"/>
            <w:tcBorders>
              <w:left w:val="single" w:sz="4" w:space="0" w:color="auto"/>
              <w:bottom w:val="single" w:sz="4" w:space="0" w:color="auto"/>
              <w:right w:val="single" w:sz="4" w:space="0" w:color="auto"/>
            </w:tcBorders>
          </w:tcPr>
          <w:p w:rsidR="00D047DC" w:rsidRPr="00F71B40" w:rsidRDefault="00D047DC" w:rsidP="006A70A3">
            <w:pPr>
              <w:keepNext/>
              <w:keepLines/>
              <w:rPr>
                <w:sz w:val="20"/>
                <w:szCs w:val="20"/>
                <w:lang w:val="en-AU"/>
              </w:rPr>
            </w:pPr>
            <w:r w:rsidRPr="00F71B40">
              <w:rPr>
                <w:sz w:val="20"/>
                <w:szCs w:val="20"/>
                <w:lang w:val="en-AU"/>
              </w:rPr>
              <w:t xml:space="preserve">What is being fixed or improved? </w:t>
            </w:r>
            <w:r w:rsidRPr="00F71B40">
              <w:rPr>
                <w:i/>
                <w:sz w:val="20"/>
                <w:szCs w:val="20"/>
                <w:lang w:val="en-AU"/>
              </w:rPr>
              <w:t>(How does, or could, the public sector results chain operate?)</w:t>
            </w:r>
          </w:p>
        </w:tc>
        <w:tc>
          <w:tcPr>
            <w:tcW w:w="3101" w:type="dxa"/>
            <w:tcBorders>
              <w:left w:val="single" w:sz="4" w:space="0" w:color="auto"/>
              <w:bottom w:val="single" w:sz="4" w:space="0" w:color="auto"/>
              <w:right w:val="single" w:sz="4" w:space="0" w:color="auto"/>
            </w:tcBorders>
          </w:tcPr>
          <w:p w:rsidR="00D047DC" w:rsidRPr="00F71B40" w:rsidRDefault="00D047DC" w:rsidP="006A70A3">
            <w:pPr>
              <w:keepNext/>
              <w:keepLines/>
              <w:rPr>
                <w:sz w:val="20"/>
                <w:szCs w:val="20"/>
                <w:lang w:val="en-AU"/>
              </w:rPr>
            </w:pPr>
            <w:r w:rsidRPr="00F71B40">
              <w:rPr>
                <w:sz w:val="20"/>
                <w:szCs w:val="20"/>
                <w:lang w:val="en-AU"/>
              </w:rPr>
              <w:t xml:space="preserve">How will we help fix or improve it? </w:t>
            </w:r>
            <w:r w:rsidRPr="00F71B40">
              <w:rPr>
                <w:i/>
                <w:sz w:val="20"/>
                <w:szCs w:val="20"/>
                <w:lang w:val="en-AU"/>
              </w:rPr>
              <w:t>(What are the inputs that make up the intervention and on what basis are they deployed?)</w:t>
            </w:r>
          </w:p>
        </w:tc>
        <w:tc>
          <w:tcPr>
            <w:tcW w:w="0" w:type="auto"/>
            <w:tcBorders>
              <w:left w:val="single" w:sz="4" w:space="0" w:color="auto"/>
              <w:bottom w:val="single" w:sz="4" w:space="0" w:color="auto"/>
              <w:right w:val="single" w:sz="4" w:space="0" w:color="auto"/>
            </w:tcBorders>
          </w:tcPr>
          <w:p w:rsidR="00D047DC" w:rsidRPr="00F71B40" w:rsidRDefault="00D047DC" w:rsidP="006A70A3">
            <w:pPr>
              <w:keepNext/>
              <w:keepLines/>
              <w:rPr>
                <w:i/>
                <w:sz w:val="20"/>
                <w:szCs w:val="20"/>
                <w:lang w:val="en-AU"/>
              </w:rPr>
            </w:pPr>
            <w:r w:rsidRPr="00F71B40">
              <w:rPr>
                <w:sz w:val="20"/>
                <w:szCs w:val="20"/>
                <w:lang w:val="en-AU"/>
              </w:rPr>
              <w:t xml:space="preserve">Why will actors comply so that our assistance makes a lasting difference? </w:t>
            </w:r>
            <w:r w:rsidRPr="00F71B40">
              <w:rPr>
                <w:i/>
                <w:sz w:val="20"/>
                <w:szCs w:val="20"/>
                <w:lang w:val="en-AU"/>
              </w:rPr>
              <w:t>(What is the theory of change?)</w:t>
            </w:r>
          </w:p>
        </w:tc>
      </w:tr>
      <w:tr w:rsidR="00594D24" w:rsidRPr="00F71B40" w:rsidTr="006A70A3">
        <w:tc>
          <w:tcPr>
            <w:tcW w:w="558" w:type="dxa"/>
            <w:vMerge w:val="restart"/>
            <w:tcBorders>
              <w:top w:val="single" w:sz="4" w:space="0" w:color="auto"/>
              <w:left w:val="single" w:sz="4" w:space="0" w:color="auto"/>
            </w:tcBorders>
            <w:textDirection w:val="btLr"/>
          </w:tcPr>
          <w:p w:rsidR="00175E0B" w:rsidRPr="00F71B40" w:rsidRDefault="00175E0B" w:rsidP="0098305E">
            <w:pPr>
              <w:keepNext/>
              <w:keepLines/>
              <w:ind w:left="113" w:right="113"/>
              <w:jc w:val="center"/>
              <w:rPr>
                <w:rFonts w:cs="Times New Roman"/>
                <w:b/>
                <w:sz w:val="20"/>
                <w:szCs w:val="20"/>
                <w:lang w:val="en-AU"/>
              </w:rPr>
            </w:pPr>
            <w:r w:rsidRPr="00F71B40">
              <w:rPr>
                <w:rFonts w:cs="Times New Roman"/>
                <w:b/>
                <w:sz w:val="20"/>
                <w:szCs w:val="20"/>
                <w:lang w:val="en-AU"/>
              </w:rPr>
              <w:t>Program goals – the ends</w:t>
            </w:r>
          </w:p>
        </w:tc>
        <w:tc>
          <w:tcPr>
            <w:tcW w:w="1660" w:type="dxa"/>
            <w:vMerge w:val="restart"/>
            <w:tcBorders>
              <w:top w:val="single" w:sz="4" w:space="0" w:color="auto"/>
              <w:left w:val="nil"/>
              <w:right w:val="single" w:sz="4" w:space="0" w:color="auto"/>
            </w:tcBorders>
          </w:tcPr>
          <w:p w:rsidR="00175E0B" w:rsidRPr="00F71B40" w:rsidRDefault="00175E0B" w:rsidP="006A70A3">
            <w:pPr>
              <w:keepNext/>
              <w:keepLines/>
              <w:rPr>
                <w:rFonts w:cs="Times New Roman"/>
                <w:sz w:val="20"/>
                <w:szCs w:val="20"/>
                <w:lang w:val="en-AU"/>
              </w:rPr>
            </w:pPr>
            <w:r w:rsidRPr="00F71B40">
              <w:rPr>
                <w:rFonts w:cs="Times New Roman"/>
                <w:sz w:val="20"/>
                <w:szCs w:val="20"/>
                <w:lang w:val="en-AU"/>
              </w:rPr>
              <w:t>Part A – interventions which cause functional improvements in central agencies</w:t>
            </w:r>
          </w:p>
        </w:tc>
        <w:tc>
          <w:tcPr>
            <w:tcW w:w="2491" w:type="dxa"/>
            <w:tcBorders>
              <w:top w:val="single" w:sz="4" w:space="0" w:color="auto"/>
              <w:left w:val="single" w:sz="4" w:space="0" w:color="auto"/>
              <w:right w:val="single" w:sz="4" w:space="0" w:color="auto"/>
            </w:tcBorders>
          </w:tcPr>
          <w:p w:rsidR="00343045" w:rsidRPr="00F71B40" w:rsidRDefault="00343045" w:rsidP="006A70A3">
            <w:pPr>
              <w:keepNext/>
              <w:keepLines/>
              <w:rPr>
                <w:sz w:val="20"/>
                <w:szCs w:val="20"/>
                <w:lang w:val="en-AU"/>
              </w:rPr>
            </w:pPr>
            <w:r w:rsidRPr="00F71B40">
              <w:rPr>
                <w:sz w:val="20"/>
                <w:szCs w:val="20"/>
                <w:lang w:val="en-AU"/>
              </w:rPr>
              <w:t xml:space="preserve">SIGOV assumes that financial and human resources are marshalled and regulated through the central agencies to enable and require downstream ministries to undertake service provision.  </w:t>
            </w:r>
          </w:p>
          <w:p w:rsidR="00175E0B" w:rsidRPr="00F71B40" w:rsidRDefault="00175E0B" w:rsidP="0098305E">
            <w:pPr>
              <w:pStyle w:val="ListParagraph"/>
              <w:keepNext/>
              <w:keepLines/>
              <w:ind w:left="0"/>
              <w:contextualSpacing w:val="0"/>
              <w:rPr>
                <w:sz w:val="20"/>
                <w:szCs w:val="20"/>
                <w:lang w:val="en-AU"/>
              </w:rPr>
            </w:pPr>
          </w:p>
        </w:tc>
        <w:tc>
          <w:tcPr>
            <w:tcW w:w="3101" w:type="dxa"/>
            <w:tcBorders>
              <w:top w:val="single" w:sz="4" w:space="0" w:color="auto"/>
              <w:left w:val="single" w:sz="4" w:space="0" w:color="auto"/>
              <w:right w:val="single" w:sz="4" w:space="0" w:color="auto"/>
            </w:tcBorders>
          </w:tcPr>
          <w:p w:rsidR="00175E0B" w:rsidRPr="00F71B40" w:rsidRDefault="00343045" w:rsidP="006A70A3">
            <w:pPr>
              <w:keepNext/>
              <w:keepLines/>
              <w:rPr>
                <w:sz w:val="20"/>
                <w:szCs w:val="20"/>
                <w:lang w:val="en-AU"/>
              </w:rPr>
            </w:pPr>
            <w:r w:rsidRPr="00F71B40">
              <w:rPr>
                <w:rFonts w:cs="Times New Roman"/>
                <w:sz w:val="20"/>
                <w:szCs w:val="20"/>
                <w:lang w:val="en-AU"/>
              </w:rPr>
              <w:t xml:space="preserve">SIGOV </w:t>
            </w:r>
            <w:r w:rsidR="00646BFA" w:rsidRPr="00F71B40">
              <w:rPr>
                <w:rFonts w:cs="Times New Roman"/>
                <w:sz w:val="20"/>
                <w:szCs w:val="20"/>
                <w:lang w:val="en-AU"/>
              </w:rPr>
              <w:t>inputs</w:t>
            </w:r>
            <w:r w:rsidRPr="00F71B40">
              <w:rPr>
                <w:rFonts w:cs="Times New Roman"/>
                <w:sz w:val="20"/>
                <w:szCs w:val="20"/>
                <w:lang w:val="en-AU"/>
              </w:rPr>
              <w:t xml:space="preserve"> (primarily technical advice and guidance, and temporary capacity enhancement through external advisors) are intended to lead directly to institutional and system improvements in the functioning of some public sector central agencies (and the associated public management systems.  </w:t>
            </w:r>
            <w:r w:rsidR="000B0054" w:rsidRPr="00F71B40">
              <w:rPr>
                <w:rFonts w:cs="Times New Roman"/>
                <w:sz w:val="20"/>
                <w:szCs w:val="20"/>
                <w:lang w:val="en-AU"/>
              </w:rPr>
              <w:t xml:space="preserve">However, </w:t>
            </w:r>
            <w:r w:rsidR="000B0054" w:rsidRPr="00F71B40">
              <w:rPr>
                <w:sz w:val="20"/>
                <w:szCs w:val="20"/>
                <w:lang w:val="en-AU"/>
              </w:rPr>
              <w:t>coaching and confidential mentoring not considered.</w:t>
            </w:r>
          </w:p>
          <w:p w:rsidR="008A21BB" w:rsidRPr="00F71B40" w:rsidRDefault="008A21BB" w:rsidP="006A70A3">
            <w:pPr>
              <w:keepNext/>
              <w:keepLines/>
              <w:rPr>
                <w:sz w:val="20"/>
                <w:szCs w:val="20"/>
                <w:lang w:val="en-AU"/>
              </w:rPr>
            </w:pPr>
          </w:p>
        </w:tc>
        <w:tc>
          <w:tcPr>
            <w:tcW w:w="0" w:type="auto"/>
            <w:tcBorders>
              <w:top w:val="single" w:sz="4" w:space="0" w:color="auto"/>
              <w:left w:val="single" w:sz="4" w:space="0" w:color="auto"/>
              <w:right w:val="single" w:sz="4" w:space="0" w:color="auto"/>
            </w:tcBorders>
          </w:tcPr>
          <w:p w:rsidR="00343045" w:rsidRPr="00F71B40" w:rsidRDefault="00D62916" w:rsidP="006A70A3">
            <w:pPr>
              <w:keepNext/>
              <w:keepLines/>
              <w:rPr>
                <w:sz w:val="20"/>
                <w:szCs w:val="20"/>
                <w:lang w:val="en-AU"/>
              </w:rPr>
            </w:pPr>
            <w:r w:rsidRPr="00F71B40">
              <w:rPr>
                <w:sz w:val="20"/>
                <w:szCs w:val="20"/>
                <w:lang w:val="en-AU"/>
              </w:rPr>
              <w:t>SIGOV assumes that the po</w:t>
            </w:r>
            <w:r w:rsidR="00343045" w:rsidRPr="00F71B40">
              <w:rPr>
                <w:sz w:val="20"/>
                <w:szCs w:val="20"/>
                <w:lang w:val="en-AU"/>
              </w:rPr>
              <w:t>litical and managerial champions within the central agencies can</w:t>
            </w:r>
            <w:r w:rsidRPr="00F71B40">
              <w:rPr>
                <w:sz w:val="20"/>
                <w:szCs w:val="20"/>
                <w:lang w:val="en-AU"/>
              </w:rPr>
              <w:t xml:space="preserve"> be helped and encouraged to </w:t>
            </w:r>
            <w:r w:rsidR="00343045" w:rsidRPr="00F71B40">
              <w:rPr>
                <w:sz w:val="20"/>
                <w:szCs w:val="20"/>
                <w:lang w:val="en-AU"/>
              </w:rPr>
              <w:t>support reform</w:t>
            </w:r>
            <w:r w:rsidR="007155FA" w:rsidRPr="00F71B40">
              <w:rPr>
                <w:sz w:val="20"/>
                <w:szCs w:val="20"/>
                <w:lang w:val="en-AU"/>
              </w:rPr>
              <w:t>, at least formally</w:t>
            </w:r>
            <w:r w:rsidR="00343045" w:rsidRPr="00F71B40">
              <w:rPr>
                <w:sz w:val="20"/>
                <w:szCs w:val="20"/>
                <w:lang w:val="en-AU"/>
              </w:rPr>
              <w:t xml:space="preserve">.  </w:t>
            </w:r>
          </w:p>
          <w:p w:rsidR="00175E0B" w:rsidRPr="00F71B40" w:rsidRDefault="00175E0B" w:rsidP="0098305E">
            <w:pPr>
              <w:pStyle w:val="ListParagraph"/>
              <w:keepNext/>
              <w:keepLines/>
              <w:ind w:left="0"/>
              <w:contextualSpacing w:val="0"/>
              <w:rPr>
                <w:sz w:val="20"/>
                <w:szCs w:val="20"/>
                <w:lang w:val="en-AU"/>
              </w:rPr>
            </w:pPr>
          </w:p>
        </w:tc>
      </w:tr>
      <w:tr w:rsidR="00594D24" w:rsidRPr="00F71B40" w:rsidTr="006A70A3">
        <w:tc>
          <w:tcPr>
            <w:tcW w:w="558" w:type="dxa"/>
            <w:vMerge/>
            <w:tcBorders>
              <w:left w:val="single" w:sz="4" w:space="0" w:color="auto"/>
            </w:tcBorders>
          </w:tcPr>
          <w:p w:rsidR="00175E0B" w:rsidRPr="00F71B40" w:rsidRDefault="00175E0B" w:rsidP="006A70A3">
            <w:pPr>
              <w:keepNext/>
              <w:keepLines/>
              <w:rPr>
                <w:rFonts w:cs="Times New Roman"/>
                <w:i/>
                <w:sz w:val="20"/>
                <w:szCs w:val="20"/>
                <w:lang w:val="en-AU"/>
              </w:rPr>
            </w:pPr>
          </w:p>
        </w:tc>
        <w:tc>
          <w:tcPr>
            <w:tcW w:w="1660" w:type="dxa"/>
            <w:vMerge/>
            <w:tcBorders>
              <w:left w:val="nil"/>
              <w:bottom w:val="single" w:sz="4" w:space="0" w:color="auto"/>
              <w:right w:val="single" w:sz="4" w:space="0" w:color="auto"/>
            </w:tcBorders>
          </w:tcPr>
          <w:p w:rsidR="00175E0B" w:rsidRPr="00F71B40" w:rsidRDefault="00175E0B" w:rsidP="006A70A3">
            <w:pPr>
              <w:keepNext/>
              <w:keepLines/>
              <w:rPr>
                <w:rFonts w:cs="Times New Roman"/>
                <w:i/>
                <w:sz w:val="20"/>
                <w:szCs w:val="20"/>
                <w:lang w:val="en-AU"/>
              </w:rPr>
            </w:pPr>
          </w:p>
        </w:tc>
        <w:tc>
          <w:tcPr>
            <w:tcW w:w="2491" w:type="dxa"/>
            <w:tcBorders>
              <w:left w:val="single" w:sz="4" w:space="0" w:color="auto"/>
              <w:bottom w:val="single" w:sz="4" w:space="0" w:color="auto"/>
              <w:right w:val="single" w:sz="4" w:space="0" w:color="auto"/>
            </w:tcBorders>
          </w:tcPr>
          <w:p w:rsidR="00175E0B" w:rsidRPr="00F71B40" w:rsidRDefault="00343045" w:rsidP="006A70A3">
            <w:pPr>
              <w:pStyle w:val="ListParagraph"/>
              <w:keepNext/>
              <w:keepLines/>
              <w:ind w:left="0"/>
              <w:contextualSpacing w:val="0"/>
              <w:rPr>
                <w:b/>
                <w:i/>
                <w:sz w:val="20"/>
                <w:szCs w:val="20"/>
                <w:lang w:val="en-AU"/>
              </w:rPr>
            </w:pPr>
            <w:r w:rsidRPr="00F71B40">
              <w:rPr>
                <w:b/>
                <w:i/>
                <w:sz w:val="20"/>
                <w:szCs w:val="20"/>
                <w:lang w:val="en-AU"/>
              </w:rPr>
              <w:t>Reasonable</w:t>
            </w:r>
          </w:p>
        </w:tc>
        <w:tc>
          <w:tcPr>
            <w:tcW w:w="3101" w:type="dxa"/>
            <w:tcBorders>
              <w:left w:val="single" w:sz="4" w:space="0" w:color="auto"/>
              <w:bottom w:val="single" w:sz="4" w:space="0" w:color="auto"/>
              <w:right w:val="single" w:sz="4" w:space="0" w:color="auto"/>
            </w:tcBorders>
          </w:tcPr>
          <w:p w:rsidR="00175E0B" w:rsidRPr="00F71B40" w:rsidRDefault="000B0054" w:rsidP="006A70A3">
            <w:pPr>
              <w:pStyle w:val="ListParagraph"/>
              <w:keepNext/>
              <w:keepLines/>
              <w:ind w:left="0"/>
              <w:contextualSpacing w:val="0"/>
              <w:rPr>
                <w:b/>
                <w:i/>
                <w:sz w:val="20"/>
                <w:szCs w:val="20"/>
                <w:lang w:val="en-AU"/>
              </w:rPr>
            </w:pPr>
            <w:r w:rsidRPr="00F71B40">
              <w:rPr>
                <w:b/>
                <w:i/>
                <w:sz w:val="20"/>
                <w:szCs w:val="20"/>
                <w:lang w:val="en-AU"/>
              </w:rPr>
              <w:t>Limited</w:t>
            </w:r>
          </w:p>
        </w:tc>
        <w:tc>
          <w:tcPr>
            <w:tcW w:w="0" w:type="auto"/>
            <w:tcBorders>
              <w:left w:val="single" w:sz="4" w:space="0" w:color="auto"/>
              <w:bottom w:val="single" w:sz="4" w:space="0" w:color="auto"/>
              <w:right w:val="single" w:sz="4" w:space="0" w:color="auto"/>
            </w:tcBorders>
          </w:tcPr>
          <w:p w:rsidR="00175E0B" w:rsidRPr="00F71B40" w:rsidRDefault="00343045" w:rsidP="006A70A3">
            <w:pPr>
              <w:pStyle w:val="ListParagraph"/>
              <w:keepNext/>
              <w:keepLines/>
              <w:ind w:left="0"/>
              <w:contextualSpacing w:val="0"/>
              <w:rPr>
                <w:b/>
                <w:i/>
                <w:sz w:val="20"/>
                <w:szCs w:val="20"/>
                <w:lang w:val="en-AU"/>
              </w:rPr>
            </w:pPr>
            <w:r w:rsidRPr="00F71B40">
              <w:rPr>
                <w:b/>
                <w:i/>
                <w:sz w:val="20"/>
                <w:szCs w:val="20"/>
                <w:lang w:val="en-AU"/>
              </w:rPr>
              <w:t>Reasonable</w:t>
            </w:r>
          </w:p>
        </w:tc>
      </w:tr>
      <w:tr w:rsidR="00594D24" w:rsidRPr="00F71B40" w:rsidTr="006A70A3">
        <w:tc>
          <w:tcPr>
            <w:tcW w:w="558" w:type="dxa"/>
            <w:vMerge/>
            <w:tcBorders>
              <w:left w:val="single" w:sz="4" w:space="0" w:color="auto"/>
            </w:tcBorders>
          </w:tcPr>
          <w:p w:rsidR="00175E0B" w:rsidRPr="00F71B40" w:rsidRDefault="00175E0B" w:rsidP="006A70A3">
            <w:pPr>
              <w:keepNext/>
              <w:keepLines/>
              <w:rPr>
                <w:rFonts w:cs="Times New Roman"/>
                <w:sz w:val="20"/>
                <w:szCs w:val="20"/>
                <w:lang w:val="en-AU"/>
              </w:rPr>
            </w:pPr>
          </w:p>
        </w:tc>
        <w:tc>
          <w:tcPr>
            <w:tcW w:w="1660" w:type="dxa"/>
            <w:vMerge w:val="restart"/>
            <w:tcBorders>
              <w:top w:val="single" w:sz="4" w:space="0" w:color="auto"/>
              <w:left w:val="nil"/>
              <w:right w:val="single" w:sz="4" w:space="0" w:color="auto"/>
            </w:tcBorders>
          </w:tcPr>
          <w:p w:rsidR="00175E0B" w:rsidRPr="00F71B40" w:rsidRDefault="00175E0B" w:rsidP="006A70A3">
            <w:pPr>
              <w:keepNext/>
              <w:keepLines/>
              <w:rPr>
                <w:rFonts w:cs="Times New Roman"/>
                <w:sz w:val="20"/>
                <w:szCs w:val="20"/>
                <w:lang w:val="en-AU"/>
              </w:rPr>
            </w:pPr>
            <w:r w:rsidRPr="00F71B40">
              <w:rPr>
                <w:rFonts w:cs="Times New Roman"/>
                <w:sz w:val="20"/>
                <w:szCs w:val="20"/>
                <w:lang w:val="en-AU"/>
              </w:rPr>
              <w:t xml:space="preserve">Part B – ensuring that those improvements </w:t>
            </w:r>
            <w:r w:rsidR="00582450" w:rsidRPr="00F71B40">
              <w:rPr>
                <w:rFonts w:cs="Times New Roman"/>
                <w:sz w:val="20"/>
                <w:szCs w:val="20"/>
                <w:lang w:val="en-AU"/>
              </w:rPr>
              <w:t xml:space="preserve">result in </w:t>
            </w:r>
            <w:r w:rsidRPr="00F71B40">
              <w:rPr>
                <w:rFonts w:cs="Times New Roman"/>
                <w:sz w:val="20"/>
                <w:szCs w:val="20"/>
                <w:lang w:val="en-AU"/>
              </w:rPr>
              <w:t>government performance improvements</w:t>
            </w:r>
          </w:p>
        </w:tc>
        <w:tc>
          <w:tcPr>
            <w:tcW w:w="2491" w:type="dxa"/>
            <w:tcBorders>
              <w:top w:val="single" w:sz="4" w:space="0" w:color="auto"/>
              <w:left w:val="single" w:sz="4" w:space="0" w:color="auto"/>
              <w:right w:val="single" w:sz="4" w:space="0" w:color="auto"/>
            </w:tcBorders>
          </w:tcPr>
          <w:p w:rsidR="00343045" w:rsidRPr="00F71B40" w:rsidRDefault="000B0054" w:rsidP="006A70A3">
            <w:pPr>
              <w:keepNext/>
              <w:keepLines/>
              <w:rPr>
                <w:sz w:val="20"/>
                <w:szCs w:val="20"/>
                <w:lang w:val="en-AU"/>
              </w:rPr>
            </w:pPr>
            <w:r w:rsidRPr="00F71B40">
              <w:rPr>
                <w:sz w:val="20"/>
                <w:szCs w:val="20"/>
                <w:lang w:val="en-AU"/>
              </w:rPr>
              <w:t>SIGOV a</w:t>
            </w:r>
            <w:r w:rsidR="00343045" w:rsidRPr="00F71B40">
              <w:rPr>
                <w:sz w:val="20"/>
                <w:szCs w:val="20"/>
                <w:lang w:val="en-AU"/>
              </w:rPr>
              <w:t xml:space="preserve">ssumes a model of how the public sector </w:t>
            </w:r>
            <w:r w:rsidR="001D3A61" w:rsidRPr="00F71B40">
              <w:rPr>
                <w:sz w:val="20"/>
                <w:szCs w:val="20"/>
                <w:lang w:val="en-AU"/>
              </w:rPr>
              <w:t xml:space="preserve">operates now or </w:t>
            </w:r>
            <w:r w:rsidR="00343045" w:rsidRPr="00F71B40">
              <w:rPr>
                <w:sz w:val="20"/>
                <w:szCs w:val="20"/>
                <w:lang w:val="en-AU"/>
              </w:rPr>
              <w:t xml:space="preserve">could operate </w:t>
            </w:r>
            <w:r w:rsidR="001D3A61" w:rsidRPr="00F71B40">
              <w:rPr>
                <w:sz w:val="20"/>
                <w:szCs w:val="20"/>
                <w:lang w:val="en-AU"/>
              </w:rPr>
              <w:t xml:space="preserve">more </w:t>
            </w:r>
            <w:r w:rsidR="00343045" w:rsidRPr="00F71B40">
              <w:rPr>
                <w:sz w:val="20"/>
                <w:szCs w:val="20"/>
                <w:lang w:val="en-AU"/>
              </w:rPr>
              <w:t xml:space="preserve">effectively downstream in which: (i) the right things to improve at the centre are known; and (ii) those improvements will be both necessary and sufficient for </w:t>
            </w:r>
            <w:r w:rsidR="007155FA" w:rsidRPr="00F71B40">
              <w:rPr>
                <w:sz w:val="20"/>
                <w:szCs w:val="20"/>
                <w:lang w:val="en-AU"/>
              </w:rPr>
              <w:t xml:space="preserve">downstream </w:t>
            </w:r>
            <w:r w:rsidR="00343045" w:rsidRPr="00F71B40">
              <w:rPr>
                <w:sz w:val="20"/>
                <w:szCs w:val="20"/>
                <w:lang w:val="en-AU"/>
              </w:rPr>
              <w:t xml:space="preserve">service delivery performance.  </w:t>
            </w:r>
            <w:r w:rsidR="007155FA" w:rsidRPr="00F71B40">
              <w:rPr>
                <w:sz w:val="20"/>
                <w:szCs w:val="20"/>
                <w:lang w:val="en-AU"/>
              </w:rPr>
              <w:t xml:space="preserve">It ignores the </w:t>
            </w:r>
            <w:r w:rsidR="00594D24" w:rsidRPr="00F71B40">
              <w:rPr>
                <w:sz w:val="20"/>
                <w:szCs w:val="20"/>
                <w:lang w:val="en-AU"/>
              </w:rPr>
              <w:t xml:space="preserve">need to learn by doing and to work with the </w:t>
            </w:r>
            <w:r w:rsidR="007155FA" w:rsidRPr="00F71B40">
              <w:rPr>
                <w:sz w:val="20"/>
                <w:szCs w:val="20"/>
                <w:lang w:val="en-AU"/>
              </w:rPr>
              <w:t>distinctively strong role of MPs in determining public sector outputs at the local level in Solomon Islands.</w:t>
            </w:r>
          </w:p>
          <w:p w:rsidR="00175E0B" w:rsidRPr="00F71B40" w:rsidRDefault="00175E0B" w:rsidP="0098305E">
            <w:pPr>
              <w:pStyle w:val="ListParagraph"/>
              <w:keepNext/>
              <w:keepLines/>
              <w:ind w:left="0"/>
              <w:contextualSpacing w:val="0"/>
              <w:rPr>
                <w:sz w:val="20"/>
                <w:szCs w:val="20"/>
                <w:lang w:val="en-AU"/>
              </w:rPr>
            </w:pPr>
          </w:p>
        </w:tc>
        <w:tc>
          <w:tcPr>
            <w:tcW w:w="3101" w:type="dxa"/>
            <w:tcBorders>
              <w:top w:val="single" w:sz="4" w:space="0" w:color="auto"/>
              <w:left w:val="single" w:sz="4" w:space="0" w:color="auto"/>
              <w:right w:val="single" w:sz="4" w:space="0" w:color="auto"/>
            </w:tcBorders>
          </w:tcPr>
          <w:p w:rsidR="008A21BB" w:rsidRPr="00F71B40" w:rsidRDefault="001D3A61" w:rsidP="006A70A3">
            <w:pPr>
              <w:keepNext/>
              <w:keepLines/>
              <w:rPr>
                <w:sz w:val="20"/>
                <w:szCs w:val="20"/>
                <w:lang w:val="en-AU"/>
              </w:rPr>
            </w:pPr>
            <w:r w:rsidRPr="00F71B40">
              <w:rPr>
                <w:rFonts w:cs="Times New Roman"/>
                <w:sz w:val="20"/>
                <w:szCs w:val="20"/>
                <w:lang w:val="en-AU"/>
              </w:rPr>
              <w:t>As a consequence</w:t>
            </w:r>
            <w:r w:rsidR="000B0054" w:rsidRPr="00F71B40">
              <w:rPr>
                <w:rFonts w:cs="Times New Roman"/>
                <w:sz w:val="20"/>
                <w:szCs w:val="20"/>
                <w:lang w:val="en-AU"/>
              </w:rPr>
              <w:t xml:space="preserve"> of the weak specification of the results chain</w:t>
            </w:r>
            <w:r w:rsidRPr="00F71B40">
              <w:rPr>
                <w:rFonts w:cs="Times New Roman"/>
                <w:sz w:val="20"/>
                <w:szCs w:val="20"/>
                <w:lang w:val="en-AU"/>
              </w:rPr>
              <w:t xml:space="preserve">, </w:t>
            </w:r>
            <w:r w:rsidR="00343045" w:rsidRPr="00F71B40">
              <w:rPr>
                <w:rFonts w:cs="Times New Roman"/>
                <w:sz w:val="20"/>
                <w:szCs w:val="20"/>
                <w:lang w:val="en-AU"/>
              </w:rPr>
              <w:t xml:space="preserve">SIGOV has </w:t>
            </w:r>
            <w:r w:rsidR="00343045" w:rsidRPr="00F71B40">
              <w:rPr>
                <w:sz w:val="20"/>
                <w:szCs w:val="20"/>
                <w:lang w:val="en-AU"/>
              </w:rPr>
              <w:t xml:space="preserve">little to say about prioritization or about potential interventions outside of the central agencies.  Interventions are not targeted with types of service delivery in mind, or with any focus on the role of user groups or citizen pressures.  </w:t>
            </w:r>
            <w:r w:rsidR="008A21BB" w:rsidRPr="00F71B40">
              <w:rPr>
                <w:rFonts w:cs="Times New Roman"/>
                <w:sz w:val="20"/>
                <w:szCs w:val="20"/>
                <w:lang w:val="en-AU"/>
              </w:rPr>
              <w:t xml:space="preserve">Again, </w:t>
            </w:r>
            <w:r w:rsidR="00646BFA" w:rsidRPr="00F71B40">
              <w:rPr>
                <w:sz w:val="20"/>
                <w:szCs w:val="20"/>
                <w:lang w:val="en-AU"/>
              </w:rPr>
              <w:t xml:space="preserve">inputs other than </w:t>
            </w:r>
            <w:r w:rsidR="00646BFA" w:rsidRPr="00F71B40">
              <w:rPr>
                <w:rFonts w:cs="Times New Roman"/>
                <w:sz w:val="20"/>
                <w:szCs w:val="20"/>
                <w:lang w:val="en-AU"/>
              </w:rPr>
              <w:t>technical advice and guidance, and temporary capacity enhancement through external advisors</w:t>
            </w:r>
            <w:r w:rsidR="008A21BB" w:rsidRPr="00F71B40">
              <w:rPr>
                <w:sz w:val="20"/>
                <w:szCs w:val="20"/>
                <w:lang w:val="en-AU"/>
              </w:rPr>
              <w:t xml:space="preserve"> not considered.</w:t>
            </w:r>
          </w:p>
          <w:p w:rsidR="00D253F0" w:rsidRPr="00F71B40" w:rsidRDefault="00D253F0" w:rsidP="006A70A3">
            <w:pPr>
              <w:keepNext/>
              <w:keepLines/>
              <w:rPr>
                <w:sz w:val="20"/>
                <w:szCs w:val="20"/>
                <w:lang w:val="en-AU"/>
              </w:rPr>
            </w:pPr>
            <w:r w:rsidRPr="00F71B40">
              <w:rPr>
                <w:sz w:val="20"/>
                <w:szCs w:val="20"/>
                <w:lang w:val="en-AU"/>
              </w:rPr>
              <w:t>Most crucially, the intervention logic for Part B must embody an approach to learning how the public sector operates in practice and adjusting implementation accordingly.</w:t>
            </w:r>
            <w:r w:rsidR="00E256D6">
              <w:rPr>
                <w:sz w:val="20"/>
                <w:szCs w:val="20"/>
                <w:lang w:val="en-AU"/>
              </w:rPr>
              <w:t xml:space="preserve">  </w:t>
            </w:r>
          </w:p>
          <w:p w:rsidR="00175E0B" w:rsidRPr="00F71B40" w:rsidRDefault="00175E0B" w:rsidP="0098305E">
            <w:pPr>
              <w:pStyle w:val="ListParagraph"/>
              <w:keepNext/>
              <w:keepLines/>
              <w:ind w:left="0"/>
              <w:rPr>
                <w:sz w:val="20"/>
                <w:szCs w:val="20"/>
                <w:lang w:val="en-AU"/>
              </w:rPr>
            </w:pPr>
          </w:p>
        </w:tc>
        <w:tc>
          <w:tcPr>
            <w:tcW w:w="0" w:type="auto"/>
            <w:tcBorders>
              <w:top w:val="single" w:sz="4" w:space="0" w:color="auto"/>
              <w:left w:val="single" w:sz="4" w:space="0" w:color="auto"/>
              <w:right w:val="single" w:sz="4" w:space="0" w:color="auto"/>
            </w:tcBorders>
          </w:tcPr>
          <w:p w:rsidR="00175E0B" w:rsidRPr="00F71B40" w:rsidRDefault="00343045" w:rsidP="006A70A3">
            <w:pPr>
              <w:keepNext/>
              <w:keepLines/>
              <w:rPr>
                <w:rFonts w:cs="Times New Roman"/>
                <w:sz w:val="20"/>
                <w:szCs w:val="20"/>
                <w:lang w:val="en-AU"/>
              </w:rPr>
            </w:pPr>
            <w:r w:rsidRPr="00F71B40">
              <w:rPr>
                <w:rFonts w:cs="Times New Roman"/>
                <w:sz w:val="20"/>
                <w:szCs w:val="20"/>
                <w:lang w:val="en-AU"/>
              </w:rPr>
              <w:t xml:space="preserve">SIGOV </w:t>
            </w:r>
            <w:r w:rsidR="00F96F56" w:rsidRPr="00F71B40">
              <w:rPr>
                <w:rFonts w:cs="Times New Roman"/>
                <w:sz w:val="20"/>
                <w:szCs w:val="20"/>
                <w:lang w:val="en-AU"/>
              </w:rPr>
              <w:t>offers</w:t>
            </w:r>
            <w:r w:rsidRPr="00F71B40">
              <w:rPr>
                <w:rFonts w:cs="Times New Roman"/>
                <w:sz w:val="20"/>
                <w:szCs w:val="20"/>
                <w:lang w:val="en-AU"/>
              </w:rPr>
              <w:t xml:space="preserve"> no theory </w:t>
            </w:r>
            <w:r w:rsidR="008A21BB" w:rsidRPr="00F71B40">
              <w:rPr>
                <w:rFonts w:cs="Times New Roman"/>
                <w:sz w:val="20"/>
                <w:szCs w:val="20"/>
                <w:lang w:val="en-AU"/>
              </w:rPr>
              <w:t>about when and why line departments and MPs should want to achieve a short term and visible impact on service delivery in the sectors.</w:t>
            </w:r>
          </w:p>
        </w:tc>
      </w:tr>
      <w:tr w:rsidR="00594D24" w:rsidRPr="00F71B40" w:rsidTr="006A70A3">
        <w:tc>
          <w:tcPr>
            <w:tcW w:w="558" w:type="dxa"/>
            <w:vMerge/>
            <w:tcBorders>
              <w:left w:val="single" w:sz="4" w:space="0" w:color="auto"/>
              <w:bottom w:val="single" w:sz="4" w:space="0" w:color="auto"/>
            </w:tcBorders>
          </w:tcPr>
          <w:p w:rsidR="00175E0B" w:rsidRPr="00F71B40" w:rsidRDefault="00175E0B" w:rsidP="006A70A3">
            <w:pPr>
              <w:keepNext/>
              <w:keepLines/>
              <w:rPr>
                <w:rFonts w:cs="Times New Roman"/>
                <w:i/>
                <w:sz w:val="20"/>
                <w:szCs w:val="20"/>
                <w:lang w:val="en-AU"/>
              </w:rPr>
            </w:pPr>
          </w:p>
        </w:tc>
        <w:tc>
          <w:tcPr>
            <w:tcW w:w="1660" w:type="dxa"/>
            <w:vMerge/>
            <w:tcBorders>
              <w:bottom w:val="single" w:sz="4" w:space="0" w:color="auto"/>
              <w:right w:val="single" w:sz="4" w:space="0" w:color="auto"/>
            </w:tcBorders>
          </w:tcPr>
          <w:p w:rsidR="00175E0B" w:rsidRPr="00F71B40" w:rsidRDefault="00175E0B" w:rsidP="006A70A3">
            <w:pPr>
              <w:keepNext/>
              <w:keepLines/>
              <w:rPr>
                <w:rFonts w:cs="Times New Roman"/>
                <w:i/>
                <w:sz w:val="20"/>
                <w:szCs w:val="20"/>
                <w:lang w:val="en-AU"/>
              </w:rPr>
            </w:pPr>
          </w:p>
        </w:tc>
        <w:tc>
          <w:tcPr>
            <w:tcW w:w="2491" w:type="dxa"/>
            <w:tcBorders>
              <w:left w:val="single" w:sz="4" w:space="0" w:color="auto"/>
              <w:bottom w:val="single" w:sz="4" w:space="0" w:color="auto"/>
              <w:right w:val="single" w:sz="4" w:space="0" w:color="auto"/>
            </w:tcBorders>
          </w:tcPr>
          <w:p w:rsidR="00175E0B" w:rsidRPr="00F71B40" w:rsidRDefault="00343045" w:rsidP="006A70A3">
            <w:pPr>
              <w:pStyle w:val="ListParagraph"/>
              <w:keepNext/>
              <w:keepLines/>
              <w:ind w:left="0"/>
              <w:contextualSpacing w:val="0"/>
              <w:rPr>
                <w:b/>
                <w:i/>
                <w:sz w:val="20"/>
                <w:szCs w:val="20"/>
                <w:lang w:val="en-AU"/>
              </w:rPr>
            </w:pPr>
            <w:r w:rsidRPr="00F71B40">
              <w:rPr>
                <w:b/>
                <w:i/>
                <w:sz w:val="20"/>
                <w:szCs w:val="20"/>
                <w:lang w:val="en-AU"/>
              </w:rPr>
              <w:t>Implausible</w:t>
            </w:r>
          </w:p>
        </w:tc>
        <w:tc>
          <w:tcPr>
            <w:tcW w:w="3101" w:type="dxa"/>
            <w:tcBorders>
              <w:left w:val="single" w:sz="4" w:space="0" w:color="auto"/>
              <w:bottom w:val="single" w:sz="4" w:space="0" w:color="auto"/>
              <w:right w:val="single" w:sz="4" w:space="0" w:color="auto"/>
            </w:tcBorders>
          </w:tcPr>
          <w:p w:rsidR="00175E0B" w:rsidRPr="00F71B40" w:rsidRDefault="00343045" w:rsidP="006A70A3">
            <w:pPr>
              <w:pStyle w:val="ListParagraph"/>
              <w:keepNext/>
              <w:keepLines/>
              <w:ind w:left="0"/>
              <w:contextualSpacing w:val="0"/>
              <w:rPr>
                <w:b/>
                <w:i/>
                <w:sz w:val="20"/>
                <w:szCs w:val="20"/>
                <w:lang w:val="en-AU"/>
              </w:rPr>
            </w:pPr>
            <w:r w:rsidRPr="00F71B40">
              <w:rPr>
                <w:b/>
                <w:i/>
                <w:sz w:val="20"/>
                <w:szCs w:val="20"/>
                <w:lang w:val="en-AU"/>
              </w:rPr>
              <w:t>Under-developed</w:t>
            </w:r>
          </w:p>
        </w:tc>
        <w:tc>
          <w:tcPr>
            <w:tcW w:w="0" w:type="auto"/>
            <w:tcBorders>
              <w:left w:val="single" w:sz="4" w:space="0" w:color="auto"/>
              <w:bottom w:val="single" w:sz="4" w:space="0" w:color="auto"/>
              <w:right w:val="single" w:sz="4" w:space="0" w:color="auto"/>
            </w:tcBorders>
          </w:tcPr>
          <w:p w:rsidR="00175E0B" w:rsidRPr="00F71B40" w:rsidRDefault="009A2F25" w:rsidP="006A70A3">
            <w:pPr>
              <w:pStyle w:val="ListParagraph"/>
              <w:keepNext/>
              <w:keepLines/>
              <w:ind w:left="0"/>
              <w:contextualSpacing w:val="0"/>
              <w:rPr>
                <w:b/>
                <w:i/>
                <w:sz w:val="20"/>
                <w:szCs w:val="20"/>
                <w:lang w:val="en-AU"/>
              </w:rPr>
            </w:pPr>
            <w:r w:rsidRPr="00F71B40">
              <w:rPr>
                <w:b/>
                <w:i/>
                <w:sz w:val="20"/>
                <w:szCs w:val="20"/>
                <w:lang w:val="en-AU"/>
              </w:rPr>
              <w:t>Under-developed</w:t>
            </w:r>
          </w:p>
        </w:tc>
      </w:tr>
    </w:tbl>
    <w:p w:rsidR="006935B7" w:rsidRPr="00F71B40" w:rsidRDefault="006935B7" w:rsidP="00D62A32">
      <w:pPr>
        <w:rPr>
          <w:lang w:val="en-AU"/>
        </w:rPr>
      </w:pPr>
    </w:p>
    <w:p w:rsidR="00202DD9" w:rsidRPr="00F71B40" w:rsidRDefault="00DD3505" w:rsidP="004D15F8">
      <w:pPr>
        <w:pStyle w:val="Heading2"/>
        <w:numPr>
          <w:ilvl w:val="0"/>
          <w:numId w:val="23"/>
        </w:numPr>
        <w:rPr>
          <w:lang w:val="en-AU"/>
        </w:rPr>
      </w:pPr>
      <w:bookmarkStart w:id="72" w:name="_Toc399247220"/>
      <w:bookmarkStart w:id="73" w:name="_Ref399264124"/>
      <w:bookmarkStart w:id="74" w:name="_Toc399410397"/>
      <w:r w:rsidRPr="00F71B40">
        <w:rPr>
          <w:lang w:val="en-AU"/>
        </w:rPr>
        <w:lastRenderedPageBreak/>
        <w:t>Risk management and</w:t>
      </w:r>
      <w:r w:rsidR="00202DD9" w:rsidRPr="00F71B40">
        <w:rPr>
          <w:lang w:val="en-AU"/>
        </w:rPr>
        <w:t xml:space="preserve"> “shared sovereignty”</w:t>
      </w:r>
      <w:bookmarkEnd w:id="72"/>
      <w:bookmarkEnd w:id="73"/>
      <w:bookmarkEnd w:id="74"/>
    </w:p>
    <w:p w:rsidR="00202DD9" w:rsidRPr="00F71B40" w:rsidRDefault="00202DD9" w:rsidP="00D62A32">
      <w:pPr>
        <w:keepNext/>
        <w:keepLines/>
        <w:rPr>
          <w:lang w:val="en-AU"/>
        </w:rPr>
      </w:pPr>
    </w:p>
    <w:p w:rsidR="00202DD9" w:rsidRPr="00F71B40" w:rsidRDefault="00A72C83" w:rsidP="00D62A32">
      <w:pPr>
        <w:keepNext/>
        <w:keepLines/>
        <w:rPr>
          <w:lang w:val="en-AU"/>
        </w:rPr>
      </w:pPr>
      <w:r>
        <w:rPr>
          <w:lang w:val="en-AU"/>
        </w:rPr>
        <w:t>In addition to</w:t>
      </w:r>
      <w:r w:rsidR="00202DD9" w:rsidRPr="00F71B40">
        <w:rPr>
          <w:lang w:val="en-AU"/>
        </w:rPr>
        <w:t xml:space="preserve"> the question of how SIGOV can be designed to achieve results in both Parts A and B, there is a real world consideration of protecting the Australian investment (financial and reputational) which has already been made in Solomon Islands.  </w:t>
      </w:r>
    </w:p>
    <w:p w:rsidR="005D55CB" w:rsidRPr="00F71B40" w:rsidRDefault="005D55CB" w:rsidP="00D62A32">
      <w:pPr>
        <w:rPr>
          <w:lang w:val="en-AU"/>
        </w:rPr>
      </w:pPr>
    </w:p>
    <w:p w:rsidR="0008314E" w:rsidRPr="00F71B40" w:rsidRDefault="0008314E" w:rsidP="00D62A32">
      <w:pPr>
        <w:rPr>
          <w:rFonts w:cs="Times New Roman"/>
          <w:lang w:val="en-AU"/>
        </w:rPr>
      </w:pPr>
      <w:r w:rsidRPr="00F71B40">
        <w:rPr>
          <w:rFonts w:cs="Times New Roman"/>
          <w:lang w:val="en-AU"/>
        </w:rPr>
        <w:t xml:space="preserve">Australia has an inescapable “role in the co-production of sovereignty in Solomon Islands” </w:t>
      </w:r>
      <w:r w:rsidR="00115AC9" w:rsidRPr="00F71B40">
        <w:rPr>
          <w:rFonts w:cs="Times New Roman"/>
          <w:lang w:val="en-AU"/>
        </w:rPr>
        <w:fldChar w:fldCharType="begin"/>
      </w:r>
      <w:r w:rsidR="00115AC9" w:rsidRPr="00F71B40">
        <w:rPr>
          <w:rFonts w:cs="Times New Roman"/>
          <w:lang w:val="en-AU"/>
        </w:rPr>
        <w:instrText xml:space="preserve"> ADDIN EN.CITE &lt;EndNote&gt;&lt;Cite&gt;&lt;Author&gt;Barbara&lt;/Author&gt;&lt;Year&gt;2014&lt;/Year&gt;&lt;RecNum&gt;4276&lt;/RecNum&gt;&lt;Suffix&gt;`, p.1&lt;/Suffix&gt;&lt;DisplayText&gt;(Barbara, 2014, p.1)&lt;/DisplayText&gt;&lt;record&gt;&lt;rec-number&gt;4276&lt;/rec-number&gt;&lt;foreign-keys&gt;&lt;key app="EN" db-id="5v9z5rrdszvwsneef06v9dapsd0apdtfapdx" timestamp="1408470543"&gt;4276&lt;/key&gt;&lt;/foreign-keys&gt;&lt;ref-type name="Journal Article"&gt;17&lt;/ref-type&gt;&lt;contributors&gt;&lt;authors&gt;&lt;author&gt;Julien Barbara&lt;/author&gt;&lt;/authors&gt;&lt;/contributors&gt;&lt;titles&gt;&lt;title&gt;From Intervention to Partnership—Prospects for Development Partnership in Solomon Islands after the RAMSI&lt;/title&gt;&lt;secondary-title&gt;Asia &amp;amp; the Pacific Policy Studies&lt;/secondary-title&gt;&lt;/titles&gt;&lt;pages&gt;395–408&lt;/pages&gt;&lt;volume&gt;1&lt;/volume&gt;&lt;number&gt;2&lt;/number&gt;&lt;dates&gt;&lt;year&gt;2014&lt;/year&gt;&lt;/dates&gt;&lt;urls&gt;&lt;/urls&gt;&lt;/record&gt;&lt;/Cite&gt;&lt;/EndNote&gt;</w:instrText>
      </w:r>
      <w:r w:rsidR="00115AC9" w:rsidRPr="00F71B40">
        <w:rPr>
          <w:rFonts w:cs="Times New Roman"/>
          <w:lang w:val="en-AU"/>
        </w:rPr>
        <w:fldChar w:fldCharType="separate"/>
      </w:r>
      <w:r w:rsidR="00115AC9" w:rsidRPr="00F71B40">
        <w:rPr>
          <w:rFonts w:cs="Times New Roman"/>
          <w:lang w:val="en-AU"/>
        </w:rPr>
        <w:t>(</w:t>
      </w:r>
      <w:hyperlink w:anchor="_ENREF_19" w:tooltip="Barbara, 2014 #4276" w:history="1">
        <w:r w:rsidR="00CC56DB" w:rsidRPr="00F71B40">
          <w:rPr>
            <w:rFonts w:cs="Times New Roman"/>
            <w:lang w:val="en-AU"/>
          </w:rPr>
          <w:t>Barbara, 2014, p.1</w:t>
        </w:r>
      </w:hyperlink>
      <w:r w:rsidR="00115AC9" w:rsidRPr="00F71B40">
        <w:rPr>
          <w:rFonts w:cs="Times New Roman"/>
          <w:lang w:val="en-AU"/>
        </w:rPr>
        <w:t>)</w:t>
      </w:r>
      <w:r w:rsidR="00115AC9" w:rsidRPr="00F71B40">
        <w:rPr>
          <w:rFonts w:cs="Times New Roman"/>
          <w:lang w:val="en-AU"/>
        </w:rPr>
        <w:fldChar w:fldCharType="end"/>
      </w:r>
      <w:r w:rsidRPr="00F71B40">
        <w:rPr>
          <w:rFonts w:cs="Times New Roman"/>
          <w:lang w:val="en-AU"/>
        </w:rPr>
        <w:t xml:space="preserve"> for fiduciary and security reasons.  The prospect of shared sovereignty is an undeniably awkward point requiring, to say the least, some nuance in the policy dialogue and some recognition that Solomon Islands Government concerns about sovereignty cannot be entirely ascribed to resistance to enhanced fiduciary oversight and a desire to “escape new controls…” </w:t>
      </w:r>
      <w:r w:rsidR="00115AC9" w:rsidRPr="00F71B40">
        <w:rPr>
          <w:rFonts w:cs="Times New Roman"/>
          <w:lang w:val="en-AU"/>
        </w:rPr>
        <w:fldChar w:fldCharType="begin"/>
      </w:r>
      <w:r w:rsidR="00115AC9" w:rsidRPr="00F71B40">
        <w:rPr>
          <w:rFonts w:cs="Times New Roman"/>
          <w:lang w:val="en-AU"/>
        </w:rPr>
        <w:instrText xml:space="preserve"> ADDIN EN.CITE &lt;EndNote&gt;&lt;Cite&gt;&lt;Author&gt;Fraenkel&lt;/Author&gt;&lt;Year&gt;2014&lt;/Year&gt;&lt;RecNum&gt;4304&lt;/RecNum&gt;&lt;Suffix&gt;`, p. 24&lt;/Suffix&gt;&lt;DisplayText&gt;(Fraenkel et al., 2014, p. 24)&lt;/DisplayText&gt;&lt;record&gt;&lt;rec-number&gt;4304&lt;/rec-number&gt;&lt;foreign-keys&gt;&lt;key app="EN" db-id="5v9z5rrdszvwsneef06v9dapsd0apdtfapdx" timestamp="1408645993"&gt;4304&lt;/key&gt;&lt;/foreign-keys&gt;&lt;ref-type name="Report"&gt;27&lt;/ref-type&gt;&lt;contributors&gt;&lt;authors&gt;&lt;author&gt;Jon Fraenkel&lt;/author&gt;&lt;author&gt;Joni Madraiwiwi&lt;/author&gt;&lt;author&gt;Henry Okole&lt;/author&gt;&lt;/authors&gt;&lt;/contributors&gt;&lt;titles&gt;&lt;title&gt;The RAMSI Decade: A Review of the Regional Assistance Mission to Solomon Islands, 2003-</w:instrText>
      </w:r>
      <w:r w:rsidR="00115AC9" w:rsidRPr="00F71B40">
        <w:rPr>
          <w:rFonts w:ascii="Cambria Math" w:hAnsi="Cambria Math" w:cs="Cambria Math"/>
          <w:lang w:val="en-AU"/>
        </w:rPr>
        <w:instrText>‐</w:instrText>
      </w:r>
      <w:r w:rsidR="00115AC9" w:rsidRPr="00F71B40">
        <w:rPr>
          <w:rFonts w:cs="Times New Roman"/>
          <w:lang w:val="en-AU"/>
        </w:rPr>
        <w:instrText>2013&lt;/title&gt;&lt;/titles&gt;&lt;dates&gt;&lt;year&gt;2014&lt;/year&gt;&lt;/dates&gt;&lt;pub-location&gt;Honiara, Solomon Islands&lt;/pub-location&gt;&lt;publisher&gt;Solomon Islands Government and the Pacific Islands Forum&lt;/publisher&gt;&lt;urls&gt;&lt;/urls&gt;&lt;/record&gt;&lt;/Cite&gt;&lt;/EndNote&gt;</w:instrText>
      </w:r>
      <w:r w:rsidR="00115AC9" w:rsidRPr="00F71B40">
        <w:rPr>
          <w:rFonts w:cs="Times New Roman"/>
          <w:lang w:val="en-AU"/>
        </w:rPr>
        <w:fldChar w:fldCharType="separate"/>
      </w:r>
      <w:r w:rsidR="00115AC9" w:rsidRPr="00F71B40">
        <w:rPr>
          <w:rFonts w:cs="Times New Roman"/>
          <w:lang w:val="en-AU"/>
        </w:rPr>
        <w:t>(</w:t>
      </w:r>
      <w:hyperlink w:anchor="_ENREF_59" w:tooltip="Fraenkel, 2014 #4304" w:history="1">
        <w:r w:rsidR="00CC56DB" w:rsidRPr="00F71B40">
          <w:rPr>
            <w:rFonts w:cs="Times New Roman"/>
            <w:lang w:val="en-AU"/>
          </w:rPr>
          <w:t>Fraenkel et al., 2014, p. 24</w:t>
        </w:r>
      </w:hyperlink>
      <w:r w:rsidR="00115AC9" w:rsidRPr="00F71B40">
        <w:rPr>
          <w:rFonts w:cs="Times New Roman"/>
          <w:lang w:val="en-AU"/>
        </w:rPr>
        <w:t>)</w:t>
      </w:r>
      <w:r w:rsidR="00115AC9" w:rsidRPr="00F71B40">
        <w:rPr>
          <w:rFonts w:cs="Times New Roman"/>
          <w:lang w:val="en-AU"/>
        </w:rPr>
        <w:fldChar w:fldCharType="end"/>
      </w:r>
      <w:r w:rsidRPr="00F71B40">
        <w:rPr>
          <w:rFonts w:cs="Times New Roman"/>
          <w:lang w:val="en-AU"/>
        </w:rPr>
        <w:t>.  “While Australian assistance can be progressively and significantly ‘desecuritised’, the historical relationships between political economy and conflict in Solomon Islands indicate that the country is entering into a high</w:t>
      </w:r>
      <w:r w:rsidRPr="00F71B40">
        <w:rPr>
          <w:rFonts w:cs="Times New Roman"/>
          <w:lang w:val="en-AU"/>
        </w:rPr>
        <w:noBreakHyphen/>
        <w:t xml:space="preserve">risk period for conflict. This means that an external ‘security guarantee’ will need to be maintained…” </w:t>
      </w:r>
      <w:r w:rsidR="00115AC9" w:rsidRPr="00F71B40">
        <w:rPr>
          <w:rFonts w:cs="Times New Roman"/>
          <w:lang w:val="en-AU"/>
        </w:rPr>
        <w:fldChar w:fldCharType="begin"/>
      </w:r>
      <w:r w:rsidR="00115AC9" w:rsidRPr="00F71B40">
        <w:rPr>
          <w:rFonts w:cs="Times New Roman"/>
          <w:lang w:val="en-AU"/>
        </w:rPr>
        <w:instrText xml:space="preserve"> ADDIN EN.CITE &lt;EndNote&gt;&lt;Cite&gt;&lt;Author&gt;Allen&lt;/Author&gt;&lt;Year&gt;2013&lt;/Year&gt;&lt;RecNum&gt;4279&lt;/RecNum&gt;&lt;Suffix&gt;`, p.2&lt;/Suffix&gt;&lt;DisplayText&gt;(Matthew Allen, 2013, p.2)&lt;/DisplayText&gt;&lt;record&gt;&lt;rec-number&gt;4279&lt;/rec-number&gt;&lt;foreign-keys&gt;&lt;key app="EN" db-id="5v9z5rrdszvwsneef06v9dapsd0apdtfapdx" timestamp="1408472310"&gt;4279&lt;/key&gt;&lt;/foreign-keys&gt;&lt;ref-type name="Report"&gt;27&lt;/ref-type&gt;&lt;contributors&gt;&lt;authors&gt;&lt;author&gt;Matthew Allen&lt;/author&gt;&lt;/authors&gt;&lt;/contributors&gt;&lt;titles&gt;&lt;title&gt;Long</w:instrText>
      </w:r>
      <w:r w:rsidR="00115AC9" w:rsidRPr="00F71B40">
        <w:rPr>
          <w:rFonts w:ascii="MS Mincho" w:eastAsia="MS Mincho" w:hAnsi="MS Mincho" w:cs="MS Mincho"/>
          <w:lang w:val="en-AU"/>
        </w:rPr>
        <w:instrText>‑</w:instrText>
      </w:r>
      <w:r w:rsidR="00115AC9" w:rsidRPr="00F71B40">
        <w:rPr>
          <w:rFonts w:cs="Times New Roman"/>
          <w:lang w:val="en-AU"/>
        </w:rPr>
        <w:instrText>term engagement: The future of the Regional Assistance Mission to Solomon Islands&lt;/title&gt;&lt;/titles&gt;&lt;dates&gt;&lt;year&gt;2013&lt;/year&gt;&lt;/dates&gt;&lt;pub-location&gt;Barton ACT&lt;/pub-location&gt;&lt;publisher&gt;Australian Strategic Policy Institute&lt;/publisher&gt;&lt;urls&gt;&lt;/urls&gt;&lt;/record&gt;&lt;/Cite&gt;&lt;/EndNote&gt;</w:instrText>
      </w:r>
      <w:r w:rsidR="00115AC9" w:rsidRPr="00F71B40">
        <w:rPr>
          <w:rFonts w:cs="Times New Roman"/>
          <w:lang w:val="en-AU"/>
        </w:rPr>
        <w:fldChar w:fldCharType="separate"/>
      </w:r>
      <w:r w:rsidR="00115AC9" w:rsidRPr="00F71B40">
        <w:rPr>
          <w:rFonts w:cs="Times New Roman"/>
          <w:lang w:val="en-AU"/>
        </w:rPr>
        <w:t>(</w:t>
      </w:r>
      <w:hyperlink w:anchor="_ENREF_1" w:tooltip="Allen, 2013 #4279" w:history="1">
        <w:r w:rsidR="00CC56DB" w:rsidRPr="00F71B40">
          <w:rPr>
            <w:rFonts w:cs="Times New Roman"/>
            <w:lang w:val="en-AU"/>
          </w:rPr>
          <w:t>Matthew Allen, 2013, p.2</w:t>
        </w:r>
      </w:hyperlink>
      <w:r w:rsidR="00115AC9" w:rsidRPr="00F71B40">
        <w:rPr>
          <w:rFonts w:cs="Times New Roman"/>
          <w:lang w:val="en-AU"/>
        </w:rPr>
        <w:t>)</w:t>
      </w:r>
      <w:r w:rsidR="00115AC9" w:rsidRPr="00F71B40">
        <w:rPr>
          <w:rFonts w:cs="Times New Roman"/>
          <w:lang w:val="en-AU"/>
        </w:rPr>
        <w:fldChar w:fldCharType="end"/>
      </w:r>
    </w:p>
    <w:p w:rsidR="0008314E" w:rsidRPr="00F71B40" w:rsidRDefault="0008314E" w:rsidP="00D62A32">
      <w:pPr>
        <w:rPr>
          <w:rFonts w:cs="Times New Roman"/>
          <w:lang w:val="en-AU"/>
        </w:rPr>
      </w:pPr>
    </w:p>
    <w:p w:rsidR="0008314E" w:rsidRPr="00F71B40" w:rsidRDefault="0008314E" w:rsidP="00D62A32">
      <w:pPr>
        <w:rPr>
          <w:rFonts w:cs="Times New Roman"/>
          <w:lang w:val="en-AU"/>
        </w:rPr>
      </w:pPr>
      <w:r w:rsidRPr="00F71B40">
        <w:rPr>
          <w:rFonts w:cs="Times New Roman"/>
          <w:lang w:val="en-AU"/>
        </w:rPr>
        <w:t>Thus there are limitations in SIG choices about the way in which aid is provided and the</w:t>
      </w:r>
      <w:r w:rsidR="006544DC">
        <w:rPr>
          <w:rFonts w:cs="Times New Roman"/>
          <w:lang w:val="en-AU"/>
        </w:rPr>
        <w:t>re are implicit</w:t>
      </w:r>
      <w:r w:rsidRPr="00F71B40">
        <w:rPr>
          <w:rFonts w:cs="Times New Roman"/>
          <w:lang w:val="en-AU"/>
        </w:rPr>
        <w:t xml:space="preserve"> conditions for the continued delivery by Australia of the 74% of official development assistance</w:t>
      </w:r>
      <w:r w:rsidR="006544DC">
        <w:rPr>
          <w:rFonts w:cs="Times New Roman"/>
          <w:lang w:val="en-AU"/>
        </w:rPr>
        <w:t xml:space="preserve"> received by SIG</w:t>
      </w:r>
      <w:r w:rsidRPr="00F71B40">
        <w:rPr>
          <w:rFonts w:cs="Times New Roman"/>
          <w:lang w:val="en-AU"/>
        </w:rPr>
        <w:t xml:space="preserve"> </w:t>
      </w:r>
      <w:r w:rsidR="00115AC9" w:rsidRPr="00F71B40">
        <w:rPr>
          <w:rFonts w:cs="Times New Roman"/>
          <w:lang w:val="en-AU"/>
        </w:rPr>
        <w:fldChar w:fldCharType="begin"/>
      </w:r>
      <w:r w:rsidR="00115AC9" w:rsidRPr="00F71B40">
        <w:rPr>
          <w:rFonts w:cs="Times New Roman"/>
          <w:lang w:val="en-AU"/>
        </w:rPr>
        <w:instrText xml:space="preserve"> ADDIN EN.CITE &lt;EndNote&gt;&lt;Cite&gt;&lt;Author&gt;Australian Government&lt;/Author&gt;&lt;Year&gt;2013&lt;/Year&gt;&lt;RecNum&gt;4277&lt;/RecNum&gt;&lt;Suffix&gt;`, p.3&lt;/Suffix&gt;&lt;DisplayText&gt;(Australian Government, 2013b, p.3)&lt;/DisplayText&gt;&lt;record&gt;&lt;rec-number&gt;4277&lt;/rec-number&gt;&lt;foreign-keys&gt;&lt;key app="EN" db-id="5v9z5rrdszvwsneef06v9dapsd0apdtfapdx" timestamp="1408471205"&gt;4277&lt;/key&gt;&lt;/foreign-keys&gt;&lt;ref-type name="Report"&gt;27&lt;/ref-type&gt;&lt;contributors&gt;&lt;authors&gt;&lt;author&gt;Australian Government,&lt;/author&gt;&lt;/authors&gt;&lt;/contributors&gt;&lt;titles&gt;&lt;title&gt;Aid Program Performance Report 2012−13: Solomon Islands&lt;/title&gt;&lt;/titles&gt;&lt;dates&gt;&lt;year&gt;2013&lt;/year&gt;&lt;/dates&gt;&lt;pub-location&gt;Canberra&lt;/pub-location&gt;&lt;publisher&gt;Department of Foreign Affairs and Trade&lt;/publisher&gt;&lt;urls&gt;&lt;/urls&gt;&lt;/record&gt;&lt;/Cite&gt;&lt;/EndNote&gt;</w:instrText>
      </w:r>
      <w:r w:rsidR="00115AC9" w:rsidRPr="00F71B40">
        <w:rPr>
          <w:rFonts w:cs="Times New Roman"/>
          <w:lang w:val="en-AU"/>
        </w:rPr>
        <w:fldChar w:fldCharType="separate"/>
      </w:r>
      <w:r w:rsidR="00115AC9" w:rsidRPr="00F71B40">
        <w:rPr>
          <w:rFonts w:cs="Times New Roman"/>
          <w:lang w:val="en-AU"/>
        </w:rPr>
        <w:t>(</w:t>
      </w:r>
      <w:hyperlink w:anchor="_ENREF_17" w:tooltip="Australian Government, 2013 #4277" w:history="1">
        <w:r w:rsidR="00CC56DB" w:rsidRPr="00F71B40">
          <w:rPr>
            <w:rFonts w:cs="Times New Roman"/>
            <w:lang w:val="en-AU"/>
          </w:rPr>
          <w:t>Australian Government, 2013b, p.3</w:t>
        </w:r>
      </w:hyperlink>
      <w:r w:rsidR="00115AC9" w:rsidRPr="00F71B40">
        <w:rPr>
          <w:rFonts w:cs="Times New Roman"/>
          <w:lang w:val="en-AU"/>
        </w:rPr>
        <w:t>)</w:t>
      </w:r>
      <w:r w:rsidR="00115AC9" w:rsidRPr="00F71B40">
        <w:rPr>
          <w:rFonts w:cs="Times New Roman"/>
          <w:lang w:val="en-AU"/>
        </w:rPr>
        <w:fldChar w:fldCharType="end"/>
      </w:r>
      <w:r w:rsidR="006544DC">
        <w:rPr>
          <w:rFonts w:cs="Times New Roman"/>
          <w:lang w:val="en-AU"/>
        </w:rPr>
        <w:t>.</w:t>
      </w:r>
      <w:r w:rsidR="006544DC">
        <w:rPr>
          <w:rStyle w:val="FootnoteReference"/>
          <w:rFonts w:cs="Times New Roman"/>
          <w:lang w:val="en-AU"/>
        </w:rPr>
        <w:footnoteReference w:id="16"/>
      </w:r>
    </w:p>
    <w:p w:rsidR="0008314E" w:rsidRPr="00F71B40" w:rsidRDefault="0008314E" w:rsidP="00D62A32">
      <w:pPr>
        <w:rPr>
          <w:rFonts w:cs="Times New Roman"/>
          <w:lang w:val="en-AU"/>
        </w:rPr>
      </w:pPr>
    </w:p>
    <w:p w:rsidR="0008314E" w:rsidRPr="00F71B40" w:rsidRDefault="0008314E" w:rsidP="00D62A32">
      <w:pPr>
        <w:pStyle w:val="ListParagraph"/>
        <w:ind w:left="0"/>
        <w:contextualSpacing w:val="0"/>
        <w:rPr>
          <w:lang w:val="en-AU"/>
        </w:rPr>
      </w:pPr>
      <w:r w:rsidRPr="00F71B40">
        <w:rPr>
          <w:rFonts w:cs="Times New Roman"/>
          <w:lang w:val="en-AU"/>
        </w:rPr>
        <w:t xml:space="preserve">This is not a new observation.  Others have made the general case for shared sovereignty </w:t>
      </w:r>
      <w:r w:rsidR="00115AC9" w:rsidRPr="00F71B40">
        <w:rPr>
          <w:rFonts w:cs="Times New Roman"/>
          <w:lang w:val="en-AU"/>
        </w:rPr>
        <w:fldChar w:fldCharType="begin"/>
      </w:r>
      <w:r w:rsidR="00115AC9" w:rsidRPr="00F71B40">
        <w:rPr>
          <w:rFonts w:cs="Times New Roman"/>
          <w:lang w:val="en-AU"/>
        </w:rPr>
        <w:instrText xml:space="preserve"> ADDIN EN.CITE &lt;EndNote&gt;&lt;Cite&gt;&lt;Author&gt;Matanock&lt;/Author&gt;&lt;Year&gt;2014&lt;/Year&gt;&lt;RecNum&gt;4285&lt;/RecNum&gt;&lt;DisplayText&gt;(Matanock, 2014)&lt;/DisplayText&gt;&lt;record&gt;&lt;rec-number&gt;4285&lt;/rec-number&gt;&lt;foreign-keys&gt;&lt;key app="EN" db-id="5v9z5rrdszvwsneef06v9dapsd0apdtfapdx" timestamp="1408477162"&gt;4285&lt;/key&gt;&lt;/foreign-keys&gt;&lt;ref-type name="Journal Article"&gt;17&lt;/ref-type&gt;&lt;contributors&gt;&lt;authors&gt;&lt;author&gt;Matanock, Aila M.&lt;/author&gt;&lt;/authors&gt;&lt;/contributors&gt;&lt;titles&gt;&lt;title&gt;Governance Delegation Agreements: Shared Sovereignty as a Substitute for Limited Statehood&lt;/title&gt;&lt;secondary-title&gt;Governance&lt;/secondary-title&gt;&lt;/titles&gt;&lt;dates&gt;&lt;year&gt;2014&lt;/year&gt;&lt;/dates&gt;&lt;urls&gt;&lt;/urls&gt;&lt;/record&gt;&lt;/Cite&gt;&lt;/EndNote&gt;</w:instrText>
      </w:r>
      <w:r w:rsidR="00115AC9" w:rsidRPr="00F71B40">
        <w:rPr>
          <w:rFonts w:cs="Times New Roman"/>
          <w:lang w:val="en-AU"/>
        </w:rPr>
        <w:fldChar w:fldCharType="separate"/>
      </w:r>
      <w:r w:rsidR="00115AC9" w:rsidRPr="00F71B40">
        <w:rPr>
          <w:rFonts w:cs="Times New Roman"/>
          <w:lang w:val="en-AU"/>
        </w:rPr>
        <w:t>(</w:t>
      </w:r>
      <w:hyperlink w:anchor="_ENREF_104" w:tooltip="Matanock, 2014 #4285" w:history="1">
        <w:r w:rsidR="00CC56DB" w:rsidRPr="00F71B40">
          <w:rPr>
            <w:rFonts w:cs="Times New Roman"/>
            <w:lang w:val="en-AU"/>
          </w:rPr>
          <w:t>Matanock, 2014</w:t>
        </w:r>
      </w:hyperlink>
      <w:r w:rsidR="00115AC9" w:rsidRPr="00F71B40">
        <w:rPr>
          <w:rFonts w:cs="Times New Roman"/>
          <w:lang w:val="en-AU"/>
        </w:rPr>
        <w:t>)</w:t>
      </w:r>
      <w:r w:rsidR="00115AC9" w:rsidRPr="00F71B40">
        <w:rPr>
          <w:rFonts w:cs="Times New Roman"/>
          <w:lang w:val="en-AU"/>
        </w:rPr>
        <w:fldChar w:fldCharType="end"/>
      </w:r>
      <w:r w:rsidRPr="00F71B40">
        <w:rPr>
          <w:rFonts w:cs="Times New Roman"/>
          <w:lang w:val="en-AU"/>
        </w:rPr>
        <w:t xml:space="preserve"> and against </w:t>
      </w:r>
      <w:r w:rsidR="00115AC9" w:rsidRPr="00F71B40">
        <w:rPr>
          <w:rFonts w:cs="Times New Roman"/>
          <w:lang w:val="en-AU"/>
        </w:rPr>
        <w:fldChar w:fldCharType="begin"/>
      </w:r>
      <w:r w:rsidR="00115AC9" w:rsidRPr="00F71B40">
        <w:rPr>
          <w:rFonts w:cs="Times New Roman"/>
          <w:lang w:val="en-AU"/>
        </w:rPr>
        <w:instrText xml:space="preserve"> ADDIN EN.CITE &lt;EndNote&gt;&lt;Cite&gt;&lt;Author&gt;Lake&lt;/Author&gt;&lt;Year&gt;2014&lt;/Year&gt;&lt;RecNum&gt;4286&lt;/RecNum&gt;&lt;DisplayText&gt;(Lake &amp;amp; Fariss, 2014)&lt;/DisplayText&gt;&lt;record&gt;&lt;rec-number&gt;4286&lt;/rec-number&gt;&lt;foreign-keys&gt;&lt;key app="EN" db-id="5v9z5rrdszvwsneef06v9dapsd0apdtfapdx" timestamp="1408477211"&gt;4286&lt;/key&gt;&lt;/foreign-keys&gt;&lt;ref-type name="Journal Article"&gt;17&lt;/ref-type&gt;&lt;contributors&gt;&lt;authors&gt;&lt;author&gt;Lake, David A.&lt;/author&gt;&lt;author&gt;Fariss, Christopher J.&lt;/author&gt;&lt;/authors&gt;&lt;/contributors&gt;&lt;titles&gt;&lt;title&gt;Why International Trusteeship Fails: The Politics of External Authority in Areas of Limited Statehood&lt;/title&gt;&lt;secondary-title&gt;Governance&lt;/secondary-title&gt;&lt;/titles&gt;&lt;dates&gt;&lt;year&gt;2014&lt;/year&gt;&lt;/dates&gt;&lt;urls&gt;&lt;/urls&gt;&lt;/record&gt;&lt;/Cite&gt;&lt;/EndNote&gt;</w:instrText>
      </w:r>
      <w:r w:rsidR="00115AC9" w:rsidRPr="00F71B40">
        <w:rPr>
          <w:rFonts w:cs="Times New Roman"/>
          <w:lang w:val="en-AU"/>
        </w:rPr>
        <w:fldChar w:fldCharType="separate"/>
      </w:r>
      <w:r w:rsidR="00115AC9" w:rsidRPr="00F71B40">
        <w:rPr>
          <w:rFonts w:cs="Times New Roman"/>
          <w:lang w:val="en-AU"/>
        </w:rPr>
        <w:t>(</w:t>
      </w:r>
      <w:hyperlink w:anchor="_ENREF_90" w:tooltip="Lake, 2014 #4296" w:history="1">
        <w:r w:rsidR="00CC56DB" w:rsidRPr="00F71B40">
          <w:rPr>
            <w:rFonts w:cs="Times New Roman"/>
            <w:lang w:val="en-AU"/>
          </w:rPr>
          <w:t>Lake &amp; Fariss, 2014</w:t>
        </w:r>
      </w:hyperlink>
      <w:r w:rsidR="00115AC9" w:rsidRPr="00F71B40">
        <w:rPr>
          <w:rFonts w:cs="Times New Roman"/>
          <w:lang w:val="en-AU"/>
        </w:rPr>
        <w:t>)</w:t>
      </w:r>
      <w:r w:rsidR="00115AC9" w:rsidRPr="00F71B40">
        <w:rPr>
          <w:rFonts w:cs="Times New Roman"/>
          <w:lang w:val="en-AU"/>
        </w:rPr>
        <w:fldChar w:fldCharType="end"/>
      </w:r>
      <w:r w:rsidRPr="00F71B40">
        <w:rPr>
          <w:rFonts w:cs="Times New Roman"/>
          <w:lang w:val="en-AU"/>
        </w:rPr>
        <w:t xml:space="preserve"> and  the specific case for such a hybrid arrangement in the Solomon Islands </w:t>
      </w:r>
      <w:r w:rsidR="00115AC9" w:rsidRPr="00F71B40">
        <w:rPr>
          <w:rFonts w:cs="Times New Roman"/>
          <w:lang w:val="en-AU"/>
        </w:rPr>
        <w:fldChar w:fldCharType="begin"/>
      </w:r>
      <w:r w:rsidR="00115AC9" w:rsidRPr="00F71B40">
        <w:rPr>
          <w:rFonts w:cs="Times New Roman"/>
          <w:lang w:val="en-AU"/>
        </w:rPr>
        <w:instrText xml:space="preserve"> ADDIN EN.CITE &lt;EndNote&gt;&lt;Cite&gt;&lt;Author&gt;Fukuyama&lt;/Author&gt;&lt;Year&gt;2008&lt;/Year&gt;&lt;RecNum&gt;4281&lt;/RecNum&gt;&lt;DisplayText&gt;(Fukuyama, 2008)&lt;/DisplayText&gt;&lt;record&gt;&lt;rec-number&gt;4281&lt;/rec-number&gt;&lt;foreign-keys&gt;&lt;key app="EN" db-id="5v9z5rrdszvwsneef06v9dapsd0apdtfapdx" timestamp="1408474250"&gt;4281&lt;/key&gt;&lt;/foreign-keys&gt;&lt;ref-type name="Journal Article"&gt;17&lt;/ref-type&gt;&lt;contributors&gt;&lt;authors&gt;&lt;author&gt;Fukuyama, Francis&lt;/author&gt;&lt;/authors&gt;&lt;secondary-authors&gt;&lt;author&gt;School of Advanced International Studies&lt;/author&gt;&lt;/secondary-authors&gt;&lt;/contributors&gt;&lt;titles&gt;&lt;title&gt;STATE-BUILDING IN THE SOLOMON ISLANDS&lt;/title&gt;&lt;secondary-title&gt;Pacific Economic Bulletin&lt;/secondary-title&gt;&lt;/titles&gt;&lt;pages&gt;18-34&lt;/pages&gt;&lt;volume&gt;23&lt;/volume&gt;&lt;number&gt;3&lt;/number&gt;&lt;dates&gt;&lt;year&gt;2008&lt;/year&gt;&lt;/dates&gt;&lt;urls&gt;&lt;/urls&gt;&lt;/record&gt;&lt;/Cite&gt;&lt;/EndNote&gt;</w:instrText>
      </w:r>
      <w:r w:rsidR="00115AC9" w:rsidRPr="00F71B40">
        <w:rPr>
          <w:rFonts w:cs="Times New Roman"/>
          <w:lang w:val="en-AU"/>
        </w:rPr>
        <w:fldChar w:fldCharType="separate"/>
      </w:r>
      <w:r w:rsidR="00115AC9" w:rsidRPr="00F71B40">
        <w:rPr>
          <w:rFonts w:cs="Times New Roman"/>
          <w:lang w:val="en-AU"/>
        </w:rPr>
        <w:t>(</w:t>
      </w:r>
      <w:hyperlink w:anchor="_ENREF_61" w:tooltip="Fukuyama, 2008 #4281" w:history="1">
        <w:r w:rsidR="00CC56DB" w:rsidRPr="00F71B40">
          <w:rPr>
            <w:rFonts w:cs="Times New Roman"/>
            <w:lang w:val="en-AU"/>
          </w:rPr>
          <w:t>Fukuyama, 2008</w:t>
        </w:r>
      </w:hyperlink>
      <w:r w:rsidR="00115AC9" w:rsidRPr="00F71B40">
        <w:rPr>
          <w:rFonts w:cs="Times New Roman"/>
          <w:lang w:val="en-AU"/>
        </w:rPr>
        <w:t>)</w:t>
      </w:r>
      <w:r w:rsidR="00115AC9" w:rsidRPr="00F71B40">
        <w:rPr>
          <w:rFonts w:cs="Times New Roman"/>
          <w:lang w:val="en-AU"/>
        </w:rPr>
        <w:fldChar w:fldCharType="end"/>
      </w:r>
      <w:r w:rsidRPr="00F71B40">
        <w:rPr>
          <w:rFonts w:cs="Times New Roman"/>
          <w:lang w:val="en-AU"/>
        </w:rPr>
        <w:t xml:space="preserve">.  The bottom line is that while the exact form of shared sovereignty is unclear </w:t>
      </w:r>
      <w:r w:rsidR="00115AC9" w:rsidRPr="00F71B40">
        <w:rPr>
          <w:rFonts w:cs="Times New Roman"/>
          <w:lang w:val="en-AU"/>
        </w:rPr>
        <w:fldChar w:fldCharType="begin">
          <w:fldData xml:space="preserve">PEVuZE5vdGU+PENpdGU+PEF1dGhvcj5MYWtlPC9BdXRob3I+PFllYXI+MjAxNDwvWWVhcj48UmVj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</w:fldData>
        </w:fldChar>
      </w:r>
      <w:r w:rsidR="00115AC9" w:rsidRPr="00F71B40">
        <w:rPr>
          <w:rFonts w:cs="Times New Roman"/>
          <w:lang w:val="en-AU"/>
        </w:rPr>
        <w:instrText xml:space="preserve"> ADDIN EN.CITE </w:instrText>
      </w:r>
      <w:r w:rsidR="00115AC9" w:rsidRPr="00F71B40">
        <w:rPr>
          <w:rFonts w:cs="Times New Roman"/>
          <w:lang w:val="en-AU"/>
        </w:rPr>
        <w:fldChar w:fldCharType="begin">
          <w:fldData xml:space="preserve">PEVuZE5vdGU+PENpdGU+PEF1dGhvcj5MYWtlPC9BdXRob3I+PFllYXI+MjAxNDwvWWVhcj48UmVj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</w:fldData>
        </w:fldChar>
      </w:r>
      <w:r w:rsidR="00115AC9" w:rsidRPr="00F71B40">
        <w:rPr>
          <w:rFonts w:cs="Times New Roman"/>
          <w:lang w:val="en-AU"/>
        </w:rPr>
        <w:instrText xml:space="preserve"> ADDIN EN.CITE.DATA </w:instrText>
      </w:r>
      <w:r w:rsidR="00115AC9" w:rsidRPr="00F71B40">
        <w:rPr>
          <w:rFonts w:cs="Times New Roman"/>
          <w:lang w:val="en-AU"/>
        </w:rPr>
      </w:r>
      <w:r w:rsidR="00115AC9" w:rsidRPr="00F71B40">
        <w:rPr>
          <w:rFonts w:cs="Times New Roman"/>
          <w:lang w:val="en-AU"/>
        </w:rPr>
        <w:fldChar w:fldCharType="end"/>
      </w:r>
      <w:r w:rsidR="00115AC9" w:rsidRPr="00F71B40">
        <w:rPr>
          <w:rFonts w:cs="Times New Roman"/>
          <w:lang w:val="en-AU"/>
        </w:rPr>
      </w:r>
      <w:r w:rsidR="00115AC9" w:rsidRPr="00F71B40">
        <w:rPr>
          <w:rFonts w:cs="Times New Roman"/>
          <w:lang w:val="en-AU"/>
        </w:rPr>
        <w:fldChar w:fldCharType="separate"/>
      </w:r>
      <w:r w:rsidR="00115AC9" w:rsidRPr="00F71B40">
        <w:rPr>
          <w:rFonts w:cs="Times New Roman"/>
          <w:lang w:val="en-AU"/>
        </w:rPr>
        <w:t>(</w:t>
      </w:r>
      <w:hyperlink w:anchor="_ENREF_23" w:tooltip="Beisheim, 2014 #4295" w:history="1">
        <w:r w:rsidR="00CC56DB" w:rsidRPr="00F71B40">
          <w:rPr>
            <w:rFonts w:cs="Times New Roman"/>
            <w:lang w:val="en-AU"/>
          </w:rPr>
          <w:t>Beisheim, Liese, Janetschek, &amp; Sarre, 2014</w:t>
        </w:r>
      </w:hyperlink>
      <w:r w:rsidR="00115AC9" w:rsidRPr="00F71B40">
        <w:rPr>
          <w:rFonts w:cs="Times New Roman"/>
          <w:lang w:val="en-AU"/>
        </w:rPr>
        <w:t xml:space="preserve">; </w:t>
      </w:r>
      <w:hyperlink w:anchor="_ENREF_89" w:tooltip="Krasner, 2014 #4294" w:history="1">
        <w:r w:rsidR="00CC56DB" w:rsidRPr="00F71B40">
          <w:rPr>
            <w:rFonts w:cs="Times New Roman"/>
            <w:lang w:val="en-AU"/>
          </w:rPr>
          <w:t>Krasner &amp; Risse, 2014</w:t>
        </w:r>
      </w:hyperlink>
      <w:r w:rsidR="00115AC9" w:rsidRPr="00F71B40">
        <w:rPr>
          <w:rFonts w:cs="Times New Roman"/>
          <w:lang w:val="en-AU"/>
        </w:rPr>
        <w:t xml:space="preserve">; </w:t>
      </w:r>
      <w:hyperlink w:anchor="_ENREF_90" w:tooltip="Lake, 2014 #4296" w:history="1">
        <w:r w:rsidR="00CC56DB" w:rsidRPr="00F71B40">
          <w:rPr>
            <w:rFonts w:cs="Times New Roman"/>
            <w:lang w:val="en-AU"/>
          </w:rPr>
          <w:t>Lake &amp; Fariss, 2014</w:t>
        </w:r>
      </w:hyperlink>
      <w:r w:rsidR="00115AC9" w:rsidRPr="00F71B40">
        <w:rPr>
          <w:rFonts w:cs="Times New Roman"/>
          <w:lang w:val="en-AU"/>
        </w:rPr>
        <w:t>)</w:t>
      </w:r>
      <w:r w:rsidR="00115AC9" w:rsidRPr="00F71B40">
        <w:rPr>
          <w:rFonts w:cs="Times New Roman"/>
          <w:lang w:val="en-AU"/>
        </w:rPr>
        <w:fldChar w:fldCharType="end"/>
      </w:r>
      <w:r w:rsidRPr="00F71B40">
        <w:rPr>
          <w:rFonts w:cs="Times New Roman"/>
          <w:lang w:val="en-AU"/>
        </w:rPr>
        <w:t>, it is an inevitability in the Solomon Islands</w:t>
      </w:r>
    </w:p>
    <w:p w:rsidR="0008314E" w:rsidRPr="00F71B40" w:rsidRDefault="0008314E" w:rsidP="00D62A32">
      <w:pPr>
        <w:pStyle w:val="ListParagraph"/>
        <w:ind w:left="0"/>
        <w:contextualSpacing w:val="0"/>
        <w:rPr>
          <w:lang w:val="en-AU"/>
        </w:rPr>
      </w:pPr>
    </w:p>
    <w:p w:rsidR="0008314E" w:rsidRPr="00F71B40" w:rsidRDefault="0008314E" w:rsidP="00D62A32">
      <w:pPr>
        <w:rPr>
          <w:i/>
          <w:lang w:val="en-AU"/>
        </w:rPr>
      </w:pPr>
      <w:r w:rsidRPr="00F71B40">
        <w:rPr>
          <w:lang w:val="en-AU"/>
        </w:rPr>
        <w:t xml:space="preserve">Consistent with these views, respondents assured the review team that capacity remains sufficiently limited to mean that if the </w:t>
      </w:r>
      <w:r w:rsidRPr="00F71B40">
        <w:rPr>
          <w:rFonts w:cs="Times New Roman"/>
          <w:lang w:val="en-AU"/>
        </w:rPr>
        <w:t xml:space="preserve">technical advice and guidance, and temporary capacity enhancement through external advisors, were removed then the probity and effectiveness of some core functions – primarily in </w:t>
      </w:r>
      <w:r w:rsidR="00C62B7E">
        <w:rPr>
          <w:rFonts w:cs="Times New Roman"/>
          <w:lang w:val="en-AU"/>
        </w:rPr>
        <w:t xml:space="preserve">economic and </w:t>
      </w:r>
      <w:r w:rsidRPr="00F71B40">
        <w:rPr>
          <w:rFonts w:cs="Times New Roman"/>
          <w:lang w:val="en-AU"/>
        </w:rPr>
        <w:t>financial management – would be at risk.  The principal risk areas which respondents pointed to were:</w:t>
      </w:r>
    </w:p>
    <w:p w:rsidR="0008314E" w:rsidRPr="00F71B40" w:rsidRDefault="0008314E" w:rsidP="004D15F8">
      <w:pPr>
        <w:pStyle w:val="ListParagraph"/>
        <w:numPr>
          <w:ilvl w:val="0"/>
          <w:numId w:val="14"/>
        </w:numPr>
        <w:contextualSpacing w:val="0"/>
        <w:rPr>
          <w:lang w:val="en-AU"/>
        </w:rPr>
      </w:pPr>
      <w:r w:rsidRPr="00F71B40">
        <w:rPr>
          <w:b/>
          <w:lang w:val="en-AU"/>
        </w:rPr>
        <w:t xml:space="preserve">Fiduciary risk to SIG funds. </w:t>
      </w:r>
      <w:r w:rsidRPr="00F71B40">
        <w:rPr>
          <w:lang w:val="en-AU"/>
        </w:rPr>
        <w:t xml:space="preserve"> Fiduciary risks could include significant political distortion of spending patterns, even if short of outright theft.</w:t>
      </w:r>
    </w:p>
    <w:p w:rsidR="00C62B7E" w:rsidRPr="006A70A3" w:rsidRDefault="00C62B7E" w:rsidP="00C62B7E">
      <w:pPr>
        <w:pStyle w:val="ListParagraph"/>
        <w:numPr>
          <w:ilvl w:val="0"/>
          <w:numId w:val="14"/>
        </w:numPr>
        <w:contextualSpacing w:val="0"/>
        <w:rPr>
          <w:lang w:val="en-AU"/>
        </w:rPr>
      </w:pPr>
      <w:r>
        <w:rPr>
          <w:b/>
          <w:lang w:val="en-AU"/>
        </w:rPr>
        <w:t>Risk of economic instability.</w:t>
      </w:r>
      <w:r>
        <w:rPr>
          <w:lang w:val="en-AU"/>
        </w:rPr>
        <w:t xml:space="preserve">  </w:t>
      </w:r>
      <w:r w:rsidRPr="00C62B7E">
        <w:rPr>
          <w:lang w:val="en-AU"/>
        </w:rPr>
        <w:t xml:space="preserve">Macroeconomic stabilization is related to the </w:t>
      </w:r>
      <w:r w:rsidR="001C0C3B">
        <w:rPr>
          <w:lang w:val="en-AU"/>
        </w:rPr>
        <w:t xml:space="preserve">present </w:t>
      </w:r>
      <w:r w:rsidRPr="00C62B7E">
        <w:rPr>
          <w:lang w:val="en-AU"/>
        </w:rPr>
        <w:t>cohort of advisers placed within the Ministry of Finance advising on and monitoring the debt/GDP ratio and providing both strategic and technical assistance in maintaining government revenue through operational improvements and supporting the close management of concessions.</w:t>
      </w:r>
      <w:r w:rsidR="00BC19B4">
        <w:rPr>
          <w:rStyle w:val="FootnoteReference"/>
          <w:lang w:val="en-AU"/>
        </w:rPr>
        <w:footnoteReference w:id="17"/>
      </w:r>
    </w:p>
    <w:p w:rsidR="0008314E" w:rsidRPr="00F71B40" w:rsidRDefault="0008314E" w:rsidP="004D15F8">
      <w:pPr>
        <w:pStyle w:val="ListParagraph"/>
        <w:numPr>
          <w:ilvl w:val="0"/>
          <w:numId w:val="14"/>
        </w:numPr>
        <w:contextualSpacing w:val="0"/>
        <w:rPr>
          <w:lang w:val="en-AU"/>
        </w:rPr>
      </w:pPr>
      <w:r w:rsidRPr="00F71B40">
        <w:rPr>
          <w:b/>
          <w:lang w:val="en-AU"/>
        </w:rPr>
        <w:t>Risk of undermining significant institutional gains that have been made.</w:t>
      </w:r>
      <w:r w:rsidRPr="00F71B40">
        <w:rPr>
          <w:lang w:val="en-AU"/>
        </w:rPr>
        <w:t xml:space="preserve">  Respondents frequently cited concerns that the “basics” which have been put in place might be undermined.  Those basics were not specified at any level of detail and respondents were implicitly referring to various assumptions about sequencing in PFM reforms, seemingly with </w:t>
      </w:r>
      <w:r w:rsidRPr="00F71B40">
        <w:rPr>
          <w:rFonts w:cs="Times New Roman"/>
          <w:lang w:val="en-AU"/>
        </w:rPr>
        <w:t>budget planning, output costing, procurement management, budget and funds control, financial and performance reporting, asset management, and internal audit in mind</w:t>
      </w:r>
      <w:r w:rsidRPr="00F71B40">
        <w:rPr>
          <w:lang w:val="en-AU"/>
        </w:rPr>
        <w:t xml:space="preserve"> </w:t>
      </w:r>
      <w:r w:rsidR="0085182B" w:rsidRPr="00F71B40">
        <w:rPr>
          <w:lang w:val="en-AU"/>
        </w:rPr>
        <w:t>(</w:t>
      </w:r>
      <w:r w:rsidR="0085182B" w:rsidRPr="00F71B40">
        <w:rPr>
          <w:lang w:val="en-AU"/>
        </w:rPr>
        <w:fldChar w:fldCharType="begin"/>
      </w:r>
      <w:r w:rsidR="0085182B" w:rsidRPr="00F71B40">
        <w:rPr>
          <w:lang w:val="en-AU"/>
        </w:rPr>
        <w:instrText xml:space="preserve"> REF _Ref399342348 \h </w:instrText>
      </w:r>
      <w:r w:rsidR="0085182B" w:rsidRPr="00F71B40">
        <w:rPr>
          <w:lang w:val="en-AU"/>
        </w:rPr>
      </w:r>
      <w:r w:rsidR="0085182B" w:rsidRPr="00F71B40">
        <w:rPr>
          <w:lang w:val="en-AU"/>
        </w:rPr>
        <w:fldChar w:fldCharType="separate"/>
      </w:r>
      <w:r w:rsidR="00EF43BE" w:rsidRPr="00F71B40">
        <w:rPr>
          <w:lang w:val="en-AU"/>
        </w:rPr>
        <w:t xml:space="preserve">Box </w:t>
      </w:r>
      <w:r w:rsidR="00EF43BE">
        <w:rPr>
          <w:noProof/>
          <w:lang w:val="en-AU"/>
        </w:rPr>
        <w:t>6</w:t>
      </w:r>
      <w:r w:rsidR="0085182B" w:rsidRPr="00F71B40">
        <w:rPr>
          <w:lang w:val="en-AU"/>
        </w:rPr>
        <w:fldChar w:fldCharType="end"/>
      </w:r>
      <w:r w:rsidR="0085182B" w:rsidRPr="00F71B40">
        <w:rPr>
          <w:lang w:val="en-AU"/>
        </w:rPr>
        <w:t>)</w:t>
      </w:r>
      <w:r w:rsidR="006544DC">
        <w:rPr>
          <w:lang w:val="en-AU"/>
        </w:rPr>
        <w:t>.</w:t>
      </w:r>
      <w:r w:rsidR="006544DC">
        <w:rPr>
          <w:rStyle w:val="FootnoteReference"/>
          <w:lang w:val="en-AU"/>
        </w:rPr>
        <w:footnoteReference w:id="18"/>
      </w:r>
      <w:r w:rsidRPr="00F71B40">
        <w:rPr>
          <w:lang w:val="en-AU"/>
        </w:rPr>
        <w:t xml:space="preserve">  </w:t>
      </w:r>
    </w:p>
    <w:p w:rsidR="0008314E" w:rsidRPr="00F71B40" w:rsidRDefault="0008314E" w:rsidP="004D15F8">
      <w:pPr>
        <w:pStyle w:val="ListParagraph"/>
        <w:numPr>
          <w:ilvl w:val="0"/>
          <w:numId w:val="14"/>
        </w:numPr>
        <w:contextualSpacing w:val="0"/>
        <w:rPr>
          <w:lang w:val="en-AU"/>
        </w:rPr>
      </w:pPr>
      <w:r w:rsidRPr="00F71B40">
        <w:rPr>
          <w:b/>
          <w:lang w:val="en-AU"/>
        </w:rPr>
        <w:t>Reputational risk to Australia</w:t>
      </w:r>
      <w:r w:rsidRPr="00F71B40">
        <w:rPr>
          <w:lang w:val="en-AU"/>
        </w:rPr>
        <w:t>.</w:t>
      </w:r>
      <w:r w:rsidR="00E256D6">
        <w:rPr>
          <w:lang w:val="en-AU"/>
        </w:rPr>
        <w:t xml:space="preserve">  </w:t>
      </w:r>
      <w:r w:rsidRPr="00F71B40">
        <w:rPr>
          <w:lang w:val="en-AU"/>
        </w:rPr>
        <w:t xml:space="preserve">This risk follows from </w:t>
      </w:r>
      <w:r w:rsidR="001C0C3B">
        <w:rPr>
          <w:lang w:val="en-AU"/>
        </w:rPr>
        <w:t>any</w:t>
      </w:r>
      <w:r w:rsidR="001C0C3B" w:rsidRPr="00F71B40">
        <w:rPr>
          <w:lang w:val="en-AU"/>
        </w:rPr>
        <w:t xml:space="preserve"> </w:t>
      </w:r>
      <w:r w:rsidRPr="00F71B40">
        <w:rPr>
          <w:lang w:val="en-AU"/>
        </w:rPr>
        <w:t xml:space="preserve">of the risks above. The fiduciary risk to SIG funds would often be seen as a risk to Australian funds.  In theory fungibility makes this a </w:t>
      </w:r>
      <w:r w:rsidRPr="00F71B40">
        <w:rPr>
          <w:lang w:val="en-AU"/>
        </w:rPr>
        <w:lastRenderedPageBreak/>
        <w:t xml:space="preserve">poor argument – but in practice, there are undoubtedly significant reputational problems for Australia if funds are stolen which could be </w:t>
      </w:r>
      <w:r w:rsidR="0085182B" w:rsidRPr="00F71B40">
        <w:rPr>
          <w:lang w:val="en-AU"/>
        </w:rPr>
        <w:t>seen as</w:t>
      </w:r>
      <w:r w:rsidRPr="00F71B40">
        <w:rPr>
          <w:lang w:val="en-AU"/>
        </w:rPr>
        <w:t xml:space="preserve"> Australian </w:t>
      </w:r>
      <w:r w:rsidR="0085182B" w:rsidRPr="00F71B40">
        <w:rPr>
          <w:lang w:val="en-AU"/>
        </w:rPr>
        <w:t>dollars</w:t>
      </w:r>
      <w:r w:rsidRPr="00F71B40">
        <w:rPr>
          <w:lang w:val="en-AU"/>
        </w:rPr>
        <w:t>.</w:t>
      </w:r>
    </w:p>
    <w:p w:rsidR="0085182B" w:rsidRPr="00F71B40" w:rsidRDefault="0085182B" w:rsidP="00D62A32">
      <w:pPr>
        <w:pStyle w:val="ListParagraph"/>
        <w:ind w:left="0"/>
        <w:contextualSpacing w:val="0"/>
        <w:rPr>
          <w:lang w:val="en-AU"/>
        </w:rPr>
      </w:pPr>
    </w:p>
    <w:tbl>
      <w:tblPr>
        <w:tblStyle w:val="TableGrid"/>
        <w:tblW w:w="0" w:type="auto"/>
        <w:tblLook w:val="04A0" w:firstRow="1" w:lastRow="0" w:firstColumn="1" w:lastColumn="0" w:noHBand="0" w:noVBand="1"/>
      </w:tblPr>
      <w:tblGrid>
        <w:gridCol w:w="9576"/>
      </w:tblGrid>
      <w:tr w:rsidR="0085182B" w:rsidRPr="00F71B40" w:rsidTr="0085182B">
        <w:tc>
          <w:tcPr>
            <w:tcW w:w="9576" w:type="dxa"/>
          </w:tcPr>
          <w:p w:rsidR="0085182B" w:rsidRPr="00F71B40" w:rsidRDefault="0085182B" w:rsidP="00451F4A">
            <w:pPr>
              <w:pStyle w:val="Caption"/>
              <w:keepNext/>
              <w:keepLines/>
              <w:rPr>
                <w:lang w:val="en-AU"/>
              </w:rPr>
            </w:pPr>
            <w:bookmarkStart w:id="75" w:name="_Ref399342348"/>
            <w:bookmarkStart w:id="76" w:name="_Toc401761834"/>
            <w:r w:rsidRPr="00F71B40">
              <w:rPr>
                <w:lang w:val="en-AU"/>
              </w:rPr>
              <w:t xml:space="preserve">Box </w:t>
            </w:r>
            <w:r w:rsidR="00361D8F" w:rsidRPr="00F71B40">
              <w:rPr>
                <w:lang w:val="en-AU"/>
              </w:rPr>
              <w:fldChar w:fldCharType="begin"/>
            </w:r>
            <w:r w:rsidR="00361D8F" w:rsidRPr="00F71B40">
              <w:rPr>
                <w:lang w:val="en-AU"/>
              </w:rPr>
              <w:instrText xml:space="preserve"> SEQ Box \* ARABIC </w:instrText>
            </w:r>
            <w:r w:rsidR="00361D8F" w:rsidRPr="00F71B40">
              <w:rPr>
                <w:lang w:val="en-AU"/>
              </w:rPr>
              <w:fldChar w:fldCharType="separate"/>
            </w:r>
            <w:r w:rsidR="00EF43BE">
              <w:rPr>
                <w:noProof/>
                <w:lang w:val="en-AU"/>
              </w:rPr>
              <w:t>6</w:t>
            </w:r>
            <w:r w:rsidR="00361D8F" w:rsidRPr="00F71B40">
              <w:rPr>
                <w:lang w:val="en-AU"/>
              </w:rPr>
              <w:fldChar w:fldCharType="end"/>
            </w:r>
            <w:bookmarkEnd w:id="75"/>
            <w:r w:rsidRPr="00F71B40">
              <w:rPr>
                <w:lang w:val="en-AU"/>
              </w:rPr>
              <w:t xml:space="preserve">: Sequencing </w:t>
            </w:r>
            <w:r w:rsidR="006544DC">
              <w:rPr>
                <w:lang w:val="en-AU"/>
              </w:rPr>
              <w:t xml:space="preserve">public sector management </w:t>
            </w:r>
            <w:r w:rsidRPr="00F71B40">
              <w:rPr>
                <w:lang w:val="en-AU"/>
              </w:rPr>
              <w:t>reforms</w:t>
            </w:r>
            <w:bookmarkEnd w:id="76"/>
          </w:p>
          <w:p w:rsidR="0085182B" w:rsidRPr="00F71B40" w:rsidRDefault="0085182B" w:rsidP="00451F4A">
            <w:pPr>
              <w:keepNext/>
              <w:keepLines/>
              <w:rPr>
                <w:rFonts w:cs="Times New Roman"/>
                <w:sz w:val="20"/>
                <w:szCs w:val="20"/>
                <w:lang w:val="en-AU"/>
              </w:rPr>
            </w:pPr>
          </w:p>
          <w:p w:rsidR="0085182B" w:rsidRPr="00F71B40" w:rsidRDefault="0085182B" w:rsidP="00451F4A">
            <w:pPr>
              <w:pStyle w:val="Default"/>
              <w:keepNext/>
              <w:keepLines/>
              <w:rPr>
                <w:rFonts w:ascii="Times New Roman" w:hAnsi="Times New Roman" w:cs="Times New Roman"/>
                <w:sz w:val="20"/>
                <w:szCs w:val="20"/>
                <w:lang w:val="en-AU"/>
              </w:rPr>
            </w:pPr>
            <w:r w:rsidRPr="00F71B40">
              <w:rPr>
                <w:rFonts w:ascii="Times New Roman" w:hAnsi="Times New Roman" w:cs="Times New Roman"/>
                <w:sz w:val="20"/>
                <w:szCs w:val="20"/>
                <w:lang w:val="en-AU"/>
              </w:rPr>
              <w:t xml:space="preserve">Most sequencing arguments are based around the premise that some basic disciplines (typically around managing financial and public financial management inputs) should be entrenched prior to elaborate arrangements for measuring and managing outputs/performance.  This case was most prominently articulated in </w:t>
            </w:r>
            <w:r w:rsidR="00115AC9" w:rsidRPr="00F71B40">
              <w:rPr>
                <w:rFonts w:ascii="Times New Roman" w:hAnsi="Times New Roman" w:cs="Times New Roman"/>
                <w:sz w:val="20"/>
                <w:szCs w:val="20"/>
                <w:lang w:val="en-AU"/>
              </w:rPr>
              <w:fldChar w:fldCharType="begin"/>
            </w:r>
            <w:r w:rsidR="00115AC9" w:rsidRPr="00F71B40">
              <w:rPr>
                <w:rFonts w:ascii="Times New Roman" w:hAnsi="Times New Roman" w:cs="Times New Roman"/>
                <w:sz w:val="20"/>
                <w:szCs w:val="20"/>
                <w:lang w:val="en-AU"/>
              </w:rPr>
              <w:instrText xml:space="preserve"> ADDIN EN.CITE &lt;EndNote&gt;&lt;Cite&gt;&lt;Author&gt;Schick&lt;/Author&gt;&lt;Year&gt;1998&lt;/Year&gt;&lt;RecNum&gt;1&lt;/RecNum&gt;&lt;DisplayText&gt;(Schick, 1998)&lt;/DisplayText&gt;&lt;record&gt;&lt;rec-number&gt;1&lt;/rec-number&gt;&lt;foreign-keys&gt;&lt;key app="EN" db-id="5v9z5rrdszvwsneef06v9dapsd0apdtfapdx" timestamp="0"&gt;1&lt;/key&gt;&lt;/foreign-keys&gt;&lt;ref-type name="Journal Article"&gt;17&lt;/ref-type&gt;&lt;contributors&gt;&lt;authors&gt;&lt;author&gt;Schick, Allen&lt;/author&gt;&lt;/authors&gt;&lt;/contributors&gt;&lt;titles&gt;&lt;title&gt;Why most developing countries should not try New Zealand&amp;apos;s reforms&lt;/title&gt;&lt;secondary-title&gt;World Bank Research Observer (International)&lt;/secondary-title&gt;&lt;/titles&gt;&lt;pages&gt;23-31&lt;/pages&gt;&lt;volume&gt;13&lt;/volume&gt;&lt;keywords&gt;&lt;keyword&gt;NPM, managerialism, contracts&lt;/keyword&gt;&lt;/keywords&gt;&lt;dates&gt;&lt;year&gt;1998&lt;/year&gt;&lt;/dates&gt;&lt;urls&gt;&lt;/urls&gt;&lt;/record&gt;&lt;/Cite&gt;&lt;/EndNote&gt;</w:instrText>
            </w:r>
            <w:r w:rsidR="00115AC9" w:rsidRPr="00F71B40">
              <w:rPr>
                <w:rFonts w:ascii="Times New Roman" w:hAnsi="Times New Roman" w:cs="Times New Roman"/>
                <w:sz w:val="20"/>
                <w:szCs w:val="20"/>
                <w:lang w:val="en-AU"/>
              </w:rPr>
              <w:fldChar w:fldCharType="separate"/>
            </w:r>
            <w:r w:rsidR="00115AC9" w:rsidRPr="00F71B40">
              <w:rPr>
                <w:rFonts w:ascii="Times New Roman" w:hAnsi="Times New Roman" w:cs="Times New Roman"/>
                <w:sz w:val="20"/>
                <w:szCs w:val="20"/>
                <w:lang w:val="en-AU"/>
              </w:rPr>
              <w:t>(</w:t>
            </w:r>
            <w:hyperlink w:anchor="_ENREF_131" w:tooltip="Schick, 1998 #1" w:history="1">
              <w:r w:rsidR="00CC56DB" w:rsidRPr="00F71B40">
                <w:rPr>
                  <w:rFonts w:ascii="Times New Roman" w:hAnsi="Times New Roman" w:cs="Times New Roman"/>
                  <w:sz w:val="20"/>
                  <w:szCs w:val="20"/>
                  <w:lang w:val="en-AU"/>
                </w:rPr>
                <w:t>Schick, 1998</w:t>
              </w:r>
            </w:hyperlink>
            <w:r w:rsidR="00115AC9" w:rsidRPr="00F71B40">
              <w:rPr>
                <w:rFonts w:ascii="Times New Roman" w:hAnsi="Times New Roman" w:cs="Times New Roman"/>
                <w:sz w:val="20"/>
                <w:szCs w:val="20"/>
                <w:lang w:val="en-AU"/>
              </w:rPr>
              <w:t>)</w:t>
            </w:r>
            <w:r w:rsidR="00115AC9" w:rsidRPr="00F71B40">
              <w:rPr>
                <w:rFonts w:ascii="Times New Roman" w:hAnsi="Times New Roman" w:cs="Times New Roman"/>
                <w:sz w:val="20"/>
                <w:szCs w:val="20"/>
                <w:lang w:val="en-AU"/>
              </w:rPr>
              <w:fldChar w:fldCharType="end"/>
            </w:r>
            <w:r w:rsidRPr="00F71B40">
              <w:rPr>
                <w:rFonts w:ascii="Times New Roman" w:hAnsi="Times New Roman" w:cs="Times New Roman"/>
                <w:sz w:val="20"/>
                <w:szCs w:val="20"/>
                <w:lang w:val="en-AU"/>
              </w:rPr>
              <w:t xml:space="preserve"> and Schick’s associated mantra of “look before you leapfrog”.  This was followed by the World Bank’s Public Expenditure Management Handbook </w:t>
            </w:r>
            <w:r w:rsidR="00115AC9" w:rsidRPr="00F71B40">
              <w:rPr>
                <w:rFonts w:ascii="Times New Roman" w:hAnsi="Times New Roman" w:cs="Times New Roman"/>
                <w:sz w:val="20"/>
                <w:szCs w:val="20"/>
                <w:lang w:val="en-AU"/>
              </w:rPr>
              <w:fldChar w:fldCharType="begin"/>
            </w:r>
            <w:r w:rsidR="00115AC9" w:rsidRPr="00F71B40">
              <w:rPr>
                <w:rFonts w:ascii="Times New Roman" w:hAnsi="Times New Roman" w:cs="Times New Roman"/>
                <w:sz w:val="20"/>
                <w:szCs w:val="20"/>
                <w:lang w:val="en-AU"/>
              </w:rPr>
              <w:instrText xml:space="preserve"> ADDIN EN.CITE &lt;EndNote&gt;&lt;Cite&gt;&lt;Author&gt;World Bank&lt;/Author&gt;&lt;Year&gt;1998&lt;/Year&gt;&lt;RecNum&gt;58&lt;/RecNum&gt;&lt;DisplayText&gt;(World Bank, 1998)&lt;/DisplayText&gt;&lt;record&gt;&lt;rec-number&gt;58&lt;/rec-number&gt;&lt;foreign-keys&gt;&lt;key app="EN" db-id="5v9z5rrdszvwsneef06v9dapsd0apdtfapdx" timestamp="0"&gt;58&lt;/key&gt;&lt;/foreign-keys&gt;&lt;ref-type name="Book"&gt;6&lt;/ref-type&gt;&lt;contributors&gt;&lt;authors&gt;&lt;author&gt;World Bank,&lt;/author&gt;&lt;/authors&gt;&lt;/contributors&gt;&lt;titles&gt;&lt;title&gt;Public expenditure management handbook&lt;/title&gt;&lt;/titles&gt;&lt;dates&gt;&lt;year&gt;1998&lt;/year&gt;&lt;/dates&gt;&lt;pub-location&gt;Washington DC&lt;/pub-location&gt;&lt;publisher&gt;World Bank&lt;/publisher&gt;&lt;urls&gt;&lt;/urls&gt;&lt;/record&gt;&lt;/Cite&gt;&lt;/EndNote&gt;</w:instrText>
            </w:r>
            <w:r w:rsidR="00115AC9" w:rsidRPr="00F71B40">
              <w:rPr>
                <w:rFonts w:ascii="Times New Roman" w:hAnsi="Times New Roman" w:cs="Times New Roman"/>
                <w:sz w:val="20"/>
                <w:szCs w:val="20"/>
                <w:lang w:val="en-AU"/>
              </w:rPr>
              <w:fldChar w:fldCharType="separate"/>
            </w:r>
            <w:r w:rsidR="00115AC9" w:rsidRPr="00F71B40">
              <w:rPr>
                <w:rFonts w:ascii="Times New Roman" w:hAnsi="Times New Roman" w:cs="Times New Roman"/>
                <w:sz w:val="20"/>
                <w:szCs w:val="20"/>
                <w:lang w:val="en-AU"/>
              </w:rPr>
              <w:t>(</w:t>
            </w:r>
            <w:hyperlink w:anchor="_ENREF_147" w:tooltip="World Bank, 1998 #58" w:history="1">
              <w:r w:rsidR="00CC56DB" w:rsidRPr="00F71B40">
                <w:rPr>
                  <w:rFonts w:ascii="Times New Roman" w:hAnsi="Times New Roman" w:cs="Times New Roman"/>
                  <w:sz w:val="20"/>
                  <w:szCs w:val="20"/>
                  <w:lang w:val="en-AU"/>
                </w:rPr>
                <w:t>World Bank, 1998</w:t>
              </w:r>
            </w:hyperlink>
            <w:r w:rsidR="00115AC9" w:rsidRPr="00F71B40">
              <w:rPr>
                <w:rFonts w:ascii="Times New Roman" w:hAnsi="Times New Roman" w:cs="Times New Roman"/>
                <w:sz w:val="20"/>
                <w:szCs w:val="20"/>
                <w:lang w:val="en-AU"/>
              </w:rPr>
              <w:t>)</w:t>
            </w:r>
            <w:r w:rsidR="00115AC9" w:rsidRPr="00F71B40">
              <w:rPr>
                <w:rFonts w:ascii="Times New Roman" w:hAnsi="Times New Roman" w:cs="Times New Roman"/>
                <w:sz w:val="20"/>
                <w:szCs w:val="20"/>
                <w:lang w:val="en-AU"/>
              </w:rPr>
              <w:fldChar w:fldCharType="end"/>
            </w:r>
            <w:r w:rsidRPr="00F71B40">
              <w:rPr>
                <w:rFonts w:ascii="Times New Roman" w:hAnsi="Times New Roman" w:cs="Times New Roman"/>
                <w:sz w:val="20"/>
                <w:szCs w:val="20"/>
                <w:lang w:val="en-AU"/>
              </w:rPr>
              <w:t xml:space="preserve"> which stressed the importance of getting the basics right first: </w:t>
            </w:r>
          </w:p>
          <w:p w:rsidR="0085182B" w:rsidRPr="00F71B40" w:rsidRDefault="0085182B" w:rsidP="00451F4A">
            <w:pPr>
              <w:pStyle w:val="Default"/>
              <w:keepNext/>
              <w:keepLines/>
              <w:numPr>
                <w:ilvl w:val="0"/>
                <w:numId w:val="4"/>
              </w:numPr>
              <w:rPr>
                <w:rFonts w:ascii="Times New Roman" w:hAnsi="Times New Roman" w:cs="Times New Roman"/>
                <w:sz w:val="20"/>
                <w:szCs w:val="20"/>
                <w:lang w:val="en-AU"/>
              </w:rPr>
            </w:pPr>
            <w:r w:rsidRPr="00F71B40">
              <w:rPr>
                <w:rFonts w:ascii="Times New Roman" w:hAnsi="Times New Roman" w:cs="Times New Roman"/>
                <w:sz w:val="20"/>
                <w:szCs w:val="20"/>
                <w:lang w:val="en-AU"/>
              </w:rPr>
              <w:t>Control inputs before seeking to control outputs</w:t>
            </w:r>
          </w:p>
          <w:p w:rsidR="0085182B" w:rsidRPr="00F71B40" w:rsidRDefault="0085182B" w:rsidP="00451F4A">
            <w:pPr>
              <w:pStyle w:val="Default"/>
              <w:keepNext/>
              <w:keepLines/>
              <w:numPr>
                <w:ilvl w:val="0"/>
                <w:numId w:val="4"/>
              </w:numPr>
              <w:rPr>
                <w:rFonts w:ascii="Times New Roman" w:hAnsi="Times New Roman" w:cs="Times New Roman"/>
                <w:sz w:val="20"/>
                <w:szCs w:val="20"/>
                <w:lang w:val="en-AU"/>
              </w:rPr>
            </w:pPr>
            <w:r w:rsidRPr="00F71B40">
              <w:rPr>
                <w:rFonts w:ascii="Times New Roman" w:hAnsi="Times New Roman" w:cs="Times New Roman"/>
                <w:sz w:val="20"/>
                <w:szCs w:val="20"/>
                <w:lang w:val="en-AU"/>
              </w:rPr>
              <w:t>Account for cash before moving to accrual accounting</w:t>
            </w:r>
          </w:p>
          <w:p w:rsidR="0085182B" w:rsidRPr="00F71B40" w:rsidRDefault="0085182B" w:rsidP="00451F4A">
            <w:pPr>
              <w:pStyle w:val="Default"/>
              <w:keepNext/>
              <w:keepLines/>
              <w:numPr>
                <w:ilvl w:val="0"/>
                <w:numId w:val="4"/>
              </w:numPr>
              <w:rPr>
                <w:rFonts w:ascii="Times New Roman" w:hAnsi="Times New Roman" w:cs="Times New Roman"/>
                <w:sz w:val="20"/>
                <w:szCs w:val="20"/>
                <w:lang w:val="en-AU"/>
              </w:rPr>
            </w:pPr>
            <w:r w:rsidRPr="00F71B40">
              <w:rPr>
                <w:rFonts w:ascii="Times New Roman" w:hAnsi="Times New Roman" w:cs="Times New Roman"/>
                <w:sz w:val="20"/>
                <w:szCs w:val="20"/>
                <w:lang w:val="en-AU"/>
              </w:rPr>
              <w:t>Operate a reliable budget for inputs before moving  to budgeting for results</w:t>
            </w:r>
          </w:p>
          <w:p w:rsidR="0085182B" w:rsidRPr="00F71B40" w:rsidRDefault="0085182B" w:rsidP="00451F4A">
            <w:pPr>
              <w:pStyle w:val="Default"/>
              <w:keepNext/>
              <w:keepLines/>
              <w:numPr>
                <w:ilvl w:val="0"/>
                <w:numId w:val="4"/>
              </w:numPr>
              <w:rPr>
                <w:rFonts w:ascii="Times New Roman" w:hAnsi="Times New Roman" w:cs="Times New Roman"/>
                <w:sz w:val="20"/>
                <w:szCs w:val="20"/>
                <w:lang w:val="en-AU"/>
              </w:rPr>
            </w:pPr>
            <w:r w:rsidRPr="00F71B40">
              <w:rPr>
                <w:rFonts w:ascii="Times New Roman" w:hAnsi="Times New Roman" w:cs="Times New Roman"/>
                <w:sz w:val="20"/>
                <w:szCs w:val="20"/>
                <w:lang w:val="en-AU"/>
              </w:rPr>
              <w:t>Make a comprehensive budget and reliable accounting system before trying an integrated financial management system</w:t>
            </w:r>
          </w:p>
          <w:p w:rsidR="0085182B" w:rsidRPr="00F71B40" w:rsidRDefault="0085182B" w:rsidP="00451F4A">
            <w:pPr>
              <w:pStyle w:val="Default"/>
              <w:keepNext/>
              <w:keepLines/>
              <w:numPr>
                <w:ilvl w:val="0"/>
                <w:numId w:val="4"/>
              </w:numPr>
              <w:rPr>
                <w:rFonts w:ascii="Times New Roman" w:hAnsi="Times New Roman" w:cs="Times New Roman"/>
                <w:sz w:val="20"/>
                <w:szCs w:val="20"/>
                <w:lang w:val="en-AU"/>
              </w:rPr>
            </w:pPr>
            <w:r w:rsidRPr="00F71B40">
              <w:rPr>
                <w:rFonts w:ascii="Times New Roman" w:hAnsi="Times New Roman" w:cs="Times New Roman"/>
                <w:sz w:val="20"/>
                <w:szCs w:val="20"/>
                <w:lang w:val="en-AU"/>
              </w:rPr>
              <w:t>Get a proper budgeting and accounting function before strengthening the auditing function</w:t>
            </w:r>
          </w:p>
          <w:p w:rsidR="0085182B" w:rsidRPr="00F71B40" w:rsidRDefault="0085182B" w:rsidP="00451F4A">
            <w:pPr>
              <w:pStyle w:val="Default"/>
              <w:keepNext/>
              <w:keepLines/>
              <w:numPr>
                <w:ilvl w:val="0"/>
                <w:numId w:val="4"/>
              </w:numPr>
              <w:rPr>
                <w:rFonts w:ascii="Times New Roman" w:hAnsi="Times New Roman" w:cs="Times New Roman"/>
                <w:sz w:val="20"/>
                <w:szCs w:val="20"/>
                <w:lang w:val="en-AU"/>
              </w:rPr>
            </w:pPr>
            <w:r w:rsidRPr="00F71B40">
              <w:rPr>
                <w:rFonts w:ascii="Times New Roman" w:hAnsi="Times New Roman" w:cs="Times New Roman"/>
                <w:sz w:val="20"/>
                <w:szCs w:val="20"/>
                <w:lang w:val="en-AU"/>
              </w:rPr>
              <w:t>Do reliable financial auditing before trying performance auditing.</w:t>
            </w:r>
          </w:p>
          <w:p w:rsidR="0085182B" w:rsidRPr="00F71B40" w:rsidRDefault="0085182B" w:rsidP="00451F4A">
            <w:pPr>
              <w:pStyle w:val="Default"/>
              <w:keepNext/>
              <w:keepLines/>
              <w:rPr>
                <w:rFonts w:ascii="Times New Roman" w:hAnsi="Times New Roman" w:cs="Times New Roman"/>
                <w:sz w:val="20"/>
                <w:szCs w:val="20"/>
                <w:lang w:val="en-AU"/>
              </w:rPr>
            </w:pPr>
          </w:p>
          <w:p w:rsidR="0085182B" w:rsidRPr="00F71B40" w:rsidRDefault="0085182B" w:rsidP="00451F4A">
            <w:pPr>
              <w:keepNext/>
              <w:keepLines/>
              <w:rPr>
                <w:rFonts w:cs="Times New Roman"/>
                <w:sz w:val="20"/>
                <w:szCs w:val="20"/>
                <w:lang w:val="en-AU"/>
              </w:rPr>
            </w:pPr>
            <w:r w:rsidRPr="00F71B40">
              <w:rPr>
                <w:rFonts w:cs="Times New Roman"/>
                <w:sz w:val="20"/>
                <w:szCs w:val="20"/>
                <w:lang w:val="en-AU"/>
              </w:rPr>
              <w:t xml:space="preserve">This logic was operationalized most clearly in PFM in the platform approach proposed by </w:t>
            </w:r>
            <w:r w:rsidR="00115AC9" w:rsidRPr="00F71B40">
              <w:rPr>
                <w:rFonts w:cs="Times New Roman"/>
                <w:sz w:val="20"/>
                <w:szCs w:val="20"/>
                <w:lang w:val="en-AU"/>
              </w:rPr>
              <w:fldChar w:fldCharType="begin"/>
            </w:r>
            <w:r w:rsidR="00115AC9" w:rsidRPr="00F71B40">
              <w:rPr>
                <w:rFonts w:cs="Times New Roman"/>
                <w:sz w:val="20"/>
                <w:szCs w:val="20"/>
                <w:lang w:val="en-AU"/>
              </w:rPr>
              <w:instrText xml:space="preserve"> ADDIN EN.CITE &lt;EndNote&gt;&lt;Cite&gt;&lt;Author&gt;Brooke&lt;/Author&gt;&lt;Year&gt;2003&lt;/Year&gt;&lt;RecNum&gt;4227&lt;/RecNum&gt;&lt;DisplayText&gt;(Brooke, 2003)&lt;/DisplayText&gt;&lt;record&gt;&lt;rec-number&gt;4227&lt;/rec-number&gt;&lt;foreign-keys&gt;&lt;key app="EN" db-id="5v9z5rrdszvwsneef06v9dapsd0apdtfapdx" timestamp="1407866923"&gt;4227&lt;/key&gt;&lt;/foreign-keys&gt;&lt;ref-type name="Report"&gt;27&lt;/ref-type&gt;&lt;contributors&gt;&lt;authors&gt;&lt;author&gt;Peter Brooke&lt;/author&gt;&lt;/authors&gt;&lt;/contributors&gt;&lt;titles&gt;&lt;title&gt;Study of Measures used to Address Weaknesses in Public Financial Management Systems in the Context of Policy Based Support&lt;/title&gt;&lt;/titles&gt;&lt;dates&gt;&lt;year&gt;2003&lt;/year&gt;&lt;/dates&gt;&lt;pub-location&gt;Washington DC&lt;/pub-location&gt;&lt;publisher&gt;PEFA&lt;/publisher&gt;&lt;urls&gt;&lt;/urls&gt;&lt;/record&gt;&lt;/Cite&gt;&lt;/EndNote&gt;</w:instrText>
            </w:r>
            <w:r w:rsidR="00115AC9" w:rsidRPr="00F71B40">
              <w:rPr>
                <w:rFonts w:cs="Times New Roman"/>
                <w:sz w:val="20"/>
                <w:szCs w:val="20"/>
                <w:lang w:val="en-AU"/>
              </w:rPr>
              <w:fldChar w:fldCharType="separate"/>
            </w:r>
            <w:r w:rsidR="00115AC9" w:rsidRPr="00F71B40">
              <w:rPr>
                <w:rFonts w:cs="Times New Roman"/>
                <w:sz w:val="20"/>
                <w:szCs w:val="20"/>
                <w:lang w:val="en-AU"/>
              </w:rPr>
              <w:t>(</w:t>
            </w:r>
            <w:hyperlink w:anchor="_ENREF_29" w:tooltip="Brooke, 2003 #4227" w:history="1">
              <w:r w:rsidR="00CC56DB" w:rsidRPr="00F71B40">
                <w:rPr>
                  <w:rFonts w:cs="Times New Roman"/>
                  <w:sz w:val="20"/>
                  <w:szCs w:val="20"/>
                  <w:lang w:val="en-AU"/>
                </w:rPr>
                <w:t>Brooke, 2003</w:t>
              </w:r>
            </w:hyperlink>
            <w:r w:rsidR="00115AC9" w:rsidRPr="00F71B40">
              <w:rPr>
                <w:rFonts w:cs="Times New Roman"/>
                <w:sz w:val="20"/>
                <w:szCs w:val="20"/>
                <w:lang w:val="en-AU"/>
              </w:rPr>
              <w:t>)</w:t>
            </w:r>
            <w:r w:rsidR="00115AC9" w:rsidRPr="00F71B40">
              <w:rPr>
                <w:rFonts w:cs="Times New Roman"/>
                <w:sz w:val="20"/>
                <w:szCs w:val="20"/>
                <w:lang w:val="en-AU"/>
              </w:rPr>
              <w:fldChar w:fldCharType="end"/>
            </w:r>
            <w:r w:rsidRPr="00F71B40">
              <w:rPr>
                <w:rFonts w:cs="Times New Roman"/>
                <w:sz w:val="20"/>
                <w:szCs w:val="20"/>
                <w:lang w:val="en-AU"/>
              </w:rPr>
              <w:t xml:space="preserve"> in the “hurdle approach” to PFM reform in Thailand </w:t>
            </w:r>
            <w:r w:rsidR="00115AC9" w:rsidRPr="00F71B40">
              <w:rPr>
                <w:rFonts w:cs="Times New Roman"/>
                <w:sz w:val="20"/>
                <w:szCs w:val="20"/>
                <w:lang w:val="en-AU"/>
              </w:rPr>
              <w:fldChar w:fldCharType="begin"/>
            </w:r>
            <w:r w:rsidR="00115AC9" w:rsidRPr="00F71B40">
              <w:rPr>
                <w:rFonts w:cs="Times New Roman"/>
                <w:sz w:val="20"/>
                <w:szCs w:val="20"/>
                <w:lang w:val="en-AU"/>
              </w:rPr>
              <w:instrText xml:space="preserve"> ADDIN EN.CITE &lt;EndNote&gt;&lt;Cite&gt;&lt;Author&gt;World Bank&lt;/Author&gt;&lt;Year&gt;2002&lt;/Year&gt;&lt;RecNum&gt;1319&lt;/RecNum&gt;&lt;DisplayText&gt;(World Bank, 2002)&lt;/DisplayText&gt;&lt;record&gt;&lt;rec-number&gt;1319&lt;/rec-number&gt;&lt;foreign-keys&gt;&lt;key app="EN" db-id="5v9z5rrdszvwsneef06v9dapsd0apdtfapdx" timestamp="0"&gt;1319&lt;/key&gt;&lt;/foreign-keys&gt;&lt;ref-type name="Report"&gt;27&lt;/ref-type&gt;&lt;contributors&gt;&lt;authors&gt;&lt;author&gt;World Bank,&lt;/author&gt;&lt;/authors&gt;&lt;/contributors&gt;&lt;titles&gt;&lt;title&gt;Thailand&amp;apos;s hurdle approach to budget reform&lt;/title&gt;&lt;secondary-title&gt;PREM Notes&lt;/secondary-title&gt;&lt;/titles&gt;&lt;number&gt;73&lt;/number&gt;&lt;dates&gt;&lt;year&gt;2002&lt;/year&gt;&lt;pub-dates&gt;&lt;date&gt;August 2002&lt;/date&gt;&lt;/pub-dates&gt;&lt;/dates&gt;&lt;pub-location&gt;Washington DC&lt;/pub-location&gt;&lt;publisher&gt;World Bank&lt;/publisher&gt;&lt;urls&gt;&lt;/urls&gt;&lt;/record&gt;&lt;/Cite&gt;&lt;/EndNote&gt;</w:instrText>
            </w:r>
            <w:r w:rsidR="00115AC9" w:rsidRPr="00F71B40">
              <w:rPr>
                <w:rFonts w:cs="Times New Roman"/>
                <w:sz w:val="20"/>
                <w:szCs w:val="20"/>
                <w:lang w:val="en-AU"/>
              </w:rPr>
              <w:fldChar w:fldCharType="separate"/>
            </w:r>
            <w:r w:rsidR="00115AC9" w:rsidRPr="00F71B40">
              <w:rPr>
                <w:rFonts w:cs="Times New Roman"/>
                <w:sz w:val="20"/>
                <w:szCs w:val="20"/>
                <w:lang w:val="en-AU"/>
              </w:rPr>
              <w:t>(</w:t>
            </w:r>
            <w:hyperlink w:anchor="_ENREF_148" w:tooltip="World Bank, 2002 #1319" w:history="1">
              <w:r w:rsidR="00CC56DB" w:rsidRPr="00F71B40">
                <w:rPr>
                  <w:rFonts w:cs="Times New Roman"/>
                  <w:sz w:val="20"/>
                  <w:szCs w:val="20"/>
                  <w:lang w:val="en-AU"/>
                </w:rPr>
                <w:t>World Bank, 2002</w:t>
              </w:r>
            </w:hyperlink>
            <w:r w:rsidR="00115AC9" w:rsidRPr="00F71B40">
              <w:rPr>
                <w:rFonts w:cs="Times New Roman"/>
                <w:sz w:val="20"/>
                <w:szCs w:val="20"/>
                <w:lang w:val="en-AU"/>
              </w:rPr>
              <w:t>)</w:t>
            </w:r>
            <w:r w:rsidR="00115AC9" w:rsidRPr="00F71B40">
              <w:rPr>
                <w:rFonts w:cs="Times New Roman"/>
                <w:sz w:val="20"/>
                <w:szCs w:val="20"/>
                <w:lang w:val="en-AU"/>
              </w:rPr>
              <w:fldChar w:fldCharType="end"/>
            </w:r>
            <w:r w:rsidRPr="00F71B40">
              <w:rPr>
                <w:rFonts w:cs="Times New Roman"/>
                <w:sz w:val="20"/>
                <w:szCs w:val="20"/>
                <w:lang w:val="en-AU"/>
              </w:rPr>
              <w:t xml:space="preserve"> where competence in a set of internal ministry processes were pre-requisites for enhanced autonomy including budget planning, output costing, procurement management, budget and funds control, financial and performance reporting, asset management, and internal audit.  In relation to PFM, the most recent (and most comprehensive) summary of assumptions concerning what comes first is set out in </w:t>
            </w:r>
            <w:r w:rsidR="00115AC9" w:rsidRPr="00F71B40">
              <w:rPr>
                <w:rFonts w:cs="Times New Roman"/>
                <w:sz w:val="20"/>
                <w:szCs w:val="20"/>
                <w:lang w:val="en-AU"/>
              </w:rPr>
              <w:fldChar w:fldCharType="begin"/>
            </w:r>
            <w:r w:rsidR="00115AC9" w:rsidRPr="00F71B40">
              <w:rPr>
                <w:rFonts w:cs="Times New Roman"/>
                <w:sz w:val="20"/>
                <w:szCs w:val="20"/>
                <w:lang w:val="en-AU"/>
              </w:rPr>
              <w:instrText xml:space="preserve"> ADDIN EN.CITE &lt;EndNote&gt;&lt;Cite&gt;&lt;Author&gt;Diamond&lt;/Author&gt;&lt;Year&gt;2012&lt;/Year&gt;&lt;RecNum&gt;4072&lt;/RecNum&gt;&lt;DisplayText&gt;(Diamond, 2012)&lt;/DisplayText&gt;&lt;record&gt;&lt;rec-number&gt;4072&lt;/rec-number&gt;&lt;foreign-keys&gt;&lt;key app="EN" db-id="5v9z5rrdszvwsneef06v9dapsd0apdtfapdx" timestamp="1390667783"&gt;4072&lt;/key&gt;&lt;/foreign-keys&gt;&lt;ref-type name="Report"&gt;27&lt;/ref-type&gt;&lt;contributors&gt;&lt;authors&gt;&lt;author&gt;Jack Diamond&lt;/author&gt;&lt;/authors&gt;&lt;/contributors&gt;&lt;titles&gt;&lt;title&gt;Guidance Note on Sequencing PFM reforms&lt;/title&gt;&lt;/titles&gt;&lt;dates&gt;&lt;year&gt;2012&lt;/year&gt;&lt;/dates&gt;&lt;pub-location&gt;Washington DC&lt;/pub-location&gt;&lt;publisher&gt;EC, IMF and PEFA&lt;/publisher&gt;&lt;urls&gt;&lt;/urls&gt;&lt;custom2&gt;Yes&lt;/custom2&gt;&lt;/record&gt;&lt;/Cite&gt;&lt;/EndNote&gt;</w:instrText>
            </w:r>
            <w:r w:rsidR="00115AC9" w:rsidRPr="00F71B40">
              <w:rPr>
                <w:rFonts w:cs="Times New Roman"/>
                <w:sz w:val="20"/>
                <w:szCs w:val="20"/>
                <w:lang w:val="en-AU"/>
              </w:rPr>
              <w:fldChar w:fldCharType="separate"/>
            </w:r>
            <w:r w:rsidR="00115AC9" w:rsidRPr="00F71B40">
              <w:rPr>
                <w:rFonts w:cs="Times New Roman"/>
                <w:sz w:val="20"/>
                <w:szCs w:val="20"/>
                <w:lang w:val="en-AU"/>
              </w:rPr>
              <w:t>(</w:t>
            </w:r>
            <w:hyperlink w:anchor="_ENREF_53" w:tooltip="Diamond, 2012 #4072" w:history="1">
              <w:r w:rsidR="00CC56DB" w:rsidRPr="00F71B40">
                <w:rPr>
                  <w:rFonts w:cs="Times New Roman"/>
                  <w:sz w:val="20"/>
                  <w:szCs w:val="20"/>
                  <w:lang w:val="en-AU"/>
                </w:rPr>
                <w:t>Diamond, 2012</w:t>
              </w:r>
            </w:hyperlink>
            <w:r w:rsidR="00115AC9" w:rsidRPr="00F71B40">
              <w:rPr>
                <w:rFonts w:cs="Times New Roman"/>
                <w:sz w:val="20"/>
                <w:szCs w:val="20"/>
                <w:lang w:val="en-AU"/>
              </w:rPr>
              <w:t>)</w:t>
            </w:r>
            <w:r w:rsidR="00115AC9" w:rsidRPr="00F71B40">
              <w:rPr>
                <w:rFonts w:cs="Times New Roman"/>
                <w:sz w:val="20"/>
                <w:szCs w:val="20"/>
                <w:lang w:val="en-AU"/>
              </w:rPr>
              <w:fldChar w:fldCharType="end"/>
            </w:r>
            <w:r w:rsidRPr="00F71B40">
              <w:rPr>
                <w:rFonts w:cs="Times New Roman"/>
                <w:sz w:val="20"/>
                <w:szCs w:val="20"/>
                <w:lang w:val="en-AU"/>
              </w:rPr>
              <w:t xml:space="preserve">.  There are many attempts at defining exactly what is meant by the “basics” with many similarities but with less than perfect consensus – see </w:t>
            </w:r>
            <w:r w:rsidR="00115AC9" w:rsidRPr="00F71B40">
              <w:rPr>
                <w:rFonts w:cs="Times New Roman"/>
                <w:sz w:val="20"/>
                <w:szCs w:val="20"/>
                <w:lang w:val="en-AU"/>
              </w:rPr>
              <w:fldChar w:fldCharType="begin"/>
            </w:r>
            <w:r w:rsidR="00115AC9" w:rsidRPr="00F71B40">
              <w:rPr>
                <w:rFonts w:cs="Times New Roman"/>
                <w:sz w:val="20"/>
                <w:szCs w:val="20"/>
                <w:lang w:val="en-AU"/>
              </w:rPr>
              <w:instrText xml:space="preserve"> ADDIN EN.CITE &lt;EndNote&gt;&lt;Cite&gt;&lt;Author&gt;Tommasi&lt;/Author&gt;&lt;Year&gt;2009&lt;/Year&gt;&lt;RecNum&gt;3484&lt;/RecNum&gt;&lt;Suffix&gt;`, p.22&lt;/Suffix&gt;&lt;DisplayText&gt;(Tommasi, 2009, p.22)&lt;/DisplayText&gt;&lt;record&gt;&lt;rec-number&gt;3484&lt;/rec-number&gt;&lt;foreign-keys&gt;&lt;key app="EN" db-id="5v9z5rrdszvwsneef06v9dapsd0apdtfapdx" timestamp="0"&gt;3484&lt;/key&gt;&lt;/foreign-keys&gt;&lt;ref-type name="Report"&gt;27&lt;/ref-type&gt;&lt;contributors&gt;&lt;authors&gt;&lt;author&gt;Tommasi, Daniel&lt;/author&gt;&lt;/authors&gt;&lt;/contributors&gt;&lt;titles&gt;&lt;title&gt;Strengthening Public Expenditure Management in Developing Countries: Sequencing Issues&lt;/title&gt;&lt;/titles&gt;&lt;dates&gt;&lt;year&gt;2009&lt;/year&gt;&lt;/dates&gt;&lt;pub-location&gt;Brussels&lt;/pub-location&gt;&lt;publisher&gt;Capacity4dev.eu&lt;/publisher&gt;&lt;urls&gt;&lt;related-urls&gt;&lt;url&gt;http://capacity4dev.ec.europa.eu/sites/default/files/document/2009-05-25/Issue_Paper-PFM_Reform_Sequencing_final-DTommasi.pdf&lt;/url&gt;&lt;/related-urls&gt;&lt;/urls&gt;&lt;/record&gt;&lt;/Cite&gt;&lt;/EndNote&gt;</w:instrText>
            </w:r>
            <w:r w:rsidR="00115AC9" w:rsidRPr="00F71B40">
              <w:rPr>
                <w:rFonts w:cs="Times New Roman"/>
                <w:sz w:val="20"/>
                <w:szCs w:val="20"/>
                <w:lang w:val="en-AU"/>
              </w:rPr>
              <w:fldChar w:fldCharType="separate"/>
            </w:r>
            <w:r w:rsidR="00115AC9" w:rsidRPr="00F71B40">
              <w:rPr>
                <w:rFonts w:cs="Times New Roman"/>
                <w:sz w:val="20"/>
                <w:szCs w:val="20"/>
                <w:lang w:val="en-AU"/>
              </w:rPr>
              <w:t>(</w:t>
            </w:r>
            <w:hyperlink w:anchor="_ENREF_141" w:tooltip="Tommasi, 2009 #3484" w:history="1">
              <w:r w:rsidR="00CC56DB" w:rsidRPr="00F71B40">
                <w:rPr>
                  <w:rFonts w:cs="Times New Roman"/>
                  <w:sz w:val="20"/>
                  <w:szCs w:val="20"/>
                  <w:lang w:val="en-AU"/>
                </w:rPr>
                <w:t>Tommasi, 2009, p.22</w:t>
              </w:r>
            </w:hyperlink>
            <w:r w:rsidR="00115AC9" w:rsidRPr="00F71B40">
              <w:rPr>
                <w:rFonts w:cs="Times New Roman"/>
                <w:sz w:val="20"/>
                <w:szCs w:val="20"/>
                <w:lang w:val="en-AU"/>
              </w:rPr>
              <w:t>)</w:t>
            </w:r>
            <w:r w:rsidR="00115AC9" w:rsidRPr="00F71B40">
              <w:rPr>
                <w:rFonts w:cs="Times New Roman"/>
                <w:sz w:val="20"/>
                <w:szCs w:val="20"/>
                <w:lang w:val="en-AU"/>
              </w:rPr>
              <w:fldChar w:fldCharType="end"/>
            </w:r>
            <w:r w:rsidRPr="00F71B40">
              <w:rPr>
                <w:rFonts w:cs="Times New Roman"/>
                <w:sz w:val="20"/>
                <w:szCs w:val="20"/>
                <w:lang w:val="en-AU"/>
              </w:rPr>
              <w:t xml:space="preserve"> and </w:t>
            </w:r>
            <w:r w:rsidR="00115AC9" w:rsidRPr="00F71B40">
              <w:rPr>
                <w:rFonts w:cs="Times New Roman"/>
                <w:sz w:val="20"/>
                <w:szCs w:val="20"/>
                <w:lang w:val="en-AU"/>
              </w:rPr>
              <w:fldChar w:fldCharType="begin"/>
            </w:r>
            <w:r w:rsidR="00115AC9" w:rsidRPr="00F71B40">
              <w:rPr>
                <w:rFonts w:cs="Times New Roman"/>
                <w:sz w:val="20"/>
                <w:szCs w:val="20"/>
                <w:lang w:val="en-AU"/>
              </w:rPr>
              <w:instrText xml:space="preserve"> ADDIN EN.CITE &lt;EndNote&gt;&lt;Cite&gt;&lt;Author&gt;Browne&lt;/Author&gt;&lt;Year&gt;210&lt;/Year&gt;&lt;RecNum&gt;4228&lt;/RecNum&gt;&lt;DisplayText&gt;(Browne, 210)&lt;/DisplayText&gt;&lt;record&gt;&lt;rec-number&gt;4228&lt;/rec-number&gt;&lt;foreign-keys&gt;&lt;key app="EN" db-id="5v9z5rrdszvwsneef06v9dapsd0apdtfapdx" timestamp="1407867138"&gt;4228&lt;/key&gt;&lt;/foreign-keys&gt;&lt;ref-type name="Report"&gt;27&lt;/ref-type&gt;&lt;contributors&gt;&lt;authors&gt;&lt;author&gt;Browne, E.&lt;/author&gt;&lt;/authors&gt;&lt;/contributors&gt;&lt;titles&gt;&lt;title&gt;Reforming Budget Systems, A Practical Guide&lt;/title&gt;&lt;/titles&gt;&lt;dates&gt;&lt;year&gt;210&lt;/year&gt;&lt;/dates&gt;&lt;pub-location&gt;Washington DC&lt;/pub-location&gt;&lt;publisher&gt;UASAID&lt;/publisher&gt;&lt;urls&gt;&lt;/urls&gt;&lt;/record&gt;&lt;/Cite&gt;&lt;/EndNote&gt;</w:instrText>
            </w:r>
            <w:r w:rsidR="00115AC9" w:rsidRPr="00F71B40">
              <w:rPr>
                <w:rFonts w:cs="Times New Roman"/>
                <w:sz w:val="20"/>
                <w:szCs w:val="20"/>
                <w:lang w:val="en-AU"/>
              </w:rPr>
              <w:fldChar w:fldCharType="separate"/>
            </w:r>
            <w:r w:rsidR="00115AC9" w:rsidRPr="00F71B40">
              <w:rPr>
                <w:rFonts w:cs="Times New Roman"/>
                <w:sz w:val="20"/>
                <w:szCs w:val="20"/>
                <w:lang w:val="en-AU"/>
              </w:rPr>
              <w:t>(</w:t>
            </w:r>
            <w:hyperlink w:anchor="_ENREF_31" w:tooltip="Browne, 210 #4228" w:history="1">
              <w:r w:rsidR="00CC56DB" w:rsidRPr="00F71B40">
                <w:rPr>
                  <w:rFonts w:cs="Times New Roman"/>
                  <w:sz w:val="20"/>
                  <w:szCs w:val="20"/>
                  <w:lang w:val="en-AU"/>
                </w:rPr>
                <w:t>Browne, 210</w:t>
              </w:r>
            </w:hyperlink>
            <w:r w:rsidR="00115AC9" w:rsidRPr="00F71B40">
              <w:rPr>
                <w:rFonts w:cs="Times New Roman"/>
                <w:sz w:val="20"/>
                <w:szCs w:val="20"/>
                <w:lang w:val="en-AU"/>
              </w:rPr>
              <w:t>)</w:t>
            </w:r>
            <w:r w:rsidR="00115AC9" w:rsidRPr="00F71B40">
              <w:rPr>
                <w:rFonts w:cs="Times New Roman"/>
                <w:sz w:val="20"/>
                <w:szCs w:val="20"/>
                <w:lang w:val="en-AU"/>
              </w:rPr>
              <w:fldChar w:fldCharType="end"/>
            </w:r>
            <w:r w:rsidRPr="00F71B40">
              <w:rPr>
                <w:rFonts w:cs="Times New Roman"/>
                <w:sz w:val="20"/>
                <w:szCs w:val="20"/>
                <w:lang w:val="en-AU"/>
              </w:rPr>
              <w:t xml:space="preserve">.  </w:t>
            </w:r>
          </w:p>
          <w:p w:rsidR="0085182B" w:rsidRPr="00F71B40" w:rsidRDefault="0085182B" w:rsidP="00451F4A">
            <w:pPr>
              <w:keepNext/>
              <w:keepLines/>
              <w:rPr>
                <w:rFonts w:cs="Times New Roman"/>
                <w:sz w:val="20"/>
                <w:szCs w:val="20"/>
                <w:lang w:val="en-AU"/>
              </w:rPr>
            </w:pPr>
          </w:p>
          <w:p w:rsidR="0085182B" w:rsidRPr="00F71B40" w:rsidRDefault="0085182B" w:rsidP="00CC56DB">
            <w:pPr>
              <w:keepNext/>
              <w:keepLines/>
              <w:rPr>
                <w:rFonts w:cs="Times New Roman"/>
                <w:sz w:val="20"/>
                <w:szCs w:val="20"/>
                <w:lang w:val="en-AU"/>
              </w:rPr>
            </w:pPr>
            <w:r w:rsidRPr="00F71B40">
              <w:rPr>
                <w:rFonts w:cs="Times New Roman"/>
                <w:sz w:val="20"/>
                <w:szCs w:val="20"/>
                <w:lang w:val="en-AU"/>
              </w:rPr>
              <w:t xml:space="preserve">Similar ideas are found in relation to HRM within the public sector – see for example </w:t>
            </w:r>
            <w:r w:rsidR="00115AC9" w:rsidRPr="00F71B40">
              <w:rPr>
                <w:rFonts w:cs="Times New Roman"/>
                <w:sz w:val="20"/>
                <w:szCs w:val="20"/>
                <w:lang w:val="en-AU"/>
              </w:rPr>
              <w:fldChar w:fldCharType="begin"/>
            </w:r>
            <w:r w:rsidR="00115AC9" w:rsidRPr="00F71B40">
              <w:rPr>
                <w:rFonts w:cs="Times New Roman"/>
                <w:sz w:val="20"/>
                <w:szCs w:val="20"/>
                <w:lang w:val="en-AU"/>
              </w:rPr>
              <w:instrText xml:space="preserve"> ADDIN EN.CITE &lt;EndNote&gt;&lt;Cite&gt;&lt;Author&gt;Manning&lt;/Author&gt;&lt;Year&gt;2003&lt;/Year&gt;&lt;RecNum&gt;3803&lt;/RecNum&gt;&lt;DisplayText&gt;(Manning &amp;amp; Parison, 2003)&lt;/DisplayText&gt;&lt;record&gt;&lt;rec-number&gt;3803&lt;/rec-number&gt;&lt;foreign-keys&gt;&lt;key app="EN" db-id="5v9z5rrdszvwsneef06v9dapsd0apdtfapdx" timestamp="0"&gt;3803&lt;/key&gt;&lt;/foreign-keys&gt;&lt;ref-type name="Book"&gt;6&lt;/ref-type&gt;&lt;contributors&gt;&lt;authors&gt;&lt;author&gt;Nick Manning&lt;/author&gt;&lt;author&gt;Neil Parison&lt;/author&gt;&lt;/authors&gt;&lt;/contributors&gt;&lt;titles&gt;&lt;title&gt;International Public Administration Reform: Implications for the Russian Federation&lt;/title&gt;&lt;secondary-title&gt;Directions in Development&lt;/secondary-title&gt;&lt;/titles&gt;&lt;keywords&gt;&lt;keyword&gt;civil service&lt;/keyword&gt;&lt;/keywords&gt;&lt;dates&gt;&lt;year&gt;2003&lt;/year&gt;&lt;/dates&gt;&lt;pub-location&gt;Washington DC&lt;/pub-location&gt;&lt;publisher&gt;World Bank.&lt;/publisher&gt;&lt;urls&gt;&lt;/urls&gt;&lt;custom1&gt;yes&lt;/custom1&gt;&lt;/record&gt;&lt;/Cite&gt;&lt;/EndNote&gt;</w:instrText>
            </w:r>
            <w:r w:rsidR="00115AC9" w:rsidRPr="00F71B40">
              <w:rPr>
                <w:rFonts w:cs="Times New Roman"/>
                <w:sz w:val="20"/>
                <w:szCs w:val="20"/>
                <w:lang w:val="en-AU"/>
              </w:rPr>
              <w:fldChar w:fldCharType="separate"/>
            </w:r>
            <w:r w:rsidR="00115AC9" w:rsidRPr="00F71B40">
              <w:rPr>
                <w:rFonts w:cs="Times New Roman"/>
                <w:sz w:val="20"/>
                <w:szCs w:val="20"/>
                <w:lang w:val="en-AU"/>
              </w:rPr>
              <w:t>(</w:t>
            </w:r>
            <w:hyperlink w:anchor="_ENREF_100" w:tooltip="Manning, 2003 #3803" w:history="1">
              <w:r w:rsidR="00CC56DB" w:rsidRPr="00F71B40">
                <w:rPr>
                  <w:rFonts w:cs="Times New Roman"/>
                  <w:sz w:val="20"/>
                  <w:szCs w:val="20"/>
                  <w:lang w:val="en-AU"/>
                </w:rPr>
                <w:t>Manning &amp; Parison, 2003</w:t>
              </w:r>
            </w:hyperlink>
            <w:r w:rsidR="00115AC9" w:rsidRPr="00F71B40">
              <w:rPr>
                <w:rFonts w:cs="Times New Roman"/>
                <w:sz w:val="20"/>
                <w:szCs w:val="20"/>
                <w:lang w:val="en-AU"/>
              </w:rPr>
              <w:t>)</w:t>
            </w:r>
            <w:r w:rsidR="00115AC9" w:rsidRPr="00F71B40">
              <w:rPr>
                <w:rFonts w:cs="Times New Roman"/>
                <w:sz w:val="20"/>
                <w:szCs w:val="20"/>
                <w:lang w:val="en-AU"/>
              </w:rPr>
              <w:fldChar w:fldCharType="end"/>
            </w:r>
            <w:r w:rsidRPr="00F71B40">
              <w:rPr>
                <w:rFonts w:cs="Times New Roman"/>
                <w:sz w:val="20"/>
                <w:szCs w:val="20"/>
                <w:lang w:val="en-AU"/>
              </w:rPr>
              <w:t xml:space="preserve"> (particularly figure 3) and the emphasis on different possibilities in HRM reform once a “formality threshold” has been reached where the “tradition of rule following is well-entrenched”.  More recently, the same “basics first” logic has been emphasized in relation to the introduction of a performance orientation in the public sector </w:t>
            </w:r>
            <w:r w:rsidR="00115AC9" w:rsidRPr="00F71B40">
              <w:rPr>
                <w:rFonts w:cs="Times New Roman"/>
                <w:sz w:val="20"/>
                <w:szCs w:val="20"/>
                <w:lang w:val="en-AU"/>
              </w:rPr>
              <w:fldChar w:fldCharType="begin"/>
            </w:r>
            <w:r w:rsidR="00115AC9" w:rsidRPr="00F71B40">
              <w:rPr>
                <w:rFonts w:cs="Times New Roman"/>
                <w:sz w:val="20"/>
                <w:szCs w:val="20"/>
                <w:lang w:val="en-AU"/>
              </w:rPr>
              <w:instrText xml:space="preserve"> ADDIN EN.CITE &lt;EndNote&gt;&lt;Cite&gt;&lt;Author&gt;Manning&lt;/Author&gt;&lt;Year&gt;2009&lt;/Year&gt;&lt;RecNum&gt;3079&lt;/RecNum&gt;&lt;DisplayText&gt;(Manning, 2009)&lt;/DisplayText&gt;&lt;record&gt;&lt;rec-number&gt;3079&lt;/rec-number&gt;&lt;foreign-keys&gt;&lt;key app="EN" db-id="5v9z5rrdszvwsneef06v9dapsd0apdtfapdx" timestamp="0"&gt;3079&lt;/key&gt;&lt;/foreign-keys&gt;&lt;ref-type name="Report"&gt;27&lt;/ref-type&gt;&lt;contributors&gt;&lt;authors&gt;&lt;author&gt;Nick Manning&lt;/author&gt;&lt;/authors&gt;&lt;/contributors&gt;&lt;titles&gt;&lt;title&gt;Improving Performance: Foundations of Systemic Performance (GET brief)&lt;/title&gt;&lt;/titles&gt;&lt;dates&gt;&lt;year&gt;2009&lt;/year&gt;&lt;/dates&gt;&lt;pub-location&gt;Washington DC&lt;/pub-location&gt;&lt;publisher&gt;World Bank&lt;/publisher&gt;&lt;urls&gt;&lt;/urls&gt;&lt;/record&gt;&lt;/Cite&gt;&lt;/EndNote&gt;</w:instrText>
            </w:r>
            <w:r w:rsidR="00115AC9" w:rsidRPr="00F71B40">
              <w:rPr>
                <w:rFonts w:cs="Times New Roman"/>
                <w:sz w:val="20"/>
                <w:szCs w:val="20"/>
                <w:lang w:val="en-AU"/>
              </w:rPr>
              <w:fldChar w:fldCharType="separate"/>
            </w:r>
            <w:r w:rsidR="00115AC9" w:rsidRPr="00F71B40">
              <w:rPr>
                <w:rFonts w:cs="Times New Roman"/>
                <w:sz w:val="20"/>
                <w:szCs w:val="20"/>
                <w:lang w:val="en-AU"/>
              </w:rPr>
              <w:t>(</w:t>
            </w:r>
            <w:hyperlink w:anchor="_ENREF_98" w:tooltip="Manning, 2009 #3079" w:history="1">
              <w:r w:rsidR="00CC56DB" w:rsidRPr="00F71B40">
                <w:rPr>
                  <w:rFonts w:cs="Times New Roman"/>
                  <w:sz w:val="20"/>
                  <w:szCs w:val="20"/>
                  <w:lang w:val="en-AU"/>
                </w:rPr>
                <w:t>Manning, 2009</w:t>
              </w:r>
            </w:hyperlink>
            <w:r w:rsidR="00115AC9" w:rsidRPr="00F71B40">
              <w:rPr>
                <w:rFonts w:cs="Times New Roman"/>
                <w:sz w:val="20"/>
                <w:szCs w:val="20"/>
                <w:lang w:val="en-AU"/>
              </w:rPr>
              <w:t>)</w:t>
            </w:r>
            <w:r w:rsidR="00115AC9" w:rsidRPr="00F71B40">
              <w:rPr>
                <w:rFonts w:cs="Times New Roman"/>
                <w:sz w:val="20"/>
                <w:szCs w:val="20"/>
                <w:lang w:val="en-AU"/>
              </w:rPr>
              <w:fldChar w:fldCharType="end"/>
            </w:r>
            <w:r w:rsidRPr="00F71B40">
              <w:rPr>
                <w:rFonts w:cs="Times New Roman"/>
                <w:sz w:val="20"/>
                <w:szCs w:val="20"/>
                <w:lang w:val="en-AU"/>
              </w:rPr>
              <w:t>.</w:t>
            </w:r>
          </w:p>
        </w:tc>
      </w:tr>
    </w:tbl>
    <w:p w:rsidR="0085182B" w:rsidRPr="00F71B40" w:rsidRDefault="0085182B" w:rsidP="00D62A32">
      <w:pPr>
        <w:pStyle w:val="ListParagraph"/>
        <w:ind w:left="0"/>
        <w:contextualSpacing w:val="0"/>
        <w:rPr>
          <w:lang w:val="en-AU"/>
        </w:rPr>
      </w:pPr>
    </w:p>
    <w:p w:rsidR="0087191F" w:rsidRPr="00F71B40" w:rsidRDefault="00D05EBC" w:rsidP="00D62A32">
      <w:pPr>
        <w:pStyle w:val="ListParagraph"/>
        <w:ind w:left="0"/>
        <w:contextualSpacing w:val="0"/>
        <w:rPr>
          <w:lang w:val="en-AU"/>
        </w:rPr>
      </w:pPr>
      <w:r w:rsidRPr="00F71B40">
        <w:rPr>
          <w:lang w:val="en-AU"/>
        </w:rPr>
        <w:t xml:space="preserve">Mitigating these risks adequately means that some senior Australians will </w:t>
      </w:r>
      <w:r w:rsidR="007631A1" w:rsidRPr="00F71B40">
        <w:rPr>
          <w:lang w:val="en-AU"/>
        </w:rPr>
        <w:t xml:space="preserve">likely need to </w:t>
      </w:r>
      <w:r w:rsidRPr="00F71B40">
        <w:rPr>
          <w:lang w:val="en-AU"/>
        </w:rPr>
        <w:t>remain in key positions (in-line or advisory with full access)</w:t>
      </w:r>
      <w:r w:rsidRPr="00F71B40">
        <w:rPr>
          <w:rStyle w:val="FootnoteReference"/>
          <w:lang w:val="en-AU"/>
        </w:rPr>
        <w:footnoteReference w:id="19"/>
      </w:r>
      <w:r w:rsidRPr="00F71B40">
        <w:rPr>
          <w:lang w:val="en-AU"/>
        </w:rPr>
        <w:t xml:space="preserve"> for the medium term future.</w:t>
      </w:r>
      <w:r w:rsidR="00E256D6">
        <w:rPr>
          <w:lang w:val="en-AU"/>
        </w:rPr>
        <w:t xml:space="preserve">  </w:t>
      </w:r>
      <w:r w:rsidR="0087191F" w:rsidRPr="00F71B40">
        <w:rPr>
          <w:lang w:val="en-AU"/>
        </w:rPr>
        <w:t>This was envisaged from the outset of the program:</w:t>
      </w:r>
    </w:p>
    <w:p w:rsidR="0087191F" w:rsidRPr="00F71B40" w:rsidRDefault="0087191F" w:rsidP="004D15F8">
      <w:pPr>
        <w:pStyle w:val="ListParagraph"/>
        <w:numPr>
          <w:ilvl w:val="0"/>
          <w:numId w:val="27"/>
        </w:numPr>
        <w:contextualSpacing w:val="0"/>
        <w:rPr>
          <w:rFonts w:cs="Times New Roman"/>
          <w:lang w:val="en-AU"/>
        </w:rPr>
      </w:pPr>
      <w:r w:rsidRPr="00F71B40">
        <w:rPr>
          <w:rFonts w:cs="Times New Roman"/>
          <w:lang w:val="en-AU"/>
        </w:rPr>
        <w:lastRenderedPageBreak/>
        <w:t xml:space="preserve">“Some central agencies remain heavily dependent on external inputs, especially technical assistance and in-line roles.  In these, it is difficult to envisage that the public sector will be able to operate independently of external support in the short to medium term.” </w:t>
      </w:r>
      <w:r w:rsidR="00115AC9" w:rsidRPr="00F71B40">
        <w:rPr>
          <w:rFonts w:cs="Times New Roman"/>
          <w:lang w:val="en-AU"/>
        </w:rPr>
        <w:fldChar w:fldCharType="begin"/>
      </w:r>
      <w:r w:rsidR="00115AC9" w:rsidRPr="00F71B40">
        <w:rPr>
          <w:rFonts w:cs="Times New Roman"/>
          <w:lang w:val="en-AU"/>
        </w:rPr>
        <w:instrText xml:space="preserve"> ADDIN EN.CITE &lt;EndNote&gt;&lt;Cite&gt;&lt;Author&gt;AusAID&lt;/Author&gt;&lt;Year&gt;2013&lt;/Year&gt;&lt;RecNum&gt;4260&lt;/RecNum&gt;&lt;Suffix&gt;`, p. 14&lt;/Suffix&gt;&lt;DisplayText&gt;(AusAID, 2013, p. 14)&lt;/DisplayText&gt;&lt;record&gt;&lt;rec-number&gt;4260&lt;/rec-number&gt;&lt;foreign-keys&gt;&lt;key app="EN" db-id="5v9z5rrdszvwsneef06v9dapsd0apdtfapdx" timestamp="1408387630"&gt;4260&lt;/key&gt;&lt;/foreign-keys&gt;&lt;ref-type name="Report"&gt;27&lt;/ref-type&gt;&lt;contributors&gt;&lt;authors&gt;&lt;author&gt;AusAID&lt;/author&gt;&lt;/authors&gt;&lt;/contributors&gt;&lt;titles&gt;&lt;title&gt;Delivery Strategy: Solomon Islands Economic and Public Sector Governance Program (SIGOV) 2013-4 to 2017-18&lt;/title&gt;&lt;/titles&gt;&lt;dates&gt;&lt;year&gt;2013&lt;/year&gt;&lt;/dates&gt;&lt;pub-location&gt;Canberra &lt;/pub-location&gt;&lt;publisher&gt;AusAID&lt;/publisher&gt;&lt;urls&gt;&lt;/urls&gt;&lt;/record&gt;&lt;/Cite&gt;&lt;/EndNote&gt;</w:instrText>
      </w:r>
      <w:r w:rsidR="00115AC9" w:rsidRPr="00F71B40">
        <w:rPr>
          <w:rFonts w:cs="Times New Roman"/>
          <w:lang w:val="en-AU"/>
        </w:rPr>
        <w:fldChar w:fldCharType="separate"/>
      </w:r>
      <w:r w:rsidR="00115AC9" w:rsidRPr="00F71B40">
        <w:rPr>
          <w:rFonts w:cs="Times New Roman"/>
          <w:lang w:val="en-AU"/>
        </w:rPr>
        <w:t>(</w:t>
      </w:r>
      <w:hyperlink w:anchor="_ENREF_13" w:tooltip="AusAID, 2013 #4260" w:history="1">
        <w:r w:rsidR="00CC56DB" w:rsidRPr="00F71B40">
          <w:rPr>
            <w:rFonts w:cs="Times New Roman"/>
            <w:lang w:val="en-AU"/>
          </w:rPr>
          <w:t>AusAID, 2013, p. 14</w:t>
        </w:r>
      </w:hyperlink>
      <w:r w:rsidR="00115AC9" w:rsidRPr="00F71B40">
        <w:rPr>
          <w:rFonts w:cs="Times New Roman"/>
          <w:lang w:val="en-AU"/>
        </w:rPr>
        <w:t>)</w:t>
      </w:r>
      <w:r w:rsidR="00115AC9" w:rsidRPr="00F71B40">
        <w:rPr>
          <w:rFonts w:cs="Times New Roman"/>
          <w:lang w:val="en-AU"/>
        </w:rPr>
        <w:fldChar w:fldCharType="end"/>
      </w:r>
      <w:r w:rsidRPr="00F71B40">
        <w:rPr>
          <w:rFonts w:cs="Times New Roman"/>
          <w:lang w:val="en-AU"/>
        </w:rPr>
        <w:t xml:space="preserve">.  </w:t>
      </w:r>
    </w:p>
    <w:p w:rsidR="0087191F" w:rsidRPr="00F71B40" w:rsidRDefault="0087191F" w:rsidP="004D15F8">
      <w:pPr>
        <w:pStyle w:val="ListParagraph"/>
        <w:numPr>
          <w:ilvl w:val="0"/>
          <w:numId w:val="27"/>
        </w:numPr>
        <w:contextualSpacing w:val="0"/>
        <w:rPr>
          <w:rFonts w:cs="Times New Roman"/>
          <w:lang w:val="en-AU"/>
        </w:rPr>
      </w:pPr>
      <w:r w:rsidRPr="00F71B40">
        <w:rPr>
          <w:rFonts w:cs="Times New Roman"/>
          <w:lang w:val="en-AU"/>
        </w:rPr>
        <w:t xml:space="preserve">“SIGOV will continue to support particular in-line positions for as long as such support is needed, either because they are jointly considered critical to continued SIG stability or because they perform essential functions that SIG does not have the capacity to perform”. </w:t>
      </w:r>
      <w:r w:rsidR="00115AC9" w:rsidRPr="00F71B40">
        <w:rPr>
          <w:rFonts w:cs="Times New Roman"/>
          <w:lang w:val="en-AU"/>
        </w:rPr>
        <w:fldChar w:fldCharType="begin"/>
      </w:r>
      <w:r w:rsidR="00115AC9" w:rsidRPr="00F71B40">
        <w:rPr>
          <w:rFonts w:cs="Times New Roman"/>
          <w:lang w:val="en-AU"/>
        </w:rPr>
        <w:instrText xml:space="preserve"> ADDIN EN.CITE &lt;EndNote&gt;&lt;Cite&gt;&lt;Author&gt;AusAID&lt;/Author&gt;&lt;Year&gt;2013&lt;/Year&gt;&lt;RecNum&gt;4260&lt;/RecNum&gt;&lt;Suffix&gt;`, p. 16&lt;/Suffix&gt;&lt;DisplayText&gt;(AusAID, 2013, p. 16)&lt;/DisplayText&gt;&lt;record&gt;&lt;rec-number&gt;4260&lt;/rec-number&gt;&lt;foreign-keys&gt;&lt;key app="EN" db-id="5v9z5rrdszvwsneef06v9dapsd0apdtfapdx" timestamp="1408387630"&gt;4260&lt;/key&gt;&lt;/foreign-keys&gt;&lt;ref-type name="Report"&gt;27&lt;/ref-type&gt;&lt;contributors&gt;&lt;authors&gt;&lt;author&gt;AusAID&lt;/author&gt;&lt;/authors&gt;&lt;/contributors&gt;&lt;titles&gt;&lt;title&gt;Delivery Strategy: Solomon Islands Economic and Public Sector Governance Program (SIGOV) 2013-4 to 2017-18&lt;/title&gt;&lt;/titles&gt;&lt;dates&gt;&lt;year&gt;2013&lt;/year&gt;&lt;/dates&gt;&lt;pub-location&gt;Canberra &lt;/pub-location&gt;&lt;publisher&gt;AusAID&lt;/publisher&gt;&lt;urls&gt;&lt;/urls&gt;&lt;/record&gt;&lt;/Cite&gt;&lt;/EndNote&gt;</w:instrText>
      </w:r>
      <w:r w:rsidR="00115AC9" w:rsidRPr="00F71B40">
        <w:rPr>
          <w:rFonts w:cs="Times New Roman"/>
          <w:lang w:val="en-AU"/>
        </w:rPr>
        <w:fldChar w:fldCharType="separate"/>
      </w:r>
      <w:r w:rsidR="00115AC9" w:rsidRPr="00F71B40">
        <w:rPr>
          <w:rFonts w:cs="Times New Roman"/>
          <w:lang w:val="en-AU"/>
        </w:rPr>
        <w:t>(</w:t>
      </w:r>
      <w:hyperlink w:anchor="_ENREF_13" w:tooltip="AusAID, 2013 #4260" w:history="1">
        <w:r w:rsidR="00CC56DB" w:rsidRPr="00F71B40">
          <w:rPr>
            <w:rFonts w:cs="Times New Roman"/>
            <w:lang w:val="en-AU"/>
          </w:rPr>
          <w:t>AusAID, 2013, p. 16</w:t>
        </w:r>
      </w:hyperlink>
      <w:r w:rsidR="00115AC9" w:rsidRPr="00F71B40">
        <w:rPr>
          <w:rFonts w:cs="Times New Roman"/>
          <w:lang w:val="en-AU"/>
        </w:rPr>
        <w:t>)</w:t>
      </w:r>
      <w:r w:rsidR="00115AC9" w:rsidRPr="00F71B40">
        <w:rPr>
          <w:rFonts w:cs="Times New Roman"/>
          <w:lang w:val="en-AU"/>
        </w:rPr>
        <w:fldChar w:fldCharType="end"/>
      </w:r>
      <w:r w:rsidRPr="00F71B40">
        <w:rPr>
          <w:rFonts w:cs="Times New Roman"/>
          <w:lang w:val="en-AU"/>
        </w:rPr>
        <w:t xml:space="preserve">.  </w:t>
      </w:r>
    </w:p>
    <w:p w:rsidR="0087191F" w:rsidRPr="00F71B40" w:rsidRDefault="0087191F" w:rsidP="00D62A32">
      <w:pPr>
        <w:pStyle w:val="ListParagraph"/>
        <w:ind w:left="0"/>
        <w:contextualSpacing w:val="0"/>
        <w:rPr>
          <w:rFonts w:cs="Times New Roman"/>
          <w:lang w:val="en-AU"/>
        </w:rPr>
      </w:pPr>
    </w:p>
    <w:p w:rsidR="0087191F" w:rsidRPr="00F71B40" w:rsidRDefault="0087191F" w:rsidP="00D62A32">
      <w:pPr>
        <w:pStyle w:val="ListParagraph"/>
        <w:ind w:left="0"/>
        <w:contextualSpacing w:val="0"/>
        <w:rPr>
          <w:lang w:val="en-AU"/>
        </w:rPr>
      </w:pPr>
      <w:r w:rsidRPr="00F71B40">
        <w:rPr>
          <w:lang w:val="en-AU"/>
        </w:rPr>
        <w:t xml:space="preserve">Balancing this with political acceptability to SIG is a delicate issue, but the review team could see no way of managing the </w:t>
      </w:r>
      <w:r w:rsidR="00C62B7E">
        <w:rPr>
          <w:lang w:val="en-AU"/>
        </w:rPr>
        <w:t xml:space="preserve">economic, </w:t>
      </w:r>
      <w:r w:rsidRPr="00F71B40">
        <w:rPr>
          <w:lang w:val="en-AU"/>
        </w:rPr>
        <w:t xml:space="preserve">fiduciary and reputational risks comfortably in the context of a complete withdrawal of Australian support.  </w:t>
      </w:r>
    </w:p>
    <w:p w:rsidR="007631A1" w:rsidRPr="00F71B40" w:rsidRDefault="007631A1" w:rsidP="00D62A32">
      <w:pPr>
        <w:pStyle w:val="ListParagraph"/>
        <w:ind w:left="0"/>
        <w:contextualSpacing w:val="0"/>
        <w:rPr>
          <w:lang w:val="en-AU"/>
        </w:rPr>
      </w:pPr>
    </w:p>
    <w:p w:rsidR="007B3525" w:rsidRPr="00F71B40" w:rsidRDefault="007B3525" w:rsidP="00D62A32">
      <w:pPr>
        <w:pStyle w:val="Heading1"/>
        <w:keepNext w:val="0"/>
        <w:keepLines w:val="0"/>
        <w:rPr>
          <w:lang w:val="en-AU"/>
        </w:rPr>
      </w:pPr>
      <w:bookmarkStart w:id="77" w:name="_Ref396739908"/>
      <w:bookmarkStart w:id="78" w:name="_Toc399410398"/>
      <w:r w:rsidRPr="00F71B40">
        <w:rPr>
          <w:lang w:val="en-AU"/>
        </w:rPr>
        <w:t xml:space="preserve">Moving forward: </w:t>
      </w:r>
      <w:r w:rsidR="0009758E" w:rsidRPr="00F71B40">
        <w:rPr>
          <w:lang w:val="en-AU"/>
        </w:rPr>
        <w:t xml:space="preserve">recommendations on </w:t>
      </w:r>
      <w:r w:rsidRPr="00F71B40">
        <w:rPr>
          <w:lang w:val="en-AU"/>
        </w:rPr>
        <w:t>the program design</w:t>
      </w:r>
      <w:bookmarkEnd w:id="77"/>
      <w:bookmarkEnd w:id="78"/>
    </w:p>
    <w:p w:rsidR="007B3525" w:rsidRPr="00F71B40" w:rsidRDefault="007B3525" w:rsidP="00D62A32">
      <w:pPr>
        <w:ind w:left="360"/>
        <w:rPr>
          <w:b/>
          <w:lang w:val="en-AU"/>
        </w:rPr>
      </w:pPr>
    </w:p>
    <w:p w:rsidR="007B3525" w:rsidRPr="00F71B40" w:rsidRDefault="007B3525" w:rsidP="00D62A32">
      <w:pPr>
        <w:rPr>
          <w:rFonts w:cs="Times New Roman"/>
          <w:lang w:val="en-AU"/>
        </w:rPr>
      </w:pPr>
      <w:r w:rsidRPr="00F71B40">
        <w:rPr>
          <w:rFonts w:cs="Times New Roman"/>
          <w:lang w:val="en-AU"/>
        </w:rPr>
        <w:t>DFAT has two distinctive strengths.  First, it has a long (very long) history in the country (</w:t>
      </w:r>
      <w:r w:rsidRPr="00F71B40">
        <w:rPr>
          <w:rFonts w:cs="Times New Roman"/>
          <w:lang w:val="en-AU"/>
        </w:rPr>
        <w:fldChar w:fldCharType="begin"/>
      </w:r>
      <w:r w:rsidRPr="00F71B40">
        <w:rPr>
          <w:rFonts w:cs="Times New Roman"/>
          <w:lang w:val="en-AU"/>
        </w:rPr>
        <w:instrText xml:space="preserve"> REF _Ref396587843 \h  \* MERGEFORMAT </w:instrText>
      </w:r>
      <w:r w:rsidRPr="00F71B40">
        <w:rPr>
          <w:rFonts w:cs="Times New Roman"/>
          <w:lang w:val="en-AU"/>
        </w:rPr>
      </w:r>
      <w:r w:rsidRPr="00F71B40">
        <w:rPr>
          <w:rFonts w:cs="Times New Roman"/>
          <w:lang w:val="en-AU"/>
        </w:rPr>
        <w:fldChar w:fldCharType="separate"/>
      </w:r>
      <w:r w:rsidR="00EF43BE" w:rsidRPr="0098305E">
        <w:rPr>
          <w:rFonts w:cs="Times New Roman"/>
          <w:lang w:val="en-AU"/>
        </w:rPr>
        <w:t xml:space="preserve">Table </w:t>
      </w:r>
      <w:r w:rsidR="00EF43BE" w:rsidRPr="006A70A3">
        <w:rPr>
          <w:rFonts w:cs="Times New Roman"/>
          <w:lang w:val="en-AU"/>
        </w:rPr>
        <w:t>1</w:t>
      </w:r>
      <w:r w:rsidRPr="00F71B40">
        <w:rPr>
          <w:rFonts w:cs="Times New Roman"/>
          <w:lang w:val="en-AU"/>
        </w:rPr>
        <w:fldChar w:fldCharType="end"/>
      </w:r>
      <w:r w:rsidRPr="00F71B40">
        <w:rPr>
          <w:rFonts w:cs="Times New Roman"/>
          <w:lang w:val="en-AU"/>
        </w:rPr>
        <w:t>).  While the personnel and the ministerial portfolio for development have changed radically, there should be relatively easy access to records and, perhaps more importantly given the complexity and the overload of documentation, access to “old hands” who know the country well, perhaps even some who have knowledge of the pre-independence arrangements.</w:t>
      </w:r>
      <w:r w:rsidR="00E256D6">
        <w:rPr>
          <w:rFonts w:cs="Times New Roman"/>
          <w:lang w:val="en-AU"/>
        </w:rPr>
        <w:t xml:space="preserve">  </w:t>
      </w:r>
      <w:r w:rsidRPr="00F71B40">
        <w:rPr>
          <w:rFonts w:cs="Times New Roman"/>
          <w:lang w:val="en-AU"/>
        </w:rPr>
        <w:t xml:space="preserve">Assuming, that is, that the high staff turnover, identified as the most serious aid effectiveness weakness in Australian aid </w:t>
      </w:r>
      <w:r w:rsidR="00115AC9" w:rsidRPr="00F71B40">
        <w:rPr>
          <w:rFonts w:cs="Times New Roman"/>
          <w:lang w:val="en-AU"/>
        </w:rPr>
        <w:fldChar w:fldCharType="begin"/>
      </w:r>
      <w:r w:rsidR="00115AC9" w:rsidRPr="00F71B40">
        <w:rPr>
          <w:rFonts w:cs="Times New Roman"/>
          <w:lang w:val="en-AU"/>
        </w:rPr>
        <w:instrText xml:space="preserve"> ADDIN EN.CITE &lt;EndNote&gt;&lt;Cite&gt;&lt;Author&gt;Howes&lt;/Author&gt;&lt;Year&gt;2013&lt;/Year&gt;&lt;RecNum&gt;4355&lt;/RecNum&gt;&lt;DisplayText&gt;(Howes &amp;amp; Pryke, 2013)&lt;/DisplayText&gt;&lt;record&gt;&lt;rec-number&gt;4355&lt;/rec-number&gt;&lt;foreign-keys&gt;&lt;key app="EN" db-id="5v9z5rrdszvwsneef06v9dapsd0apdtfapdx" timestamp="1408856277"&gt;4355&lt;/key&gt;&lt;/foreign-keys&gt;&lt;ref-type name="Report"&gt;27&lt;/ref-type&gt;&lt;contributors&gt;&lt;authors&gt;&lt;author&gt;Stephen Howes&lt;/author&gt;&lt;author&gt;Jonathan Pryke&lt;/author&gt;&lt;/authors&gt;&lt;/contributors&gt;&lt;titles&gt;&lt;title&gt;BENCHMARKING AUSTRALIAN AID RESULTS FROM THE 2013 AUSTRALIAN AID STAKEHOLDER SURVEY&lt;/title&gt;&lt;/titles&gt;&lt;dates&gt;&lt;year&gt;2013&lt;/year&gt;&lt;/dates&gt;&lt;pub-location&gt;Acton, ACT&lt;/pub-location&gt;&lt;publisher&gt;Development Policy Centre, Australian National University&lt;/publisher&gt;&lt;urls&gt;&lt;/urls&gt;&lt;/record&gt;&lt;/Cite&gt;&lt;/EndNote&gt;</w:instrText>
      </w:r>
      <w:r w:rsidR="00115AC9" w:rsidRPr="00F71B40">
        <w:rPr>
          <w:rFonts w:cs="Times New Roman"/>
          <w:lang w:val="en-AU"/>
        </w:rPr>
        <w:fldChar w:fldCharType="separate"/>
      </w:r>
      <w:r w:rsidR="00115AC9" w:rsidRPr="00F71B40">
        <w:rPr>
          <w:rFonts w:cs="Times New Roman"/>
          <w:lang w:val="en-AU"/>
        </w:rPr>
        <w:t>(</w:t>
      </w:r>
      <w:hyperlink w:anchor="_ENREF_71" w:tooltip="Howes, 2013 #4355" w:history="1">
        <w:r w:rsidR="00CC56DB" w:rsidRPr="00F71B40">
          <w:rPr>
            <w:rFonts w:cs="Times New Roman"/>
            <w:lang w:val="en-AU"/>
          </w:rPr>
          <w:t>Howes &amp; Pryke, 2013</w:t>
        </w:r>
      </w:hyperlink>
      <w:r w:rsidR="00115AC9" w:rsidRPr="00F71B40">
        <w:rPr>
          <w:rFonts w:cs="Times New Roman"/>
          <w:lang w:val="en-AU"/>
        </w:rPr>
        <w:t>)</w:t>
      </w:r>
      <w:r w:rsidR="00115AC9" w:rsidRPr="00F71B40">
        <w:rPr>
          <w:rFonts w:cs="Times New Roman"/>
          <w:lang w:val="en-AU"/>
        </w:rPr>
        <w:fldChar w:fldCharType="end"/>
      </w:r>
      <w:r w:rsidRPr="00F71B40">
        <w:rPr>
          <w:rFonts w:cs="Times New Roman"/>
          <w:lang w:val="en-AU"/>
        </w:rPr>
        <w:t>, has not completely eroded this institutional capital.</w:t>
      </w:r>
    </w:p>
    <w:p w:rsidR="007B3525" w:rsidRPr="00F71B40" w:rsidRDefault="007B3525" w:rsidP="00D62A32">
      <w:pPr>
        <w:rPr>
          <w:rFonts w:cs="Times New Roman"/>
          <w:lang w:val="en-AU"/>
        </w:rPr>
      </w:pPr>
    </w:p>
    <w:p w:rsidR="007B3525" w:rsidRPr="00F71B40" w:rsidRDefault="007B3525" w:rsidP="00D62A32">
      <w:pPr>
        <w:rPr>
          <w:rFonts w:cs="Times New Roman"/>
          <w:lang w:val="en-AU"/>
        </w:rPr>
      </w:pPr>
      <w:r w:rsidRPr="00F71B40">
        <w:rPr>
          <w:rFonts w:cs="Times New Roman"/>
          <w:lang w:val="en-AU"/>
        </w:rPr>
        <w:t xml:space="preserve">Second, DFAT’s “international engagement, drawing together foreign, trade and development policies and diplomatic resources” </w:t>
      </w:r>
      <w:r w:rsidR="00115AC9" w:rsidRPr="00F71B40">
        <w:rPr>
          <w:rFonts w:cs="Times New Roman"/>
          <w:lang w:val="en-AU"/>
        </w:rPr>
        <w:fldChar w:fldCharType="begin"/>
      </w:r>
      <w:r w:rsidR="00115AC9" w:rsidRPr="00F71B40">
        <w:rPr>
          <w:rFonts w:cs="Times New Roman"/>
          <w:lang w:val="en-AU"/>
        </w:rPr>
        <w:instrText xml:space="preserve"> ADDIN EN.CITE &lt;EndNote&gt;&lt;Cite&gt;&lt;Author&gt;Commonwealth of Australia&lt;/Author&gt;&lt;Year&gt;2014&lt;/Year&gt;&lt;RecNum&gt;4354&lt;/RecNum&gt;&lt;Suffix&gt;`, p.15&lt;/Suffix&gt;&lt;DisplayText&gt;(Commonwealth of Australia, 2014, p.15)&lt;/DisplayText&gt;&lt;record&gt;&lt;rec-number&gt;4354&lt;/rec-number&gt;&lt;foreign-keys&gt;&lt;key app="EN" db-id="5v9z5rrdszvwsneef06v9dapsd0apdtfapdx" timestamp="1408855901"&gt;4354&lt;/key&gt;&lt;/foreign-keys&gt;&lt;ref-type name="Report"&gt;27&lt;/ref-type&gt;&lt;contributors&gt;&lt;authors&gt;&lt;author&gt;Commonwealth of Australia,&lt;/author&gt;&lt;/authors&gt;&lt;/contributors&gt;&lt;titles&gt;&lt;title&gt;PORTFOLIO BUDGET STATEMENTS 2014-15 - BUDGET RELATED PAPER NO. 1.9: FOREIGN AFFAIRS AND TRADE PORTFOLIO&lt;/title&gt;&lt;/titles&gt;&lt;dates&gt;&lt;year&gt;2014&lt;/year&gt;&lt;/dates&gt;&lt;pub-location&gt;Canberra&lt;/pub-location&gt;&lt;urls&gt;&lt;/urls&gt;&lt;/record&gt;&lt;/Cite&gt;&lt;/EndNote&gt;</w:instrText>
      </w:r>
      <w:r w:rsidR="00115AC9" w:rsidRPr="00F71B40">
        <w:rPr>
          <w:rFonts w:cs="Times New Roman"/>
          <w:lang w:val="en-AU"/>
        </w:rPr>
        <w:fldChar w:fldCharType="separate"/>
      </w:r>
      <w:r w:rsidR="00115AC9" w:rsidRPr="00F71B40">
        <w:rPr>
          <w:rFonts w:cs="Times New Roman"/>
          <w:lang w:val="en-AU"/>
        </w:rPr>
        <w:t>(</w:t>
      </w:r>
      <w:hyperlink w:anchor="_ENREF_37" w:tooltip="Commonwealth of Australia, 2014 #4354" w:history="1">
        <w:r w:rsidR="00CC56DB" w:rsidRPr="00F71B40">
          <w:rPr>
            <w:rFonts w:cs="Times New Roman"/>
            <w:lang w:val="en-AU"/>
          </w:rPr>
          <w:t>Commonwealth of Australia, 2014, p.15</w:t>
        </w:r>
      </w:hyperlink>
      <w:r w:rsidR="00115AC9" w:rsidRPr="00F71B40">
        <w:rPr>
          <w:rFonts w:cs="Times New Roman"/>
          <w:lang w:val="en-AU"/>
        </w:rPr>
        <w:t>)</w:t>
      </w:r>
      <w:r w:rsidR="00115AC9" w:rsidRPr="00F71B40">
        <w:rPr>
          <w:rFonts w:cs="Times New Roman"/>
          <w:lang w:val="en-AU"/>
        </w:rPr>
        <w:fldChar w:fldCharType="end"/>
      </w:r>
      <w:r w:rsidRPr="00F71B40">
        <w:rPr>
          <w:rFonts w:cs="Times New Roman"/>
          <w:lang w:val="en-AU"/>
        </w:rPr>
        <w:t>, provides in principle, the capacity to address both politic</w:t>
      </w:r>
      <w:r w:rsidR="008A21BB" w:rsidRPr="00F71B40">
        <w:rPr>
          <w:rFonts w:cs="Times New Roman"/>
          <w:lang w:val="en-AU"/>
        </w:rPr>
        <w:t>al and technical challenges.</w:t>
      </w:r>
      <w:r w:rsidR="00E256D6">
        <w:rPr>
          <w:rFonts w:cs="Times New Roman"/>
          <w:lang w:val="en-AU"/>
        </w:rPr>
        <w:t xml:space="preserve">  </w:t>
      </w:r>
    </w:p>
    <w:p w:rsidR="008A21BB" w:rsidRPr="00F71B40" w:rsidRDefault="008A21BB" w:rsidP="00D62A32">
      <w:pPr>
        <w:rPr>
          <w:rFonts w:cs="Times New Roman"/>
          <w:lang w:val="en-AU"/>
        </w:rPr>
      </w:pPr>
    </w:p>
    <w:p w:rsidR="008A21BB" w:rsidRPr="00F71B40" w:rsidRDefault="008A21BB" w:rsidP="00D62A32">
      <w:pPr>
        <w:rPr>
          <w:rFonts w:cs="Times New Roman"/>
          <w:lang w:val="en-AU"/>
        </w:rPr>
      </w:pPr>
      <w:r w:rsidRPr="00F71B40">
        <w:rPr>
          <w:rFonts w:cs="Times New Roman"/>
          <w:lang w:val="en-AU"/>
        </w:rPr>
        <w:t xml:space="preserve">The question is how could the program design be adjusted to </w:t>
      </w:r>
      <w:r w:rsidR="00977C85" w:rsidRPr="00F71B40">
        <w:rPr>
          <w:rFonts w:cs="Times New Roman"/>
          <w:lang w:val="en-AU"/>
        </w:rPr>
        <w:t xml:space="preserve">use harness these strengths to </w:t>
      </w:r>
      <w:r w:rsidRPr="00F71B40">
        <w:rPr>
          <w:rFonts w:cs="Times New Roman"/>
          <w:lang w:val="en-AU"/>
        </w:rPr>
        <w:t xml:space="preserve">ensure that SIGOV breaks free of </w:t>
      </w:r>
      <w:r w:rsidR="0044213D" w:rsidRPr="00F71B40">
        <w:rPr>
          <w:rFonts w:cs="Times New Roman"/>
          <w:lang w:val="en-AU"/>
        </w:rPr>
        <w:t xml:space="preserve">its current </w:t>
      </w:r>
      <w:r w:rsidRPr="00F71B40">
        <w:rPr>
          <w:rFonts w:cs="Times New Roman"/>
          <w:lang w:val="en-AU"/>
        </w:rPr>
        <w:t>trajectory in which</w:t>
      </w:r>
      <w:r w:rsidR="00977C85" w:rsidRPr="00F71B40">
        <w:rPr>
          <w:rFonts w:cs="Times New Roman"/>
          <w:lang w:val="en-AU"/>
        </w:rPr>
        <w:t>, very probably,</w:t>
      </w:r>
      <w:r w:rsidRPr="00F71B40">
        <w:rPr>
          <w:rFonts w:cs="Times New Roman"/>
          <w:lang w:val="en-AU"/>
        </w:rPr>
        <w:t xml:space="preserve"> some improvements will be seen at the centre but without matching improvements in service delivery?</w:t>
      </w:r>
    </w:p>
    <w:p w:rsidR="008A21BB" w:rsidRPr="00F71B40" w:rsidRDefault="008A21BB" w:rsidP="00D62A32">
      <w:pPr>
        <w:rPr>
          <w:rFonts w:cs="Times New Roman"/>
          <w:lang w:val="en-AU"/>
        </w:rPr>
      </w:pPr>
    </w:p>
    <w:p w:rsidR="007B3525" w:rsidRPr="00F71B40" w:rsidRDefault="00083A3C" w:rsidP="00D62A32">
      <w:pPr>
        <w:pStyle w:val="NoSpacing"/>
        <w:rPr>
          <w:lang w:val="en-AU"/>
        </w:rPr>
      </w:pPr>
      <w:r>
        <w:rPr>
          <w:rFonts w:cs="Times New Roman"/>
          <w:lang w:val="en-AU"/>
        </w:rPr>
        <w:t xml:space="preserve">The analysis in </w:t>
      </w:r>
      <w:r w:rsidR="008A21BB" w:rsidRPr="00F71B40">
        <w:rPr>
          <w:rFonts w:cs="Times New Roman"/>
          <w:lang w:val="en-AU"/>
        </w:rPr>
        <w:t xml:space="preserve">Section </w:t>
      </w:r>
      <w:r w:rsidR="008A21BB" w:rsidRPr="00F71B40">
        <w:rPr>
          <w:rFonts w:cs="Times New Roman"/>
          <w:lang w:val="en-AU"/>
        </w:rPr>
        <w:fldChar w:fldCharType="begin"/>
      </w:r>
      <w:r w:rsidR="008A21BB" w:rsidRPr="00F71B40">
        <w:rPr>
          <w:rFonts w:cs="Times New Roman"/>
          <w:lang w:val="en-AU"/>
        </w:rPr>
        <w:instrText xml:space="preserve"> REF _Ref396646754 \r \p </w:instrText>
      </w:r>
      <w:r w:rsidR="00D62A32" w:rsidRPr="00F71B40">
        <w:rPr>
          <w:rFonts w:cs="Times New Roman"/>
          <w:lang w:val="en-AU"/>
        </w:rPr>
        <w:instrText xml:space="preserve"> \* MERGEFORMAT </w:instrText>
      </w:r>
      <w:r w:rsidR="008A21BB" w:rsidRPr="00F71B40">
        <w:rPr>
          <w:rFonts w:cs="Times New Roman"/>
          <w:lang w:val="en-AU"/>
        </w:rPr>
        <w:fldChar w:fldCharType="separate"/>
      </w:r>
      <w:r w:rsidR="00EF43BE">
        <w:rPr>
          <w:rFonts w:cs="Times New Roman"/>
          <w:lang w:val="en-AU"/>
        </w:rPr>
        <w:t>5 above</w:t>
      </w:r>
      <w:r w:rsidR="008A21BB" w:rsidRPr="00F71B40">
        <w:rPr>
          <w:rFonts w:cs="Times New Roman"/>
          <w:lang w:val="en-AU"/>
        </w:rPr>
        <w:fldChar w:fldCharType="end"/>
      </w:r>
      <w:r w:rsidR="008A21BB" w:rsidRPr="00F71B40">
        <w:rPr>
          <w:rFonts w:cs="Times New Roman"/>
          <w:lang w:val="en-AU"/>
        </w:rPr>
        <w:t xml:space="preserve"> </w:t>
      </w:r>
      <w:r>
        <w:rPr>
          <w:rFonts w:cs="Times New Roman"/>
          <w:lang w:val="en-AU"/>
        </w:rPr>
        <w:t xml:space="preserve">implied some </w:t>
      </w:r>
      <w:r w:rsidR="00594D24" w:rsidRPr="00F71B40">
        <w:rPr>
          <w:rFonts w:cs="Times New Roman"/>
          <w:lang w:val="en-AU"/>
        </w:rPr>
        <w:t xml:space="preserve">changes to the </w:t>
      </w:r>
      <w:r w:rsidR="00B7695D">
        <w:rPr>
          <w:rFonts w:cs="Times New Roman"/>
          <w:lang w:val="en-AU"/>
        </w:rPr>
        <w:t xml:space="preserve">program </w:t>
      </w:r>
      <w:r w:rsidR="00594D24" w:rsidRPr="00F71B40">
        <w:rPr>
          <w:rFonts w:cs="Times New Roman"/>
          <w:lang w:val="en-AU"/>
        </w:rPr>
        <w:t>design</w:t>
      </w:r>
      <w:r w:rsidR="00B7695D">
        <w:rPr>
          <w:rFonts w:cs="Times New Roman"/>
          <w:lang w:val="en-AU"/>
        </w:rPr>
        <w:t xml:space="preserve">. </w:t>
      </w:r>
      <w:r w:rsidR="007B3525" w:rsidRPr="00F71B40">
        <w:rPr>
          <w:lang w:val="en-AU"/>
        </w:rPr>
        <w:t xml:space="preserve">This section suggests </w:t>
      </w:r>
      <w:r w:rsidR="00977C85" w:rsidRPr="00F71B40">
        <w:rPr>
          <w:lang w:val="en-AU"/>
        </w:rPr>
        <w:t xml:space="preserve">how these issues can be addressed and also </w:t>
      </w:r>
      <w:r w:rsidR="007B3525" w:rsidRPr="00F71B40">
        <w:rPr>
          <w:lang w:val="en-AU"/>
        </w:rPr>
        <w:t>how the partnership arrangements for managing the program might be strengthened, to deal with the very vexing issues of shared sovereignty</w:t>
      </w:r>
      <w:r w:rsidR="004C240E" w:rsidRPr="00F71B40">
        <w:rPr>
          <w:lang w:val="en-AU"/>
        </w:rPr>
        <w:t xml:space="preserve"> in the light of the risks set out in Section </w:t>
      </w:r>
      <w:r w:rsidR="004C240E" w:rsidRPr="00F71B40">
        <w:rPr>
          <w:lang w:val="en-AU"/>
        </w:rPr>
        <w:fldChar w:fldCharType="begin"/>
      </w:r>
      <w:r w:rsidR="004C240E" w:rsidRPr="00F71B40">
        <w:rPr>
          <w:lang w:val="en-AU"/>
        </w:rPr>
        <w:instrText xml:space="preserve"> REF _Ref396646754 \r </w:instrText>
      </w:r>
      <w:r w:rsidR="00D62A32" w:rsidRPr="00F71B40">
        <w:rPr>
          <w:lang w:val="en-AU"/>
        </w:rPr>
        <w:instrText xml:space="preserve"> \* MERGEFORMAT </w:instrText>
      </w:r>
      <w:r w:rsidR="004C240E" w:rsidRPr="00F71B40">
        <w:rPr>
          <w:lang w:val="en-AU"/>
        </w:rPr>
        <w:fldChar w:fldCharType="separate"/>
      </w:r>
      <w:r w:rsidR="00EF43BE">
        <w:rPr>
          <w:lang w:val="en-AU"/>
        </w:rPr>
        <w:t>5</w:t>
      </w:r>
      <w:r w:rsidR="004C240E" w:rsidRPr="00F71B40">
        <w:rPr>
          <w:lang w:val="en-AU"/>
        </w:rPr>
        <w:fldChar w:fldCharType="end"/>
      </w:r>
      <w:r w:rsidR="004C240E" w:rsidRPr="00F71B40">
        <w:rPr>
          <w:lang w:val="en-AU"/>
        </w:rPr>
        <w:fldChar w:fldCharType="begin"/>
      </w:r>
      <w:r w:rsidR="004C240E" w:rsidRPr="00F71B40">
        <w:rPr>
          <w:lang w:val="en-AU"/>
        </w:rPr>
        <w:instrText xml:space="preserve"> REF _Ref399264124 \r \p </w:instrText>
      </w:r>
      <w:r w:rsidR="00D62A32" w:rsidRPr="00F71B40">
        <w:rPr>
          <w:lang w:val="en-AU"/>
        </w:rPr>
        <w:instrText xml:space="preserve"> \* MERGEFORMAT </w:instrText>
      </w:r>
      <w:r w:rsidR="004C240E" w:rsidRPr="00F71B40">
        <w:rPr>
          <w:lang w:val="en-AU"/>
        </w:rPr>
        <w:fldChar w:fldCharType="separate"/>
      </w:r>
      <w:r w:rsidR="00EF43BE">
        <w:rPr>
          <w:lang w:val="en-AU"/>
        </w:rPr>
        <w:t>c above</w:t>
      </w:r>
      <w:r w:rsidR="004C240E" w:rsidRPr="00F71B40">
        <w:rPr>
          <w:lang w:val="en-AU"/>
        </w:rPr>
        <w:fldChar w:fldCharType="end"/>
      </w:r>
      <w:r w:rsidR="007B3525" w:rsidRPr="00F71B40">
        <w:rPr>
          <w:lang w:val="en-AU"/>
        </w:rPr>
        <w:t>.</w:t>
      </w:r>
      <w:r w:rsidR="00E256D6">
        <w:rPr>
          <w:lang w:val="en-AU"/>
        </w:rPr>
        <w:t xml:space="preserve">  </w:t>
      </w:r>
    </w:p>
    <w:p w:rsidR="004C240E" w:rsidRPr="00F71B40" w:rsidRDefault="004C240E" w:rsidP="00D62A32">
      <w:pPr>
        <w:pStyle w:val="NoSpacing"/>
        <w:rPr>
          <w:lang w:val="en-AU"/>
        </w:rPr>
      </w:pPr>
    </w:p>
    <w:p w:rsidR="007B3525" w:rsidRPr="00F71B40" w:rsidRDefault="007B3525" w:rsidP="00D62A32">
      <w:pPr>
        <w:pStyle w:val="NoSpacing"/>
        <w:rPr>
          <w:lang w:val="en-AU"/>
        </w:rPr>
      </w:pPr>
      <w:r w:rsidRPr="00F71B40">
        <w:rPr>
          <w:lang w:val="en-AU"/>
        </w:rPr>
        <w:t>In making these suggestions, the review team is very aware of the strong human capital that the SIGOV program is able to draw on.  The dedication and detailed knowledge of the current team, within DFAT and in URS, is clear – both through direct observation and by noting the remarkable level of collaboration and trust that has been achieved with government counterparts.</w:t>
      </w:r>
    </w:p>
    <w:p w:rsidR="00E46343" w:rsidRPr="00F71B40" w:rsidRDefault="00E46343" w:rsidP="00D62A32">
      <w:pPr>
        <w:rPr>
          <w:rFonts w:cs="Times New Roman"/>
          <w:lang w:val="en-AU"/>
        </w:rPr>
      </w:pPr>
    </w:p>
    <w:p w:rsidR="00E46343" w:rsidRPr="00F71B40" w:rsidRDefault="00E46343" w:rsidP="004D15F8">
      <w:pPr>
        <w:pStyle w:val="Heading2"/>
        <w:numPr>
          <w:ilvl w:val="0"/>
          <w:numId w:val="13"/>
        </w:numPr>
        <w:rPr>
          <w:lang w:val="en-AU"/>
        </w:rPr>
      </w:pPr>
      <w:bookmarkStart w:id="79" w:name="_Toc399410399"/>
      <w:r w:rsidRPr="00F71B40">
        <w:rPr>
          <w:lang w:val="en-AU"/>
        </w:rPr>
        <w:t>Reconsidering the program objectives</w:t>
      </w:r>
      <w:bookmarkEnd w:id="79"/>
    </w:p>
    <w:p w:rsidR="00E5175E" w:rsidRPr="00F71B40" w:rsidRDefault="00E5175E" w:rsidP="00D62A32">
      <w:pPr>
        <w:rPr>
          <w:lang w:val="en-AU"/>
        </w:rPr>
      </w:pPr>
    </w:p>
    <w:p w:rsidR="00DD3505" w:rsidRPr="00F71B40" w:rsidRDefault="001C178B" w:rsidP="00D62A32">
      <w:pPr>
        <w:rPr>
          <w:rFonts w:cs="Times New Roman"/>
          <w:lang w:val="en-AU"/>
        </w:rPr>
      </w:pPr>
      <w:r w:rsidRPr="00F71B40">
        <w:rPr>
          <w:rFonts w:cs="Times New Roman"/>
          <w:lang w:val="en-AU"/>
        </w:rPr>
        <w:t>Reflecting again on the “evolving” SIGOV program objectives (Economic growth supported; Public service performance strengthened; Public financial management strengthened; Individual and institutional accountability and transparency improved) then</w:t>
      </w:r>
      <w:r w:rsidR="0085182B" w:rsidRPr="00F71B40">
        <w:rPr>
          <w:rFonts w:cs="Times New Roman"/>
          <w:lang w:val="en-AU"/>
        </w:rPr>
        <w:t>,</w:t>
      </w:r>
      <w:r w:rsidRPr="00F71B40">
        <w:rPr>
          <w:rFonts w:cs="Times New Roman"/>
          <w:lang w:val="en-AU"/>
        </w:rPr>
        <w:t xml:space="preserve"> </w:t>
      </w:r>
      <w:r w:rsidR="00054549" w:rsidRPr="00F71B40">
        <w:rPr>
          <w:rFonts w:cs="Times New Roman"/>
          <w:lang w:val="en-AU"/>
        </w:rPr>
        <w:t xml:space="preserve">while they all represent enormous challenges, it is not clear how any could be dropped. </w:t>
      </w:r>
      <w:r w:rsidR="00DD3505" w:rsidRPr="00F71B40">
        <w:rPr>
          <w:rFonts w:cs="Times New Roman"/>
          <w:lang w:val="en-AU"/>
        </w:rPr>
        <w:t xml:space="preserve"> Without progress on these dimensions, however difficult, the program would default to a fiduciary and reputational risk management exercise.</w:t>
      </w:r>
    </w:p>
    <w:p w:rsidR="00DD3505" w:rsidRPr="00F71B40" w:rsidRDefault="00DD3505" w:rsidP="00D62A32">
      <w:pPr>
        <w:rPr>
          <w:rFonts w:cs="Times New Roman"/>
          <w:lang w:val="en-AU"/>
        </w:rPr>
      </w:pPr>
    </w:p>
    <w:p w:rsidR="00D7272A" w:rsidRPr="00F71B40" w:rsidRDefault="00054549" w:rsidP="00D62A32">
      <w:pPr>
        <w:rPr>
          <w:rFonts w:cs="Times New Roman"/>
          <w:lang w:val="en-AU"/>
        </w:rPr>
      </w:pPr>
      <w:r w:rsidRPr="00F71B40">
        <w:rPr>
          <w:rFonts w:cs="Times New Roman"/>
          <w:lang w:val="en-AU"/>
        </w:rPr>
        <w:lastRenderedPageBreak/>
        <w:t>There is scope for some nuancing however</w:t>
      </w:r>
      <w:r w:rsidR="00EC4D7B" w:rsidRPr="00F71B40">
        <w:rPr>
          <w:rFonts w:cs="Times New Roman"/>
          <w:lang w:val="en-AU"/>
        </w:rPr>
        <w:t xml:space="preserve">. </w:t>
      </w:r>
      <w:r w:rsidR="00F44214" w:rsidRPr="00F71B40">
        <w:rPr>
          <w:rFonts w:cs="Times New Roman"/>
          <w:lang w:val="en-AU"/>
        </w:rPr>
        <w:t xml:space="preserve">As specified currently, </w:t>
      </w:r>
      <w:r w:rsidR="00EC4D7B" w:rsidRPr="00F71B40">
        <w:rPr>
          <w:rFonts w:cs="Times New Roman"/>
          <w:lang w:val="en-AU"/>
        </w:rPr>
        <w:t xml:space="preserve">the goals downplay the centrality of ensuring that success in working with the central agencies in Part A leads to </w:t>
      </w:r>
      <w:r w:rsidR="00F44214" w:rsidRPr="00F71B40">
        <w:rPr>
          <w:rFonts w:cs="Times New Roman"/>
          <w:lang w:val="en-AU"/>
        </w:rPr>
        <w:t xml:space="preserve">tangible results and </w:t>
      </w:r>
      <w:r w:rsidR="00EC4D7B" w:rsidRPr="00F71B40">
        <w:rPr>
          <w:rFonts w:cs="Times New Roman"/>
          <w:lang w:val="en-AU"/>
        </w:rPr>
        <w:t xml:space="preserve">service delivery success in Part B.  </w:t>
      </w:r>
      <w:r w:rsidR="00D7272A" w:rsidRPr="00F71B40">
        <w:rPr>
          <w:rFonts w:cs="Times New Roman"/>
          <w:lang w:val="en-AU"/>
        </w:rPr>
        <w:t xml:space="preserve">This is </w:t>
      </w:r>
      <w:r w:rsidR="008F6771" w:rsidRPr="00F71B40">
        <w:rPr>
          <w:rFonts w:cs="Times New Roman"/>
          <w:lang w:val="en-AU"/>
        </w:rPr>
        <w:t>a high bar for the program to clear – but</w:t>
      </w:r>
      <w:r w:rsidR="00DD3505" w:rsidRPr="00F71B40">
        <w:rPr>
          <w:rFonts w:cs="Times New Roman"/>
          <w:lang w:val="en-AU"/>
        </w:rPr>
        <w:t xml:space="preserve"> if this is set out more clearly it would ensure that the </w:t>
      </w:r>
      <w:r w:rsidR="00421453" w:rsidRPr="00F71B40">
        <w:rPr>
          <w:rFonts w:cs="Times New Roman"/>
          <w:lang w:val="en-AU"/>
        </w:rPr>
        <w:t>program</w:t>
      </w:r>
      <w:r w:rsidR="008F6771" w:rsidRPr="00F71B40">
        <w:rPr>
          <w:rFonts w:cs="Times New Roman"/>
          <w:lang w:val="en-AU"/>
        </w:rPr>
        <w:t xml:space="preserve"> </w:t>
      </w:r>
      <w:r w:rsidR="00DD3505" w:rsidRPr="00F71B40">
        <w:rPr>
          <w:rFonts w:cs="Times New Roman"/>
          <w:lang w:val="en-AU"/>
        </w:rPr>
        <w:t xml:space="preserve">does not </w:t>
      </w:r>
      <w:r w:rsidR="008F6771" w:rsidRPr="00F71B40">
        <w:rPr>
          <w:rFonts w:cs="Times New Roman"/>
          <w:lang w:val="en-AU"/>
        </w:rPr>
        <w:t>default to a focus on the central agencies for their own sake.</w:t>
      </w:r>
      <w:r w:rsidR="00681E69" w:rsidRPr="00F71B40">
        <w:rPr>
          <w:rFonts w:cs="Times New Roman"/>
          <w:lang w:val="en-AU"/>
        </w:rPr>
        <w:t xml:space="preserve">  The emerging project framework showing SIGOV activities and the associated outcomes, outputs, timeframe and measures of success is enormously helpful in clarifying what SIGOV is seeking to deliver.  However, it also illuminates the limited connection between the work on the central agencies and the challenge of ensuring downstream delivery.</w:t>
      </w:r>
      <w:r w:rsidR="00B45BCC" w:rsidRPr="00F71B40">
        <w:rPr>
          <w:rFonts w:cs="Times New Roman"/>
          <w:lang w:val="en-AU"/>
        </w:rPr>
        <w:t xml:space="preserve">  Very few of the “measures of success” relate to improvements in the sectors.</w:t>
      </w:r>
    </w:p>
    <w:p w:rsidR="00D7272A" w:rsidRPr="00F71B40" w:rsidRDefault="00D7272A" w:rsidP="00D62A32">
      <w:pPr>
        <w:rPr>
          <w:rFonts w:cs="Times New Roman"/>
          <w:lang w:val="en-AU"/>
        </w:rPr>
      </w:pPr>
    </w:p>
    <w:p w:rsidR="00EC4D7B" w:rsidRPr="00F71B40" w:rsidRDefault="00EC4D7B" w:rsidP="00D62A32">
      <w:pPr>
        <w:rPr>
          <w:rFonts w:cs="Times New Roman"/>
          <w:lang w:val="en-AU"/>
        </w:rPr>
      </w:pPr>
      <w:r w:rsidRPr="00F71B40">
        <w:rPr>
          <w:rFonts w:cs="Times New Roman"/>
          <w:lang w:val="en-AU"/>
        </w:rPr>
        <w:t>The</w:t>
      </w:r>
      <w:r w:rsidR="00DD3505" w:rsidRPr="00F71B40">
        <w:rPr>
          <w:rFonts w:cs="Times New Roman"/>
          <w:lang w:val="en-AU"/>
        </w:rPr>
        <w:t xml:space="preserve"> objectives</w:t>
      </w:r>
      <w:r w:rsidRPr="00F71B40">
        <w:rPr>
          <w:rFonts w:cs="Times New Roman"/>
          <w:lang w:val="en-AU"/>
        </w:rPr>
        <w:t xml:space="preserve"> </w:t>
      </w:r>
      <w:r w:rsidR="00D7272A" w:rsidRPr="00F71B40">
        <w:rPr>
          <w:rFonts w:cs="Times New Roman"/>
          <w:lang w:val="en-AU"/>
        </w:rPr>
        <w:t xml:space="preserve">are </w:t>
      </w:r>
      <w:r w:rsidRPr="00F71B40">
        <w:rPr>
          <w:rFonts w:cs="Times New Roman"/>
          <w:lang w:val="en-AU"/>
        </w:rPr>
        <w:t xml:space="preserve">also </w:t>
      </w:r>
      <w:r w:rsidR="00D7272A" w:rsidRPr="00F71B40">
        <w:rPr>
          <w:rFonts w:cs="Times New Roman"/>
          <w:lang w:val="en-AU"/>
        </w:rPr>
        <w:t>over-ambitious in</w:t>
      </w:r>
      <w:r w:rsidRPr="00F71B40">
        <w:rPr>
          <w:rFonts w:cs="Times New Roman"/>
          <w:lang w:val="en-AU"/>
        </w:rPr>
        <w:t xml:space="preserve"> </w:t>
      </w:r>
      <w:r w:rsidR="00D7272A" w:rsidRPr="00F71B40">
        <w:rPr>
          <w:rFonts w:cs="Times New Roman"/>
          <w:lang w:val="en-AU"/>
        </w:rPr>
        <w:t xml:space="preserve">relation to </w:t>
      </w:r>
      <w:r w:rsidR="00E46343" w:rsidRPr="00F71B40">
        <w:rPr>
          <w:rFonts w:cs="Times New Roman"/>
          <w:lang w:val="en-AU"/>
        </w:rPr>
        <w:t>individual a</w:t>
      </w:r>
      <w:r w:rsidRPr="00F71B40">
        <w:rPr>
          <w:rFonts w:cs="Times New Roman"/>
          <w:lang w:val="en-AU"/>
        </w:rPr>
        <w:t>nd institutional accountability</w:t>
      </w:r>
      <w:r w:rsidR="00D7272A" w:rsidRPr="00F71B40">
        <w:rPr>
          <w:rFonts w:cs="Times New Roman"/>
          <w:lang w:val="en-AU"/>
        </w:rPr>
        <w:t xml:space="preserve">, allowing the interpretation that SIGOV will help achieve a public service that is fully accountable for results as well as probity.  </w:t>
      </w:r>
      <w:r w:rsidRPr="00F71B40">
        <w:rPr>
          <w:rFonts w:cs="Times New Roman"/>
          <w:lang w:val="en-AU"/>
        </w:rPr>
        <w:t>In reality, fiduciary accountability for financial management decisions is likely to take precedence for some considerable time over accountability for performance and results.</w:t>
      </w:r>
      <w:r w:rsidR="00E256D6">
        <w:rPr>
          <w:rFonts w:cs="Times New Roman"/>
          <w:lang w:val="en-AU"/>
        </w:rPr>
        <w:t xml:space="preserve">  </w:t>
      </w:r>
    </w:p>
    <w:p w:rsidR="00DD3505" w:rsidRPr="00F71B40" w:rsidRDefault="00DD3505" w:rsidP="00D62A32">
      <w:pPr>
        <w:rPr>
          <w:rFonts w:cs="Times New Roman"/>
          <w:lang w:val="en-AU"/>
        </w:rPr>
      </w:pPr>
    </w:p>
    <w:p w:rsidR="00DD3505" w:rsidRPr="00F71B40" w:rsidRDefault="00DD3505" w:rsidP="00D62A32">
      <w:pPr>
        <w:rPr>
          <w:rFonts w:cs="Times New Roman"/>
          <w:lang w:val="en-AU"/>
        </w:rPr>
      </w:pPr>
      <w:r w:rsidRPr="00F71B40">
        <w:rPr>
          <w:rFonts w:cs="Times New Roman"/>
          <w:lang w:val="en-AU"/>
        </w:rPr>
        <w:t xml:space="preserve">Finally, while admittedly delicate, the </w:t>
      </w:r>
      <w:r w:rsidR="002D3751" w:rsidRPr="00F71B40">
        <w:rPr>
          <w:rFonts w:cs="Times New Roman"/>
          <w:lang w:val="en-AU"/>
        </w:rPr>
        <w:t xml:space="preserve">fiduciary and reputational risks for both SIG and for Australia are </w:t>
      </w:r>
      <w:r w:rsidR="00F57583">
        <w:rPr>
          <w:rFonts w:cs="Times New Roman"/>
          <w:lang w:val="en-AU"/>
        </w:rPr>
        <w:t>evident</w:t>
      </w:r>
      <w:r w:rsidR="002D3751" w:rsidRPr="00F71B40">
        <w:rPr>
          <w:rFonts w:cs="Times New Roman"/>
          <w:lang w:val="en-AU"/>
        </w:rPr>
        <w:t>.  It may help in clarifying positions if this was specified more clearly.</w:t>
      </w:r>
    </w:p>
    <w:p w:rsidR="007C70BC" w:rsidRPr="00F71B40" w:rsidRDefault="007C70BC" w:rsidP="00D62A32">
      <w:pPr>
        <w:rPr>
          <w:rFonts w:cs="Times New Roman"/>
          <w:lang w:val="en-AU"/>
        </w:rPr>
      </w:pPr>
    </w:p>
    <w:tbl>
      <w:tblPr>
        <w:tblStyle w:val="TableGrid"/>
        <w:tblW w:w="0" w:type="auto"/>
        <w:tblLook w:val="04A0" w:firstRow="1" w:lastRow="0" w:firstColumn="1" w:lastColumn="0" w:noHBand="0" w:noVBand="1"/>
      </w:tblPr>
      <w:tblGrid>
        <w:gridCol w:w="9576"/>
      </w:tblGrid>
      <w:tr w:rsidR="0009758E" w:rsidRPr="00F71B40" w:rsidTr="007C70BC">
        <w:tc>
          <w:tcPr>
            <w:tcW w:w="9576" w:type="dxa"/>
            <w:shd w:val="clear" w:color="auto" w:fill="EEECE1" w:themeFill="background2"/>
          </w:tcPr>
          <w:p w:rsidR="007C70BC" w:rsidRPr="00F71B40" w:rsidRDefault="007C70BC" w:rsidP="00BA706F">
            <w:pPr>
              <w:pStyle w:val="Caption"/>
              <w:rPr>
                <w:lang w:val="en-AU"/>
              </w:rPr>
            </w:pPr>
            <w:r w:rsidRPr="00F71B40">
              <w:rPr>
                <w:lang w:val="en-AU"/>
              </w:rPr>
              <w:t xml:space="preserve">Recommendation </w:t>
            </w:r>
            <w:r w:rsidRPr="00F71B40">
              <w:rPr>
                <w:lang w:val="en-AU"/>
              </w:rPr>
              <w:fldChar w:fldCharType="begin"/>
            </w:r>
            <w:r w:rsidRPr="00F71B40">
              <w:rPr>
                <w:lang w:val="en-AU"/>
              </w:rPr>
              <w:instrText xml:space="preserve"> SEQ Recommendation \* ARABIC </w:instrText>
            </w:r>
            <w:r w:rsidRPr="00F71B40">
              <w:rPr>
                <w:lang w:val="en-AU"/>
              </w:rPr>
              <w:fldChar w:fldCharType="separate"/>
            </w:r>
            <w:r w:rsidR="00EF43BE">
              <w:rPr>
                <w:noProof/>
                <w:lang w:val="en-AU"/>
              </w:rPr>
              <w:t>1</w:t>
            </w:r>
            <w:r w:rsidRPr="00F71B40">
              <w:rPr>
                <w:lang w:val="en-AU"/>
              </w:rPr>
              <w:fldChar w:fldCharType="end"/>
            </w:r>
            <w:r w:rsidRPr="00F71B40">
              <w:rPr>
                <w:lang w:val="en-AU"/>
              </w:rPr>
              <w:t>: Program objectives</w:t>
            </w:r>
          </w:p>
          <w:p w:rsidR="007C70BC" w:rsidRPr="00F71B40" w:rsidRDefault="007C70BC" w:rsidP="00D62A32">
            <w:pPr>
              <w:keepNext/>
              <w:keepLines/>
              <w:rPr>
                <w:lang w:val="en-AU"/>
              </w:rPr>
            </w:pPr>
          </w:p>
          <w:p w:rsidR="007C70BC" w:rsidRPr="00F71B40" w:rsidRDefault="007C70BC" w:rsidP="00D62A32">
            <w:pPr>
              <w:keepNext/>
              <w:keepLines/>
              <w:rPr>
                <w:rFonts w:cs="Times New Roman"/>
                <w:lang w:val="en-AU"/>
              </w:rPr>
            </w:pPr>
            <w:r w:rsidRPr="00F71B40">
              <w:rPr>
                <w:rFonts w:cs="Times New Roman"/>
                <w:lang w:val="en-AU"/>
              </w:rPr>
              <w:t>The program objectives of SIGOV could be re-specified as:</w:t>
            </w:r>
          </w:p>
          <w:p w:rsidR="002E1439" w:rsidRPr="002E1439" w:rsidRDefault="002E1439" w:rsidP="002E1439">
            <w:pPr>
              <w:pStyle w:val="ListParagraph"/>
              <w:keepNext/>
              <w:keepLines/>
              <w:numPr>
                <w:ilvl w:val="0"/>
                <w:numId w:val="26"/>
              </w:numPr>
              <w:rPr>
                <w:rFonts w:cs="Times New Roman"/>
                <w:lang w:val="en-AU"/>
              </w:rPr>
            </w:pPr>
            <w:r w:rsidRPr="002E1439">
              <w:rPr>
                <w:rFonts w:cs="Times New Roman"/>
                <w:lang w:val="en-AU"/>
              </w:rPr>
              <w:t>Improving the performance of the central agencies to enable effective delivery of key services and support economic growth;</w:t>
            </w:r>
          </w:p>
          <w:p w:rsidR="002E1439" w:rsidRPr="003F0C47" w:rsidRDefault="00A940D2" w:rsidP="006A70A3">
            <w:pPr>
              <w:pStyle w:val="ListParagraph"/>
              <w:numPr>
                <w:ilvl w:val="0"/>
                <w:numId w:val="26"/>
              </w:numPr>
              <w:rPr>
                <w:rFonts w:cs="Times New Roman"/>
                <w:lang w:val="en-AU"/>
              </w:rPr>
            </w:pPr>
            <w:r w:rsidRPr="00F71B40">
              <w:rPr>
                <w:rFonts w:cs="Times New Roman"/>
                <w:lang w:val="en-AU"/>
              </w:rPr>
              <w:t>Identifying and removing other systemic obstacles to sector service delivery</w:t>
            </w:r>
            <w:r>
              <w:rPr>
                <w:rFonts w:cs="Times New Roman"/>
                <w:lang w:val="en-AU"/>
              </w:rPr>
              <w:t xml:space="preserve"> </w:t>
            </w:r>
            <w:r w:rsidRPr="002E1439">
              <w:rPr>
                <w:rFonts w:cs="Times New Roman"/>
                <w:lang w:val="en-AU"/>
              </w:rPr>
              <w:t xml:space="preserve">and </w:t>
            </w:r>
            <w:r>
              <w:rPr>
                <w:rFonts w:cs="Times New Roman"/>
                <w:lang w:val="en-AU"/>
              </w:rPr>
              <w:t>to the creation of an</w:t>
            </w:r>
            <w:r w:rsidRPr="002E1439">
              <w:rPr>
                <w:rFonts w:cs="Times New Roman"/>
                <w:lang w:val="en-AU"/>
              </w:rPr>
              <w:t xml:space="preserve"> enabling environment for growth</w:t>
            </w:r>
            <w:r w:rsidRPr="00F71B40">
              <w:rPr>
                <w:rFonts w:cs="Times New Roman"/>
                <w:lang w:val="en-AU"/>
              </w:rPr>
              <w:t>; and</w:t>
            </w:r>
          </w:p>
          <w:p w:rsidR="007C70BC" w:rsidRPr="00F71B40" w:rsidRDefault="002E1439" w:rsidP="004D15F8">
            <w:pPr>
              <w:pStyle w:val="ListParagraph"/>
              <w:keepNext/>
              <w:keepLines/>
              <w:numPr>
                <w:ilvl w:val="0"/>
                <w:numId w:val="26"/>
              </w:numPr>
              <w:rPr>
                <w:rFonts w:cs="Times New Roman"/>
                <w:lang w:val="en-AU"/>
              </w:rPr>
            </w:pPr>
            <w:r w:rsidRPr="002E1439">
              <w:rPr>
                <w:rFonts w:cs="Times New Roman"/>
                <w:lang w:val="en-AU"/>
              </w:rPr>
              <w:t>Mitigating fiduciary risks to Australian and SIG funds.</w:t>
            </w:r>
          </w:p>
        </w:tc>
      </w:tr>
    </w:tbl>
    <w:p w:rsidR="00E46343" w:rsidRPr="00F71B40" w:rsidRDefault="00E46343" w:rsidP="00D62A32">
      <w:pPr>
        <w:rPr>
          <w:lang w:val="en-AU"/>
        </w:rPr>
      </w:pPr>
    </w:p>
    <w:p w:rsidR="003D7D17" w:rsidRPr="00F71B40" w:rsidRDefault="00BD0A35" w:rsidP="004D15F8">
      <w:pPr>
        <w:pStyle w:val="Heading2"/>
        <w:numPr>
          <w:ilvl w:val="0"/>
          <w:numId w:val="13"/>
        </w:numPr>
        <w:rPr>
          <w:lang w:val="en-AU"/>
        </w:rPr>
      </w:pPr>
      <w:bookmarkStart w:id="80" w:name="_Ref399315297"/>
      <w:bookmarkStart w:id="81" w:name="_Toc399410400"/>
      <w:bookmarkStart w:id="82" w:name="_Ref396720894"/>
      <w:bookmarkStart w:id="83" w:name="_Ref396720919"/>
      <w:bookmarkStart w:id="84" w:name="_Ref396720928"/>
      <w:r w:rsidRPr="00F71B40">
        <w:rPr>
          <w:lang w:val="en-AU"/>
        </w:rPr>
        <w:t xml:space="preserve">Partnership and </w:t>
      </w:r>
      <w:r w:rsidR="003D7D17" w:rsidRPr="00F71B40">
        <w:rPr>
          <w:lang w:val="en-AU"/>
        </w:rPr>
        <w:t>the joint DFAT/government SIGOV governance structures</w:t>
      </w:r>
      <w:bookmarkEnd w:id="80"/>
      <w:bookmarkEnd w:id="81"/>
      <w:r w:rsidR="003D7D17" w:rsidRPr="00F71B40">
        <w:rPr>
          <w:lang w:val="en-AU"/>
        </w:rPr>
        <w:t xml:space="preserve"> </w:t>
      </w:r>
      <w:bookmarkEnd w:id="82"/>
      <w:bookmarkEnd w:id="83"/>
      <w:bookmarkEnd w:id="84"/>
    </w:p>
    <w:p w:rsidR="003D7D17" w:rsidRPr="00F71B40" w:rsidRDefault="003D7D17" w:rsidP="00D62A32">
      <w:pPr>
        <w:rPr>
          <w:rFonts w:cs="Times New Roman"/>
          <w:lang w:val="en-AU"/>
        </w:rPr>
      </w:pPr>
    </w:p>
    <w:p w:rsidR="003D7D17" w:rsidRPr="00F71B40" w:rsidRDefault="003D7D17" w:rsidP="00D62A32">
      <w:pPr>
        <w:rPr>
          <w:lang w:val="en-AU"/>
        </w:rPr>
      </w:pPr>
      <w:r w:rsidRPr="00F71B40">
        <w:rPr>
          <w:lang w:val="en-AU"/>
        </w:rPr>
        <w:t>There are a series of carefully constructed governance and advisory structures through which DFAT staff and government counterparts can in principle review progress and reform strategy within SIGOV.</w:t>
      </w:r>
    </w:p>
    <w:p w:rsidR="003D7D17" w:rsidRPr="00F71B40" w:rsidRDefault="003D7D17" w:rsidP="00D62A32">
      <w:pPr>
        <w:rPr>
          <w:lang w:val="en-AU"/>
        </w:rPr>
      </w:pPr>
    </w:p>
    <w:p w:rsidR="003D7D17" w:rsidRPr="00F71B40" w:rsidRDefault="003D7D17" w:rsidP="00D62A32">
      <w:pPr>
        <w:rPr>
          <w:lang w:val="en-AU"/>
        </w:rPr>
      </w:pPr>
      <w:r w:rsidRPr="00F71B40">
        <w:rPr>
          <w:lang w:val="en-AU"/>
        </w:rPr>
        <w:t xml:space="preserve">Most obviously, there is the </w:t>
      </w:r>
      <w:r w:rsidRPr="00F71B40">
        <w:rPr>
          <w:b/>
          <w:i/>
          <w:lang w:val="en-AU"/>
        </w:rPr>
        <w:t>Core Economic Working Group</w:t>
      </w:r>
      <w:r w:rsidRPr="00F71B40">
        <w:rPr>
          <w:lang w:val="en-AU"/>
        </w:rPr>
        <w:t xml:space="preserve"> – a body which has the advantage </w:t>
      </w:r>
      <w:r w:rsidR="00302B64" w:rsidRPr="00F71B40">
        <w:rPr>
          <w:lang w:val="en-AU"/>
        </w:rPr>
        <w:t>of</w:t>
      </w:r>
      <w:r w:rsidRPr="00F71B40">
        <w:rPr>
          <w:lang w:val="en-AU"/>
        </w:rPr>
        <w:t xml:space="preserve"> including other major donors. Reviews of the strength and gravitas of the CEWG are somewhat contradictory.</w:t>
      </w:r>
      <w:r w:rsidR="00E256D6">
        <w:rPr>
          <w:lang w:val="en-AU"/>
        </w:rPr>
        <w:t xml:space="preserve">  </w:t>
      </w:r>
      <w:r w:rsidRPr="00F71B40">
        <w:rPr>
          <w:lang w:val="en-AU"/>
        </w:rPr>
        <w:t xml:space="preserve">On the one hand, “CEWG has been a highly effective mechanism for joint SIG/donor policy engagement.  While starting out as a way to respond to the global financial crisis, it has continued as an active formal and informal engagement mechanism for donors on SIG on public expenditure management and policy reform more generally.” </w:t>
      </w:r>
      <w:r w:rsidR="00115AC9" w:rsidRPr="00F71B40">
        <w:rPr>
          <w:lang w:val="en-AU"/>
        </w:rPr>
        <w:fldChar w:fldCharType="begin"/>
      </w:r>
      <w:r w:rsidR="00115AC9" w:rsidRPr="00F71B40">
        <w:rPr>
          <w:lang w:val="en-AU"/>
        </w:rPr>
        <w:instrText xml:space="preserve"> ADDIN EN.CITE &lt;EndNote&gt;&lt;Cite&gt;&lt;Author&gt;AusAID&lt;/Author&gt;&lt;Year&gt;2013&lt;/Year&gt;&lt;RecNum&gt;4260&lt;/RecNum&gt;&lt;Suffix&gt;`, p.2&lt;/Suffix&gt;&lt;DisplayText&gt;(AusAID, 2013, p.2)&lt;/DisplayText&gt;&lt;record&gt;&lt;rec-number&gt;4260&lt;/rec-number&gt;&lt;foreign-keys&gt;&lt;key app="EN" db-id="5v9z5rrdszvwsneef06v9dapsd0apdtfapdx" timestamp="1408387630"&gt;4260&lt;/key&gt;&lt;/foreign-keys&gt;&lt;ref-type name="Report"&gt;27&lt;/ref-type&gt;&lt;contributors&gt;&lt;authors&gt;&lt;author&gt;AusAID&lt;/author&gt;&lt;/authors&gt;&lt;/contributors&gt;&lt;titles&gt;&lt;title&gt;Delivery Strategy: Solomon Islands Economic and Public Sector Governance Program (SIGOV) 2013-4 to 2017-18&lt;/title&gt;&lt;/titles&gt;&lt;dates&gt;&lt;year&gt;2013&lt;/year&gt;&lt;/dates&gt;&lt;pub-location&gt;Canberra &lt;/pub-location&gt;&lt;publisher&gt;AusAID&lt;/publisher&gt;&lt;urls&gt;&lt;/urls&gt;&lt;/record&gt;&lt;/Cite&gt;&lt;/EndNote&gt;</w:instrText>
      </w:r>
      <w:r w:rsidR="00115AC9" w:rsidRPr="00F71B40">
        <w:rPr>
          <w:lang w:val="en-AU"/>
        </w:rPr>
        <w:fldChar w:fldCharType="separate"/>
      </w:r>
      <w:r w:rsidR="00115AC9" w:rsidRPr="00F71B40">
        <w:rPr>
          <w:lang w:val="en-AU"/>
        </w:rPr>
        <w:t>(</w:t>
      </w:r>
      <w:hyperlink w:anchor="_ENREF_13" w:tooltip="AusAID, 2013 #4260" w:history="1">
        <w:r w:rsidR="00CC56DB" w:rsidRPr="00F71B40">
          <w:rPr>
            <w:lang w:val="en-AU"/>
          </w:rPr>
          <w:t>AusAID, 2013, p.2</w:t>
        </w:r>
      </w:hyperlink>
      <w:r w:rsidR="00115AC9" w:rsidRPr="00F71B40">
        <w:rPr>
          <w:lang w:val="en-AU"/>
        </w:rPr>
        <w:t>)</w:t>
      </w:r>
      <w:r w:rsidR="00115AC9" w:rsidRPr="00F71B40">
        <w:rPr>
          <w:lang w:val="en-AU"/>
        </w:rPr>
        <w:fldChar w:fldCharType="end"/>
      </w:r>
      <w:r w:rsidRPr="00F71B40">
        <w:rPr>
          <w:lang w:val="en-AU"/>
        </w:rPr>
        <w:t>.</w:t>
      </w:r>
      <w:r w:rsidR="00E256D6">
        <w:rPr>
          <w:lang w:val="en-AU"/>
        </w:rPr>
        <w:t xml:space="preserve">  </w:t>
      </w:r>
      <w:r w:rsidRPr="00F71B40">
        <w:rPr>
          <w:lang w:val="en-AU"/>
        </w:rPr>
        <w:t xml:space="preserve">“The success of the CEWG reflects the strong leadership of the Minister of Finance and Treasury and his Permanent Secretary, support from the Prime Minister, other ministers and senior SIG officials, and the commitment of donors to support the Government’s economic and financial reform program’ </w:t>
      </w:r>
      <w:r w:rsidR="00115AC9" w:rsidRPr="00F71B40">
        <w:rPr>
          <w:lang w:val="en-AU"/>
        </w:rPr>
        <w:fldChar w:fldCharType="begin"/>
      </w:r>
      <w:r w:rsidR="00115AC9" w:rsidRPr="00F71B40">
        <w:rPr>
          <w:lang w:val="en-AU"/>
        </w:rPr>
        <w:instrText xml:space="preserve"> ADDIN EN.CITE &lt;EndNote&gt;&lt;Cite ExcludeAuth="1"&gt;&lt;Author&gt;CEWG&lt;/Author&gt;&lt;Year&gt;2013&lt;/Year&gt;&lt;RecNum&gt;4266&lt;/RecNum&gt;&lt;Suffix&gt;`, p. vi&lt;/Suffix&gt;&lt;DisplayText&gt;(2013, p. vi)&lt;/DisplayText&gt;&lt;record&gt;&lt;rec-number&gt;4266&lt;/rec-number&gt;&lt;foreign-keys&gt;&lt;key app="EN" db-id="5v9z5rrdszvwsneef06v9dapsd0apdtfapdx" timestamp="1408393765"&gt;4266&lt;/key&gt;&lt;/foreign-keys&gt;&lt;ref-type name="Report"&gt;27&lt;/ref-type&gt;&lt;contributors&gt;&lt;authors&gt;&lt;author&gt;CEWG&lt;/author&gt;&lt;/authors&gt;&lt;/contributors&gt;&lt;titles&gt;&lt;title&gt;Report of Fourth Annual Joint Review Mission&lt;/title&gt;&lt;/titles&gt;&lt;dates&gt;&lt;year&gt;2013&lt;/year&gt;&lt;/dates&gt;&lt;pub-location&gt;Honiara&lt;/pub-location&gt;&lt;publisher&gt;Solomon Islands Core Economic Working Group&lt;/publisher&gt;&lt;urls&gt;&lt;/urls&gt;&lt;/record&gt;&lt;/Cite&gt;&lt;/EndNote&gt;</w:instrText>
      </w:r>
      <w:r w:rsidR="00115AC9" w:rsidRPr="00F71B40">
        <w:rPr>
          <w:lang w:val="en-AU"/>
        </w:rPr>
        <w:fldChar w:fldCharType="separate"/>
      </w:r>
      <w:r w:rsidR="00115AC9" w:rsidRPr="00F71B40">
        <w:rPr>
          <w:lang w:val="en-AU"/>
        </w:rPr>
        <w:t>(</w:t>
      </w:r>
      <w:hyperlink w:anchor="_ENREF_34" w:tooltip="CEWG, 2013 #4266" w:history="1">
        <w:r w:rsidR="00CC56DB" w:rsidRPr="00F71B40">
          <w:rPr>
            <w:lang w:val="en-AU"/>
          </w:rPr>
          <w:t>2013, p. vi</w:t>
        </w:r>
      </w:hyperlink>
      <w:r w:rsidR="00115AC9" w:rsidRPr="00F71B40">
        <w:rPr>
          <w:lang w:val="en-AU"/>
        </w:rPr>
        <w:t>)</w:t>
      </w:r>
      <w:r w:rsidR="00115AC9" w:rsidRPr="00F71B40">
        <w:rPr>
          <w:lang w:val="en-AU"/>
        </w:rPr>
        <w:fldChar w:fldCharType="end"/>
      </w:r>
      <w:r w:rsidRPr="00F71B40">
        <w:rPr>
          <w:lang w:val="en-AU"/>
        </w:rPr>
        <w:t>.  On the other, “</w:t>
      </w:r>
      <w:r w:rsidR="00302B64" w:rsidRPr="00F71B40">
        <w:rPr>
          <w:lang w:val="en-AU"/>
        </w:rPr>
        <w:t>Government</w:t>
      </w:r>
      <w:r w:rsidRPr="00F71B40">
        <w:rPr>
          <w:lang w:val="en-AU"/>
        </w:rPr>
        <w:t xml:space="preserve"> participation is largely limited to MoFT, while other government departments that are members of the CEWG either do not attend CEWG meetings or were not represented at a sufficiently senior level to effectively engage in the CEWG dialogue.”</w:t>
      </w:r>
      <w:r w:rsidR="00115AC9" w:rsidRPr="00F71B40">
        <w:rPr>
          <w:lang w:val="en-AU"/>
        </w:rPr>
        <w:fldChar w:fldCharType="begin"/>
      </w:r>
      <w:r w:rsidR="00115AC9" w:rsidRPr="00F71B40">
        <w:rPr>
          <w:lang w:val="en-AU"/>
        </w:rPr>
        <w:instrText xml:space="preserve"> ADDIN EN.CITE &lt;EndNote&gt;&lt;Cite ExcludeAuth="1"&gt;&lt;Author&gt;CEWG&lt;/Author&gt;&lt;Year&gt;2013&lt;/Year&gt;&lt;RecNum&gt;4266&lt;/RecNum&gt;&lt;Suffix&gt;`, p.viii&lt;/Suffix&gt;&lt;DisplayText&gt;(2013, p.viii)&lt;/DisplayText&gt;&lt;record&gt;&lt;rec-number&gt;4266&lt;/rec-number&gt;&lt;foreign-keys&gt;&lt;key app="EN" db-id="5v9z5rrdszvwsneef06v9dapsd0apdtfapdx" timestamp="1408393765"&gt;4266&lt;/key&gt;&lt;/foreign-keys&gt;&lt;ref-type name="Report"&gt;27&lt;/ref-type&gt;&lt;contributors&gt;&lt;authors&gt;&lt;author&gt;CEWG&lt;/author&gt;&lt;/authors&gt;&lt;/contributors&gt;&lt;titles&gt;&lt;title&gt;Report of Fourth Annual Joint Review Mission&lt;/title&gt;&lt;/titles&gt;&lt;dates&gt;&lt;year&gt;2013&lt;/year&gt;&lt;/dates&gt;&lt;pub-location&gt;Honiara&lt;/pub-location&gt;&lt;publisher&gt;Solomon Islands Core Economic Working Group&lt;/publisher&gt;&lt;urls&gt;&lt;/urls&gt;&lt;/record&gt;&lt;/Cite&gt;&lt;/EndNote&gt;</w:instrText>
      </w:r>
      <w:r w:rsidR="00115AC9" w:rsidRPr="00F71B40">
        <w:rPr>
          <w:lang w:val="en-AU"/>
        </w:rPr>
        <w:fldChar w:fldCharType="separate"/>
      </w:r>
      <w:r w:rsidR="00115AC9" w:rsidRPr="00F71B40">
        <w:rPr>
          <w:lang w:val="en-AU"/>
        </w:rPr>
        <w:t>(</w:t>
      </w:r>
      <w:hyperlink w:anchor="_ENREF_34" w:tooltip="CEWG, 2013 #4266" w:history="1">
        <w:r w:rsidR="00CC56DB" w:rsidRPr="00F71B40">
          <w:rPr>
            <w:lang w:val="en-AU"/>
          </w:rPr>
          <w:t>2013, p.viii</w:t>
        </w:r>
      </w:hyperlink>
      <w:r w:rsidR="00115AC9" w:rsidRPr="00F71B40">
        <w:rPr>
          <w:lang w:val="en-AU"/>
        </w:rPr>
        <w:t>)</w:t>
      </w:r>
      <w:r w:rsidR="00115AC9" w:rsidRPr="00F71B40">
        <w:rPr>
          <w:lang w:val="en-AU"/>
        </w:rPr>
        <w:fldChar w:fldCharType="end"/>
      </w:r>
    </w:p>
    <w:p w:rsidR="003D7D17" w:rsidRPr="00F71B40" w:rsidRDefault="003D7D17" w:rsidP="00D62A32">
      <w:pPr>
        <w:rPr>
          <w:lang w:val="en-AU"/>
        </w:rPr>
      </w:pPr>
    </w:p>
    <w:p w:rsidR="003D7D17" w:rsidRPr="00F71B40" w:rsidRDefault="003D7D17" w:rsidP="00D62A32">
      <w:pPr>
        <w:rPr>
          <w:lang w:val="en-AU"/>
        </w:rPr>
      </w:pPr>
      <w:r w:rsidRPr="00F71B40">
        <w:rPr>
          <w:lang w:val="en-AU"/>
        </w:rPr>
        <w:t>Other joint governance structures are:</w:t>
      </w:r>
    </w:p>
    <w:p w:rsidR="003D7D17" w:rsidRPr="00F71B40" w:rsidRDefault="003D7D17" w:rsidP="004D15F8">
      <w:pPr>
        <w:pStyle w:val="ListParagraph"/>
        <w:numPr>
          <w:ilvl w:val="0"/>
          <w:numId w:val="11"/>
        </w:numPr>
        <w:rPr>
          <w:rFonts w:cs="Arial"/>
          <w:lang w:val="en-AU"/>
        </w:rPr>
      </w:pPr>
      <w:r w:rsidRPr="00F71B40">
        <w:rPr>
          <w:rFonts w:cs="Arial"/>
          <w:lang w:val="en-AU"/>
        </w:rPr>
        <w:t xml:space="preserve">The </w:t>
      </w:r>
      <w:r w:rsidRPr="00F71B40">
        <w:rPr>
          <w:rFonts w:cs="Arial"/>
          <w:b/>
          <w:i/>
          <w:lang w:val="en-AU"/>
        </w:rPr>
        <w:t>Governance Steering Committee</w:t>
      </w:r>
      <w:r w:rsidRPr="00F71B40">
        <w:rPr>
          <w:rFonts w:cs="Arial"/>
          <w:lang w:val="en-AU"/>
        </w:rPr>
        <w:t xml:space="preserve"> has Terms of Reference that reflect the Committee’s role to foster whole-of-government approaches, drive public service reforms and solve common problems not already addressed through other fora. A working-group was established which </w:t>
      </w:r>
      <w:r w:rsidR="00B7695D">
        <w:rPr>
          <w:rFonts w:cs="Arial"/>
          <w:lang w:val="en-AU"/>
        </w:rPr>
        <w:t xml:space="preserve">was due to discuss the </w:t>
      </w:r>
      <w:r w:rsidRPr="00F71B40">
        <w:rPr>
          <w:rFonts w:cs="Arial"/>
          <w:lang w:val="en-AU"/>
        </w:rPr>
        <w:t>issues that currently impede service delivery</w:t>
      </w:r>
      <w:r w:rsidR="00F57583" w:rsidRPr="00F57583">
        <w:rPr>
          <w:rFonts w:cs="Arial"/>
          <w:lang w:val="en-AU"/>
        </w:rPr>
        <w:t xml:space="preserve"> </w:t>
      </w:r>
      <w:r w:rsidR="00F57583">
        <w:rPr>
          <w:rFonts w:cs="Arial"/>
          <w:lang w:val="en-AU"/>
        </w:rPr>
        <w:t>at its last meeting</w:t>
      </w:r>
      <w:r w:rsidR="00B7695D">
        <w:rPr>
          <w:rFonts w:cs="Arial"/>
          <w:lang w:val="en-AU"/>
        </w:rPr>
        <w:t>.</w:t>
      </w:r>
      <w:r w:rsidR="00E256D6">
        <w:rPr>
          <w:rFonts w:cs="Arial"/>
          <w:lang w:val="en-AU"/>
        </w:rPr>
        <w:t xml:space="preserve">  </w:t>
      </w:r>
    </w:p>
    <w:p w:rsidR="003D7D17" w:rsidRPr="00F71B40" w:rsidRDefault="003D7D17" w:rsidP="004D15F8">
      <w:pPr>
        <w:pStyle w:val="ListParagraph"/>
        <w:numPr>
          <w:ilvl w:val="0"/>
          <w:numId w:val="11"/>
        </w:numPr>
        <w:rPr>
          <w:rFonts w:cs="Arial"/>
          <w:lang w:val="en-AU"/>
        </w:rPr>
      </w:pPr>
      <w:r w:rsidRPr="00F71B40">
        <w:rPr>
          <w:rFonts w:cs="Arial"/>
          <w:lang w:val="en-AU"/>
        </w:rPr>
        <w:lastRenderedPageBreak/>
        <w:t>The</w:t>
      </w:r>
      <w:r w:rsidRPr="00F71B40">
        <w:rPr>
          <w:rFonts w:cs="Arial"/>
          <w:b/>
          <w:i/>
          <w:lang w:val="en-AU"/>
        </w:rPr>
        <w:t xml:space="preserve"> Ministry of Finance and Treasury (MoFT) Board</w:t>
      </w:r>
      <w:r w:rsidRPr="00F71B40">
        <w:rPr>
          <w:rFonts w:cs="Arial"/>
          <w:lang w:val="en-AU"/>
        </w:rPr>
        <w:t xml:space="preserve"> reviews the specific implications of SIGOV for and progress in relation to MoFT.  It discusses resource allocation for the program, performance-linked aid and progress on public financial management.</w:t>
      </w:r>
      <w:r w:rsidR="00E256D6">
        <w:rPr>
          <w:rFonts w:cs="Arial"/>
          <w:lang w:val="en-AU"/>
        </w:rPr>
        <w:t xml:space="preserve">  </w:t>
      </w:r>
    </w:p>
    <w:p w:rsidR="003D7D17" w:rsidRPr="00F71B40" w:rsidRDefault="003D7D17" w:rsidP="004D15F8">
      <w:pPr>
        <w:pStyle w:val="ListParagraph"/>
        <w:numPr>
          <w:ilvl w:val="0"/>
          <w:numId w:val="11"/>
        </w:numPr>
        <w:rPr>
          <w:rFonts w:cs="Arial"/>
          <w:lang w:val="en-AU"/>
        </w:rPr>
      </w:pPr>
      <w:r w:rsidRPr="00F71B40">
        <w:rPr>
          <w:rFonts w:cs="Arial"/>
          <w:lang w:val="en-AU"/>
        </w:rPr>
        <w:t xml:space="preserve">The </w:t>
      </w:r>
      <w:r w:rsidRPr="00F71B40">
        <w:rPr>
          <w:rFonts w:cs="Arial"/>
          <w:b/>
          <w:i/>
          <w:lang w:val="en-AU"/>
        </w:rPr>
        <w:t>HRM Board</w:t>
      </w:r>
      <w:r w:rsidRPr="00F71B40">
        <w:rPr>
          <w:rFonts w:cs="Arial"/>
          <w:lang w:val="en-AU"/>
        </w:rPr>
        <w:t xml:space="preserve"> (</w:t>
      </w:r>
      <w:r w:rsidR="0085182B" w:rsidRPr="00F71B40">
        <w:rPr>
          <w:rFonts w:cs="Arial"/>
          <w:lang w:val="en-AU"/>
        </w:rPr>
        <w:t xml:space="preserve">Public Service Commission, Ministry of Public Service, </w:t>
      </w:r>
      <w:r w:rsidR="00FF50B0" w:rsidRPr="00F71B40">
        <w:rPr>
          <w:rFonts w:cs="Arial"/>
          <w:lang w:val="en-AU"/>
        </w:rPr>
        <w:t>MoFT, Ministry of Home Affairs, Ministry of Education and Human Resources, and DFAT</w:t>
      </w:r>
      <w:r w:rsidRPr="00F71B40">
        <w:rPr>
          <w:rFonts w:cs="Arial"/>
          <w:lang w:val="en-AU"/>
        </w:rPr>
        <w:t>).</w:t>
      </w:r>
    </w:p>
    <w:p w:rsidR="003D7D17" w:rsidRPr="00F71B40" w:rsidRDefault="003D7D17" w:rsidP="004D15F8">
      <w:pPr>
        <w:pStyle w:val="ListParagraph"/>
        <w:numPr>
          <w:ilvl w:val="0"/>
          <w:numId w:val="11"/>
        </w:numPr>
        <w:rPr>
          <w:lang w:val="en-AU"/>
        </w:rPr>
      </w:pPr>
      <w:r w:rsidRPr="00F71B40">
        <w:rPr>
          <w:lang w:val="en-AU"/>
        </w:rPr>
        <w:t xml:space="preserve">The </w:t>
      </w:r>
      <w:r w:rsidRPr="00F71B40">
        <w:rPr>
          <w:b/>
          <w:i/>
          <w:lang w:val="en-AU"/>
        </w:rPr>
        <w:t>Accountability Agencies Coordinating Forum</w:t>
      </w:r>
      <w:r w:rsidRPr="00F71B40">
        <w:rPr>
          <w:lang w:val="en-AU"/>
        </w:rPr>
        <w:t xml:space="preserve"> – (Office of the Auditor General, Office of the Ombudsman, Leadership Code Commission,  DFAT)</w:t>
      </w:r>
    </w:p>
    <w:p w:rsidR="003D7D17" w:rsidRPr="00F71B40" w:rsidRDefault="003D7D17" w:rsidP="00D62A32">
      <w:pPr>
        <w:rPr>
          <w:rFonts w:cs="Times New Roman"/>
          <w:lang w:val="en-AU"/>
        </w:rPr>
      </w:pPr>
    </w:p>
    <w:p w:rsidR="004260F6" w:rsidRPr="00F71B40" w:rsidRDefault="003D7D17" w:rsidP="00D62A32">
      <w:pPr>
        <w:rPr>
          <w:lang w:val="en-AU"/>
        </w:rPr>
      </w:pPr>
      <w:r w:rsidRPr="00F71B40">
        <w:rPr>
          <w:rFonts w:cs="Times New Roman"/>
          <w:lang w:val="en-AU"/>
        </w:rPr>
        <w:t xml:space="preserve">The review team had no opportunity to see these bodies in action, but the impression from the documentation and from comments by respondents is that these governance structures are somewhat </w:t>
      </w:r>
      <w:r w:rsidR="00194B7A" w:rsidRPr="00F71B40">
        <w:rPr>
          <w:rFonts w:cs="Times New Roman"/>
          <w:lang w:val="en-AU"/>
        </w:rPr>
        <w:t xml:space="preserve">formalistic and </w:t>
      </w:r>
      <w:r w:rsidRPr="00F71B40">
        <w:rPr>
          <w:rFonts w:cs="Times New Roman"/>
          <w:lang w:val="en-AU"/>
        </w:rPr>
        <w:t xml:space="preserve">fragmented.  The CEWG seems to act as an economic and fiscal policy setting body, emphasizing technical priorities more than political opportunities.  The remaining bodies give the impression of operating somewhat as lobbyists for continued </w:t>
      </w:r>
      <w:r w:rsidR="00B7695D">
        <w:rPr>
          <w:rFonts w:cs="Times New Roman"/>
          <w:lang w:val="en-AU"/>
        </w:rPr>
        <w:t>technical assistance</w:t>
      </w:r>
      <w:r w:rsidRPr="00F71B40">
        <w:rPr>
          <w:rFonts w:cs="Times New Roman"/>
          <w:lang w:val="en-AU"/>
        </w:rPr>
        <w:t xml:space="preserve"> for their constituent central agencies.</w:t>
      </w:r>
      <w:r w:rsidR="00E256D6">
        <w:rPr>
          <w:rFonts w:cs="Times New Roman"/>
          <w:lang w:val="en-AU"/>
        </w:rPr>
        <w:t xml:space="preserve">  </w:t>
      </w:r>
      <w:r w:rsidR="004C6B47" w:rsidRPr="00F71B40">
        <w:rPr>
          <w:rFonts w:cs="Times New Roman"/>
          <w:lang w:val="en-AU"/>
        </w:rPr>
        <w:t xml:space="preserve">For example, </w:t>
      </w:r>
      <w:r w:rsidR="004260F6" w:rsidRPr="00F71B40">
        <w:rPr>
          <w:lang w:val="en-AU"/>
        </w:rPr>
        <w:t xml:space="preserve">MoFT </w:t>
      </w:r>
      <w:r w:rsidR="004C6B47" w:rsidRPr="00F71B40">
        <w:rPr>
          <w:lang w:val="en-AU"/>
        </w:rPr>
        <w:t xml:space="preserve">is said to have </w:t>
      </w:r>
      <w:r w:rsidR="004260F6" w:rsidRPr="00F71B40">
        <w:rPr>
          <w:lang w:val="en-AU"/>
        </w:rPr>
        <w:t>a strong preference for long term advisors (LTAs)</w:t>
      </w:r>
      <w:r w:rsidR="004C6B47" w:rsidRPr="00F71B40">
        <w:rPr>
          <w:lang w:val="en-AU"/>
        </w:rPr>
        <w:t xml:space="preserve"> which is expressed in the MoFT Board meetings</w:t>
      </w:r>
      <w:r w:rsidR="004260F6" w:rsidRPr="00F71B40">
        <w:rPr>
          <w:lang w:val="en-AU"/>
        </w:rPr>
        <w:t xml:space="preserve">. </w:t>
      </w:r>
    </w:p>
    <w:p w:rsidR="004C6B47" w:rsidRPr="00F71B40" w:rsidRDefault="004C6B47" w:rsidP="00D62A32">
      <w:pPr>
        <w:rPr>
          <w:rFonts w:cs="Times New Roman"/>
          <w:lang w:val="en-AU"/>
        </w:rPr>
      </w:pPr>
    </w:p>
    <w:p w:rsidR="003D7D17" w:rsidRPr="00F71B40" w:rsidRDefault="003D7D17" w:rsidP="00D62A32">
      <w:pPr>
        <w:rPr>
          <w:rFonts w:cs="Times New Roman"/>
          <w:lang w:val="en-AU"/>
        </w:rPr>
      </w:pPr>
      <w:r w:rsidRPr="00F71B40">
        <w:rPr>
          <w:rFonts w:cs="Times New Roman"/>
          <w:lang w:val="en-AU"/>
        </w:rPr>
        <w:t>If correct (and the impressionistic nature of this observation should be emphasized), then there</w:t>
      </w:r>
      <w:r w:rsidR="00E678AE">
        <w:rPr>
          <w:rFonts w:cs="Times New Roman"/>
          <w:lang w:val="en-AU"/>
        </w:rPr>
        <w:t xml:space="preserve"> are</w:t>
      </w:r>
      <w:r w:rsidRPr="00F71B40">
        <w:rPr>
          <w:rFonts w:cs="Times New Roman"/>
          <w:lang w:val="en-AU"/>
        </w:rPr>
        <w:t xml:space="preserve"> </w:t>
      </w:r>
      <w:r w:rsidR="004131BD" w:rsidRPr="00F71B40">
        <w:rPr>
          <w:rFonts w:cs="Times New Roman"/>
          <w:lang w:val="en-AU"/>
        </w:rPr>
        <w:t>three principal</w:t>
      </w:r>
      <w:r w:rsidR="004C6B47" w:rsidRPr="00F71B40">
        <w:rPr>
          <w:rFonts w:cs="Times New Roman"/>
          <w:lang w:val="en-AU"/>
        </w:rPr>
        <w:t xml:space="preserve"> implications</w:t>
      </w:r>
      <w:r w:rsidRPr="00F71B40">
        <w:rPr>
          <w:rFonts w:cs="Times New Roman"/>
          <w:lang w:val="en-AU"/>
        </w:rPr>
        <w:t>.</w:t>
      </w:r>
    </w:p>
    <w:p w:rsidR="004C6B47" w:rsidRPr="00F71B40" w:rsidRDefault="004C6B47" w:rsidP="00D62A32">
      <w:pPr>
        <w:rPr>
          <w:rFonts w:cs="Times New Roman"/>
          <w:lang w:val="en-AU"/>
        </w:rPr>
      </w:pPr>
    </w:p>
    <w:p w:rsidR="005D3B35" w:rsidRPr="00F71B40" w:rsidRDefault="004C6B47" w:rsidP="00D62A32">
      <w:pPr>
        <w:rPr>
          <w:lang w:val="en-AU"/>
        </w:rPr>
      </w:pPr>
      <w:r w:rsidRPr="00F71B40">
        <w:rPr>
          <w:rFonts w:cs="Times New Roman"/>
          <w:lang w:val="en-AU"/>
        </w:rPr>
        <w:t xml:space="preserve">There are too many small bodies, each tending towards rather </w:t>
      </w:r>
      <w:r w:rsidR="003A1182" w:rsidRPr="00F71B40">
        <w:rPr>
          <w:rFonts w:cs="Times New Roman"/>
          <w:lang w:val="en-AU"/>
        </w:rPr>
        <w:t xml:space="preserve">“safe” and </w:t>
      </w:r>
      <w:r w:rsidRPr="00F71B40">
        <w:rPr>
          <w:rFonts w:cs="Times New Roman"/>
          <w:lang w:val="en-AU"/>
        </w:rPr>
        <w:t xml:space="preserve">formal proceedings without creating space for informal discussion of delicate issues </w:t>
      </w:r>
      <w:r w:rsidR="003A1182" w:rsidRPr="00F71B40">
        <w:rPr>
          <w:rFonts w:cs="Times New Roman"/>
          <w:lang w:val="en-AU"/>
        </w:rPr>
        <w:t>such as those around the “shared sovereignty” question or the need for discreet and informal support to senior staff.</w:t>
      </w:r>
      <w:r w:rsidR="005D3B35" w:rsidRPr="00F71B40">
        <w:rPr>
          <w:rFonts w:cs="Times New Roman"/>
          <w:lang w:val="en-AU"/>
        </w:rPr>
        <w:t xml:space="preserve">  Balancing the reality of the necessity for continuing Australian involvement with </w:t>
      </w:r>
      <w:r w:rsidR="005D3B35" w:rsidRPr="00F71B40">
        <w:rPr>
          <w:lang w:val="en-AU"/>
        </w:rPr>
        <w:t>political acceptability for SIG is at odds with the traditional emphasis on country ownership and country systems to propose non-nationals to hold senior positions or to be placed as very senior officials indefinitely.</w:t>
      </w:r>
      <w:r w:rsidR="00E256D6">
        <w:rPr>
          <w:lang w:val="en-AU"/>
        </w:rPr>
        <w:t xml:space="preserve">  </w:t>
      </w:r>
      <w:r w:rsidR="005D3B35" w:rsidRPr="00F71B40">
        <w:rPr>
          <w:lang w:val="en-AU"/>
        </w:rPr>
        <w:t xml:space="preserve">It is also prioritizing “external legitimacy” over solving “domestic problems” </w:t>
      </w:r>
      <w:r w:rsidR="00115AC9" w:rsidRPr="00F71B40">
        <w:rPr>
          <w:lang w:val="en-AU"/>
        </w:rPr>
        <w:fldChar w:fldCharType="begin"/>
      </w:r>
      <w:r w:rsidR="00115AC9" w:rsidRPr="00F71B40">
        <w:rPr>
          <w:lang w:val="en-AU"/>
        </w:rPr>
        <w:instrText xml:space="preserve"> ADDIN EN.CITE &lt;EndNote&gt;&lt;Cite&gt;&lt;Author&gt;Andrews&lt;/Author&gt;&lt;Year&gt;2010&lt;/Year&gt;&lt;RecNum&gt;2987&lt;/RecNum&gt;&lt;Suffix&gt;`, p. 65&lt;/Suffix&gt;&lt;DisplayText&gt;(Andrews, 2010, p. 65)&lt;/DisplayText&gt;&lt;record&gt;&lt;rec-number&gt;2987&lt;/rec-number&gt;&lt;foreign-keys&gt;&lt;key app="EN" db-id="5v9z5rrdszvwsneef06v9dapsd0apdtfapdx" timestamp="0"&gt;2987&lt;/key&gt;&lt;/foreign-keys&gt;&lt;ref-type name="Report"&gt;27&lt;/ref-type&gt;&lt;contributors&gt;&lt;authors&gt;&lt;author&gt;Matt Andrews&lt;/author&gt;&lt;/authors&gt;&lt;/contributors&gt;&lt;titles&gt;&lt;title&gt;How Far Have Public Financial Management Reforms Come in Africa? &lt;/title&gt;&lt;secondary-title&gt;Faculty Research Working Paper Series&lt;/secondary-title&gt;&lt;/titles&gt;&lt;dates&gt;&lt;year&gt;2010&lt;/year&gt;&lt;/dates&gt;&lt;pub-location&gt;Cambridge, Mass.&lt;/pub-location&gt;&lt;publisher&gt;Harvard Kennedy School&lt;/publisher&gt;&lt;urls&gt;&lt;/urls&gt;&lt;/record&gt;&lt;/Cite&gt;&lt;/EndNote&gt;</w:instrText>
      </w:r>
      <w:r w:rsidR="00115AC9" w:rsidRPr="00F71B40">
        <w:rPr>
          <w:lang w:val="en-AU"/>
        </w:rPr>
        <w:fldChar w:fldCharType="separate"/>
      </w:r>
      <w:r w:rsidR="00115AC9" w:rsidRPr="00F71B40">
        <w:rPr>
          <w:lang w:val="en-AU"/>
        </w:rPr>
        <w:t>(</w:t>
      </w:r>
      <w:hyperlink w:anchor="_ENREF_4" w:tooltip="Andrews, 2010 #2987" w:history="1">
        <w:r w:rsidR="00CC56DB" w:rsidRPr="00F71B40">
          <w:rPr>
            <w:lang w:val="en-AU"/>
          </w:rPr>
          <w:t>Andrews, 2010, p. 65</w:t>
        </w:r>
      </w:hyperlink>
      <w:r w:rsidR="00115AC9" w:rsidRPr="00F71B40">
        <w:rPr>
          <w:lang w:val="en-AU"/>
        </w:rPr>
        <w:t>)</w:t>
      </w:r>
      <w:r w:rsidR="00115AC9" w:rsidRPr="00F71B40">
        <w:rPr>
          <w:lang w:val="en-AU"/>
        </w:rPr>
        <w:fldChar w:fldCharType="end"/>
      </w:r>
      <w:r w:rsidR="005D3B35" w:rsidRPr="00F71B40">
        <w:rPr>
          <w:lang w:val="en-AU"/>
        </w:rPr>
        <w:t>.</w:t>
      </w:r>
      <w:r w:rsidR="00E256D6">
        <w:rPr>
          <w:lang w:val="en-AU"/>
        </w:rPr>
        <w:t xml:space="preserve">  </w:t>
      </w:r>
      <w:r w:rsidR="005D3B35" w:rsidRPr="00F71B40">
        <w:rPr>
          <w:lang w:val="en-AU"/>
        </w:rPr>
        <w:t xml:space="preserve">However, ends justify means and the Solomon Island Government is doubtless well aware of the </w:t>
      </w:r>
      <w:r w:rsidR="0085182B" w:rsidRPr="00F71B40">
        <w:rPr>
          <w:lang w:val="en-AU"/>
        </w:rPr>
        <w:t>reputational and fiduciary risks as seen from the Australian perspective</w:t>
      </w:r>
      <w:r w:rsidR="00216DC9" w:rsidRPr="00F71B40">
        <w:rPr>
          <w:lang w:val="en-AU"/>
        </w:rPr>
        <w:t xml:space="preserve"> and the </w:t>
      </w:r>
      <w:r w:rsidR="005D3B35" w:rsidRPr="00F71B40">
        <w:rPr>
          <w:lang w:val="en-AU"/>
        </w:rPr>
        <w:t xml:space="preserve">possible consequences for </w:t>
      </w:r>
      <w:r w:rsidR="00216DC9" w:rsidRPr="00F71B40">
        <w:rPr>
          <w:lang w:val="en-AU"/>
        </w:rPr>
        <w:t xml:space="preserve">aid </w:t>
      </w:r>
      <w:r w:rsidR="005D3B35" w:rsidRPr="00F71B40">
        <w:rPr>
          <w:lang w:val="en-AU"/>
        </w:rPr>
        <w:t>flow</w:t>
      </w:r>
      <w:r w:rsidR="00216DC9" w:rsidRPr="00F71B40">
        <w:rPr>
          <w:lang w:val="en-AU"/>
        </w:rPr>
        <w:t>s</w:t>
      </w:r>
      <w:r w:rsidR="005D3B35" w:rsidRPr="00F71B40">
        <w:rPr>
          <w:lang w:val="en-AU"/>
        </w:rPr>
        <w:t>.</w:t>
      </w:r>
      <w:r w:rsidR="005D3B35" w:rsidRPr="00F71B40">
        <w:rPr>
          <w:rStyle w:val="FootnoteReference"/>
          <w:lang w:val="en-AU"/>
        </w:rPr>
        <w:footnoteReference w:id="20"/>
      </w:r>
      <w:r w:rsidR="005D3B35" w:rsidRPr="00F71B40">
        <w:rPr>
          <w:lang w:val="en-AU"/>
        </w:rPr>
        <w:t xml:space="preserve">  Disaggregating this question into </w:t>
      </w:r>
      <w:r w:rsidR="004131BD" w:rsidRPr="00F71B40">
        <w:rPr>
          <w:lang w:val="en-AU"/>
        </w:rPr>
        <w:t xml:space="preserve">separate discussions in each of the central agencies </w:t>
      </w:r>
      <w:r w:rsidR="005D3B35" w:rsidRPr="00F71B40">
        <w:rPr>
          <w:lang w:val="en-AU"/>
        </w:rPr>
        <w:t xml:space="preserve">about whether </w:t>
      </w:r>
      <w:r w:rsidR="004131BD" w:rsidRPr="00F71B40">
        <w:rPr>
          <w:lang w:val="en-AU"/>
        </w:rPr>
        <w:t xml:space="preserve">and where </w:t>
      </w:r>
      <w:r w:rsidR="005D3B35" w:rsidRPr="00F71B40">
        <w:rPr>
          <w:lang w:val="en-AU"/>
        </w:rPr>
        <w:t xml:space="preserve">senior Australians </w:t>
      </w:r>
      <w:r w:rsidR="004131BD" w:rsidRPr="00F71B40">
        <w:rPr>
          <w:lang w:val="en-AU"/>
        </w:rPr>
        <w:t xml:space="preserve">are necessary </w:t>
      </w:r>
      <w:r w:rsidR="005D3B35" w:rsidRPr="00F71B40">
        <w:rPr>
          <w:lang w:val="en-AU"/>
        </w:rPr>
        <w:t>in key positions (in-line or advisory with full access)</w:t>
      </w:r>
      <w:r w:rsidR="004131BD" w:rsidRPr="00F71B40">
        <w:rPr>
          <w:lang w:val="en-AU"/>
        </w:rPr>
        <w:t xml:space="preserve"> in that agency agencies would help manage the sensitivities</w:t>
      </w:r>
      <w:r w:rsidR="005D3B35" w:rsidRPr="00F71B40">
        <w:rPr>
          <w:lang w:val="en-AU"/>
        </w:rPr>
        <w:t xml:space="preserve">.  </w:t>
      </w:r>
    </w:p>
    <w:p w:rsidR="005D3B35" w:rsidRPr="00F71B40" w:rsidRDefault="005D3B35" w:rsidP="00D62A32">
      <w:pPr>
        <w:rPr>
          <w:rFonts w:cs="Times New Roman"/>
          <w:lang w:val="en-AU"/>
        </w:rPr>
      </w:pPr>
    </w:p>
    <w:p w:rsidR="005D3B35" w:rsidRPr="00F71B40" w:rsidRDefault="004131BD" w:rsidP="00D62A32">
      <w:pPr>
        <w:rPr>
          <w:rFonts w:cs="Times New Roman"/>
          <w:lang w:val="en-AU"/>
        </w:rPr>
      </w:pPr>
      <w:r w:rsidRPr="00F71B40">
        <w:rPr>
          <w:rFonts w:cs="Times New Roman"/>
          <w:lang w:val="en-AU"/>
        </w:rPr>
        <w:t>Second, n</w:t>
      </w:r>
      <w:r w:rsidR="005D3B35" w:rsidRPr="00F71B40">
        <w:rPr>
          <w:rFonts w:cs="Times New Roman"/>
          <w:lang w:val="en-AU"/>
        </w:rPr>
        <w:t>one of these bodies is sufficiently distant from the overall program to be able to dispassionately assess criticism and review progress – and none are representative of the downstream ministries and agencies, or provincial government, which are responsible for service delivery.</w:t>
      </w:r>
      <w:r w:rsidR="00E256D6">
        <w:rPr>
          <w:rFonts w:cs="Times New Roman"/>
          <w:lang w:val="en-AU"/>
        </w:rPr>
        <w:t xml:space="preserve">  </w:t>
      </w:r>
      <w:r w:rsidR="005D3B35" w:rsidRPr="00F71B40">
        <w:rPr>
          <w:rFonts w:cs="Times New Roman"/>
          <w:lang w:val="en-AU"/>
        </w:rPr>
        <w:t xml:space="preserve">It is not clear that the points made in this review concerning the risk of formal changes with little real impact on final outputs would be </w:t>
      </w:r>
      <w:r w:rsidRPr="00F71B40">
        <w:rPr>
          <w:rFonts w:cs="Times New Roman"/>
          <w:lang w:val="en-AU"/>
        </w:rPr>
        <w:t>of driving interest</w:t>
      </w:r>
      <w:r w:rsidR="005D3B35" w:rsidRPr="00F71B40">
        <w:rPr>
          <w:rFonts w:cs="Times New Roman"/>
          <w:lang w:val="en-AU"/>
        </w:rPr>
        <w:t xml:space="preserve"> to any of </w:t>
      </w:r>
      <w:r w:rsidRPr="00F71B40">
        <w:rPr>
          <w:rFonts w:cs="Times New Roman"/>
          <w:lang w:val="en-AU"/>
        </w:rPr>
        <w:t>the existing coordinating bodies</w:t>
      </w:r>
      <w:r w:rsidR="005D3B35" w:rsidRPr="00F71B40">
        <w:rPr>
          <w:rFonts w:cs="Times New Roman"/>
          <w:lang w:val="en-AU"/>
        </w:rPr>
        <w:t>.</w:t>
      </w:r>
    </w:p>
    <w:p w:rsidR="003A1182" w:rsidRPr="00F71B40" w:rsidRDefault="003A1182" w:rsidP="00D62A32">
      <w:pPr>
        <w:rPr>
          <w:rFonts w:cs="Times New Roman"/>
          <w:lang w:val="en-AU"/>
        </w:rPr>
      </w:pPr>
    </w:p>
    <w:p w:rsidR="003A1182" w:rsidRPr="00F71B40" w:rsidRDefault="004131BD" w:rsidP="00D62A32">
      <w:pPr>
        <w:rPr>
          <w:lang w:val="en-AU"/>
        </w:rPr>
      </w:pPr>
      <w:r w:rsidRPr="00F71B40">
        <w:rPr>
          <w:rFonts w:cs="Times New Roman"/>
          <w:lang w:val="en-AU"/>
        </w:rPr>
        <w:t>Finally, t</w:t>
      </w:r>
      <w:r w:rsidR="003A1182" w:rsidRPr="00F71B40">
        <w:rPr>
          <w:rFonts w:cs="Times New Roman"/>
          <w:lang w:val="en-AU"/>
        </w:rPr>
        <w:t xml:space="preserve">he CEWG is a body with considerable stature and given some significance by other donors, so major changes are unlikely.  </w:t>
      </w:r>
      <w:r w:rsidR="00F34F22" w:rsidRPr="00F71B40">
        <w:rPr>
          <w:rFonts w:cs="Times New Roman"/>
          <w:lang w:val="en-AU"/>
        </w:rPr>
        <w:t xml:space="preserve">Views seem to vary on the priority given to CEWG meetings by government, but it provides the space necessary for the necessary strategic discussion identified by a recent Independent Performance Assessment </w:t>
      </w:r>
      <w:r w:rsidR="00F34F22" w:rsidRPr="00F71B40">
        <w:rPr>
          <w:lang w:val="en-AU"/>
        </w:rPr>
        <w:t xml:space="preserve">about “the political, social (including security in its widest sense) and economic environment, of future national development scenarios, and how aid should best be configured as a resource available to SIG to help it get where it needs to go. Without that clarity of purpose, it will be very difficult to ensure that short-term, year-on-year, programming decisions are adding up to a relevant longer-term configuration of aid”  </w:t>
      </w:r>
      <w:r w:rsidR="00115AC9" w:rsidRPr="00F71B40">
        <w:rPr>
          <w:lang w:val="en-AU"/>
        </w:rPr>
        <w:fldChar w:fldCharType="begin"/>
      </w:r>
      <w:r w:rsidR="00115AC9" w:rsidRPr="00F71B40">
        <w:rPr>
          <w:lang w:val="en-AU"/>
        </w:rPr>
        <w:instrText xml:space="preserve"> ADDIN EN.CITE &lt;EndNote&gt;&lt;Cite&gt;&lt;Author&gt;Bazeley&lt;/Author&gt;&lt;Year&gt;2013&lt;/Year&gt;&lt;RecNum&gt;4274&lt;/RecNum&gt;&lt;Suffix&gt;`, p.19&lt;/Suffix&gt;&lt;DisplayText&gt;(Bazeley, David, &amp;amp; Kabutaulaka, 2013, p.19)&lt;/DisplayText&gt;&lt;record&gt;&lt;rec-number&gt;4274&lt;/rec-number&gt;&lt;foreign-keys&gt;&lt;key app="EN" db-id="5v9z5rrdszvwsneef06v9dapsd0apdtfapdx" timestamp="1408466650"&gt;4274&lt;/key&gt;&lt;/foreign-keys&gt;&lt;ref-type name="Report"&gt;27&lt;/ref-type&gt;&lt;contributors&gt;&lt;authors&gt;&lt;author&gt;Peter Bazeley&lt;/author&gt;&lt;author&gt;Rosalind David&lt;/author&gt;&lt;author&gt;Kabutaulaka, Tarcisius Tara&lt;/author&gt;&lt;/authors&gt;&lt;/contributors&gt;&lt;titles&gt;&lt;title&gt;Solomon Islands – Australia Partnership for Development: Independent Performance Assessment Panel Assessment for 2012&lt;/title&gt;&lt;/titles&gt;&lt;dates&gt;&lt;year&gt;2013&lt;/year&gt;&lt;/dates&gt;&lt;pub-location&gt;Canberra&lt;/pub-location&gt;&lt;publisher&gt;AusAID&lt;/publisher&gt;&lt;urls&gt;&lt;/urls&gt;&lt;/record&gt;&lt;/Cite&gt;&lt;/EndNote&gt;</w:instrText>
      </w:r>
      <w:r w:rsidR="00115AC9" w:rsidRPr="00F71B40">
        <w:rPr>
          <w:lang w:val="en-AU"/>
        </w:rPr>
        <w:fldChar w:fldCharType="separate"/>
      </w:r>
      <w:r w:rsidR="00115AC9" w:rsidRPr="00F71B40">
        <w:rPr>
          <w:lang w:val="en-AU"/>
        </w:rPr>
        <w:t>(</w:t>
      </w:r>
      <w:hyperlink w:anchor="_ENREF_22" w:tooltip="Bazeley, 2013 #4274" w:history="1">
        <w:r w:rsidR="00CC56DB" w:rsidRPr="00F71B40">
          <w:rPr>
            <w:lang w:val="en-AU"/>
          </w:rPr>
          <w:t>Bazeley, David, &amp; Kabutaulaka, 2013, p.19</w:t>
        </w:r>
      </w:hyperlink>
      <w:r w:rsidR="00115AC9" w:rsidRPr="00F71B40">
        <w:rPr>
          <w:lang w:val="en-AU"/>
        </w:rPr>
        <w:t>)</w:t>
      </w:r>
      <w:r w:rsidR="00115AC9" w:rsidRPr="00F71B40">
        <w:rPr>
          <w:lang w:val="en-AU"/>
        </w:rPr>
        <w:fldChar w:fldCharType="end"/>
      </w:r>
      <w:r w:rsidR="00F34F22" w:rsidRPr="00F71B40">
        <w:rPr>
          <w:lang w:val="en-AU"/>
        </w:rPr>
        <w:t xml:space="preserve">.  </w:t>
      </w:r>
      <w:r w:rsidR="00F34F22" w:rsidRPr="00F71B40">
        <w:rPr>
          <w:rFonts w:cs="Times New Roman"/>
          <w:lang w:val="en-AU"/>
        </w:rPr>
        <w:t xml:space="preserve">However, the history and composition of the CEWG means that it is strongly prescriptive; it will find it </w:t>
      </w:r>
      <w:r w:rsidR="00F34F22" w:rsidRPr="00F71B40">
        <w:rPr>
          <w:rFonts w:cs="Times New Roman"/>
          <w:lang w:val="en-AU"/>
        </w:rPr>
        <w:lastRenderedPageBreak/>
        <w:t xml:space="preserve">difficult to adopt </w:t>
      </w:r>
      <w:r w:rsidR="00216DC9" w:rsidRPr="00F71B40">
        <w:rPr>
          <w:rFonts w:cs="Times New Roman"/>
          <w:lang w:val="en-AU"/>
        </w:rPr>
        <w:t xml:space="preserve">the </w:t>
      </w:r>
      <w:r w:rsidR="00F34F22" w:rsidRPr="00F71B40">
        <w:rPr>
          <w:rFonts w:cs="Times New Roman"/>
          <w:lang w:val="en-AU"/>
        </w:rPr>
        <w:t>flexible, learning/problem-solving stance</w:t>
      </w:r>
      <w:r w:rsidR="00216DC9" w:rsidRPr="00F71B40">
        <w:rPr>
          <w:rFonts w:cs="Times New Roman"/>
          <w:lang w:val="en-AU"/>
        </w:rPr>
        <w:t xml:space="preserve"> which is necessary to </w:t>
      </w:r>
      <w:r w:rsidR="00F34F22" w:rsidRPr="00F71B40">
        <w:rPr>
          <w:rFonts w:cs="Times New Roman"/>
          <w:lang w:val="en-AU"/>
        </w:rPr>
        <w:t>identify political and institutional obstacles to delivery improvements or suggest unorthodox experiments to test new ideas.</w:t>
      </w:r>
      <w:r w:rsidR="00E256D6">
        <w:rPr>
          <w:rFonts w:cs="Times New Roman"/>
          <w:lang w:val="en-AU"/>
        </w:rPr>
        <w:t xml:space="preserve">  </w:t>
      </w:r>
    </w:p>
    <w:p w:rsidR="007C70BC" w:rsidRPr="00F71B40" w:rsidRDefault="007C70BC" w:rsidP="00D62A32">
      <w:pPr>
        <w:rPr>
          <w:rFonts w:cs="Times New Roman"/>
          <w:lang w:val="en-AU"/>
        </w:rPr>
      </w:pPr>
    </w:p>
    <w:tbl>
      <w:tblPr>
        <w:tblStyle w:val="TableGrid"/>
        <w:tblW w:w="0" w:type="auto"/>
        <w:tblLook w:val="04A0" w:firstRow="1" w:lastRow="0" w:firstColumn="1" w:lastColumn="0" w:noHBand="0" w:noVBand="1"/>
      </w:tblPr>
      <w:tblGrid>
        <w:gridCol w:w="9576"/>
      </w:tblGrid>
      <w:tr w:rsidR="007C70BC" w:rsidRPr="00F71B40" w:rsidTr="007B233E">
        <w:tc>
          <w:tcPr>
            <w:tcW w:w="9576" w:type="dxa"/>
            <w:shd w:val="clear" w:color="auto" w:fill="EEECE1" w:themeFill="background2"/>
          </w:tcPr>
          <w:p w:rsidR="007C70BC" w:rsidRPr="00F71B40" w:rsidRDefault="007C70BC" w:rsidP="00EF43BE">
            <w:pPr>
              <w:pStyle w:val="Caption"/>
              <w:keepNext/>
              <w:keepLines/>
              <w:rPr>
                <w:lang w:val="en-AU"/>
              </w:rPr>
            </w:pPr>
            <w:r w:rsidRPr="00F71B40">
              <w:rPr>
                <w:lang w:val="en-AU"/>
              </w:rPr>
              <w:t xml:space="preserve">Recommendation </w:t>
            </w:r>
            <w:r w:rsidRPr="00F71B40">
              <w:rPr>
                <w:lang w:val="en-AU"/>
              </w:rPr>
              <w:fldChar w:fldCharType="begin"/>
            </w:r>
            <w:r w:rsidRPr="00F71B40">
              <w:rPr>
                <w:lang w:val="en-AU"/>
              </w:rPr>
              <w:instrText xml:space="preserve"> SEQ Recommendation \* ARABIC </w:instrText>
            </w:r>
            <w:r w:rsidRPr="00F71B40">
              <w:rPr>
                <w:lang w:val="en-AU"/>
              </w:rPr>
              <w:fldChar w:fldCharType="separate"/>
            </w:r>
            <w:r w:rsidR="00EF43BE">
              <w:rPr>
                <w:noProof/>
                <w:lang w:val="en-AU"/>
              </w:rPr>
              <w:t>2</w:t>
            </w:r>
            <w:r w:rsidRPr="00F71B40">
              <w:rPr>
                <w:lang w:val="en-AU"/>
              </w:rPr>
              <w:fldChar w:fldCharType="end"/>
            </w:r>
            <w:r w:rsidRPr="00F71B40">
              <w:rPr>
                <w:lang w:val="en-AU"/>
              </w:rPr>
              <w:t>: Coordinating bodies</w:t>
            </w:r>
          </w:p>
          <w:p w:rsidR="007C70BC" w:rsidRPr="00F71B40" w:rsidRDefault="007C70BC" w:rsidP="0098305E">
            <w:pPr>
              <w:keepNext/>
              <w:keepLines/>
              <w:rPr>
                <w:lang w:val="en-AU"/>
              </w:rPr>
            </w:pPr>
          </w:p>
          <w:p w:rsidR="00194B7A" w:rsidRPr="00F71B40" w:rsidRDefault="00194B7A" w:rsidP="006A70A3">
            <w:pPr>
              <w:pStyle w:val="ListParagraph"/>
              <w:keepNext/>
              <w:keepLines/>
              <w:numPr>
                <w:ilvl w:val="0"/>
                <w:numId w:val="26"/>
              </w:numPr>
              <w:rPr>
                <w:rFonts w:cs="Times New Roman"/>
                <w:lang w:val="en-AU"/>
              </w:rPr>
            </w:pPr>
            <w:r w:rsidRPr="00F71B40">
              <w:rPr>
                <w:rFonts w:cs="Times New Roman"/>
                <w:lang w:val="en-AU"/>
              </w:rPr>
              <w:t xml:space="preserve">Reduce the number of governance bodies – principally by repositioning the </w:t>
            </w:r>
            <w:r w:rsidRPr="00F71B40">
              <w:rPr>
                <w:rFonts w:cs="Arial"/>
                <w:i/>
                <w:lang w:val="en-AU"/>
              </w:rPr>
              <w:t>Ministry of Finance and Treasury (MoFT) Board</w:t>
            </w:r>
            <w:r w:rsidRPr="00F71B40">
              <w:rPr>
                <w:rFonts w:cs="Arial"/>
                <w:lang w:val="en-AU"/>
              </w:rPr>
              <w:t xml:space="preserve">, the </w:t>
            </w:r>
            <w:r w:rsidRPr="00F71B40">
              <w:rPr>
                <w:rFonts w:cs="Arial"/>
                <w:i/>
                <w:lang w:val="en-AU"/>
              </w:rPr>
              <w:t>HRM Board</w:t>
            </w:r>
            <w:r w:rsidRPr="00F71B40">
              <w:rPr>
                <w:rFonts w:cs="Arial"/>
                <w:lang w:val="en-AU"/>
              </w:rPr>
              <w:t xml:space="preserve"> and the </w:t>
            </w:r>
            <w:r w:rsidRPr="00F71B40">
              <w:rPr>
                <w:i/>
                <w:lang w:val="en-AU"/>
              </w:rPr>
              <w:t>Accountability Agencies Coordinating Forum</w:t>
            </w:r>
            <w:r w:rsidRPr="00F71B40">
              <w:rPr>
                <w:lang w:val="en-AU"/>
              </w:rPr>
              <w:t xml:space="preserve"> as informal DFAT/central agency liaison meetings</w:t>
            </w:r>
            <w:r w:rsidR="007B233E" w:rsidRPr="00F71B40">
              <w:rPr>
                <w:lang w:val="en-AU"/>
              </w:rPr>
              <w:t>.  Discuss aspects of the “shared sovereignty” questions within each of these bodies separately.</w:t>
            </w:r>
            <w:r w:rsidR="00327047" w:rsidRPr="00F71B40">
              <w:rPr>
                <w:lang w:val="en-AU"/>
              </w:rPr>
              <w:t xml:space="preserve">  Also use them to negotiate </w:t>
            </w:r>
            <w:r w:rsidR="004C6B47" w:rsidRPr="00F71B40">
              <w:rPr>
                <w:lang w:val="en-AU"/>
              </w:rPr>
              <w:t>discreet</w:t>
            </w:r>
            <w:r w:rsidR="00327047" w:rsidRPr="00F71B40">
              <w:rPr>
                <w:lang w:val="en-AU"/>
              </w:rPr>
              <w:t xml:space="preserve"> </w:t>
            </w:r>
            <w:r w:rsidR="004C6B47" w:rsidRPr="00F71B40">
              <w:rPr>
                <w:lang w:val="en-AU"/>
              </w:rPr>
              <w:t>support such as confidential mentoring for Permanent Secretaries or other very senior staff.</w:t>
            </w:r>
          </w:p>
          <w:p w:rsidR="00194B7A" w:rsidRPr="00F71B40" w:rsidRDefault="00194B7A" w:rsidP="006A70A3">
            <w:pPr>
              <w:pStyle w:val="ListParagraph"/>
              <w:keepNext/>
              <w:keepLines/>
              <w:numPr>
                <w:ilvl w:val="0"/>
                <w:numId w:val="26"/>
              </w:numPr>
              <w:rPr>
                <w:rFonts w:cs="Times New Roman"/>
                <w:lang w:val="en-AU"/>
              </w:rPr>
            </w:pPr>
            <w:r w:rsidRPr="00F71B40">
              <w:rPr>
                <w:rFonts w:cs="Times New Roman"/>
                <w:lang w:val="en-AU"/>
              </w:rPr>
              <w:t>Focus the CEWG on macro-economic planning and growth policy</w:t>
            </w:r>
            <w:r w:rsidR="007B233E" w:rsidRPr="00F71B40">
              <w:rPr>
                <w:rFonts w:cs="Times New Roman"/>
                <w:lang w:val="en-AU"/>
              </w:rPr>
              <w:t>.</w:t>
            </w:r>
          </w:p>
          <w:p w:rsidR="007C70BC" w:rsidRPr="00F71B40" w:rsidRDefault="007B233E" w:rsidP="006A70A3">
            <w:pPr>
              <w:pStyle w:val="ListParagraph"/>
              <w:keepNext/>
              <w:keepLines/>
              <w:numPr>
                <w:ilvl w:val="0"/>
                <w:numId w:val="26"/>
              </w:numPr>
              <w:rPr>
                <w:rFonts w:cs="Times New Roman"/>
                <w:lang w:val="en-AU"/>
              </w:rPr>
            </w:pPr>
            <w:r w:rsidRPr="00F71B40">
              <w:rPr>
                <w:rFonts w:cs="Times New Roman"/>
                <w:lang w:val="en-AU"/>
              </w:rPr>
              <w:t xml:space="preserve">Develop a new “Delivery and Results” coordinating body, with tightly limited attendance, including Permanent Secretaries from the central agencies and from key sector departments and no more than 2 or 3 donor representatives. Subcommittees might meet with NGOs and other groups – but this new body should be able to discuss political challenges </w:t>
            </w:r>
            <w:r w:rsidR="00E973AA" w:rsidRPr="00F71B40">
              <w:rPr>
                <w:rFonts w:cs="Times New Roman"/>
                <w:lang w:val="en-AU"/>
              </w:rPr>
              <w:t>to</w:t>
            </w:r>
            <w:r w:rsidRPr="00F71B40">
              <w:rPr>
                <w:rFonts w:cs="Times New Roman"/>
                <w:lang w:val="en-AU"/>
              </w:rPr>
              <w:t xml:space="preserve"> delivery in confidence.</w:t>
            </w:r>
            <w:r w:rsidR="00327047" w:rsidRPr="00F71B40">
              <w:rPr>
                <w:rFonts w:cs="Times New Roman"/>
                <w:lang w:val="en-AU"/>
              </w:rPr>
              <w:t xml:space="preserve">  It should be the </w:t>
            </w:r>
            <w:r w:rsidR="004C6B47" w:rsidRPr="00F71B40">
              <w:rPr>
                <w:rFonts w:cs="Times New Roman"/>
                <w:lang w:val="en-AU"/>
              </w:rPr>
              <w:t>owner of key indicators of central agency improvement and of a very small set of service delivery indicators.</w:t>
            </w:r>
          </w:p>
        </w:tc>
      </w:tr>
    </w:tbl>
    <w:p w:rsidR="007C70BC" w:rsidRPr="00F71B40" w:rsidRDefault="007C70BC" w:rsidP="00D62A32">
      <w:pPr>
        <w:rPr>
          <w:rFonts w:cs="Times New Roman"/>
          <w:lang w:val="en-AU"/>
        </w:rPr>
      </w:pPr>
    </w:p>
    <w:p w:rsidR="00967EC4" w:rsidRPr="00F71B40" w:rsidRDefault="00077685" w:rsidP="004D15F8">
      <w:pPr>
        <w:pStyle w:val="Heading2"/>
        <w:numPr>
          <w:ilvl w:val="0"/>
          <w:numId w:val="13"/>
        </w:numPr>
        <w:rPr>
          <w:lang w:val="en-AU"/>
        </w:rPr>
      </w:pPr>
      <w:bookmarkStart w:id="85" w:name="_Toc399410401"/>
      <w:r w:rsidRPr="00F71B40">
        <w:rPr>
          <w:lang w:val="en-AU"/>
        </w:rPr>
        <w:t xml:space="preserve">Build learning </w:t>
      </w:r>
      <w:r w:rsidR="00D36914" w:rsidRPr="00F71B40">
        <w:rPr>
          <w:lang w:val="en-AU"/>
        </w:rPr>
        <w:t xml:space="preserve">about sector service delivery constraints and possibilities </w:t>
      </w:r>
      <w:r w:rsidRPr="00F71B40">
        <w:rPr>
          <w:lang w:val="en-AU"/>
        </w:rPr>
        <w:t>into SIGOV design</w:t>
      </w:r>
      <w:bookmarkEnd w:id="85"/>
      <w:r w:rsidR="00967EC4" w:rsidRPr="00F71B40">
        <w:rPr>
          <w:lang w:val="en-AU"/>
        </w:rPr>
        <w:t xml:space="preserve"> </w:t>
      </w:r>
    </w:p>
    <w:p w:rsidR="00967EC4" w:rsidRPr="00F71B40" w:rsidRDefault="00967EC4" w:rsidP="00D62A32">
      <w:pPr>
        <w:pStyle w:val="ListParagraph"/>
        <w:ind w:left="1080"/>
        <w:contextualSpacing w:val="0"/>
        <w:rPr>
          <w:i/>
          <w:lang w:val="en-AU"/>
        </w:rPr>
      </w:pPr>
    </w:p>
    <w:p w:rsidR="00711708" w:rsidRPr="00F71B40" w:rsidRDefault="00711708" w:rsidP="00D62A32">
      <w:pPr>
        <w:rPr>
          <w:lang w:val="en-AU"/>
        </w:rPr>
      </w:pPr>
      <w:r w:rsidRPr="00F71B40">
        <w:rPr>
          <w:lang w:val="en-AU"/>
        </w:rPr>
        <w:t xml:space="preserve">SIGOV was intended to be both pragmatic and flexible.  The program design “requires flexibility… to move in and out of areas based on SIG commitment and the presence of ‘champions’ to drive change. AusAID will be prepared to make hard decisions and reduce or withdraw resources where there is no commitment to improving or maintaining reasonable levels of governance… AusAID is not yet in a position to determine which… approaches should be pursued </w:t>
      </w:r>
      <w:r w:rsidR="00115AC9" w:rsidRPr="00F71B40">
        <w:rPr>
          <w:lang w:val="en-AU"/>
        </w:rPr>
        <w:fldChar w:fldCharType="begin"/>
      </w:r>
      <w:r w:rsidR="00115AC9" w:rsidRPr="00F71B40">
        <w:rPr>
          <w:lang w:val="en-AU"/>
        </w:rPr>
        <w:instrText xml:space="preserve"> ADDIN EN.CITE &lt;EndNote&gt;&lt;Cite&gt;&lt;Author&gt;AusAID&lt;/Author&gt;&lt;Year&gt;2013&lt;/Year&gt;&lt;RecNum&gt;4260&lt;/RecNum&gt;&lt;Suffix&gt;`, p.iv-vi&lt;/Suffix&gt;&lt;DisplayText&gt;(AusAID, 2013, p.iv-vi)&lt;/DisplayText&gt;&lt;record&gt;&lt;rec-number&gt;4260&lt;/rec-number&gt;&lt;foreign-keys&gt;&lt;key app="EN" db-id="5v9z5rrdszvwsneef06v9dapsd0apdtfapdx" timestamp="1408387630"&gt;4260&lt;/key&gt;&lt;/foreign-keys&gt;&lt;ref-type name="Report"&gt;27&lt;/ref-type&gt;&lt;contributors&gt;&lt;authors&gt;&lt;author&gt;AusAID&lt;/author&gt;&lt;/authors&gt;&lt;/contributors&gt;&lt;titles&gt;&lt;title&gt;Delivery Strategy: Solomon Islands Economic and Public Sector Governance Program (SIGOV) 2013-4 to 2017-18&lt;/title&gt;&lt;/titles&gt;&lt;dates&gt;&lt;year&gt;2013&lt;/year&gt;&lt;/dates&gt;&lt;pub-location&gt;Canberra &lt;/pub-location&gt;&lt;publisher&gt;AusAID&lt;/publisher&gt;&lt;urls&gt;&lt;/urls&gt;&lt;/record&gt;&lt;/Cite&gt;&lt;/EndNote&gt;</w:instrText>
      </w:r>
      <w:r w:rsidR="00115AC9" w:rsidRPr="00F71B40">
        <w:rPr>
          <w:lang w:val="en-AU"/>
        </w:rPr>
        <w:fldChar w:fldCharType="separate"/>
      </w:r>
      <w:r w:rsidR="00115AC9" w:rsidRPr="00F71B40">
        <w:rPr>
          <w:lang w:val="en-AU"/>
        </w:rPr>
        <w:t>(</w:t>
      </w:r>
      <w:hyperlink w:anchor="_ENREF_13" w:tooltip="AusAID, 2013 #4260" w:history="1">
        <w:r w:rsidR="00CC56DB" w:rsidRPr="00F71B40">
          <w:rPr>
            <w:lang w:val="en-AU"/>
          </w:rPr>
          <w:t>AusAID, 2013, p.iv-vi</w:t>
        </w:r>
      </w:hyperlink>
      <w:r w:rsidR="00115AC9" w:rsidRPr="00F71B40">
        <w:rPr>
          <w:lang w:val="en-AU"/>
        </w:rPr>
        <w:t>)</w:t>
      </w:r>
      <w:r w:rsidR="00115AC9" w:rsidRPr="00F71B40">
        <w:rPr>
          <w:lang w:val="en-AU"/>
        </w:rPr>
        <w:fldChar w:fldCharType="end"/>
      </w:r>
      <w:r w:rsidRPr="00F71B40">
        <w:rPr>
          <w:lang w:val="en-AU"/>
        </w:rPr>
        <w:t xml:space="preserve">.  </w:t>
      </w:r>
    </w:p>
    <w:p w:rsidR="00711708" w:rsidRPr="00F71B40" w:rsidRDefault="00711708" w:rsidP="00D62A32">
      <w:pPr>
        <w:rPr>
          <w:lang w:val="en-AU"/>
        </w:rPr>
      </w:pPr>
    </w:p>
    <w:p w:rsidR="00967EC4" w:rsidRPr="00F71B40" w:rsidRDefault="00967EC4" w:rsidP="00D62A32">
      <w:pPr>
        <w:rPr>
          <w:lang w:val="en-AU"/>
        </w:rPr>
      </w:pPr>
      <w:r w:rsidRPr="00F71B40">
        <w:rPr>
          <w:lang w:val="en-AU"/>
        </w:rPr>
        <w:t xml:space="preserve">As </w:t>
      </w:r>
      <w:r w:rsidRPr="00F71B40">
        <w:rPr>
          <w:lang w:val="en-AU"/>
        </w:rPr>
        <w:fldChar w:fldCharType="begin"/>
      </w:r>
      <w:r w:rsidRPr="00F71B40">
        <w:rPr>
          <w:lang w:val="en-AU"/>
        </w:rPr>
        <w:instrText xml:space="preserve"> REF _Ref396727775 \h </w:instrText>
      </w:r>
      <w:r w:rsidR="00D26FD0" w:rsidRPr="00F71B40">
        <w:rPr>
          <w:lang w:val="en-AU"/>
        </w:rPr>
        <w:instrText xml:space="preserve"> \* MERGEFORMAT </w:instrText>
      </w:r>
      <w:r w:rsidRPr="00F71B40">
        <w:rPr>
          <w:lang w:val="en-AU"/>
        </w:rPr>
      </w:r>
      <w:r w:rsidRPr="00F71B40">
        <w:rPr>
          <w:lang w:val="en-AU"/>
        </w:rPr>
        <w:fldChar w:fldCharType="separate"/>
      </w:r>
      <w:r w:rsidR="00EF43BE" w:rsidRPr="00F71B40">
        <w:rPr>
          <w:lang w:val="en-AU"/>
        </w:rPr>
        <w:t xml:space="preserve">Table </w:t>
      </w:r>
      <w:r w:rsidR="00EF43BE">
        <w:rPr>
          <w:lang w:val="en-AU"/>
        </w:rPr>
        <w:t>2</w:t>
      </w:r>
      <w:r w:rsidRPr="00F71B40">
        <w:rPr>
          <w:lang w:val="en-AU"/>
        </w:rPr>
        <w:fldChar w:fldCharType="end"/>
      </w:r>
      <w:r w:rsidRPr="00F71B40">
        <w:rPr>
          <w:lang w:val="en-AU"/>
        </w:rPr>
        <w:t xml:space="preserve"> show</w:t>
      </w:r>
      <w:r w:rsidR="00DA20C1" w:rsidRPr="00F71B40">
        <w:rPr>
          <w:lang w:val="en-AU"/>
        </w:rPr>
        <w:t>ed</w:t>
      </w:r>
      <w:r w:rsidRPr="00F71B40">
        <w:rPr>
          <w:lang w:val="en-AU"/>
        </w:rPr>
        <w:t xml:space="preserve">, </w:t>
      </w:r>
      <w:r w:rsidR="00DA20C1" w:rsidRPr="00F71B40">
        <w:rPr>
          <w:lang w:val="en-AU"/>
        </w:rPr>
        <w:t>t</w:t>
      </w:r>
      <w:r w:rsidRPr="00F71B40">
        <w:rPr>
          <w:lang w:val="en-AU"/>
        </w:rPr>
        <w:t xml:space="preserve">he principal </w:t>
      </w:r>
      <w:r w:rsidR="00DA20C1" w:rsidRPr="00F71B40">
        <w:rPr>
          <w:lang w:val="en-AU"/>
        </w:rPr>
        <w:t xml:space="preserve">challenges in the intervention design </w:t>
      </w:r>
      <w:r w:rsidRPr="00F71B40">
        <w:rPr>
          <w:lang w:val="en-AU"/>
        </w:rPr>
        <w:t>concern Part B.</w:t>
      </w:r>
      <w:r w:rsidR="00456F3E" w:rsidRPr="00F71B40">
        <w:rPr>
          <w:lang w:val="en-AU"/>
        </w:rPr>
        <w:t xml:space="preserve">  </w:t>
      </w:r>
      <w:r w:rsidR="00677A53" w:rsidRPr="00F71B40">
        <w:rPr>
          <w:lang w:val="en-AU"/>
        </w:rPr>
        <w:t xml:space="preserve">It is important that SIGOV incorporates recognition that current </w:t>
      </w:r>
      <w:r w:rsidR="005270BB" w:rsidRPr="00F71B40">
        <w:rPr>
          <w:lang w:val="en-AU"/>
        </w:rPr>
        <w:t>understanding of how the public sector operates or could operate more effectively downstream</w:t>
      </w:r>
      <w:r w:rsidR="00677A53" w:rsidRPr="00F71B40">
        <w:rPr>
          <w:lang w:val="en-AU"/>
        </w:rPr>
        <w:t xml:space="preserve"> is limited</w:t>
      </w:r>
      <w:r w:rsidR="005270BB" w:rsidRPr="00F71B40">
        <w:rPr>
          <w:lang w:val="en-AU"/>
        </w:rPr>
        <w:t>.</w:t>
      </w:r>
      <w:r w:rsidR="00677A53" w:rsidRPr="00F71B40">
        <w:rPr>
          <w:lang w:val="en-AU"/>
        </w:rPr>
        <w:t xml:space="preserve">  SIGOV </w:t>
      </w:r>
      <w:r w:rsidR="005270BB" w:rsidRPr="00F71B40">
        <w:rPr>
          <w:lang w:val="en-AU"/>
        </w:rPr>
        <w:t xml:space="preserve">design </w:t>
      </w:r>
      <w:r w:rsidR="00677A53" w:rsidRPr="00F71B40">
        <w:rPr>
          <w:lang w:val="en-AU"/>
        </w:rPr>
        <w:t xml:space="preserve">should include </w:t>
      </w:r>
      <w:r w:rsidR="005270BB" w:rsidRPr="00F71B40">
        <w:rPr>
          <w:lang w:val="en-AU"/>
        </w:rPr>
        <w:t>an approach to learning how the public sector operates in practice</w:t>
      </w:r>
      <w:r w:rsidR="00677A53" w:rsidRPr="00F71B40">
        <w:rPr>
          <w:lang w:val="en-AU"/>
        </w:rPr>
        <w:t xml:space="preserve"> to help </w:t>
      </w:r>
      <w:r w:rsidR="005270BB" w:rsidRPr="00F71B40">
        <w:rPr>
          <w:lang w:val="en-AU"/>
        </w:rPr>
        <w:t>prioritize improvements in the central agencies</w:t>
      </w:r>
      <w:r w:rsidR="00677A53" w:rsidRPr="00F71B40">
        <w:rPr>
          <w:lang w:val="en-AU"/>
        </w:rPr>
        <w:t>, work</w:t>
      </w:r>
      <w:r w:rsidR="00977C85" w:rsidRPr="00F71B40">
        <w:rPr>
          <w:lang w:val="en-AU"/>
        </w:rPr>
        <w:t>ing</w:t>
      </w:r>
      <w:r w:rsidR="00677A53" w:rsidRPr="00F71B40">
        <w:rPr>
          <w:lang w:val="en-AU"/>
        </w:rPr>
        <w:t xml:space="preserve"> with </w:t>
      </w:r>
      <w:r w:rsidR="005270BB" w:rsidRPr="00F71B40">
        <w:rPr>
          <w:lang w:val="en-AU"/>
        </w:rPr>
        <w:t xml:space="preserve">the </w:t>
      </w:r>
      <w:r w:rsidR="00677A53" w:rsidRPr="00F71B40">
        <w:rPr>
          <w:lang w:val="en-AU"/>
        </w:rPr>
        <w:t xml:space="preserve">reality of a </w:t>
      </w:r>
      <w:r w:rsidR="005270BB" w:rsidRPr="00F71B40">
        <w:rPr>
          <w:lang w:val="en-AU"/>
        </w:rPr>
        <w:t xml:space="preserve">strong role </w:t>
      </w:r>
      <w:r w:rsidR="00677A53" w:rsidRPr="00F71B40">
        <w:rPr>
          <w:lang w:val="en-AU"/>
        </w:rPr>
        <w:t xml:space="preserve">for </w:t>
      </w:r>
      <w:r w:rsidR="005270BB" w:rsidRPr="00F71B40">
        <w:rPr>
          <w:lang w:val="en-AU"/>
        </w:rPr>
        <w:t>MPs in determining public sector outputs at the local level</w:t>
      </w:r>
      <w:r w:rsidR="00677A53" w:rsidRPr="00F71B40">
        <w:rPr>
          <w:lang w:val="en-AU"/>
        </w:rPr>
        <w:t xml:space="preserve"> and </w:t>
      </w:r>
      <w:r w:rsidR="005270BB" w:rsidRPr="00F71B40">
        <w:rPr>
          <w:lang w:val="en-AU"/>
        </w:rPr>
        <w:t>develop</w:t>
      </w:r>
      <w:r w:rsidR="00977C85" w:rsidRPr="00F71B40">
        <w:rPr>
          <w:lang w:val="en-AU"/>
        </w:rPr>
        <w:t>ing</w:t>
      </w:r>
      <w:r w:rsidR="005270BB" w:rsidRPr="00F71B40">
        <w:rPr>
          <w:lang w:val="en-AU"/>
        </w:rPr>
        <w:t xml:space="preserve"> interventions </w:t>
      </w:r>
      <w:r w:rsidR="00677A53" w:rsidRPr="00F71B40">
        <w:rPr>
          <w:lang w:val="en-AU"/>
        </w:rPr>
        <w:t xml:space="preserve">when necessary </w:t>
      </w:r>
      <w:r w:rsidR="005270BB" w:rsidRPr="00F71B40">
        <w:rPr>
          <w:lang w:val="en-AU"/>
        </w:rPr>
        <w:t>outside of the central agencies</w:t>
      </w:r>
      <w:r w:rsidR="0044213D" w:rsidRPr="00F71B40">
        <w:rPr>
          <w:lang w:val="en-AU"/>
        </w:rPr>
        <w:t>.</w:t>
      </w:r>
    </w:p>
    <w:p w:rsidR="00216DC9" w:rsidRPr="00F71B40" w:rsidRDefault="00216DC9" w:rsidP="00216DC9">
      <w:pPr>
        <w:pStyle w:val="ListParagraph"/>
        <w:ind w:left="0"/>
        <w:rPr>
          <w:rFonts w:cs="Times New Roman"/>
          <w:lang w:val="en-AU"/>
        </w:rPr>
      </w:pPr>
    </w:p>
    <w:tbl>
      <w:tblPr>
        <w:tblStyle w:val="TableGrid"/>
        <w:tblW w:w="0" w:type="auto"/>
        <w:tblLook w:val="04A0" w:firstRow="1" w:lastRow="0" w:firstColumn="1" w:lastColumn="0" w:noHBand="0" w:noVBand="1"/>
      </w:tblPr>
      <w:tblGrid>
        <w:gridCol w:w="9576"/>
      </w:tblGrid>
      <w:tr w:rsidR="00216DC9" w:rsidRPr="00F71B40" w:rsidTr="00216DC9">
        <w:tc>
          <w:tcPr>
            <w:tcW w:w="9576" w:type="dxa"/>
          </w:tcPr>
          <w:p w:rsidR="00216DC9" w:rsidRPr="00F71B40" w:rsidRDefault="00216DC9" w:rsidP="00182593">
            <w:pPr>
              <w:pStyle w:val="Caption"/>
              <w:keepNext/>
              <w:keepLines/>
              <w:rPr>
                <w:lang w:val="en-AU"/>
              </w:rPr>
            </w:pPr>
            <w:bookmarkStart w:id="86" w:name="_Ref399402047"/>
            <w:bookmarkStart w:id="87" w:name="_Toc401761835"/>
            <w:r w:rsidRPr="00F71B40">
              <w:rPr>
                <w:lang w:val="en-AU"/>
              </w:rPr>
              <w:lastRenderedPageBreak/>
              <w:t xml:space="preserve">Box </w:t>
            </w:r>
            <w:r w:rsidR="00361D8F" w:rsidRPr="00F71B40">
              <w:rPr>
                <w:lang w:val="en-AU"/>
              </w:rPr>
              <w:fldChar w:fldCharType="begin"/>
            </w:r>
            <w:r w:rsidR="00361D8F" w:rsidRPr="00F71B40">
              <w:rPr>
                <w:lang w:val="en-AU"/>
              </w:rPr>
              <w:instrText xml:space="preserve"> SEQ Box \* ARABIC </w:instrText>
            </w:r>
            <w:r w:rsidR="00361D8F" w:rsidRPr="00F71B40">
              <w:rPr>
                <w:lang w:val="en-AU"/>
              </w:rPr>
              <w:fldChar w:fldCharType="separate"/>
            </w:r>
            <w:r w:rsidR="00EF43BE">
              <w:rPr>
                <w:noProof/>
                <w:lang w:val="en-AU"/>
              </w:rPr>
              <w:t>7</w:t>
            </w:r>
            <w:r w:rsidR="00361D8F" w:rsidRPr="00F71B40">
              <w:rPr>
                <w:lang w:val="en-AU"/>
              </w:rPr>
              <w:fldChar w:fldCharType="end"/>
            </w:r>
            <w:bookmarkEnd w:id="86"/>
            <w:r w:rsidRPr="00F71B40">
              <w:rPr>
                <w:lang w:val="en-AU"/>
              </w:rPr>
              <w:t>: Conclusions about stove-piping within Australian support identified in previous reviews</w:t>
            </w:r>
            <w:bookmarkEnd w:id="87"/>
          </w:p>
          <w:p w:rsidR="00216DC9" w:rsidRPr="00F71B40" w:rsidRDefault="00216DC9" w:rsidP="00182593">
            <w:pPr>
              <w:pStyle w:val="ListParagraph"/>
              <w:keepNext/>
              <w:keepLines/>
              <w:ind w:left="0"/>
              <w:rPr>
                <w:rFonts w:cs="Times New Roman"/>
                <w:lang w:val="en-AU"/>
              </w:rPr>
            </w:pPr>
          </w:p>
          <w:p w:rsidR="00216DC9" w:rsidRPr="00F71B40" w:rsidRDefault="00216DC9" w:rsidP="00182593">
            <w:pPr>
              <w:keepNext/>
              <w:keepLines/>
              <w:rPr>
                <w:rFonts w:cs="Times New Roman"/>
                <w:sz w:val="20"/>
                <w:szCs w:val="20"/>
                <w:lang w:val="en-AU"/>
              </w:rPr>
            </w:pPr>
            <w:r w:rsidRPr="00F71B40">
              <w:rPr>
                <w:rFonts w:cs="Times New Roman"/>
                <w:sz w:val="20"/>
                <w:szCs w:val="20"/>
                <w:lang w:val="en-AU"/>
              </w:rPr>
              <w:t xml:space="preserve">The Independent Performance Assessment Panel noted in March 2013, that there is a “greater focus on the results and transformations that are required to deliver tangible outcomes for citizens (and) (t)hese transformations are most noticeable in the health sector, which builds on foundations laid and relationships established much earlier than in other sectors… But elsewhere there are relatively few data that demonstrate that people’s lives and livelihoods are yet changing for the better as a result of the partnership’s contribution.” </w:t>
            </w:r>
            <w:r w:rsidR="00115AC9" w:rsidRPr="00F71B40">
              <w:rPr>
                <w:rFonts w:cs="Times New Roman"/>
                <w:sz w:val="20"/>
                <w:szCs w:val="20"/>
                <w:lang w:val="en-AU"/>
              </w:rPr>
              <w:fldChar w:fldCharType="begin"/>
            </w:r>
            <w:r w:rsidR="00115AC9" w:rsidRPr="00F71B40">
              <w:rPr>
                <w:rFonts w:cs="Times New Roman"/>
                <w:sz w:val="20"/>
                <w:szCs w:val="20"/>
                <w:lang w:val="en-AU"/>
              </w:rPr>
              <w:instrText xml:space="preserve"> ADDIN EN.CITE &lt;EndNote&gt;&lt;Cite&gt;&lt;Author&gt;Bazeley&lt;/Author&gt;&lt;Year&gt;2013&lt;/Year&gt;&lt;RecNum&gt;4274&lt;/RecNum&gt;&lt;Suffix&gt;`, p. 2&lt;/Suffix&gt;&lt;DisplayText&gt;(Bazeley et al., 2013, p. 2)&lt;/DisplayText&gt;&lt;record&gt;&lt;rec-number&gt;4274&lt;/rec-number&gt;&lt;foreign-keys&gt;&lt;key app="EN" db-id="5v9z5rrdszvwsneef06v9dapsd0apdtfapdx" timestamp="1408466650"&gt;4274&lt;/key&gt;&lt;/foreign-keys&gt;&lt;ref-type name="Report"&gt;27&lt;/ref-type&gt;&lt;contributors&gt;&lt;authors&gt;&lt;author&gt;Peter Bazeley&lt;/author&gt;&lt;author&gt;Rosalind David&lt;/author&gt;&lt;author&gt;Kabutaulaka, Tarcisius Tara&lt;/author&gt;&lt;/authors&gt;&lt;/contributors&gt;&lt;titles&gt;&lt;title&gt;Solomon Islands – Australia Partnership for Development: Independent Performance Assessment Panel Assessment for 2012&lt;/title&gt;&lt;/titles&gt;&lt;dates&gt;&lt;year&gt;2013&lt;/year&gt;&lt;/dates&gt;&lt;pub-location&gt;Canberra&lt;/pub-location&gt;&lt;publisher&gt;AusAID&lt;/publisher&gt;&lt;urls&gt;&lt;/urls&gt;&lt;/record&gt;&lt;/Cite&gt;&lt;/EndNote&gt;</w:instrText>
            </w:r>
            <w:r w:rsidR="00115AC9" w:rsidRPr="00F71B40">
              <w:rPr>
                <w:rFonts w:cs="Times New Roman"/>
                <w:sz w:val="20"/>
                <w:szCs w:val="20"/>
                <w:lang w:val="en-AU"/>
              </w:rPr>
              <w:fldChar w:fldCharType="separate"/>
            </w:r>
            <w:r w:rsidR="00115AC9" w:rsidRPr="00F71B40">
              <w:rPr>
                <w:rFonts w:cs="Times New Roman"/>
                <w:sz w:val="20"/>
                <w:szCs w:val="20"/>
                <w:lang w:val="en-AU"/>
              </w:rPr>
              <w:t>(</w:t>
            </w:r>
            <w:hyperlink w:anchor="_ENREF_22" w:tooltip="Bazeley, 2013 #4274" w:history="1">
              <w:r w:rsidR="00CC56DB" w:rsidRPr="00F71B40">
                <w:rPr>
                  <w:rFonts w:cs="Times New Roman"/>
                  <w:sz w:val="20"/>
                  <w:szCs w:val="20"/>
                  <w:lang w:val="en-AU"/>
                </w:rPr>
                <w:t>Bazeley et al., 2013, p. 2</w:t>
              </w:r>
            </w:hyperlink>
            <w:r w:rsidR="00115AC9" w:rsidRPr="00F71B40">
              <w:rPr>
                <w:rFonts w:cs="Times New Roman"/>
                <w:sz w:val="20"/>
                <w:szCs w:val="20"/>
                <w:lang w:val="en-AU"/>
              </w:rPr>
              <w:t>)</w:t>
            </w:r>
            <w:r w:rsidR="00115AC9" w:rsidRPr="00F71B40">
              <w:rPr>
                <w:rFonts w:cs="Times New Roman"/>
                <w:sz w:val="20"/>
                <w:szCs w:val="20"/>
                <w:lang w:val="en-AU"/>
              </w:rPr>
              <w:fldChar w:fldCharType="end"/>
            </w:r>
            <w:r w:rsidRPr="00F71B40">
              <w:rPr>
                <w:rFonts w:cs="Times New Roman"/>
                <w:sz w:val="20"/>
                <w:szCs w:val="20"/>
                <w:lang w:val="en-AU"/>
              </w:rPr>
              <w:t>.</w:t>
            </w:r>
            <w:r w:rsidR="00E256D6">
              <w:rPr>
                <w:rFonts w:cs="Times New Roman"/>
                <w:sz w:val="20"/>
                <w:szCs w:val="20"/>
                <w:lang w:val="en-AU"/>
              </w:rPr>
              <w:t xml:space="preserve">  </w:t>
            </w:r>
            <w:r w:rsidRPr="00F71B40">
              <w:rPr>
                <w:rFonts w:cs="Times New Roman"/>
                <w:sz w:val="20"/>
                <w:szCs w:val="20"/>
                <w:lang w:val="en-AU"/>
              </w:rPr>
              <w:t xml:space="preserve">The Panel concluded correctly that that there should be a “Greater strategic focus on addressing impediments to service delivery. This means extending the Partnership’s focus on systems and public sector management centrally to the analysis and correction of the </w:t>
            </w:r>
            <w:r w:rsidRPr="00F71B40">
              <w:rPr>
                <w:rFonts w:cs="Times New Roman"/>
                <w:i/>
                <w:sz w:val="20"/>
                <w:szCs w:val="20"/>
                <w:lang w:val="en-AU"/>
              </w:rPr>
              <w:t>fundamental impediments to service delivery</w:t>
            </w:r>
            <w:r w:rsidRPr="00F71B40">
              <w:rPr>
                <w:rFonts w:cs="Times New Roman"/>
                <w:sz w:val="20"/>
                <w:szCs w:val="20"/>
                <w:lang w:val="en-AU"/>
              </w:rPr>
              <w:t xml:space="preserve"> at the level of the community.” </w:t>
            </w:r>
            <w:r w:rsidR="00115AC9" w:rsidRPr="00F71B40">
              <w:rPr>
                <w:rFonts w:cs="Times New Roman"/>
                <w:sz w:val="20"/>
                <w:szCs w:val="20"/>
                <w:lang w:val="en-AU"/>
              </w:rPr>
              <w:fldChar w:fldCharType="begin"/>
            </w:r>
            <w:r w:rsidR="00115AC9" w:rsidRPr="00F71B40">
              <w:rPr>
                <w:rFonts w:cs="Times New Roman"/>
                <w:sz w:val="20"/>
                <w:szCs w:val="20"/>
                <w:lang w:val="en-AU"/>
              </w:rPr>
              <w:instrText xml:space="preserve"> ADDIN EN.CITE &lt;EndNote&gt;&lt;Cite&gt;&lt;Author&gt;Bazeley&lt;/Author&gt;&lt;Year&gt;2013&lt;/Year&gt;&lt;RecNum&gt;4274&lt;/RecNum&gt;&lt;Suffix&gt;`, p. 19&lt;/Suffix&gt;&lt;DisplayText&gt;(Bazeley et al., 2013, p. 19)&lt;/DisplayText&gt;&lt;record&gt;&lt;rec-number&gt;4274&lt;/rec-number&gt;&lt;foreign-keys&gt;&lt;key app="EN" db-id="5v9z5rrdszvwsneef06v9dapsd0apdtfapdx" timestamp="1408466650"&gt;4274&lt;/key&gt;&lt;/foreign-keys&gt;&lt;ref-type name="Report"&gt;27&lt;/ref-type&gt;&lt;contributors&gt;&lt;authors&gt;&lt;author&gt;Peter Bazeley&lt;/author&gt;&lt;author&gt;Rosalind David&lt;/author&gt;&lt;author&gt;Kabutaulaka, Tarcisius Tara&lt;/author&gt;&lt;/authors&gt;&lt;/contributors&gt;&lt;titles&gt;&lt;title&gt;Solomon Islands – Australia Partnership for Development: Independent Performance Assessment Panel Assessment for 2012&lt;/title&gt;&lt;/titles&gt;&lt;dates&gt;&lt;year&gt;2013&lt;/year&gt;&lt;/dates&gt;&lt;pub-location&gt;Canberra&lt;/pub-location&gt;&lt;publisher&gt;AusAID&lt;/publisher&gt;&lt;urls&gt;&lt;/urls&gt;&lt;/record&gt;&lt;/Cite&gt;&lt;/EndNote&gt;</w:instrText>
            </w:r>
            <w:r w:rsidR="00115AC9" w:rsidRPr="00F71B40">
              <w:rPr>
                <w:rFonts w:cs="Times New Roman"/>
                <w:sz w:val="20"/>
                <w:szCs w:val="20"/>
                <w:lang w:val="en-AU"/>
              </w:rPr>
              <w:fldChar w:fldCharType="separate"/>
            </w:r>
            <w:r w:rsidR="00115AC9" w:rsidRPr="00F71B40">
              <w:rPr>
                <w:rFonts w:cs="Times New Roman"/>
                <w:sz w:val="20"/>
                <w:szCs w:val="20"/>
                <w:lang w:val="en-AU"/>
              </w:rPr>
              <w:t>(</w:t>
            </w:r>
            <w:hyperlink w:anchor="_ENREF_22" w:tooltip="Bazeley, 2013 #4274" w:history="1">
              <w:r w:rsidR="00CC56DB" w:rsidRPr="00F71B40">
                <w:rPr>
                  <w:rFonts w:cs="Times New Roman"/>
                  <w:sz w:val="20"/>
                  <w:szCs w:val="20"/>
                  <w:lang w:val="en-AU"/>
                </w:rPr>
                <w:t>Bazeley et al., 2013, p. 19</w:t>
              </w:r>
            </w:hyperlink>
            <w:r w:rsidR="00115AC9" w:rsidRPr="00F71B40">
              <w:rPr>
                <w:rFonts w:cs="Times New Roman"/>
                <w:sz w:val="20"/>
                <w:szCs w:val="20"/>
                <w:lang w:val="en-AU"/>
              </w:rPr>
              <w:t>)</w:t>
            </w:r>
            <w:r w:rsidR="00115AC9" w:rsidRPr="00F71B40">
              <w:rPr>
                <w:rFonts w:cs="Times New Roman"/>
                <w:sz w:val="20"/>
                <w:szCs w:val="20"/>
                <w:lang w:val="en-AU"/>
              </w:rPr>
              <w:fldChar w:fldCharType="end"/>
            </w:r>
            <w:r w:rsidRPr="00F71B40">
              <w:rPr>
                <w:rFonts w:cs="Times New Roman"/>
                <w:sz w:val="20"/>
                <w:szCs w:val="20"/>
                <w:lang w:val="en-AU"/>
              </w:rPr>
              <w:t xml:space="preserve">.  They went on to note that “(t)his might involve, for example, a critical reflection on: </w:t>
            </w:r>
          </w:p>
          <w:p w:rsidR="00216DC9" w:rsidRPr="00F71B40" w:rsidRDefault="00216DC9" w:rsidP="00182593">
            <w:pPr>
              <w:pStyle w:val="ListParagraph"/>
              <w:keepNext/>
              <w:keepLines/>
              <w:numPr>
                <w:ilvl w:val="0"/>
                <w:numId w:val="37"/>
              </w:numPr>
              <w:rPr>
                <w:rFonts w:cs="Times New Roman"/>
                <w:sz w:val="20"/>
                <w:szCs w:val="20"/>
                <w:lang w:val="en-AU"/>
              </w:rPr>
            </w:pPr>
            <w:r w:rsidRPr="00F71B40">
              <w:rPr>
                <w:rFonts w:cs="Times New Roman"/>
                <w:sz w:val="20"/>
                <w:szCs w:val="20"/>
                <w:lang w:val="en-AU"/>
              </w:rPr>
              <w:t xml:space="preserve">What adequate levels of service delivery look like </w:t>
            </w:r>
            <w:r w:rsidRPr="00F71B40">
              <w:rPr>
                <w:rFonts w:cs="Times New Roman"/>
                <w:i/>
                <w:sz w:val="20"/>
                <w:szCs w:val="20"/>
                <w:lang w:val="en-AU"/>
              </w:rPr>
              <w:t>and must ultimately cost</w:t>
            </w:r>
            <w:r w:rsidRPr="00F71B40">
              <w:rPr>
                <w:rFonts w:cs="Times New Roman"/>
                <w:sz w:val="20"/>
                <w:szCs w:val="20"/>
                <w:lang w:val="en-AU"/>
              </w:rPr>
              <w:t xml:space="preserve"> (especially in rural areas) and how they can be provided and funded more efficiently and effectively;</w:t>
            </w:r>
          </w:p>
          <w:p w:rsidR="00216DC9" w:rsidRPr="00F71B40" w:rsidRDefault="00216DC9" w:rsidP="00182593">
            <w:pPr>
              <w:pStyle w:val="ListParagraph"/>
              <w:keepNext/>
              <w:keepLines/>
              <w:numPr>
                <w:ilvl w:val="0"/>
                <w:numId w:val="37"/>
              </w:numPr>
              <w:rPr>
                <w:rFonts w:cs="Times New Roman"/>
                <w:sz w:val="20"/>
                <w:szCs w:val="20"/>
                <w:lang w:val="en-AU"/>
              </w:rPr>
            </w:pPr>
            <w:r w:rsidRPr="00F71B40">
              <w:rPr>
                <w:rFonts w:cs="Times New Roman"/>
                <w:sz w:val="20"/>
                <w:szCs w:val="20"/>
                <w:lang w:val="en-AU"/>
              </w:rPr>
              <w:t>What are the non-fiscal impediments to efficient and effective service delivery, and are they being adequately addressed? (For example teacher absenteeism, dysfunctionalities in school governance arrangements, dysfunctionalities in public and private sector supply chains, etc.)</w:t>
            </w:r>
          </w:p>
          <w:p w:rsidR="00216DC9" w:rsidRPr="00F71B40" w:rsidRDefault="00216DC9" w:rsidP="00182593">
            <w:pPr>
              <w:pStyle w:val="ListParagraph"/>
              <w:keepNext/>
              <w:keepLines/>
              <w:numPr>
                <w:ilvl w:val="0"/>
                <w:numId w:val="37"/>
              </w:numPr>
              <w:rPr>
                <w:rFonts w:cs="Times New Roman"/>
                <w:sz w:val="20"/>
                <w:szCs w:val="20"/>
                <w:lang w:val="en-AU"/>
              </w:rPr>
            </w:pPr>
            <w:r w:rsidRPr="00F71B40">
              <w:rPr>
                <w:rFonts w:cs="Times New Roman"/>
                <w:sz w:val="20"/>
                <w:szCs w:val="20"/>
                <w:lang w:val="en-AU"/>
              </w:rPr>
              <w:t xml:space="preserve">New technology – particularly information and communication technology – in correcting asymmetries of information (including transparency in governance matters), market access, financial inclusion, literacy and numeracy, etc.” </w:t>
            </w:r>
            <w:r w:rsidR="00115AC9" w:rsidRPr="00F71B40">
              <w:rPr>
                <w:rFonts w:cs="Times New Roman"/>
                <w:sz w:val="20"/>
                <w:szCs w:val="20"/>
                <w:lang w:val="en-AU"/>
              </w:rPr>
              <w:fldChar w:fldCharType="begin"/>
            </w:r>
            <w:r w:rsidR="00115AC9" w:rsidRPr="00F71B40">
              <w:rPr>
                <w:rFonts w:cs="Times New Roman"/>
                <w:sz w:val="20"/>
                <w:szCs w:val="20"/>
                <w:lang w:val="en-AU"/>
              </w:rPr>
              <w:instrText xml:space="preserve"> ADDIN EN.CITE &lt;EndNote&gt;&lt;Cite&gt;&lt;Author&gt;Bazeley&lt;/Author&gt;&lt;Year&gt;2013&lt;/Year&gt;&lt;RecNum&gt;4274&lt;/RecNum&gt;&lt;Suffix&gt;`, p. 19&lt;/Suffix&gt;&lt;DisplayText&gt;(Bazeley et al., 2013, p. 19)&lt;/DisplayText&gt;&lt;record&gt;&lt;rec-number&gt;4274&lt;/rec-number&gt;&lt;foreign-keys&gt;&lt;key app="EN" db-id="5v9z5rrdszvwsneef06v9dapsd0apdtfapdx" timestamp="1408466650"&gt;4274&lt;/key&gt;&lt;/foreign-keys&gt;&lt;ref-type name="Report"&gt;27&lt;/ref-type&gt;&lt;contributors&gt;&lt;authors&gt;&lt;author&gt;Peter Bazeley&lt;/author&gt;&lt;author&gt;Rosalind David&lt;/author&gt;&lt;author&gt;Kabutaulaka, Tarcisius Tara&lt;/author&gt;&lt;/authors&gt;&lt;/contributors&gt;&lt;titles&gt;&lt;title&gt;Solomon Islands – Australia Partnership for Development: Independent Performance Assessment Panel Assessment for 2012&lt;/title&gt;&lt;/titles&gt;&lt;dates&gt;&lt;year&gt;2013&lt;/year&gt;&lt;/dates&gt;&lt;pub-location&gt;Canberra&lt;/pub-location&gt;&lt;publisher&gt;AusAID&lt;/publisher&gt;&lt;urls&gt;&lt;/urls&gt;&lt;/record&gt;&lt;/Cite&gt;&lt;/EndNote&gt;</w:instrText>
            </w:r>
            <w:r w:rsidR="00115AC9" w:rsidRPr="00F71B40">
              <w:rPr>
                <w:rFonts w:cs="Times New Roman"/>
                <w:sz w:val="20"/>
                <w:szCs w:val="20"/>
                <w:lang w:val="en-AU"/>
              </w:rPr>
              <w:fldChar w:fldCharType="separate"/>
            </w:r>
            <w:r w:rsidR="00115AC9" w:rsidRPr="00F71B40">
              <w:rPr>
                <w:rFonts w:cs="Times New Roman"/>
                <w:sz w:val="20"/>
                <w:szCs w:val="20"/>
                <w:lang w:val="en-AU"/>
              </w:rPr>
              <w:t>(</w:t>
            </w:r>
            <w:hyperlink w:anchor="_ENREF_22" w:tooltip="Bazeley, 2013 #4274" w:history="1">
              <w:r w:rsidR="00CC56DB" w:rsidRPr="00F71B40">
                <w:rPr>
                  <w:rFonts w:cs="Times New Roman"/>
                  <w:sz w:val="20"/>
                  <w:szCs w:val="20"/>
                  <w:lang w:val="en-AU"/>
                </w:rPr>
                <w:t>Bazeley et al., 2013, p. 19</w:t>
              </w:r>
            </w:hyperlink>
            <w:r w:rsidR="00115AC9" w:rsidRPr="00F71B40">
              <w:rPr>
                <w:rFonts w:cs="Times New Roman"/>
                <w:sz w:val="20"/>
                <w:szCs w:val="20"/>
                <w:lang w:val="en-AU"/>
              </w:rPr>
              <w:t>)</w:t>
            </w:r>
            <w:r w:rsidR="00115AC9" w:rsidRPr="00F71B40">
              <w:rPr>
                <w:rFonts w:cs="Times New Roman"/>
                <w:sz w:val="20"/>
                <w:szCs w:val="20"/>
                <w:lang w:val="en-AU"/>
              </w:rPr>
              <w:fldChar w:fldCharType="end"/>
            </w:r>
          </w:p>
          <w:p w:rsidR="00216DC9" w:rsidRPr="00F71B40" w:rsidRDefault="00216DC9" w:rsidP="00182593">
            <w:pPr>
              <w:keepNext/>
              <w:keepLines/>
              <w:rPr>
                <w:sz w:val="20"/>
                <w:szCs w:val="20"/>
                <w:lang w:val="en-AU"/>
              </w:rPr>
            </w:pPr>
          </w:p>
          <w:p w:rsidR="00216DC9" w:rsidRPr="00F71B40" w:rsidRDefault="00115AC9" w:rsidP="00182593">
            <w:pPr>
              <w:keepNext/>
              <w:keepLines/>
              <w:rPr>
                <w:sz w:val="20"/>
                <w:szCs w:val="20"/>
                <w:lang w:val="en-AU"/>
              </w:rPr>
            </w:pPr>
            <w:r w:rsidRPr="00F71B40">
              <w:rPr>
                <w:sz w:val="20"/>
                <w:szCs w:val="20"/>
                <w:lang w:val="en-AU"/>
              </w:rPr>
              <w:fldChar w:fldCharType="begin"/>
            </w:r>
            <w:r w:rsidRPr="00F71B40">
              <w:rPr>
                <w:sz w:val="20"/>
                <w:szCs w:val="20"/>
                <w:lang w:val="en-AU"/>
              </w:rPr>
              <w:instrText xml:space="preserve"> ADDIN EN.CITE &lt;EndNote&gt;&lt;Cite&gt;&lt;Author&gt;CEWG&lt;/Author&gt;&lt;Year&gt;2013&lt;/Year&gt;&lt;RecNum&gt;4266&lt;/RecNum&gt;&lt;DisplayText&gt;(CEWG, 2013)&lt;/DisplayText&gt;&lt;record&gt;&lt;rec-number&gt;4266&lt;/rec-number&gt;&lt;foreign-keys&gt;&lt;key app="EN" db-id="5v9z5rrdszvwsneef06v9dapsd0apdtfapdx" timestamp="1408393765"&gt;4266&lt;/key&gt;&lt;/foreign-keys&gt;&lt;ref-type name="Report"&gt;27&lt;/ref-type&gt;&lt;contributors&gt;&lt;authors&gt;&lt;author&gt;CEWG&lt;/author&gt;&lt;/authors&gt;&lt;/contributors&gt;&lt;titles&gt;&lt;title&gt;Report of Fourth Annual Joint Review Mission&lt;/title&gt;&lt;/titles&gt;&lt;dates&gt;&lt;year&gt;2013&lt;/year&gt;&lt;/dates&gt;&lt;pub-location&gt;Honiara&lt;/pub-location&gt;&lt;publisher&gt;Solomon Islands Core Economic Working Group&lt;/publisher&gt;&lt;urls&gt;&lt;/urls&gt;&lt;/record&gt;&lt;/Cite&gt;&lt;/EndNote&gt;</w:instrText>
            </w:r>
            <w:r w:rsidRPr="00F71B40">
              <w:rPr>
                <w:sz w:val="20"/>
                <w:szCs w:val="20"/>
                <w:lang w:val="en-AU"/>
              </w:rPr>
              <w:fldChar w:fldCharType="separate"/>
            </w:r>
            <w:r w:rsidRPr="00F71B40">
              <w:rPr>
                <w:sz w:val="20"/>
                <w:szCs w:val="20"/>
                <w:lang w:val="en-AU"/>
              </w:rPr>
              <w:t>(</w:t>
            </w:r>
            <w:hyperlink w:anchor="_ENREF_34" w:tooltip="CEWG, 2013 #4266" w:history="1">
              <w:r w:rsidR="00CC56DB" w:rsidRPr="00F71B40">
                <w:rPr>
                  <w:sz w:val="20"/>
                  <w:szCs w:val="20"/>
                  <w:lang w:val="en-AU"/>
                </w:rPr>
                <w:t>CEWG, 2013</w:t>
              </w:r>
            </w:hyperlink>
            <w:r w:rsidRPr="00F71B40">
              <w:rPr>
                <w:sz w:val="20"/>
                <w:szCs w:val="20"/>
                <w:lang w:val="en-AU"/>
              </w:rPr>
              <w:t>)</w:t>
            </w:r>
            <w:r w:rsidRPr="00F71B40">
              <w:rPr>
                <w:sz w:val="20"/>
                <w:szCs w:val="20"/>
                <w:lang w:val="en-AU"/>
              </w:rPr>
              <w:fldChar w:fldCharType="end"/>
            </w:r>
            <w:r w:rsidR="007E58A6" w:rsidRPr="00F71B40">
              <w:rPr>
                <w:sz w:val="20"/>
                <w:szCs w:val="20"/>
                <w:lang w:val="en-AU"/>
              </w:rPr>
              <w:t xml:space="preserve"> </w:t>
            </w:r>
            <w:r w:rsidR="00216DC9" w:rsidRPr="00F71B40">
              <w:rPr>
                <w:sz w:val="20"/>
                <w:szCs w:val="20"/>
                <w:lang w:val="en-AU"/>
              </w:rPr>
              <w:t xml:space="preserve">observed that “the effectiveness of many of the institutional PFM reforms is compromised by inadequate staffing, slow recruitment and weak staff development procedures”.  It went on to point out that “…it will… be important to draw sector ministries more deeply into the implementation of the reform agenda and to strengthen the dialogue between MoFT and sector ministries.” </w:t>
            </w:r>
            <w:r w:rsidRPr="00F71B40">
              <w:rPr>
                <w:sz w:val="20"/>
                <w:szCs w:val="20"/>
                <w:lang w:val="en-AU"/>
              </w:rPr>
              <w:fldChar w:fldCharType="begin"/>
            </w:r>
            <w:r w:rsidRPr="00F71B40">
              <w:rPr>
                <w:sz w:val="20"/>
                <w:szCs w:val="20"/>
                <w:lang w:val="en-AU"/>
              </w:rPr>
              <w:instrText xml:space="preserve"> ADDIN EN.CITE &lt;EndNote&gt;&lt;Cite&gt;&lt;Author&gt;CEWG&lt;/Author&gt;&lt;Year&gt;2013&lt;/Year&gt;&lt;RecNum&gt;4266&lt;/RecNum&gt;&lt;Suffix&gt;`, pp. 29-30&lt;/Suffix&gt;&lt;DisplayText&gt;(CEWG, 2013, pp. 29-30)&lt;/DisplayText&gt;&lt;record&gt;&lt;rec-number&gt;4266&lt;/rec-number&gt;&lt;foreign-keys&gt;&lt;key app="EN" db-id="5v9z5rrdszvwsneef06v9dapsd0apdtfapdx" timestamp="1408393765"&gt;4266&lt;/key&gt;&lt;/foreign-keys&gt;&lt;ref-type name="Report"&gt;27&lt;/ref-type&gt;&lt;contributors&gt;&lt;authors&gt;&lt;author&gt;CEWG&lt;/author&gt;&lt;/authors&gt;&lt;/contributors&gt;&lt;titles&gt;&lt;title&gt;Report of Fourth Annual Joint Review Mission&lt;/title&gt;&lt;/titles&gt;&lt;dates&gt;&lt;year&gt;2013&lt;/year&gt;&lt;/dates&gt;&lt;pub-location&gt;Honiara&lt;/pub-location&gt;&lt;publisher&gt;Solomon Islands Core Economic Working Group&lt;/publisher&gt;&lt;urls&gt;&lt;/urls&gt;&lt;/record&gt;&lt;/Cite&gt;&lt;/EndNote&gt;</w:instrText>
            </w:r>
            <w:r w:rsidRPr="00F71B40">
              <w:rPr>
                <w:sz w:val="20"/>
                <w:szCs w:val="20"/>
                <w:lang w:val="en-AU"/>
              </w:rPr>
              <w:fldChar w:fldCharType="separate"/>
            </w:r>
            <w:r w:rsidRPr="00F71B40">
              <w:rPr>
                <w:sz w:val="20"/>
                <w:szCs w:val="20"/>
                <w:lang w:val="en-AU"/>
              </w:rPr>
              <w:t>(</w:t>
            </w:r>
            <w:hyperlink w:anchor="_ENREF_34" w:tooltip="CEWG, 2013 #4266" w:history="1">
              <w:r w:rsidR="00CC56DB" w:rsidRPr="00F71B40">
                <w:rPr>
                  <w:sz w:val="20"/>
                  <w:szCs w:val="20"/>
                  <w:lang w:val="en-AU"/>
                </w:rPr>
                <w:t>CEWG, 2013, pp. 29-30</w:t>
              </w:r>
            </w:hyperlink>
            <w:r w:rsidRPr="00F71B40">
              <w:rPr>
                <w:sz w:val="20"/>
                <w:szCs w:val="20"/>
                <w:lang w:val="en-AU"/>
              </w:rPr>
              <w:t>)</w:t>
            </w:r>
            <w:r w:rsidRPr="00F71B40">
              <w:rPr>
                <w:sz w:val="20"/>
                <w:szCs w:val="20"/>
                <w:lang w:val="en-AU"/>
              </w:rPr>
              <w:fldChar w:fldCharType="end"/>
            </w:r>
          </w:p>
          <w:p w:rsidR="007E58A6" w:rsidRPr="00F71B40" w:rsidRDefault="007E58A6" w:rsidP="00182593">
            <w:pPr>
              <w:keepNext/>
              <w:keepLines/>
              <w:rPr>
                <w:sz w:val="20"/>
                <w:szCs w:val="20"/>
                <w:lang w:val="en-AU"/>
              </w:rPr>
            </w:pPr>
          </w:p>
          <w:p w:rsidR="00216DC9" w:rsidRPr="00F71B40" w:rsidRDefault="00216DC9" w:rsidP="00CC56DB">
            <w:pPr>
              <w:keepNext/>
              <w:keepLines/>
              <w:rPr>
                <w:sz w:val="20"/>
                <w:szCs w:val="20"/>
                <w:lang w:val="en-AU"/>
              </w:rPr>
            </w:pPr>
            <w:r w:rsidRPr="00F71B40">
              <w:rPr>
                <w:sz w:val="20"/>
                <w:szCs w:val="20"/>
                <w:lang w:val="en-AU"/>
              </w:rPr>
              <w:t xml:space="preserve">“Adoption of a process rather than institution based perspective by FEMSP's successor will improve service delivery. It will also require stronger linkages with AusAID's sector programs for the Solomon Islands. FEMSP's successor should be an </w:t>
            </w:r>
            <w:r w:rsidRPr="00F71B40">
              <w:rPr>
                <w:i/>
                <w:sz w:val="20"/>
                <w:szCs w:val="20"/>
                <w:lang w:val="en-AU"/>
              </w:rPr>
              <w:t xml:space="preserve">integrated Economic and Public Sector Governance program </w:t>
            </w:r>
            <w:r w:rsidRPr="00F71B40">
              <w:rPr>
                <w:sz w:val="20"/>
                <w:szCs w:val="20"/>
                <w:lang w:val="en-AU"/>
              </w:rPr>
              <w:t xml:space="preserve">rather than an institutionally siloed program of support for the Ministry of Finance and Treasury.” </w:t>
            </w:r>
            <w:r w:rsidR="00115AC9" w:rsidRPr="00F71B40">
              <w:rPr>
                <w:sz w:val="20"/>
                <w:szCs w:val="20"/>
                <w:lang w:val="en-AU"/>
              </w:rPr>
              <w:fldChar w:fldCharType="begin"/>
            </w:r>
            <w:r w:rsidR="00115AC9" w:rsidRPr="00F71B40">
              <w:rPr>
                <w:sz w:val="20"/>
                <w:szCs w:val="20"/>
                <w:lang w:val="en-AU"/>
              </w:rPr>
              <w:instrText xml:space="preserve"> ADDIN EN.CITE &lt;EndNote&gt;&lt;Cite&gt;&lt;Author&gt;Dixon&lt;/Author&gt;&lt;Year&gt;2012&lt;/Year&gt;&lt;RecNum&gt;4331&lt;/RecNum&gt;&lt;Suffix&gt;`, p.39 italics added&lt;/Suffix&gt;&lt;DisplayText&gt;(Dixon et al., 2012, p.39 italics added)&lt;/DisplayText&gt;&lt;record&gt;&lt;rec-number&gt;4331&lt;/rec-number&gt;&lt;foreign-keys&gt;&lt;key app="EN" db-id="5v9z5rrdszvwsneef06v9dapsd0apdtfapdx" timestamp="1408738818"&gt;4331&lt;/key&gt;&lt;/foreign-keys&gt;&lt;ref-type name="Book Section"&gt;5&lt;/ref-type&gt;&lt;contributors&gt;&lt;authors&gt;&lt;author&gt;Geoff Dixon&lt;/author&gt;&lt;author&gt;Michael Anderson&lt;/author&gt;&lt;author&gt;Peter Deacon&lt;/author&gt;&lt;author&gt;Merrylyn Kodoleke&lt;/author&gt;&lt;author&gt;Mike Loudon&lt;/author&gt;&lt;/authors&gt;&lt;/contributors&gt;&lt;titles&gt;&lt;title&gt;FINANCIAL AND ECONOMIC MANAGEMENT SUPPORT PROGRAM (FEMSP) Mid term review&lt;/title&gt;&lt;/titles&gt;&lt;dates&gt;&lt;year&gt;2012&lt;/year&gt;&lt;/dates&gt;&lt;pub-location&gt;Canberra&lt;/pub-location&gt;&lt;publisher&gt;RAMSI&lt;/publisher&gt;&lt;urls&gt;&lt;/urls&gt;&lt;/record&gt;&lt;/Cite&gt;&lt;/EndNote&gt;</w:instrText>
            </w:r>
            <w:r w:rsidR="00115AC9" w:rsidRPr="00F71B40">
              <w:rPr>
                <w:sz w:val="20"/>
                <w:szCs w:val="20"/>
                <w:lang w:val="en-AU"/>
              </w:rPr>
              <w:fldChar w:fldCharType="separate"/>
            </w:r>
            <w:r w:rsidR="00115AC9" w:rsidRPr="00F71B40">
              <w:rPr>
                <w:sz w:val="20"/>
                <w:szCs w:val="20"/>
                <w:lang w:val="en-AU"/>
              </w:rPr>
              <w:t>(</w:t>
            </w:r>
            <w:hyperlink w:anchor="_ENREF_56" w:tooltip="Dixon, 2012 #4331" w:history="1">
              <w:r w:rsidR="00CC56DB" w:rsidRPr="00F71B40">
                <w:rPr>
                  <w:sz w:val="20"/>
                  <w:szCs w:val="20"/>
                  <w:lang w:val="en-AU"/>
                </w:rPr>
                <w:t>Dixon et al., 2012, p.39 italics added</w:t>
              </w:r>
            </w:hyperlink>
            <w:r w:rsidR="00115AC9" w:rsidRPr="00F71B40">
              <w:rPr>
                <w:sz w:val="20"/>
                <w:szCs w:val="20"/>
                <w:lang w:val="en-AU"/>
              </w:rPr>
              <w:t>)</w:t>
            </w:r>
            <w:r w:rsidR="00115AC9" w:rsidRPr="00F71B40">
              <w:rPr>
                <w:sz w:val="20"/>
                <w:szCs w:val="20"/>
                <w:lang w:val="en-AU"/>
              </w:rPr>
              <w:fldChar w:fldCharType="end"/>
            </w:r>
          </w:p>
        </w:tc>
      </w:tr>
    </w:tbl>
    <w:p w:rsidR="00182593" w:rsidRDefault="00182593" w:rsidP="00182593">
      <w:pPr>
        <w:pStyle w:val="ListParagraph"/>
        <w:ind w:left="0"/>
        <w:rPr>
          <w:lang w:val="en-AU"/>
        </w:rPr>
      </w:pPr>
    </w:p>
    <w:p w:rsidR="00182593" w:rsidRPr="00F71B40" w:rsidRDefault="00182593" w:rsidP="00182593">
      <w:pPr>
        <w:pStyle w:val="ListParagraph"/>
        <w:ind w:left="0"/>
        <w:rPr>
          <w:rFonts w:cs="Times New Roman"/>
          <w:lang w:val="en-AU"/>
        </w:rPr>
      </w:pPr>
      <w:r w:rsidRPr="00F71B40">
        <w:rPr>
          <w:lang w:val="en-AU"/>
        </w:rPr>
        <w:t>To learn where reforms might work, SIGOV must achieve a</w:t>
      </w:r>
      <w:r w:rsidRPr="00F71B40">
        <w:rPr>
          <w:rFonts w:cs="Times New Roman"/>
          <w:lang w:val="en-AU"/>
        </w:rPr>
        <w:t xml:space="preserve"> radically improved level of coordination with other DFAT sector programs (health, infrastructure and more).  Currently, the DFAT programs seem somewhat stove-piped</w:t>
      </w:r>
      <w:r>
        <w:rPr>
          <w:rFonts w:cs="Times New Roman"/>
          <w:lang w:val="en-AU"/>
        </w:rPr>
        <w:t xml:space="preserve"> (</w:t>
      </w:r>
      <w:r>
        <w:rPr>
          <w:rFonts w:cs="Times New Roman"/>
          <w:lang w:val="en-AU"/>
        </w:rPr>
        <w:fldChar w:fldCharType="begin"/>
      </w:r>
      <w:r>
        <w:rPr>
          <w:rFonts w:cs="Times New Roman"/>
          <w:lang w:val="en-AU"/>
        </w:rPr>
        <w:instrText xml:space="preserve"> REF _Ref399402047 \h </w:instrText>
      </w:r>
      <w:r>
        <w:rPr>
          <w:rFonts w:cs="Times New Roman"/>
          <w:lang w:val="en-AU"/>
        </w:rPr>
      </w:r>
      <w:r>
        <w:rPr>
          <w:rFonts w:cs="Times New Roman"/>
          <w:lang w:val="en-AU"/>
        </w:rPr>
        <w:fldChar w:fldCharType="separate"/>
      </w:r>
      <w:r w:rsidR="00EF43BE" w:rsidRPr="00F71B40">
        <w:rPr>
          <w:lang w:val="en-AU"/>
        </w:rPr>
        <w:t xml:space="preserve">Box </w:t>
      </w:r>
      <w:r w:rsidR="00EF43BE">
        <w:rPr>
          <w:noProof/>
          <w:lang w:val="en-AU"/>
        </w:rPr>
        <w:t>7</w:t>
      </w:r>
      <w:r>
        <w:rPr>
          <w:rFonts w:cs="Times New Roman"/>
          <w:lang w:val="en-AU"/>
        </w:rPr>
        <w:fldChar w:fldCharType="end"/>
      </w:r>
      <w:r>
        <w:rPr>
          <w:rFonts w:cs="Times New Roman"/>
          <w:lang w:val="en-AU"/>
        </w:rPr>
        <w:t>)</w:t>
      </w:r>
      <w:r w:rsidRPr="00F71B40">
        <w:rPr>
          <w:rFonts w:cs="Times New Roman"/>
          <w:lang w:val="en-AU"/>
        </w:rPr>
        <w:t xml:space="preserve">.  </w:t>
      </w:r>
    </w:p>
    <w:p w:rsidR="00CD653C" w:rsidRPr="00F71B40" w:rsidRDefault="00CD653C" w:rsidP="00D62A32">
      <w:pPr>
        <w:rPr>
          <w:rFonts w:cs="Times New Roman"/>
          <w:lang w:val="en-AU"/>
        </w:rPr>
      </w:pPr>
    </w:p>
    <w:tbl>
      <w:tblPr>
        <w:tblStyle w:val="TableGrid"/>
        <w:tblW w:w="0" w:type="auto"/>
        <w:tblLook w:val="04A0" w:firstRow="1" w:lastRow="0" w:firstColumn="1" w:lastColumn="0" w:noHBand="0" w:noVBand="1"/>
      </w:tblPr>
      <w:tblGrid>
        <w:gridCol w:w="9576"/>
      </w:tblGrid>
      <w:tr w:rsidR="00CD653C" w:rsidRPr="00F71B40" w:rsidTr="00897688">
        <w:tc>
          <w:tcPr>
            <w:tcW w:w="9576" w:type="dxa"/>
            <w:shd w:val="clear" w:color="auto" w:fill="EEECE1" w:themeFill="background2"/>
          </w:tcPr>
          <w:p w:rsidR="00CD653C" w:rsidRPr="00F71B40" w:rsidRDefault="00CD653C" w:rsidP="00BA706F">
            <w:pPr>
              <w:pStyle w:val="Caption"/>
              <w:rPr>
                <w:lang w:val="en-AU"/>
              </w:rPr>
            </w:pPr>
            <w:r w:rsidRPr="00F71B40">
              <w:rPr>
                <w:lang w:val="en-AU"/>
              </w:rPr>
              <w:t xml:space="preserve">Recommendation </w:t>
            </w:r>
            <w:r w:rsidRPr="00F71B40">
              <w:rPr>
                <w:lang w:val="en-AU"/>
              </w:rPr>
              <w:fldChar w:fldCharType="begin"/>
            </w:r>
            <w:r w:rsidRPr="00F71B40">
              <w:rPr>
                <w:lang w:val="en-AU"/>
              </w:rPr>
              <w:instrText xml:space="preserve"> SEQ Recommendation \* ARABIC </w:instrText>
            </w:r>
            <w:r w:rsidRPr="00F71B40">
              <w:rPr>
                <w:lang w:val="en-AU"/>
              </w:rPr>
              <w:fldChar w:fldCharType="separate"/>
            </w:r>
            <w:r w:rsidR="00EF43BE">
              <w:rPr>
                <w:noProof/>
                <w:lang w:val="en-AU"/>
              </w:rPr>
              <w:t>3</w:t>
            </w:r>
            <w:r w:rsidRPr="00F71B40">
              <w:rPr>
                <w:lang w:val="en-AU"/>
              </w:rPr>
              <w:fldChar w:fldCharType="end"/>
            </w:r>
            <w:r w:rsidRPr="00F71B40">
              <w:rPr>
                <w:lang w:val="en-AU"/>
              </w:rPr>
              <w:t>: Incorporating learning within SIGOV</w:t>
            </w:r>
          </w:p>
          <w:p w:rsidR="00CD653C" w:rsidRPr="00F71B40" w:rsidRDefault="00CD653C" w:rsidP="00D62A32">
            <w:pPr>
              <w:keepNext/>
              <w:keepLines/>
              <w:rPr>
                <w:lang w:val="en-AU"/>
              </w:rPr>
            </w:pPr>
          </w:p>
          <w:p w:rsidR="00961C8E" w:rsidRPr="00F71B40" w:rsidRDefault="00961C8E" w:rsidP="004D15F8">
            <w:pPr>
              <w:pStyle w:val="ListParagraph"/>
              <w:keepNext/>
              <w:keepLines/>
              <w:numPr>
                <w:ilvl w:val="0"/>
                <w:numId w:val="26"/>
              </w:numPr>
              <w:rPr>
                <w:rFonts w:cs="Times New Roman"/>
                <w:lang w:val="en-AU"/>
              </w:rPr>
            </w:pPr>
            <w:r w:rsidRPr="00F71B40">
              <w:rPr>
                <w:lang w:val="en-AU"/>
              </w:rPr>
              <w:t>W</w:t>
            </w:r>
            <w:r w:rsidR="00CD653C" w:rsidRPr="00F71B40">
              <w:rPr>
                <w:lang w:val="en-AU"/>
              </w:rPr>
              <w:t>ith SIG counterparts, DFAT colleagues and others working on</w:t>
            </w:r>
            <w:r w:rsidRPr="00F71B40">
              <w:rPr>
                <w:lang w:val="en-AU"/>
              </w:rPr>
              <w:t xml:space="preserve"> sector service delivery issues:</w:t>
            </w:r>
          </w:p>
          <w:p w:rsidR="00D36914" w:rsidRPr="00F71B40" w:rsidRDefault="00961C8E" w:rsidP="004D15F8">
            <w:pPr>
              <w:pStyle w:val="ListParagraph"/>
              <w:keepNext/>
              <w:keepLines/>
              <w:numPr>
                <w:ilvl w:val="1"/>
                <w:numId w:val="26"/>
              </w:numPr>
              <w:rPr>
                <w:lang w:val="en-AU"/>
              </w:rPr>
            </w:pPr>
            <w:r w:rsidRPr="00F71B40">
              <w:rPr>
                <w:lang w:val="en-AU"/>
              </w:rPr>
              <w:t xml:space="preserve">Undertake explicit diagnostic work </w:t>
            </w:r>
            <w:r w:rsidR="00CD653C" w:rsidRPr="00F71B40">
              <w:rPr>
                <w:lang w:val="en-AU"/>
              </w:rPr>
              <w:t xml:space="preserve">to pinpoint where there are constraints to service delivery which are particularly amenable to central agency/upstream work by SIGOV.  </w:t>
            </w:r>
          </w:p>
          <w:p w:rsidR="00CD653C" w:rsidRPr="00F71B40" w:rsidRDefault="00961C8E" w:rsidP="004D15F8">
            <w:pPr>
              <w:pStyle w:val="ListParagraph"/>
              <w:keepNext/>
              <w:keepLines/>
              <w:numPr>
                <w:ilvl w:val="1"/>
                <w:numId w:val="26"/>
              </w:numPr>
              <w:rPr>
                <w:lang w:val="en-AU"/>
              </w:rPr>
            </w:pPr>
            <w:r w:rsidRPr="00F71B40">
              <w:rPr>
                <w:lang w:val="en-AU"/>
              </w:rPr>
              <w:t>Cautious piloting</w:t>
            </w:r>
            <w:r w:rsidR="00D36914" w:rsidRPr="00F71B40">
              <w:rPr>
                <w:lang w:val="en-AU"/>
              </w:rPr>
              <w:t xml:space="preserve">, with clear specifications and criteria for considering it effective and for rolling it back if it is not, </w:t>
            </w:r>
            <w:r w:rsidR="00F57583">
              <w:rPr>
                <w:lang w:val="en-AU"/>
              </w:rPr>
              <w:t>to allow experiments in</w:t>
            </w:r>
            <w:r w:rsidR="00D36914" w:rsidRPr="00F71B40">
              <w:rPr>
                <w:lang w:val="en-AU"/>
              </w:rPr>
              <w:t xml:space="preserve">: </w:t>
            </w:r>
            <w:r w:rsidRPr="00F71B40">
              <w:rPr>
                <w:lang w:val="en-AU"/>
              </w:rPr>
              <w:t>sector or entity level</w:t>
            </w:r>
            <w:r w:rsidR="00D36914" w:rsidRPr="00F71B40">
              <w:rPr>
                <w:lang w:val="en-AU"/>
              </w:rPr>
              <w:t xml:space="preserve"> reforms; b</w:t>
            </w:r>
            <w:r w:rsidRPr="00F71B40">
              <w:rPr>
                <w:lang w:val="en-AU"/>
              </w:rPr>
              <w:t>uilding on the Constituency Development Funds</w:t>
            </w:r>
            <w:r w:rsidR="00D36914" w:rsidRPr="00F71B40">
              <w:rPr>
                <w:lang w:val="en-AU"/>
              </w:rPr>
              <w:t xml:space="preserve">; and enhancing </w:t>
            </w:r>
            <w:r w:rsidRPr="00F71B40">
              <w:rPr>
                <w:lang w:val="en-AU"/>
              </w:rPr>
              <w:t xml:space="preserve">demand-side </w:t>
            </w:r>
            <w:r w:rsidR="00D36914" w:rsidRPr="00F71B40">
              <w:rPr>
                <w:lang w:val="en-AU"/>
              </w:rPr>
              <w:t>pressures.</w:t>
            </w:r>
          </w:p>
          <w:p w:rsidR="00A81980" w:rsidRPr="00F71B40" w:rsidRDefault="00D36914" w:rsidP="004D15F8">
            <w:pPr>
              <w:pStyle w:val="ListParagraph"/>
              <w:keepNext/>
              <w:keepLines/>
              <w:numPr>
                <w:ilvl w:val="0"/>
                <w:numId w:val="26"/>
              </w:numPr>
              <w:rPr>
                <w:lang w:val="en-AU"/>
              </w:rPr>
            </w:pPr>
            <w:r w:rsidRPr="00F71B40">
              <w:rPr>
                <w:lang w:val="en-AU"/>
              </w:rPr>
              <w:t>Experiment with management coaches and confidential advice to selected senior SIG management</w:t>
            </w:r>
            <w:r w:rsidR="00454BA1">
              <w:rPr>
                <w:lang w:val="en-AU"/>
              </w:rPr>
              <w:t xml:space="preserve"> and with peer learning.</w:t>
            </w:r>
          </w:p>
          <w:p w:rsidR="00D36914" w:rsidRPr="00F71B40" w:rsidRDefault="00A81980" w:rsidP="004D15F8">
            <w:pPr>
              <w:pStyle w:val="ListParagraph"/>
              <w:keepNext/>
              <w:keepLines/>
              <w:numPr>
                <w:ilvl w:val="0"/>
                <w:numId w:val="26"/>
              </w:numPr>
              <w:rPr>
                <w:lang w:val="en-AU"/>
              </w:rPr>
            </w:pPr>
            <w:r w:rsidRPr="00F71B40">
              <w:rPr>
                <w:lang w:val="en-AU"/>
              </w:rPr>
              <w:t xml:space="preserve">Develop a </w:t>
            </w:r>
            <w:r w:rsidRPr="00F71B40">
              <w:rPr>
                <w:rFonts w:cs="Times New Roman"/>
                <w:lang w:val="en-AU"/>
              </w:rPr>
              <w:t>“</w:t>
            </w:r>
            <w:r w:rsidR="00EE509D" w:rsidRPr="00F71B40">
              <w:rPr>
                <w:rFonts w:cs="Times New Roman"/>
                <w:lang w:val="en-AU"/>
              </w:rPr>
              <w:t>learning and strategy</w:t>
            </w:r>
            <w:r w:rsidRPr="00F71B40">
              <w:rPr>
                <w:rFonts w:cs="Times New Roman"/>
                <w:lang w:val="en-AU"/>
              </w:rPr>
              <w:t xml:space="preserve">” </w:t>
            </w:r>
            <w:r w:rsidR="00EE509D" w:rsidRPr="00F71B40">
              <w:rPr>
                <w:rFonts w:cs="Times New Roman"/>
                <w:lang w:val="en-AU"/>
              </w:rPr>
              <w:t xml:space="preserve">function </w:t>
            </w:r>
            <w:r w:rsidRPr="00F71B40">
              <w:rPr>
                <w:rFonts w:cs="Times New Roman"/>
                <w:lang w:val="en-AU"/>
              </w:rPr>
              <w:t xml:space="preserve">for SIGOV, with a few staff with experience and, most importantly, sufficient time and focus to establish disciplined diagnostic and piloting experiments and to translate the results, quickly and pragmatically, into practical ways forward for the wider program and to </w:t>
            </w:r>
            <w:r w:rsidRPr="00F71B40">
              <w:rPr>
                <w:lang w:val="en-AU"/>
              </w:rPr>
              <w:t>learn lessons from closely related programs within DFAT which are tackling similar challenges.</w:t>
            </w:r>
            <w:r w:rsidR="00E256D6">
              <w:rPr>
                <w:lang w:val="en-AU"/>
              </w:rPr>
              <w:t xml:space="preserve">  </w:t>
            </w:r>
          </w:p>
        </w:tc>
      </w:tr>
    </w:tbl>
    <w:p w:rsidR="00CD653C" w:rsidRPr="00F71B40" w:rsidRDefault="00CD653C" w:rsidP="00D62A32">
      <w:pPr>
        <w:rPr>
          <w:lang w:val="en-AU"/>
        </w:rPr>
      </w:pPr>
    </w:p>
    <w:p w:rsidR="00967EC4" w:rsidRPr="00F71B40" w:rsidRDefault="00967EC4" w:rsidP="007E58A6">
      <w:pPr>
        <w:pStyle w:val="Heading3"/>
        <w:rPr>
          <w:lang w:val="en-AU"/>
        </w:rPr>
      </w:pPr>
      <w:bookmarkStart w:id="88" w:name="_Toc399410402"/>
      <w:r w:rsidRPr="00F71B40">
        <w:rPr>
          <w:lang w:val="en-AU"/>
        </w:rPr>
        <w:lastRenderedPageBreak/>
        <w:t>Diagnostic work along the sector results chains</w:t>
      </w:r>
      <w:bookmarkEnd w:id="88"/>
    </w:p>
    <w:p w:rsidR="00834B5A" w:rsidRPr="00F71B40" w:rsidRDefault="00834B5A" w:rsidP="007E58A6">
      <w:pPr>
        <w:pStyle w:val="ListParagraph"/>
        <w:keepNext/>
        <w:keepLines/>
        <w:rPr>
          <w:lang w:val="en-AU"/>
        </w:rPr>
      </w:pPr>
    </w:p>
    <w:p w:rsidR="00737727" w:rsidRPr="00F71B40" w:rsidRDefault="00834B5A" w:rsidP="007E58A6">
      <w:pPr>
        <w:pStyle w:val="ListParagraph"/>
        <w:keepNext/>
        <w:keepLines/>
        <w:ind w:left="0"/>
        <w:rPr>
          <w:lang w:val="en-AU"/>
        </w:rPr>
      </w:pPr>
      <w:r w:rsidRPr="00F71B40">
        <w:rPr>
          <w:lang w:val="en-AU"/>
        </w:rPr>
        <w:t xml:space="preserve">In collaboration with other DFAT colleagues, SIGOV needs to identify </w:t>
      </w:r>
      <w:r w:rsidR="008232D3" w:rsidRPr="00F71B40">
        <w:rPr>
          <w:lang w:val="en-AU"/>
        </w:rPr>
        <w:t xml:space="preserve">the </w:t>
      </w:r>
      <w:r w:rsidRPr="00F71B40">
        <w:rPr>
          <w:lang w:val="en-AU"/>
        </w:rPr>
        <w:t>binding constraint</w:t>
      </w:r>
      <w:r w:rsidR="008232D3" w:rsidRPr="00F71B40">
        <w:rPr>
          <w:lang w:val="en-AU"/>
        </w:rPr>
        <w:t>s</w:t>
      </w:r>
      <w:r w:rsidRPr="00F71B40">
        <w:rPr>
          <w:lang w:val="en-AU"/>
        </w:rPr>
        <w:t xml:space="preserve"> to effective service delivery</w:t>
      </w:r>
      <w:r w:rsidR="008232D3" w:rsidRPr="00F71B40">
        <w:rPr>
          <w:lang w:val="en-AU"/>
        </w:rPr>
        <w:t xml:space="preserve">.  When the problem lies in the central agencies, then SIGOV is the program which can prioritize reforms which address them.  When the problem lies elsewhere, SIGOV can work with other SIG and DFAT programs to ensure that they are </w:t>
      </w:r>
      <w:r w:rsidR="00737727" w:rsidRPr="00F71B40">
        <w:rPr>
          <w:lang w:val="en-AU"/>
        </w:rPr>
        <w:t xml:space="preserve">resolved.  </w:t>
      </w:r>
    </w:p>
    <w:p w:rsidR="00737727" w:rsidRPr="00F71B40" w:rsidRDefault="00737727" w:rsidP="00D62A32">
      <w:pPr>
        <w:pStyle w:val="ListParagraph"/>
        <w:ind w:left="0"/>
        <w:rPr>
          <w:lang w:val="en-AU"/>
        </w:rPr>
      </w:pPr>
    </w:p>
    <w:p w:rsidR="00653DA3" w:rsidRPr="00F71B40" w:rsidRDefault="00B11094" w:rsidP="00D62A32">
      <w:pPr>
        <w:rPr>
          <w:lang w:val="en-AU"/>
        </w:rPr>
      </w:pPr>
      <w:r w:rsidRPr="00F71B40">
        <w:rPr>
          <w:lang w:val="en-AU"/>
        </w:rPr>
        <w:t xml:space="preserve">Joint diagnostic work with </w:t>
      </w:r>
      <w:r w:rsidR="000A24F6" w:rsidRPr="00F71B40">
        <w:rPr>
          <w:lang w:val="en-AU"/>
        </w:rPr>
        <w:t xml:space="preserve">SIG counterparts, DFAT colleagues and others working on sector service delivery issues </w:t>
      </w:r>
      <w:r w:rsidRPr="00F71B40">
        <w:rPr>
          <w:lang w:val="en-AU"/>
        </w:rPr>
        <w:t>can help pinpoint where there are constraints to service delivery which are particularly amenable to central agency/upstream work by SIGOV.</w:t>
      </w:r>
      <w:r w:rsidR="007120A6" w:rsidRPr="00F71B40">
        <w:rPr>
          <w:lang w:val="en-AU"/>
        </w:rPr>
        <w:t xml:space="preserve">  Such diagnostic approaches start with relative agnosticism about what works and what does not. The World Bank has been developing diagnostic approaches as part of its implementation of its 2011-2</w:t>
      </w:r>
      <w:r w:rsidR="00E9037F" w:rsidRPr="00F71B40">
        <w:rPr>
          <w:lang w:val="en-AU"/>
        </w:rPr>
        <w:t>020 strategy for Public Sector M</w:t>
      </w:r>
      <w:r w:rsidR="007120A6" w:rsidRPr="00F71B40">
        <w:rPr>
          <w:lang w:val="en-AU"/>
        </w:rPr>
        <w:t>anagement reform</w:t>
      </w:r>
      <w:r w:rsidR="00E9037F" w:rsidRPr="00F71B40">
        <w:rPr>
          <w:lang w:val="en-AU"/>
        </w:rPr>
        <w:t xml:space="preserve"> </w:t>
      </w:r>
      <w:r w:rsidR="00115AC9" w:rsidRPr="00F71B40">
        <w:rPr>
          <w:lang w:val="en-AU"/>
        </w:rPr>
        <w:fldChar w:fldCharType="begin"/>
      </w:r>
      <w:r w:rsidR="00115AC9" w:rsidRPr="00F71B40">
        <w:rPr>
          <w:lang w:val="en-AU"/>
        </w:rPr>
        <w:instrText xml:space="preserve"> ADDIN EN.CITE &lt;EndNote&gt;&lt;Cite&gt;&lt;Author&gt;World Bank&lt;/Author&gt;&lt;Year&gt;2012&lt;/Year&gt;&lt;RecNum&gt;3722&lt;/RecNum&gt;&lt;DisplayText&gt;(World Bank, 2012)&lt;/DisplayText&gt;&lt;record&gt;&lt;rec-number&gt;3722&lt;/rec-number&gt;&lt;foreign-keys&gt;&lt;key app="EN" db-id="5v9z5rrdszvwsneef06v9dapsd0apdtfapdx" timestamp="0"&gt;3722&lt;/key&gt;&lt;/foreign-keys&gt;&lt;ref-type name="Report"&gt;27&lt;/ref-type&gt;&lt;contributors&gt;&lt;authors&gt;&lt;author&gt;World Bank,&lt;/author&gt;&lt;/authors&gt;&lt;/contributors&gt;&lt;titles&gt;&lt;title&gt;The World Bank’s Approach to Public Sector Management 2011-2020: Better Results from Public Sector Institutions&lt;/title&gt;&lt;/titles&gt;&lt;dates&gt;&lt;year&gt;2012&lt;/year&gt;&lt;/dates&gt;&lt;pub-location&gt;Washington DC&lt;/pub-location&gt;&lt;publisher&gt;World Bank&lt;/publisher&gt;&lt;urls&gt;&lt;/urls&gt;&lt;/record&gt;&lt;/Cite&gt;&lt;/EndNote&gt;</w:instrText>
      </w:r>
      <w:r w:rsidR="00115AC9" w:rsidRPr="00F71B40">
        <w:rPr>
          <w:lang w:val="en-AU"/>
        </w:rPr>
        <w:fldChar w:fldCharType="separate"/>
      </w:r>
      <w:r w:rsidR="00115AC9" w:rsidRPr="00F71B40">
        <w:rPr>
          <w:lang w:val="en-AU"/>
        </w:rPr>
        <w:t>(</w:t>
      </w:r>
      <w:hyperlink w:anchor="_ENREF_150" w:tooltip="World Bank, 2012 #3722" w:history="1">
        <w:r w:rsidR="00CC56DB" w:rsidRPr="00F71B40">
          <w:rPr>
            <w:lang w:val="en-AU"/>
          </w:rPr>
          <w:t>World Bank, 2012</w:t>
        </w:r>
      </w:hyperlink>
      <w:r w:rsidR="00115AC9" w:rsidRPr="00F71B40">
        <w:rPr>
          <w:lang w:val="en-AU"/>
        </w:rPr>
        <w:t>)</w:t>
      </w:r>
      <w:r w:rsidR="00115AC9" w:rsidRPr="00F71B40">
        <w:rPr>
          <w:lang w:val="en-AU"/>
        </w:rPr>
        <w:fldChar w:fldCharType="end"/>
      </w:r>
      <w:r w:rsidR="007120A6" w:rsidRPr="00F71B40">
        <w:rPr>
          <w:lang w:val="en-AU"/>
        </w:rPr>
        <w:t xml:space="preserve">. The key concepts of such diagnostic work are mostly drawn from </w:t>
      </w:r>
      <w:r w:rsidR="00E9037F" w:rsidRPr="00F71B40">
        <w:rPr>
          <w:lang w:val="en-AU"/>
        </w:rPr>
        <w:t xml:space="preserve">other </w:t>
      </w:r>
      <w:r w:rsidR="007120A6" w:rsidRPr="00F71B40">
        <w:rPr>
          <w:lang w:val="en-AU"/>
        </w:rPr>
        <w:t xml:space="preserve">research areas because </w:t>
      </w:r>
      <w:r w:rsidR="00653DA3" w:rsidRPr="00F71B40">
        <w:rPr>
          <w:lang w:val="en-AU"/>
        </w:rPr>
        <w:t xml:space="preserve">public sector management research has been largely ether descriptive (observing trends) or </w:t>
      </w:r>
      <w:r w:rsidR="007120A6" w:rsidRPr="00F71B40">
        <w:rPr>
          <w:lang w:val="en-AU"/>
        </w:rPr>
        <w:t xml:space="preserve">normative </w:t>
      </w:r>
      <w:r w:rsidR="00653DA3" w:rsidRPr="00F71B40">
        <w:rPr>
          <w:lang w:val="en-AU"/>
        </w:rPr>
        <w:t>(asserting that a specific institutional form is to be preferred). It builds on the growth diagnostic work which seeks to counter “</w:t>
      </w:r>
      <w:r w:rsidR="007120A6" w:rsidRPr="00F71B40">
        <w:rPr>
          <w:lang w:val="en-AU"/>
        </w:rPr>
        <w:t>strong priors about the nature of the problem and the appropriate fixes</w:t>
      </w:r>
      <w:r w:rsidR="00653DA3" w:rsidRPr="00F71B40">
        <w:rPr>
          <w:lang w:val="en-AU"/>
        </w:rPr>
        <w:t>”</w:t>
      </w:r>
      <w:r w:rsidR="007120A6" w:rsidRPr="00F71B40">
        <w:rPr>
          <w:lang w:val="en-AU"/>
        </w:rPr>
        <w:t xml:space="preserve"> </w:t>
      </w:r>
      <w:r w:rsidR="00115AC9" w:rsidRPr="00F71B40">
        <w:rPr>
          <w:lang w:val="en-AU"/>
        </w:rPr>
        <w:fldChar w:fldCharType="begin"/>
      </w:r>
      <w:r w:rsidR="00115AC9" w:rsidRPr="00F71B40">
        <w:rPr>
          <w:lang w:val="en-AU"/>
        </w:rPr>
        <w:instrText xml:space="preserve"> ADDIN EN.CITE &lt;EndNote&gt;&lt;Cite&gt;&lt;Author&gt;Rodrik&lt;/Author&gt;&lt;Year&gt;2008&lt;/Year&gt;&lt;RecNum&gt;3061&lt;/RecNum&gt;&lt;DisplayText&gt;(&lt;style size="11"&gt;Dani Rodrik&lt;/style&gt;, &lt;style size="10"&gt;2008&lt;/style&gt;)&lt;/DisplayText&gt;&lt;record&gt;&lt;rec-number&gt;3061&lt;/rec-number&gt;&lt;foreign-keys&gt;&lt;key app="EN" db-id="5v9z5rrdszvwsneef06v9dapsd0apdtfapdx" timestamp="0"&gt;3061&lt;/key&gt;&lt;/foreign-keys&gt;&lt;ref-type name="Report"&gt;27&lt;/ref-type&gt;&lt;contributors&gt;&lt;authors&gt;&lt;author&gt;&lt;style face="normal" font="default" size="11"&gt;Dani Rodrik&lt;/style&gt;&lt;/author&gt;&lt;/authors&gt;&lt;/contributors&gt;&lt;titles&gt;&lt;title&gt;&lt;style face="normal" font="default" size="11"&gt;The New Development Economics: We Shall Experiment, but How Shall We Learn? &lt;/style&gt;&lt;/title&gt;&lt;secondary-title&gt;&lt;style face="normal" font="default" size="10"&gt;Faculty Research Working Paper Series&lt;/style&gt;&lt;/secondary-title&gt;&lt;/titles&gt;&lt;dates&gt;&lt;year&gt;&lt;style face="normal" font="default" size="10"&gt;2008&lt;/style&gt;&lt;/year&gt;&lt;/dates&gt;&lt;pub-location&gt;Cambridge, Mass.&lt;/pub-location&gt;&lt;publisher&gt;Harvard Kennedy School&lt;/publisher&gt;&lt;urls&gt;&lt;/urls&gt;&lt;/record&gt;&lt;/Cite&gt;&lt;/EndNote&gt;</w:instrText>
      </w:r>
      <w:r w:rsidR="00115AC9" w:rsidRPr="00F71B40">
        <w:rPr>
          <w:lang w:val="en-AU"/>
        </w:rPr>
        <w:fldChar w:fldCharType="separate"/>
      </w:r>
      <w:r w:rsidR="00115AC9" w:rsidRPr="00F71B40">
        <w:rPr>
          <w:lang w:val="en-AU"/>
        </w:rPr>
        <w:t>(</w:t>
      </w:r>
      <w:hyperlink w:anchor="_ENREF_127" w:tooltip="Rodrik, 2008 #3061" w:history="1">
        <w:r w:rsidR="00CC56DB" w:rsidRPr="00F71B40">
          <w:rPr>
            <w:lang w:val="en-AU"/>
          </w:rPr>
          <w:t xml:space="preserve">Dani Rodrik, </w:t>
        </w:r>
        <w:r w:rsidR="00CC56DB" w:rsidRPr="00F71B40">
          <w:rPr>
            <w:sz w:val="20"/>
            <w:lang w:val="en-AU"/>
          </w:rPr>
          <w:t>2008</w:t>
        </w:r>
      </w:hyperlink>
      <w:r w:rsidR="00115AC9" w:rsidRPr="00F71B40">
        <w:rPr>
          <w:lang w:val="en-AU"/>
        </w:rPr>
        <w:t>)</w:t>
      </w:r>
      <w:r w:rsidR="00115AC9" w:rsidRPr="00F71B40">
        <w:rPr>
          <w:lang w:val="en-AU"/>
        </w:rPr>
        <w:fldChar w:fldCharType="end"/>
      </w:r>
      <w:r w:rsidR="007120A6" w:rsidRPr="00F71B40">
        <w:rPr>
          <w:lang w:val="en-AU"/>
        </w:rPr>
        <w:t xml:space="preserve">, </w:t>
      </w:r>
      <w:r w:rsidR="00653DA3" w:rsidRPr="00F71B40">
        <w:rPr>
          <w:lang w:val="en-AU"/>
        </w:rPr>
        <w:t>aiming to find</w:t>
      </w:r>
      <w:r w:rsidR="007120A6" w:rsidRPr="00F71B40">
        <w:rPr>
          <w:lang w:val="en-AU"/>
        </w:rPr>
        <w:t xml:space="preserve"> out where the shoe pinches and to concentrate narrowly and pragmatically on fixing that </w:t>
      </w:r>
      <w:r w:rsidR="00115AC9" w:rsidRPr="00F71B40">
        <w:rPr>
          <w:lang w:val="en-AU"/>
        </w:rPr>
        <w:fldChar w:fldCharType="begin"/>
      </w:r>
      <w:r w:rsidR="00115AC9" w:rsidRPr="00F71B40">
        <w:rPr>
          <w:lang w:val="en-AU"/>
        </w:rPr>
        <w:instrText xml:space="preserve"> ADDIN EN.CITE &lt;EndNote&gt;&lt;Cite&gt;&lt;Author&gt;Rodrik&lt;/Author&gt;&lt;Year&gt;2005&lt;/Year&gt;&lt;RecNum&gt;2980&lt;/RecNum&gt;&lt;DisplayText&gt;(Hausmann, Rodrik, &amp;amp; Velasco, 2006; D. Rodrik, 2005)&lt;/DisplayText&gt;&lt;record&gt;&lt;rec-number&gt;2980&lt;/rec-number&gt;&lt;foreign-keys&gt;&lt;key app="EN" db-id="5v9z5rrdszvwsneef06v9dapsd0apdtfapdx" timestamp="0"&gt;2980&lt;/key&gt;&lt;/foreign-keys&gt;&lt;ref-type name="Book Section"&gt;5&lt;/ref-type&gt;&lt;contributors&gt;&lt;authors&gt;&lt;author&gt;Rodrik, D.&lt;/author&gt;&lt;/authors&gt;&lt;secondary-authors&gt;&lt;author&gt;P. Aghion&lt;/author&gt;&lt;author&gt;S. Durlauf&lt;/author&gt;&lt;/secondary-authors&gt;&lt;/contributors&gt;&lt;titles&gt;&lt;title&gt;Growth Strategies&lt;/title&gt;&lt;secondary-title&gt;Handbook of Economic Growth&lt;/secondary-title&gt;&lt;/titles&gt;&lt;dates&gt;&lt;year&gt;2005&lt;/year&gt;&lt;/dates&gt;&lt;pub-location&gt;Amsterdam&lt;/pub-location&gt;&lt;publisher&gt;Elsevier&lt;/publisher&gt;&lt;urls&gt;&lt;/urls&gt;&lt;/record&gt;&lt;/Cite&gt;&lt;Cite&gt;&lt;Author&gt;Hausmann&lt;/Author&gt;&lt;Year&gt;2006&lt;/Year&gt;&lt;RecNum&gt;2981&lt;/RecNum&gt;&lt;record&gt;&lt;rec-number&gt;2981&lt;/rec-number&gt;&lt;foreign-keys&gt;&lt;key app="EN" db-id="5v9z5rrdszvwsneef06v9dapsd0apdtfapdx" timestamp="0"&gt;2981&lt;/key&gt;&lt;/foreign-keys&gt;&lt;ref-type name="Journal Article"&gt;17&lt;/ref-type&gt;&lt;contributors&gt;&lt;authors&gt;&lt;author&gt;Ricardo Hausmann&lt;/author&gt;&lt;author&gt;Dani Rodrik&lt;/author&gt;&lt;author&gt;Andrés Velasco &lt;/author&gt;&lt;/authors&gt;&lt;/contributors&gt;&lt;titles&gt;&lt;title&gt;Getting the Diagnosis Right&lt;/title&gt;&lt;secondary-title&gt;Finance and Development&lt;/secondary-title&gt;&lt;/titles&gt;&lt;volume&gt;43&lt;/volume&gt;&lt;number&gt;1&lt;/number&gt;&lt;dates&gt;&lt;year&gt;2006&lt;/year&gt;&lt;/dates&gt;&lt;urls&gt;&lt;/urls&gt;&lt;/record&gt;&lt;/Cite&gt;&lt;/EndNote&gt;</w:instrText>
      </w:r>
      <w:r w:rsidR="00115AC9" w:rsidRPr="00F71B40">
        <w:rPr>
          <w:lang w:val="en-AU"/>
        </w:rPr>
        <w:fldChar w:fldCharType="separate"/>
      </w:r>
      <w:r w:rsidR="00115AC9" w:rsidRPr="00F71B40">
        <w:rPr>
          <w:lang w:val="en-AU"/>
        </w:rPr>
        <w:t>(</w:t>
      </w:r>
      <w:hyperlink w:anchor="_ENREF_70" w:tooltip="Hausmann, 2006 #2981" w:history="1">
        <w:r w:rsidR="00CC56DB" w:rsidRPr="00F71B40">
          <w:rPr>
            <w:lang w:val="en-AU"/>
          </w:rPr>
          <w:t>Hausmann, Rodrik, &amp; Velasco, 2006</w:t>
        </w:r>
      </w:hyperlink>
      <w:r w:rsidR="00115AC9" w:rsidRPr="00F71B40">
        <w:rPr>
          <w:lang w:val="en-AU"/>
        </w:rPr>
        <w:t xml:space="preserve">; </w:t>
      </w:r>
      <w:hyperlink w:anchor="_ENREF_126" w:tooltip="Rodrik, 2005 #2980" w:history="1">
        <w:r w:rsidR="00CC56DB" w:rsidRPr="00F71B40">
          <w:rPr>
            <w:lang w:val="en-AU"/>
          </w:rPr>
          <w:t>D. Rodrik, 2005</w:t>
        </w:r>
      </w:hyperlink>
      <w:r w:rsidR="00115AC9" w:rsidRPr="00F71B40">
        <w:rPr>
          <w:lang w:val="en-AU"/>
        </w:rPr>
        <w:t>)</w:t>
      </w:r>
      <w:r w:rsidR="00115AC9" w:rsidRPr="00F71B40">
        <w:rPr>
          <w:lang w:val="en-AU"/>
        </w:rPr>
        <w:fldChar w:fldCharType="end"/>
      </w:r>
      <w:r w:rsidR="007120A6" w:rsidRPr="00F71B40">
        <w:rPr>
          <w:lang w:val="en-AU"/>
        </w:rPr>
        <w:t xml:space="preserve">. </w:t>
      </w:r>
    </w:p>
    <w:p w:rsidR="00653DA3" w:rsidRPr="00F71B40" w:rsidRDefault="00653DA3" w:rsidP="00D62A32">
      <w:pPr>
        <w:rPr>
          <w:lang w:val="en-AU"/>
        </w:rPr>
      </w:pPr>
    </w:p>
    <w:p w:rsidR="00653DA3" w:rsidRPr="00F71B40" w:rsidRDefault="00653DA3" w:rsidP="00D62A32">
      <w:pPr>
        <w:rPr>
          <w:lang w:val="en-AU"/>
        </w:rPr>
      </w:pPr>
      <w:r w:rsidRPr="00F71B40">
        <w:rPr>
          <w:lang w:val="en-AU"/>
        </w:rPr>
        <w:fldChar w:fldCharType="begin"/>
      </w:r>
      <w:r w:rsidRPr="00F71B40">
        <w:rPr>
          <w:lang w:val="en-AU"/>
        </w:rPr>
        <w:instrText xml:space="preserve"> REF _Ref399320907 </w:instrText>
      </w:r>
      <w:r w:rsidR="00D62A32" w:rsidRPr="00F71B40">
        <w:rPr>
          <w:lang w:val="en-AU"/>
        </w:rPr>
        <w:instrText xml:space="preserve"> \* MERGEFORMAT </w:instrText>
      </w:r>
      <w:r w:rsidRPr="00F71B40">
        <w:rPr>
          <w:lang w:val="en-AU"/>
        </w:rPr>
        <w:fldChar w:fldCharType="separate"/>
      </w:r>
      <w:r w:rsidR="00EF43BE" w:rsidRPr="00F71B40">
        <w:rPr>
          <w:lang w:val="en-AU"/>
        </w:rPr>
        <w:t xml:space="preserve">Table </w:t>
      </w:r>
      <w:r w:rsidR="00EF43BE">
        <w:rPr>
          <w:lang w:val="en-AU"/>
        </w:rPr>
        <w:t>3</w:t>
      </w:r>
      <w:r w:rsidRPr="00F71B40">
        <w:rPr>
          <w:lang w:val="en-AU"/>
        </w:rPr>
        <w:fldChar w:fldCharType="end"/>
      </w:r>
      <w:r w:rsidRPr="00F71B40">
        <w:rPr>
          <w:lang w:val="en-AU"/>
        </w:rPr>
        <w:t xml:space="preserve"> sets out the key elements of the diagnostic approach.</w:t>
      </w:r>
    </w:p>
    <w:p w:rsidR="00737727" w:rsidRPr="00F71B40" w:rsidRDefault="00737727" w:rsidP="00D62A32">
      <w:pPr>
        <w:rPr>
          <w:lang w:val="en-AU"/>
        </w:rPr>
      </w:pPr>
    </w:p>
    <w:p w:rsidR="0086535D" w:rsidRPr="00F71B40" w:rsidRDefault="00737727" w:rsidP="00451F4A">
      <w:pPr>
        <w:pStyle w:val="Caption"/>
        <w:keepNext/>
        <w:keepLines/>
        <w:rPr>
          <w:lang w:val="en-AU"/>
        </w:rPr>
      </w:pPr>
      <w:bookmarkStart w:id="89" w:name="_Ref399320907"/>
      <w:bookmarkStart w:id="90" w:name="_Toc401761843"/>
      <w:r w:rsidRPr="00F71B40">
        <w:rPr>
          <w:lang w:val="en-AU"/>
        </w:rPr>
        <w:lastRenderedPageBreak/>
        <w:t xml:space="preserve">Table </w:t>
      </w:r>
      <w:r w:rsidRPr="00F71B40">
        <w:rPr>
          <w:lang w:val="en-AU"/>
        </w:rPr>
        <w:fldChar w:fldCharType="begin"/>
      </w:r>
      <w:r w:rsidRPr="00F71B40">
        <w:rPr>
          <w:lang w:val="en-AU"/>
        </w:rPr>
        <w:instrText xml:space="preserve"> SEQ Table \* ARABIC </w:instrText>
      </w:r>
      <w:r w:rsidRPr="00F71B40">
        <w:rPr>
          <w:lang w:val="en-AU"/>
        </w:rPr>
        <w:fldChar w:fldCharType="separate"/>
      </w:r>
      <w:r w:rsidR="00EF43BE">
        <w:rPr>
          <w:noProof/>
          <w:lang w:val="en-AU"/>
        </w:rPr>
        <w:t>3</w:t>
      </w:r>
      <w:r w:rsidRPr="00F71B40">
        <w:rPr>
          <w:lang w:val="en-AU"/>
        </w:rPr>
        <w:fldChar w:fldCharType="end"/>
      </w:r>
      <w:bookmarkEnd w:id="89"/>
      <w:r w:rsidRPr="00F71B40">
        <w:rPr>
          <w:lang w:val="en-AU"/>
        </w:rPr>
        <w:t xml:space="preserve">: A diagnostic path </w:t>
      </w:r>
      <w:r w:rsidR="009757B9" w:rsidRPr="00F71B40">
        <w:rPr>
          <w:lang w:val="en-AU"/>
        </w:rPr>
        <w:t>for identifying binding constraints to sector service delivery</w:t>
      </w:r>
      <w:bookmarkEnd w:id="90"/>
    </w:p>
    <w:p w:rsidR="00737727" w:rsidRPr="00F71B40" w:rsidRDefault="00737727" w:rsidP="00451F4A">
      <w:pPr>
        <w:keepNext/>
        <w:keepLines/>
        <w:rPr>
          <w:rFonts w:eastAsia="Times New Roman" w:cs="Times New Roman"/>
          <w:b/>
          <w:bCs/>
          <w:color w:val="4F81BD"/>
          <w:sz w:val="18"/>
          <w:szCs w:val="18"/>
          <w:lang w:val="en-AU" w:bidi="en-US"/>
        </w:rPr>
      </w:pPr>
    </w:p>
    <w:tbl>
      <w:tblPr>
        <w:tblStyle w:val="TableGrid"/>
        <w:tblW w:w="0" w:type="auto"/>
        <w:tblCellMar>
          <w:left w:w="29" w:type="dxa"/>
          <w:right w:w="29" w:type="dxa"/>
        </w:tblCellMar>
        <w:tblLook w:val="04A0" w:firstRow="1" w:lastRow="0" w:firstColumn="1" w:lastColumn="0" w:noHBand="0" w:noVBand="1"/>
      </w:tblPr>
      <w:tblGrid>
        <w:gridCol w:w="1829"/>
        <w:gridCol w:w="1868"/>
        <w:gridCol w:w="2227"/>
        <w:gridCol w:w="3494"/>
      </w:tblGrid>
      <w:tr w:rsidR="004077EB" w:rsidRPr="00F71B40" w:rsidTr="00B942AC">
        <w:tc>
          <w:tcPr>
            <w:tcW w:w="1829" w:type="dxa"/>
          </w:tcPr>
          <w:p w:rsidR="004077EB" w:rsidRPr="00F71B40" w:rsidRDefault="00B942AC" w:rsidP="00451F4A">
            <w:pPr>
              <w:keepNext/>
              <w:keepLines/>
              <w:rPr>
                <w:rFonts w:eastAsia="Times New Roman"/>
                <w:b/>
                <w:sz w:val="20"/>
                <w:szCs w:val="20"/>
                <w:lang w:val="en-AU"/>
              </w:rPr>
            </w:pPr>
            <w:r w:rsidRPr="00F71B40">
              <w:rPr>
                <w:rFonts w:eastAsia="Times New Roman"/>
                <w:b/>
                <w:sz w:val="20"/>
                <w:szCs w:val="20"/>
                <w:lang w:val="en-AU"/>
              </w:rPr>
              <w:t>Diagnostic steps</w:t>
            </w:r>
          </w:p>
        </w:tc>
        <w:tc>
          <w:tcPr>
            <w:tcW w:w="1868" w:type="dxa"/>
          </w:tcPr>
          <w:p w:rsidR="004077EB" w:rsidRPr="00F71B40" w:rsidRDefault="00B942AC" w:rsidP="00451F4A">
            <w:pPr>
              <w:keepNext/>
              <w:keepLines/>
              <w:rPr>
                <w:rFonts w:eastAsia="Times New Roman"/>
                <w:b/>
                <w:sz w:val="20"/>
                <w:szCs w:val="20"/>
                <w:lang w:val="en-AU"/>
              </w:rPr>
            </w:pPr>
            <w:r w:rsidRPr="00F71B40">
              <w:rPr>
                <w:rFonts w:eastAsia="Times New Roman"/>
                <w:b/>
                <w:sz w:val="20"/>
                <w:szCs w:val="20"/>
                <w:lang w:val="en-AU"/>
              </w:rPr>
              <w:t>Purpose of this step</w:t>
            </w:r>
          </w:p>
        </w:tc>
        <w:tc>
          <w:tcPr>
            <w:tcW w:w="0" w:type="auto"/>
          </w:tcPr>
          <w:p w:rsidR="004077EB" w:rsidRPr="00F71B40" w:rsidRDefault="00B942AC" w:rsidP="00451F4A">
            <w:pPr>
              <w:keepNext/>
              <w:keepLines/>
              <w:rPr>
                <w:rFonts w:eastAsia="Times New Roman"/>
                <w:b/>
                <w:sz w:val="20"/>
                <w:szCs w:val="20"/>
                <w:lang w:val="en-AU"/>
              </w:rPr>
            </w:pPr>
            <w:r w:rsidRPr="00F71B40">
              <w:rPr>
                <w:rFonts w:eastAsia="Times New Roman"/>
                <w:b/>
                <w:sz w:val="20"/>
                <w:szCs w:val="20"/>
                <w:lang w:val="en-AU"/>
              </w:rPr>
              <w:t>Key questions</w:t>
            </w:r>
          </w:p>
        </w:tc>
        <w:tc>
          <w:tcPr>
            <w:tcW w:w="0" w:type="auto"/>
          </w:tcPr>
          <w:p w:rsidR="004077EB" w:rsidRPr="00F71B40" w:rsidRDefault="004077EB" w:rsidP="00451F4A">
            <w:pPr>
              <w:keepNext/>
              <w:keepLines/>
              <w:rPr>
                <w:rFonts w:eastAsia="Times New Roman"/>
                <w:b/>
                <w:sz w:val="20"/>
                <w:szCs w:val="20"/>
                <w:lang w:val="en-AU"/>
              </w:rPr>
            </w:pPr>
            <w:r w:rsidRPr="00F71B40">
              <w:rPr>
                <w:rFonts w:eastAsia="Times New Roman"/>
                <w:b/>
                <w:sz w:val="20"/>
                <w:szCs w:val="20"/>
                <w:lang w:val="en-AU"/>
              </w:rPr>
              <w:t>Examples</w:t>
            </w:r>
          </w:p>
        </w:tc>
      </w:tr>
      <w:tr w:rsidR="004077EB" w:rsidRPr="00F71B40" w:rsidTr="00B942AC">
        <w:tc>
          <w:tcPr>
            <w:tcW w:w="1829" w:type="dxa"/>
          </w:tcPr>
          <w:p w:rsidR="004077EB" w:rsidRPr="00F71B40" w:rsidRDefault="004077EB" w:rsidP="00451F4A">
            <w:pPr>
              <w:keepNext/>
              <w:keepLines/>
              <w:rPr>
                <w:rFonts w:eastAsia="Times New Roman"/>
                <w:sz w:val="20"/>
                <w:szCs w:val="20"/>
                <w:lang w:val="en-AU"/>
              </w:rPr>
            </w:pPr>
            <w:r w:rsidRPr="00F71B40">
              <w:rPr>
                <w:rFonts w:eastAsia="Times New Roman"/>
                <w:sz w:val="20"/>
                <w:szCs w:val="20"/>
                <w:lang w:val="en-AU"/>
              </w:rPr>
              <w:t xml:space="preserve">Step 1: Identify the functional problem </w:t>
            </w:r>
          </w:p>
        </w:tc>
        <w:tc>
          <w:tcPr>
            <w:tcW w:w="1868" w:type="dxa"/>
          </w:tcPr>
          <w:p w:rsidR="004077EB" w:rsidRPr="00F71B40" w:rsidRDefault="004077EB" w:rsidP="004D15F8">
            <w:pPr>
              <w:keepNext/>
              <w:keepLines/>
              <w:numPr>
                <w:ilvl w:val="0"/>
                <w:numId w:val="19"/>
              </w:numPr>
              <w:ind w:left="162" w:hanging="162"/>
              <w:contextualSpacing/>
              <w:rPr>
                <w:rFonts w:eastAsia="Times New Roman"/>
                <w:sz w:val="20"/>
                <w:szCs w:val="20"/>
                <w:lang w:val="en-AU"/>
              </w:rPr>
            </w:pPr>
            <w:r w:rsidRPr="00F71B40">
              <w:rPr>
                <w:rFonts w:eastAsia="Times New Roman"/>
                <w:sz w:val="20"/>
                <w:szCs w:val="20"/>
                <w:lang w:val="en-AU"/>
              </w:rPr>
              <w:t>Revisiting assumptions about the problem that matters – avoiding beginning with the preferred reform</w:t>
            </w:r>
          </w:p>
        </w:tc>
        <w:tc>
          <w:tcPr>
            <w:tcW w:w="0" w:type="auto"/>
          </w:tcPr>
          <w:p w:rsidR="004077EB" w:rsidRPr="00F71B40" w:rsidRDefault="004077EB" w:rsidP="004D15F8">
            <w:pPr>
              <w:keepNext/>
              <w:keepLines/>
              <w:numPr>
                <w:ilvl w:val="0"/>
                <w:numId w:val="19"/>
              </w:numPr>
              <w:ind w:left="162" w:hanging="162"/>
              <w:contextualSpacing/>
              <w:rPr>
                <w:rFonts w:eastAsia="Times New Roman"/>
                <w:sz w:val="20"/>
                <w:szCs w:val="20"/>
                <w:lang w:val="en-AU"/>
              </w:rPr>
            </w:pPr>
            <w:r w:rsidRPr="00F71B40">
              <w:rPr>
                <w:rFonts w:eastAsia="Times New Roman"/>
                <w:sz w:val="20"/>
                <w:szCs w:val="20"/>
                <w:lang w:val="en-AU"/>
              </w:rPr>
              <w:t xml:space="preserve">Which public sector problem areas: </w:t>
            </w:r>
          </w:p>
          <w:p w:rsidR="004077EB" w:rsidRPr="00F71B40" w:rsidRDefault="004077EB" w:rsidP="004D15F8">
            <w:pPr>
              <w:keepNext/>
              <w:keepLines/>
              <w:numPr>
                <w:ilvl w:val="1"/>
                <w:numId w:val="19"/>
              </w:numPr>
              <w:ind w:left="659"/>
              <w:contextualSpacing/>
              <w:rPr>
                <w:rFonts w:eastAsia="Times New Roman"/>
                <w:sz w:val="20"/>
                <w:szCs w:val="20"/>
                <w:lang w:val="en-AU"/>
              </w:rPr>
            </w:pPr>
            <w:r w:rsidRPr="00F71B40">
              <w:rPr>
                <w:rFonts w:eastAsia="Times New Roman"/>
                <w:sz w:val="20"/>
                <w:szCs w:val="20"/>
                <w:lang w:val="en-AU"/>
              </w:rPr>
              <w:t xml:space="preserve">Are truly functional and not form-based? </w:t>
            </w:r>
          </w:p>
          <w:p w:rsidR="004077EB" w:rsidRPr="00F71B40" w:rsidRDefault="004077EB" w:rsidP="004D15F8">
            <w:pPr>
              <w:keepNext/>
              <w:keepLines/>
              <w:numPr>
                <w:ilvl w:val="1"/>
                <w:numId w:val="19"/>
              </w:numPr>
              <w:ind w:left="659"/>
              <w:contextualSpacing/>
              <w:rPr>
                <w:rFonts w:eastAsia="Times New Roman"/>
                <w:sz w:val="20"/>
                <w:szCs w:val="20"/>
                <w:lang w:val="en-AU"/>
              </w:rPr>
            </w:pPr>
            <w:r w:rsidRPr="00F71B40">
              <w:rPr>
                <w:rFonts w:eastAsia="Times New Roman"/>
                <w:sz w:val="20"/>
                <w:szCs w:val="20"/>
                <w:lang w:val="en-AU"/>
              </w:rPr>
              <w:t>Are widely acknowledged as important?</w:t>
            </w:r>
          </w:p>
          <w:p w:rsidR="004077EB" w:rsidRPr="00F71B40" w:rsidRDefault="004077EB" w:rsidP="004D15F8">
            <w:pPr>
              <w:keepNext/>
              <w:keepLines/>
              <w:numPr>
                <w:ilvl w:val="1"/>
                <w:numId w:val="19"/>
              </w:numPr>
              <w:ind w:left="659"/>
              <w:contextualSpacing/>
              <w:rPr>
                <w:rFonts w:eastAsia="Times New Roman"/>
                <w:sz w:val="20"/>
                <w:szCs w:val="20"/>
                <w:lang w:val="en-AU"/>
              </w:rPr>
            </w:pPr>
            <w:r w:rsidRPr="00F71B40">
              <w:rPr>
                <w:rFonts w:eastAsia="Times New Roman"/>
                <w:sz w:val="20"/>
                <w:szCs w:val="20"/>
                <w:lang w:val="en-AU"/>
              </w:rPr>
              <w:t>Prima facie have a clear link to poor outcomes?</w:t>
            </w:r>
          </w:p>
        </w:tc>
        <w:tc>
          <w:tcPr>
            <w:tcW w:w="0" w:type="auto"/>
          </w:tcPr>
          <w:p w:rsidR="004077EB" w:rsidRPr="00F71B40" w:rsidRDefault="004077EB" w:rsidP="004D15F8">
            <w:pPr>
              <w:keepNext/>
              <w:keepLines/>
              <w:numPr>
                <w:ilvl w:val="0"/>
                <w:numId w:val="19"/>
              </w:numPr>
              <w:ind w:left="162" w:hanging="162"/>
              <w:contextualSpacing/>
              <w:rPr>
                <w:rFonts w:eastAsia="Times New Roman"/>
                <w:sz w:val="20"/>
                <w:szCs w:val="20"/>
                <w:lang w:val="en-AU"/>
              </w:rPr>
            </w:pPr>
            <w:r w:rsidRPr="00F71B40">
              <w:rPr>
                <w:sz w:val="20"/>
                <w:szCs w:val="20"/>
                <w:lang w:val="en-AU"/>
              </w:rPr>
              <w:t xml:space="preserve">“Weak educational outcomes for primary school children”, “teacher absenteeism is high” etc. </w:t>
            </w:r>
            <w:r w:rsidR="00182593">
              <w:rPr>
                <w:sz w:val="20"/>
                <w:szCs w:val="20"/>
                <w:lang w:val="en-AU"/>
              </w:rPr>
              <w:t>is a functional problem.</w:t>
            </w:r>
          </w:p>
          <w:p w:rsidR="004077EB" w:rsidRPr="00F71B40" w:rsidRDefault="004077EB" w:rsidP="004D15F8">
            <w:pPr>
              <w:keepNext/>
              <w:keepLines/>
              <w:numPr>
                <w:ilvl w:val="0"/>
                <w:numId w:val="19"/>
              </w:numPr>
              <w:ind w:left="162" w:hanging="162"/>
              <w:contextualSpacing/>
              <w:rPr>
                <w:rFonts w:eastAsia="Times New Roman"/>
                <w:sz w:val="20"/>
                <w:szCs w:val="20"/>
                <w:lang w:val="en-AU"/>
              </w:rPr>
            </w:pPr>
            <w:r w:rsidRPr="00F71B40">
              <w:rPr>
                <w:sz w:val="20"/>
                <w:szCs w:val="20"/>
                <w:lang w:val="en-AU"/>
              </w:rPr>
              <w:t xml:space="preserve">Absence of </w:t>
            </w:r>
            <w:r w:rsidR="00A47F99" w:rsidRPr="00F71B40">
              <w:rPr>
                <w:sz w:val="20"/>
                <w:szCs w:val="20"/>
                <w:lang w:val="en-AU"/>
              </w:rPr>
              <w:t xml:space="preserve">performance-related pay or </w:t>
            </w:r>
            <w:r w:rsidRPr="00F71B40">
              <w:rPr>
                <w:sz w:val="20"/>
                <w:szCs w:val="20"/>
                <w:lang w:val="en-AU"/>
              </w:rPr>
              <w:t>a Medium Term Expenditure Framework is not a functional problem.</w:t>
            </w:r>
          </w:p>
        </w:tc>
      </w:tr>
      <w:tr w:rsidR="004077EB" w:rsidRPr="00F71B40" w:rsidTr="00B942AC">
        <w:tc>
          <w:tcPr>
            <w:tcW w:w="1829" w:type="dxa"/>
          </w:tcPr>
          <w:p w:rsidR="004077EB" w:rsidRPr="00F71B40" w:rsidRDefault="004077EB" w:rsidP="00451F4A">
            <w:pPr>
              <w:keepNext/>
              <w:keepLines/>
              <w:rPr>
                <w:rFonts w:eastAsia="Times New Roman"/>
                <w:sz w:val="20"/>
                <w:szCs w:val="20"/>
                <w:lang w:val="en-AU"/>
              </w:rPr>
            </w:pPr>
            <w:r w:rsidRPr="00F71B40">
              <w:rPr>
                <w:rFonts w:eastAsia="Times New Roman"/>
                <w:sz w:val="20"/>
                <w:szCs w:val="20"/>
                <w:lang w:val="en-AU"/>
              </w:rPr>
              <w:t xml:space="preserve">Step 2: Diagnose “binding” constraints based on evidence </w:t>
            </w:r>
          </w:p>
        </w:tc>
        <w:tc>
          <w:tcPr>
            <w:tcW w:w="1868" w:type="dxa"/>
          </w:tcPr>
          <w:p w:rsidR="004077EB" w:rsidRPr="00F71B40" w:rsidRDefault="00EA481F" w:rsidP="004D15F8">
            <w:pPr>
              <w:keepNext/>
              <w:keepLines/>
              <w:numPr>
                <w:ilvl w:val="0"/>
                <w:numId w:val="19"/>
              </w:numPr>
              <w:ind w:left="162" w:hanging="162"/>
              <w:contextualSpacing/>
              <w:rPr>
                <w:rFonts w:eastAsia="Times New Roman"/>
                <w:sz w:val="20"/>
                <w:szCs w:val="20"/>
                <w:lang w:val="en-AU"/>
              </w:rPr>
            </w:pPr>
            <w:r w:rsidRPr="00F71B40">
              <w:rPr>
                <w:rFonts w:eastAsia="Times New Roman"/>
                <w:sz w:val="20"/>
                <w:szCs w:val="20"/>
                <w:lang w:val="en-AU"/>
              </w:rPr>
              <w:t xml:space="preserve">Finding evidence about where the binding constraint is located by showing that when the constraint is absent, then things work </w:t>
            </w:r>
          </w:p>
        </w:tc>
        <w:tc>
          <w:tcPr>
            <w:tcW w:w="0" w:type="auto"/>
          </w:tcPr>
          <w:p w:rsidR="004077EB" w:rsidRPr="00F71B40" w:rsidRDefault="004077EB" w:rsidP="004D15F8">
            <w:pPr>
              <w:keepNext/>
              <w:keepLines/>
              <w:numPr>
                <w:ilvl w:val="0"/>
                <w:numId w:val="19"/>
              </w:numPr>
              <w:ind w:left="162" w:hanging="162"/>
              <w:contextualSpacing/>
              <w:rPr>
                <w:rFonts w:eastAsia="Times New Roman"/>
                <w:sz w:val="20"/>
                <w:szCs w:val="20"/>
                <w:lang w:val="en-AU"/>
              </w:rPr>
            </w:pPr>
            <w:r w:rsidRPr="00F71B40">
              <w:rPr>
                <w:rFonts w:eastAsia="Times New Roman"/>
                <w:sz w:val="20"/>
                <w:szCs w:val="20"/>
                <w:lang w:val="en-AU"/>
              </w:rPr>
              <w:t xml:space="preserve">Based on additional evidence that can be gathered and reasonable judgment, what are the underlying causes of the functional problem? </w:t>
            </w:r>
          </w:p>
          <w:p w:rsidR="004077EB" w:rsidRPr="00F71B40" w:rsidRDefault="004077EB" w:rsidP="004D15F8">
            <w:pPr>
              <w:keepNext/>
              <w:keepLines/>
              <w:numPr>
                <w:ilvl w:val="0"/>
                <w:numId w:val="19"/>
              </w:numPr>
              <w:ind w:left="162" w:hanging="162"/>
              <w:contextualSpacing/>
              <w:rPr>
                <w:rFonts w:eastAsia="Times New Roman"/>
                <w:sz w:val="20"/>
                <w:szCs w:val="20"/>
                <w:lang w:val="en-AU"/>
              </w:rPr>
            </w:pPr>
            <w:r w:rsidRPr="00F71B40">
              <w:rPr>
                <w:rFonts w:eastAsia="Times New Roman"/>
                <w:sz w:val="20"/>
                <w:szCs w:val="20"/>
                <w:lang w:val="en-AU"/>
              </w:rPr>
              <w:t>Why do they persist – what other purpose do they serve?</w:t>
            </w:r>
          </w:p>
        </w:tc>
        <w:tc>
          <w:tcPr>
            <w:tcW w:w="0" w:type="auto"/>
          </w:tcPr>
          <w:p w:rsidR="004077EB" w:rsidRPr="00F71B40" w:rsidRDefault="00EA481F" w:rsidP="004D15F8">
            <w:pPr>
              <w:keepNext/>
              <w:keepLines/>
              <w:numPr>
                <w:ilvl w:val="0"/>
                <w:numId w:val="19"/>
              </w:numPr>
              <w:ind w:left="162" w:hanging="162"/>
              <w:contextualSpacing/>
              <w:rPr>
                <w:rFonts w:eastAsia="Times New Roman"/>
                <w:sz w:val="20"/>
                <w:szCs w:val="20"/>
                <w:lang w:val="en-AU"/>
              </w:rPr>
            </w:pPr>
            <w:r w:rsidRPr="00F71B40">
              <w:rPr>
                <w:sz w:val="20"/>
                <w:szCs w:val="20"/>
                <w:lang w:val="en-AU"/>
              </w:rPr>
              <w:t>I</w:t>
            </w:r>
            <w:r w:rsidR="004077EB" w:rsidRPr="00F71B40">
              <w:rPr>
                <w:sz w:val="20"/>
                <w:szCs w:val="20"/>
                <w:lang w:val="en-AU"/>
              </w:rPr>
              <w:t xml:space="preserve">f late cash disbursements to the </w:t>
            </w:r>
            <w:r w:rsidRPr="00F71B40">
              <w:rPr>
                <w:sz w:val="20"/>
                <w:szCs w:val="20"/>
                <w:lang w:val="en-AU"/>
              </w:rPr>
              <w:t xml:space="preserve">department or cash rationing </w:t>
            </w:r>
            <w:r w:rsidR="00A47F99" w:rsidRPr="00F71B40">
              <w:rPr>
                <w:sz w:val="20"/>
                <w:szCs w:val="20"/>
                <w:lang w:val="en-AU"/>
              </w:rPr>
              <w:t>are</w:t>
            </w:r>
            <w:r w:rsidRPr="00F71B40">
              <w:rPr>
                <w:sz w:val="20"/>
                <w:szCs w:val="20"/>
                <w:lang w:val="en-AU"/>
              </w:rPr>
              <w:t xml:space="preserve"> </w:t>
            </w:r>
            <w:r w:rsidR="004077EB" w:rsidRPr="00F71B40">
              <w:rPr>
                <w:sz w:val="20"/>
                <w:szCs w:val="20"/>
                <w:lang w:val="en-AU"/>
              </w:rPr>
              <w:t xml:space="preserve">believed to </w:t>
            </w:r>
            <w:r w:rsidRPr="00F71B40">
              <w:rPr>
                <w:sz w:val="20"/>
                <w:szCs w:val="20"/>
                <w:lang w:val="en-AU"/>
              </w:rPr>
              <w:t xml:space="preserve">be behind the poor delivery, then in periods </w:t>
            </w:r>
            <w:r w:rsidR="004077EB" w:rsidRPr="00F71B40">
              <w:rPr>
                <w:sz w:val="20"/>
                <w:szCs w:val="20"/>
                <w:lang w:val="en-AU"/>
              </w:rPr>
              <w:t xml:space="preserve">when cash disbursements came earlier </w:t>
            </w:r>
            <w:r w:rsidRPr="00F71B40">
              <w:rPr>
                <w:sz w:val="20"/>
                <w:szCs w:val="20"/>
                <w:lang w:val="en-AU"/>
              </w:rPr>
              <w:t>the delivery should be better.</w:t>
            </w:r>
          </w:p>
          <w:p w:rsidR="00A47F99" w:rsidRPr="00F71B40" w:rsidRDefault="00A47F99" w:rsidP="004D15F8">
            <w:pPr>
              <w:keepNext/>
              <w:keepLines/>
              <w:numPr>
                <w:ilvl w:val="0"/>
                <w:numId w:val="19"/>
              </w:numPr>
              <w:ind w:left="162" w:hanging="162"/>
              <w:contextualSpacing/>
              <w:rPr>
                <w:rFonts w:eastAsia="Times New Roman"/>
                <w:sz w:val="20"/>
                <w:szCs w:val="20"/>
                <w:lang w:val="en-AU"/>
              </w:rPr>
            </w:pPr>
            <w:r w:rsidRPr="00F71B40">
              <w:rPr>
                <w:sz w:val="20"/>
                <w:szCs w:val="20"/>
                <w:lang w:val="en-AU"/>
              </w:rPr>
              <w:t>Does cash rationing provide an additional opportunity for political influence about budget distribution?</w:t>
            </w:r>
          </w:p>
        </w:tc>
      </w:tr>
      <w:tr w:rsidR="004077EB" w:rsidRPr="00F71B40" w:rsidTr="00B942AC">
        <w:tc>
          <w:tcPr>
            <w:tcW w:w="1829" w:type="dxa"/>
          </w:tcPr>
          <w:p w:rsidR="004077EB" w:rsidRPr="00F71B40" w:rsidRDefault="004077EB" w:rsidP="00451F4A">
            <w:pPr>
              <w:keepNext/>
              <w:keepLines/>
              <w:rPr>
                <w:rFonts w:eastAsia="Times New Roman"/>
                <w:sz w:val="20"/>
                <w:szCs w:val="20"/>
                <w:lang w:val="en-AU"/>
              </w:rPr>
            </w:pPr>
            <w:r w:rsidRPr="00F71B40">
              <w:rPr>
                <w:rFonts w:eastAsia="Times New Roman"/>
                <w:sz w:val="20"/>
                <w:szCs w:val="20"/>
                <w:lang w:val="en-AU"/>
              </w:rPr>
              <w:t xml:space="preserve">Step 3: Develop and openly contest a range of alternative institutional solutions </w:t>
            </w:r>
          </w:p>
        </w:tc>
        <w:tc>
          <w:tcPr>
            <w:tcW w:w="1868" w:type="dxa"/>
          </w:tcPr>
          <w:p w:rsidR="004077EB" w:rsidRPr="00F71B40" w:rsidRDefault="00A47F99" w:rsidP="004D15F8">
            <w:pPr>
              <w:keepNext/>
              <w:keepLines/>
              <w:numPr>
                <w:ilvl w:val="0"/>
                <w:numId w:val="19"/>
              </w:numPr>
              <w:ind w:left="162" w:hanging="162"/>
              <w:contextualSpacing/>
              <w:rPr>
                <w:rFonts w:eastAsia="Times New Roman"/>
                <w:sz w:val="20"/>
                <w:szCs w:val="20"/>
                <w:lang w:val="en-AU"/>
              </w:rPr>
            </w:pPr>
            <w:r w:rsidRPr="00F71B40">
              <w:rPr>
                <w:rFonts w:eastAsia="Times New Roman"/>
                <w:sz w:val="20"/>
                <w:szCs w:val="20"/>
                <w:lang w:val="en-AU"/>
              </w:rPr>
              <w:t>Evidence will be partial</w:t>
            </w:r>
            <w:r w:rsidR="006608FB" w:rsidRPr="00F71B40">
              <w:rPr>
                <w:rFonts w:eastAsia="Times New Roman"/>
                <w:sz w:val="20"/>
                <w:szCs w:val="20"/>
                <w:lang w:val="en-AU"/>
              </w:rPr>
              <w:t xml:space="preserve"> – collective and open discussion can help uncover new facts and maximize the utility of available data</w:t>
            </w:r>
          </w:p>
          <w:p w:rsidR="006608FB" w:rsidRPr="00F71B40" w:rsidRDefault="006608FB" w:rsidP="004D15F8">
            <w:pPr>
              <w:keepNext/>
              <w:keepLines/>
              <w:numPr>
                <w:ilvl w:val="0"/>
                <w:numId w:val="19"/>
              </w:numPr>
              <w:ind w:left="162" w:hanging="162"/>
              <w:contextualSpacing/>
              <w:rPr>
                <w:rFonts w:eastAsia="Times New Roman"/>
                <w:sz w:val="20"/>
                <w:szCs w:val="20"/>
                <w:lang w:val="en-AU"/>
              </w:rPr>
            </w:pPr>
            <w:r w:rsidRPr="00F71B40">
              <w:rPr>
                <w:rFonts w:eastAsia="Times New Roman"/>
                <w:sz w:val="20"/>
                <w:szCs w:val="20"/>
                <w:lang w:val="en-AU"/>
              </w:rPr>
              <w:t>Collective discussion is best stimulated by reviewing a range of equally plausible ways forward rather than backing a single plan.</w:t>
            </w:r>
          </w:p>
        </w:tc>
        <w:tc>
          <w:tcPr>
            <w:tcW w:w="0" w:type="auto"/>
          </w:tcPr>
          <w:p w:rsidR="004077EB" w:rsidRPr="00F71B40" w:rsidRDefault="004077EB" w:rsidP="004D15F8">
            <w:pPr>
              <w:keepNext/>
              <w:keepLines/>
              <w:numPr>
                <w:ilvl w:val="0"/>
                <w:numId w:val="19"/>
              </w:numPr>
              <w:ind w:left="162" w:hanging="162"/>
              <w:contextualSpacing/>
              <w:rPr>
                <w:rFonts w:eastAsia="Times New Roman"/>
                <w:sz w:val="20"/>
                <w:szCs w:val="20"/>
                <w:lang w:val="en-AU"/>
              </w:rPr>
            </w:pPr>
            <w:r w:rsidRPr="00F71B40">
              <w:rPr>
                <w:rFonts w:eastAsia="Times New Roman"/>
                <w:sz w:val="20"/>
                <w:szCs w:val="20"/>
                <w:lang w:val="en-AU"/>
              </w:rPr>
              <w:t xml:space="preserve">What possible solutions are there for addressing the binding constraint at hand? </w:t>
            </w:r>
          </w:p>
          <w:p w:rsidR="004077EB" w:rsidRPr="00F71B40" w:rsidRDefault="004077EB" w:rsidP="004D15F8">
            <w:pPr>
              <w:keepNext/>
              <w:keepLines/>
              <w:numPr>
                <w:ilvl w:val="0"/>
                <w:numId w:val="19"/>
              </w:numPr>
              <w:ind w:left="162" w:hanging="162"/>
              <w:contextualSpacing/>
              <w:rPr>
                <w:rFonts w:eastAsia="Times New Roman"/>
                <w:sz w:val="20"/>
                <w:szCs w:val="20"/>
                <w:lang w:val="en-AU"/>
              </w:rPr>
            </w:pPr>
            <w:r w:rsidRPr="00F71B40">
              <w:rPr>
                <w:rFonts w:eastAsia="Times New Roman"/>
                <w:sz w:val="20"/>
                <w:szCs w:val="20"/>
                <w:lang w:val="en-AU"/>
              </w:rPr>
              <w:t>What is the best approach for reviewing these openly?</w:t>
            </w:r>
          </w:p>
        </w:tc>
        <w:tc>
          <w:tcPr>
            <w:tcW w:w="0" w:type="auto"/>
          </w:tcPr>
          <w:p w:rsidR="004077EB" w:rsidRPr="00F71B40" w:rsidRDefault="006608FB" w:rsidP="004D15F8">
            <w:pPr>
              <w:keepNext/>
              <w:keepLines/>
              <w:numPr>
                <w:ilvl w:val="0"/>
                <w:numId w:val="19"/>
              </w:numPr>
              <w:ind w:left="162" w:hanging="162"/>
              <w:contextualSpacing/>
              <w:rPr>
                <w:sz w:val="20"/>
                <w:szCs w:val="20"/>
                <w:lang w:val="en-AU"/>
              </w:rPr>
            </w:pPr>
            <w:r w:rsidRPr="00F71B40">
              <w:rPr>
                <w:sz w:val="20"/>
                <w:szCs w:val="20"/>
                <w:lang w:val="en-AU"/>
              </w:rPr>
              <w:t>If leakage of central government transfers to schools is the binding constraint to the improvement of primary education quality, alternative institutional reform designs could include: (i) moving from capitation (per student) to block-grants (per school) in order to reduce discretion in spending decisions; (ii) strengthening internal control and audit; or (iii) publishing transfers in newspapers in order to strengthen transparency and public accountability</w:t>
            </w:r>
          </w:p>
        </w:tc>
      </w:tr>
      <w:tr w:rsidR="004077EB" w:rsidRPr="00F71B40" w:rsidTr="00B942AC">
        <w:tc>
          <w:tcPr>
            <w:tcW w:w="1829" w:type="dxa"/>
          </w:tcPr>
          <w:p w:rsidR="004077EB" w:rsidRPr="00F71B40" w:rsidRDefault="004077EB" w:rsidP="00451F4A">
            <w:pPr>
              <w:keepNext/>
              <w:keepLines/>
              <w:rPr>
                <w:rFonts w:eastAsia="Times New Roman"/>
                <w:sz w:val="20"/>
                <w:szCs w:val="20"/>
                <w:lang w:val="en-AU"/>
              </w:rPr>
            </w:pPr>
            <w:r w:rsidRPr="00F71B40">
              <w:rPr>
                <w:rFonts w:eastAsia="Times New Roman"/>
                <w:sz w:val="20"/>
                <w:szCs w:val="20"/>
                <w:lang w:val="en-AU"/>
              </w:rPr>
              <w:t xml:space="preserve">Step 4: Draw on evidence to assess the potential results, and the implementation and relevance risks, of reform options </w:t>
            </w:r>
          </w:p>
        </w:tc>
        <w:tc>
          <w:tcPr>
            <w:tcW w:w="1868" w:type="dxa"/>
          </w:tcPr>
          <w:p w:rsidR="004077EB" w:rsidRPr="00F71B40" w:rsidRDefault="00B942AC" w:rsidP="004D15F8">
            <w:pPr>
              <w:keepNext/>
              <w:keepLines/>
              <w:numPr>
                <w:ilvl w:val="0"/>
                <w:numId w:val="19"/>
              </w:numPr>
              <w:ind w:left="162" w:hanging="162"/>
              <w:contextualSpacing/>
              <w:rPr>
                <w:rFonts w:eastAsia="Times New Roman"/>
                <w:sz w:val="20"/>
                <w:szCs w:val="20"/>
                <w:lang w:val="en-AU"/>
              </w:rPr>
            </w:pPr>
            <w:r w:rsidRPr="00F71B40">
              <w:rPr>
                <w:rFonts w:eastAsia="Times New Roman"/>
                <w:sz w:val="20"/>
                <w:szCs w:val="20"/>
                <w:lang w:val="en-AU"/>
              </w:rPr>
              <w:t>Is it worth it?</w:t>
            </w:r>
          </w:p>
        </w:tc>
        <w:tc>
          <w:tcPr>
            <w:tcW w:w="0" w:type="auto"/>
          </w:tcPr>
          <w:p w:rsidR="004077EB" w:rsidRPr="00F71B40" w:rsidRDefault="004077EB" w:rsidP="004D15F8">
            <w:pPr>
              <w:keepNext/>
              <w:keepLines/>
              <w:numPr>
                <w:ilvl w:val="0"/>
                <w:numId w:val="19"/>
              </w:numPr>
              <w:ind w:left="162" w:hanging="162"/>
              <w:contextualSpacing/>
              <w:rPr>
                <w:rFonts w:eastAsia="Times New Roman"/>
                <w:sz w:val="20"/>
                <w:szCs w:val="20"/>
                <w:lang w:val="en-AU"/>
              </w:rPr>
            </w:pPr>
            <w:r w:rsidRPr="00F71B40">
              <w:rPr>
                <w:rFonts w:eastAsia="Times New Roman"/>
                <w:sz w:val="20"/>
                <w:szCs w:val="20"/>
                <w:lang w:val="en-AU"/>
              </w:rPr>
              <w:t xml:space="preserve">What are the risks of seeking to implement these options? </w:t>
            </w:r>
          </w:p>
          <w:p w:rsidR="004077EB" w:rsidRPr="00F71B40" w:rsidRDefault="004077EB" w:rsidP="004D15F8">
            <w:pPr>
              <w:keepNext/>
              <w:keepLines/>
              <w:numPr>
                <w:ilvl w:val="1"/>
                <w:numId w:val="19"/>
              </w:numPr>
              <w:ind w:left="612" w:hanging="270"/>
              <w:contextualSpacing/>
              <w:rPr>
                <w:rFonts w:eastAsia="Times New Roman"/>
                <w:sz w:val="20"/>
                <w:szCs w:val="20"/>
                <w:lang w:val="en-AU"/>
              </w:rPr>
            </w:pPr>
            <w:r w:rsidRPr="00F71B40">
              <w:rPr>
                <w:rFonts w:eastAsia="Times New Roman"/>
                <w:sz w:val="20"/>
                <w:szCs w:val="20"/>
                <w:lang w:val="en-AU"/>
              </w:rPr>
              <w:t xml:space="preserve">What have we learnt from similar reforms in other contexts? </w:t>
            </w:r>
          </w:p>
          <w:p w:rsidR="004077EB" w:rsidRPr="00F71B40" w:rsidRDefault="004077EB" w:rsidP="004D15F8">
            <w:pPr>
              <w:keepNext/>
              <w:keepLines/>
              <w:numPr>
                <w:ilvl w:val="1"/>
                <w:numId w:val="19"/>
              </w:numPr>
              <w:ind w:left="612" w:hanging="270"/>
              <w:contextualSpacing/>
              <w:rPr>
                <w:rFonts w:eastAsia="Times New Roman"/>
                <w:sz w:val="20"/>
                <w:szCs w:val="20"/>
                <w:lang w:val="en-AU"/>
              </w:rPr>
            </w:pPr>
            <w:r w:rsidRPr="00F71B40">
              <w:rPr>
                <w:rFonts w:eastAsia="Times New Roman"/>
                <w:sz w:val="20"/>
                <w:szCs w:val="20"/>
                <w:lang w:val="en-AU"/>
              </w:rPr>
              <w:t xml:space="preserve">What does evidence from other contexts imply for this context? </w:t>
            </w:r>
          </w:p>
          <w:p w:rsidR="004077EB" w:rsidRPr="00F71B40" w:rsidRDefault="004077EB" w:rsidP="004D15F8">
            <w:pPr>
              <w:keepNext/>
              <w:keepLines/>
              <w:numPr>
                <w:ilvl w:val="0"/>
                <w:numId w:val="19"/>
              </w:numPr>
              <w:ind w:left="162" w:hanging="162"/>
              <w:contextualSpacing/>
              <w:rPr>
                <w:rFonts w:eastAsia="Times New Roman"/>
                <w:sz w:val="20"/>
                <w:szCs w:val="20"/>
                <w:lang w:val="en-AU"/>
              </w:rPr>
            </w:pPr>
            <w:r w:rsidRPr="00F71B40">
              <w:rPr>
                <w:rFonts w:eastAsia="Times New Roman"/>
                <w:sz w:val="20"/>
                <w:szCs w:val="20"/>
                <w:lang w:val="en-AU"/>
              </w:rPr>
              <w:t>What are the potential returns?</w:t>
            </w:r>
          </w:p>
        </w:tc>
        <w:tc>
          <w:tcPr>
            <w:tcW w:w="0" w:type="auto"/>
          </w:tcPr>
          <w:p w:rsidR="004077EB" w:rsidRPr="00F71B40" w:rsidRDefault="000061DE" w:rsidP="004D15F8">
            <w:pPr>
              <w:keepNext/>
              <w:keepLines/>
              <w:numPr>
                <w:ilvl w:val="0"/>
                <w:numId w:val="19"/>
              </w:numPr>
              <w:ind w:left="162" w:hanging="162"/>
              <w:contextualSpacing/>
              <w:rPr>
                <w:sz w:val="20"/>
                <w:szCs w:val="20"/>
                <w:lang w:val="en-AU"/>
              </w:rPr>
            </w:pPr>
            <w:r w:rsidRPr="00F71B40">
              <w:rPr>
                <w:sz w:val="20"/>
                <w:szCs w:val="20"/>
                <w:lang w:val="en-AU"/>
              </w:rPr>
              <w:t>If</w:t>
            </w:r>
            <w:r w:rsidR="006608FB" w:rsidRPr="00F71B40">
              <w:rPr>
                <w:sz w:val="20"/>
                <w:szCs w:val="20"/>
                <w:lang w:val="en-AU"/>
              </w:rPr>
              <w:t xml:space="preserve"> performance-related pay for teachers</w:t>
            </w:r>
            <w:r w:rsidRPr="00F71B40">
              <w:rPr>
                <w:sz w:val="20"/>
                <w:szCs w:val="20"/>
                <w:lang w:val="en-AU"/>
              </w:rPr>
              <w:t xml:space="preserve"> is being considered</w:t>
            </w:r>
            <w:r w:rsidR="006608FB" w:rsidRPr="00F71B40">
              <w:rPr>
                <w:sz w:val="20"/>
                <w:szCs w:val="20"/>
                <w:lang w:val="en-AU"/>
              </w:rPr>
              <w:t xml:space="preserve">, evaluations of </w:t>
            </w:r>
            <w:r w:rsidRPr="00F71B40">
              <w:rPr>
                <w:sz w:val="20"/>
                <w:szCs w:val="20"/>
                <w:lang w:val="en-AU"/>
              </w:rPr>
              <w:t xml:space="preserve">similar education </w:t>
            </w:r>
            <w:r w:rsidR="006608FB" w:rsidRPr="00F71B40">
              <w:rPr>
                <w:sz w:val="20"/>
                <w:szCs w:val="20"/>
                <w:lang w:val="en-AU"/>
              </w:rPr>
              <w:t xml:space="preserve">reforms </w:t>
            </w:r>
            <w:r w:rsidRPr="00F71B40">
              <w:rPr>
                <w:sz w:val="20"/>
                <w:szCs w:val="20"/>
                <w:lang w:val="en-AU"/>
              </w:rPr>
              <w:t xml:space="preserve">in other countries and other sector reforms in this setting </w:t>
            </w:r>
            <w:r w:rsidR="006608FB" w:rsidRPr="00F71B40">
              <w:rPr>
                <w:sz w:val="20"/>
                <w:szCs w:val="20"/>
                <w:lang w:val="en-AU"/>
              </w:rPr>
              <w:t>provide useful indications of the prospects of success and</w:t>
            </w:r>
            <w:r w:rsidRPr="00F71B40">
              <w:rPr>
                <w:sz w:val="20"/>
                <w:szCs w:val="20"/>
                <w:lang w:val="en-AU"/>
              </w:rPr>
              <w:t xml:space="preserve"> the likely scale of any returns to the reform exercise.</w:t>
            </w:r>
          </w:p>
        </w:tc>
      </w:tr>
    </w:tbl>
    <w:p w:rsidR="00E256D6" w:rsidRDefault="00E256D6" w:rsidP="00D62A32">
      <w:pPr>
        <w:rPr>
          <w:rFonts w:eastAsia="Times New Roman" w:cs="Times New Roman"/>
          <w:szCs w:val="24"/>
          <w:lang w:val="en-AU" w:bidi="en-US"/>
        </w:rPr>
      </w:pPr>
    </w:p>
    <w:p w:rsidR="00E256D6" w:rsidRDefault="00E256D6" w:rsidP="00D62A32">
      <w:pPr>
        <w:rPr>
          <w:rFonts w:eastAsia="Times New Roman" w:cs="Times New Roman"/>
          <w:szCs w:val="24"/>
          <w:lang w:val="en-AU" w:bidi="en-US"/>
        </w:rPr>
      </w:pPr>
    </w:p>
    <w:p w:rsidR="005E58BA" w:rsidRPr="00F71B40" w:rsidRDefault="005E58BA" w:rsidP="00D62A32">
      <w:pPr>
        <w:rPr>
          <w:lang w:val="en-AU"/>
        </w:rPr>
      </w:pPr>
    </w:p>
    <w:p w:rsidR="005E58BA" w:rsidRPr="00F71B40" w:rsidRDefault="005E58BA" w:rsidP="00D62A32">
      <w:pPr>
        <w:rPr>
          <w:lang w:val="en-AU"/>
        </w:rPr>
      </w:pPr>
    </w:p>
    <w:p w:rsidR="005E58BA" w:rsidRPr="00F71B40" w:rsidRDefault="00E9037F" w:rsidP="00D62A32">
      <w:pPr>
        <w:rPr>
          <w:lang w:val="en-AU"/>
        </w:rPr>
      </w:pPr>
      <w:r w:rsidRPr="00F71B40">
        <w:rPr>
          <w:lang w:val="en-AU"/>
        </w:rPr>
        <w:t xml:space="preserve">The World Bank has </w:t>
      </w:r>
      <w:r w:rsidR="00CD653C" w:rsidRPr="00F71B40">
        <w:rPr>
          <w:lang w:val="en-AU"/>
        </w:rPr>
        <w:t xml:space="preserve">recently </w:t>
      </w:r>
      <w:r w:rsidRPr="00F71B40">
        <w:rPr>
          <w:lang w:val="en-AU"/>
        </w:rPr>
        <w:t>conducted diagnostics in Laos</w:t>
      </w:r>
      <w:r w:rsidR="00CD653C" w:rsidRPr="00F71B40">
        <w:rPr>
          <w:lang w:val="en-AU"/>
        </w:rPr>
        <w:t xml:space="preserve"> (public investment) and i</w:t>
      </w:r>
      <w:r w:rsidRPr="00F71B40">
        <w:rPr>
          <w:lang w:val="en-AU"/>
        </w:rPr>
        <w:t xml:space="preserve">n </w:t>
      </w:r>
      <w:r w:rsidRPr="00F71B40">
        <w:rPr>
          <w:bCs/>
          <w:lang w:val="en-AU"/>
        </w:rPr>
        <w:t>India</w:t>
      </w:r>
      <w:r w:rsidRPr="00F71B40">
        <w:rPr>
          <w:lang w:val="en-AU"/>
        </w:rPr>
        <w:t xml:space="preserve"> </w:t>
      </w:r>
      <w:r w:rsidR="00CD653C" w:rsidRPr="00F71B40">
        <w:rPr>
          <w:lang w:val="en-AU"/>
        </w:rPr>
        <w:t>(</w:t>
      </w:r>
      <w:r w:rsidRPr="00F71B40">
        <w:rPr>
          <w:lang w:val="en-AU"/>
        </w:rPr>
        <w:t xml:space="preserve">construction and maintenance </w:t>
      </w:r>
      <w:r w:rsidR="00CD653C" w:rsidRPr="00F71B40">
        <w:rPr>
          <w:lang w:val="en-AU"/>
        </w:rPr>
        <w:t xml:space="preserve">in the roads sector).  In both cases, constraints were identified which could be shown to be associated with worse performance than in situations or at times when they were not present.  Work is underway to examine the constraints to </w:t>
      </w:r>
      <w:r w:rsidR="005E58BA" w:rsidRPr="00F71B40">
        <w:rPr>
          <w:lang w:val="en-AU"/>
        </w:rPr>
        <w:t>local tax collection in Burundi</w:t>
      </w:r>
      <w:r w:rsidR="00CD653C" w:rsidRPr="00F71B40">
        <w:rPr>
          <w:lang w:val="en-AU"/>
        </w:rPr>
        <w:t xml:space="preserve"> and </w:t>
      </w:r>
      <w:r w:rsidRPr="00F71B40">
        <w:rPr>
          <w:lang w:val="en-AU"/>
        </w:rPr>
        <w:t>construction permit</w:t>
      </w:r>
      <w:r w:rsidR="00CD653C" w:rsidRPr="00F71B40">
        <w:rPr>
          <w:lang w:val="en-AU"/>
        </w:rPr>
        <w:t>ting</w:t>
      </w:r>
      <w:r w:rsidRPr="00F71B40">
        <w:rPr>
          <w:lang w:val="en-AU"/>
        </w:rPr>
        <w:t xml:space="preserve"> in Jamaica</w:t>
      </w:r>
      <w:r w:rsidR="00CD653C" w:rsidRPr="00F71B40">
        <w:rPr>
          <w:lang w:val="en-AU"/>
        </w:rPr>
        <w:t>.</w:t>
      </w:r>
    </w:p>
    <w:p w:rsidR="005E58BA" w:rsidRPr="00F71B40" w:rsidRDefault="005E58BA" w:rsidP="00D62A32">
      <w:pPr>
        <w:rPr>
          <w:lang w:val="en-AU"/>
        </w:rPr>
      </w:pPr>
    </w:p>
    <w:p w:rsidR="00D23615" w:rsidRPr="00F71B40" w:rsidRDefault="00D23615" w:rsidP="00D62A32">
      <w:pPr>
        <w:pStyle w:val="Heading3"/>
        <w:rPr>
          <w:lang w:val="en-AU"/>
        </w:rPr>
      </w:pPr>
      <w:bookmarkStart w:id="91" w:name="_Toc399410403"/>
      <w:r w:rsidRPr="00F71B40">
        <w:rPr>
          <w:lang w:val="en-AU"/>
        </w:rPr>
        <w:t>Cautious piloting</w:t>
      </w:r>
      <w:bookmarkEnd w:id="91"/>
    </w:p>
    <w:p w:rsidR="00D23615" w:rsidRPr="00F71B40" w:rsidRDefault="00D23615" w:rsidP="00D62A32">
      <w:pPr>
        <w:pStyle w:val="Heading3"/>
        <w:rPr>
          <w:lang w:val="en-AU"/>
        </w:rPr>
      </w:pPr>
    </w:p>
    <w:p w:rsidR="00D23615" w:rsidRPr="00F71B40" w:rsidRDefault="00897688" w:rsidP="00D62A32">
      <w:pPr>
        <w:rPr>
          <w:lang w:val="en-AU"/>
        </w:rPr>
      </w:pPr>
      <w:r w:rsidRPr="00F71B40">
        <w:rPr>
          <w:lang w:val="en-AU"/>
        </w:rPr>
        <w:t>With sector colleagues, SIGOV might assist in developing a few pilot experiments. While some respondents expressed some concern to the evaluation team that piloting reforms can be dangerous as it is hard to back away from the pilot if it fails, without some experimentation learning will be limited. The key is to specify the pilot carefully and ensure that there are clear criteria for considering it effective and for rolling it back if it is not.</w:t>
      </w:r>
    </w:p>
    <w:p w:rsidR="00D23615" w:rsidRPr="00F71B40" w:rsidRDefault="00D23615" w:rsidP="00D62A32">
      <w:pPr>
        <w:rPr>
          <w:lang w:val="en-AU"/>
        </w:rPr>
      </w:pPr>
    </w:p>
    <w:p w:rsidR="00967EC4" w:rsidRPr="00F71B40" w:rsidRDefault="00D23615" w:rsidP="00D62A32">
      <w:pPr>
        <w:pStyle w:val="Heading4"/>
      </w:pPr>
      <w:r w:rsidRPr="00F71B40">
        <w:t>A</w:t>
      </w:r>
      <w:r w:rsidR="00077685" w:rsidRPr="00F71B40">
        <w:t>t the sector or entity level</w:t>
      </w:r>
    </w:p>
    <w:p w:rsidR="00967EC4" w:rsidRPr="00F71B40" w:rsidRDefault="00967EC4" w:rsidP="00D62A32">
      <w:pPr>
        <w:rPr>
          <w:lang w:val="en-AU"/>
        </w:rPr>
      </w:pPr>
    </w:p>
    <w:p w:rsidR="00967EC4" w:rsidRPr="00F71B40" w:rsidRDefault="00BE12A6" w:rsidP="00D62A32">
      <w:pPr>
        <w:rPr>
          <w:rFonts w:cs="Times New Roman"/>
          <w:lang w:val="en-AU"/>
        </w:rPr>
      </w:pPr>
      <w:r>
        <w:rPr>
          <w:lang w:val="en-AU"/>
        </w:rPr>
        <w:t>T</w:t>
      </w:r>
      <w:r w:rsidR="00E10B48" w:rsidRPr="00F71B40">
        <w:rPr>
          <w:lang w:val="en-AU"/>
        </w:rPr>
        <w:t>radition</w:t>
      </w:r>
      <w:r w:rsidR="0090675C">
        <w:rPr>
          <w:lang w:val="en-AU"/>
        </w:rPr>
        <w:t>ally,</w:t>
      </w:r>
      <w:r w:rsidR="00C37B05" w:rsidRPr="00F71B40">
        <w:rPr>
          <w:lang w:val="en-AU"/>
        </w:rPr>
        <w:t xml:space="preserve"> p</w:t>
      </w:r>
      <w:r w:rsidR="00E10B48" w:rsidRPr="00F71B40">
        <w:rPr>
          <w:lang w:val="en-AU"/>
        </w:rPr>
        <w:t xml:space="preserve">ublic </w:t>
      </w:r>
      <w:r w:rsidR="00C37B05" w:rsidRPr="00F71B40">
        <w:rPr>
          <w:lang w:val="en-AU"/>
        </w:rPr>
        <w:t>s</w:t>
      </w:r>
      <w:r w:rsidR="00E10B48" w:rsidRPr="00F71B40">
        <w:rPr>
          <w:lang w:val="en-AU"/>
        </w:rPr>
        <w:t xml:space="preserve">ector </w:t>
      </w:r>
      <w:r w:rsidR="00C37B05" w:rsidRPr="00F71B40">
        <w:rPr>
          <w:lang w:val="en-AU"/>
        </w:rPr>
        <w:t>m</w:t>
      </w:r>
      <w:r w:rsidR="00E10B48" w:rsidRPr="00F71B40">
        <w:rPr>
          <w:lang w:val="en-AU"/>
        </w:rPr>
        <w:t xml:space="preserve">anagement professionals in development have argued that </w:t>
      </w:r>
      <w:r w:rsidR="007B1375" w:rsidRPr="00F71B40">
        <w:rPr>
          <w:lang w:val="en-AU"/>
        </w:rPr>
        <w:t xml:space="preserve">without even-handed, </w:t>
      </w:r>
      <w:r w:rsidR="00C37B05" w:rsidRPr="00F71B40">
        <w:rPr>
          <w:lang w:val="en-AU"/>
        </w:rPr>
        <w:t xml:space="preserve">system-wide changes entity level improvements are unlikely to be sustained, </w:t>
      </w:r>
      <w:r>
        <w:rPr>
          <w:lang w:val="en-AU"/>
        </w:rPr>
        <w:t xml:space="preserve">but </w:t>
      </w:r>
      <w:r w:rsidR="00C37B05" w:rsidRPr="00F71B40">
        <w:rPr>
          <w:lang w:val="en-AU"/>
        </w:rPr>
        <w:t xml:space="preserve">there is </w:t>
      </w:r>
      <w:r w:rsidR="00967EC4" w:rsidRPr="00F71B40">
        <w:rPr>
          <w:rFonts w:cs="Times New Roman"/>
          <w:lang w:val="en-AU"/>
        </w:rPr>
        <w:t>now a modest but empirical literature on the possibility of entity or organization-specific improvements</w:t>
      </w:r>
      <w:r w:rsidR="00C37B05" w:rsidRPr="00F71B40">
        <w:rPr>
          <w:rFonts w:cs="Times New Roman"/>
          <w:lang w:val="en-AU"/>
        </w:rPr>
        <w:t xml:space="preserve"> </w:t>
      </w:r>
      <w:r w:rsidR="00115AC9" w:rsidRPr="00F71B40">
        <w:rPr>
          <w:rFonts w:cs="Times New Roman"/>
          <w:lang w:val="en-AU"/>
        </w:rPr>
        <w:fldChar w:fldCharType="begin">
          <w:fldData xml:space="preserve">PEVuZE5vdGU+PENpdGU+PEF1dGhvcj5CYXJtYTwvQXV0aG9yPjxZZWFyPjIwMTQ8L1llYXI+PFJl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==
</w:fldData>
        </w:fldChar>
      </w:r>
      <w:r w:rsidR="00115AC9" w:rsidRPr="00F71B40">
        <w:rPr>
          <w:rFonts w:cs="Times New Roman"/>
          <w:lang w:val="en-AU"/>
        </w:rPr>
        <w:instrText xml:space="preserve"> ADDIN EN.CITE </w:instrText>
      </w:r>
      <w:r w:rsidR="00115AC9" w:rsidRPr="00F71B40">
        <w:rPr>
          <w:rFonts w:cs="Times New Roman"/>
          <w:lang w:val="en-AU"/>
        </w:rPr>
        <w:fldChar w:fldCharType="begin">
          <w:fldData xml:space="preserve">PEVuZE5vdGU+PENpdGU+PEF1dGhvcj5CYXJtYTwvQXV0aG9yPjxZZWFyPjIwMTQ8L1llYXI+PFJl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==
</w:fldData>
        </w:fldChar>
      </w:r>
      <w:r w:rsidR="00115AC9" w:rsidRPr="00F71B40">
        <w:rPr>
          <w:rFonts w:cs="Times New Roman"/>
          <w:lang w:val="en-AU"/>
        </w:rPr>
        <w:instrText xml:space="preserve"> ADDIN EN.CITE.DATA </w:instrText>
      </w:r>
      <w:r w:rsidR="00115AC9" w:rsidRPr="00F71B40">
        <w:rPr>
          <w:rFonts w:cs="Times New Roman"/>
          <w:lang w:val="en-AU"/>
        </w:rPr>
      </w:r>
      <w:r w:rsidR="00115AC9" w:rsidRPr="00F71B40">
        <w:rPr>
          <w:rFonts w:cs="Times New Roman"/>
          <w:lang w:val="en-AU"/>
        </w:rPr>
        <w:fldChar w:fldCharType="end"/>
      </w:r>
      <w:r w:rsidR="00115AC9" w:rsidRPr="00F71B40">
        <w:rPr>
          <w:rFonts w:cs="Times New Roman"/>
          <w:lang w:val="en-AU"/>
        </w:rPr>
      </w:r>
      <w:r w:rsidR="00115AC9" w:rsidRPr="00F71B40">
        <w:rPr>
          <w:rFonts w:cs="Times New Roman"/>
          <w:lang w:val="en-AU"/>
        </w:rPr>
        <w:fldChar w:fldCharType="separate"/>
      </w:r>
      <w:r w:rsidR="00115AC9" w:rsidRPr="00F71B40">
        <w:rPr>
          <w:rFonts w:cs="Times New Roman"/>
          <w:lang w:val="en-AU"/>
        </w:rPr>
        <w:t>(</w:t>
      </w:r>
      <w:hyperlink w:anchor="_ENREF_20" w:tooltip="Barma, 2014 #4333" w:history="1">
        <w:r w:rsidR="00CC56DB" w:rsidRPr="00F71B40">
          <w:rPr>
            <w:rFonts w:cs="Times New Roman"/>
            <w:lang w:val="en-AU"/>
          </w:rPr>
          <w:t>Barma, Huybens, &amp; Viñuela, 2014</w:t>
        </w:r>
      </w:hyperlink>
      <w:r w:rsidR="00115AC9" w:rsidRPr="00F71B40">
        <w:rPr>
          <w:rFonts w:cs="Times New Roman"/>
          <w:lang w:val="en-AU"/>
        </w:rPr>
        <w:t xml:space="preserve">; </w:t>
      </w:r>
      <w:hyperlink w:anchor="_ENREF_68" w:tooltip="Hasnain, 2014 #4180" w:history="1">
        <w:r w:rsidR="00CC56DB" w:rsidRPr="00F71B40">
          <w:rPr>
            <w:rFonts w:cs="Times New Roman"/>
            <w:lang w:val="en-AU"/>
          </w:rPr>
          <w:t>Hasnain &amp; Manning, 2014</w:t>
        </w:r>
      </w:hyperlink>
      <w:r w:rsidR="00115AC9" w:rsidRPr="00F71B40">
        <w:rPr>
          <w:rFonts w:cs="Times New Roman"/>
          <w:lang w:val="en-AU"/>
        </w:rPr>
        <w:t xml:space="preserve">; </w:t>
      </w:r>
      <w:hyperlink w:anchor="_ENREF_128" w:tooltip="Roll, 2014 #4332" w:history="1">
        <w:r w:rsidR="00CC56DB" w:rsidRPr="00F71B40">
          <w:rPr>
            <w:rFonts w:cs="Times New Roman"/>
            <w:lang w:val="en-AU"/>
          </w:rPr>
          <w:t>Roll, 2014</w:t>
        </w:r>
      </w:hyperlink>
      <w:r w:rsidR="00115AC9" w:rsidRPr="00F71B40">
        <w:rPr>
          <w:rFonts w:cs="Times New Roman"/>
          <w:lang w:val="en-AU"/>
        </w:rPr>
        <w:t>)</w:t>
      </w:r>
      <w:r w:rsidR="00115AC9" w:rsidRPr="00F71B40">
        <w:rPr>
          <w:rFonts w:cs="Times New Roman"/>
          <w:lang w:val="en-AU"/>
        </w:rPr>
        <w:fldChar w:fldCharType="end"/>
      </w:r>
      <w:r w:rsidR="00967EC4" w:rsidRPr="00F71B40">
        <w:rPr>
          <w:rFonts w:cs="Times New Roman"/>
          <w:lang w:val="en-AU"/>
        </w:rPr>
        <w:t>.</w:t>
      </w:r>
      <w:r w:rsidR="00E256D6">
        <w:rPr>
          <w:rFonts w:cs="Times New Roman"/>
          <w:lang w:val="en-AU"/>
        </w:rPr>
        <w:t xml:space="preserve">  </w:t>
      </w:r>
      <w:r w:rsidR="00D23615" w:rsidRPr="00F71B40">
        <w:rPr>
          <w:lang w:val="en-AU"/>
        </w:rPr>
        <w:t xml:space="preserve">The impressive turnaround of the small but important State-owned Enterprise portfolio in the Solomon Islands offers some cautious hope that entity level reform might offer a way forward </w:t>
      </w:r>
      <w:r w:rsidR="00115AC9" w:rsidRPr="00F71B40">
        <w:rPr>
          <w:lang w:val="en-AU"/>
        </w:rPr>
        <w:fldChar w:fldCharType="begin"/>
      </w:r>
      <w:r w:rsidR="00115AC9" w:rsidRPr="00F71B40">
        <w:rPr>
          <w:lang w:val="en-AU"/>
        </w:rPr>
        <w:instrText xml:space="preserve"> ADDIN EN.CITE &lt;EndNote&gt;&lt;Cite&gt;&lt;Author&gt;Darcy&lt;/Author&gt;&lt;Year&gt;2014&lt;/Year&gt;&lt;RecNum&gt;4362&lt;/RecNum&gt;&lt;DisplayText&gt;(Darcy, Russell, &amp;amp; Vu, 2014)&lt;/DisplayText&gt;&lt;record&gt;&lt;rec-number&gt;4362&lt;/rec-number&gt;&lt;foreign-keys&gt;&lt;key app="EN" db-id="5v9z5rrdszvwsneef06v9dapsd0apdtfapdx" timestamp="1410380426"&gt;4362&lt;/key&gt;&lt;/foreign-keys&gt;&lt;ref-type name="Book"&gt;6&lt;/ref-type&gt;&lt;contributors&gt;&lt;authors&gt;&lt;author&gt;Laure Darcy&lt;/author&gt;&lt;author&gt;Christopher Russell&lt;/author&gt;&lt;author&gt;Minh Vu&lt;/author&gt;&lt;/authors&gt;&lt;/contributors&gt;&lt;titles&gt;&lt;title&gt;FINDING BALANCE 2014: Benchmarking the Performance of State-Owned Enterprises in Island Countries&lt;/title&gt;&lt;/titles&gt;&lt;dates&gt;&lt;year&gt;2014&lt;/year&gt;&lt;/dates&gt;&lt;pub-location&gt;Manila&lt;/pub-location&gt;&lt;publisher&gt;Asian Development Bank&lt;/publisher&gt;&lt;urls&gt;&lt;/urls&gt;&lt;/record&gt;&lt;/Cite&gt;&lt;/EndNote&gt;</w:instrText>
      </w:r>
      <w:r w:rsidR="00115AC9" w:rsidRPr="00F71B40">
        <w:rPr>
          <w:lang w:val="en-AU"/>
        </w:rPr>
        <w:fldChar w:fldCharType="separate"/>
      </w:r>
      <w:r w:rsidR="00115AC9" w:rsidRPr="00F71B40">
        <w:rPr>
          <w:lang w:val="en-AU"/>
        </w:rPr>
        <w:t>(</w:t>
      </w:r>
      <w:hyperlink w:anchor="_ENREF_44" w:tooltip="Darcy, 2014 #4362" w:history="1">
        <w:r w:rsidR="00CC56DB" w:rsidRPr="00F71B40">
          <w:rPr>
            <w:lang w:val="en-AU"/>
          </w:rPr>
          <w:t>Darcy, Russell, &amp; Vu, 2014</w:t>
        </w:r>
      </w:hyperlink>
      <w:r w:rsidR="00115AC9" w:rsidRPr="00F71B40">
        <w:rPr>
          <w:lang w:val="en-AU"/>
        </w:rPr>
        <w:t>)</w:t>
      </w:r>
      <w:r w:rsidR="00115AC9" w:rsidRPr="00F71B40">
        <w:rPr>
          <w:lang w:val="en-AU"/>
        </w:rPr>
        <w:fldChar w:fldCharType="end"/>
      </w:r>
      <w:r w:rsidR="00D23615" w:rsidRPr="00F71B40">
        <w:rPr>
          <w:lang w:val="en-AU"/>
        </w:rPr>
        <w:t xml:space="preserve">. </w:t>
      </w:r>
      <w:r w:rsidR="007B1375" w:rsidRPr="00F71B40">
        <w:rPr>
          <w:rFonts w:cs="Times New Roman"/>
          <w:lang w:val="en-AU"/>
        </w:rPr>
        <w:t>A similar point is made in relation to asymmetric system changes</w:t>
      </w:r>
      <w:r w:rsidR="0043036D" w:rsidRPr="00F71B40">
        <w:rPr>
          <w:rFonts w:cs="Times New Roman"/>
          <w:lang w:val="en-AU"/>
        </w:rPr>
        <w:t xml:space="preserve"> (</w:t>
      </w:r>
      <w:r w:rsidR="0043036D" w:rsidRPr="00F71B40">
        <w:rPr>
          <w:rFonts w:cs="Times New Roman"/>
          <w:lang w:val="en-AU"/>
        </w:rPr>
        <w:fldChar w:fldCharType="begin"/>
      </w:r>
      <w:r w:rsidR="0043036D" w:rsidRPr="00F71B40">
        <w:rPr>
          <w:rFonts w:cs="Times New Roman"/>
          <w:lang w:val="en-AU"/>
        </w:rPr>
        <w:instrText xml:space="preserve"> REF _Ref399341776 \h </w:instrText>
      </w:r>
      <w:r w:rsidR="0043036D" w:rsidRPr="00F71B40">
        <w:rPr>
          <w:rFonts w:cs="Times New Roman"/>
          <w:lang w:val="en-AU"/>
        </w:rPr>
      </w:r>
      <w:r w:rsidR="0043036D" w:rsidRPr="00F71B40">
        <w:rPr>
          <w:rFonts w:cs="Times New Roman"/>
          <w:lang w:val="en-AU"/>
        </w:rPr>
        <w:fldChar w:fldCharType="separate"/>
      </w:r>
      <w:r w:rsidR="00EF43BE" w:rsidRPr="00F71B40">
        <w:rPr>
          <w:lang w:val="en-AU"/>
        </w:rPr>
        <w:t xml:space="preserve">Box </w:t>
      </w:r>
      <w:r w:rsidR="00EF43BE">
        <w:rPr>
          <w:noProof/>
          <w:lang w:val="en-AU"/>
        </w:rPr>
        <w:t>5</w:t>
      </w:r>
      <w:r w:rsidR="0043036D" w:rsidRPr="00F71B40">
        <w:rPr>
          <w:rFonts w:cs="Times New Roman"/>
          <w:lang w:val="en-AU"/>
        </w:rPr>
        <w:fldChar w:fldCharType="end"/>
      </w:r>
      <w:r w:rsidR="0043036D" w:rsidRPr="00F71B40">
        <w:rPr>
          <w:rFonts w:cs="Times New Roman"/>
          <w:lang w:val="en-AU"/>
        </w:rPr>
        <w:t>)</w:t>
      </w:r>
      <w:r w:rsidR="007B1375" w:rsidRPr="00F71B40">
        <w:rPr>
          <w:rFonts w:cs="Times New Roman"/>
          <w:lang w:val="en-AU"/>
        </w:rPr>
        <w:t xml:space="preserve">. </w:t>
      </w:r>
    </w:p>
    <w:p w:rsidR="00026A61" w:rsidRPr="00F71B40" w:rsidRDefault="00026A61" w:rsidP="00D62A32">
      <w:pPr>
        <w:rPr>
          <w:rFonts w:cs="Times New Roman"/>
          <w:lang w:val="en-AU"/>
        </w:rPr>
      </w:pPr>
    </w:p>
    <w:p w:rsidR="00026A61" w:rsidRPr="00F71B40" w:rsidRDefault="00711708" w:rsidP="00D62A32">
      <w:pPr>
        <w:rPr>
          <w:lang w:val="en-AU"/>
        </w:rPr>
      </w:pPr>
      <w:r w:rsidRPr="00F71B40">
        <w:rPr>
          <w:rFonts w:cs="Times New Roman"/>
          <w:lang w:val="en-AU"/>
        </w:rPr>
        <w:t>Nevertheless, e</w:t>
      </w:r>
      <w:r w:rsidR="00926B11" w:rsidRPr="00F71B40">
        <w:rPr>
          <w:rFonts w:cs="Times New Roman"/>
          <w:lang w:val="en-AU"/>
        </w:rPr>
        <w:t xml:space="preserve">ntity or cadre level reforms are risky.  </w:t>
      </w:r>
      <w:r w:rsidR="00026A61" w:rsidRPr="00F71B40">
        <w:rPr>
          <w:rFonts w:cs="Times New Roman"/>
          <w:lang w:val="en-AU"/>
        </w:rPr>
        <w:t xml:space="preserve">“Breakaway remuneration structure and terms and conditions for Judicial Officers continue the erosion of the unified Public Service salary structure as demand outpaces remuneration reform activities.”  </w:t>
      </w:r>
      <w:r w:rsidR="00115AC9" w:rsidRPr="00F71B40">
        <w:rPr>
          <w:rFonts w:cs="Times New Roman"/>
          <w:lang w:val="en-AU"/>
        </w:rPr>
        <w:fldChar w:fldCharType="begin"/>
      </w:r>
      <w:r w:rsidR="00115AC9" w:rsidRPr="00F71B40">
        <w:rPr>
          <w:rFonts w:cs="Times New Roman"/>
          <w:lang w:val="en-AU"/>
        </w:rPr>
        <w:instrText xml:space="preserve"> ADDIN EN.CITE &lt;EndNote&gt;&lt;Cite&gt;&lt;Author&gt;DFAT&lt;/Author&gt;&lt;Year&gt;2014&lt;/Year&gt;&lt;RecNum&gt;4309&lt;/RecNum&gt;&lt;Suffix&gt;`, p.6&lt;/Suffix&gt;&lt;DisplayText&gt;(DFAT, 2014b, p.6)&lt;/DisplayText&gt;&lt;record&gt;&lt;rec-number&gt;4309&lt;/rec-number&gt;&lt;foreign-keys&gt;&lt;key app="EN" db-id="5v9z5rrdszvwsneef06v9dapsd0apdtfapdx" timestamp="1408652590"&gt;4309&lt;/key&gt;&lt;/foreign-keys&gt;&lt;ref-type name="Report"&gt;27&lt;/ref-type&gt;&lt;contributors&gt;&lt;authors&gt;&lt;author&gt;DFAT&lt;/author&gt;&lt;/authors&gt;&lt;/contributors&gt;&lt;titles&gt;&lt;title&gt;Solomon Islands Governance Program (SIGOV): Quarterly Report No. 3 (January-March 2014)&lt;/title&gt;&lt;/titles&gt;&lt;dates&gt;&lt;year&gt;2014&lt;/year&gt;&lt;/dates&gt;&lt;pub-location&gt;Honiara, Solomon Islands&lt;/pub-location&gt;&lt;publisher&gt;DFAT&lt;/publisher&gt;&lt;urls&gt;&lt;/urls&gt;&lt;/record&gt;&lt;/Cite&gt;&lt;/EndNote&gt;</w:instrText>
      </w:r>
      <w:r w:rsidR="00115AC9" w:rsidRPr="00F71B40">
        <w:rPr>
          <w:rFonts w:cs="Times New Roman"/>
          <w:lang w:val="en-AU"/>
        </w:rPr>
        <w:fldChar w:fldCharType="separate"/>
      </w:r>
      <w:r w:rsidR="00115AC9" w:rsidRPr="00F71B40">
        <w:rPr>
          <w:rFonts w:cs="Times New Roman"/>
          <w:lang w:val="en-AU"/>
        </w:rPr>
        <w:t>(</w:t>
      </w:r>
      <w:hyperlink w:anchor="_ENREF_49" w:tooltip="DFAT, 2014 #4309" w:history="1">
        <w:r w:rsidR="00CC56DB" w:rsidRPr="00F71B40">
          <w:rPr>
            <w:rFonts w:cs="Times New Roman"/>
            <w:lang w:val="en-AU"/>
          </w:rPr>
          <w:t>DFAT, 2014b, p.6</w:t>
        </w:r>
      </w:hyperlink>
      <w:r w:rsidR="00115AC9" w:rsidRPr="00F71B40">
        <w:rPr>
          <w:rFonts w:cs="Times New Roman"/>
          <w:lang w:val="en-AU"/>
        </w:rPr>
        <w:t>)</w:t>
      </w:r>
      <w:r w:rsidR="00115AC9" w:rsidRPr="00F71B40">
        <w:rPr>
          <w:rFonts w:cs="Times New Roman"/>
          <w:lang w:val="en-AU"/>
        </w:rPr>
        <w:fldChar w:fldCharType="end"/>
      </w:r>
      <w:r w:rsidR="00926B11" w:rsidRPr="00F71B40">
        <w:rPr>
          <w:rFonts w:cs="Times New Roman"/>
          <w:lang w:val="en-AU"/>
        </w:rPr>
        <w:t xml:space="preserve">  </w:t>
      </w:r>
      <w:r w:rsidR="00026A61" w:rsidRPr="00F71B40">
        <w:rPr>
          <w:rFonts w:cs="Times New Roman"/>
          <w:lang w:val="en-AU"/>
        </w:rPr>
        <w:t>However,</w:t>
      </w:r>
      <w:r w:rsidR="00926B11" w:rsidRPr="00F71B40">
        <w:rPr>
          <w:rFonts w:cs="Times New Roman"/>
          <w:lang w:val="en-AU"/>
        </w:rPr>
        <w:t xml:space="preserve"> the point made by</w:t>
      </w:r>
      <w:r w:rsidR="00026A61" w:rsidRPr="00F71B40">
        <w:rPr>
          <w:rFonts w:cs="Times New Roman"/>
          <w:lang w:val="en-AU"/>
        </w:rPr>
        <w:t xml:space="preserve"> </w:t>
      </w:r>
      <w:r w:rsidR="00115AC9" w:rsidRPr="00F71B40">
        <w:rPr>
          <w:rFonts w:cs="Times New Roman"/>
          <w:lang w:val="en-AU"/>
        </w:rPr>
        <w:fldChar w:fldCharType="begin"/>
      </w:r>
      <w:r w:rsidR="00115AC9" w:rsidRPr="00F71B40">
        <w:rPr>
          <w:rFonts w:cs="Times New Roman"/>
          <w:lang w:val="en-AU"/>
        </w:rPr>
        <w:instrText xml:space="preserve"> ADDIN EN.CITE &lt;EndNote&gt;&lt;Cite&gt;&lt;Author&gt;Dixon&lt;/Author&gt;&lt;Year&gt;2012&lt;/Year&gt;&lt;RecNum&gt;4331&lt;/RecNum&gt;&lt;DisplayText&gt;(Dixon et al., 2012)&lt;/DisplayText&gt;&lt;record&gt;&lt;rec-number&gt;4331&lt;/rec-number&gt;&lt;foreign-keys&gt;&lt;key app="EN" db-id="5v9z5rrdszvwsneef06v9dapsd0apdtfapdx" timestamp="1408738818"&gt;4331&lt;/key&gt;&lt;/foreign-keys&gt;&lt;ref-type name="Book Section"&gt;5&lt;/ref-type&gt;&lt;contributors&gt;&lt;authors&gt;&lt;author&gt;Geoff Dixon&lt;/author&gt;&lt;author&gt;Michael Anderson&lt;/author&gt;&lt;author&gt;Peter Deacon&lt;/author&gt;&lt;author&gt;Merrylyn Kodoleke&lt;/author&gt;&lt;author&gt;Mike Loudon&lt;/author&gt;&lt;/authors&gt;&lt;/contributors&gt;&lt;titles&gt;&lt;title&gt;FINANCIAL AND ECONOMIC MANAGEMENT SUPPORT PROGRAM (FEMSP) Mid term review&lt;/title&gt;&lt;/titles&gt;&lt;dates&gt;&lt;year&gt;2012&lt;/year&gt;&lt;/dates&gt;&lt;pub-location&gt;Canberra&lt;/pub-location&gt;&lt;publisher&gt;RAMSI&lt;/publisher&gt;&lt;urls&gt;&lt;/urls&gt;&lt;/record&gt;&lt;/Cite&gt;&lt;/EndNote&gt;</w:instrText>
      </w:r>
      <w:r w:rsidR="00115AC9" w:rsidRPr="00F71B40">
        <w:rPr>
          <w:rFonts w:cs="Times New Roman"/>
          <w:lang w:val="en-AU"/>
        </w:rPr>
        <w:fldChar w:fldCharType="separate"/>
      </w:r>
      <w:r w:rsidR="00115AC9" w:rsidRPr="00F71B40">
        <w:rPr>
          <w:rFonts w:cs="Times New Roman"/>
          <w:lang w:val="en-AU"/>
        </w:rPr>
        <w:t>(</w:t>
      </w:r>
      <w:hyperlink w:anchor="_ENREF_56" w:tooltip="Dixon, 2012 #4331" w:history="1">
        <w:r w:rsidR="00CC56DB" w:rsidRPr="00F71B40">
          <w:rPr>
            <w:rFonts w:cs="Times New Roman"/>
            <w:lang w:val="en-AU"/>
          </w:rPr>
          <w:t>Dixon et al., 2012</w:t>
        </w:r>
      </w:hyperlink>
      <w:r w:rsidR="00115AC9" w:rsidRPr="00F71B40">
        <w:rPr>
          <w:rFonts w:cs="Times New Roman"/>
          <w:lang w:val="en-AU"/>
        </w:rPr>
        <w:t>)</w:t>
      </w:r>
      <w:r w:rsidR="00115AC9" w:rsidRPr="00F71B40">
        <w:rPr>
          <w:rFonts w:cs="Times New Roman"/>
          <w:lang w:val="en-AU"/>
        </w:rPr>
        <w:fldChar w:fldCharType="end"/>
      </w:r>
      <w:r w:rsidR="00026A61" w:rsidRPr="00F71B40">
        <w:rPr>
          <w:rFonts w:cs="Times New Roman"/>
          <w:lang w:val="en-AU"/>
        </w:rPr>
        <w:t xml:space="preserve"> that </w:t>
      </w:r>
      <w:r w:rsidR="00926B11" w:rsidRPr="00F71B40">
        <w:rPr>
          <w:rFonts w:cs="Times New Roman"/>
          <w:lang w:val="en-AU"/>
        </w:rPr>
        <w:t>“</w:t>
      </w:r>
      <w:r w:rsidR="00026A61" w:rsidRPr="00F71B40">
        <w:rPr>
          <w:lang w:val="en-AU"/>
        </w:rPr>
        <w:t>the introduction of separate public service pay scale for groups of professionals (e.g. accountants, lawyers) similar to the existing separate scale for doctors</w:t>
      </w:r>
      <w:r w:rsidR="00182593">
        <w:rPr>
          <w:lang w:val="en-AU"/>
        </w:rPr>
        <w:t xml:space="preserve">… (might increase) </w:t>
      </w:r>
      <w:r w:rsidR="00026A61" w:rsidRPr="00F71B40">
        <w:rPr>
          <w:lang w:val="en-AU"/>
        </w:rPr>
        <w:t>the attractiveness of the public service for those with core skills</w:t>
      </w:r>
      <w:r w:rsidR="00926B11" w:rsidRPr="00F71B40">
        <w:rPr>
          <w:lang w:val="en-AU"/>
        </w:rPr>
        <w:t xml:space="preserve">” </w:t>
      </w:r>
      <w:r w:rsidR="00115AC9" w:rsidRPr="00F71B40">
        <w:rPr>
          <w:lang w:val="en-AU"/>
        </w:rPr>
        <w:fldChar w:fldCharType="begin"/>
      </w:r>
      <w:r w:rsidR="00115AC9" w:rsidRPr="00F71B40">
        <w:rPr>
          <w:lang w:val="en-AU"/>
        </w:rPr>
        <w:instrText xml:space="preserve"> ADDIN EN.CITE &lt;EndNote&gt;&lt;Cite&gt;&lt;Author&gt;Dixon&lt;/Author&gt;&lt;Year&gt;2012&lt;/Year&gt;&lt;RecNum&gt;4331&lt;/RecNum&gt;&lt;Suffix&gt;`, p. 38&lt;/Suffix&gt;&lt;DisplayText&gt;(Dixon et al., 2012, p. 38)&lt;/DisplayText&gt;&lt;record&gt;&lt;rec-number&gt;4331&lt;/rec-number&gt;&lt;foreign-keys&gt;&lt;key app="EN" db-id="5v9z5rrdszvwsneef06v9dapsd0apdtfapdx" timestamp="1408738818"&gt;4331&lt;/key&gt;&lt;/foreign-keys&gt;&lt;ref-type name="Book Section"&gt;5&lt;/ref-type&gt;&lt;contributors&gt;&lt;authors&gt;&lt;author&gt;Geoff Dixon&lt;/author&gt;&lt;author&gt;Michael Anderson&lt;/author&gt;&lt;author&gt;Peter Deacon&lt;/author&gt;&lt;author&gt;Merrylyn Kodoleke&lt;/author&gt;&lt;author&gt;Mike Loudon&lt;/author&gt;&lt;/authors&gt;&lt;/contributors&gt;&lt;titles&gt;&lt;title&gt;FINANCIAL AND ECONOMIC MANAGEMENT SUPPORT PROGRAM (FEMSP) Mid term review&lt;/title&gt;&lt;/titles&gt;&lt;dates&gt;&lt;year&gt;2012&lt;/year&gt;&lt;/dates&gt;&lt;pub-location&gt;Canberra&lt;/pub-location&gt;&lt;publisher&gt;RAMSI&lt;/publisher&gt;&lt;urls&gt;&lt;/urls&gt;&lt;/record&gt;&lt;/Cite&gt;&lt;/EndNote&gt;</w:instrText>
      </w:r>
      <w:r w:rsidR="00115AC9" w:rsidRPr="00F71B40">
        <w:rPr>
          <w:lang w:val="en-AU"/>
        </w:rPr>
        <w:fldChar w:fldCharType="separate"/>
      </w:r>
      <w:r w:rsidR="00115AC9" w:rsidRPr="00F71B40">
        <w:rPr>
          <w:lang w:val="en-AU"/>
        </w:rPr>
        <w:t>(</w:t>
      </w:r>
      <w:hyperlink w:anchor="_ENREF_56" w:tooltip="Dixon, 2012 #4331" w:history="1">
        <w:r w:rsidR="00CC56DB" w:rsidRPr="00F71B40">
          <w:rPr>
            <w:lang w:val="en-AU"/>
          </w:rPr>
          <w:t>Dixon et al., 2012, p. 38</w:t>
        </w:r>
      </w:hyperlink>
      <w:r w:rsidR="00115AC9" w:rsidRPr="00F71B40">
        <w:rPr>
          <w:lang w:val="en-AU"/>
        </w:rPr>
        <w:t>)</w:t>
      </w:r>
      <w:r w:rsidR="00115AC9" w:rsidRPr="00F71B40">
        <w:rPr>
          <w:lang w:val="en-AU"/>
        </w:rPr>
        <w:fldChar w:fldCharType="end"/>
      </w:r>
      <w:r w:rsidR="00926B11" w:rsidRPr="00F71B40">
        <w:rPr>
          <w:lang w:val="en-AU"/>
        </w:rPr>
        <w:t xml:space="preserve"> is a fair one.</w:t>
      </w:r>
      <w:r w:rsidR="00E256D6">
        <w:rPr>
          <w:lang w:val="en-AU"/>
        </w:rPr>
        <w:t xml:space="preserve">  </w:t>
      </w:r>
      <w:r w:rsidR="00182593">
        <w:rPr>
          <w:lang w:val="en-AU"/>
        </w:rPr>
        <w:t>O</w:t>
      </w:r>
      <w:r w:rsidR="001D2DA5" w:rsidRPr="00F71B40">
        <w:rPr>
          <w:lang w:val="en-AU"/>
        </w:rPr>
        <w:t>ther asymmetric changes, such as the current delegation of some HRM functions to some ministries are much less risky.</w:t>
      </w:r>
      <w:r w:rsidRPr="00F71B40">
        <w:rPr>
          <w:lang w:val="en-AU"/>
        </w:rPr>
        <w:t xml:space="preserve">  </w:t>
      </w:r>
    </w:p>
    <w:p w:rsidR="001A6F75" w:rsidRPr="00F71B40" w:rsidRDefault="001A6F75" w:rsidP="00D62A32">
      <w:pPr>
        <w:rPr>
          <w:lang w:val="en-AU"/>
        </w:rPr>
      </w:pPr>
    </w:p>
    <w:p w:rsidR="001A6F75" w:rsidRPr="00F71B40" w:rsidRDefault="00897688" w:rsidP="00D62A32">
      <w:pPr>
        <w:pStyle w:val="Heading4"/>
      </w:pPr>
      <w:r w:rsidRPr="00F71B40">
        <w:t>Building on the Constituency Development Funds</w:t>
      </w:r>
    </w:p>
    <w:p w:rsidR="00967EC4" w:rsidRPr="00F71B40" w:rsidRDefault="00967EC4" w:rsidP="00D62A32">
      <w:pPr>
        <w:rPr>
          <w:lang w:val="en-AU"/>
        </w:rPr>
      </w:pPr>
    </w:p>
    <w:p w:rsidR="00967EC4" w:rsidRPr="00F71B40" w:rsidRDefault="00063968" w:rsidP="00D62A32">
      <w:pPr>
        <w:rPr>
          <w:rFonts w:cs="Times New Roman"/>
          <w:lang w:val="en-AU"/>
        </w:rPr>
      </w:pPr>
      <w:r w:rsidRPr="00F71B40">
        <w:rPr>
          <w:rFonts w:cs="Times New Roman"/>
          <w:lang w:val="en-AU"/>
        </w:rPr>
        <w:t xml:space="preserve">Another experimental approach </w:t>
      </w:r>
      <w:r w:rsidR="00B10FD2" w:rsidRPr="00F71B40">
        <w:rPr>
          <w:rFonts w:cs="Times New Roman"/>
          <w:lang w:val="en-AU"/>
        </w:rPr>
        <w:t xml:space="preserve">to </w:t>
      </w:r>
      <w:r w:rsidR="00897688" w:rsidRPr="00F71B40">
        <w:rPr>
          <w:rFonts w:cs="Times New Roman"/>
          <w:lang w:val="en-AU"/>
        </w:rPr>
        <w:t>learning about improving the success of</w:t>
      </w:r>
      <w:r w:rsidR="00B10FD2" w:rsidRPr="00F71B40">
        <w:rPr>
          <w:rFonts w:cs="Times New Roman"/>
          <w:lang w:val="en-AU"/>
        </w:rPr>
        <w:t xml:space="preserve"> Part B is to consider supporting sector or entity level </w:t>
      </w:r>
      <w:r w:rsidR="00967EC4" w:rsidRPr="00F71B40">
        <w:rPr>
          <w:rFonts w:cs="Times New Roman"/>
          <w:lang w:val="en-AU"/>
        </w:rPr>
        <w:t xml:space="preserve">programs that </w:t>
      </w:r>
      <w:r w:rsidR="00B10FD2" w:rsidRPr="00F71B40">
        <w:rPr>
          <w:rFonts w:cs="Times New Roman"/>
          <w:lang w:val="en-AU"/>
        </w:rPr>
        <w:t>acknowledge the centrality of the Constituency Development Funds.</w:t>
      </w:r>
      <w:r w:rsidR="00E256D6">
        <w:rPr>
          <w:rFonts w:cs="Times New Roman"/>
          <w:lang w:val="en-AU"/>
        </w:rPr>
        <w:t xml:space="preserve">  </w:t>
      </w:r>
      <w:r w:rsidR="00B10FD2" w:rsidRPr="00F71B40">
        <w:rPr>
          <w:rFonts w:cs="Times New Roman"/>
          <w:lang w:val="en-AU"/>
        </w:rPr>
        <w:t xml:space="preserve">As was noted in Section </w:t>
      </w:r>
      <w:r w:rsidR="0021192A" w:rsidRPr="00F71B40">
        <w:rPr>
          <w:rFonts w:cs="Times New Roman"/>
          <w:lang w:val="en-AU"/>
        </w:rPr>
        <w:fldChar w:fldCharType="begin"/>
      </w:r>
      <w:r w:rsidR="0021192A" w:rsidRPr="00F71B40">
        <w:rPr>
          <w:rFonts w:cs="Times New Roman"/>
          <w:lang w:val="en-AU"/>
        </w:rPr>
        <w:instrText xml:space="preserve"> REF _Ref396760154 \r \h </w:instrText>
      </w:r>
      <w:r w:rsidR="00D62A32" w:rsidRPr="00F71B40">
        <w:rPr>
          <w:rFonts w:cs="Times New Roman"/>
          <w:lang w:val="en-AU"/>
        </w:rPr>
        <w:instrText xml:space="preserve"> \* MERGEFORMAT </w:instrText>
      </w:r>
      <w:r w:rsidR="0021192A" w:rsidRPr="00F71B40">
        <w:rPr>
          <w:rFonts w:cs="Times New Roman"/>
          <w:lang w:val="en-AU"/>
        </w:rPr>
      </w:r>
      <w:r w:rsidR="0021192A" w:rsidRPr="00F71B40">
        <w:rPr>
          <w:rFonts w:cs="Times New Roman"/>
          <w:lang w:val="en-AU"/>
        </w:rPr>
        <w:fldChar w:fldCharType="separate"/>
      </w:r>
      <w:r w:rsidR="00EF43BE">
        <w:rPr>
          <w:rFonts w:cs="Times New Roman"/>
          <w:lang w:val="en-AU"/>
        </w:rPr>
        <w:t>2</w:t>
      </w:r>
      <w:r w:rsidR="0021192A" w:rsidRPr="00F71B40">
        <w:rPr>
          <w:rFonts w:cs="Times New Roman"/>
          <w:lang w:val="en-AU"/>
        </w:rPr>
        <w:fldChar w:fldCharType="end"/>
      </w:r>
      <w:r w:rsidR="00B10FD2" w:rsidRPr="00F71B40">
        <w:rPr>
          <w:rFonts w:cs="Times New Roman"/>
          <w:lang w:val="en-AU"/>
        </w:rPr>
        <w:fldChar w:fldCharType="begin"/>
      </w:r>
      <w:r w:rsidR="00B10FD2" w:rsidRPr="00F71B40">
        <w:rPr>
          <w:rFonts w:cs="Times New Roman"/>
          <w:lang w:val="en-AU"/>
        </w:rPr>
        <w:instrText xml:space="preserve"> REF _Ref396722536 \r \p \h </w:instrText>
      </w:r>
      <w:r w:rsidR="00D62A32" w:rsidRPr="00F71B40">
        <w:rPr>
          <w:rFonts w:cs="Times New Roman"/>
          <w:lang w:val="en-AU"/>
        </w:rPr>
        <w:instrText xml:space="preserve"> \* MERGEFORMAT </w:instrText>
      </w:r>
      <w:r w:rsidR="00B10FD2" w:rsidRPr="00F71B40">
        <w:rPr>
          <w:rFonts w:cs="Times New Roman"/>
          <w:lang w:val="en-AU"/>
        </w:rPr>
      </w:r>
      <w:r w:rsidR="00B10FD2" w:rsidRPr="00F71B40">
        <w:rPr>
          <w:rFonts w:cs="Times New Roman"/>
          <w:lang w:val="en-AU"/>
        </w:rPr>
        <w:fldChar w:fldCharType="separate"/>
      </w:r>
      <w:r w:rsidR="00EF43BE">
        <w:rPr>
          <w:rFonts w:cs="Times New Roman"/>
          <w:lang w:val="en-AU"/>
        </w:rPr>
        <w:t>b above</w:t>
      </w:r>
      <w:r w:rsidR="00B10FD2" w:rsidRPr="00F71B40">
        <w:rPr>
          <w:rFonts w:cs="Times New Roman"/>
          <w:lang w:val="en-AU"/>
        </w:rPr>
        <w:fldChar w:fldCharType="end"/>
      </w:r>
      <w:r w:rsidR="002D17EA" w:rsidRPr="00F71B40">
        <w:rPr>
          <w:rFonts w:cs="Times New Roman"/>
          <w:lang w:val="en-AU"/>
        </w:rPr>
        <w:t xml:space="preserve">, the nature of </w:t>
      </w:r>
      <w:r w:rsidR="008A6AC5" w:rsidRPr="00F71B40">
        <w:rPr>
          <w:rFonts w:cs="Times New Roman"/>
          <w:lang w:val="en-AU"/>
        </w:rPr>
        <w:t xml:space="preserve">de facto </w:t>
      </w:r>
      <w:r w:rsidR="002D17EA" w:rsidRPr="00F71B40">
        <w:rPr>
          <w:rFonts w:cs="Times New Roman"/>
          <w:lang w:val="en-AU"/>
        </w:rPr>
        <w:t>political accountability in the Solomon Islands is distinctive</w:t>
      </w:r>
      <w:r w:rsidR="008A6AC5" w:rsidRPr="00F71B40">
        <w:rPr>
          <w:rFonts w:cs="Times New Roman"/>
          <w:lang w:val="en-AU"/>
        </w:rPr>
        <w:t xml:space="preserve"> (see </w:t>
      </w:r>
      <w:r w:rsidR="008A6AC5" w:rsidRPr="00F71B40">
        <w:rPr>
          <w:rFonts w:cs="Times New Roman"/>
          <w:lang w:val="en-AU"/>
        </w:rPr>
        <w:fldChar w:fldCharType="begin"/>
      </w:r>
      <w:r w:rsidR="008A6AC5" w:rsidRPr="00F71B40">
        <w:rPr>
          <w:rFonts w:cs="Times New Roman"/>
          <w:lang w:val="en-AU"/>
        </w:rPr>
        <w:instrText xml:space="preserve"> REF _Ref396225484 \h  \* MERGEFORMAT </w:instrText>
      </w:r>
      <w:r w:rsidR="008A6AC5" w:rsidRPr="00F71B40">
        <w:rPr>
          <w:rFonts w:cs="Times New Roman"/>
          <w:lang w:val="en-AU"/>
        </w:rPr>
      </w:r>
      <w:r w:rsidR="008A6AC5" w:rsidRPr="00F71B40">
        <w:rPr>
          <w:rFonts w:cs="Times New Roman"/>
          <w:lang w:val="en-AU"/>
        </w:rPr>
        <w:fldChar w:fldCharType="separate"/>
      </w:r>
      <w:r w:rsidR="00EF43BE" w:rsidRPr="0098305E">
        <w:rPr>
          <w:rFonts w:cs="Times New Roman"/>
          <w:lang w:val="en-AU"/>
        </w:rPr>
        <w:t xml:space="preserve">Figure </w:t>
      </w:r>
      <w:r w:rsidR="00EF43BE" w:rsidRPr="006A70A3">
        <w:rPr>
          <w:rFonts w:cs="Times New Roman"/>
          <w:lang w:val="en-AU"/>
        </w:rPr>
        <w:t>2</w:t>
      </w:r>
      <w:r w:rsidR="008A6AC5" w:rsidRPr="00F71B40">
        <w:rPr>
          <w:rFonts w:cs="Times New Roman"/>
          <w:lang w:val="en-AU"/>
        </w:rPr>
        <w:fldChar w:fldCharType="end"/>
      </w:r>
      <w:r w:rsidR="008A6AC5" w:rsidRPr="00F71B40">
        <w:rPr>
          <w:rFonts w:cs="Times New Roman"/>
          <w:lang w:val="en-AU"/>
        </w:rPr>
        <w:t xml:space="preserve"> in particular).</w:t>
      </w:r>
      <w:r w:rsidR="00601291" w:rsidRPr="00F71B40">
        <w:rPr>
          <w:rFonts w:cs="Times New Roman"/>
          <w:lang w:val="en-AU"/>
        </w:rPr>
        <w:t xml:space="preserve">  However, as </w:t>
      </w:r>
      <w:r w:rsidR="00115AC9" w:rsidRPr="00F71B40">
        <w:rPr>
          <w:rFonts w:cs="Times New Roman"/>
          <w:lang w:val="en-AU"/>
        </w:rPr>
        <w:fldChar w:fldCharType="begin"/>
      </w:r>
      <w:r w:rsidR="00115AC9" w:rsidRPr="00F71B40">
        <w:rPr>
          <w:rFonts w:cs="Times New Roman"/>
          <w:lang w:val="en-AU"/>
        </w:rPr>
        <w:instrText xml:space="preserve"> ADDIN EN.CITE &lt;EndNote&gt;&lt;Cite&gt;&lt;Author&gt;Teskey&lt;/Author&gt;&lt;Year&gt;2013&lt;/Year&gt;&lt;RecNum&gt;4283&lt;/RecNum&gt;&lt;Suffix&gt;`, p. 4&lt;/Suffix&gt;&lt;DisplayText&gt;(Teskey, 2013a, p. 4)&lt;/DisplayText&gt;&lt;record&gt;&lt;rec-number&gt;4283&lt;/rec-number&gt;&lt;foreign-keys&gt;&lt;key app="EN" db-id="5v9z5rrdszvwsneef06v9dapsd0apdtfapdx" timestamp="1408475665"&gt;4283&lt;/key&gt;&lt;/foreign-keys&gt;&lt;ref-type name="Manuscript"&gt;36&lt;/ref-type&gt;&lt;contributors&gt;&lt;authors&gt;&lt;author&gt;Teskey, Graham&lt;/author&gt;&lt;/authors&gt;&lt;secondary-authors&gt;&lt;author&gt;DFAT&lt;/author&gt;&lt;/secondary-authors&gt;&lt;/contributors&gt;&lt;titles&gt;&lt;title&gt;Strengthening accountability in the Solomons&lt;/title&gt;&lt;/titles&gt;&lt;dates&gt;&lt;year&gt;2013&lt;/year&gt;&lt;/dates&gt;&lt;pub-location&gt;Canberra&lt;/pub-location&gt;&lt;urls&gt;&lt;/urls&gt;&lt;/record&gt;&lt;/Cite&gt;&lt;/EndNote&gt;</w:instrText>
      </w:r>
      <w:r w:rsidR="00115AC9" w:rsidRPr="00F71B40">
        <w:rPr>
          <w:rFonts w:cs="Times New Roman"/>
          <w:lang w:val="en-AU"/>
        </w:rPr>
        <w:fldChar w:fldCharType="separate"/>
      </w:r>
      <w:r w:rsidR="00115AC9" w:rsidRPr="00F71B40">
        <w:rPr>
          <w:rFonts w:cs="Times New Roman"/>
          <w:lang w:val="en-AU"/>
        </w:rPr>
        <w:t>(</w:t>
      </w:r>
      <w:hyperlink w:anchor="_ENREF_139" w:tooltip="Teskey, 2013 #4283" w:history="1">
        <w:r w:rsidR="00CC56DB" w:rsidRPr="00F71B40">
          <w:rPr>
            <w:rFonts w:cs="Times New Roman"/>
            <w:lang w:val="en-AU"/>
          </w:rPr>
          <w:t>Teskey, 2013a, p. 4</w:t>
        </w:r>
      </w:hyperlink>
      <w:r w:rsidR="00115AC9" w:rsidRPr="00F71B40">
        <w:rPr>
          <w:rFonts w:cs="Times New Roman"/>
          <w:lang w:val="en-AU"/>
        </w:rPr>
        <w:t>)</w:t>
      </w:r>
      <w:r w:rsidR="00115AC9" w:rsidRPr="00F71B40">
        <w:rPr>
          <w:rFonts w:cs="Times New Roman"/>
          <w:lang w:val="en-AU"/>
        </w:rPr>
        <w:fldChar w:fldCharType="end"/>
      </w:r>
      <w:r w:rsidR="00601291" w:rsidRPr="00F71B40">
        <w:rPr>
          <w:rFonts w:cs="Times New Roman"/>
          <w:lang w:val="en-AU"/>
        </w:rPr>
        <w:t xml:space="preserve"> concludes, saying that </w:t>
      </w:r>
      <w:r w:rsidR="00967EC4" w:rsidRPr="00F71B40">
        <w:rPr>
          <w:rFonts w:cs="Times New Roman"/>
          <w:lang w:val="en-AU"/>
        </w:rPr>
        <w:t xml:space="preserve">this must stop </w:t>
      </w:r>
      <w:r w:rsidR="00601291" w:rsidRPr="00F71B40">
        <w:rPr>
          <w:rFonts w:cs="Times New Roman"/>
          <w:lang w:val="en-AU"/>
        </w:rPr>
        <w:t>is implausible and even ensuring that</w:t>
      </w:r>
      <w:r w:rsidR="00967EC4" w:rsidRPr="00F71B40">
        <w:rPr>
          <w:rFonts w:cs="Times New Roman"/>
          <w:lang w:val="en-AU"/>
        </w:rPr>
        <w:t xml:space="preserve"> the transparency and accountability provisions of the new CDF </w:t>
      </w:r>
      <w:r w:rsidR="00601291" w:rsidRPr="00F71B40">
        <w:rPr>
          <w:rFonts w:cs="Times New Roman"/>
          <w:lang w:val="en-AU"/>
        </w:rPr>
        <w:t xml:space="preserve">are </w:t>
      </w:r>
      <w:r w:rsidR="00967EC4" w:rsidRPr="00F71B40">
        <w:rPr>
          <w:rFonts w:cs="Times New Roman"/>
          <w:lang w:val="en-AU"/>
        </w:rPr>
        <w:t>implemented</w:t>
      </w:r>
      <w:r w:rsidR="00601291" w:rsidRPr="00F71B40">
        <w:rPr>
          <w:rFonts w:cs="Times New Roman"/>
          <w:lang w:val="en-AU"/>
        </w:rPr>
        <w:t xml:space="preserve"> is a stretch.  </w:t>
      </w:r>
      <w:r w:rsidR="00302B64" w:rsidRPr="00F71B40">
        <w:rPr>
          <w:rFonts w:cs="Times New Roman"/>
          <w:lang w:val="en-AU"/>
        </w:rPr>
        <w:t xml:space="preserve">Offering additional funds for CDF purposes, on condition that they are used for supplementing and earmarking line ministry or provincial government budgets for expenditure in the constituency, or for community development activities including those being implemented through the current Rural Development Fund (RDF), could provide a means to enhance service delivery which works with the grain of the current political incentives.  </w:t>
      </w:r>
      <w:r w:rsidR="00784F7A" w:rsidRPr="00F71B40">
        <w:rPr>
          <w:rFonts w:cs="Times New Roman"/>
          <w:lang w:val="en-AU"/>
        </w:rPr>
        <w:t xml:space="preserve">A similar point was made by </w:t>
      </w:r>
      <w:r w:rsidR="00115AC9" w:rsidRPr="00F71B40">
        <w:rPr>
          <w:rFonts w:cs="Times New Roman"/>
          <w:lang w:val="en-AU"/>
        </w:rPr>
        <w:fldChar w:fldCharType="begin"/>
      </w:r>
      <w:r w:rsidR="00115AC9" w:rsidRPr="00F71B40">
        <w:rPr>
          <w:rFonts w:cs="Times New Roman"/>
          <w:lang w:val="en-AU"/>
        </w:rPr>
        <w:instrText xml:space="preserve"> ADDIN EN.CITE &lt;EndNote&gt;&lt;Cite&gt;&lt;Author&gt;Brigg&lt;/Author&gt;&lt;Year&gt;2009&lt;/Year&gt;&lt;RecNum&gt;4310&lt;/RecNum&gt;&lt;Suffix&gt;`, p157-8&lt;/Suffix&gt;&lt;DisplayText&gt;(Brigg, 2009, p157-8)&lt;/DisplayText&gt;&lt;record&gt;&lt;rec-number&gt;4310&lt;/rec-number&gt;&lt;foreign-keys&gt;&lt;key app="EN" db-id="5v9z5rrdszvwsneef06v9dapsd0apdtfapdx" timestamp="1408655167"&gt;4310&lt;/key&gt;&lt;/foreign-keys&gt;&lt;ref-type name="Journal Article"&gt;17&lt;/ref-type&gt;&lt;contributors&gt;&lt;authors&gt;&lt;author&gt;Morgan Brigg&lt;/author&gt;&lt;/authors&gt;&lt;/contributors&gt;&lt;titles&gt;&lt;title&gt;Wantokism and state building in Solomon Islands: a response to Fukuyama&lt;/title&gt;&lt;secondary-title&gt;Pacific Economic Bulletin&lt;/secondary-title&gt;&lt;/titles&gt;&lt;pages&gt;148-161&lt;/pages&gt;&lt;volume&gt;24&lt;/volume&gt;&lt;number&gt;3&lt;/number&gt;&lt;dates&gt;&lt;year&gt;2009&lt;/year&gt;&lt;/dates&gt;&lt;urls&gt;&lt;/urls&gt;&lt;/record&gt;&lt;/Cite&gt;&lt;/EndNote&gt;</w:instrText>
      </w:r>
      <w:r w:rsidR="00115AC9" w:rsidRPr="00F71B40">
        <w:rPr>
          <w:rFonts w:cs="Times New Roman"/>
          <w:lang w:val="en-AU"/>
        </w:rPr>
        <w:fldChar w:fldCharType="separate"/>
      </w:r>
      <w:r w:rsidR="00115AC9" w:rsidRPr="00F71B40">
        <w:rPr>
          <w:rFonts w:cs="Times New Roman"/>
          <w:lang w:val="en-AU"/>
        </w:rPr>
        <w:t>(</w:t>
      </w:r>
      <w:hyperlink w:anchor="_ENREF_28" w:tooltip="Brigg, 2009 #4310" w:history="1">
        <w:r w:rsidR="00CC56DB" w:rsidRPr="00F71B40">
          <w:rPr>
            <w:rFonts w:cs="Times New Roman"/>
            <w:lang w:val="en-AU"/>
          </w:rPr>
          <w:t>Brigg, 2009, p157-8</w:t>
        </w:r>
      </w:hyperlink>
      <w:r w:rsidR="00115AC9" w:rsidRPr="00F71B40">
        <w:rPr>
          <w:rFonts w:cs="Times New Roman"/>
          <w:lang w:val="en-AU"/>
        </w:rPr>
        <w:t>)</w:t>
      </w:r>
      <w:r w:rsidR="00115AC9" w:rsidRPr="00F71B40">
        <w:rPr>
          <w:rFonts w:cs="Times New Roman"/>
          <w:lang w:val="en-AU"/>
        </w:rPr>
        <w:fldChar w:fldCharType="end"/>
      </w:r>
      <w:r w:rsidR="00784F7A" w:rsidRPr="00F71B40">
        <w:rPr>
          <w:rFonts w:cs="Times New Roman"/>
          <w:lang w:val="en-AU"/>
        </w:rPr>
        <w:t xml:space="preserve"> who suggested that “</w:t>
      </w:r>
      <w:r w:rsidR="00967EC4" w:rsidRPr="00F71B40">
        <w:rPr>
          <w:rFonts w:cs="Times New Roman"/>
          <w:lang w:val="en-AU"/>
        </w:rPr>
        <w:t>as part of</w:t>
      </w:r>
      <w:r w:rsidR="00784F7A" w:rsidRPr="00F71B40">
        <w:rPr>
          <w:rFonts w:cs="Times New Roman"/>
          <w:lang w:val="en-AU"/>
        </w:rPr>
        <w:t xml:space="preserve"> </w:t>
      </w:r>
      <w:r w:rsidR="00967EC4" w:rsidRPr="00F71B40">
        <w:rPr>
          <w:rFonts w:cs="Times New Roman"/>
          <w:lang w:val="en-AU"/>
        </w:rPr>
        <w:t>a national wantokism political participation</w:t>
      </w:r>
      <w:r w:rsidR="00784F7A" w:rsidRPr="00F71B40">
        <w:rPr>
          <w:rFonts w:cs="Times New Roman"/>
          <w:lang w:val="en-AU"/>
        </w:rPr>
        <w:t xml:space="preserve"> </w:t>
      </w:r>
      <w:r w:rsidR="00967EC4" w:rsidRPr="00F71B40">
        <w:rPr>
          <w:rFonts w:cs="Times New Roman"/>
          <w:lang w:val="en-AU"/>
        </w:rPr>
        <w:t>and decentralisation initiative</w:t>
      </w:r>
      <w:r w:rsidR="00784F7A" w:rsidRPr="00F71B40">
        <w:rPr>
          <w:rFonts w:cs="Times New Roman"/>
          <w:lang w:val="en-AU"/>
        </w:rPr>
        <w:t>” it might be possible “</w:t>
      </w:r>
      <w:r w:rsidR="00967EC4" w:rsidRPr="00F71B40">
        <w:rPr>
          <w:rFonts w:cs="Times New Roman"/>
          <w:lang w:val="en-AU"/>
        </w:rPr>
        <w:t>to involve</w:t>
      </w:r>
      <w:r w:rsidR="00784F7A" w:rsidRPr="00F71B40">
        <w:rPr>
          <w:rFonts w:cs="Times New Roman"/>
          <w:lang w:val="en-AU"/>
        </w:rPr>
        <w:t xml:space="preserve"> </w:t>
      </w:r>
      <w:r w:rsidR="00967EC4" w:rsidRPr="00F71B40">
        <w:rPr>
          <w:rFonts w:cs="Times New Roman"/>
          <w:lang w:val="en-AU"/>
        </w:rPr>
        <w:t>and facilitate local constituents to</w:t>
      </w:r>
      <w:r w:rsidR="00784F7A" w:rsidRPr="00F71B40">
        <w:rPr>
          <w:rFonts w:cs="Times New Roman"/>
          <w:lang w:val="en-AU"/>
        </w:rPr>
        <w:t xml:space="preserve"> </w:t>
      </w:r>
      <w:r w:rsidR="00967EC4" w:rsidRPr="00F71B40">
        <w:rPr>
          <w:rFonts w:cs="Times New Roman"/>
          <w:lang w:val="en-AU"/>
        </w:rPr>
        <w:t>develop and propose a transparent and</w:t>
      </w:r>
      <w:r w:rsidR="00784F7A" w:rsidRPr="00F71B40">
        <w:rPr>
          <w:rFonts w:cs="Times New Roman"/>
          <w:lang w:val="en-AU"/>
        </w:rPr>
        <w:t xml:space="preserve"> </w:t>
      </w:r>
      <w:r w:rsidR="00967EC4" w:rsidRPr="00F71B40">
        <w:rPr>
          <w:rFonts w:cs="Times New Roman"/>
          <w:lang w:val="en-AU"/>
        </w:rPr>
        <w:t>community-</w:t>
      </w:r>
      <w:r w:rsidR="00784F7A" w:rsidRPr="00F71B40">
        <w:rPr>
          <w:rFonts w:cs="Times New Roman"/>
          <w:lang w:val="en-AU"/>
        </w:rPr>
        <w:t>a</w:t>
      </w:r>
      <w:r w:rsidR="00967EC4" w:rsidRPr="00F71B40">
        <w:rPr>
          <w:rFonts w:cs="Times New Roman"/>
          <w:lang w:val="en-AU"/>
        </w:rPr>
        <w:t>ccountable decision-making</w:t>
      </w:r>
      <w:r w:rsidR="00784F7A" w:rsidRPr="00F71B40">
        <w:rPr>
          <w:rFonts w:cs="Times New Roman"/>
          <w:lang w:val="en-AU"/>
        </w:rPr>
        <w:t xml:space="preserve"> </w:t>
      </w:r>
      <w:r w:rsidR="00967EC4" w:rsidRPr="00F71B40">
        <w:rPr>
          <w:rFonts w:cs="Times New Roman"/>
          <w:lang w:val="en-AU"/>
        </w:rPr>
        <w:t>process for the distribution of the RCDF</w:t>
      </w:r>
      <w:r w:rsidR="00784F7A" w:rsidRPr="00F71B40">
        <w:rPr>
          <w:rFonts w:cs="Times New Roman"/>
          <w:lang w:val="en-AU"/>
        </w:rPr>
        <w:t xml:space="preserve"> (the then Rural Constituency Development Fund)… </w:t>
      </w:r>
      <w:r w:rsidR="00784F7A" w:rsidRPr="00F71B40">
        <w:rPr>
          <w:rFonts w:cs="Times New Roman"/>
          <w:lang w:val="en-AU"/>
        </w:rPr>
        <w:lastRenderedPageBreak/>
        <w:t xml:space="preserve">(although) (t)he </w:t>
      </w:r>
      <w:r w:rsidR="00967EC4" w:rsidRPr="00F71B40">
        <w:rPr>
          <w:rFonts w:cs="Times New Roman"/>
          <w:lang w:val="en-AU"/>
        </w:rPr>
        <w:t>idea of drawing on wantokism for</w:t>
      </w:r>
      <w:r w:rsidR="00784F7A" w:rsidRPr="00F71B40">
        <w:rPr>
          <w:rFonts w:cs="Times New Roman"/>
          <w:lang w:val="en-AU"/>
        </w:rPr>
        <w:t xml:space="preserve"> </w:t>
      </w:r>
      <w:r w:rsidR="00967EC4" w:rsidRPr="00F71B40">
        <w:rPr>
          <w:rFonts w:cs="Times New Roman"/>
          <w:lang w:val="en-AU"/>
        </w:rPr>
        <w:t>nation building and good governance is</w:t>
      </w:r>
      <w:r w:rsidR="00784F7A" w:rsidRPr="00F71B40">
        <w:rPr>
          <w:rFonts w:cs="Times New Roman"/>
          <w:lang w:val="en-AU"/>
        </w:rPr>
        <w:t xml:space="preserve"> </w:t>
      </w:r>
      <w:r w:rsidR="00967EC4" w:rsidRPr="00F71B40">
        <w:rPr>
          <w:rFonts w:cs="Times New Roman"/>
          <w:lang w:val="en-AU"/>
        </w:rPr>
        <w:t>no doubt provocative and likely to attract</w:t>
      </w:r>
      <w:r w:rsidR="00784F7A" w:rsidRPr="00F71B40">
        <w:rPr>
          <w:rFonts w:cs="Times New Roman"/>
          <w:lang w:val="en-AU"/>
        </w:rPr>
        <w:t xml:space="preserve"> </w:t>
      </w:r>
      <w:r w:rsidR="00967EC4" w:rsidRPr="00F71B40">
        <w:rPr>
          <w:rFonts w:cs="Times New Roman"/>
          <w:lang w:val="en-AU"/>
        </w:rPr>
        <w:t xml:space="preserve">objections.” </w:t>
      </w:r>
    </w:p>
    <w:p w:rsidR="00897688" w:rsidRPr="00F71B40" w:rsidRDefault="00897688" w:rsidP="00D62A32">
      <w:pPr>
        <w:rPr>
          <w:rFonts w:cs="Times New Roman"/>
          <w:lang w:val="en-AU"/>
        </w:rPr>
      </w:pPr>
    </w:p>
    <w:p w:rsidR="008246F0" w:rsidRPr="00F71B40" w:rsidRDefault="00897688" w:rsidP="00D62A32">
      <w:pPr>
        <w:rPr>
          <w:rFonts w:cs="Times New Roman"/>
          <w:lang w:val="en-AU"/>
        </w:rPr>
      </w:pPr>
      <w:r w:rsidRPr="00F71B40">
        <w:rPr>
          <w:rFonts w:cs="Times New Roman"/>
          <w:lang w:val="en-AU"/>
        </w:rPr>
        <w:t xml:space="preserve">A recent review of community-driven development projects </w:t>
      </w:r>
      <w:r w:rsidR="00115AC9" w:rsidRPr="00F71B40">
        <w:rPr>
          <w:rFonts w:cs="Times New Roman"/>
          <w:lang w:val="en-AU"/>
        </w:rPr>
        <w:fldChar w:fldCharType="begin"/>
      </w:r>
      <w:r w:rsidR="00115AC9" w:rsidRPr="00F71B40">
        <w:rPr>
          <w:rFonts w:cs="Times New Roman"/>
          <w:lang w:val="en-AU"/>
        </w:rPr>
        <w:instrText xml:space="preserve"> ADDIN EN.CITE &lt;EndNote&gt;&lt;Cite&gt;&lt;Author&gt;Mansuri&lt;/Author&gt;&lt;Year&gt;2012&lt;/Year&gt;&lt;RecNum&gt;3816&lt;/RecNum&gt;&lt;DisplayText&gt;(Mansuri &amp;amp; Rao, 2012)&lt;/DisplayText&gt;&lt;record&gt;&lt;rec-number&gt;3816&lt;/rec-number&gt;&lt;foreign-keys&gt;&lt;key app="EN" db-id="5v9z5rrdszvwsneef06v9dapsd0apdtfapdx" timestamp="0"&gt;3816&lt;/key&gt;&lt;/foreign-keys&gt;&lt;ref-type name="Edited Book"&gt;28&lt;/ref-type&gt;&lt;contributors&gt;&lt;authors&gt;&lt;author&gt;Ghazala Mansuri&lt;/author&gt;&lt;author&gt;Vijayendra Rao&lt;/author&gt;&lt;/authors&gt;&lt;/contributors&gt;&lt;titles&gt;&lt;title&gt;Localizing Development: Does Participation Work?&lt;/title&gt;&lt;/titles&gt;&lt;dates&gt;&lt;year&gt;2012&lt;/year&gt;&lt;/dates&gt;&lt;pub-location&gt;Washington DC&lt;/pub-location&gt;&lt;publisher&gt;World Bank&lt;/publisher&gt;&lt;urls&gt;&lt;/urls&gt;&lt;/record&gt;&lt;/Cite&gt;&lt;/EndNote&gt;</w:instrText>
      </w:r>
      <w:r w:rsidR="00115AC9" w:rsidRPr="00F71B40">
        <w:rPr>
          <w:rFonts w:cs="Times New Roman"/>
          <w:lang w:val="en-AU"/>
        </w:rPr>
        <w:fldChar w:fldCharType="separate"/>
      </w:r>
      <w:r w:rsidR="00115AC9" w:rsidRPr="00F71B40">
        <w:rPr>
          <w:rFonts w:cs="Times New Roman"/>
          <w:lang w:val="en-AU"/>
        </w:rPr>
        <w:t>(</w:t>
      </w:r>
      <w:hyperlink w:anchor="_ENREF_102" w:tooltip="Mansuri, 2012 #3816" w:history="1">
        <w:r w:rsidR="00CC56DB" w:rsidRPr="00F71B40">
          <w:rPr>
            <w:rFonts w:cs="Times New Roman"/>
            <w:lang w:val="en-AU"/>
          </w:rPr>
          <w:t>Mansuri &amp; Rao, 2012</w:t>
        </w:r>
      </w:hyperlink>
      <w:r w:rsidR="00115AC9" w:rsidRPr="00F71B40">
        <w:rPr>
          <w:rFonts w:cs="Times New Roman"/>
          <w:lang w:val="en-AU"/>
        </w:rPr>
        <w:t>)</w:t>
      </w:r>
      <w:r w:rsidR="00115AC9" w:rsidRPr="00F71B40">
        <w:rPr>
          <w:rFonts w:cs="Times New Roman"/>
          <w:lang w:val="en-AU"/>
        </w:rPr>
        <w:fldChar w:fldCharType="end"/>
      </w:r>
      <w:r w:rsidRPr="00F71B40">
        <w:rPr>
          <w:rFonts w:cs="Times New Roman"/>
          <w:lang w:val="en-AU"/>
        </w:rPr>
        <w:t xml:space="preserve">  has found </w:t>
      </w:r>
      <w:r w:rsidR="00B31756" w:rsidRPr="00F71B40">
        <w:rPr>
          <w:rFonts w:cs="Times New Roman"/>
          <w:lang w:val="en-AU"/>
        </w:rPr>
        <w:t>that they can be effective when they builds on existing community groupings, when they are well-supported by technical experts and they are driven conditioned by a culture of “learning by doing”.</w:t>
      </w:r>
    </w:p>
    <w:p w:rsidR="00653491" w:rsidRPr="00F71B40" w:rsidRDefault="00653491" w:rsidP="00D62A32">
      <w:pPr>
        <w:rPr>
          <w:lang w:val="en-AU"/>
        </w:rPr>
      </w:pPr>
    </w:p>
    <w:p w:rsidR="00077685" w:rsidRPr="00F71B40" w:rsidRDefault="00077685" w:rsidP="00D62A32">
      <w:pPr>
        <w:pStyle w:val="Heading4"/>
      </w:pPr>
      <w:r w:rsidRPr="00F71B40">
        <w:t>Cautiously explore demand-side possibilities</w:t>
      </w:r>
    </w:p>
    <w:p w:rsidR="00077685" w:rsidRPr="00F71B40" w:rsidRDefault="00077685" w:rsidP="00D62A32">
      <w:pPr>
        <w:pStyle w:val="ListParagraph"/>
        <w:rPr>
          <w:lang w:val="en-AU"/>
        </w:rPr>
      </w:pPr>
    </w:p>
    <w:p w:rsidR="00BC49C8" w:rsidRDefault="00BC49C8" w:rsidP="00D62A32">
      <w:pPr>
        <w:rPr>
          <w:rFonts w:cs="Times New Roman"/>
          <w:lang w:val="en-AU"/>
        </w:rPr>
      </w:pPr>
      <w:r w:rsidRPr="00F71B40">
        <w:rPr>
          <w:lang w:val="en-AU"/>
        </w:rPr>
        <w:t>There is also scope for some experimentation, again carefully negotiated with sector colleagues, concerning the potential of demand-side approaches to supplement central agency reforms such as that proposed in t</w:t>
      </w:r>
      <w:r w:rsidRPr="00F71B40">
        <w:rPr>
          <w:rFonts w:cs="Times New Roman"/>
          <w:lang w:val="en-AU"/>
        </w:rPr>
        <w:t xml:space="preserve">he emerging Communication and Community Outreach Strategy </w:t>
      </w:r>
      <w:r w:rsidRPr="00F71B40">
        <w:rPr>
          <w:rFonts w:cs="Times New Roman"/>
          <w:lang w:val="en-AU"/>
        </w:rPr>
        <w:fldChar w:fldCharType="begin"/>
      </w:r>
      <w:r>
        <w:rPr>
          <w:rFonts w:cs="Times New Roman"/>
          <w:lang w:val="en-AU"/>
        </w:rPr>
        <w:instrText xml:space="preserve"> ADDIN EN.CITE &lt;EndNote&gt;&lt;Cite&gt;&lt;Author&gt;Office of Auditor General&lt;/Author&gt;&lt;Year&gt;2014&lt;/Year&gt;&lt;RecNum&gt;4318&lt;/RecNum&gt;&lt;DisplayText&gt;(Office of Auditor General, Leadership Code Commission, Office of the Ombudsman, &amp;amp; DFAT, 2014)&lt;/DisplayText&gt;&lt;record&gt;&lt;rec-number&gt;4318&lt;/rec-number&gt;&lt;foreign-keys&gt;&lt;key app="EN" db-id="5v9z5rrdszvwsneef06v9dapsd0apdtfapdx" timestamp="1408726862"&gt;4318&lt;/key&gt;&lt;/foreign-keys&gt;&lt;ref-type name="Manuscript"&gt;36&lt;/ref-type&gt;&lt;contributors&gt;&lt;authors&gt;&lt;author&gt;Office of Auditor General,&lt;/author&gt;&lt;author&gt;Leadership Code Commission,&lt;/author&gt;&lt;author&gt;Office of the Ombudsman,&lt;/author&gt;&lt;author&gt;DFAT,&lt;/author&gt;&lt;/authors&gt;&lt;secondary-authors&gt;&lt;author&gt;Office of Auditor General, Leadership Code Commission, Office of the Ombudsman and DFAT&lt;/author&gt;&lt;/secondary-authors&gt;&lt;/contributors&gt;&lt;titles&gt;&lt;title&gt;Communication Outreach Strategy&lt;/title&gt;&lt;/titles&gt;&lt;dates&gt;&lt;year&gt;2014&lt;/year&gt;&lt;/dates&gt;&lt;urls&gt;&lt;/urls&gt;&lt;/record&gt;&lt;/Cite&gt;&lt;/EndNote&gt;</w:instrText>
      </w:r>
      <w:r w:rsidRPr="00F71B40">
        <w:rPr>
          <w:rFonts w:cs="Times New Roman"/>
          <w:lang w:val="en-AU"/>
        </w:rPr>
        <w:fldChar w:fldCharType="separate"/>
      </w:r>
      <w:r>
        <w:rPr>
          <w:rFonts w:cs="Times New Roman"/>
          <w:noProof/>
          <w:lang w:val="en-AU"/>
        </w:rPr>
        <w:t>(</w:t>
      </w:r>
      <w:hyperlink w:anchor="_ENREF_115" w:tooltip="Office of Auditor General, 2014 #4318" w:history="1">
        <w:r w:rsidR="00CC56DB">
          <w:rPr>
            <w:rFonts w:cs="Times New Roman"/>
            <w:noProof/>
            <w:lang w:val="en-AU"/>
          </w:rPr>
          <w:t>Office of Auditor General, Leadership Code Commission, Office of the Ombudsman, &amp; DFAT, 2014</w:t>
        </w:r>
      </w:hyperlink>
      <w:r>
        <w:rPr>
          <w:rFonts w:cs="Times New Roman"/>
          <w:noProof/>
          <w:lang w:val="en-AU"/>
        </w:rPr>
        <w:t>)</w:t>
      </w:r>
      <w:r w:rsidRPr="00F71B40">
        <w:rPr>
          <w:rFonts w:cs="Times New Roman"/>
          <w:lang w:val="en-AU"/>
        </w:rPr>
        <w:fldChar w:fldCharType="end"/>
      </w:r>
      <w:r w:rsidRPr="00F71B40">
        <w:rPr>
          <w:rFonts w:cs="Times New Roman"/>
          <w:lang w:val="en-AU"/>
        </w:rPr>
        <w:t>.</w:t>
      </w:r>
      <w:r w:rsidR="000C511D">
        <w:rPr>
          <w:rFonts w:cs="Times New Roman"/>
          <w:lang w:val="en-AU"/>
        </w:rPr>
        <w:t xml:space="preserve">  A more active program of experimentation might enliven an aspect of the program which currently seems to lack momentum.</w:t>
      </w:r>
    </w:p>
    <w:p w:rsidR="00BC49C8" w:rsidRDefault="00BC49C8" w:rsidP="00D62A32">
      <w:pPr>
        <w:rPr>
          <w:rFonts w:cs="Times New Roman"/>
          <w:lang w:val="en-AU"/>
        </w:rPr>
      </w:pPr>
    </w:p>
    <w:p w:rsidR="00BC49C8" w:rsidRPr="003F0C47" w:rsidRDefault="00BC49C8" w:rsidP="006A70A3">
      <w:pPr>
        <w:pStyle w:val="Heading5"/>
      </w:pPr>
      <w:r w:rsidRPr="003F0C47">
        <w:t>Citizen demand-side possibilities</w:t>
      </w:r>
    </w:p>
    <w:p w:rsidR="00BC49C8" w:rsidRDefault="00BC49C8" w:rsidP="00D62A32">
      <w:pPr>
        <w:rPr>
          <w:rFonts w:cs="Times New Roman"/>
          <w:lang w:val="en-AU"/>
        </w:rPr>
      </w:pPr>
    </w:p>
    <w:p w:rsidR="00B83B6C" w:rsidRDefault="00B83B6C" w:rsidP="00D62A32">
      <w:pPr>
        <w:rPr>
          <w:lang w:val="en-AU"/>
        </w:rPr>
      </w:pPr>
      <w:r w:rsidRPr="00F71B40">
        <w:rPr>
          <w:lang w:val="en-AU"/>
        </w:rPr>
        <w:t xml:space="preserve">While seemingly attractive, the evidence </w:t>
      </w:r>
      <w:r w:rsidR="00BC49C8">
        <w:rPr>
          <w:lang w:val="en-AU"/>
        </w:rPr>
        <w:t xml:space="preserve">concerning the impact of citizen demand-side efforts </w:t>
      </w:r>
      <w:r w:rsidRPr="00F71B40">
        <w:rPr>
          <w:lang w:val="en-AU"/>
        </w:rPr>
        <w:t xml:space="preserve">suggests </w:t>
      </w:r>
      <w:r w:rsidR="00CC56DB">
        <w:rPr>
          <w:lang w:val="en-AU"/>
        </w:rPr>
        <w:t xml:space="preserve">that while experimentation is essential, </w:t>
      </w:r>
      <w:r w:rsidRPr="00F71B40">
        <w:rPr>
          <w:lang w:val="en-AU"/>
        </w:rPr>
        <w:t xml:space="preserve">some caution is necessary.  </w:t>
      </w:r>
      <w:r w:rsidR="00DF1EAA" w:rsidRPr="00F71B40">
        <w:rPr>
          <w:lang w:val="en-AU"/>
        </w:rPr>
        <w:t>Research indicates</w:t>
      </w:r>
      <w:r w:rsidR="00DF1EAA">
        <w:rPr>
          <w:lang w:val="en-AU"/>
        </w:rPr>
        <w:t>, for example,</w:t>
      </w:r>
      <w:r w:rsidR="00DF1EAA" w:rsidRPr="00F71B40">
        <w:rPr>
          <w:lang w:val="en-AU"/>
        </w:rPr>
        <w:t xml:space="preserve"> that </w:t>
      </w:r>
      <w:r w:rsidR="00DF1EAA">
        <w:rPr>
          <w:lang w:val="en-AU"/>
        </w:rPr>
        <w:t xml:space="preserve">public information given </w:t>
      </w:r>
      <w:r w:rsidR="00DD558F">
        <w:rPr>
          <w:lang w:val="en-AU"/>
        </w:rPr>
        <w:t>by</w:t>
      </w:r>
      <w:r w:rsidR="00967EC4" w:rsidRPr="00F71B40">
        <w:rPr>
          <w:lang w:val="en-AU"/>
        </w:rPr>
        <w:t xml:space="preserve"> radio can help in changing political competition from clientelist strategies towards more programmatic concerns to improve public service delivery in general – but only if the programming content emphasizes the trade</w:t>
      </w:r>
      <w:r w:rsidR="00961C8E" w:rsidRPr="00F71B40">
        <w:rPr>
          <w:lang w:val="en-AU"/>
        </w:rPr>
        <w:t>-</w:t>
      </w:r>
      <w:r w:rsidR="00967EC4" w:rsidRPr="00F71B40">
        <w:rPr>
          <w:lang w:val="en-AU"/>
        </w:rPr>
        <w:t>off between individual benefits and public goods.</w:t>
      </w:r>
      <w:r w:rsidR="00E256D6">
        <w:rPr>
          <w:lang w:val="en-AU"/>
        </w:rPr>
        <w:t xml:space="preserve">  </w:t>
      </w:r>
      <w:r w:rsidR="00967EC4" w:rsidRPr="00F71B40">
        <w:rPr>
          <w:lang w:val="en-AU"/>
        </w:rPr>
        <w:t>If the programming simply emphasizes the importance of, say, education then the result is that parents are more concerned about education for their children, but respond to appeals by politicians that they will help them obtain better education through private, clientilistic strategies such as helping to pay some parents’ school fees and not b</w:t>
      </w:r>
      <w:r w:rsidR="0090675C">
        <w:rPr>
          <w:lang w:val="en-AU"/>
        </w:rPr>
        <w:t>y</w:t>
      </w:r>
      <w:r w:rsidR="00967EC4" w:rsidRPr="00F71B40">
        <w:rPr>
          <w:lang w:val="en-AU"/>
        </w:rPr>
        <w:t xml:space="preserve"> improving public schools </w:t>
      </w:r>
      <w:r w:rsidR="00115AC9" w:rsidRPr="00F71B40">
        <w:rPr>
          <w:lang w:val="en-AU"/>
        </w:rPr>
        <w:fldChar w:fldCharType="begin"/>
      </w:r>
      <w:r w:rsidR="00115AC9" w:rsidRPr="00F71B40">
        <w:rPr>
          <w:lang w:val="en-AU"/>
        </w:rPr>
        <w:instrText xml:space="preserve"> ADDIN EN.CITE &lt;EndNote&gt;&lt;Cite&gt;&lt;Author&gt;Keefer&lt;/Author&gt;&lt;Year&gt;2014&lt;/Year&gt;&lt;RecNum&gt;4246&lt;/RecNum&gt;&lt;DisplayText&gt;(Keefer &amp;amp; Khemani, 2014)&lt;/DisplayText&gt;&lt;record&gt;&lt;rec-number&gt;4246&lt;/rec-number&gt;&lt;foreign-keys&gt;&lt;key app="EN" db-id="5v9z5rrdszvwsneef06v9dapsd0apdtfapdx" timestamp="1408292222"&gt;4246&lt;/key&gt;&lt;/foreign-keys&gt;&lt;ref-type name="Report"&gt;27&lt;/ref-type&gt;&lt;contributors&gt;&lt;authors&gt;&lt;author&gt;Philip Keefer&lt;/author&gt;&lt;author&gt;Stuti Khemani&lt;/author&gt;&lt;/authors&gt;&lt;/contributors&gt;&lt;titles&gt;&lt;title&gt;Radio’s Impact on Preferences for Patronage Benefits (Policy Research Working Paper 6932)&lt;/title&gt;&lt;/titles&gt;&lt;dates&gt;&lt;year&gt;2014&lt;/year&gt;&lt;/dates&gt;&lt;pub-location&gt;Washington, DC&lt;/pub-location&gt;&lt;publisher&gt;World Bank&lt;/publisher&gt;&lt;urls&gt;&lt;/urls&gt;&lt;/record&gt;&lt;/Cite&gt;&lt;/EndNote&gt;</w:instrText>
      </w:r>
      <w:r w:rsidR="00115AC9" w:rsidRPr="00F71B40">
        <w:rPr>
          <w:lang w:val="en-AU"/>
        </w:rPr>
        <w:fldChar w:fldCharType="separate"/>
      </w:r>
      <w:r w:rsidR="00115AC9" w:rsidRPr="00F71B40">
        <w:rPr>
          <w:lang w:val="en-AU"/>
        </w:rPr>
        <w:t>(</w:t>
      </w:r>
      <w:hyperlink w:anchor="_ENREF_85" w:tooltip="Keefer, 2014 #4246" w:history="1">
        <w:r w:rsidR="00CC56DB" w:rsidRPr="00F71B40">
          <w:rPr>
            <w:lang w:val="en-AU"/>
          </w:rPr>
          <w:t>Keefer &amp; Khemani, 2014</w:t>
        </w:r>
      </w:hyperlink>
      <w:r w:rsidR="00115AC9" w:rsidRPr="00F71B40">
        <w:rPr>
          <w:lang w:val="en-AU"/>
        </w:rPr>
        <w:t>)</w:t>
      </w:r>
      <w:r w:rsidR="00115AC9" w:rsidRPr="00F71B40">
        <w:rPr>
          <w:lang w:val="en-AU"/>
        </w:rPr>
        <w:fldChar w:fldCharType="end"/>
      </w:r>
      <w:r w:rsidR="00967EC4" w:rsidRPr="00F71B40">
        <w:rPr>
          <w:lang w:val="en-AU"/>
        </w:rPr>
        <w:t xml:space="preserve">.  In sum, radio campaigns can persuade citizens that particular services are more important and that they should spend more (time and money) in obtaining them – but do not give citizens any particular way to hold governments to account </w:t>
      </w:r>
      <w:r w:rsidR="00115AC9" w:rsidRPr="00F71B40">
        <w:rPr>
          <w:lang w:val="en-AU"/>
        </w:rPr>
        <w:fldChar w:fldCharType="begin"/>
      </w:r>
      <w:r w:rsidR="00115AC9" w:rsidRPr="00F71B40">
        <w:rPr>
          <w:lang w:val="en-AU"/>
        </w:rPr>
        <w:instrText xml:space="preserve"> ADDIN EN.CITE &lt;EndNote&gt;&lt;Cite&gt;&lt;Author&gt;Keefer&lt;/Author&gt;&lt;Year&gt;2012&lt;/Year&gt;&lt;RecNum&gt;4248&lt;/RecNum&gt;&lt;DisplayText&gt;(Keefer &amp;amp; Khemani, 2012)&lt;/DisplayText&gt;&lt;record&gt;&lt;rec-number&gt;4248&lt;/rec-number&gt;&lt;foreign-keys&gt;&lt;key app="EN" db-id="5v9z5rrdszvwsneef06v9dapsd0apdtfapdx" timestamp="1408295109"&gt;4248&lt;/key&gt;&lt;/foreign-keys&gt;&lt;ref-type name="Report"&gt;27&lt;/ref-type&gt;&lt;contributors&gt;&lt;authors&gt;&lt;author&gt;Philip Keefer&lt;/author&gt;&lt;author&gt;Stuti Khemani&lt;/author&gt;&lt;/authors&gt;&lt;/contributors&gt;&lt;titles&gt;&lt;title&gt;Do Informed Citizens Receive More…or Pay More? The Impact of Radio on the Government Distribution of Public Health Benefits (Policy Research Working Paper 5952)&lt;/title&gt;&lt;/titles&gt;&lt;dates&gt;&lt;year&gt;2012&lt;/year&gt;&lt;/dates&gt;&lt;pub-location&gt;Washington, DC&lt;/pub-location&gt;&lt;publisher&gt;World Bank&lt;/publisher&gt;&lt;urls&gt;&lt;/urls&gt;&lt;/record&gt;&lt;/Cite&gt;&lt;/EndNote&gt;</w:instrText>
      </w:r>
      <w:r w:rsidR="00115AC9" w:rsidRPr="00F71B40">
        <w:rPr>
          <w:lang w:val="en-AU"/>
        </w:rPr>
        <w:fldChar w:fldCharType="separate"/>
      </w:r>
      <w:r w:rsidR="00115AC9" w:rsidRPr="00F71B40">
        <w:rPr>
          <w:lang w:val="en-AU"/>
        </w:rPr>
        <w:t>(</w:t>
      </w:r>
      <w:hyperlink w:anchor="_ENREF_84" w:tooltip="Keefer, 2012 #4248" w:history="1">
        <w:r w:rsidR="00CC56DB" w:rsidRPr="00F71B40">
          <w:rPr>
            <w:lang w:val="en-AU"/>
          </w:rPr>
          <w:t>Keefer &amp; Khemani, 2012</w:t>
        </w:r>
      </w:hyperlink>
      <w:r w:rsidR="00115AC9" w:rsidRPr="00F71B40">
        <w:rPr>
          <w:lang w:val="en-AU"/>
        </w:rPr>
        <w:t>)</w:t>
      </w:r>
      <w:r w:rsidR="00115AC9" w:rsidRPr="00F71B40">
        <w:rPr>
          <w:lang w:val="en-AU"/>
        </w:rPr>
        <w:fldChar w:fldCharType="end"/>
      </w:r>
      <w:r w:rsidR="00967EC4" w:rsidRPr="00F71B40">
        <w:rPr>
          <w:lang w:val="en-AU"/>
        </w:rPr>
        <w:t>.</w:t>
      </w:r>
      <w:r w:rsidRPr="00F71B40">
        <w:rPr>
          <w:lang w:val="en-AU"/>
        </w:rPr>
        <w:t xml:space="preserve">  Related to this, r</w:t>
      </w:r>
      <w:r w:rsidR="00967EC4" w:rsidRPr="00F71B40">
        <w:rPr>
          <w:lang w:val="en-AU"/>
        </w:rPr>
        <w:t>esearch into the governance of public goods provision in sub-Saharan Africa confirms that bottom-up pressures from voters and service users are a weak factor at best in improving performance</w:t>
      </w:r>
      <w:r w:rsidR="00E14118" w:rsidRPr="00F71B40">
        <w:rPr>
          <w:lang w:val="en-AU"/>
        </w:rPr>
        <w:t xml:space="preserve"> </w:t>
      </w:r>
      <w:r w:rsidR="00115AC9" w:rsidRPr="00F71B40">
        <w:rPr>
          <w:lang w:val="en-AU"/>
        </w:rPr>
        <w:fldChar w:fldCharType="begin"/>
      </w:r>
      <w:r w:rsidR="00115AC9" w:rsidRPr="00F71B40">
        <w:rPr>
          <w:lang w:val="en-AU"/>
        </w:rPr>
        <w:instrText xml:space="preserve"> ADDIN EN.CITE &lt;EndNote&gt;&lt;Cite&gt;&lt;Author&gt;Booth&lt;/Author&gt;&lt;Year&gt;2011&lt;/Year&gt;&lt;RecNum&gt;3266&lt;/RecNum&gt;&lt;Suffix&gt;`, p.1&lt;/Suffix&gt;&lt;DisplayText&gt;(Booth, 2011, p.1)&lt;/DisplayText&gt;&lt;record&gt;&lt;rec-number&gt;3266&lt;/rec-number&gt;&lt;foreign-keys&gt;&lt;key app="EN" db-id="5v9z5rrdszvwsneef06v9dapsd0apdtfapdx" timestamp="0"&gt;3266&lt;/key&gt;&lt;/foreign-keys&gt;&lt;ref-type name="Report"&gt;27&lt;/ref-type&gt;&lt;contributors&gt;&lt;authors&gt;&lt;author&gt;David Booth&lt;/author&gt;&lt;/authors&gt;&lt;/contributors&gt;&lt;titles&gt;&lt;title&gt;Working with the grain and swimming against the tide: Barriers to uptake of research findings on governance and public services in low-income Africa&lt;/title&gt;&lt;/titles&gt;&lt;dates&gt;&lt;year&gt;2011&lt;/year&gt;&lt;/dates&gt;&lt;pub-location&gt;London&lt;/pub-location&gt;&lt;publisher&gt;Overseas Development Institute&lt;/publisher&gt;&lt;urls&gt;&lt;/urls&gt;&lt;/record&gt;&lt;/Cite&gt;&lt;/EndNote&gt;</w:instrText>
      </w:r>
      <w:r w:rsidR="00115AC9" w:rsidRPr="00F71B40">
        <w:rPr>
          <w:lang w:val="en-AU"/>
        </w:rPr>
        <w:fldChar w:fldCharType="separate"/>
      </w:r>
      <w:r w:rsidR="00115AC9" w:rsidRPr="00F71B40">
        <w:rPr>
          <w:lang w:val="en-AU"/>
        </w:rPr>
        <w:t>(</w:t>
      </w:r>
      <w:hyperlink w:anchor="_ENREF_26" w:tooltip="Booth, 2011 #3266" w:history="1">
        <w:r w:rsidR="00CC56DB" w:rsidRPr="00F71B40">
          <w:rPr>
            <w:lang w:val="en-AU"/>
          </w:rPr>
          <w:t>Booth, 2011, p.1</w:t>
        </w:r>
      </w:hyperlink>
      <w:r w:rsidR="00115AC9" w:rsidRPr="00F71B40">
        <w:rPr>
          <w:lang w:val="en-AU"/>
        </w:rPr>
        <w:t>)</w:t>
      </w:r>
      <w:r w:rsidR="00115AC9" w:rsidRPr="00F71B40">
        <w:rPr>
          <w:lang w:val="en-AU"/>
        </w:rPr>
        <w:fldChar w:fldCharType="end"/>
      </w:r>
      <w:r w:rsidR="00967EC4" w:rsidRPr="00F71B40">
        <w:rPr>
          <w:lang w:val="en-AU"/>
        </w:rPr>
        <w:t xml:space="preserve">.  </w:t>
      </w:r>
      <w:r w:rsidRPr="00F71B40">
        <w:rPr>
          <w:lang w:val="en-AU"/>
        </w:rPr>
        <w:t xml:space="preserve">Similarly, in their empirical review, </w:t>
      </w:r>
      <w:r w:rsidR="00115AC9" w:rsidRPr="00F71B40">
        <w:rPr>
          <w:lang w:val="en-AU"/>
        </w:rPr>
        <w:fldChar w:fldCharType="begin"/>
      </w:r>
      <w:r w:rsidR="00115AC9" w:rsidRPr="00F71B40">
        <w:rPr>
          <w:lang w:val="en-AU"/>
        </w:rPr>
        <w:instrText xml:space="preserve"> ADDIN EN.CITE &lt;EndNote&gt;&lt;Cite&gt;&lt;Author&gt;Ling&lt;/Author&gt;&lt;Year&gt;2012&lt;/Year&gt;&lt;RecNum&gt;4261&lt;/RecNum&gt;&lt;DisplayText&gt;(Ling &amp;amp; Roberts, 2012)&lt;/DisplayText&gt;&lt;record&gt;&lt;rec-number&gt;4261&lt;/rec-number&gt;&lt;foreign-keys&gt;&lt;key app="EN" db-id="5v9z5rrdszvwsneef06v9dapsd0apdtfapdx" timestamp="1408388951"&gt;4261&lt;/key&gt;&lt;/foreign-keys&gt;&lt;ref-type name="Report"&gt;27&lt;/ref-type&gt;&lt;contributors&gt;&lt;authors&gt;&lt;author&gt;Ling, Cristina&lt;/author&gt;&lt;author&gt;Roberts, Dawn&lt;/author&gt;&lt;/authors&gt;&lt;/contributors&gt;&lt;titles&gt;&lt;title&gt;Evidence of development impact from institutional change : a review of the evidence on open budgeting (Policy Research Working Paper 6968)&lt;/title&gt;&lt;/titles&gt;&lt;dates&gt;&lt;year&gt;2012&lt;/year&gt;&lt;/dates&gt;&lt;pub-location&gt;Washington, DC&lt;/pub-location&gt;&lt;publisher&gt;World Bank&lt;/publisher&gt;&lt;urls&gt;&lt;/urls&gt;&lt;/record&gt;&lt;/Cite&gt;&lt;/EndNote&gt;</w:instrText>
      </w:r>
      <w:r w:rsidR="00115AC9" w:rsidRPr="00F71B40">
        <w:rPr>
          <w:lang w:val="en-AU"/>
        </w:rPr>
        <w:fldChar w:fldCharType="separate"/>
      </w:r>
      <w:r w:rsidR="00115AC9" w:rsidRPr="00F71B40">
        <w:rPr>
          <w:lang w:val="en-AU"/>
        </w:rPr>
        <w:t>(</w:t>
      </w:r>
      <w:hyperlink w:anchor="_ENREF_93" w:tooltip="Ling, 2012 #4261" w:history="1">
        <w:r w:rsidR="00CC56DB" w:rsidRPr="00F71B40">
          <w:rPr>
            <w:lang w:val="en-AU"/>
          </w:rPr>
          <w:t>Ling &amp; Roberts, 2012</w:t>
        </w:r>
      </w:hyperlink>
      <w:r w:rsidR="00115AC9" w:rsidRPr="00F71B40">
        <w:rPr>
          <w:lang w:val="en-AU"/>
        </w:rPr>
        <w:t>)</w:t>
      </w:r>
      <w:r w:rsidR="00115AC9" w:rsidRPr="00F71B40">
        <w:rPr>
          <w:lang w:val="en-AU"/>
        </w:rPr>
        <w:fldChar w:fldCharType="end"/>
      </w:r>
      <w:r w:rsidRPr="00F71B40">
        <w:rPr>
          <w:lang w:val="en-AU"/>
        </w:rPr>
        <w:t xml:space="preserve"> find no evidence that budgetary transparency </w:t>
      </w:r>
      <w:r w:rsidR="00670BE7">
        <w:rPr>
          <w:lang w:val="en-AU"/>
        </w:rPr>
        <w:t xml:space="preserve">allowing citizen groups to understand budgetary allocations </w:t>
      </w:r>
      <w:r w:rsidRPr="00F71B40">
        <w:rPr>
          <w:lang w:val="en-AU"/>
        </w:rPr>
        <w:t>changes organizational incentives.</w:t>
      </w:r>
    </w:p>
    <w:p w:rsidR="00EE35BE" w:rsidRDefault="00EE35BE" w:rsidP="00D62A32">
      <w:pPr>
        <w:rPr>
          <w:lang w:val="en-AU"/>
        </w:rPr>
      </w:pPr>
    </w:p>
    <w:p w:rsidR="00EE35BE" w:rsidRPr="00F71B40" w:rsidRDefault="00EE35BE" w:rsidP="006A70A3">
      <w:pPr>
        <w:pStyle w:val="Heading5"/>
      </w:pPr>
      <w:r>
        <w:t xml:space="preserve">Explore the potential </w:t>
      </w:r>
      <w:r w:rsidR="006B65F4">
        <w:t xml:space="preserve">demand-side </w:t>
      </w:r>
      <w:r>
        <w:t>contribution of the private sector</w:t>
      </w:r>
    </w:p>
    <w:p w:rsidR="00EE35BE" w:rsidRPr="00F71B40" w:rsidRDefault="00EE35BE" w:rsidP="00EE35BE">
      <w:pPr>
        <w:pStyle w:val="ListParagraph"/>
        <w:rPr>
          <w:lang w:val="en-AU"/>
        </w:rPr>
      </w:pPr>
    </w:p>
    <w:p w:rsidR="00967EC4" w:rsidRDefault="00EE35BE" w:rsidP="0098305E">
      <w:pPr>
        <w:rPr>
          <w:rFonts w:cs="Times New Roman"/>
          <w:lang w:val="en-AU"/>
        </w:rPr>
      </w:pPr>
      <w:r w:rsidRPr="006A70A3">
        <w:rPr>
          <w:lang w:val="en-AU"/>
        </w:rPr>
        <w:t xml:space="preserve">While the role of the private sector in economic development </w:t>
      </w:r>
      <w:r w:rsidR="00F63642" w:rsidRPr="006A70A3">
        <w:rPr>
          <w:lang w:val="en-AU"/>
        </w:rPr>
        <w:t xml:space="preserve">and social stability </w:t>
      </w:r>
      <w:r w:rsidRPr="006A70A3">
        <w:rPr>
          <w:lang w:val="en-AU"/>
        </w:rPr>
        <w:t xml:space="preserve">is clear, </w:t>
      </w:r>
      <w:r w:rsidR="00A940D2" w:rsidRPr="006A70A3">
        <w:rPr>
          <w:lang w:val="en-AU"/>
        </w:rPr>
        <w:t xml:space="preserve">its role in improving </w:t>
      </w:r>
      <w:r w:rsidR="00A940D2" w:rsidRPr="006A70A3">
        <w:rPr>
          <w:rFonts w:cs="Times New Roman"/>
          <w:lang w:val="en-AU"/>
        </w:rPr>
        <w:t>delivery of key services</w:t>
      </w:r>
      <w:r w:rsidR="00A940D2" w:rsidRPr="006A70A3">
        <w:rPr>
          <w:lang w:val="en-AU"/>
        </w:rPr>
        <w:t xml:space="preserve"> is often seen as largely instrumental </w:t>
      </w:r>
      <w:r w:rsidR="00F63642" w:rsidRPr="006A70A3">
        <w:rPr>
          <w:lang w:val="en-AU"/>
        </w:rPr>
        <w:t>–</w:t>
      </w:r>
      <w:r w:rsidR="00A940D2" w:rsidRPr="006A70A3">
        <w:rPr>
          <w:lang w:val="en-AU"/>
        </w:rPr>
        <w:t xml:space="preserve"> </w:t>
      </w:r>
      <w:r w:rsidR="00F63642" w:rsidRPr="006A70A3">
        <w:rPr>
          <w:lang w:val="en-AU"/>
        </w:rPr>
        <w:t>providing opportunities for efficiency savings through contracting out etc.</w:t>
      </w:r>
      <w:r w:rsidR="00396250" w:rsidRPr="006A70A3">
        <w:rPr>
          <w:lang w:val="en-AU"/>
        </w:rPr>
        <w:t xml:space="preserve"> – although t</w:t>
      </w:r>
      <w:r w:rsidR="00F63642" w:rsidRPr="006A70A3">
        <w:rPr>
          <w:lang w:val="en-AU"/>
        </w:rPr>
        <w:t>he weakness in the formal private sector in Solomon Islands makes even this role somewhat limited.  There is some policy discussion about the need to harness the power of the private sector to incentiv</w:t>
      </w:r>
      <w:r w:rsidR="00396250" w:rsidRPr="006A70A3">
        <w:rPr>
          <w:lang w:val="en-AU"/>
        </w:rPr>
        <w:t>iz</w:t>
      </w:r>
      <w:r w:rsidR="00F63642" w:rsidRPr="006A70A3">
        <w:rPr>
          <w:lang w:val="en-AU"/>
        </w:rPr>
        <w:t>e institutional change, but this tends to be at a very general aspirational level with few practical strategies</w:t>
      </w:r>
      <w:r w:rsidR="00D87BB7" w:rsidRPr="006A70A3">
        <w:rPr>
          <w:lang w:val="en-AU"/>
        </w:rPr>
        <w:t>.</w:t>
      </w:r>
      <w:r w:rsidR="00F63642" w:rsidRPr="006A70A3">
        <w:rPr>
          <w:lang w:val="en-AU"/>
        </w:rPr>
        <w:t xml:space="preserve"> </w:t>
      </w:r>
      <w:r w:rsidR="006B65F4" w:rsidRPr="006A70A3">
        <w:rPr>
          <w:lang w:val="en-AU"/>
        </w:rPr>
        <w:t xml:space="preserve">In </w:t>
      </w:r>
      <w:r w:rsidR="00396250" w:rsidRPr="006A70A3">
        <w:rPr>
          <w:lang w:val="en-AU"/>
        </w:rPr>
        <w:t>a</w:t>
      </w:r>
      <w:r w:rsidR="006B65F4" w:rsidRPr="006A70A3">
        <w:rPr>
          <w:lang w:val="en-AU"/>
        </w:rPr>
        <w:t xml:space="preserve"> recent review, </w:t>
      </w:r>
      <w:r w:rsidR="003F0C47" w:rsidRPr="006A70A3">
        <w:rPr>
          <w:lang w:val="en-AU"/>
        </w:rPr>
        <w:fldChar w:fldCharType="begin"/>
      </w:r>
      <w:r w:rsidR="003F0C47" w:rsidRPr="006A70A3">
        <w:rPr>
          <w:lang w:val="en-AU"/>
        </w:rPr>
        <w:instrText xml:space="preserve"> ADDIN EN.CITE &lt;EndNote&gt;&lt;Cite&gt;&lt;Author&gt;Powles&lt;/Author&gt;&lt;Year&gt;2013&lt;/Year&gt;&lt;RecNum&gt;4375&lt;/RecNum&gt;&lt;DisplayText&gt;(Powles, 2013)&lt;/DisplayText&gt;&lt;record&gt;&lt;rec-number&gt;4375&lt;/rec-number&gt;&lt;foreign-keys&gt;&lt;key app="EN" db-id="5v9z5rrdszvwsneef06v9dapsd0apdtfapdx" timestamp="1413930923"&gt;4375&lt;/key&gt;&lt;/foreign-keys&gt;&lt;ref-type name="Report"&gt;27&lt;/ref-type&gt;&lt;contributors&gt;&lt;authors&gt;&lt;author&gt;Anna Powles&lt;/author&gt;&lt;/authors&gt;&lt;/contributors&gt;&lt;titles&gt;&lt;title&gt;The Private Sector, the Solomon Islands and the Peace-Economic Dividend: Learning from the RAMSI Experience&lt;/title&gt;&lt;/titles&gt;&lt;dates&gt;&lt;year&gt;2013&lt;/year&gt;&lt;/dates&gt;&lt;pub-location&gt;London&lt;/pub-location&gt;&lt;publisher&gt;King&amp;apos;s College&lt;/publisher&gt;&lt;urls&gt;&lt;/urls&gt;&lt;/record&gt;&lt;/Cite&gt;&lt;/EndNote&gt;</w:instrText>
      </w:r>
      <w:r w:rsidR="003F0C47" w:rsidRPr="006A70A3">
        <w:rPr>
          <w:lang w:val="en-AU"/>
        </w:rPr>
        <w:fldChar w:fldCharType="separate"/>
      </w:r>
      <w:r w:rsidR="003F0C47" w:rsidRPr="006A70A3">
        <w:rPr>
          <w:noProof/>
          <w:lang w:val="en-AU"/>
        </w:rPr>
        <w:t>(</w:t>
      </w:r>
      <w:hyperlink w:anchor="_ENREF_122" w:tooltip="Powles, 2013 #4375" w:history="1">
        <w:r w:rsidR="00CC56DB" w:rsidRPr="006A70A3">
          <w:rPr>
            <w:noProof/>
            <w:lang w:val="en-AU"/>
          </w:rPr>
          <w:t>Powles, 2013</w:t>
        </w:r>
      </w:hyperlink>
      <w:r w:rsidR="003F0C47" w:rsidRPr="006A70A3">
        <w:rPr>
          <w:noProof/>
          <w:lang w:val="en-AU"/>
        </w:rPr>
        <w:t>)</w:t>
      </w:r>
      <w:r w:rsidR="003F0C47" w:rsidRPr="006A70A3">
        <w:rPr>
          <w:lang w:val="en-AU"/>
        </w:rPr>
        <w:fldChar w:fldCharType="end"/>
      </w:r>
      <w:r w:rsidR="00D87BB7" w:rsidRPr="006A70A3">
        <w:rPr>
          <w:lang w:val="en-AU"/>
        </w:rPr>
        <w:t xml:space="preserve"> criticizes the “state-centric approach” of RAMSI (and by extension the donors in general) for using a “model</w:t>
      </w:r>
      <w:r w:rsidR="006B65F4" w:rsidRPr="006A70A3">
        <w:rPr>
          <w:lang w:val="en-AU"/>
        </w:rPr>
        <w:t>”</w:t>
      </w:r>
      <w:r w:rsidR="00D87BB7" w:rsidRPr="006A70A3">
        <w:rPr>
          <w:lang w:val="en-AU"/>
        </w:rPr>
        <w:t xml:space="preserve"> for state-building</w:t>
      </w:r>
      <w:r w:rsidR="006B65F4" w:rsidRPr="006A70A3">
        <w:rPr>
          <w:lang w:val="en-AU"/>
        </w:rPr>
        <w:t xml:space="preserve"> </w:t>
      </w:r>
      <w:r w:rsidR="00D87BB7" w:rsidRPr="006A70A3">
        <w:rPr>
          <w:lang w:val="en-AU"/>
        </w:rPr>
        <w:t xml:space="preserve">which </w:t>
      </w:r>
      <w:r w:rsidR="006B65F4" w:rsidRPr="006A70A3">
        <w:rPr>
          <w:lang w:val="en-AU"/>
        </w:rPr>
        <w:t xml:space="preserve">embodies </w:t>
      </w:r>
      <w:r w:rsidR="00D87BB7" w:rsidRPr="006A70A3">
        <w:rPr>
          <w:lang w:val="en-AU"/>
        </w:rPr>
        <w:t>the</w:t>
      </w:r>
      <w:r w:rsidR="006B65F4" w:rsidRPr="006A70A3">
        <w:rPr>
          <w:lang w:val="en-AU"/>
        </w:rPr>
        <w:t xml:space="preserve"> “</w:t>
      </w:r>
      <w:r w:rsidR="00D87BB7" w:rsidRPr="006A70A3">
        <w:rPr>
          <w:lang w:val="en-AU"/>
        </w:rPr>
        <w:t xml:space="preserve">traditional approach of the international community; i.e. build the state, which in turn then provides for security, and then economic growth” and </w:t>
      </w:r>
      <w:r w:rsidR="006B65F4" w:rsidRPr="006A70A3">
        <w:rPr>
          <w:lang w:val="en-AU"/>
        </w:rPr>
        <w:t xml:space="preserve">notes </w:t>
      </w:r>
      <w:r w:rsidR="00D87BB7" w:rsidRPr="006A70A3">
        <w:rPr>
          <w:lang w:val="en-AU"/>
        </w:rPr>
        <w:t xml:space="preserve">that “neither RAMSI nor SIG made a seat at the table for the private sector” </w:t>
      </w:r>
      <w:r w:rsidR="003F0C47" w:rsidRPr="006A70A3">
        <w:rPr>
          <w:lang w:val="en-AU"/>
        </w:rPr>
        <w:fldChar w:fldCharType="begin"/>
      </w:r>
      <w:r w:rsidR="003F0C47" w:rsidRPr="006A70A3">
        <w:rPr>
          <w:lang w:val="en-AU"/>
        </w:rPr>
        <w:instrText xml:space="preserve"> ADDIN EN.CITE &lt;EndNote&gt;&lt;Cite&gt;&lt;Author&gt;Powles&lt;/Author&gt;&lt;Year&gt;2013&lt;/Year&gt;&lt;RecNum&gt;4375&lt;/RecNum&gt;&lt;Suffix&gt;`, p.19&lt;/Suffix&gt;&lt;DisplayText&gt;(Powles, 2013, p.19)&lt;/DisplayText&gt;&lt;record&gt;&lt;rec-number&gt;4375&lt;/rec-number&gt;&lt;foreign-keys&gt;&lt;key app="EN" db-id="5v9z5rrdszvwsneef06v9dapsd0apdtfapdx" timestamp="1413930923"&gt;4375&lt;/key&gt;&lt;/foreign-keys&gt;&lt;ref-type name="Report"&gt;27&lt;/ref-type&gt;&lt;contributors&gt;&lt;authors&gt;&lt;author&gt;Anna Powles&lt;/author&gt;&lt;/authors&gt;&lt;/contributors&gt;&lt;titles&gt;&lt;title&gt;The Private Sector, the Solomon Islands and the Peace-Economic Dividend: Learning from the RAMSI Experience&lt;/title&gt;&lt;/titles&gt;&lt;dates&gt;&lt;year&gt;2013&lt;/year&gt;&lt;/dates&gt;&lt;pub-location&gt;London&lt;/pub-location&gt;&lt;publisher&gt;King&amp;apos;s College&lt;/publisher&gt;&lt;urls&gt;&lt;/urls&gt;&lt;/record&gt;&lt;/Cite&gt;&lt;/EndNote&gt;</w:instrText>
      </w:r>
      <w:r w:rsidR="003F0C47" w:rsidRPr="006A70A3">
        <w:rPr>
          <w:lang w:val="en-AU"/>
        </w:rPr>
        <w:fldChar w:fldCharType="separate"/>
      </w:r>
      <w:r w:rsidR="003F0C47" w:rsidRPr="006A70A3">
        <w:rPr>
          <w:noProof/>
          <w:lang w:val="en-AU"/>
        </w:rPr>
        <w:t>(</w:t>
      </w:r>
      <w:hyperlink w:anchor="_ENREF_122" w:tooltip="Powles, 2013 #4375" w:history="1">
        <w:r w:rsidR="00CC56DB" w:rsidRPr="006A70A3">
          <w:rPr>
            <w:noProof/>
            <w:lang w:val="en-AU"/>
          </w:rPr>
          <w:t>Powles, 2013, p.19</w:t>
        </w:r>
      </w:hyperlink>
      <w:r w:rsidR="003F0C47" w:rsidRPr="006A70A3">
        <w:rPr>
          <w:noProof/>
          <w:lang w:val="en-AU"/>
        </w:rPr>
        <w:t>)</w:t>
      </w:r>
      <w:r w:rsidR="003F0C47" w:rsidRPr="006A70A3">
        <w:rPr>
          <w:lang w:val="en-AU"/>
        </w:rPr>
        <w:fldChar w:fldCharType="end"/>
      </w:r>
      <w:r w:rsidR="00396250" w:rsidRPr="006A70A3">
        <w:rPr>
          <w:lang w:val="en-AU"/>
        </w:rPr>
        <w:t xml:space="preserve">.  However, the policy </w:t>
      </w:r>
      <w:r w:rsidR="00D87BB7" w:rsidRPr="006A70A3">
        <w:rPr>
          <w:lang w:val="en-AU"/>
        </w:rPr>
        <w:t xml:space="preserve">suggestions are primarily around </w:t>
      </w:r>
      <w:r w:rsidR="006B65F4" w:rsidRPr="006A70A3">
        <w:rPr>
          <w:lang w:val="en-AU"/>
        </w:rPr>
        <w:t>donor financing and minimizing the obstacle which the government can represent to small enterprises</w:t>
      </w:r>
      <w:r w:rsidR="00396250" w:rsidRPr="006A70A3">
        <w:rPr>
          <w:lang w:val="en-AU"/>
        </w:rPr>
        <w:t xml:space="preserve"> – again, suggesting that the model is one of first strengthening and rationalizing the economic role of government </w:t>
      </w:r>
      <w:r w:rsidR="00FC7851" w:rsidRPr="006A70A3">
        <w:rPr>
          <w:lang w:val="en-AU"/>
        </w:rPr>
        <w:t>which leads to</w:t>
      </w:r>
      <w:r w:rsidR="00396250" w:rsidRPr="006A70A3">
        <w:rPr>
          <w:lang w:val="en-AU"/>
        </w:rPr>
        <w:t xml:space="preserve">, subsequently, </w:t>
      </w:r>
      <w:r w:rsidR="00FC7851" w:rsidRPr="006A70A3">
        <w:rPr>
          <w:lang w:val="en-AU"/>
        </w:rPr>
        <w:t>a more positive business environment.</w:t>
      </w:r>
      <w:r w:rsidR="00FC7851" w:rsidRPr="006A70A3">
        <w:rPr>
          <w:rStyle w:val="FootnoteReference"/>
          <w:lang w:val="en-AU"/>
        </w:rPr>
        <w:footnoteReference w:id="21"/>
      </w:r>
      <w:r w:rsidR="00E256D6">
        <w:rPr>
          <w:lang w:val="en-AU"/>
        </w:rPr>
        <w:t xml:space="preserve">  </w:t>
      </w:r>
      <w:r w:rsidR="00A56867" w:rsidRPr="006A70A3">
        <w:rPr>
          <w:rFonts w:cs="Times New Roman"/>
          <w:lang w:val="en-AU"/>
        </w:rPr>
        <w:lastRenderedPageBreak/>
        <w:t>Respondents to the review offered no guidance on</w:t>
      </w:r>
      <w:r w:rsidR="00A56867" w:rsidRPr="006A70A3">
        <w:rPr>
          <w:lang w:val="en-AU"/>
        </w:rPr>
        <w:t xml:space="preserve"> how and whether the private sector can have a stronger voice in pinpointing public sector obstacles and whether the dominance of the large firms in the forestry and mining sectors can be managed in that process</w:t>
      </w:r>
      <w:r w:rsidR="00043FCF" w:rsidRPr="006A70A3">
        <w:rPr>
          <w:lang w:val="en-AU"/>
        </w:rPr>
        <w:t>.  S</w:t>
      </w:r>
      <w:r w:rsidR="00A56867" w:rsidRPr="006A70A3">
        <w:rPr>
          <w:rFonts w:cs="Times New Roman"/>
          <w:lang w:val="en-AU"/>
        </w:rPr>
        <w:t>o this suggestion is left as a broad idea to be explored.</w:t>
      </w:r>
    </w:p>
    <w:p w:rsidR="00A56867" w:rsidRPr="00F71B40" w:rsidRDefault="00A56867" w:rsidP="00D62A32">
      <w:pPr>
        <w:rPr>
          <w:rFonts w:cs="Times New Roman"/>
          <w:lang w:val="en-AU"/>
        </w:rPr>
      </w:pPr>
    </w:p>
    <w:p w:rsidR="00077685" w:rsidRPr="00F71B40" w:rsidRDefault="00D56CC1" w:rsidP="00D62A32">
      <w:pPr>
        <w:pStyle w:val="Heading2"/>
        <w:rPr>
          <w:lang w:val="en-AU"/>
        </w:rPr>
      </w:pPr>
      <w:bookmarkStart w:id="92" w:name="_Toc399410404"/>
      <w:r w:rsidRPr="00F71B40">
        <w:rPr>
          <w:lang w:val="en-AU"/>
        </w:rPr>
        <w:t>Develop</w:t>
      </w:r>
      <w:r w:rsidR="00077685" w:rsidRPr="00F71B40">
        <w:rPr>
          <w:lang w:val="en-AU"/>
        </w:rPr>
        <w:t xml:space="preserve"> inputs </w:t>
      </w:r>
      <w:r w:rsidRPr="00F71B40">
        <w:rPr>
          <w:lang w:val="en-AU"/>
        </w:rPr>
        <w:t xml:space="preserve">in addition to </w:t>
      </w:r>
      <w:r w:rsidR="00077685" w:rsidRPr="00F71B40">
        <w:rPr>
          <w:lang w:val="en-AU"/>
        </w:rPr>
        <w:t>long term technical assistance</w:t>
      </w:r>
      <w:bookmarkEnd w:id="92"/>
    </w:p>
    <w:p w:rsidR="00B31756" w:rsidRPr="00F71B40" w:rsidRDefault="00B31756" w:rsidP="00D62A32">
      <w:pPr>
        <w:pStyle w:val="ListParagraph"/>
        <w:ind w:left="1440"/>
        <w:rPr>
          <w:lang w:val="en-AU"/>
        </w:rPr>
      </w:pPr>
    </w:p>
    <w:p w:rsidR="00B92CC9" w:rsidRPr="00F71B40" w:rsidRDefault="00B31756" w:rsidP="00D62A32">
      <w:pPr>
        <w:pStyle w:val="ListParagraph"/>
        <w:ind w:left="0"/>
        <w:rPr>
          <w:lang w:val="en-AU"/>
        </w:rPr>
      </w:pPr>
      <w:r w:rsidRPr="00F71B40">
        <w:rPr>
          <w:lang w:val="en-AU"/>
        </w:rPr>
        <w:t xml:space="preserve">The review of the project design above emphasized </w:t>
      </w:r>
      <w:r w:rsidR="002C1511" w:rsidRPr="00F71B40">
        <w:rPr>
          <w:lang w:val="en-AU"/>
        </w:rPr>
        <w:t>the need to c</w:t>
      </w:r>
      <w:r w:rsidR="005270BB" w:rsidRPr="00F71B40">
        <w:rPr>
          <w:rFonts w:cs="Times New Roman"/>
          <w:lang w:val="en-AU"/>
        </w:rPr>
        <w:t xml:space="preserve">onsider a broader range of inputs beyond technical advice and guidance and temporary capacity enhancement through external advisors, such as </w:t>
      </w:r>
      <w:r w:rsidR="005270BB" w:rsidRPr="00F71B40">
        <w:rPr>
          <w:lang w:val="en-AU"/>
        </w:rPr>
        <w:t>coaching and mentoring</w:t>
      </w:r>
      <w:r w:rsidR="002C1511" w:rsidRPr="00F71B40">
        <w:rPr>
          <w:lang w:val="en-AU"/>
        </w:rPr>
        <w:t xml:space="preserve">.  </w:t>
      </w:r>
      <w:r w:rsidR="00B92CC9" w:rsidRPr="00F71B40">
        <w:rPr>
          <w:lang w:val="en-AU"/>
        </w:rPr>
        <w:t xml:space="preserve">One possibility here concerns confidential management coaches who could assist senior staff in working </w:t>
      </w:r>
      <w:r w:rsidR="00043FCF">
        <w:rPr>
          <w:lang w:val="en-AU"/>
        </w:rPr>
        <w:t>“</w:t>
      </w:r>
      <w:r w:rsidR="00B92CC9" w:rsidRPr="00F71B40">
        <w:rPr>
          <w:lang w:val="en-AU"/>
        </w:rPr>
        <w:t xml:space="preserve">between the rules” of formal management arrangements to assist them in </w:t>
      </w:r>
      <w:r w:rsidR="007E58A6" w:rsidRPr="00F71B40">
        <w:rPr>
          <w:lang w:val="en-AU"/>
        </w:rPr>
        <w:t>undertaking their own  work</w:t>
      </w:r>
      <w:r w:rsidR="007E58A6" w:rsidRPr="00F71B40">
        <w:rPr>
          <w:rStyle w:val="FootnoteReference"/>
          <w:lang w:val="en-AU"/>
        </w:rPr>
        <w:footnoteReference w:id="22"/>
      </w:r>
      <w:r w:rsidR="007E58A6" w:rsidRPr="00F71B40">
        <w:rPr>
          <w:lang w:val="en-AU"/>
        </w:rPr>
        <w:t xml:space="preserve"> and in </w:t>
      </w:r>
      <w:r w:rsidR="00B92CC9" w:rsidRPr="00F71B40">
        <w:rPr>
          <w:lang w:val="en-AU"/>
        </w:rPr>
        <w:t>“renegotiating the effort bargain” of their staff</w:t>
      </w:r>
      <w:r w:rsidR="007E58A6" w:rsidRPr="00F71B40">
        <w:rPr>
          <w:lang w:val="en-AU"/>
        </w:rPr>
        <w:t xml:space="preserve"> </w:t>
      </w:r>
      <w:r w:rsidR="00115AC9" w:rsidRPr="00F71B40">
        <w:rPr>
          <w:lang w:val="en-AU"/>
        </w:rPr>
        <w:fldChar w:fldCharType="begin"/>
      </w:r>
      <w:r w:rsidR="00115AC9" w:rsidRPr="00F71B40">
        <w:rPr>
          <w:lang w:val="en-AU"/>
        </w:rPr>
        <w:instrText xml:space="preserve"> ADDIN EN.CITE &lt;EndNote&gt;&lt;Cite&gt;&lt;Author&gt;Marsden&lt;/Author&gt;&lt;Year&gt;2004&lt;/Year&gt;&lt;RecNum&gt;3164&lt;/RecNum&gt;&lt;DisplayText&gt;(Marsden, 2004)&lt;/DisplayText&gt;&lt;record&gt;&lt;rec-number&gt;3164&lt;/rec-number&gt;&lt;foreign-keys&gt;&lt;key app="EN" db-id="5v9z5rrdszvwsneef06v9dapsd0apdtfapdx" timestamp="0"&gt;3164&lt;/key&gt;&lt;/foreign-keys&gt;&lt;ref-type name="Journal Article"&gt;17&lt;/ref-type&gt;&lt;contributors&gt;&lt;authors&gt;&lt;author&gt;David Marsden&lt;/author&gt;&lt;/authors&gt;&lt;/contributors&gt;&lt;titles&gt;&lt;title&gt;The role of performance-related pay in renegotiating the &amp;quot;effort bargain&amp;quot;: the case of the British public service&lt;/title&gt;&lt;secondary-title&gt;Industrial and labor Relations review&lt;/secondary-title&gt;&lt;/titles&gt;&lt;pages&gt;350-370&lt;/pages&gt;&lt;volume&gt;57&lt;/volume&gt;&lt;number&gt;3&lt;/number&gt;&lt;keywords&gt;&lt;keyword&gt;performance pay&lt;/keyword&gt;&lt;/keywords&gt;&lt;dates&gt;&lt;year&gt;2004&lt;/year&gt;&lt;/dates&gt;&lt;urls&gt;&lt;/urls&gt;&lt;/record&gt;&lt;/Cite&gt;&lt;/EndNote&gt;</w:instrText>
      </w:r>
      <w:r w:rsidR="00115AC9" w:rsidRPr="00F71B40">
        <w:rPr>
          <w:lang w:val="en-AU"/>
        </w:rPr>
        <w:fldChar w:fldCharType="separate"/>
      </w:r>
      <w:r w:rsidR="00115AC9" w:rsidRPr="00F71B40">
        <w:rPr>
          <w:lang w:val="en-AU"/>
        </w:rPr>
        <w:t>(</w:t>
      </w:r>
      <w:hyperlink w:anchor="_ENREF_103" w:tooltip="Marsden, 2004 #3164" w:history="1">
        <w:r w:rsidR="00CC56DB" w:rsidRPr="00F71B40">
          <w:rPr>
            <w:lang w:val="en-AU"/>
          </w:rPr>
          <w:t>Marsden, 2004</w:t>
        </w:r>
      </w:hyperlink>
      <w:r w:rsidR="00115AC9" w:rsidRPr="00F71B40">
        <w:rPr>
          <w:lang w:val="en-AU"/>
        </w:rPr>
        <w:t>)</w:t>
      </w:r>
      <w:r w:rsidR="00115AC9" w:rsidRPr="00F71B40">
        <w:rPr>
          <w:lang w:val="en-AU"/>
        </w:rPr>
        <w:fldChar w:fldCharType="end"/>
      </w:r>
      <w:r w:rsidR="007E58A6" w:rsidRPr="00F71B40">
        <w:rPr>
          <w:lang w:val="en-AU"/>
        </w:rPr>
        <w:t>.</w:t>
      </w:r>
      <w:r w:rsidR="0021192A" w:rsidRPr="00F71B40">
        <w:rPr>
          <w:lang w:val="en-AU"/>
        </w:rPr>
        <w:t xml:space="preserve">  </w:t>
      </w:r>
      <w:r w:rsidR="00043FCF">
        <w:rPr>
          <w:lang w:val="en-AU"/>
        </w:rPr>
        <w:t xml:space="preserve">Peer learning could be useful.  </w:t>
      </w:r>
      <w:r w:rsidR="008019A4" w:rsidRPr="00F71B40">
        <w:rPr>
          <w:lang w:val="en-AU"/>
        </w:rPr>
        <w:t xml:space="preserve">Other possibilities include results-based financing and </w:t>
      </w:r>
      <w:r w:rsidR="00043FCF">
        <w:rPr>
          <w:lang w:val="en-AU"/>
        </w:rPr>
        <w:t xml:space="preserve">organizational </w:t>
      </w:r>
      <w:r w:rsidR="008019A4" w:rsidRPr="00F71B40">
        <w:rPr>
          <w:lang w:val="en-AU"/>
        </w:rPr>
        <w:t>twinning.</w:t>
      </w:r>
    </w:p>
    <w:p w:rsidR="002C1511" w:rsidRPr="00F71B40" w:rsidRDefault="002C1511" w:rsidP="00D62A32">
      <w:pPr>
        <w:pStyle w:val="ListParagraph"/>
        <w:ind w:left="0"/>
        <w:rPr>
          <w:lang w:val="en-AU"/>
        </w:rPr>
      </w:pPr>
    </w:p>
    <w:p w:rsidR="008B7CA4" w:rsidRPr="00F71B40" w:rsidRDefault="002C1511" w:rsidP="00D62A32">
      <w:pPr>
        <w:pStyle w:val="ListParagraph"/>
        <w:ind w:left="0"/>
        <w:rPr>
          <w:lang w:val="en-AU"/>
        </w:rPr>
      </w:pPr>
      <w:r w:rsidRPr="00F71B40">
        <w:rPr>
          <w:lang w:val="en-AU"/>
        </w:rPr>
        <w:t xml:space="preserve">There is now some evidence about the potential effectiveness of management coaches and confidential advice to senior management </w:t>
      </w:r>
      <w:r w:rsidR="00115AC9" w:rsidRPr="00F71B40">
        <w:rPr>
          <w:lang w:val="en-AU"/>
        </w:rPr>
        <w:fldChar w:fldCharType="begin"/>
      </w:r>
      <w:r w:rsidR="00115AC9" w:rsidRPr="00F71B40">
        <w:rPr>
          <w:lang w:val="en-AU"/>
        </w:rPr>
        <w:instrText xml:space="preserve"> ADDIN EN.CITE &lt;EndNote&gt;&lt;Cite&gt;&lt;Author&gt;Matta&lt;/Author&gt;&lt;Year&gt;2011&lt;/Year&gt;&lt;RecNum&gt;4363&lt;/RecNum&gt;&lt;DisplayText&gt;(Gold, Roberts, &amp;amp; Fisher, 2014; Matta &amp;amp; Morgan, 2011; Zhou, 2006)&lt;/DisplayText&gt;&lt;record&gt;&lt;rec-number&gt;4363&lt;/rec-number&gt;&lt;foreign-keys&gt;&lt;key app="EN" db-id="5v9z5rrdszvwsneef06v9dapsd0apdtfapdx" timestamp="1410380906"&gt;4363&lt;/key&gt;&lt;/foreign-keys&gt;&lt;ref-type name="Journal Article"&gt;17&lt;/ref-type&gt;&lt;contributors&gt;&lt;authors&gt;&lt;author&gt;Nadim Matta&lt;/author&gt;&lt;author&gt;Peter Morgan&lt;/author&gt;&lt;/authors&gt;&lt;/contributors&gt;&lt;titles&gt;&lt;title&gt;Local Empowerment Through Rapid Results&lt;/title&gt;&lt;secondary-title&gt;Stanford Social Innovation Review&lt;/secondary-title&gt;&lt;/titles&gt;&lt;volume&gt;Summer 2011&lt;/volume&gt;&lt;dates&gt;&lt;year&gt;2011&lt;/year&gt;&lt;/dates&gt;&lt;urls&gt;&lt;/urls&gt;&lt;/record&gt;&lt;/Cite&gt;&lt;Cite&gt;&lt;Author&gt;Zhou&lt;/Author&gt;&lt;Year&gt;2006&lt;/Year&gt;&lt;RecNum&gt;4364&lt;/RecNum&gt;&lt;record&gt;&lt;rec-number&gt;4364&lt;/rec-number&gt;&lt;foreign-keys&gt;&lt;key app="EN" db-id="5v9z5rrdszvwsneef06v9dapsd0apdtfapdx" timestamp="1410381138"&gt;4364&lt;/key&gt;&lt;/foreign-keys&gt;&lt;ref-type name="Report"&gt;27&lt;/ref-type&gt;&lt;contributors&gt;&lt;authors&gt;&lt;author&gt;Zhou, Yongmei&lt;/author&gt;&lt;/authors&gt;&lt;/contributors&gt;&lt;titles&gt;&lt;title&gt;Sierra Leone: The Role of the Rapid Results Approach in Decentralization and Strengthening Local Governance&lt;/title&gt;&lt;/titles&gt;&lt;dates&gt;&lt;year&gt;2006&lt;/year&gt;&lt;/dates&gt;&lt;pub-location&gt;Washington DC&lt;/pub-location&gt;&lt;publisher&gt;World Bank&lt;/publisher&gt;&lt;urls&gt;&lt;/urls&gt;&lt;/record&gt;&lt;/Cite&gt;&lt;Cite&gt;&lt;Author&gt;Gold&lt;/Author&gt;&lt;Year&gt;2014&lt;/Year&gt;&lt;RecNum&gt;4365&lt;/RecNum&gt;&lt;record&gt;&lt;rec-number&gt;4365&lt;/rec-number&gt;&lt;foreign-keys&gt;&lt;key app="EN" db-id="5v9z5rrdszvwsneef06v9dapsd0apdtfapdx" timestamp="1410381968"&gt;4365&lt;/key&gt;&lt;/foreign-keys&gt;&lt;ref-type name="Report"&gt;27&lt;/ref-type&gt;&lt;contributors&gt;&lt;authors&gt;&lt;author&gt;Jenny Gold&lt;/author&gt;&lt;author&gt;Dawn Roberts&lt;/author&gt;&lt;author&gt;Sharon Fisher&lt;/author&gt;&lt;/authors&gt;&lt;/contributors&gt;&lt;titles&gt;&lt;title&gt;Reforming Civil Service in Sierra Leone Through Collective Leadership&lt;/title&gt;&lt;/titles&gt;&lt;dates&gt;&lt;year&gt;2014&lt;/year&gt;&lt;/dates&gt;&lt;pub-location&gt;Washington DC&lt;/pub-location&gt;&lt;publisher&gt;World Bank&lt;/publisher&gt;&lt;urls&gt;&lt;/urls&gt;&lt;/record&gt;&lt;/Cite&gt;&lt;/EndNote&gt;</w:instrText>
      </w:r>
      <w:r w:rsidR="00115AC9" w:rsidRPr="00F71B40">
        <w:rPr>
          <w:lang w:val="en-AU"/>
        </w:rPr>
        <w:fldChar w:fldCharType="separate"/>
      </w:r>
      <w:r w:rsidR="00115AC9" w:rsidRPr="00F71B40">
        <w:rPr>
          <w:lang w:val="en-AU"/>
        </w:rPr>
        <w:t>(</w:t>
      </w:r>
      <w:hyperlink w:anchor="_ENREF_63" w:tooltip="Gold, 2014 #4365" w:history="1">
        <w:r w:rsidR="00CC56DB" w:rsidRPr="00F71B40">
          <w:rPr>
            <w:lang w:val="en-AU"/>
          </w:rPr>
          <w:t>Gold, Roberts, &amp; Fisher, 2014</w:t>
        </w:r>
      </w:hyperlink>
      <w:r w:rsidR="00115AC9" w:rsidRPr="00F71B40">
        <w:rPr>
          <w:lang w:val="en-AU"/>
        </w:rPr>
        <w:t xml:space="preserve">; </w:t>
      </w:r>
      <w:hyperlink w:anchor="_ENREF_105" w:tooltip="Matta, 2011 #4363" w:history="1">
        <w:r w:rsidR="00CC56DB" w:rsidRPr="00F71B40">
          <w:rPr>
            <w:lang w:val="en-AU"/>
          </w:rPr>
          <w:t>Matta &amp; Morgan, 2011</w:t>
        </w:r>
      </w:hyperlink>
      <w:r w:rsidR="00115AC9" w:rsidRPr="00F71B40">
        <w:rPr>
          <w:lang w:val="en-AU"/>
        </w:rPr>
        <w:t xml:space="preserve">; </w:t>
      </w:r>
      <w:hyperlink w:anchor="_ENREF_154" w:tooltip="Zhou, 2006 #4364" w:history="1">
        <w:r w:rsidR="00CC56DB" w:rsidRPr="00F71B40">
          <w:rPr>
            <w:lang w:val="en-AU"/>
          </w:rPr>
          <w:t>Zhou, 2006</w:t>
        </w:r>
      </w:hyperlink>
      <w:r w:rsidR="00115AC9" w:rsidRPr="00F71B40">
        <w:rPr>
          <w:lang w:val="en-AU"/>
        </w:rPr>
        <w:t>)</w:t>
      </w:r>
      <w:r w:rsidR="00115AC9" w:rsidRPr="00F71B40">
        <w:rPr>
          <w:lang w:val="en-AU"/>
        </w:rPr>
        <w:fldChar w:fldCharType="end"/>
      </w:r>
      <w:r w:rsidRPr="00F71B40">
        <w:rPr>
          <w:lang w:val="en-AU"/>
        </w:rPr>
        <w:t xml:space="preserve">.  Water cannot be pushed uphill and this is not an approach which can address fundamental problems of incentives.  However, where there are signs of managerial determination to push changes through, then </w:t>
      </w:r>
      <w:r w:rsidR="006F013F" w:rsidRPr="00F71B40">
        <w:rPr>
          <w:lang w:val="en-AU"/>
        </w:rPr>
        <w:t>the managerial task of solving day to day implementation tasks, identifying tactics to overcome temporary blockages to reform, then these approaches have a growing track record.</w:t>
      </w:r>
      <w:r w:rsidR="00B849F2">
        <w:rPr>
          <w:lang w:val="en-AU"/>
        </w:rPr>
        <w:t xml:space="preserve">  Peer learning</w:t>
      </w:r>
      <w:r w:rsidR="00B849F2" w:rsidRPr="00B849F2">
        <w:rPr>
          <w:lang w:val="en-AU"/>
        </w:rPr>
        <w:t xml:space="preserve"> across key line ministries</w:t>
      </w:r>
      <w:r w:rsidR="00B849F2">
        <w:rPr>
          <w:lang w:val="en-AU"/>
        </w:rPr>
        <w:t xml:space="preserve"> </w:t>
      </w:r>
      <w:r w:rsidR="00B849F2" w:rsidRPr="00B849F2">
        <w:rPr>
          <w:lang w:val="en-AU"/>
        </w:rPr>
        <w:t>at the director level</w:t>
      </w:r>
      <w:r w:rsidR="00B849F2">
        <w:rPr>
          <w:lang w:val="en-AU"/>
        </w:rPr>
        <w:t xml:space="preserve"> could also be explored.</w:t>
      </w:r>
      <w:r w:rsidR="00F472D0">
        <w:rPr>
          <w:rStyle w:val="FootnoteReference"/>
          <w:lang w:val="en-AU"/>
        </w:rPr>
        <w:footnoteReference w:id="23"/>
      </w:r>
      <w:r w:rsidR="00B849F2">
        <w:rPr>
          <w:lang w:val="en-AU"/>
        </w:rPr>
        <w:t xml:space="preserve">  </w:t>
      </w:r>
    </w:p>
    <w:p w:rsidR="00B92CC9" w:rsidRPr="00F71B40" w:rsidRDefault="00B92CC9" w:rsidP="00D62A32">
      <w:pPr>
        <w:rPr>
          <w:rFonts w:cs="Times New Roman"/>
          <w:lang w:val="en-AU"/>
        </w:rPr>
      </w:pPr>
    </w:p>
    <w:p w:rsidR="00967EC4" w:rsidRPr="00F71B40" w:rsidRDefault="000D04B4" w:rsidP="00D62A32">
      <w:pPr>
        <w:pStyle w:val="Heading2"/>
        <w:rPr>
          <w:lang w:val="en-AU"/>
        </w:rPr>
      </w:pPr>
      <w:bookmarkStart w:id="93" w:name="_Toc399410405"/>
      <w:r w:rsidRPr="00F71B40">
        <w:rPr>
          <w:lang w:val="en-AU"/>
        </w:rPr>
        <w:t xml:space="preserve">Learning and strategy </w:t>
      </w:r>
      <w:r w:rsidR="00EE509D" w:rsidRPr="00F71B40">
        <w:rPr>
          <w:lang w:val="en-AU"/>
        </w:rPr>
        <w:t>function</w:t>
      </w:r>
      <w:r w:rsidR="005E5964" w:rsidRPr="00F71B40">
        <w:rPr>
          <w:lang w:val="en-AU"/>
        </w:rPr>
        <w:t xml:space="preserve"> for SIGOV</w:t>
      </w:r>
      <w:bookmarkEnd w:id="93"/>
    </w:p>
    <w:p w:rsidR="00967EC4" w:rsidRPr="00F71B40" w:rsidRDefault="00967EC4" w:rsidP="00D62A32">
      <w:pPr>
        <w:rPr>
          <w:rFonts w:cs="Times New Roman"/>
          <w:lang w:val="en-AU"/>
        </w:rPr>
      </w:pPr>
    </w:p>
    <w:p w:rsidR="00D36914" w:rsidRPr="00F71B40" w:rsidRDefault="00D36914" w:rsidP="00D62A32">
      <w:pPr>
        <w:rPr>
          <w:rFonts w:cs="Times New Roman"/>
          <w:lang w:val="en-AU"/>
        </w:rPr>
      </w:pPr>
      <w:r w:rsidRPr="00F71B40">
        <w:rPr>
          <w:rFonts w:cs="Times New Roman"/>
          <w:lang w:val="en-AU"/>
        </w:rPr>
        <w:t>Learning is essential in order to reshape the program flexibly as more is understood about what is likely to work, particularly in Part B.  However, it is also time-consuming and resource-intensive.</w:t>
      </w:r>
      <w:r w:rsidR="00E256D6">
        <w:rPr>
          <w:rFonts w:cs="Times New Roman"/>
          <w:lang w:val="en-AU"/>
        </w:rPr>
        <w:t xml:space="preserve">  </w:t>
      </w:r>
      <w:r w:rsidRPr="00F71B40">
        <w:rPr>
          <w:rFonts w:cs="Times New Roman"/>
          <w:lang w:val="en-AU"/>
        </w:rPr>
        <w:t xml:space="preserve">Effective learning and translating that learning into practical program design possibilities requires </w:t>
      </w:r>
      <w:r w:rsidR="003E4E6C" w:rsidRPr="00F71B40">
        <w:rPr>
          <w:rFonts w:cs="Times New Roman"/>
          <w:lang w:val="en-AU"/>
        </w:rPr>
        <w:t xml:space="preserve">a </w:t>
      </w:r>
      <w:r w:rsidR="00F71B40" w:rsidRPr="00F71B40">
        <w:rPr>
          <w:rFonts w:cs="Times New Roman"/>
          <w:lang w:val="en-AU"/>
        </w:rPr>
        <w:t>learning</w:t>
      </w:r>
      <w:r w:rsidR="007E58A6" w:rsidRPr="00F71B40">
        <w:rPr>
          <w:rFonts w:cs="Times New Roman"/>
          <w:lang w:val="en-AU"/>
        </w:rPr>
        <w:t xml:space="preserve"> and strategy function</w:t>
      </w:r>
      <w:r w:rsidR="003E4E6C" w:rsidRPr="00F71B40">
        <w:rPr>
          <w:rFonts w:cs="Times New Roman"/>
          <w:lang w:val="en-AU"/>
        </w:rPr>
        <w:t xml:space="preserve"> for SIGOV, with a few staff with experience and, most importantly, sufficient time and focus to establish disciplined diagnostic and piloting experiments and to translate the results, quickly and pragmatically, into practical ways forward for the wider program.</w:t>
      </w:r>
    </w:p>
    <w:p w:rsidR="003E4E6C" w:rsidRPr="00F71B40" w:rsidRDefault="003E4E6C" w:rsidP="00D62A32">
      <w:pPr>
        <w:rPr>
          <w:rFonts w:cs="Times New Roman"/>
          <w:lang w:val="en-AU"/>
        </w:rPr>
      </w:pPr>
    </w:p>
    <w:p w:rsidR="0022062F" w:rsidRPr="00F71B40" w:rsidRDefault="003E4E6C" w:rsidP="00D62A32">
      <w:pPr>
        <w:rPr>
          <w:rFonts w:cs="Times New Roman"/>
          <w:lang w:val="en-AU"/>
        </w:rPr>
      </w:pPr>
      <w:r w:rsidRPr="00F71B40">
        <w:rPr>
          <w:rFonts w:cs="Times New Roman"/>
          <w:lang w:val="en-AU"/>
        </w:rPr>
        <w:t xml:space="preserve">This </w:t>
      </w:r>
      <w:r w:rsidR="00463B5E" w:rsidRPr="00F71B40">
        <w:rPr>
          <w:rFonts w:cs="Times New Roman"/>
          <w:lang w:val="en-AU"/>
        </w:rPr>
        <w:t>will requ</w:t>
      </w:r>
      <w:r w:rsidRPr="00F71B40">
        <w:rPr>
          <w:rFonts w:cs="Times New Roman"/>
          <w:lang w:val="en-AU"/>
        </w:rPr>
        <w:t>ire a stronger analytical centre for SIGOV</w:t>
      </w:r>
      <w:r w:rsidR="00463B5E" w:rsidRPr="00F71B40">
        <w:rPr>
          <w:rFonts w:cs="Times New Roman"/>
          <w:lang w:val="en-AU"/>
        </w:rPr>
        <w:t xml:space="preserve"> than it has now.</w:t>
      </w:r>
      <w:r w:rsidR="00E256D6">
        <w:rPr>
          <w:rFonts w:cs="Times New Roman"/>
          <w:lang w:val="en-AU"/>
        </w:rPr>
        <w:t xml:space="preserve">  </w:t>
      </w:r>
      <w:r w:rsidR="0022062F" w:rsidRPr="00F71B40">
        <w:rPr>
          <w:rFonts w:cs="Times New Roman"/>
          <w:lang w:val="en-AU"/>
        </w:rPr>
        <w:t>Some considerable analytic strength will be needed if SIGOV is to tackle related questions concerning:</w:t>
      </w:r>
    </w:p>
    <w:p w:rsidR="0022062F" w:rsidRPr="00F71B40" w:rsidRDefault="0022062F" w:rsidP="004D15F8">
      <w:pPr>
        <w:pStyle w:val="ListParagraph"/>
        <w:numPr>
          <w:ilvl w:val="0"/>
          <w:numId w:val="15"/>
        </w:numPr>
        <w:rPr>
          <w:rFonts w:cs="Times New Roman"/>
          <w:lang w:val="en-AU"/>
        </w:rPr>
      </w:pPr>
      <w:r w:rsidRPr="00F71B40">
        <w:rPr>
          <w:rFonts w:cs="Times New Roman"/>
          <w:lang w:val="en-AU"/>
        </w:rPr>
        <w:t>The identification of positive performance outliers – what (within SIG and within the program) is working well and what can be done institutionally to replicate success?</w:t>
      </w:r>
    </w:p>
    <w:p w:rsidR="0022062F" w:rsidRPr="00F71B40" w:rsidRDefault="0022062F" w:rsidP="004D15F8">
      <w:pPr>
        <w:pStyle w:val="ListParagraph"/>
        <w:numPr>
          <w:ilvl w:val="0"/>
          <w:numId w:val="15"/>
        </w:numPr>
        <w:rPr>
          <w:rFonts w:cs="Times New Roman"/>
          <w:lang w:val="en-AU"/>
        </w:rPr>
      </w:pPr>
      <w:r w:rsidRPr="00F71B40">
        <w:rPr>
          <w:rFonts w:cs="Times New Roman"/>
          <w:lang w:val="en-AU"/>
        </w:rPr>
        <w:t>Conversely, what is not working within the program and can be stopped?</w:t>
      </w:r>
    </w:p>
    <w:p w:rsidR="0022062F" w:rsidRPr="00F71B40" w:rsidRDefault="0022062F" w:rsidP="004D15F8">
      <w:pPr>
        <w:pStyle w:val="ListParagraph"/>
        <w:numPr>
          <w:ilvl w:val="0"/>
          <w:numId w:val="15"/>
        </w:numPr>
        <w:rPr>
          <w:rFonts w:cs="Times New Roman"/>
          <w:lang w:val="en-AU"/>
        </w:rPr>
      </w:pPr>
      <w:r w:rsidRPr="00F71B40">
        <w:rPr>
          <w:rFonts w:cs="Times New Roman"/>
          <w:lang w:val="en-AU"/>
        </w:rPr>
        <w:t>Is there scope for a few out</w:t>
      </w:r>
      <w:r w:rsidR="00670BE7">
        <w:rPr>
          <w:rFonts w:cs="Times New Roman"/>
          <w:lang w:val="en-AU"/>
        </w:rPr>
        <w:t>come-</w:t>
      </w:r>
      <w:r w:rsidRPr="00F71B40">
        <w:rPr>
          <w:rFonts w:cs="Times New Roman"/>
          <w:lang w:val="en-AU"/>
        </w:rPr>
        <w:t>based triggers as part of a related budget support operation?</w:t>
      </w:r>
    </w:p>
    <w:p w:rsidR="0022062F" w:rsidRPr="00F71B40" w:rsidRDefault="0022062F" w:rsidP="00D62A32">
      <w:pPr>
        <w:rPr>
          <w:rFonts w:cs="Times New Roman"/>
          <w:lang w:val="en-AU"/>
        </w:rPr>
      </w:pPr>
    </w:p>
    <w:p w:rsidR="005E5964" w:rsidRPr="00F71B40" w:rsidRDefault="003E4E6C" w:rsidP="00D62A32">
      <w:pPr>
        <w:rPr>
          <w:rFonts w:cs="Times New Roman"/>
          <w:lang w:val="en-AU"/>
        </w:rPr>
      </w:pPr>
      <w:r w:rsidRPr="00F71B40">
        <w:rPr>
          <w:rFonts w:cs="Times New Roman"/>
          <w:lang w:val="en-AU"/>
        </w:rPr>
        <w:t>Such a cent</w:t>
      </w:r>
      <w:r w:rsidR="005E5964" w:rsidRPr="00F71B40">
        <w:rPr>
          <w:rFonts w:cs="Times New Roman"/>
          <w:lang w:val="en-AU"/>
        </w:rPr>
        <w:t>r</w:t>
      </w:r>
      <w:r w:rsidRPr="00F71B40">
        <w:rPr>
          <w:rFonts w:cs="Times New Roman"/>
          <w:lang w:val="en-AU"/>
        </w:rPr>
        <w:t>e</w:t>
      </w:r>
      <w:r w:rsidR="005E5964" w:rsidRPr="00F71B40">
        <w:rPr>
          <w:rFonts w:cs="Times New Roman"/>
          <w:lang w:val="en-AU"/>
        </w:rPr>
        <w:t xml:space="preserve"> could also provide a policy challenge to new proposals within the program – raising questions about whether new areas of work are really leading to results within a coherent intervention design, and not simply mimicking OECD reforms.</w:t>
      </w:r>
    </w:p>
    <w:p w:rsidR="00CF5AF8" w:rsidRPr="00F71B40" w:rsidRDefault="00CF5AF8" w:rsidP="00D62A32">
      <w:pPr>
        <w:rPr>
          <w:rFonts w:cs="Times New Roman"/>
          <w:lang w:val="en-AU"/>
        </w:rPr>
      </w:pPr>
    </w:p>
    <w:p w:rsidR="00967EC4" w:rsidRPr="00F71B40" w:rsidRDefault="008C3FF5" w:rsidP="00D62A32">
      <w:pPr>
        <w:rPr>
          <w:lang w:val="en-AU"/>
        </w:rPr>
      </w:pPr>
      <w:r w:rsidRPr="00F71B40">
        <w:rPr>
          <w:rFonts w:cs="Times New Roman"/>
          <w:lang w:val="en-AU"/>
        </w:rPr>
        <w:lastRenderedPageBreak/>
        <w:t>This inevitably means that some resources will need to be freed up</w:t>
      </w:r>
      <w:r w:rsidR="000D6DE1" w:rsidRPr="00F71B40">
        <w:rPr>
          <w:rFonts w:cs="Times New Roman"/>
          <w:lang w:val="en-AU"/>
        </w:rPr>
        <w:t xml:space="preserve"> to fun</w:t>
      </w:r>
      <w:r w:rsidR="005E5964" w:rsidRPr="00F71B40">
        <w:rPr>
          <w:rFonts w:cs="Times New Roman"/>
          <w:lang w:val="en-AU"/>
        </w:rPr>
        <w:t>d more technical/analytic staff, not least because the current staff complement working on SI</w:t>
      </w:r>
      <w:r w:rsidR="00DB3268">
        <w:rPr>
          <w:rFonts w:cs="Times New Roman"/>
          <w:lang w:val="en-AU"/>
        </w:rPr>
        <w:t>G</w:t>
      </w:r>
      <w:r w:rsidR="005E5964" w:rsidRPr="00F71B40">
        <w:rPr>
          <w:rFonts w:cs="Times New Roman"/>
          <w:lang w:val="en-AU"/>
        </w:rPr>
        <w:t xml:space="preserve">OV is relatively inexperienced in such technically complex reform programs.  </w:t>
      </w:r>
      <w:r w:rsidR="0022062F" w:rsidRPr="00F71B40">
        <w:rPr>
          <w:lang w:val="en-AU"/>
        </w:rPr>
        <w:t xml:space="preserve">The earlier SIGOV program document also proposed senior PFM and senior HRM specialists.  </w:t>
      </w:r>
      <w:r w:rsidR="00DB3268">
        <w:rPr>
          <w:lang w:val="en-AU"/>
        </w:rPr>
        <w:t xml:space="preserve">There is also an obvious supporting role for a </w:t>
      </w:r>
      <w:r w:rsidR="00DB3268" w:rsidRPr="00DB3268">
        <w:rPr>
          <w:lang w:val="en-AU"/>
        </w:rPr>
        <w:t>M</w:t>
      </w:r>
      <w:r w:rsidR="00DB3268">
        <w:rPr>
          <w:lang w:val="en-AU"/>
        </w:rPr>
        <w:t>onitoring and Evaluation Specialist in developing practical measurement strategies</w:t>
      </w:r>
      <w:r w:rsidR="00DB3268" w:rsidRPr="00DB3268">
        <w:rPr>
          <w:lang w:val="en-AU"/>
        </w:rPr>
        <w:t>.</w:t>
      </w:r>
    </w:p>
    <w:p w:rsidR="00077685" w:rsidRPr="00F71B40" w:rsidRDefault="00077685" w:rsidP="00D62A32">
      <w:pPr>
        <w:rPr>
          <w:lang w:val="en-AU"/>
        </w:rPr>
      </w:pPr>
    </w:p>
    <w:p w:rsidR="00077685" w:rsidRPr="00F71B40" w:rsidRDefault="00D83A80" w:rsidP="00D62A32">
      <w:pPr>
        <w:rPr>
          <w:rFonts w:cs="Times New Roman"/>
          <w:lang w:val="en-AU"/>
        </w:rPr>
      </w:pPr>
      <w:r w:rsidRPr="00F71B40">
        <w:rPr>
          <w:lang w:val="en-AU"/>
        </w:rPr>
        <w:t xml:space="preserve">That centre can also learn lessons from </w:t>
      </w:r>
      <w:r w:rsidR="00077685" w:rsidRPr="00F71B40">
        <w:rPr>
          <w:lang w:val="en-AU"/>
        </w:rPr>
        <w:t>closely related programs within DFAT which are tackling similar challenges.</w:t>
      </w:r>
      <w:r w:rsidR="00E256D6">
        <w:rPr>
          <w:lang w:val="en-AU"/>
        </w:rPr>
        <w:t xml:space="preserve">  </w:t>
      </w:r>
      <w:r w:rsidR="00077685" w:rsidRPr="00F71B40">
        <w:rPr>
          <w:lang w:val="en-AU"/>
        </w:rPr>
        <w:t>To encourage innovation and to share promising approaches, there might be some mileage in establishing a community of practice amongst DFAT (and maybe other agency) staff who are working on broadly</w:t>
      </w:r>
      <w:r w:rsidR="00DA7D93" w:rsidRPr="00F71B40">
        <w:rPr>
          <w:lang w:val="en-AU"/>
        </w:rPr>
        <w:t xml:space="preserve"> similar public sector programs (</w:t>
      </w:r>
      <w:r w:rsidR="00DA7D93" w:rsidRPr="00F71B40">
        <w:rPr>
          <w:lang w:val="en-AU"/>
        </w:rPr>
        <w:fldChar w:fldCharType="begin"/>
      </w:r>
      <w:r w:rsidR="00DA7D93" w:rsidRPr="00F71B40">
        <w:rPr>
          <w:lang w:val="en-AU"/>
        </w:rPr>
        <w:instrText xml:space="preserve"> REF _Ref399343144 \h </w:instrText>
      </w:r>
      <w:r w:rsidR="00DA7D93" w:rsidRPr="00F71B40">
        <w:rPr>
          <w:lang w:val="en-AU"/>
        </w:rPr>
      </w:r>
      <w:r w:rsidR="00DA7D93" w:rsidRPr="00F71B40">
        <w:rPr>
          <w:lang w:val="en-AU"/>
        </w:rPr>
        <w:fldChar w:fldCharType="separate"/>
      </w:r>
      <w:r w:rsidR="00EF43BE" w:rsidRPr="00F71B40">
        <w:rPr>
          <w:lang w:val="en-AU"/>
        </w:rPr>
        <w:t xml:space="preserve">Box </w:t>
      </w:r>
      <w:r w:rsidR="00EF43BE">
        <w:rPr>
          <w:noProof/>
          <w:lang w:val="en-AU"/>
        </w:rPr>
        <w:t>8</w:t>
      </w:r>
      <w:r w:rsidR="00DA7D93" w:rsidRPr="00F71B40">
        <w:rPr>
          <w:lang w:val="en-AU"/>
        </w:rPr>
        <w:fldChar w:fldCharType="end"/>
      </w:r>
      <w:r w:rsidR="00DA7D93" w:rsidRPr="00F71B40">
        <w:rPr>
          <w:lang w:val="en-AU"/>
        </w:rPr>
        <w:t>).</w:t>
      </w:r>
    </w:p>
    <w:p w:rsidR="00DA7D93" w:rsidRPr="00F71B40" w:rsidRDefault="00DA7D93" w:rsidP="00D62A32">
      <w:pPr>
        <w:rPr>
          <w:rFonts w:cs="Times New Roman"/>
          <w:lang w:val="en-AU"/>
        </w:rPr>
      </w:pPr>
    </w:p>
    <w:tbl>
      <w:tblPr>
        <w:tblStyle w:val="TableGrid"/>
        <w:tblW w:w="0" w:type="auto"/>
        <w:tblLook w:val="04A0" w:firstRow="1" w:lastRow="0" w:firstColumn="1" w:lastColumn="0" w:noHBand="0" w:noVBand="1"/>
      </w:tblPr>
      <w:tblGrid>
        <w:gridCol w:w="9576"/>
      </w:tblGrid>
      <w:tr w:rsidR="00DA7D93" w:rsidRPr="00F71B40" w:rsidTr="00DA7D93">
        <w:tc>
          <w:tcPr>
            <w:tcW w:w="9576" w:type="dxa"/>
          </w:tcPr>
          <w:p w:rsidR="00DA7D93" w:rsidRPr="00F71B40" w:rsidRDefault="00DA7D93" w:rsidP="00BA706F">
            <w:pPr>
              <w:pStyle w:val="Caption"/>
              <w:rPr>
                <w:lang w:val="en-AU"/>
              </w:rPr>
            </w:pPr>
            <w:bookmarkStart w:id="94" w:name="_Ref399343144"/>
            <w:bookmarkStart w:id="95" w:name="_Toc401761836"/>
            <w:r w:rsidRPr="00F71B40">
              <w:rPr>
                <w:lang w:val="en-AU"/>
              </w:rPr>
              <w:t xml:space="preserve">Box </w:t>
            </w:r>
            <w:r w:rsidR="00361D8F" w:rsidRPr="00F71B40">
              <w:rPr>
                <w:lang w:val="en-AU"/>
              </w:rPr>
              <w:fldChar w:fldCharType="begin"/>
            </w:r>
            <w:r w:rsidR="00361D8F" w:rsidRPr="00F71B40">
              <w:rPr>
                <w:lang w:val="en-AU"/>
              </w:rPr>
              <w:instrText xml:space="preserve"> SEQ Box \* ARABIC </w:instrText>
            </w:r>
            <w:r w:rsidR="00361D8F" w:rsidRPr="00F71B40">
              <w:rPr>
                <w:lang w:val="en-AU"/>
              </w:rPr>
              <w:fldChar w:fldCharType="separate"/>
            </w:r>
            <w:r w:rsidR="00EF43BE">
              <w:rPr>
                <w:noProof/>
                <w:lang w:val="en-AU"/>
              </w:rPr>
              <w:t>8</w:t>
            </w:r>
            <w:r w:rsidR="00361D8F" w:rsidRPr="00F71B40">
              <w:rPr>
                <w:lang w:val="en-AU"/>
              </w:rPr>
              <w:fldChar w:fldCharType="end"/>
            </w:r>
            <w:bookmarkEnd w:id="94"/>
            <w:r w:rsidRPr="00F71B40">
              <w:rPr>
                <w:lang w:val="en-AU"/>
              </w:rPr>
              <w:t>: How is diversification and experimentation facilitated in other DFAT programs? (Vanuatu, Papua New Guinea, Timor Leste)</w:t>
            </w:r>
            <w:bookmarkEnd w:id="95"/>
          </w:p>
          <w:p w:rsidR="00DA7D93" w:rsidRPr="00F71B40" w:rsidRDefault="00DA7D93" w:rsidP="00DA7D93">
            <w:pPr>
              <w:rPr>
                <w:rFonts w:cs="Times New Roman"/>
                <w:lang w:val="en-AU"/>
              </w:rPr>
            </w:pPr>
          </w:p>
          <w:p w:rsidR="00DA7D93" w:rsidRPr="00F71B40" w:rsidRDefault="00DA7D93" w:rsidP="00DA7D93">
            <w:pPr>
              <w:rPr>
                <w:rFonts w:cs="Times New Roman"/>
                <w:i/>
                <w:sz w:val="20"/>
                <w:szCs w:val="20"/>
                <w:lang w:val="en-AU"/>
              </w:rPr>
            </w:pPr>
            <w:r w:rsidRPr="00F71B40">
              <w:rPr>
                <w:rFonts w:cs="Times New Roman"/>
                <w:i/>
                <w:sz w:val="20"/>
                <w:szCs w:val="20"/>
                <w:lang w:val="en-AU"/>
              </w:rPr>
              <w:t>Vanuatu Governance for Growth (GfG) project</w:t>
            </w:r>
          </w:p>
          <w:p w:rsidR="00DA7D93" w:rsidRPr="00F71B40" w:rsidRDefault="00DA7D93" w:rsidP="00DA7D93">
            <w:pPr>
              <w:rPr>
                <w:rFonts w:cs="Times New Roman"/>
                <w:sz w:val="20"/>
                <w:szCs w:val="20"/>
                <w:lang w:val="en-AU"/>
              </w:rPr>
            </w:pPr>
            <w:r w:rsidRPr="00F71B40">
              <w:rPr>
                <w:rFonts w:cs="Times New Roman"/>
                <w:sz w:val="20"/>
                <w:szCs w:val="20"/>
                <w:lang w:val="en-AU"/>
              </w:rPr>
              <w:t xml:space="preserve">This project provides “incentives for the implementation of sound policy directions.  The approach to incentives will be flexible: they may take the form of financing for capacity-building, technical advice, investment or adjustment costs.  Each package of assistance will be designed on a case-by-case basis.  The aim will be to ensure that the major obstacles to implementation of reform are removed, such that the key determinant of its success becomes GoV’s political will, leadership and willingness to drive through change” </w:t>
            </w:r>
            <w:r w:rsidR="00115AC9" w:rsidRPr="00F71B40">
              <w:rPr>
                <w:rFonts w:cs="Times New Roman"/>
                <w:sz w:val="20"/>
                <w:szCs w:val="20"/>
                <w:lang w:val="en-AU"/>
              </w:rPr>
              <w:fldChar w:fldCharType="begin"/>
            </w:r>
            <w:r w:rsidR="00115AC9" w:rsidRPr="00F71B40">
              <w:rPr>
                <w:rFonts w:cs="Times New Roman"/>
                <w:sz w:val="20"/>
                <w:szCs w:val="20"/>
                <w:lang w:val="en-AU"/>
              </w:rPr>
              <w:instrText xml:space="preserve"> ADDIN EN.CITE &lt;EndNote&gt;&lt;Cite&gt;&lt;Author&gt;AusAID&lt;/Author&gt;&lt;Year&gt;2007&lt;/Year&gt;&lt;RecNum&gt;4249&lt;/RecNum&gt;&lt;Suffix&gt;`, p. 12&lt;/Suffix&gt;&lt;DisplayText&gt;(AusAID, 2007, p. 12)&lt;/DisplayText&gt;&lt;record&gt;&lt;rec-number&gt;4249&lt;/rec-number&gt;&lt;foreign-keys&gt;&lt;key app="EN" db-id="5v9z5rrdszvwsneef06v9dapsd0apdtfapdx" timestamp="1408295934"&gt;4249&lt;/key&gt;&lt;/foreign-keys&gt;&lt;ref-type name="Report"&gt;27&lt;/ref-type&gt;&lt;contributors&gt;&lt;authors&gt;&lt;author&gt;AusAID&lt;/author&gt;&lt;/authors&gt;&lt;/contributors&gt;&lt;titles&gt;&lt;title&gt;Governance for Growth Program: DESIGN DOCUMENT&lt;/title&gt;&lt;/titles&gt;&lt;dates&gt;&lt;year&gt;2007&lt;/year&gt;&lt;/dates&gt;&lt;pub-location&gt;Canberra&lt;/pub-location&gt;&lt;publisher&gt;AusAID&lt;/publisher&gt;&lt;urls&gt;&lt;/urls&gt;&lt;/record&gt;&lt;/Cite&gt;&lt;/EndNote&gt;</w:instrText>
            </w:r>
            <w:r w:rsidR="00115AC9" w:rsidRPr="00F71B40">
              <w:rPr>
                <w:rFonts w:cs="Times New Roman"/>
                <w:sz w:val="20"/>
                <w:szCs w:val="20"/>
                <w:lang w:val="en-AU"/>
              </w:rPr>
              <w:fldChar w:fldCharType="separate"/>
            </w:r>
            <w:r w:rsidR="00115AC9" w:rsidRPr="00F71B40">
              <w:rPr>
                <w:rFonts w:cs="Times New Roman"/>
                <w:sz w:val="20"/>
                <w:szCs w:val="20"/>
                <w:lang w:val="en-AU"/>
              </w:rPr>
              <w:t>(</w:t>
            </w:r>
            <w:hyperlink w:anchor="_ENREF_8" w:tooltip="AusAID, 2007 #4249" w:history="1">
              <w:r w:rsidR="00CC56DB" w:rsidRPr="00F71B40">
                <w:rPr>
                  <w:rFonts w:cs="Times New Roman"/>
                  <w:sz w:val="20"/>
                  <w:szCs w:val="20"/>
                  <w:lang w:val="en-AU"/>
                </w:rPr>
                <w:t>AusAID, 2007, p. 12</w:t>
              </w:r>
            </w:hyperlink>
            <w:r w:rsidR="00115AC9" w:rsidRPr="00F71B40">
              <w:rPr>
                <w:rFonts w:cs="Times New Roman"/>
                <w:sz w:val="20"/>
                <w:szCs w:val="20"/>
                <w:lang w:val="en-AU"/>
              </w:rPr>
              <w:t>)</w:t>
            </w:r>
            <w:r w:rsidR="00115AC9" w:rsidRPr="00F71B40">
              <w:rPr>
                <w:rFonts w:cs="Times New Roman"/>
                <w:sz w:val="20"/>
                <w:szCs w:val="20"/>
                <w:lang w:val="en-AU"/>
              </w:rPr>
              <w:fldChar w:fldCharType="end"/>
            </w:r>
            <w:r w:rsidRPr="00F71B40">
              <w:rPr>
                <w:rFonts w:cs="Times New Roman"/>
                <w:sz w:val="20"/>
                <w:szCs w:val="20"/>
                <w:lang w:val="en-AU"/>
              </w:rPr>
              <w:t>.</w:t>
            </w:r>
            <w:r w:rsidR="00E256D6">
              <w:rPr>
                <w:rFonts w:cs="Times New Roman"/>
                <w:sz w:val="20"/>
                <w:szCs w:val="20"/>
                <w:lang w:val="en-AU"/>
              </w:rPr>
              <w:t xml:space="preserve">  </w:t>
            </w:r>
            <w:r w:rsidRPr="00F71B40">
              <w:rPr>
                <w:rFonts w:cs="Times New Roman"/>
                <w:sz w:val="20"/>
                <w:szCs w:val="20"/>
                <w:lang w:val="en-AU"/>
              </w:rPr>
              <w:t>“</w:t>
            </w:r>
            <w:r w:rsidRPr="00F71B40">
              <w:rPr>
                <w:rFonts w:cs="Times New Roman"/>
                <w:iCs/>
                <w:sz w:val="20"/>
                <w:szCs w:val="20"/>
                <w:lang w:val="en-AU"/>
              </w:rPr>
              <w:t>GfG’s mandate requires it to provide the resources to see policy development and institutional reform through to implementation. This may come from DFAT (drawn from GfG’s own immediately accessible ‘Flexible Fund’ or</w:t>
            </w:r>
            <w:r w:rsidR="0059789D" w:rsidRPr="00F71B40">
              <w:rPr>
                <w:rFonts w:cs="Times New Roman"/>
                <w:iCs/>
                <w:sz w:val="20"/>
                <w:szCs w:val="20"/>
                <w:lang w:val="en-AU"/>
              </w:rPr>
              <w:t xml:space="preserve"> – in </w:t>
            </w:r>
            <w:r w:rsidRPr="00F71B40">
              <w:rPr>
                <w:rFonts w:cs="Times New Roman"/>
                <w:iCs/>
                <w:sz w:val="20"/>
                <w:szCs w:val="20"/>
                <w:lang w:val="en-AU"/>
              </w:rPr>
              <w:t>the longer-term</w:t>
            </w:r>
            <w:r w:rsidR="0059789D" w:rsidRPr="00F71B40">
              <w:rPr>
                <w:rFonts w:cs="Times New Roman"/>
                <w:iCs/>
                <w:sz w:val="20"/>
                <w:szCs w:val="20"/>
                <w:lang w:val="en-AU"/>
              </w:rPr>
              <w:t xml:space="preserve"> – </w:t>
            </w:r>
            <w:r w:rsidRPr="00F71B40">
              <w:rPr>
                <w:rFonts w:cs="Times New Roman"/>
                <w:iCs/>
                <w:sz w:val="20"/>
                <w:szCs w:val="20"/>
                <w:lang w:val="en-AU"/>
              </w:rPr>
              <w:t>the</w:t>
            </w:r>
            <w:r w:rsidR="0059789D" w:rsidRPr="00F71B40">
              <w:rPr>
                <w:rFonts w:cs="Times New Roman"/>
                <w:iCs/>
                <w:sz w:val="20"/>
                <w:szCs w:val="20"/>
                <w:lang w:val="en-AU"/>
              </w:rPr>
              <w:t xml:space="preserve"> </w:t>
            </w:r>
            <w:r w:rsidRPr="00F71B40">
              <w:rPr>
                <w:rFonts w:cs="Times New Roman"/>
                <w:iCs/>
                <w:sz w:val="20"/>
                <w:szCs w:val="20"/>
                <w:lang w:val="en-AU"/>
              </w:rPr>
              <w:t>wider DFAT bilateral program pipeline). GfG also plays the role of broker or intermediary, drawing in resources from others, typically, the multilateral development banks (MDBs), other bilateral donors or the private sector, where it is appropriate.</w:t>
            </w:r>
            <w:r w:rsidR="00E256D6">
              <w:rPr>
                <w:rFonts w:cs="Times New Roman"/>
                <w:iCs/>
                <w:sz w:val="20"/>
                <w:szCs w:val="20"/>
                <w:lang w:val="en-AU"/>
              </w:rPr>
              <w:t xml:space="preserve">  </w:t>
            </w:r>
            <w:r w:rsidRPr="00F71B40">
              <w:rPr>
                <w:rFonts w:cs="Times New Roman"/>
                <w:iCs/>
                <w:sz w:val="20"/>
                <w:szCs w:val="20"/>
                <w:lang w:val="en-AU"/>
              </w:rPr>
              <w:t xml:space="preserve">GfG also provides accountable grants to competent units of government to take forward agreed reforms, as some aspects of GfG’s support are best managed by the units of government involved, within their own structures and systems. This also crucially supports ownership and GoV leadership of the reforms.” </w:t>
            </w:r>
            <w:r w:rsidR="00115AC9" w:rsidRPr="00F71B40">
              <w:rPr>
                <w:rFonts w:cs="Times New Roman"/>
                <w:sz w:val="20"/>
                <w:szCs w:val="20"/>
                <w:lang w:val="en-AU"/>
              </w:rPr>
              <w:fldChar w:fldCharType="begin"/>
            </w:r>
            <w:r w:rsidR="00115AC9" w:rsidRPr="00F71B40">
              <w:rPr>
                <w:rFonts w:cs="Times New Roman"/>
                <w:sz w:val="20"/>
                <w:szCs w:val="20"/>
                <w:lang w:val="en-AU"/>
              </w:rPr>
              <w:instrText xml:space="preserve"> ADDIN EN.CITE &lt;EndNote&gt;&lt;Cite&gt;&lt;Author&gt;AusAID&lt;/Author&gt;&lt;Year&gt;n/k&lt;/Year&gt;&lt;RecNum&gt;4329&lt;/RecNum&gt;&lt;DisplayText&gt;(AusAID, n/k)&lt;/DisplayText&gt;&lt;record&gt;&lt;rec-number&gt;4329&lt;/rec-number&gt;&lt;foreign-keys&gt;&lt;key app="EN" db-id="5v9z5rrdszvwsneef06v9dapsd0apdtfapdx" timestamp="1408737367"&gt;4329&lt;/key&gt;&lt;/foreign-keys&gt;&lt;ref-type name="Report"&gt;27&lt;/ref-type&gt;&lt;contributors&gt;&lt;authors&gt;&lt;author&gt;AusAID&lt;/author&gt;&lt;/authors&gt;&lt;/contributors&gt;&lt;titles&gt;&lt;title&gt;Vanuatu Governance for Growth Design Summary &lt;/title&gt;&lt;/titles&gt;&lt;dates&gt;&lt;year&gt;n/k&lt;/year&gt;&lt;/dates&gt;&lt;pub-location&gt;Canberra&lt;/pub-location&gt;&lt;publisher&gt;AusAID&lt;/publisher&gt;&lt;urls&gt;&lt;/urls&gt;&lt;/record&gt;&lt;/Cite&gt;&lt;/EndNote&gt;</w:instrText>
            </w:r>
            <w:r w:rsidR="00115AC9" w:rsidRPr="00F71B40">
              <w:rPr>
                <w:rFonts w:cs="Times New Roman"/>
                <w:sz w:val="20"/>
                <w:szCs w:val="20"/>
                <w:lang w:val="en-AU"/>
              </w:rPr>
              <w:fldChar w:fldCharType="separate"/>
            </w:r>
            <w:r w:rsidR="00115AC9" w:rsidRPr="00F71B40">
              <w:rPr>
                <w:rFonts w:cs="Times New Roman"/>
                <w:sz w:val="20"/>
                <w:szCs w:val="20"/>
                <w:lang w:val="en-AU"/>
              </w:rPr>
              <w:t>(</w:t>
            </w:r>
            <w:hyperlink w:anchor="_ENREF_14" w:tooltip="AusAID, n/k #4329" w:history="1">
              <w:r w:rsidR="00CC56DB" w:rsidRPr="00F71B40">
                <w:rPr>
                  <w:rFonts w:cs="Times New Roman"/>
                  <w:sz w:val="20"/>
                  <w:szCs w:val="20"/>
                  <w:lang w:val="en-AU"/>
                </w:rPr>
                <w:t>AusAID, n/k</w:t>
              </w:r>
            </w:hyperlink>
            <w:r w:rsidR="00115AC9" w:rsidRPr="00F71B40">
              <w:rPr>
                <w:rFonts w:cs="Times New Roman"/>
                <w:sz w:val="20"/>
                <w:szCs w:val="20"/>
                <w:lang w:val="en-AU"/>
              </w:rPr>
              <w:t>)</w:t>
            </w:r>
            <w:r w:rsidR="00115AC9" w:rsidRPr="00F71B40">
              <w:rPr>
                <w:rFonts w:cs="Times New Roman"/>
                <w:sz w:val="20"/>
                <w:szCs w:val="20"/>
                <w:lang w:val="en-AU"/>
              </w:rPr>
              <w:fldChar w:fldCharType="end"/>
            </w:r>
            <w:r w:rsidRPr="00F71B40">
              <w:rPr>
                <w:rFonts w:cs="Times New Roman"/>
                <w:sz w:val="20"/>
                <w:szCs w:val="20"/>
                <w:lang w:val="en-AU"/>
              </w:rPr>
              <w:tab/>
            </w:r>
          </w:p>
          <w:p w:rsidR="00DA7D93" w:rsidRPr="00F71B40" w:rsidRDefault="00DA7D93" w:rsidP="00DA7D93">
            <w:pPr>
              <w:rPr>
                <w:rFonts w:cs="Times New Roman"/>
                <w:sz w:val="20"/>
                <w:szCs w:val="20"/>
                <w:lang w:val="en-AU"/>
              </w:rPr>
            </w:pPr>
            <w:r w:rsidRPr="00F71B40">
              <w:rPr>
                <w:rFonts w:cs="Times New Roman"/>
                <w:sz w:val="20"/>
                <w:szCs w:val="20"/>
                <w:lang w:val="en-AU"/>
              </w:rPr>
              <w:t>The mid-term review of the Vanuatu program claims considerable success – although the evidence behind this claim is not provided.</w:t>
            </w:r>
            <w:r w:rsidR="00E256D6">
              <w:rPr>
                <w:rFonts w:cs="Times New Roman"/>
                <w:sz w:val="20"/>
                <w:szCs w:val="20"/>
                <w:lang w:val="en-AU"/>
              </w:rPr>
              <w:t xml:space="preserve">  </w:t>
            </w:r>
            <w:r w:rsidRPr="00F71B40">
              <w:rPr>
                <w:rFonts w:cs="Times New Roman"/>
                <w:sz w:val="20"/>
                <w:szCs w:val="20"/>
                <w:lang w:val="en-AU"/>
              </w:rPr>
              <w:t>“GfG’s flexible design has contributed to this success, allowing the program to capitalise on opportunities for GoV-led reforms as they arise. However, this flexibility involves a greater level of risk than more conventional aid programs</w:t>
            </w:r>
            <w:r w:rsidR="0059789D" w:rsidRPr="00F71B40">
              <w:rPr>
                <w:rFonts w:cs="Times New Roman"/>
                <w:sz w:val="20"/>
                <w:szCs w:val="20"/>
                <w:lang w:val="en-AU"/>
              </w:rPr>
              <w:t>…</w:t>
            </w:r>
            <w:r w:rsidRPr="00F71B40">
              <w:rPr>
                <w:rFonts w:cs="Times New Roman"/>
                <w:sz w:val="20"/>
                <w:szCs w:val="20"/>
                <w:lang w:val="en-AU"/>
              </w:rPr>
              <w:t xml:space="preserve"> While there are particular risks associated with such a broad and flexible model, GfG’s major achievements have been the result of its strategic and well articulated development strategy based on an understanding of the local context, its constraints and a degree of ‘strategic opportunism’ taking advantage of opportunities that arise.” </w:t>
            </w:r>
            <w:r w:rsidR="00115AC9" w:rsidRPr="00F71B40">
              <w:rPr>
                <w:rFonts w:cs="Times New Roman"/>
                <w:sz w:val="20"/>
                <w:szCs w:val="20"/>
                <w:lang w:val="en-AU"/>
              </w:rPr>
              <w:fldChar w:fldCharType="begin"/>
            </w:r>
            <w:r w:rsidR="00115AC9" w:rsidRPr="00F71B40">
              <w:rPr>
                <w:rFonts w:cs="Times New Roman"/>
                <w:sz w:val="20"/>
                <w:szCs w:val="20"/>
                <w:lang w:val="en-AU"/>
              </w:rPr>
              <w:instrText xml:space="preserve"> ADDIN EN.CITE &lt;EndNote&gt;&lt;Cite&gt;&lt;Author&gt;AusAID and the Government of Vanuatu&lt;/Author&gt;&lt;Year&gt;2011&lt;/Year&gt;&lt;RecNum&gt;4250&lt;/RecNum&gt;&lt;Suffix&gt;`, p. 11&lt;/Suffix&gt;&lt;DisplayText&gt;(AusAID and the Government of Vanuatu, 2011, p. 11)&lt;/DisplayText&gt;&lt;record&gt;&lt;rec-number&gt;4250&lt;/rec-number&gt;&lt;foreign-keys&gt;&lt;key app="EN" db-id="5v9z5rrdszvwsneef06v9dapsd0apdtfapdx" timestamp="1408301148"&gt;4250&lt;/key&gt;&lt;/foreign-keys&gt;&lt;ref-type name="Report"&gt;27&lt;/ref-type&gt;&lt;contributors&gt;&lt;authors&gt;&lt;author&gt;AusAID and the Government of Vanuatu,&lt;/author&gt;&lt;/authors&gt;&lt;/contributors&gt;&lt;titles&gt;&lt;title&gt;Governance for Growth: mid-term review&lt;/title&gt;&lt;/titles&gt;&lt;dates&gt;&lt;year&gt;2011&lt;/year&gt;&lt;/dates&gt;&lt;pub-location&gt;Canberra&lt;/pub-location&gt;&lt;publisher&gt;AusAID&lt;/publisher&gt;&lt;urls&gt;&lt;/urls&gt;&lt;/record&gt;&lt;/Cite&gt;&lt;/EndNote&gt;</w:instrText>
            </w:r>
            <w:r w:rsidR="00115AC9" w:rsidRPr="00F71B40">
              <w:rPr>
                <w:rFonts w:cs="Times New Roman"/>
                <w:sz w:val="20"/>
                <w:szCs w:val="20"/>
                <w:lang w:val="en-AU"/>
              </w:rPr>
              <w:fldChar w:fldCharType="separate"/>
            </w:r>
            <w:r w:rsidR="00115AC9" w:rsidRPr="00F71B40">
              <w:rPr>
                <w:rFonts w:cs="Times New Roman"/>
                <w:sz w:val="20"/>
                <w:szCs w:val="20"/>
                <w:lang w:val="en-AU"/>
              </w:rPr>
              <w:t>(</w:t>
            </w:r>
            <w:hyperlink w:anchor="_ENREF_15" w:tooltip="AusAID and the Government of Vanuatu, 2011 #4250" w:history="1">
              <w:r w:rsidR="00CC56DB" w:rsidRPr="00F71B40">
                <w:rPr>
                  <w:rFonts w:cs="Times New Roman"/>
                  <w:sz w:val="20"/>
                  <w:szCs w:val="20"/>
                  <w:lang w:val="en-AU"/>
                </w:rPr>
                <w:t>AusAID and the Government of Vanuatu, 2011, p. 11</w:t>
              </w:r>
            </w:hyperlink>
            <w:r w:rsidR="00115AC9" w:rsidRPr="00F71B40">
              <w:rPr>
                <w:rFonts w:cs="Times New Roman"/>
                <w:sz w:val="20"/>
                <w:szCs w:val="20"/>
                <w:lang w:val="en-AU"/>
              </w:rPr>
              <w:t>)</w:t>
            </w:r>
            <w:r w:rsidR="00115AC9" w:rsidRPr="00F71B40">
              <w:rPr>
                <w:rFonts w:cs="Times New Roman"/>
                <w:sz w:val="20"/>
                <w:szCs w:val="20"/>
                <w:lang w:val="en-AU"/>
              </w:rPr>
              <w:fldChar w:fldCharType="end"/>
            </w:r>
            <w:r w:rsidRPr="00F71B40">
              <w:rPr>
                <w:rFonts w:cs="Times New Roman"/>
                <w:sz w:val="20"/>
                <w:szCs w:val="20"/>
                <w:lang w:val="en-AU"/>
              </w:rPr>
              <w:t xml:space="preserve">  </w:t>
            </w:r>
          </w:p>
          <w:p w:rsidR="00DA7D93" w:rsidRPr="00F71B40" w:rsidRDefault="00DA7D93" w:rsidP="00DA7D93">
            <w:pPr>
              <w:rPr>
                <w:rFonts w:cs="Times New Roman"/>
                <w:sz w:val="20"/>
                <w:szCs w:val="20"/>
                <w:lang w:val="en-AU"/>
              </w:rPr>
            </w:pPr>
          </w:p>
          <w:p w:rsidR="00DA7D93" w:rsidRPr="00F71B40" w:rsidRDefault="00DA7D93" w:rsidP="00DA7D93">
            <w:pPr>
              <w:rPr>
                <w:rFonts w:cs="Times New Roman"/>
                <w:i/>
                <w:sz w:val="20"/>
                <w:szCs w:val="20"/>
                <w:lang w:val="en-AU"/>
              </w:rPr>
            </w:pPr>
            <w:r w:rsidRPr="00F71B40">
              <w:rPr>
                <w:rFonts w:cs="Times New Roman"/>
                <w:i/>
                <w:sz w:val="20"/>
                <w:szCs w:val="20"/>
                <w:lang w:val="en-AU"/>
              </w:rPr>
              <w:t>Governance facility in Papua New Guinea</w:t>
            </w:r>
          </w:p>
          <w:p w:rsidR="00DA7D93" w:rsidRPr="00F71B40" w:rsidRDefault="00DA7D93" w:rsidP="00DA7D93">
            <w:pPr>
              <w:rPr>
                <w:rFonts w:cs="Times New Roman"/>
                <w:sz w:val="20"/>
                <w:szCs w:val="20"/>
                <w:lang w:val="en-AU"/>
              </w:rPr>
            </w:pPr>
            <w:r w:rsidRPr="00F71B40">
              <w:rPr>
                <w:rFonts w:cs="Times New Roman"/>
                <w:sz w:val="20"/>
                <w:szCs w:val="20"/>
                <w:lang w:val="en-AU"/>
              </w:rPr>
              <w:t>The design of the DFAT Governance Facility in Papua New Guinea “will take a minimalist approach… and will essentially put in place the scaffolding for a flexible, iterative and adaptive approach to governance in PNG over the next 10 years”.</w:t>
            </w:r>
            <w:r w:rsidRPr="00F71B40">
              <w:rPr>
                <w:rStyle w:val="FootnoteReference"/>
                <w:rFonts w:cs="Times New Roman"/>
                <w:sz w:val="20"/>
                <w:szCs w:val="20"/>
                <w:lang w:val="en-AU"/>
              </w:rPr>
              <w:footnoteReference w:id="24"/>
            </w:r>
            <w:r w:rsidRPr="00F71B40">
              <w:rPr>
                <w:rFonts w:cs="Times New Roman"/>
                <w:sz w:val="20"/>
                <w:szCs w:val="20"/>
                <w:lang w:val="en-AU"/>
              </w:rPr>
              <w:t xml:space="preserve">  “It is anticipated that the Facility will be mobilised in late-2015, and it will eventually replace the existing suite of DFAT governance programs in PNG” </w:t>
            </w:r>
            <w:r w:rsidR="00115AC9" w:rsidRPr="00F71B40">
              <w:rPr>
                <w:rFonts w:cs="Times New Roman"/>
                <w:sz w:val="20"/>
                <w:szCs w:val="20"/>
                <w:lang w:val="en-AU"/>
              </w:rPr>
              <w:fldChar w:fldCharType="begin"/>
            </w:r>
            <w:r w:rsidR="00115AC9" w:rsidRPr="00F71B40">
              <w:rPr>
                <w:rFonts w:cs="Times New Roman"/>
                <w:sz w:val="20"/>
                <w:szCs w:val="20"/>
                <w:lang w:val="en-AU"/>
              </w:rPr>
              <w:instrText xml:space="preserve"> ADDIN EN.CITE &lt;EndNote&gt;&lt;Cite&gt;&lt;Author&gt;DFAT&lt;/Author&gt;&lt;Year&gt;2014&lt;/Year&gt;&lt;RecNum&gt;4251&lt;/RecNum&gt;&lt;Suffix&gt;`, p. 2&lt;/Suffix&gt;&lt;DisplayText&gt;(DFAT, 2014a, p. 2)&lt;/DisplayText&gt;&lt;record&gt;&lt;rec-number&gt;4251&lt;/rec-number&gt;&lt;foreign-keys&gt;&lt;key app="EN" db-id="5v9z5rrdszvwsneef06v9dapsd0apdtfapdx" timestamp="1408304023"&gt;4251&lt;/key&gt;&lt;/foreign-keys&gt;&lt;ref-type name="Manuscript"&gt;36&lt;/ref-type&gt;&lt;contributors&gt;&lt;authors&gt;&lt;author&gt;DFAT&lt;/author&gt;&lt;/authors&gt;&lt;secondary-authors&gt;&lt;author&gt;DFAT&lt;/author&gt;&lt;/secondary-authors&gt;&lt;/contributors&gt;&lt;titles&gt;&lt;title&gt;Candidate Information Pack: Senior Program Manager Democratic Governance&lt;/title&gt;&lt;/titles&gt;&lt;dates&gt;&lt;year&gt;2014&lt;/year&gt;&lt;/dates&gt;&lt;pub-location&gt;Canberra&lt;/pub-location&gt;&lt;urls&gt;&lt;/urls&gt;&lt;/record&gt;&lt;/Cite&gt;&lt;/EndNote&gt;</w:instrText>
            </w:r>
            <w:r w:rsidR="00115AC9" w:rsidRPr="00F71B40">
              <w:rPr>
                <w:rFonts w:cs="Times New Roman"/>
                <w:sz w:val="20"/>
                <w:szCs w:val="20"/>
                <w:lang w:val="en-AU"/>
              </w:rPr>
              <w:fldChar w:fldCharType="separate"/>
            </w:r>
            <w:r w:rsidR="00115AC9" w:rsidRPr="00F71B40">
              <w:rPr>
                <w:rFonts w:cs="Times New Roman"/>
                <w:sz w:val="20"/>
                <w:szCs w:val="20"/>
                <w:lang w:val="en-AU"/>
              </w:rPr>
              <w:t>(</w:t>
            </w:r>
            <w:hyperlink w:anchor="_ENREF_48" w:tooltip="DFAT, 2014 #4251" w:history="1">
              <w:r w:rsidR="00CC56DB" w:rsidRPr="00F71B40">
                <w:rPr>
                  <w:rFonts w:cs="Times New Roman"/>
                  <w:sz w:val="20"/>
                  <w:szCs w:val="20"/>
                  <w:lang w:val="en-AU"/>
                </w:rPr>
                <w:t>DFAT, 2014a, p. 2</w:t>
              </w:r>
            </w:hyperlink>
            <w:r w:rsidR="00115AC9" w:rsidRPr="00F71B40">
              <w:rPr>
                <w:rFonts w:cs="Times New Roman"/>
                <w:sz w:val="20"/>
                <w:szCs w:val="20"/>
                <w:lang w:val="en-AU"/>
              </w:rPr>
              <w:t>)</w:t>
            </w:r>
            <w:r w:rsidR="00115AC9" w:rsidRPr="00F71B40">
              <w:rPr>
                <w:rFonts w:cs="Times New Roman"/>
                <w:sz w:val="20"/>
                <w:szCs w:val="20"/>
                <w:lang w:val="en-AU"/>
              </w:rPr>
              <w:fldChar w:fldCharType="end"/>
            </w:r>
          </w:p>
          <w:p w:rsidR="00DA7D93" w:rsidRPr="00F71B40" w:rsidRDefault="00DA7D93" w:rsidP="00DA7D93">
            <w:pPr>
              <w:rPr>
                <w:rFonts w:cs="Times New Roman"/>
                <w:sz w:val="20"/>
                <w:szCs w:val="20"/>
                <w:lang w:val="en-AU"/>
              </w:rPr>
            </w:pPr>
          </w:p>
          <w:p w:rsidR="00DA7D93" w:rsidRPr="00F71B40" w:rsidRDefault="00DA7D93" w:rsidP="00DA7D93">
            <w:pPr>
              <w:rPr>
                <w:rFonts w:cs="Times New Roman"/>
                <w:i/>
                <w:sz w:val="20"/>
                <w:szCs w:val="20"/>
                <w:lang w:val="en-AU"/>
              </w:rPr>
            </w:pPr>
            <w:r w:rsidRPr="00F71B40">
              <w:rPr>
                <w:rFonts w:cs="Times New Roman"/>
                <w:i/>
                <w:sz w:val="20"/>
                <w:szCs w:val="20"/>
                <w:lang w:val="en-AU"/>
              </w:rPr>
              <w:t>Governance for Development Program in Timor Leste</w:t>
            </w:r>
          </w:p>
          <w:p w:rsidR="00DA7D93" w:rsidRPr="00F71B40" w:rsidRDefault="00DA7D93" w:rsidP="00CC56DB">
            <w:pPr>
              <w:rPr>
                <w:rFonts w:cs="Times New Roman"/>
                <w:sz w:val="20"/>
                <w:szCs w:val="20"/>
                <w:lang w:val="en-AU"/>
              </w:rPr>
            </w:pPr>
            <w:r w:rsidRPr="00F71B40">
              <w:rPr>
                <w:rFonts w:cs="Times New Roman"/>
                <w:sz w:val="20"/>
                <w:szCs w:val="20"/>
                <w:lang w:val="en-AU"/>
              </w:rPr>
              <w:t xml:space="preserve">The Governance for Development Program in Timor-Leste includes a “six monthly reflection and redesign process”.  The process seems relatively informal and involves bringing together the DFAT implementation team at post, the “Program Enabling Team” in Canberra and no less than two “people on retainer to the program who provide short term inputs over a number of years (and)… play the file of a critical friend, providing advice that reflects the intention of the program, whilst also ensuring that it makes sensible adaptations.” </w:t>
            </w:r>
            <w:r w:rsidR="00115AC9" w:rsidRPr="00F71B40">
              <w:rPr>
                <w:rFonts w:cs="Times New Roman"/>
                <w:sz w:val="20"/>
                <w:szCs w:val="20"/>
                <w:lang w:val="en-AU"/>
              </w:rPr>
              <w:fldChar w:fldCharType="begin"/>
            </w:r>
            <w:r w:rsidR="00115AC9" w:rsidRPr="00F71B40">
              <w:rPr>
                <w:rFonts w:cs="Times New Roman"/>
                <w:sz w:val="20"/>
                <w:szCs w:val="20"/>
                <w:lang w:val="en-AU"/>
              </w:rPr>
              <w:instrText xml:space="preserve"> ADDIN EN.CITE &lt;EndNote&gt;&lt;Cite&gt;&lt;Author&gt;DFAT&lt;/Author&gt;&lt;Year&gt;n/k&lt;/Year&gt;&lt;RecNum&gt;4253&lt;/RecNum&gt;&lt;Suffix&gt;`, p.1&lt;/Suffix&gt;&lt;DisplayText&gt;(DFAT, n/k, p.1)&lt;/DisplayText&gt;&lt;record&gt;&lt;rec-number&gt;4253&lt;/rec-number&gt;&lt;foreign-keys&gt;&lt;key app="EN" db-id="5v9z5rrdszvwsneef06v9dapsd0apdtfapdx" timestamp="1408306675"&gt;4253&lt;/key&gt;&lt;/foreign-keys&gt;&lt;ref-type name="Manuscript"&gt;36&lt;/ref-type&gt;&lt;contributors&gt;&lt;authors&gt;&lt;author&gt;DFAT&lt;/author&gt;&lt;/authors&gt;&lt;secondary-authors&gt;&lt;author&gt;DFAT&lt;/author&gt;&lt;/secondary-authors&gt;&lt;/contributors&gt;&lt;titles&gt;&lt;title&gt;The six monthly reflection and redesign process: Bringing performance managment and political economy analysis together&lt;/title&gt;&lt;/titles&gt;&lt;dates&gt;&lt;year&gt;n/k&lt;/year&gt;&lt;/dates&gt;&lt;pub-location&gt;Canberra&lt;/pub-location&gt;&lt;urls&gt;&lt;/urls&gt;&lt;/record&gt;&lt;/Cite&gt;&lt;/EndNote&gt;</w:instrText>
            </w:r>
            <w:r w:rsidR="00115AC9" w:rsidRPr="00F71B40">
              <w:rPr>
                <w:rFonts w:cs="Times New Roman"/>
                <w:sz w:val="20"/>
                <w:szCs w:val="20"/>
                <w:lang w:val="en-AU"/>
              </w:rPr>
              <w:fldChar w:fldCharType="separate"/>
            </w:r>
            <w:r w:rsidR="00115AC9" w:rsidRPr="00F71B40">
              <w:rPr>
                <w:rFonts w:cs="Times New Roman"/>
                <w:sz w:val="20"/>
                <w:szCs w:val="20"/>
                <w:lang w:val="en-AU"/>
              </w:rPr>
              <w:t>(</w:t>
            </w:r>
            <w:hyperlink w:anchor="_ENREF_51" w:tooltip="DFAT, n/k #4253" w:history="1">
              <w:r w:rsidR="00CC56DB" w:rsidRPr="00F71B40">
                <w:rPr>
                  <w:rFonts w:cs="Times New Roman"/>
                  <w:sz w:val="20"/>
                  <w:szCs w:val="20"/>
                  <w:lang w:val="en-AU"/>
                </w:rPr>
                <w:t>DFAT, n/k, p.1</w:t>
              </w:r>
            </w:hyperlink>
            <w:r w:rsidR="00115AC9" w:rsidRPr="00F71B40">
              <w:rPr>
                <w:rFonts w:cs="Times New Roman"/>
                <w:sz w:val="20"/>
                <w:szCs w:val="20"/>
                <w:lang w:val="en-AU"/>
              </w:rPr>
              <w:t>)</w:t>
            </w:r>
            <w:r w:rsidR="00115AC9" w:rsidRPr="00F71B40">
              <w:rPr>
                <w:rFonts w:cs="Times New Roman"/>
                <w:sz w:val="20"/>
                <w:szCs w:val="20"/>
                <w:lang w:val="en-AU"/>
              </w:rPr>
              <w:fldChar w:fldCharType="end"/>
            </w:r>
          </w:p>
        </w:tc>
      </w:tr>
    </w:tbl>
    <w:p w:rsidR="00E73003" w:rsidRPr="00F71B40" w:rsidRDefault="00E73003" w:rsidP="00D62A32">
      <w:pPr>
        <w:rPr>
          <w:lang w:val="en-AU"/>
        </w:rPr>
      </w:pPr>
    </w:p>
    <w:p w:rsidR="00E73003" w:rsidRPr="00F71B40" w:rsidRDefault="00DC180B" w:rsidP="0098305E">
      <w:pPr>
        <w:pStyle w:val="Heading1"/>
        <w:rPr>
          <w:lang w:val="en-AU"/>
        </w:rPr>
      </w:pPr>
      <w:bookmarkStart w:id="96" w:name="_Toc399410406"/>
      <w:r w:rsidRPr="00F71B40">
        <w:rPr>
          <w:lang w:val="en-AU"/>
        </w:rPr>
        <w:lastRenderedPageBreak/>
        <w:t>P</w:t>
      </w:r>
      <w:r w:rsidR="00E73003" w:rsidRPr="00F71B40">
        <w:rPr>
          <w:lang w:val="en-AU"/>
        </w:rPr>
        <w:t xml:space="preserve">rogram </w:t>
      </w:r>
      <w:r w:rsidRPr="00F71B40">
        <w:rPr>
          <w:lang w:val="en-AU"/>
        </w:rPr>
        <w:t>management</w:t>
      </w:r>
      <w:bookmarkEnd w:id="96"/>
    </w:p>
    <w:p w:rsidR="00E73003" w:rsidRPr="00F71B40" w:rsidRDefault="00E73003" w:rsidP="006A70A3">
      <w:pPr>
        <w:keepNext/>
        <w:keepLines/>
        <w:rPr>
          <w:lang w:val="en-AU"/>
        </w:rPr>
      </w:pPr>
    </w:p>
    <w:p w:rsidR="008824E0" w:rsidRPr="00F71B40" w:rsidRDefault="00A4614B" w:rsidP="006A70A3">
      <w:pPr>
        <w:keepNext/>
        <w:keepLines/>
        <w:rPr>
          <w:lang w:val="en-AU"/>
        </w:rPr>
      </w:pPr>
      <w:r w:rsidRPr="00F71B40">
        <w:rPr>
          <w:lang w:val="en-AU"/>
        </w:rPr>
        <w:t>Respondents differed widely concerning the current management structure.  While all DFAT staff that the evaluation team spoke to emphasized the dynamic and enthusiastic leadership of SIGOV and the “esprit de corps</w:t>
      </w:r>
      <w:r w:rsidR="00BC2CF5" w:rsidRPr="00F71B40">
        <w:rPr>
          <w:lang w:val="en-AU"/>
        </w:rPr>
        <w:t>”</w:t>
      </w:r>
      <w:r w:rsidRPr="00F71B40">
        <w:rPr>
          <w:lang w:val="en-AU"/>
        </w:rPr>
        <w:t xml:space="preserve">, they differed strongly on the issue of whether </w:t>
      </w:r>
      <w:r w:rsidR="008824E0" w:rsidRPr="00F71B40">
        <w:rPr>
          <w:lang w:val="en-AU"/>
        </w:rPr>
        <w:t>the contractual arrangements between DFAT and URS created burdensome transaction costs in coordinating efforts within the program.</w:t>
      </w:r>
      <w:r w:rsidR="00856A9F" w:rsidRPr="00F71B40">
        <w:rPr>
          <w:lang w:val="en-AU"/>
        </w:rPr>
        <w:t xml:space="preserve">  The review team takes no position on whether new staff should be contracted to DFAT or URS/SIPF.  </w:t>
      </w:r>
    </w:p>
    <w:p w:rsidR="00856A9F" w:rsidRPr="00F71B40" w:rsidRDefault="00856A9F" w:rsidP="00D62A32">
      <w:pPr>
        <w:rPr>
          <w:lang w:val="en-AU"/>
        </w:rPr>
      </w:pPr>
    </w:p>
    <w:p w:rsidR="00856A9F" w:rsidRPr="00F71B40" w:rsidRDefault="00856A9F" w:rsidP="00D62A32">
      <w:pPr>
        <w:rPr>
          <w:lang w:val="en-AU"/>
        </w:rPr>
      </w:pPr>
      <w:r w:rsidRPr="00F71B40">
        <w:rPr>
          <w:lang w:val="en-AU"/>
        </w:rPr>
        <w:t xml:space="preserve">There were more consistent views concerning the need for a strong technical lead within the program.  </w:t>
      </w:r>
      <w:r w:rsidR="009E353C" w:rsidRPr="00F71B40">
        <w:rPr>
          <w:lang w:val="en-AU"/>
        </w:rPr>
        <w:t xml:space="preserve">The </w:t>
      </w:r>
      <w:r w:rsidRPr="00F71B40">
        <w:rPr>
          <w:lang w:val="en-AU"/>
        </w:rPr>
        <w:t xml:space="preserve">view </w:t>
      </w:r>
      <w:r w:rsidR="0059789D" w:rsidRPr="00F71B40">
        <w:rPr>
          <w:lang w:val="en-AU"/>
        </w:rPr>
        <w:t xml:space="preserve">was expressed frequently </w:t>
      </w:r>
      <w:r w:rsidRPr="00F71B40">
        <w:rPr>
          <w:lang w:val="en-AU"/>
        </w:rPr>
        <w:t>that the current SIGOV management structure is overloaded</w:t>
      </w:r>
      <w:r w:rsidR="009E353C" w:rsidRPr="00F71B40">
        <w:rPr>
          <w:lang w:val="en-AU"/>
        </w:rPr>
        <w:t xml:space="preserve"> because of the spa</w:t>
      </w:r>
      <w:r w:rsidR="00B45BCC" w:rsidRPr="00F71B40">
        <w:rPr>
          <w:lang w:val="en-AU"/>
        </w:rPr>
        <w:t>n</w:t>
      </w:r>
      <w:r w:rsidR="009E353C" w:rsidRPr="00F71B40">
        <w:rPr>
          <w:lang w:val="en-AU"/>
        </w:rPr>
        <w:t xml:space="preserve"> of control and the concurrent </w:t>
      </w:r>
      <w:r w:rsidRPr="00F71B40">
        <w:rPr>
          <w:lang w:val="en-AU"/>
        </w:rPr>
        <w:t>demands for information from Canberra</w:t>
      </w:r>
      <w:r w:rsidR="009E353C" w:rsidRPr="00F71B40">
        <w:rPr>
          <w:lang w:val="en-AU"/>
        </w:rPr>
        <w:t xml:space="preserve">.  Some DFAT and URS staff and many consultants felt that strategic planning for SIGOV is weak and that </w:t>
      </w:r>
      <w:r w:rsidRPr="00F71B40">
        <w:rPr>
          <w:lang w:val="en-AU"/>
        </w:rPr>
        <w:t xml:space="preserve">there is inadequate </w:t>
      </w:r>
      <w:r w:rsidR="009E353C" w:rsidRPr="00F71B40">
        <w:rPr>
          <w:lang w:val="en-AU"/>
        </w:rPr>
        <w:t>technical guidance to DFAT and URS staff.  Many consultants in particular felt that this explained what they saw as a culture of detailed process reporting around work plans with little guidance or scope for reflection about tactics and opportunities.</w:t>
      </w:r>
      <w:r w:rsidR="00B45BCC" w:rsidRPr="00F71B40">
        <w:rPr>
          <w:lang w:val="en-AU"/>
        </w:rPr>
        <w:t xml:space="preserve"> This concern from consultants is consistent with the Terms of Reference for the long term advisers reviewed by the team.  While these </w:t>
      </w:r>
      <w:r w:rsidR="00BC2CF5" w:rsidRPr="00F71B40">
        <w:rPr>
          <w:lang w:val="en-AU"/>
        </w:rPr>
        <w:t>specify the technical tasks of the consultants clearly and in excellent detail, they offer little sense of the overall strategy that the advisers’ work fits within.  In sum, the emphasis in their ToRs on the practical details of running government systems is not balanced with an orientation towards achieving the SIGOV program objectives.</w:t>
      </w:r>
    </w:p>
    <w:p w:rsidR="004979FE" w:rsidRPr="00F71B40" w:rsidRDefault="004979FE" w:rsidP="00D62A32">
      <w:pPr>
        <w:rPr>
          <w:lang w:val="en-AU"/>
        </w:rPr>
      </w:pPr>
    </w:p>
    <w:p w:rsidR="008824E0" w:rsidRPr="00F71B40" w:rsidRDefault="0048376A" w:rsidP="00D62A32">
      <w:pPr>
        <w:rPr>
          <w:lang w:val="en-AU"/>
        </w:rPr>
      </w:pPr>
      <w:r w:rsidRPr="00F71B40">
        <w:rPr>
          <w:lang w:val="en-AU"/>
        </w:rPr>
        <w:t xml:space="preserve">The possible ending or cutting back of the “Whole of Government” program in the short to medium term obviously brings the risk of losing a significant body of experience – both in the “Whole of Government” deployees themselves and in terms of the professional networks in Australia that they have access to.  However, since “Whole of Government” deployees have a total cost of some </w:t>
      </w:r>
      <w:r w:rsidR="00856A9F" w:rsidRPr="00F71B40">
        <w:rPr>
          <w:lang w:val="en-AU"/>
        </w:rPr>
        <w:t xml:space="preserve">AUD470k per year, while a contracted advisor has annual costs of some AUD265k, this possible development </w:t>
      </w:r>
      <w:r w:rsidRPr="00F71B40">
        <w:rPr>
          <w:lang w:val="en-AU"/>
        </w:rPr>
        <w:t>does provide some opportunity</w:t>
      </w:r>
      <w:r w:rsidR="00856A9F" w:rsidRPr="00F71B40">
        <w:rPr>
          <w:lang w:val="en-AU"/>
        </w:rPr>
        <w:t xml:space="preserve"> for reconfiguring the project staffing profile.</w:t>
      </w:r>
    </w:p>
    <w:p w:rsidR="004979FE" w:rsidRDefault="004979FE" w:rsidP="00D62A32">
      <w:pPr>
        <w:rPr>
          <w:lang w:val="en-AU"/>
        </w:rPr>
      </w:pPr>
    </w:p>
    <w:p w:rsidR="00A64CAA" w:rsidRDefault="00670BE7" w:rsidP="00D62A32">
      <w:pPr>
        <w:rPr>
          <w:lang w:val="en-AU"/>
        </w:rPr>
      </w:pPr>
      <w:r>
        <w:rPr>
          <w:lang w:val="en-AU"/>
        </w:rPr>
        <w:t xml:space="preserve">Likely, the key will be to develop coherent sub-program areas in which senior lead staff can </w:t>
      </w:r>
      <w:r w:rsidR="002D0F6E">
        <w:rPr>
          <w:lang w:val="en-AU"/>
        </w:rPr>
        <w:t>imaginatively pursue objectives, with considerable delegated authority, and which collectively combine to achieve the program goals.</w:t>
      </w:r>
      <w:r w:rsidR="00E256D6">
        <w:rPr>
          <w:lang w:val="en-AU"/>
        </w:rPr>
        <w:t xml:space="preserve">  </w:t>
      </w:r>
      <w:r w:rsidR="00087755">
        <w:rPr>
          <w:lang w:val="en-AU"/>
        </w:rPr>
        <w:t xml:space="preserve">These </w:t>
      </w:r>
      <w:r w:rsidR="00B5163D">
        <w:rPr>
          <w:lang w:val="en-AU"/>
        </w:rPr>
        <w:t>sub-program leads would be better placed to determine the b</w:t>
      </w:r>
      <w:r w:rsidR="00A64CAA" w:rsidRPr="00A64CAA">
        <w:rPr>
          <w:lang w:val="en-AU"/>
        </w:rPr>
        <w:t xml:space="preserve">usiness case for </w:t>
      </w:r>
      <w:r w:rsidR="00B5163D">
        <w:rPr>
          <w:lang w:val="en-AU"/>
        </w:rPr>
        <w:t xml:space="preserve">extensions for existing </w:t>
      </w:r>
      <w:r w:rsidR="00A64CAA" w:rsidRPr="00A64CAA">
        <w:rPr>
          <w:lang w:val="en-AU"/>
        </w:rPr>
        <w:t>adviser</w:t>
      </w:r>
      <w:r w:rsidR="00B5163D">
        <w:rPr>
          <w:lang w:val="en-AU"/>
        </w:rPr>
        <w:t xml:space="preserve">s or for </w:t>
      </w:r>
      <w:r w:rsidR="00A64CAA" w:rsidRPr="00A64CAA">
        <w:rPr>
          <w:lang w:val="en-AU"/>
        </w:rPr>
        <w:t>new positions</w:t>
      </w:r>
      <w:r w:rsidR="00B5163D">
        <w:rPr>
          <w:lang w:val="en-AU"/>
        </w:rPr>
        <w:t xml:space="preserve">, jointly with the agencies that they primarily liaise with.  </w:t>
      </w:r>
    </w:p>
    <w:p w:rsidR="00670BE7" w:rsidRPr="00F71B40" w:rsidRDefault="00670BE7" w:rsidP="00D62A32">
      <w:pPr>
        <w:rPr>
          <w:lang w:val="en-AU"/>
        </w:rPr>
      </w:pPr>
    </w:p>
    <w:p w:rsidR="004979FE" w:rsidRPr="00F71B40" w:rsidRDefault="004979FE" w:rsidP="00D62A32">
      <w:pPr>
        <w:rPr>
          <w:lang w:val="en-AU"/>
        </w:rPr>
      </w:pPr>
      <w:r w:rsidRPr="00F71B40">
        <w:rPr>
          <w:lang w:val="en-AU"/>
        </w:rPr>
        <w:t xml:space="preserve">One model that SIGOV might </w:t>
      </w:r>
      <w:r w:rsidR="002D0F6E">
        <w:rPr>
          <w:lang w:val="en-AU"/>
        </w:rPr>
        <w:t xml:space="preserve">for </w:t>
      </w:r>
      <w:r w:rsidR="00E66B6D" w:rsidRPr="00F71B40">
        <w:rPr>
          <w:lang w:val="en-AU"/>
        </w:rPr>
        <w:t>the development of sub-prog</w:t>
      </w:r>
      <w:r w:rsidR="005A552E" w:rsidRPr="00F71B40">
        <w:rPr>
          <w:lang w:val="en-AU"/>
        </w:rPr>
        <w:t>r</w:t>
      </w:r>
      <w:r w:rsidR="00E66B6D" w:rsidRPr="00F71B40">
        <w:rPr>
          <w:lang w:val="en-AU"/>
        </w:rPr>
        <w:t>am lead responsibilities</w:t>
      </w:r>
      <w:r w:rsidR="002D0F6E">
        <w:rPr>
          <w:lang w:val="en-AU"/>
        </w:rPr>
        <w:t xml:space="preserve"> is set out </w:t>
      </w:r>
      <w:r w:rsidR="002D0F6E" w:rsidRPr="00F71B40">
        <w:rPr>
          <w:lang w:val="en-AU"/>
        </w:rPr>
        <w:t xml:space="preserve">in </w:t>
      </w:r>
      <w:r w:rsidR="002D0F6E" w:rsidRPr="00F71B40">
        <w:rPr>
          <w:lang w:val="en-AU"/>
        </w:rPr>
        <w:fldChar w:fldCharType="begin"/>
      </w:r>
      <w:r w:rsidR="002D0F6E" w:rsidRPr="00F71B40">
        <w:rPr>
          <w:lang w:val="en-AU"/>
        </w:rPr>
        <w:instrText xml:space="preserve"> REF _Ref399330365  \* MERGEFORMAT </w:instrText>
      </w:r>
      <w:r w:rsidR="002D0F6E" w:rsidRPr="00F71B40">
        <w:rPr>
          <w:lang w:val="en-AU"/>
        </w:rPr>
        <w:fldChar w:fldCharType="separate"/>
      </w:r>
      <w:r w:rsidR="00EF43BE" w:rsidRPr="00F71B40">
        <w:rPr>
          <w:lang w:val="en-AU"/>
        </w:rPr>
        <w:t xml:space="preserve">Table </w:t>
      </w:r>
      <w:r w:rsidR="00EF43BE">
        <w:rPr>
          <w:lang w:val="en-AU"/>
        </w:rPr>
        <w:t>4</w:t>
      </w:r>
      <w:r w:rsidR="002D0F6E" w:rsidRPr="00F71B40">
        <w:rPr>
          <w:lang w:val="en-AU"/>
        </w:rPr>
        <w:fldChar w:fldCharType="end"/>
      </w:r>
      <w:r w:rsidR="002D0F6E">
        <w:rPr>
          <w:lang w:val="en-AU"/>
        </w:rPr>
        <w:t>.</w:t>
      </w:r>
    </w:p>
    <w:p w:rsidR="004979FE" w:rsidRPr="00F71B40" w:rsidRDefault="004979FE" w:rsidP="00D62A32">
      <w:pPr>
        <w:rPr>
          <w:lang w:val="en-AU"/>
        </w:rPr>
      </w:pPr>
    </w:p>
    <w:p w:rsidR="00744351" w:rsidRPr="00F71B40" w:rsidRDefault="00744351" w:rsidP="00963793">
      <w:pPr>
        <w:pStyle w:val="Caption"/>
        <w:keepNext/>
        <w:keepLines/>
        <w:rPr>
          <w:lang w:val="en-AU"/>
        </w:rPr>
      </w:pPr>
      <w:bookmarkStart w:id="97" w:name="_Ref399330365"/>
      <w:bookmarkStart w:id="98" w:name="_Toc401761844"/>
      <w:r w:rsidRPr="00F71B40">
        <w:rPr>
          <w:lang w:val="en-AU"/>
        </w:rPr>
        <w:lastRenderedPageBreak/>
        <w:t xml:space="preserve">Table </w:t>
      </w:r>
      <w:r w:rsidR="00361D8F" w:rsidRPr="00F71B40">
        <w:rPr>
          <w:lang w:val="en-AU"/>
        </w:rPr>
        <w:fldChar w:fldCharType="begin"/>
      </w:r>
      <w:r w:rsidR="00361D8F" w:rsidRPr="00F71B40">
        <w:rPr>
          <w:lang w:val="en-AU"/>
        </w:rPr>
        <w:instrText xml:space="preserve"> SEQ Table \* ARABIC </w:instrText>
      </w:r>
      <w:r w:rsidR="00361D8F" w:rsidRPr="00F71B40">
        <w:rPr>
          <w:lang w:val="en-AU"/>
        </w:rPr>
        <w:fldChar w:fldCharType="separate"/>
      </w:r>
      <w:r w:rsidR="00EF43BE">
        <w:rPr>
          <w:noProof/>
          <w:lang w:val="en-AU"/>
        </w:rPr>
        <w:t>4</w:t>
      </w:r>
      <w:r w:rsidR="00361D8F" w:rsidRPr="00F71B40">
        <w:rPr>
          <w:lang w:val="en-AU"/>
        </w:rPr>
        <w:fldChar w:fldCharType="end"/>
      </w:r>
      <w:bookmarkEnd w:id="97"/>
      <w:r w:rsidRPr="00F71B40">
        <w:rPr>
          <w:lang w:val="en-AU"/>
        </w:rPr>
        <w:t>: Illustrative SIGOV management matrix</w:t>
      </w:r>
      <w:bookmarkEnd w:id="98"/>
    </w:p>
    <w:p w:rsidR="0022687A" w:rsidRPr="00F71B40" w:rsidRDefault="0022687A" w:rsidP="00963793">
      <w:pPr>
        <w:keepNext/>
        <w:keepLines/>
        <w:rPr>
          <w:lang w:val="en-AU"/>
        </w:rPr>
      </w:pPr>
    </w:p>
    <w:tbl>
      <w:tblPr>
        <w:tblStyle w:val="TableGrid"/>
        <w:tblW w:w="5000" w:type="pct"/>
        <w:tblLook w:val="04A0" w:firstRow="1" w:lastRow="0" w:firstColumn="1" w:lastColumn="0" w:noHBand="0" w:noVBand="1"/>
      </w:tblPr>
      <w:tblGrid>
        <w:gridCol w:w="1916"/>
        <w:gridCol w:w="1915"/>
        <w:gridCol w:w="1915"/>
        <w:gridCol w:w="1915"/>
        <w:gridCol w:w="1915"/>
      </w:tblGrid>
      <w:tr w:rsidR="00095DAF" w:rsidRPr="00F71B40" w:rsidTr="00095DAF">
        <w:tc>
          <w:tcPr>
            <w:tcW w:w="1000" w:type="pct"/>
          </w:tcPr>
          <w:p w:rsidR="00095DAF" w:rsidRPr="00F71B40" w:rsidRDefault="00095DAF" w:rsidP="00963793">
            <w:pPr>
              <w:keepNext/>
              <w:keepLines/>
              <w:rPr>
                <w:sz w:val="20"/>
                <w:szCs w:val="20"/>
                <w:lang w:val="en-AU"/>
              </w:rPr>
            </w:pPr>
            <w:r w:rsidRPr="00F71B40">
              <w:rPr>
                <w:sz w:val="20"/>
                <w:szCs w:val="20"/>
                <w:lang w:val="en-AU"/>
              </w:rPr>
              <w:t>Sub-program leads</w:t>
            </w:r>
          </w:p>
        </w:tc>
        <w:tc>
          <w:tcPr>
            <w:tcW w:w="1000" w:type="pct"/>
          </w:tcPr>
          <w:p w:rsidR="00095DAF" w:rsidRPr="00F71B40" w:rsidRDefault="00095DAF" w:rsidP="00963793">
            <w:pPr>
              <w:keepNext/>
              <w:keepLines/>
              <w:rPr>
                <w:sz w:val="20"/>
                <w:szCs w:val="20"/>
                <w:lang w:val="en-AU"/>
              </w:rPr>
            </w:pPr>
            <w:r w:rsidRPr="00F71B40">
              <w:rPr>
                <w:sz w:val="20"/>
                <w:szCs w:val="20"/>
                <w:lang w:val="en-AU"/>
              </w:rPr>
              <w:t>Lead for MoFT</w:t>
            </w:r>
          </w:p>
          <w:p w:rsidR="00095DAF" w:rsidRPr="00F71B40" w:rsidRDefault="00095DAF" w:rsidP="00963793">
            <w:pPr>
              <w:keepNext/>
              <w:keepLines/>
              <w:rPr>
                <w:sz w:val="20"/>
                <w:szCs w:val="20"/>
                <w:lang w:val="en-AU"/>
              </w:rPr>
            </w:pPr>
            <w:r w:rsidRPr="00F71B40">
              <w:rPr>
                <w:sz w:val="20"/>
                <w:szCs w:val="20"/>
                <w:lang w:val="en-AU"/>
              </w:rPr>
              <w:t>(DFAT or URS staff)</w:t>
            </w:r>
          </w:p>
        </w:tc>
        <w:tc>
          <w:tcPr>
            <w:tcW w:w="1000" w:type="pct"/>
          </w:tcPr>
          <w:p w:rsidR="00095DAF" w:rsidRPr="00F71B40" w:rsidRDefault="00095DAF" w:rsidP="00963793">
            <w:pPr>
              <w:keepNext/>
              <w:keepLines/>
              <w:rPr>
                <w:sz w:val="20"/>
                <w:szCs w:val="20"/>
                <w:lang w:val="en-AU"/>
              </w:rPr>
            </w:pPr>
            <w:r w:rsidRPr="00F71B40">
              <w:rPr>
                <w:sz w:val="20"/>
                <w:szCs w:val="20"/>
                <w:lang w:val="en-AU"/>
              </w:rPr>
              <w:t>Lead for other central agencies</w:t>
            </w:r>
          </w:p>
          <w:p w:rsidR="00095DAF" w:rsidRPr="00F71B40" w:rsidRDefault="00095DAF" w:rsidP="00963793">
            <w:pPr>
              <w:keepNext/>
              <w:keepLines/>
              <w:rPr>
                <w:sz w:val="20"/>
                <w:szCs w:val="20"/>
                <w:lang w:val="en-AU"/>
              </w:rPr>
            </w:pPr>
            <w:r w:rsidRPr="00F71B40">
              <w:rPr>
                <w:sz w:val="20"/>
                <w:szCs w:val="20"/>
                <w:lang w:val="en-AU"/>
              </w:rPr>
              <w:t>(DFAT or URS staff)</w:t>
            </w:r>
          </w:p>
        </w:tc>
        <w:tc>
          <w:tcPr>
            <w:tcW w:w="1000" w:type="pct"/>
          </w:tcPr>
          <w:p w:rsidR="00095DAF" w:rsidRPr="00F71B40" w:rsidRDefault="00095DAF" w:rsidP="00963793">
            <w:pPr>
              <w:keepNext/>
              <w:keepLines/>
              <w:rPr>
                <w:sz w:val="20"/>
                <w:szCs w:val="20"/>
                <w:lang w:val="en-AU"/>
              </w:rPr>
            </w:pPr>
            <w:r w:rsidRPr="00F71B40">
              <w:rPr>
                <w:sz w:val="20"/>
                <w:szCs w:val="20"/>
                <w:lang w:val="en-AU"/>
              </w:rPr>
              <w:t>Lead – SIGOV learning and strategy unit</w:t>
            </w:r>
          </w:p>
          <w:p w:rsidR="00095DAF" w:rsidRPr="00F71B40" w:rsidRDefault="00095DAF" w:rsidP="00963793">
            <w:pPr>
              <w:keepNext/>
              <w:keepLines/>
              <w:rPr>
                <w:sz w:val="20"/>
                <w:szCs w:val="20"/>
                <w:lang w:val="en-AU"/>
              </w:rPr>
            </w:pPr>
            <w:r w:rsidRPr="00F71B40">
              <w:rPr>
                <w:sz w:val="20"/>
                <w:szCs w:val="20"/>
                <w:lang w:val="en-AU"/>
              </w:rPr>
              <w:t>(DFAT or URS staff)</w:t>
            </w:r>
          </w:p>
        </w:tc>
        <w:tc>
          <w:tcPr>
            <w:tcW w:w="1000" w:type="pct"/>
          </w:tcPr>
          <w:p w:rsidR="00095DAF" w:rsidRPr="00F71B40" w:rsidRDefault="00095DAF" w:rsidP="00963793">
            <w:pPr>
              <w:keepNext/>
              <w:keepLines/>
              <w:rPr>
                <w:sz w:val="20"/>
                <w:szCs w:val="20"/>
                <w:lang w:val="en-AU"/>
              </w:rPr>
            </w:pPr>
            <w:r w:rsidRPr="00F71B40">
              <w:rPr>
                <w:sz w:val="20"/>
                <w:szCs w:val="20"/>
                <w:lang w:val="en-AU"/>
              </w:rPr>
              <w:t xml:space="preserve">Lead </w:t>
            </w:r>
            <w:r w:rsidR="00E66B6D" w:rsidRPr="00F71B40">
              <w:rPr>
                <w:sz w:val="20"/>
                <w:szCs w:val="20"/>
                <w:lang w:val="en-AU"/>
              </w:rPr>
              <w:t>–</w:t>
            </w:r>
            <w:r w:rsidRPr="00F71B40">
              <w:rPr>
                <w:sz w:val="20"/>
                <w:szCs w:val="20"/>
                <w:lang w:val="en-AU"/>
              </w:rPr>
              <w:t xml:space="preserve"> </w:t>
            </w:r>
            <w:r w:rsidR="00E66B6D" w:rsidRPr="00F71B40">
              <w:rPr>
                <w:sz w:val="20"/>
                <w:szCs w:val="20"/>
                <w:lang w:val="en-AU"/>
              </w:rPr>
              <w:t xml:space="preserve">Mitigation of </w:t>
            </w:r>
            <w:r w:rsidRPr="00F71B40">
              <w:rPr>
                <w:sz w:val="20"/>
                <w:szCs w:val="20"/>
                <w:lang w:val="en-AU"/>
              </w:rPr>
              <w:t>fiduciary risks to Australian and SIG funds</w:t>
            </w:r>
          </w:p>
        </w:tc>
      </w:tr>
      <w:tr w:rsidR="00095DAF" w:rsidRPr="00F71B40" w:rsidTr="00095DAF">
        <w:tc>
          <w:tcPr>
            <w:tcW w:w="1000" w:type="pct"/>
          </w:tcPr>
          <w:p w:rsidR="00095DAF" w:rsidRPr="00F71B40" w:rsidRDefault="00095DAF" w:rsidP="00963793">
            <w:pPr>
              <w:keepNext/>
              <w:keepLines/>
              <w:rPr>
                <w:sz w:val="20"/>
                <w:szCs w:val="20"/>
                <w:lang w:val="en-AU"/>
              </w:rPr>
            </w:pPr>
            <w:r w:rsidRPr="00F71B40">
              <w:rPr>
                <w:sz w:val="20"/>
                <w:szCs w:val="20"/>
                <w:lang w:val="en-AU"/>
              </w:rPr>
              <w:t>Key liaison responsibilities</w:t>
            </w:r>
          </w:p>
        </w:tc>
        <w:tc>
          <w:tcPr>
            <w:tcW w:w="1000" w:type="pct"/>
          </w:tcPr>
          <w:p w:rsidR="00095DAF" w:rsidRPr="00F71B40" w:rsidRDefault="00095DAF" w:rsidP="004D15F8">
            <w:pPr>
              <w:pStyle w:val="ListParagraph"/>
              <w:keepNext/>
              <w:keepLines/>
              <w:numPr>
                <w:ilvl w:val="0"/>
                <w:numId w:val="38"/>
              </w:numPr>
              <w:ind w:left="157" w:hanging="183"/>
              <w:rPr>
                <w:sz w:val="20"/>
                <w:szCs w:val="20"/>
                <w:lang w:val="en-AU"/>
              </w:rPr>
            </w:pPr>
            <w:r w:rsidRPr="00F71B40">
              <w:rPr>
                <w:sz w:val="20"/>
                <w:szCs w:val="20"/>
                <w:lang w:val="en-AU"/>
              </w:rPr>
              <w:t>Ministry of Finance and Treasury MOFT-ERU MOFT-Customs and MOFT-DIR</w:t>
            </w:r>
          </w:p>
        </w:tc>
        <w:tc>
          <w:tcPr>
            <w:tcW w:w="1000" w:type="pct"/>
          </w:tcPr>
          <w:p w:rsidR="00095DAF" w:rsidRPr="00F71B40" w:rsidRDefault="00095DAF" w:rsidP="004D15F8">
            <w:pPr>
              <w:pStyle w:val="ListParagraph"/>
              <w:keepNext/>
              <w:keepLines/>
              <w:numPr>
                <w:ilvl w:val="0"/>
                <w:numId w:val="38"/>
              </w:numPr>
              <w:ind w:left="157" w:hanging="183"/>
              <w:rPr>
                <w:sz w:val="20"/>
                <w:szCs w:val="20"/>
                <w:lang w:val="en-AU"/>
              </w:rPr>
            </w:pPr>
            <w:r w:rsidRPr="00F71B40">
              <w:rPr>
                <w:sz w:val="20"/>
                <w:szCs w:val="20"/>
                <w:lang w:val="en-AU"/>
              </w:rPr>
              <w:t>Other central agencies</w:t>
            </w:r>
          </w:p>
          <w:p w:rsidR="00095DAF" w:rsidRPr="00F71B40" w:rsidRDefault="00095DAF" w:rsidP="004D15F8">
            <w:pPr>
              <w:pStyle w:val="ListParagraph"/>
              <w:keepNext/>
              <w:keepLines/>
              <w:numPr>
                <w:ilvl w:val="0"/>
                <w:numId w:val="38"/>
              </w:numPr>
              <w:ind w:left="157" w:hanging="183"/>
              <w:rPr>
                <w:sz w:val="20"/>
                <w:szCs w:val="20"/>
                <w:lang w:val="en-AU"/>
              </w:rPr>
            </w:pPr>
            <w:r w:rsidRPr="00F71B40">
              <w:rPr>
                <w:sz w:val="20"/>
                <w:szCs w:val="20"/>
                <w:lang w:val="en-AU"/>
              </w:rPr>
              <w:t>Ministry of Public Service</w:t>
            </w:r>
          </w:p>
          <w:p w:rsidR="00095DAF" w:rsidRPr="00F71B40" w:rsidRDefault="00095DAF" w:rsidP="004D15F8">
            <w:pPr>
              <w:pStyle w:val="ListParagraph"/>
              <w:keepNext/>
              <w:keepLines/>
              <w:numPr>
                <w:ilvl w:val="0"/>
                <w:numId w:val="38"/>
              </w:numPr>
              <w:ind w:left="157" w:hanging="183"/>
              <w:rPr>
                <w:sz w:val="20"/>
                <w:szCs w:val="20"/>
                <w:lang w:val="en-AU"/>
              </w:rPr>
            </w:pPr>
            <w:r w:rsidRPr="00F71B40">
              <w:rPr>
                <w:sz w:val="20"/>
                <w:szCs w:val="20"/>
                <w:lang w:val="en-AU"/>
              </w:rPr>
              <w:t>Public Service Commission</w:t>
            </w:r>
          </w:p>
          <w:p w:rsidR="00095DAF" w:rsidRPr="00F71B40" w:rsidRDefault="00095DAF" w:rsidP="004D15F8">
            <w:pPr>
              <w:pStyle w:val="ListParagraph"/>
              <w:keepNext/>
              <w:keepLines/>
              <w:numPr>
                <w:ilvl w:val="0"/>
                <w:numId w:val="38"/>
              </w:numPr>
              <w:ind w:left="157" w:hanging="183"/>
              <w:rPr>
                <w:sz w:val="20"/>
                <w:szCs w:val="20"/>
                <w:lang w:val="en-AU"/>
              </w:rPr>
            </w:pPr>
            <w:r w:rsidRPr="00F71B40">
              <w:rPr>
                <w:sz w:val="20"/>
                <w:szCs w:val="20"/>
                <w:lang w:val="en-AU"/>
              </w:rPr>
              <w:t xml:space="preserve">Office of the Auditor </w:t>
            </w:r>
          </w:p>
          <w:p w:rsidR="00095DAF" w:rsidRPr="00F71B40" w:rsidRDefault="00095DAF" w:rsidP="004D15F8">
            <w:pPr>
              <w:pStyle w:val="ListParagraph"/>
              <w:keepNext/>
              <w:keepLines/>
              <w:numPr>
                <w:ilvl w:val="0"/>
                <w:numId w:val="38"/>
              </w:numPr>
              <w:ind w:left="157" w:hanging="183"/>
              <w:rPr>
                <w:sz w:val="20"/>
                <w:szCs w:val="20"/>
                <w:lang w:val="en-AU"/>
              </w:rPr>
            </w:pPr>
            <w:r w:rsidRPr="00F71B40">
              <w:rPr>
                <w:sz w:val="20"/>
                <w:szCs w:val="20"/>
                <w:lang w:val="en-AU"/>
              </w:rPr>
              <w:t>Office of the Ombudsman</w:t>
            </w:r>
          </w:p>
          <w:p w:rsidR="00095DAF" w:rsidRPr="00F71B40" w:rsidRDefault="00095DAF" w:rsidP="004D15F8">
            <w:pPr>
              <w:pStyle w:val="ListParagraph"/>
              <w:keepNext/>
              <w:keepLines/>
              <w:numPr>
                <w:ilvl w:val="0"/>
                <w:numId w:val="38"/>
              </w:numPr>
              <w:ind w:left="157" w:hanging="183"/>
              <w:rPr>
                <w:sz w:val="20"/>
                <w:szCs w:val="20"/>
                <w:lang w:val="en-AU"/>
              </w:rPr>
            </w:pPr>
            <w:r w:rsidRPr="00F71B40">
              <w:rPr>
                <w:sz w:val="20"/>
                <w:szCs w:val="20"/>
                <w:lang w:val="en-AU"/>
              </w:rPr>
              <w:t>Leadership Code Commission</w:t>
            </w:r>
          </w:p>
        </w:tc>
        <w:tc>
          <w:tcPr>
            <w:tcW w:w="1000" w:type="pct"/>
          </w:tcPr>
          <w:p w:rsidR="00095DAF" w:rsidRPr="00F71B40" w:rsidRDefault="00095DAF" w:rsidP="004D15F8">
            <w:pPr>
              <w:pStyle w:val="ListParagraph"/>
              <w:keepNext/>
              <w:keepLines/>
              <w:numPr>
                <w:ilvl w:val="0"/>
                <w:numId w:val="38"/>
              </w:numPr>
              <w:ind w:left="157" w:hanging="183"/>
              <w:rPr>
                <w:sz w:val="20"/>
                <w:szCs w:val="20"/>
                <w:lang w:val="en-AU"/>
              </w:rPr>
            </w:pPr>
            <w:r w:rsidRPr="00F71B40">
              <w:rPr>
                <w:sz w:val="20"/>
                <w:szCs w:val="20"/>
                <w:lang w:val="en-AU"/>
              </w:rPr>
              <w:t>Sector departments and other DFAT program staff</w:t>
            </w:r>
          </w:p>
        </w:tc>
        <w:tc>
          <w:tcPr>
            <w:tcW w:w="1000" w:type="pct"/>
          </w:tcPr>
          <w:p w:rsidR="00095DAF" w:rsidRPr="00F71B40" w:rsidRDefault="000D04B4" w:rsidP="004D15F8">
            <w:pPr>
              <w:pStyle w:val="ListParagraph"/>
              <w:keepNext/>
              <w:keepLines/>
              <w:numPr>
                <w:ilvl w:val="0"/>
                <w:numId w:val="38"/>
              </w:numPr>
              <w:ind w:left="157" w:hanging="183"/>
              <w:rPr>
                <w:sz w:val="20"/>
                <w:szCs w:val="20"/>
                <w:lang w:val="en-AU"/>
              </w:rPr>
            </w:pPr>
            <w:r w:rsidRPr="00F71B40">
              <w:rPr>
                <w:sz w:val="20"/>
                <w:szCs w:val="20"/>
                <w:lang w:val="en-AU"/>
              </w:rPr>
              <w:t>Across the program</w:t>
            </w:r>
          </w:p>
        </w:tc>
      </w:tr>
      <w:tr w:rsidR="00095DAF" w:rsidRPr="00F71B40" w:rsidTr="00095DAF">
        <w:tc>
          <w:tcPr>
            <w:tcW w:w="1000" w:type="pct"/>
          </w:tcPr>
          <w:p w:rsidR="00095DAF" w:rsidRPr="00F71B40" w:rsidRDefault="00095DAF" w:rsidP="00963793">
            <w:pPr>
              <w:keepNext/>
              <w:keepLines/>
              <w:rPr>
                <w:sz w:val="20"/>
                <w:szCs w:val="20"/>
                <w:lang w:val="en-AU"/>
              </w:rPr>
            </w:pPr>
            <w:r w:rsidRPr="00F71B40">
              <w:rPr>
                <w:sz w:val="20"/>
                <w:szCs w:val="20"/>
                <w:lang w:val="en-AU"/>
              </w:rPr>
              <w:t xml:space="preserve">Additional responsibilities </w:t>
            </w:r>
          </w:p>
        </w:tc>
        <w:tc>
          <w:tcPr>
            <w:tcW w:w="1000" w:type="pct"/>
          </w:tcPr>
          <w:p w:rsidR="00095DAF" w:rsidRPr="00F71B40" w:rsidRDefault="00095DAF" w:rsidP="004D15F8">
            <w:pPr>
              <w:pStyle w:val="ListParagraph"/>
              <w:keepNext/>
              <w:keepLines/>
              <w:numPr>
                <w:ilvl w:val="0"/>
                <w:numId w:val="38"/>
              </w:numPr>
              <w:ind w:left="157" w:hanging="183"/>
              <w:rPr>
                <w:rFonts w:cs="Times New Roman"/>
                <w:sz w:val="20"/>
                <w:szCs w:val="20"/>
                <w:lang w:val="en-AU"/>
              </w:rPr>
            </w:pPr>
            <w:r w:rsidRPr="00F71B40">
              <w:rPr>
                <w:rFonts w:cs="Times New Roman"/>
                <w:sz w:val="20"/>
                <w:szCs w:val="20"/>
                <w:lang w:val="en-AU"/>
              </w:rPr>
              <w:t>Supporting the CEWG – refocused on macro-economic planning and growth policy</w:t>
            </w:r>
          </w:p>
          <w:p w:rsidR="00095DAF" w:rsidRPr="00F71B40" w:rsidRDefault="00095DAF" w:rsidP="004D15F8">
            <w:pPr>
              <w:pStyle w:val="ListParagraph"/>
              <w:keepNext/>
              <w:keepLines/>
              <w:numPr>
                <w:ilvl w:val="0"/>
                <w:numId w:val="38"/>
              </w:numPr>
              <w:ind w:left="157" w:hanging="183"/>
              <w:rPr>
                <w:rFonts w:cs="Times New Roman"/>
                <w:sz w:val="20"/>
                <w:szCs w:val="20"/>
                <w:lang w:val="en-AU"/>
              </w:rPr>
            </w:pPr>
            <w:r w:rsidRPr="00F71B40">
              <w:rPr>
                <w:rFonts w:cs="Arial"/>
                <w:sz w:val="20"/>
                <w:szCs w:val="20"/>
                <w:lang w:val="en-AU"/>
              </w:rPr>
              <w:t>Ministry of Finance and Treasury (MoFT) Board restructured as a more informal liaison meeting</w:t>
            </w:r>
          </w:p>
        </w:tc>
        <w:tc>
          <w:tcPr>
            <w:tcW w:w="1000" w:type="pct"/>
          </w:tcPr>
          <w:p w:rsidR="00095DAF" w:rsidRPr="00F71B40" w:rsidRDefault="00095DAF" w:rsidP="004D15F8">
            <w:pPr>
              <w:pStyle w:val="ListParagraph"/>
              <w:keepNext/>
              <w:keepLines/>
              <w:numPr>
                <w:ilvl w:val="0"/>
                <w:numId w:val="38"/>
              </w:numPr>
              <w:ind w:left="157" w:hanging="183"/>
              <w:rPr>
                <w:sz w:val="20"/>
                <w:szCs w:val="20"/>
                <w:lang w:val="en-AU"/>
              </w:rPr>
            </w:pPr>
            <w:r w:rsidRPr="00F71B40">
              <w:rPr>
                <w:sz w:val="20"/>
                <w:szCs w:val="20"/>
                <w:lang w:val="en-AU"/>
              </w:rPr>
              <w:t>Liaison meetings with each of the central agencies</w:t>
            </w:r>
          </w:p>
        </w:tc>
        <w:tc>
          <w:tcPr>
            <w:tcW w:w="1000" w:type="pct"/>
          </w:tcPr>
          <w:p w:rsidR="00095DAF" w:rsidRPr="00F71B40" w:rsidRDefault="00095DAF" w:rsidP="004D15F8">
            <w:pPr>
              <w:pStyle w:val="ListParagraph"/>
              <w:keepNext/>
              <w:keepLines/>
              <w:numPr>
                <w:ilvl w:val="0"/>
                <w:numId w:val="38"/>
              </w:numPr>
              <w:ind w:left="157" w:hanging="183"/>
              <w:rPr>
                <w:rFonts w:cs="Times New Roman"/>
                <w:sz w:val="20"/>
                <w:szCs w:val="20"/>
                <w:lang w:val="en-AU"/>
              </w:rPr>
            </w:pPr>
            <w:r w:rsidRPr="00F71B40">
              <w:rPr>
                <w:rFonts w:cs="Times New Roman"/>
                <w:sz w:val="20"/>
                <w:szCs w:val="20"/>
                <w:lang w:val="en-AU"/>
              </w:rPr>
              <w:t>Support the “Delivery and Results” coordinating body</w:t>
            </w:r>
          </w:p>
          <w:p w:rsidR="00095DAF" w:rsidRPr="00F71B40" w:rsidRDefault="00095DAF" w:rsidP="004D15F8">
            <w:pPr>
              <w:pStyle w:val="ListParagraph"/>
              <w:keepNext/>
              <w:keepLines/>
              <w:numPr>
                <w:ilvl w:val="0"/>
                <w:numId w:val="38"/>
              </w:numPr>
              <w:ind w:left="157" w:hanging="183"/>
              <w:rPr>
                <w:sz w:val="20"/>
                <w:szCs w:val="20"/>
                <w:lang w:val="en-AU"/>
              </w:rPr>
            </w:pPr>
            <w:r w:rsidRPr="00F71B40">
              <w:rPr>
                <w:sz w:val="20"/>
                <w:szCs w:val="20"/>
                <w:lang w:val="en-AU"/>
              </w:rPr>
              <w:t>Diagnostic work</w:t>
            </w:r>
          </w:p>
          <w:p w:rsidR="00095DAF" w:rsidRPr="00F71B40" w:rsidRDefault="00095DAF" w:rsidP="004D15F8">
            <w:pPr>
              <w:pStyle w:val="ListParagraph"/>
              <w:keepNext/>
              <w:keepLines/>
              <w:numPr>
                <w:ilvl w:val="0"/>
                <w:numId w:val="38"/>
              </w:numPr>
              <w:ind w:left="157" w:hanging="183"/>
              <w:rPr>
                <w:sz w:val="20"/>
                <w:szCs w:val="20"/>
                <w:lang w:val="en-AU"/>
              </w:rPr>
            </w:pPr>
            <w:r w:rsidRPr="00F71B40">
              <w:rPr>
                <w:sz w:val="20"/>
                <w:szCs w:val="20"/>
                <w:lang w:val="en-AU"/>
              </w:rPr>
              <w:t>Pilots</w:t>
            </w:r>
          </w:p>
          <w:p w:rsidR="00095DAF" w:rsidRDefault="00095DAF" w:rsidP="004D15F8">
            <w:pPr>
              <w:pStyle w:val="ListParagraph"/>
              <w:keepNext/>
              <w:keepLines/>
              <w:numPr>
                <w:ilvl w:val="0"/>
                <w:numId w:val="38"/>
              </w:numPr>
              <w:ind w:left="157" w:hanging="183"/>
              <w:rPr>
                <w:sz w:val="20"/>
                <w:szCs w:val="20"/>
                <w:lang w:val="en-AU"/>
              </w:rPr>
            </w:pPr>
            <w:r w:rsidRPr="00F71B40">
              <w:rPr>
                <w:sz w:val="20"/>
                <w:szCs w:val="20"/>
                <w:lang w:val="en-AU"/>
              </w:rPr>
              <w:t>Experiment with management coaches and confidential advice</w:t>
            </w:r>
            <w:r w:rsidR="005066C0">
              <w:rPr>
                <w:sz w:val="20"/>
                <w:szCs w:val="20"/>
                <w:lang w:val="en-AU"/>
              </w:rPr>
              <w:t xml:space="preserve"> and peer learning</w:t>
            </w:r>
            <w:r w:rsidRPr="00F71B40">
              <w:rPr>
                <w:sz w:val="20"/>
                <w:szCs w:val="20"/>
                <w:lang w:val="en-AU"/>
              </w:rPr>
              <w:t xml:space="preserve"> </w:t>
            </w:r>
          </w:p>
          <w:p w:rsidR="00095DAF" w:rsidRPr="006A70A3" w:rsidRDefault="00937D32" w:rsidP="006A70A3">
            <w:pPr>
              <w:pStyle w:val="ListParagraph"/>
              <w:keepNext/>
              <w:keepLines/>
              <w:numPr>
                <w:ilvl w:val="0"/>
                <w:numId w:val="38"/>
              </w:numPr>
              <w:ind w:left="157" w:hanging="183"/>
              <w:rPr>
                <w:sz w:val="20"/>
                <w:szCs w:val="20"/>
                <w:lang w:val="en-AU"/>
              </w:rPr>
            </w:pPr>
            <w:r>
              <w:rPr>
                <w:sz w:val="20"/>
                <w:szCs w:val="20"/>
                <w:lang w:val="en-AU"/>
              </w:rPr>
              <w:t>Monitoring and evaluation</w:t>
            </w:r>
          </w:p>
        </w:tc>
        <w:tc>
          <w:tcPr>
            <w:tcW w:w="1000" w:type="pct"/>
          </w:tcPr>
          <w:p w:rsidR="00095DAF" w:rsidRPr="00F71B40" w:rsidRDefault="00095DAF" w:rsidP="00963793">
            <w:pPr>
              <w:pStyle w:val="ListParagraph"/>
              <w:keepNext/>
              <w:keepLines/>
              <w:ind w:left="157"/>
              <w:rPr>
                <w:sz w:val="20"/>
                <w:szCs w:val="20"/>
                <w:lang w:val="en-AU"/>
              </w:rPr>
            </w:pPr>
          </w:p>
        </w:tc>
      </w:tr>
      <w:tr w:rsidR="000D04B4" w:rsidRPr="00F71B40" w:rsidTr="00095DAF">
        <w:tc>
          <w:tcPr>
            <w:tcW w:w="1000" w:type="pct"/>
          </w:tcPr>
          <w:p w:rsidR="000D04B4" w:rsidRPr="00F71B40" w:rsidRDefault="000D04B4" w:rsidP="00963793">
            <w:pPr>
              <w:keepNext/>
              <w:keepLines/>
              <w:rPr>
                <w:sz w:val="20"/>
                <w:szCs w:val="20"/>
                <w:lang w:val="en-AU"/>
              </w:rPr>
            </w:pPr>
            <w:r w:rsidRPr="00F71B40">
              <w:rPr>
                <w:sz w:val="20"/>
                <w:szCs w:val="20"/>
                <w:lang w:val="en-AU"/>
              </w:rPr>
              <w:t xml:space="preserve">Dedicated DFAT/URS staff </w:t>
            </w:r>
          </w:p>
        </w:tc>
        <w:tc>
          <w:tcPr>
            <w:tcW w:w="1000" w:type="pct"/>
          </w:tcPr>
          <w:p w:rsidR="000D04B4" w:rsidRPr="00F71B40" w:rsidRDefault="000D04B4" w:rsidP="00963793">
            <w:pPr>
              <w:keepNext/>
              <w:keepLines/>
              <w:rPr>
                <w:sz w:val="20"/>
                <w:szCs w:val="20"/>
                <w:lang w:val="en-AU"/>
              </w:rPr>
            </w:pPr>
            <w:r w:rsidRPr="00F71B40">
              <w:rPr>
                <w:sz w:val="20"/>
                <w:szCs w:val="20"/>
                <w:lang w:val="en-AU"/>
              </w:rPr>
              <w:t>TBD</w:t>
            </w:r>
          </w:p>
        </w:tc>
        <w:tc>
          <w:tcPr>
            <w:tcW w:w="1000" w:type="pct"/>
          </w:tcPr>
          <w:p w:rsidR="000D04B4" w:rsidRPr="00F71B40" w:rsidRDefault="000D04B4" w:rsidP="00963793">
            <w:pPr>
              <w:keepNext/>
              <w:keepLines/>
              <w:rPr>
                <w:sz w:val="20"/>
                <w:szCs w:val="20"/>
                <w:lang w:val="en-AU"/>
              </w:rPr>
            </w:pPr>
            <w:r w:rsidRPr="00F71B40">
              <w:rPr>
                <w:sz w:val="20"/>
                <w:szCs w:val="20"/>
                <w:lang w:val="en-AU"/>
              </w:rPr>
              <w:t>TBD</w:t>
            </w:r>
          </w:p>
        </w:tc>
        <w:tc>
          <w:tcPr>
            <w:tcW w:w="1000" w:type="pct"/>
          </w:tcPr>
          <w:p w:rsidR="000D04B4" w:rsidRPr="00F71B40" w:rsidRDefault="000D04B4" w:rsidP="00963793">
            <w:pPr>
              <w:keepNext/>
              <w:keepLines/>
              <w:rPr>
                <w:sz w:val="20"/>
                <w:szCs w:val="20"/>
                <w:lang w:val="en-AU"/>
              </w:rPr>
            </w:pPr>
            <w:r w:rsidRPr="00F71B40">
              <w:rPr>
                <w:sz w:val="20"/>
                <w:szCs w:val="20"/>
                <w:lang w:val="en-AU"/>
              </w:rPr>
              <w:t>New staff</w:t>
            </w:r>
          </w:p>
        </w:tc>
        <w:tc>
          <w:tcPr>
            <w:tcW w:w="1000" w:type="pct"/>
          </w:tcPr>
          <w:p w:rsidR="000D04B4" w:rsidRPr="00F71B40" w:rsidRDefault="0083414D" w:rsidP="00963793">
            <w:pPr>
              <w:keepNext/>
              <w:keepLines/>
              <w:rPr>
                <w:sz w:val="20"/>
                <w:szCs w:val="20"/>
                <w:lang w:val="en-AU"/>
              </w:rPr>
            </w:pPr>
            <w:r w:rsidRPr="00F71B40">
              <w:rPr>
                <w:sz w:val="20"/>
                <w:szCs w:val="20"/>
                <w:lang w:val="en-AU"/>
              </w:rPr>
              <w:t>As at present</w:t>
            </w:r>
          </w:p>
        </w:tc>
      </w:tr>
      <w:tr w:rsidR="000D04B4" w:rsidRPr="00F71B40" w:rsidTr="00095DAF">
        <w:tc>
          <w:tcPr>
            <w:tcW w:w="1000" w:type="pct"/>
          </w:tcPr>
          <w:p w:rsidR="000D04B4" w:rsidRPr="00F71B40" w:rsidRDefault="000D04B4" w:rsidP="00963793">
            <w:pPr>
              <w:keepNext/>
              <w:keepLines/>
              <w:rPr>
                <w:sz w:val="20"/>
                <w:szCs w:val="20"/>
                <w:lang w:val="en-AU"/>
              </w:rPr>
            </w:pPr>
            <w:r w:rsidRPr="00F71B40">
              <w:rPr>
                <w:sz w:val="20"/>
                <w:szCs w:val="20"/>
                <w:lang w:val="en-AU"/>
              </w:rPr>
              <w:t>Advisors</w:t>
            </w:r>
          </w:p>
        </w:tc>
        <w:tc>
          <w:tcPr>
            <w:tcW w:w="1000" w:type="pct"/>
          </w:tcPr>
          <w:p w:rsidR="000D04B4" w:rsidRPr="00F71B40" w:rsidRDefault="000D04B4" w:rsidP="00963793">
            <w:pPr>
              <w:keepNext/>
              <w:keepLines/>
              <w:rPr>
                <w:sz w:val="20"/>
                <w:szCs w:val="20"/>
                <w:lang w:val="en-AU"/>
              </w:rPr>
            </w:pPr>
            <w:r w:rsidRPr="00F71B40">
              <w:rPr>
                <w:sz w:val="20"/>
                <w:szCs w:val="20"/>
                <w:lang w:val="en-AU"/>
              </w:rPr>
              <w:t>As at present</w:t>
            </w:r>
          </w:p>
        </w:tc>
        <w:tc>
          <w:tcPr>
            <w:tcW w:w="1000" w:type="pct"/>
          </w:tcPr>
          <w:p w:rsidR="000D04B4" w:rsidRPr="00F71B40" w:rsidRDefault="000D04B4" w:rsidP="00963793">
            <w:pPr>
              <w:keepNext/>
              <w:keepLines/>
              <w:rPr>
                <w:sz w:val="20"/>
                <w:szCs w:val="20"/>
                <w:lang w:val="en-AU"/>
              </w:rPr>
            </w:pPr>
            <w:r w:rsidRPr="00F71B40">
              <w:rPr>
                <w:sz w:val="20"/>
                <w:szCs w:val="20"/>
                <w:lang w:val="en-AU"/>
              </w:rPr>
              <w:t>As at present</w:t>
            </w:r>
          </w:p>
        </w:tc>
        <w:tc>
          <w:tcPr>
            <w:tcW w:w="1000" w:type="pct"/>
          </w:tcPr>
          <w:p w:rsidR="000D04B4" w:rsidRPr="00F71B40" w:rsidRDefault="000D04B4" w:rsidP="00963793">
            <w:pPr>
              <w:keepNext/>
              <w:keepLines/>
              <w:rPr>
                <w:sz w:val="20"/>
                <w:szCs w:val="20"/>
                <w:lang w:val="en-AU"/>
              </w:rPr>
            </w:pPr>
            <w:r w:rsidRPr="00F71B40">
              <w:rPr>
                <w:sz w:val="20"/>
                <w:szCs w:val="20"/>
                <w:lang w:val="en-AU"/>
              </w:rPr>
              <w:t>TBD</w:t>
            </w:r>
          </w:p>
        </w:tc>
        <w:tc>
          <w:tcPr>
            <w:tcW w:w="1000" w:type="pct"/>
          </w:tcPr>
          <w:p w:rsidR="000D04B4" w:rsidRPr="00F71B40" w:rsidRDefault="000D04B4" w:rsidP="00963793">
            <w:pPr>
              <w:keepNext/>
              <w:keepLines/>
              <w:rPr>
                <w:sz w:val="20"/>
                <w:szCs w:val="20"/>
                <w:lang w:val="en-AU"/>
              </w:rPr>
            </w:pPr>
            <w:r w:rsidRPr="00F71B40">
              <w:rPr>
                <w:sz w:val="20"/>
                <w:szCs w:val="20"/>
                <w:lang w:val="en-AU"/>
              </w:rPr>
              <w:t>Procurement</w:t>
            </w:r>
            <w:r w:rsidR="0083414D" w:rsidRPr="00F71B40">
              <w:rPr>
                <w:sz w:val="20"/>
                <w:szCs w:val="20"/>
                <w:lang w:val="en-AU"/>
              </w:rPr>
              <w:t xml:space="preserve"> (part)</w:t>
            </w:r>
          </w:p>
        </w:tc>
      </w:tr>
      <w:tr w:rsidR="000D04B4" w:rsidRPr="00F71B40" w:rsidTr="00095DAF">
        <w:tc>
          <w:tcPr>
            <w:tcW w:w="1000" w:type="pct"/>
          </w:tcPr>
          <w:p w:rsidR="000D04B4" w:rsidRPr="00F71B40" w:rsidRDefault="000D04B4" w:rsidP="00963793">
            <w:pPr>
              <w:keepNext/>
              <w:keepLines/>
              <w:rPr>
                <w:sz w:val="20"/>
                <w:szCs w:val="20"/>
                <w:lang w:val="en-AU"/>
              </w:rPr>
            </w:pPr>
            <w:r w:rsidRPr="00F71B40">
              <w:rPr>
                <w:sz w:val="20"/>
                <w:szCs w:val="20"/>
                <w:lang w:val="en-AU"/>
              </w:rPr>
              <w:t>Overall purpose</w:t>
            </w:r>
          </w:p>
        </w:tc>
        <w:tc>
          <w:tcPr>
            <w:tcW w:w="2000" w:type="pct"/>
            <w:gridSpan w:val="2"/>
          </w:tcPr>
          <w:p w:rsidR="000D04B4" w:rsidRPr="00F71B40" w:rsidRDefault="000D04B4" w:rsidP="00963793">
            <w:pPr>
              <w:keepNext/>
              <w:keepLines/>
              <w:rPr>
                <w:sz w:val="20"/>
                <w:szCs w:val="20"/>
                <w:lang w:val="en-AU"/>
              </w:rPr>
            </w:pPr>
            <w:r w:rsidRPr="00F71B40">
              <w:rPr>
                <w:sz w:val="20"/>
                <w:szCs w:val="20"/>
                <w:lang w:val="en-AU"/>
              </w:rPr>
              <w:t>Improving the performance of the central agencies to enable effective delivery of key services and support economic growth</w:t>
            </w:r>
          </w:p>
        </w:tc>
        <w:tc>
          <w:tcPr>
            <w:tcW w:w="1000" w:type="pct"/>
          </w:tcPr>
          <w:p w:rsidR="000D04B4" w:rsidRPr="00F71B40" w:rsidRDefault="000D04B4" w:rsidP="00963793">
            <w:pPr>
              <w:keepNext/>
              <w:keepLines/>
              <w:rPr>
                <w:sz w:val="20"/>
                <w:szCs w:val="20"/>
                <w:lang w:val="en-AU"/>
              </w:rPr>
            </w:pPr>
            <w:r w:rsidRPr="00F71B40">
              <w:rPr>
                <w:sz w:val="20"/>
                <w:szCs w:val="20"/>
                <w:lang w:val="en-AU"/>
              </w:rPr>
              <w:t>Identifying and removing other systemic obstacles to sector service delivery</w:t>
            </w:r>
          </w:p>
        </w:tc>
        <w:tc>
          <w:tcPr>
            <w:tcW w:w="1000" w:type="pct"/>
          </w:tcPr>
          <w:p w:rsidR="000D04B4" w:rsidRPr="00F71B40" w:rsidRDefault="000D04B4" w:rsidP="00963793">
            <w:pPr>
              <w:keepNext/>
              <w:keepLines/>
              <w:rPr>
                <w:sz w:val="20"/>
                <w:szCs w:val="20"/>
                <w:lang w:val="en-AU"/>
              </w:rPr>
            </w:pPr>
            <w:r w:rsidRPr="00F71B40">
              <w:rPr>
                <w:sz w:val="20"/>
                <w:szCs w:val="20"/>
                <w:lang w:val="en-AU"/>
              </w:rPr>
              <w:t>Mitigating fiduciary risks to Australian and SIG funds</w:t>
            </w:r>
          </w:p>
        </w:tc>
      </w:tr>
    </w:tbl>
    <w:p w:rsidR="0022687A" w:rsidRPr="00F71B40" w:rsidRDefault="0022687A" w:rsidP="00D62A32">
      <w:pPr>
        <w:rPr>
          <w:lang w:val="en-AU"/>
        </w:rPr>
      </w:pPr>
    </w:p>
    <w:p w:rsidR="00E256D6" w:rsidRDefault="00087755" w:rsidP="00087755">
      <w:pPr>
        <w:rPr>
          <w:lang w:val="en-AU"/>
        </w:rPr>
      </w:pPr>
      <w:r>
        <w:rPr>
          <w:lang w:val="en-AU"/>
        </w:rPr>
        <w:t xml:space="preserve">A more delegated structure should provide space for a more systematic annual review process for SIGOV, perhaps borrowing from the former </w:t>
      </w:r>
      <w:r w:rsidRPr="00A64CAA">
        <w:rPr>
          <w:lang w:val="en-AU"/>
        </w:rPr>
        <w:t xml:space="preserve">FEMSP annual planning process which was developed </w:t>
      </w:r>
      <w:r>
        <w:rPr>
          <w:lang w:val="en-AU"/>
        </w:rPr>
        <w:t xml:space="preserve">to be consistent with </w:t>
      </w:r>
      <w:r w:rsidRPr="00A64CAA">
        <w:rPr>
          <w:lang w:val="en-AU"/>
        </w:rPr>
        <w:t xml:space="preserve">MoFT’s corporate plan </w:t>
      </w:r>
      <w:r>
        <w:rPr>
          <w:lang w:val="en-AU"/>
        </w:rPr>
        <w:t xml:space="preserve">covering a rolling </w:t>
      </w:r>
      <w:r w:rsidRPr="00A64CAA">
        <w:rPr>
          <w:lang w:val="en-AU"/>
        </w:rPr>
        <w:t>three year period</w:t>
      </w:r>
      <w:r>
        <w:rPr>
          <w:lang w:val="en-AU"/>
        </w:rPr>
        <w:t xml:space="preserve"> to create a tighter linkage between SIGOV and the </w:t>
      </w:r>
      <w:r w:rsidRPr="00A64CAA">
        <w:rPr>
          <w:lang w:val="en-AU"/>
        </w:rPr>
        <w:t>SIG planning process</w:t>
      </w:r>
      <w:r>
        <w:rPr>
          <w:lang w:val="en-AU"/>
        </w:rPr>
        <w:t>.</w:t>
      </w:r>
      <w:r w:rsidRPr="00A64CAA">
        <w:rPr>
          <w:lang w:val="en-AU"/>
        </w:rPr>
        <w:t xml:space="preserve"> </w:t>
      </w:r>
    </w:p>
    <w:p w:rsidR="00E256D6" w:rsidRDefault="00E256D6" w:rsidP="00087755">
      <w:pPr>
        <w:rPr>
          <w:lang w:val="en-AU"/>
        </w:rPr>
      </w:pPr>
    </w:p>
    <w:p w:rsidR="001E6CFC" w:rsidRPr="00F71B40" w:rsidRDefault="001E6CFC" w:rsidP="00D62A32">
      <w:pPr>
        <w:spacing w:after="200" w:line="276" w:lineRule="auto"/>
        <w:rPr>
          <w:lang w:val="en-AU"/>
        </w:rPr>
      </w:pPr>
      <w:r w:rsidRPr="00F71B40">
        <w:rPr>
          <w:lang w:val="en-AU"/>
        </w:rPr>
        <w:br w:type="page"/>
      </w:r>
    </w:p>
    <w:p w:rsidR="00F74071" w:rsidRPr="00F71B40" w:rsidRDefault="00F74071" w:rsidP="00F74071">
      <w:pPr>
        <w:pStyle w:val="Heading1"/>
        <w:numPr>
          <w:ilvl w:val="0"/>
          <w:numId w:val="0"/>
        </w:numPr>
        <w:rPr>
          <w:lang w:val="en-AU"/>
        </w:rPr>
      </w:pPr>
      <w:bookmarkStart w:id="99" w:name="_Ref399344980"/>
      <w:bookmarkStart w:id="100" w:name="_Toc399410407"/>
      <w:r w:rsidRPr="00F71B40">
        <w:rPr>
          <w:lang w:val="en-AU"/>
        </w:rPr>
        <w:lastRenderedPageBreak/>
        <w:t xml:space="preserve">Annex </w:t>
      </w:r>
      <w:r w:rsidRPr="00F71B40">
        <w:rPr>
          <w:lang w:val="en-AU"/>
        </w:rPr>
        <w:fldChar w:fldCharType="begin"/>
      </w:r>
      <w:r w:rsidRPr="00F71B40">
        <w:rPr>
          <w:lang w:val="en-AU"/>
        </w:rPr>
        <w:instrText xml:space="preserve"> SEQ Annex \* ARABIC </w:instrText>
      </w:r>
      <w:r w:rsidRPr="00F71B40">
        <w:rPr>
          <w:lang w:val="en-AU"/>
        </w:rPr>
        <w:fldChar w:fldCharType="separate"/>
      </w:r>
      <w:r w:rsidR="00EF43BE">
        <w:rPr>
          <w:noProof/>
          <w:lang w:val="en-AU"/>
        </w:rPr>
        <w:t>1</w:t>
      </w:r>
      <w:r w:rsidRPr="00F71B40">
        <w:rPr>
          <w:lang w:val="en-AU"/>
        </w:rPr>
        <w:fldChar w:fldCharType="end"/>
      </w:r>
      <w:r w:rsidRPr="00F71B40">
        <w:rPr>
          <w:lang w:val="en-AU"/>
        </w:rPr>
        <w:t xml:space="preserve">: </w:t>
      </w:r>
      <w:r w:rsidR="00D56625" w:rsidRPr="00F71B40">
        <w:rPr>
          <w:lang w:val="en-AU"/>
        </w:rPr>
        <w:t>E</w:t>
      </w:r>
      <w:r w:rsidRPr="00F71B40">
        <w:rPr>
          <w:lang w:val="en-AU"/>
        </w:rPr>
        <w:t>xplanations for the limited track record of public sector management reforms</w:t>
      </w:r>
      <w:bookmarkEnd w:id="99"/>
      <w:bookmarkEnd w:id="100"/>
    </w:p>
    <w:p w:rsidR="00F74071" w:rsidRPr="00F71B40" w:rsidRDefault="00F74071" w:rsidP="00F74071">
      <w:pPr>
        <w:rPr>
          <w:rFonts w:cs="Times New Roman"/>
          <w:sz w:val="20"/>
          <w:szCs w:val="20"/>
          <w:lang w:val="en-AU"/>
        </w:rPr>
      </w:pPr>
    </w:p>
    <w:tbl>
      <w:tblPr>
        <w:tblStyle w:val="TableGrid"/>
        <w:tblW w:w="5000" w:type="pct"/>
        <w:tblLook w:val="04A0" w:firstRow="1" w:lastRow="0" w:firstColumn="1" w:lastColumn="0" w:noHBand="0" w:noVBand="1"/>
      </w:tblPr>
      <w:tblGrid>
        <w:gridCol w:w="998"/>
        <w:gridCol w:w="1689"/>
        <w:gridCol w:w="6889"/>
      </w:tblGrid>
      <w:tr w:rsidR="00F74071" w:rsidRPr="00F71B40" w:rsidTr="0043036D">
        <w:tc>
          <w:tcPr>
            <w:tcW w:w="5000" w:type="pct"/>
            <w:gridSpan w:val="3"/>
          </w:tcPr>
          <w:p w:rsidR="00F74071" w:rsidRPr="00F71B40" w:rsidRDefault="00F9447D" w:rsidP="0043036D">
            <w:pPr>
              <w:pStyle w:val="Caption"/>
              <w:rPr>
                <w:lang w:val="en-AU"/>
              </w:rPr>
            </w:pPr>
            <w:bookmarkStart w:id="101" w:name="_Toc401761845"/>
            <w:r w:rsidRPr="00F71B40">
              <w:rPr>
                <w:lang w:val="en-AU"/>
              </w:rPr>
              <w:t>Annex T</w:t>
            </w:r>
            <w:r w:rsidR="00963793" w:rsidRPr="00F71B40">
              <w:rPr>
                <w:lang w:val="en-AU"/>
              </w:rPr>
              <w:t xml:space="preserve">able </w:t>
            </w:r>
            <w:r w:rsidR="00963793" w:rsidRPr="00F71B40">
              <w:rPr>
                <w:lang w:val="en-AU"/>
              </w:rPr>
              <w:fldChar w:fldCharType="begin"/>
            </w:r>
            <w:r w:rsidR="00963793" w:rsidRPr="00F71B40">
              <w:rPr>
                <w:lang w:val="en-AU"/>
              </w:rPr>
              <w:instrText xml:space="preserve"> SEQ Annex_table \* ARABIC </w:instrText>
            </w:r>
            <w:r w:rsidR="00963793" w:rsidRPr="00F71B40">
              <w:rPr>
                <w:lang w:val="en-AU"/>
              </w:rPr>
              <w:fldChar w:fldCharType="separate"/>
            </w:r>
            <w:r w:rsidR="00EF43BE">
              <w:rPr>
                <w:noProof/>
                <w:lang w:val="en-AU"/>
              </w:rPr>
              <w:t>1</w:t>
            </w:r>
            <w:r w:rsidR="00963793" w:rsidRPr="00F71B40">
              <w:rPr>
                <w:lang w:val="en-AU"/>
              </w:rPr>
              <w:fldChar w:fldCharType="end"/>
            </w:r>
            <w:r w:rsidR="00963793" w:rsidRPr="00F71B40">
              <w:rPr>
                <w:lang w:val="en-AU"/>
              </w:rPr>
              <w:t>: Wrong reform design?</w:t>
            </w:r>
            <w:bookmarkEnd w:id="101"/>
          </w:p>
        </w:tc>
      </w:tr>
      <w:tr w:rsidR="00F74071" w:rsidRPr="00F71B40" w:rsidTr="0043036D">
        <w:tc>
          <w:tcPr>
            <w:tcW w:w="1403" w:type="pct"/>
            <w:gridSpan w:val="2"/>
          </w:tcPr>
          <w:p w:rsidR="00F74071" w:rsidRPr="00F71B40" w:rsidRDefault="00F74071" w:rsidP="0043036D">
            <w:pPr>
              <w:keepNext/>
              <w:keepLines/>
              <w:autoSpaceDE w:val="0"/>
              <w:autoSpaceDN w:val="0"/>
              <w:adjustRightInd w:val="0"/>
              <w:rPr>
                <w:rFonts w:cs="Times New Roman"/>
                <w:b/>
                <w:i/>
                <w:sz w:val="20"/>
                <w:szCs w:val="20"/>
                <w:lang w:val="en-AU"/>
              </w:rPr>
            </w:pPr>
            <w:r w:rsidRPr="00F71B40">
              <w:rPr>
                <w:rFonts w:cs="Times New Roman"/>
                <w:b/>
                <w:i/>
                <w:sz w:val="20"/>
                <w:szCs w:val="20"/>
                <w:lang w:val="en-AU"/>
              </w:rPr>
              <w:t>Headline</w:t>
            </w:r>
          </w:p>
        </w:tc>
        <w:tc>
          <w:tcPr>
            <w:tcW w:w="3597" w:type="pct"/>
          </w:tcPr>
          <w:p w:rsidR="00F74071" w:rsidRPr="00F71B40" w:rsidRDefault="00F74071" w:rsidP="0043036D">
            <w:pPr>
              <w:keepNext/>
              <w:keepLines/>
              <w:autoSpaceDE w:val="0"/>
              <w:autoSpaceDN w:val="0"/>
              <w:adjustRightInd w:val="0"/>
              <w:rPr>
                <w:rFonts w:cs="Times New Roman"/>
                <w:b/>
                <w:i/>
                <w:sz w:val="20"/>
                <w:szCs w:val="20"/>
                <w:lang w:val="en-AU"/>
              </w:rPr>
            </w:pPr>
            <w:r w:rsidRPr="00F71B40">
              <w:rPr>
                <w:rFonts w:cs="Times New Roman"/>
                <w:b/>
                <w:i/>
                <w:sz w:val="20"/>
                <w:szCs w:val="20"/>
                <w:lang w:val="en-AU"/>
              </w:rPr>
              <w:t>Types of  explanation</w:t>
            </w:r>
          </w:p>
        </w:tc>
      </w:tr>
      <w:tr w:rsidR="00F74071" w:rsidRPr="00F71B40" w:rsidTr="0043036D">
        <w:tc>
          <w:tcPr>
            <w:tcW w:w="521" w:type="pct"/>
            <w:vMerge w:val="restart"/>
          </w:tcPr>
          <w:p w:rsidR="00F74071" w:rsidRPr="00F71B40" w:rsidRDefault="00F74071" w:rsidP="0043036D">
            <w:pPr>
              <w:rPr>
                <w:rFonts w:cs="Times New Roman"/>
                <w:sz w:val="20"/>
                <w:szCs w:val="20"/>
                <w:lang w:val="en-AU"/>
              </w:rPr>
            </w:pPr>
            <w:r w:rsidRPr="00F71B40">
              <w:rPr>
                <w:rFonts w:cs="Times New Roman"/>
                <w:sz w:val="20"/>
                <w:szCs w:val="20"/>
                <w:lang w:val="en-AU"/>
              </w:rPr>
              <w:t>Reforms wrong in principle</w:t>
            </w:r>
          </w:p>
        </w:tc>
        <w:tc>
          <w:tcPr>
            <w:tcW w:w="882" w:type="pct"/>
          </w:tcPr>
          <w:p w:rsidR="00F74071" w:rsidRPr="00F71B40" w:rsidRDefault="00F74071" w:rsidP="004D15F8">
            <w:pPr>
              <w:pStyle w:val="ListParagraph"/>
              <w:numPr>
                <w:ilvl w:val="0"/>
                <w:numId w:val="35"/>
              </w:numPr>
              <w:ind w:left="180" w:hanging="180"/>
              <w:rPr>
                <w:rFonts w:cs="Times New Roman"/>
                <w:sz w:val="20"/>
                <w:szCs w:val="20"/>
                <w:lang w:val="en-AU"/>
              </w:rPr>
            </w:pPr>
            <w:r w:rsidRPr="00F71B40">
              <w:rPr>
                <w:rFonts w:cs="Times New Roman"/>
                <w:sz w:val="20"/>
                <w:szCs w:val="20"/>
                <w:lang w:val="en-AU"/>
              </w:rPr>
              <w:t>Not salient</w:t>
            </w:r>
          </w:p>
          <w:p w:rsidR="00F74071" w:rsidRPr="00F71B40" w:rsidRDefault="00F74071" w:rsidP="0043036D">
            <w:pPr>
              <w:keepNext/>
              <w:keepLines/>
              <w:ind w:left="180" w:hanging="180"/>
              <w:rPr>
                <w:rFonts w:cs="Times New Roman"/>
                <w:sz w:val="20"/>
                <w:szCs w:val="20"/>
                <w:lang w:val="en-AU"/>
              </w:rPr>
            </w:pPr>
          </w:p>
        </w:tc>
        <w:tc>
          <w:tcPr>
            <w:tcW w:w="3597" w:type="pct"/>
          </w:tcPr>
          <w:p w:rsidR="00F74071" w:rsidRPr="00F71B40" w:rsidRDefault="00F74071" w:rsidP="004D15F8">
            <w:pPr>
              <w:pStyle w:val="ListParagraph"/>
              <w:numPr>
                <w:ilvl w:val="1"/>
                <w:numId w:val="35"/>
              </w:numPr>
              <w:ind w:left="390"/>
              <w:rPr>
                <w:rFonts w:cs="Times New Roman"/>
                <w:sz w:val="20"/>
                <w:szCs w:val="20"/>
                <w:lang w:val="en-AU"/>
              </w:rPr>
            </w:pPr>
            <w:r w:rsidRPr="00F71B40">
              <w:rPr>
                <w:rFonts w:cs="Times New Roman"/>
                <w:i/>
                <w:sz w:val="20"/>
                <w:szCs w:val="20"/>
                <w:lang w:val="en-AU"/>
              </w:rPr>
              <w:t>Distraction</w:t>
            </w:r>
            <w:r w:rsidRPr="00F71B40">
              <w:rPr>
                <w:rFonts w:cs="Times New Roman"/>
                <w:sz w:val="20"/>
                <w:szCs w:val="20"/>
                <w:lang w:val="en-AU"/>
              </w:rPr>
              <w:t>: introducing cross-cutting managerial changes which ultimately have little impact on outcomes</w:t>
            </w:r>
          </w:p>
          <w:p w:rsidR="00F74071" w:rsidRPr="00F71B40" w:rsidRDefault="00F74071" w:rsidP="004D15F8">
            <w:pPr>
              <w:pStyle w:val="ListParagraph"/>
              <w:numPr>
                <w:ilvl w:val="1"/>
                <w:numId w:val="35"/>
              </w:numPr>
              <w:ind w:left="390"/>
              <w:rPr>
                <w:rFonts w:cs="Times New Roman"/>
                <w:sz w:val="20"/>
                <w:szCs w:val="20"/>
                <w:lang w:val="en-AU"/>
              </w:rPr>
            </w:pPr>
            <w:r w:rsidRPr="00F71B40">
              <w:rPr>
                <w:rFonts w:cs="Times New Roman"/>
                <w:i/>
                <w:sz w:val="20"/>
                <w:szCs w:val="20"/>
                <w:lang w:val="en-AU"/>
              </w:rPr>
              <w:t>Omission</w:t>
            </w:r>
            <w:r w:rsidRPr="00F71B40">
              <w:rPr>
                <w:rFonts w:cs="Times New Roman"/>
                <w:sz w:val="20"/>
                <w:szCs w:val="20"/>
                <w:lang w:val="en-AU"/>
              </w:rPr>
              <w:t>: over-emphasizing formal change and neglecting the human/dynamic aspects of motivation</w:t>
            </w:r>
          </w:p>
          <w:p w:rsidR="00F74071" w:rsidRPr="00F71B40" w:rsidRDefault="00F74071" w:rsidP="004D15F8">
            <w:pPr>
              <w:pStyle w:val="ListParagraph"/>
              <w:numPr>
                <w:ilvl w:val="1"/>
                <w:numId w:val="35"/>
              </w:numPr>
              <w:ind w:left="390"/>
              <w:rPr>
                <w:rFonts w:cs="Times New Roman"/>
                <w:sz w:val="20"/>
                <w:szCs w:val="20"/>
                <w:lang w:val="en-AU"/>
              </w:rPr>
            </w:pPr>
            <w:r w:rsidRPr="00F71B40">
              <w:rPr>
                <w:rFonts w:cs="Times New Roman"/>
                <w:i/>
                <w:sz w:val="20"/>
                <w:szCs w:val="20"/>
                <w:lang w:val="en-AU"/>
              </w:rPr>
              <w:t>Trivial</w:t>
            </w:r>
            <w:r w:rsidRPr="00F71B40">
              <w:rPr>
                <w:rFonts w:cs="Times New Roman"/>
                <w:sz w:val="20"/>
                <w:szCs w:val="20"/>
                <w:lang w:val="en-AU"/>
              </w:rPr>
              <w:t>: reforming particular entities or narrow procedures with little overall impact</w:t>
            </w:r>
          </w:p>
        </w:tc>
      </w:tr>
      <w:tr w:rsidR="00F74071" w:rsidRPr="00F71B40" w:rsidTr="0043036D">
        <w:tc>
          <w:tcPr>
            <w:tcW w:w="521" w:type="pct"/>
            <w:vMerge/>
          </w:tcPr>
          <w:p w:rsidR="00F74071" w:rsidRPr="00F71B40" w:rsidRDefault="00F74071" w:rsidP="0043036D">
            <w:pPr>
              <w:rPr>
                <w:rFonts w:cs="Times New Roman"/>
                <w:sz w:val="20"/>
                <w:szCs w:val="20"/>
                <w:lang w:val="en-AU"/>
              </w:rPr>
            </w:pPr>
          </w:p>
        </w:tc>
        <w:tc>
          <w:tcPr>
            <w:tcW w:w="882" w:type="pct"/>
          </w:tcPr>
          <w:p w:rsidR="00F74071" w:rsidRPr="00F71B40" w:rsidRDefault="00F74071" w:rsidP="004D15F8">
            <w:pPr>
              <w:pStyle w:val="ListParagraph"/>
              <w:numPr>
                <w:ilvl w:val="0"/>
                <w:numId w:val="35"/>
              </w:numPr>
              <w:ind w:left="180" w:hanging="180"/>
              <w:rPr>
                <w:rFonts w:cs="Times New Roman"/>
                <w:sz w:val="20"/>
                <w:szCs w:val="20"/>
                <w:lang w:val="en-AU"/>
              </w:rPr>
            </w:pPr>
            <w:r w:rsidRPr="00F71B40">
              <w:rPr>
                <w:rFonts w:cs="Times New Roman"/>
                <w:sz w:val="20"/>
                <w:szCs w:val="20"/>
                <w:lang w:val="en-AU"/>
              </w:rPr>
              <w:t>Too ambitious</w:t>
            </w:r>
          </w:p>
          <w:p w:rsidR="00F74071" w:rsidRPr="00F71B40" w:rsidRDefault="00F74071" w:rsidP="0043036D">
            <w:pPr>
              <w:keepNext/>
              <w:keepLines/>
              <w:autoSpaceDE w:val="0"/>
              <w:autoSpaceDN w:val="0"/>
              <w:adjustRightInd w:val="0"/>
              <w:ind w:left="180" w:hanging="180"/>
              <w:rPr>
                <w:rFonts w:cs="Times New Roman"/>
                <w:b/>
                <w:sz w:val="20"/>
                <w:szCs w:val="20"/>
                <w:lang w:val="en-AU"/>
              </w:rPr>
            </w:pPr>
          </w:p>
        </w:tc>
        <w:tc>
          <w:tcPr>
            <w:tcW w:w="3597" w:type="pct"/>
          </w:tcPr>
          <w:p w:rsidR="00F74071" w:rsidRPr="00F71B40" w:rsidRDefault="00F74071" w:rsidP="004D15F8">
            <w:pPr>
              <w:pStyle w:val="ListParagraph"/>
              <w:numPr>
                <w:ilvl w:val="1"/>
                <w:numId w:val="35"/>
              </w:numPr>
              <w:ind w:left="390"/>
              <w:rPr>
                <w:rFonts w:cs="Times New Roman"/>
                <w:sz w:val="20"/>
                <w:szCs w:val="20"/>
                <w:lang w:val="en-AU"/>
              </w:rPr>
            </w:pPr>
            <w:r w:rsidRPr="00F71B40">
              <w:rPr>
                <w:rFonts w:cs="Times New Roman"/>
                <w:i/>
                <w:sz w:val="20"/>
                <w:szCs w:val="20"/>
                <w:lang w:val="en-AU"/>
              </w:rPr>
              <w:t>Technically over-demanding</w:t>
            </w:r>
            <w:r w:rsidRPr="00F71B40">
              <w:rPr>
                <w:rFonts w:cs="Times New Roman"/>
                <w:sz w:val="20"/>
                <w:szCs w:val="20"/>
                <w:lang w:val="en-AU"/>
              </w:rPr>
              <w:t>: seeking to impose elaborate models within the public sector (e.g. quasi-contractual/NPM/purchaser-provider) with more transaction costs than benefits</w:t>
            </w:r>
          </w:p>
          <w:p w:rsidR="00F74071" w:rsidRPr="00F71B40" w:rsidRDefault="00F74071" w:rsidP="004D15F8">
            <w:pPr>
              <w:pStyle w:val="ListParagraph"/>
              <w:numPr>
                <w:ilvl w:val="1"/>
                <w:numId w:val="35"/>
              </w:numPr>
              <w:ind w:left="390"/>
              <w:rPr>
                <w:rFonts w:cs="Times New Roman"/>
                <w:sz w:val="20"/>
                <w:szCs w:val="20"/>
                <w:lang w:val="en-AU"/>
              </w:rPr>
            </w:pPr>
            <w:r w:rsidRPr="00F71B40">
              <w:rPr>
                <w:rFonts w:cs="Times New Roman"/>
                <w:i/>
                <w:sz w:val="20"/>
                <w:szCs w:val="20"/>
                <w:lang w:val="en-AU"/>
              </w:rPr>
              <w:t>Excessive scope</w:t>
            </w:r>
            <w:r w:rsidRPr="00F71B40">
              <w:rPr>
                <w:rFonts w:cs="Times New Roman"/>
                <w:sz w:val="20"/>
                <w:szCs w:val="20"/>
                <w:lang w:val="en-AU"/>
              </w:rPr>
              <w:t>: seeking to change the entire public sector</w:t>
            </w:r>
          </w:p>
        </w:tc>
      </w:tr>
      <w:tr w:rsidR="00F74071" w:rsidRPr="00F71B40" w:rsidTr="0043036D">
        <w:tc>
          <w:tcPr>
            <w:tcW w:w="521" w:type="pct"/>
            <w:vMerge w:val="restart"/>
          </w:tcPr>
          <w:p w:rsidR="00F74071" w:rsidRPr="00F71B40" w:rsidRDefault="00F74071" w:rsidP="0043036D">
            <w:pPr>
              <w:rPr>
                <w:rFonts w:cs="Times New Roman"/>
                <w:sz w:val="20"/>
                <w:szCs w:val="20"/>
                <w:lang w:val="en-AU"/>
              </w:rPr>
            </w:pPr>
            <w:r w:rsidRPr="00F71B40">
              <w:rPr>
                <w:rFonts w:cs="Times New Roman"/>
                <w:sz w:val="20"/>
                <w:szCs w:val="20"/>
                <w:lang w:val="en-AU"/>
              </w:rPr>
              <w:t>Reforms wrong in practice</w:t>
            </w:r>
          </w:p>
        </w:tc>
        <w:tc>
          <w:tcPr>
            <w:tcW w:w="882" w:type="pct"/>
          </w:tcPr>
          <w:p w:rsidR="00F74071" w:rsidRPr="00F71B40" w:rsidRDefault="00F74071" w:rsidP="004D15F8">
            <w:pPr>
              <w:pStyle w:val="ListParagraph"/>
              <w:numPr>
                <w:ilvl w:val="0"/>
                <w:numId w:val="35"/>
              </w:numPr>
              <w:ind w:left="180" w:hanging="180"/>
              <w:rPr>
                <w:rFonts w:cs="Times New Roman"/>
                <w:sz w:val="20"/>
                <w:szCs w:val="20"/>
                <w:lang w:val="en-AU"/>
              </w:rPr>
            </w:pPr>
            <w:r w:rsidRPr="00F71B40">
              <w:rPr>
                <w:rFonts w:cs="Times New Roman"/>
                <w:sz w:val="20"/>
                <w:szCs w:val="20"/>
                <w:lang w:val="en-AU"/>
              </w:rPr>
              <w:t>Building on sand</w:t>
            </w:r>
          </w:p>
          <w:p w:rsidR="00F74071" w:rsidRPr="00F71B40" w:rsidRDefault="00F74071" w:rsidP="0043036D">
            <w:pPr>
              <w:keepNext/>
              <w:keepLines/>
              <w:ind w:left="180" w:hanging="180"/>
              <w:rPr>
                <w:rFonts w:cs="Times New Roman"/>
                <w:b/>
                <w:sz w:val="20"/>
                <w:szCs w:val="20"/>
                <w:lang w:val="en-AU"/>
              </w:rPr>
            </w:pPr>
          </w:p>
        </w:tc>
        <w:tc>
          <w:tcPr>
            <w:tcW w:w="3597" w:type="pct"/>
          </w:tcPr>
          <w:p w:rsidR="00F74071" w:rsidRPr="00F71B40" w:rsidRDefault="00F74071" w:rsidP="004D15F8">
            <w:pPr>
              <w:pStyle w:val="ListParagraph"/>
              <w:numPr>
                <w:ilvl w:val="1"/>
                <w:numId w:val="35"/>
              </w:numPr>
              <w:ind w:left="390"/>
              <w:rPr>
                <w:rFonts w:cs="Times New Roman"/>
                <w:sz w:val="20"/>
                <w:szCs w:val="20"/>
                <w:lang w:val="en-AU"/>
              </w:rPr>
            </w:pPr>
            <w:r w:rsidRPr="00F71B40">
              <w:rPr>
                <w:rFonts w:cs="Times New Roman"/>
                <w:i/>
                <w:sz w:val="20"/>
                <w:szCs w:val="20"/>
                <w:lang w:val="en-AU"/>
              </w:rPr>
              <w:t>Form not function</w:t>
            </w:r>
            <w:r w:rsidRPr="00F71B40">
              <w:rPr>
                <w:rFonts w:cs="Times New Roman"/>
                <w:sz w:val="20"/>
                <w:szCs w:val="20"/>
                <w:lang w:val="en-AU"/>
              </w:rPr>
              <w:t>: introducing “best practice” procedural changes without changing the real informal behaviours which underpin operations across the public sector</w:t>
            </w:r>
          </w:p>
          <w:p w:rsidR="00F74071" w:rsidRPr="00F71B40" w:rsidRDefault="00F74071" w:rsidP="004D15F8">
            <w:pPr>
              <w:pStyle w:val="ListParagraph"/>
              <w:numPr>
                <w:ilvl w:val="1"/>
                <w:numId w:val="35"/>
              </w:numPr>
              <w:ind w:left="390"/>
              <w:rPr>
                <w:rFonts w:cs="Times New Roman"/>
                <w:sz w:val="20"/>
                <w:szCs w:val="20"/>
                <w:lang w:val="en-AU"/>
              </w:rPr>
            </w:pPr>
            <w:r w:rsidRPr="00F71B40">
              <w:rPr>
                <w:rFonts w:cs="Times New Roman"/>
                <w:i/>
                <w:sz w:val="20"/>
                <w:szCs w:val="20"/>
                <w:lang w:val="en-AU"/>
              </w:rPr>
              <w:t>Unaddressed capacity problems</w:t>
            </w:r>
            <w:r w:rsidRPr="00F71B40">
              <w:rPr>
                <w:rFonts w:cs="Times New Roman"/>
                <w:sz w:val="20"/>
                <w:szCs w:val="20"/>
                <w:lang w:val="en-AU"/>
              </w:rPr>
              <w:t>: core public sector is too weak because of insufficient staff or staff skills</w:t>
            </w:r>
          </w:p>
          <w:p w:rsidR="00F74071" w:rsidRPr="00F71B40" w:rsidRDefault="00F74071" w:rsidP="004D15F8">
            <w:pPr>
              <w:pStyle w:val="ListParagraph"/>
              <w:numPr>
                <w:ilvl w:val="1"/>
                <w:numId w:val="35"/>
              </w:numPr>
              <w:ind w:left="390"/>
              <w:rPr>
                <w:rFonts w:cs="Times New Roman"/>
                <w:sz w:val="20"/>
                <w:szCs w:val="20"/>
                <w:lang w:val="en-AU"/>
              </w:rPr>
            </w:pPr>
            <w:r w:rsidRPr="00F71B40">
              <w:rPr>
                <w:rFonts w:cs="Times New Roman"/>
                <w:i/>
                <w:sz w:val="20"/>
                <w:szCs w:val="20"/>
                <w:lang w:val="en-AU"/>
              </w:rPr>
              <w:t>Unaddressed erosion</w:t>
            </w:r>
            <w:r w:rsidRPr="00F71B40">
              <w:rPr>
                <w:rFonts w:cs="Times New Roman"/>
                <w:sz w:val="20"/>
                <w:szCs w:val="20"/>
                <w:lang w:val="en-AU"/>
              </w:rPr>
              <w:t>: core public sector is too weak because of widespread informality/corruption in the basic cross-cutting management systems (public financial management, human resource management, procurement, etc.)</w:t>
            </w:r>
          </w:p>
        </w:tc>
      </w:tr>
      <w:tr w:rsidR="00F74071" w:rsidRPr="00F71B40" w:rsidTr="0043036D">
        <w:tc>
          <w:tcPr>
            <w:tcW w:w="521" w:type="pct"/>
            <w:vMerge/>
          </w:tcPr>
          <w:p w:rsidR="00F74071" w:rsidRPr="00F71B40" w:rsidRDefault="00F74071" w:rsidP="0043036D">
            <w:pPr>
              <w:rPr>
                <w:rFonts w:cs="Times New Roman"/>
                <w:sz w:val="20"/>
                <w:szCs w:val="20"/>
                <w:lang w:val="en-AU"/>
              </w:rPr>
            </w:pPr>
          </w:p>
        </w:tc>
        <w:tc>
          <w:tcPr>
            <w:tcW w:w="882" w:type="pct"/>
          </w:tcPr>
          <w:p w:rsidR="00F74071" w:rsidRPr="00F71B40" w:rsidRDefault="00F74071" w:rsidP="004D15F8">
            <w:pPr>
              <w:pStyle w:val="ListParagraph"/>
              <w:numPr>
                <w:ilvl w:val="0"/>
                <w:numId w:val="35"/>
              </w:numPr>
              <w:ind w:left="180" w:hanging="180"/>
              <w:rPr>
                <w:rFonts w:cs="Times New Roman"/>
                <w:sz w:val="20"/>
                <w:szCs w:val="20"/>
                <w:lang w:val="en-AU"/>
              </w:rPr>
            </w:pPr>
            <w:r w:rsidRPr="00F71B40">
              <w:rPr>
                <w:rFonts w:cs="Times New Roman"/>
                <w:sz w:val="20"/>
                <w:szCs w:val="20"/>
                <w:lang w:val="en-AU"/>
              </w:rPr>
              <w:t>Working against the political grain</w:t>
            </w:r>
          </w:p>
        </w:tc>
        <w:tc>
          <w:tcPr>
            <w:tcW w:w="3597" w:type="pct"/>
          </w:tcPr>
          <w:p w:rsidR="00F74071" w:rsidRPr="00F71B40" w:rsidRDefault="00F74071" w:rsidP="004D15F8">
            <w:pPr>
              <w:pStyle w:val="ListParagraph"/>
              <w:numPr>
                <w:ilvl w:val="1"/>
                <w:numId w:val="35"/>
              </w:numPr>
              <w:ind w:left="390"/>
              <w:rPr>
                <w:rFonts w:cs="Times New Roman"/>
                <w:sz w:val="20"/>
                <w:szCs w:val="20"/>
                <w:lang w:val="en-AU"/>
              </w:rPr>
            </w:pPr>
            <w:r w:rsidRPr="00F71B40">
              <w:rPr>
                <w:rFonts w:cs="Times New Roman"/>
                <w:i/>
                <w:sz w:val="20"/>
                <w:szCs w:val="20"/>
                <w:lang w:val="en-AU"/>
              </w:rPr>
              <w:t>Unrecognized illicit gains</w:t>
            </w:r>
            <w:r w:rsidRPr="00F71B40">
              <w:rPr>
                <w:rFonts w:cs="Times New Roman"/>
                <w:sz w:val="20"/>
                <w:szCs w:val="20"/>
                <w:lang w:val="en-AU"/>
              </w:rPr>
              <w:t>: reforms challenge politicians’ interest in maintaining dysfunctional arrangements which benefit their supporters</w:t>
            </w:r>
          </w:p>
          <w:p w:rsidR="00F74071" w:rsidRPr="00F71B40" w:rsidRDefault="00F74071" w:rsidP="004D15F8">
            <w:pPr>
              <w:pStyle w:val="ListParagraph"/>
              <w:numPr>
                <w:ilvl w:val="1"/>
                <w:numId w:val="35"/>
              </w:numPr>
              <w:ind w:left="390"/>
              <w:rPr>
                <w:rFonts w:cs="Times New Roman"/>
                <w:sz w:val="20"/>
                <w:szCs w:val="20"/>
                <w:lang w:val="en-AU"/>
              </w:rPr>
            </w:pPr>
            <w:r w:rsidRPr="00F71B40">
              <w:rPr>
                <w:rFonts w:cs="Times New Roman"/>
                <w:i/>
                <w:sz w:val="20"/>
                <w:szCs w:val="20"/>
                <w:lang w:val="en-AU"/>
              </w:rPr>
              <w:t>Unrecognized basis of political support</w:t>
            </w:r>
            <w:r w:rsidRPr="00F71B40">
              <w:rPr>
                <w:rFonts w:cs="Times New Roman"/>
                <w:sz w:val="20"/>
                <w:szCs w:val="20"/>
                <w:lang w:val="en-AU"/>
              </w:rPr>
              <w:t>: reforms undermine mechanisms by which politicians obtain electoral support</w:t>
            </w:r>
          </w:p>
        </w:tc>
      </w:tr>
    </w:tbl>
    <w:p w:rsidR="00F74071" w:rsidRPr="00F71B40" w:rsidRDefault="00F74071" w:rsidP="00F74071">
      <w:pPr>
        <w:rPr>
          <w:rFonts w:cs="Times New Roman"/>
          <w:sz w:val="20"/>
          <w:szCs w:val="20"/>
          <w:lang w:val="en-AU"/>
        </w:rPr>
      </w:pPr>
    </w:p>
    <w:p w:rsidR="00F74071" w:rsidRPr="00F71B40" w:rsidRDefault="00F74071" w:rsidP="00F74071">
      <w:pPr>
        <w:rPr>
          <w:rFonts w:cs="Times New Roman"/>
          <w:sz w:val="20"/>
          <w:szCs w:val="20"/>
          <w:lang w:val="en-AU"/>
        </w:rPr>
      </w:pPr>
    </w:p>
    <w:tbl>
      <w:tblPr>
        <w:tblStyle w:val="TableGrid"/>
        <w:tblW w:w="0" w:type="auto"/>
        <w:tblLook w:val="04A0" w:firstRow="1" w:lastRow="0" w:firstColumn="1" w:lastColumn="0" w:noHBand="0" w:noVBand="1"/>
      </w:tblPr>
      <w:tblGrid>
        <w:gridCol w:w="2718"/>
        <w:gridCol w:w="6858"/>
      </w:tblGrid>
      <w:tr w:rsidR="00F74071" w:rsidRPr="00F71B40" w:rsidTr="0043036D">
        <w:tc>
          <w:tcPr>
            <w:tcW w:w="9576" w:type="dxa"/>
            <w:gridSpan w:val="2"/>
          </w:tcPr>
          <w:p w:rsidR="00F74071" w:rsidRPr="00F71B40" w:rsidRDefault="00F9447D" w:rsidP="0043036D">
            <w:pPr>
              <w:pStyle w:val="Caption"/>
              <w:rPr>
                <w:lang w:val="en-AU"/>
              </w:rPr>
            </w:pPr>
            <w:bookmarkStart w:id="102" w:name="_Toc401761846"/>
            <w:r w:rsidRPr="00F71B40">
              <w:rPr>
                <w:lang w:val="en-AU"/>
              </w:rPr>
              <w:t>Annex T</w:t>
            </w:r>
            <w:r w:rsidR="00963793" w:rsidRPr="00F71B40">
              <w:rPr>
                <w:lang w:val="en-AU"/>
              </w:rPr>
              <w:t xml:space="preserve">able </w:t>
            </w:r>
            <w:r w:rsidR="00963793" w:rsidRPr="00F71B40">
              <w:rPr>
                <w:lang w:val="en-AU"/>
              </w:rPr>
              <w:fldChar w:fldCharType="begin"/>
            </w:r>
            <w:r w:rsidR="00963793" w:rsidRPr="00F71B40">
              <w:rPr>
                <w:lang w:val="en-AU"/>
              </w:rPr>
              <w:instrText xml:space="preserve"> SEQ Annex_table \* ARABIC </w:instrText>
            </w:r>
            <w:r w:rsidR="00963793" w:rsidRPr="00F71B40">
              <w:rPr>
                <w:lang w:val="en-AU"/>
              </w:rPr>
              <w:fldChar w:fldCharType="separate"/>
            </w:r>
            <w:r w:rsidR="00EF43BE">
              <w:rPr>
                <w:noProof/>
                <w:lang w:val="en-AU"/>
              </w:rPr>
              <w:t>2</w:t>
            </w:r>
            <w:r w:rsidR="00963793" w:rsidRPr="00F71B40">
              <w:rPr>
                <w:lang w:val="en-AU"/>
              </w:rPr>
              <w:fldChar w:fldCharType="end"/>
            </w:r>
            <w:r w:rsidR="00963793" w:rsidRPr="00F71B40">
              <w:rPr>
                <w:lang w:val="en-AU"/>
              </w:rPr>
              <w:t>: Wrong intervention design?</w:t>
            </w:r>
            <w:bookmarkEnd w:id="102"/>
          </w:p>
        </w:tc>
      </w:tr>
      <w:tr w:rsidR="00F74071" w:rsidRPr="00F71B40" w:rsidTr="0043036D">
        <w:tc>
          <w:tcPr>
            <w:tcW w:w="2718" w:type="dxa"/>
          </w:tcPr>
          <w:p w:rsidR="00F74071" w:rsidRPr="00F71B40" w:rsidRDefault="00F74071" w:rsidP="0043036D">
            <w:pPr>
              <w:keepNext/>
              <w:keepLines/>
              <w:autoSpaceDE w:val="0"/>
              <w:autoSpaceDN w:val="0"/>
              <w:adjustRightInd w:val="0"/>
              <w:rPr>
                <w:rFonts w:cs="Times New Roman"/>
                <w:b/>
                <w:i/>
                <w:sz w:val="20"/>
                <w:szCs w:val="20"/>
                <w:lang w:val="en-AU"/>
              </w:rPr>
            </w:pPr>
            <w:r w:rsidRPr="00F71B40">
              <w:rPr>
                <w:rFonts w:cs="Times New Roman"/>
                <w:b/>
                <w:i/>
                <w:sz w:val="20"/>
                <w:szCs w:val="20"/>
                <w:lang w:val="en-AU"/>
              </w:rPr>
              <w:t>Headline</w:t>
            </w:r>
          </w:p>
        </w:tc>
        <w:tc>
          <w:tcPr>
            <w:tcW w:w="6858" w:type="dxa"/>
          </w:tcPr>
          <w:p w:rsidR="00F74071" w:rsidRPr="00F71B40" w:rsidRDefault="00F74071" w:rsidP="0043036D">
            <w:pPr>
              <w:keepNext/>
              <w:keepLines/>
              <w:autoSpaceDE w:val="0"/>
              <w:autoSpaceDN w:val="0"/>
              <w:adjustRightInd w:val="0"/>
              <w:rPr>
                <w:rFonts w:cs="Times New Roman"/>
                <w:b/>
                <w:i/>
                <w:sz w:val="20"/>
                <w:szCs w:val="20"/>
                <w:lang w:val="en-AU"/>
              </w:rPr>
            </w:pPr>
            <w:r w:rsidRPr="00F71B40">
              <w:rPr>
                <w:rFonts w:cs="Times New Roman"/>
                <w:b/>
                <w:i/>
                <w:sz w:val="20"/>
                <w:szCs w:val="20"/>
                <w:lang w:val="en-AU"/>
              </w:rPr>
              <w:t>Types of  explanation</w:t>
            </w:r>
          </w:p>
        </w:tc>
      </w:tr>
      <w:tr w:rsidR="00F74071" w:rsidRPr="00F71B40" w:rsidTr="0043036D">
        <w:tc>
          <w:tcPr>
            <w:tcW w:w="2718" w:type="dxa"/>
          </w:tcPr>
          <w:p w:rsidR="00F74071" w:rsidRPr="00F71B40" w:rsidRDefault="00F74071" w:rsidP="004D15F8">
            <w:pPr>
              <w:pStyle w:val="ListParagraph"/>
              <w:numPr>
                <w:ilvl w:val="0"/>
                <w:numId w:val="31"/>
              </w:numPr>
              <w:ind w:left="270" w:hanging="270"/>
              <w:rPr>
                <w:rFonts w:cs="Times New Roman"/>
                <w:sz w:val="20"/>
                <w:szCs w:val="20"/>
                <w:lang w:val="en-AU"/>
              </w:rPr>
            </w:pPr>
            <w:r w:rsidRPr="00F71B40">
              <w:rPr>
                <w:rFonts w:cs="Times New Roman"/>
                <w:sz w:val="20"/>
                <w:szCs w:val="20"/>
                <w:lang w:val="en-AU"/>
              </w:rPr>
              <w:t>Inaccurate assumptions about how the public sector results chain that is being fixed or improved does, or feasibly could, operate</w:t>
            </w:r>
          </w:p>
        </w:tc>
        <w:tc>
          <w:tcPr>
            <w:tcW w:w="6858" w:type="dxa"/>
          </w:tcPr>
          <w:p w:rsidR="00F74071" w:rsidRPr="00F71B40" w:rsidRDefault="00F74071" w:rsidP="004D15F8">
            <w:pPr>
              <w:pStyle w:val="ListParagraph"/>
              <w:numPr>
                <w:ilvl w:val="0"/>
                <w:numId w:val="32"/>
              </w:numPr>
              <w:rPr>
                <w:rFonts w:cs="Times New Roman"/>
                <w:sz w:val="20"/>
                <w:szCs w:val="20"/>
                <w:lang w:val="en-AU"/>
              </w:rPr>
            </w:pPr>
            <w:r w:rsidRPr="00F71B40">
              <w:rPr>
                <w:rFonts w:cs="Times New Roman"/>
                <w:i/>
                <w:sz w:val="20"/>
                <w:szCs w:val="20"/>
                <w:lang w:val="en-AU"/>
              </w:rPr>
              <w:t>Assumed terra nullis</w:t>
            </w:r>
            <w:r w:rsidRPr="00F71B40">
              <w:rPr>
                <w:rFonts w:cs="Times New Roman"/>
                <w:sz w:val="20"/>
                <w:szCs w:val="20"/>
                <w:lang w:val="en-AU"/>
              </w:rPr>
              <w:t>: a view that reforms can be introduced without reference to existing custom and practice as these are so dysfunctional as to be irrelevant</w:t>
            </w:r>
          </w:p>
          <w:p w:rsidR="00F74071" w:rsidRPr="00F71B40" w:rsidRDefault="00F74071" w:rsidP="004D15F8">
            <w:pPr>
              <w:pStyle w:val="ListParagraph"/>
              <w:numPr>
                <w:ilvl w:val="0"/>
                <w:numId w:val="32"/>
              </w:numPr>
              <w:rPr>
                <w:rFonts w:cs="Times New Roman"/>
                <w:sz w:val="20"/>
                <w:szCs w:val="20"/>
                <w:lang w:val="en-AU"/>
              </w:rPr>
            </w:pPr>
            <w:r w:rsidRPr="00F71B40">
              <w:rPr>
                <w:rFonts w:cs="Times New Roman"/>
                <w:i/>
                <w:sz w:val="20"/>
                <w:szCs w:val="20"/>
                <w:lang w:val="en-AU"/>
              </w:rPr>
              <w:t>Assumed Newtonian model for the public sector</w:t>
            </w:r>
            <w:r w:rsidRPr="00F71B40">
              <w:rPr>
                <w:rFonts w:cs="Times New Roman"/>
                <w:sz w:val="20"/>
                <w:szCs w:val="20"/>
                <w:lang w:val="en-AU"/>
              </w:rPr>
              <w:t>: a view that changes in the central agencies (policy direction, procedural regulation, budgetary and human resources) result automatically in changes in the line departments and delivery bodies</w:t>
            </w:r>
          </w:p>
          <w:p w:rsidR="00F74071" w:rsidRPr="00F71B40" w:rsidRDefault="00F74071" w:rsidP="004D15F8">
            <w:pPr>
              <w:pStyle w:val="ListParagraph"/>
              <w:numPr>
                <w:ilvl w:val="0"/>
                <w:numId w:val="32"/>
              </w:numPr>
              <w:rPr>
                <w:rFonts w:cs="Times New Roman"/>
                <w:sz w:val="20"/>
                <w:szCs w:val="20"/>
                <w:lang w:val="en-AU"/>
              </w:rPr>
            </w:pPr>
            <w:r w:rsidRPr="00F71B40">
              <w:rPr>
                <w:rFonts w:cs="Times New Roman"/>
                <w:i/>
                <w:sz w:val="20"/>
                <w:szCs w:val="20"/>
                <w:lang w:val="en-AU"/>
              </w:rPr>
              <w:t>Assumption of complete knowledge</w:t>
            </w:r>
            <w:r w:rsidRPr="00F71B40">
              <w:rPr>
                <w:rFonts w:cs="Times New Roman"/>
                <w:sz w:val="20"/>
                <w:szCs w:val="20"/>
                <w:lang w:val="en-AU"/>
              </w:rPr>
              <w:t>: connections between formal institutions and arrangements, the actual behaviours of the key actors, and the final results considered to be fully known and understood</w:t>
            </w:r>
          </w:p>
        </w:tc>
      </w:tr>
      <w:tr w:rsidR="00F74071" w:rsidRPr="00F71B40" w:rsidTr="0043036D">
        <w:tc>
          <w:tcPr>
            <w:tcW w:w="2718" w:type="dxa"/>
          </w:tcPr>
          <w:p w:rsidR="00F74071" w:rsidRPr="00F71B40" w:rsidRDefault="00F74071" w:rsidP="004D15F8">
            <w:pPr>
              <w:pStyle w:val="ListParagraph"/>
              <w:numPr>
                <w:ilvl w:val="0"/>
                <w:numId w:val="31"/>
              </w:numPr>
              <w:ind w:left="270" w:hanging="270"/>
              <w:rPr>
                <w:rFonts w:cs="Times New Roman"/>
                <w:sz w:val="20"/>
                <w:szCs w:val="20"/>
                <w:lang w:val="en-AU"/>
              </w:rPr>
            </w:pPr>
            <w:r w:rsidRPr="00F71B40">
              <w:rPr>
                <w:rFonts w:cs="Times New Roman"/>
                <w:sz w:val="20"/>
                <w:szCs w:val="20"/>
                <w:lang w:val="en-AU"/>
              </w:rPr>
              <w:t>Inappropriate deployment of inputs within the intervention</w:t>
            </w:r>
          </w:p>
        </w:tc>
        <w:tc>
          <w:tcPr>
            <w:tcW w:w="6858" w:type="dxa"/>
          </w:tcPr>
          <w:p w:rsidR="00F74071" w:rsidRPr="00F71B40" w:rsidRDefault="00F74071" w:rsidP="004D15F8">
            <w:pPr>
              <w:pStyle w:val="ListParagraph"/>
              <w:numPr>
                <w:ilvl w:val="0"/>
                <w:numId w:val="33"/>
              </w:numPr>
              <w:ind w:left="360"/>
              <w:rPr>
                <w:rFonts w:cs="Times New Roman"/>
                <w:sz w:val="20"/>
                <w:szCs w:val="20"/>
                <w:lang w:val="en-AU"/>
              </w:rPr>
            </w:pPr>
            <w:r w:rsidRPr="00F71B40">
              <w:rPr>
                <w:rFonts w:cs="Times New Roman"/>
                <w:i/>
                <w:sz w:val="20"/>
                <w:szCs w:val="20"/>
                <w:lang w:val="en-AU"/>
              </w:rPr>
              <w:t>Inappropriate technical input mix</w:t>
            </w:r>
            <w:r w:rsidRPr="00F71B40">
              <w:rPr>
                <w:rFonts w:cs="Times New Roman"/>
                <w:sz w:val="20"/>
                <w:szCs w:val="20"/>
                <w:lang w:val="en-AU"/>
              </w:rPr>
              <w:t xml:space="preserve">: too much, too little or technically wrong advice, temporary capacity enhancement through external advisors, training, IT systems, etc. </w:t>
            </w:r>
          </w:p>
          <w:p w:rsidR="00F74071" w:rsidRPr="00F71B40" w:rsidRDefault="00F74071" w:rsidP="004D15F8">
            <w:pPr>
              <w:pStyle w:val="ListParagraph"/>
              <w:numPr>
                <w:ilvl w:val="0"/>
                <w:numId w:val="33"/>
              </w:numPr>
              <w:ind w:left="360"/>
              <w:rPr>
                <w:rFonts w:cs="Times New Roman"/>
                <w:sz w:val="20"/>
                <w:szCs w:val="20"/>
                <w:lang w:val="en-AU"/>
              </w:rPr>
            </w:pPr>
            <w:r w:rsidRPr="00F71B40">
              <w:rPr>
                <w:rFonts w:cs="Times New Roman"/>
                <w:i/>
                <w:sz w:val="20"/>
                <w:szCs w:val="20"/>
                <w:lang w:val="en-AU"/>
              </w:rPr>
              <w:t>Inappropriate leverage</w:t>
            </w:r>
            <w:r w:rsidRPr="00F71B40">
              <w:rPr>
                <w:rFonts w:cs="Times New Roman"/>
                <w:sz w:val="20"/>
                <w:szCs w:val="20"/>
                <w:lang w:val="en-AU"/>
              </w:rPr>
              <w:t>: too much, too little or otherwise counterproductive financial or political pressure</w:t>
            </w:r>
          </w:p>
          <w:p w:rsidR="00F74071" w:rsidRPr="00F71B40" w:rsidRDefault="00F74071" w:rsidP="004D15F8">
            <w:pPr>
              <w:pStyle w:val="ListParagraph"/>
              <w:numPr>
                <w:ilvl w:val="0"/>
                <w:numId w:val="33"/>
              </w:numPr>
              <w:ind w:left="360"/>
              <w:rPr>
                <w:rFonts w:cs="Times New Roman"/>
                <w:sz w:val="20"/>
                <w:szCs w:val="20"/>
                <w:lang w:val="en-AU"/>
              </w:rPr>
            </w:pPr>
            <w:r w:rsidRPr="00F71B40">
              <w:rPr>
                <w:rFonts w:cs="Times New Roman"/>
                <w:i/>
                <w:sz w:val="20"/>
                <w:szCs w:val="20"/>
                <w:lang w:val="en-AU"/>
              </w:rPr>
              <w:t>No learning loop</w:t>
            </w:r>
            <w:r w:rsidRPr="00F71B40">
              <w:rPr>
                <w:rFonts w:cs="Times New Roman"/>
                <w:sz w:val="20"/>
                <w:szCs w:val="20"/>
                <w:lang w:val="en-AU"/>
              </w:rPr>
              <w:t>: intervention assumes that inputs are rigid/predefined with no need for adjustment as understanding improves</w:t>
            </w:r>
          </w:p>
        </w:tc>
      </w:tr>
      <w:tr w:rsidR="00F74071" w:rsidRPr="00F71B40" w:rsidTr="0043036D">
        <w:tc>
          <w:tcPr>
            <w:tcW w:w="2718" w:type="dxa"/>
          </w:tcPr>
          <w:p w:rsidR="00F74071" w:rsidRPr="00F71B40" w:rsidRDefault="00F74071" w:rsidP="004D15F8">
            <w:pPr>
              <w:pStyle w:val="ListParagraph"/>
              <w:numPr>
                <w:ilvl w:val="0"/>
                <w:numId w:val="31"/>
              </w:numPr>
              <w:ind w:left="270" w:hanging="270"/>
              <w:rPr>
                <w:rFonts w:cs="Times New Roman"/>
                <w:sz w:val="20"/>
                <w:szCs w:val="20"/>
                <w:lang w:val="en-AU"/>
              </w:rPr>
            </w:pPr>
            <w:r w:rsidRPr="00F71B40">
              <w:rPr>
                <w:rFonts w:cs="Times New Roman"/>
                <w:sz w:val="20"/>
                <w:szCs w:val="20"/>
                <w:lang w:val="en-AU"/>
              </w:rPr>
              <w:t>Unrealistic theory of change about why actors will comply so that the intervention makes a lasting difference</w:t>
            </w:r>
          </w:p>
        </w:tc>
        <w:tc>
          <w:tcPr>
            <w:tcW w:w="6858" w:type="dxa"/>
          </w:tcPr>
          <w:p w:rsidR="00F74071" w:rsidRPr="00F71B40" w:rsidRDefault="00F74071" w:rsidP="004D15F8">
            <w:pPr>
              <w:pStyle w:val="ListParagraph"/>
              <w:numPr>
                <w:ilvl w:val="0"/>
                <w:numId w:val="34"/>
              </w:numPr>
              <w:ind w:left="360"/>
              <w:rPr>
                <w:rFonts w:cs="Times New Roman"/>
                <w:sz w:val="20"/>
                <w:szCs w:val="20"/>
                <w:lang w:val="en-AU"/>
              </w:rPr>
            </w:pPr>
            <w:r w:rsidRPr="00F71B40">
              <w:rPr>
                <w:rFonts w:cs="Times New Roman"/>
                <w:i/>
                <w:sz w:val="20"/>
                <w:szCs w:val="20"/>
                <w:lang w:val="en-AU"/>
              </w:rPr>
              <w:t>Wishful thinking</w:t>
            </w:r>
            <w:r w:rsidRPr="00F71B40">
              <w:rPr>
                <w:rFonts w:cs="Times New Roman"/>
                <w:sz w:val="20"/>
                <w:szCs w:val="20"/>
                <w:lang w:val="en-AU"/>
              </w:rPr>
              <w:t>: insufficient recognition of the complexity of actors’ political interests and the “political function of institutional dysfunction”</w:t>
            </w:r>
          </w:p>
          <w:p w:rsidR="00F74071" w:rsidRPr="00F71B40" w:rsidRDefault="00F74071" w:rsidP="004D15F8">
            <w:pPr>
              <w:pStyle w:val="ListParagraph"/>
              <w:numPr>
                <w:ilvl w:val="0"/>
                <w:numId w:val="34"/>
              </w:numPr>
              <w:ind w:left="360"/>
              <w:rPr>
                <w:rFonts w:cs="Times New Roman"/>
                <w:sz w:val="20"/>
                <w:szCs w:val="20"/>
                <w:lang w:val="en-AU"/>
              </w:rPr>
            </w:pPr>
            <w:r w:rsidRPr="00F71B40">
              <w:rPr>
                <w:rFonts w:cs="Times New Roman"/>
                <w:i/>
                <w:sz w:val="20"/>
                <w:szCs w:val="20"/>
                <w:lang w:val="en-AU"/>
              </w:rPr>
              <w:t>Narrow thinking</w:t>
            </w:r>
            <w:r w:rsidRPr="00F71B40">
              <w:rPr>
                <w:rFonts w:cs="Times New Roman"/>
                <w:sz w:val="20"/>
                <w:szCs w:val="20"/>
                <w:lang w:val="en-AU"/>
              </w:rPr>
              <w:t>: misidentification of the key actors</w:t>
            </w:r>
          </w:p>
        </w:tc>
      </w:tr>
    </w:tbl>
    <w:p w:rsidR="00F74071" w:rsidRPr="00F71B40" w:rsidRDefault="00F74071" w:rsidP="00F74071">
      <w:pPr>
        <w:rPr>
          <w:rFonts w:eastAsia="MS Mincho" w:cs="Times New Roman"/>
          <w:b/>
          <w:bCs/>
          <w:lang w:val="en-AU"/>
        </w:rPr>
      </w:pPr>
      <w:r w:rsidRPr="00F71B40">
        <w:rPr>
          <w:rFonts w:cs="Times New Roman"/>
          <w:lang w:val="en-AU"/>
        </w:rPr>
        <w:br w:type="page"/>
      </w:r>
    </w:p>
    <w:p w:rsidR="001E6CFC" w:rsidRPr="00F71B40" w:rsidRDefault="00F74071" w:rsidP="00F74071">
      <w:pPr>
        <w:pStyle w:val="Heading1"/>
        <w:numPr>
          <w:ilvl w:val="0"/>
          <w:numId w:val="0"/>
        </w:numPr>
        <w:rPr>
          <w:lang w:val="en-AU"/>
        </w:rPr>
      </w:pPr>
      <w:bookmarkStart w:id="103" w:name="_Ref401676609"/>
      <w:bookmarkStart w:id="104" w:name="_Toc399410408"/>
      <w:r w:rsidRPr="00F71B40">
        <w:rPr>
          <w:lang w:val="en-AU"/>
        </w:rPr>
        <w:lastRenderedPageBreak/>
        <w:t xml:space="preserve">Annex </w:t>
      </w:r>
      <w:r w:rsidRPr="00F71B40">
        <w:rPr>
          <w:lang w:val="en-AU"/>
        </w:rPr>
        <w:fldChar w:fldCharType="begin"/>
      </w:r>
      <w:r w:rsidRPr="00F71B40">
        <w:rPr>
          <w:lang w:val="en-AU"/>
        </w:rPr>
        <w:instrText xml:space="preserve"> SEQ Annex \* ARABIC </w:instrText>
      </w:r>
      <w:r w:rsidRPr="00F71B40">
        <w:rPr>
          <w:lang w:val="en-AU"/>
        </w:rPr>
        <w:fldChar w:fldCharType="separate"/>
      </w:r>
      <w:r w:rsidR="00EF43BE">
        <w:rPr>
          <w:noProof/>
          <w:lang w:val="en-AU"/>
        </w:rPr>
        <w:t>2</w:t>
      </w:r>
      <w:r w:rsidRPr="00F71B40">
        <w:rPr>
          <w:lang w:val="en-AU"/>
        </w:rPr>
        <w:fldChar w:fldCharType="end"/>
      </w:r>
      <w:bookmarkEnd w:id="103"/>
      <w:r w:rsidRPr="00F71B40">
        <w:rPr>
          <w:lang w:val="en-AU"/>
        </w:rPr>
        <w:t xml:space="preserve">: </w:t>
      </w:r>
      <w:r w:rsidR="001E6CFC" w:rsidRPr="00F71B40">
        <w:rPr>
          <w:lang w:val="en-AU"/>
        </w:rPr>
        <w:t>Terms of reference</w:t>
      </w:r>
      <w:bookmarkEnd w:id="104"/>
    </w:p>
    <w:p w:rsidR="00A70F5A" w:rsidRPr="00F71B40" w:rsidRDefault="00A70F5A" w:rsidP="00D62A32">
      <w:pPr>
        <w:autoSpaceDE w:val="0"/>
        <w:autoSpaceDN w:val="0"/>
        <w:adjustRightInd w:val="0"/>
        <w:rPr>
          <w:rFonts w:cs="Times New Roman"/>
          <w:b/>
          <w:bCs/>
          <w:color w:val="000000"/>
          <w:lang w:val="en-AU"/>
        </w:rPr>
      </w:pPr>
    </w:p>
    <w:p w:rsidR="001E6CFC" w:rsidRPr="00F71B40" w:rsidRDefault="001E6CFC" w:rsidP="00D62A32">
      <w:pPr>
        <w:autoSpaceDE w:val="0"/>
        <w:autoSpaceDN w:val="0"/>
        <w:adjustRightInd w:val="0"/>
        <w:rPr>
          <w:rFonts w:cs="Times New Roman"/>
          <w:color w:val="000000"/>
          <w:lang w:val="en-AU"/>
        </w:rPr>
      </w:pPr>
      <w:r w:rsidRPr="00F71B40">
        <w:rPr>
          <w:rFonts w:cs="Times New Roman"/>
          <w:b/>
          <w:bCs/>
          <w:color w:val="000000"/>
          <w:lang w:val="en-AU"/>
        </w:rPr>
        <w:t xml:space="preserve">TERMS OF REFERENCE TEAM LEADER, INDEPENDENT REVIEW OF DFAT’S SOLOMON ISLANDS ECONOMIC AND PUBLIC SECTOR GOVERNANCE PROGRAM </w:t>
      </w:r>
    </w:p>
    <w:p w:rsidR="001E6CFC" w:rsidRPr="00F71B40" w:rsidRDefault="001E6CFC" w:rsidP="00D62A32">
      <w:pPr>
        <w:autoSpaceDE w:val="0"/>
        <w:autoSpaceDN w:val="0"/>
        <w:adjustRightInd w:val="0"/>
        <w:rPr>
          <w:rFonts w:cs="Times New Roman"/>
          <w:b/>
          <w:bCs/>
          <w:color w:val="000000"/>
          <w:lang w:val="en-AU"/>
        </w:rPr>
      </w:pPr>
    </w:p>
    <w:p w:rsidR="001E6CFC" w:rsidRPr="00F71B40" w:rsidRDefault="001E6CFC" w:rsidP="00D62A32">
      <w:pPr>
        <w:autoSpaceDE w:val="0"/>
        <w:autoSpaceDN w:val="0"/>
        <w:adjustRightInd w:val="0"/>
        <w:rPr>
          <w:rFonts w:cs="Times New Roman"/>
          <w:color w:val="000000"/>
          <w:lang w:val="en-AU"/>
        </w:rPr>
      </w:pPr>
      <w:r w:rsidRPr="00F71B40">
        <w:rPr>
          <w:rFonts w:cs="Times New Roman"/>
          <w:b/>
          <w:bCs/>
          <w:color w:val="000000"/>
          <w:lang w:val="en-AU"/>
        </w:rPr>
        <w:t xml:space="preserve">Purpose </w:t>
      </w:r>
    </w:p>
    <w:p w:rsidR="001E6CFC" w:rsidRPr="00F71B40" w:rsidRDefault="001E6CFC" w:rsidP="00D62A32">
      <w:pPr>
        <w:autoSpaceDE w:val="0"/>
        <w:autoSpaceDN w:val="0"/>
        <w:adjustRightInd w:val="0"/>
        <w:rPr>
          <w:rFonts w:cs="Times New Roman"/>
          <w:color w:val="000000"/>
          <w:lang w:val="en-AU"/>
        </w:rPr>
      </w:pPr>
      <w:r w:rsidRPr="00F71B40">
        <w:rPr>
          <w:rFonts w:cs="Times New Roman"/>
          <w:color w:val="000000"/>
          <w:lang w:val="en-AU"/>
        </w:rPr>
        <w:t xml:space="preserve">The Solomon Islands Economic and Public Sector Governance Program (SIGOV) commenced on 1 July 2013 and is planned to be implemented in a series of five-year phases. SIGOV is a large and complex program with staff spread thin, impacting on effective program management and outcomes. We are in the process of refining program goals and management arrangements to address these issues. This review will provide independent advice and assessment on how this can best be taken forward. </w:t>
      </w:r>
    </w:p>
    <w:p w:rsidR="001E6CFC" w:rsidRPr="00F71B40" w:rsidRDefault="001E6CFC" w:rsidP="00D62A32">
      <w:pPr>
        <w:autoSpaceDE w:val="0"/>
        <w:autoSpaceDN w:val="0"/>
        <w:adjustRightInd w:val="0"/>
        <w:rPr>
          <w:rFonts w:cs="Times New Roman"/>
          <w:b/>
          <w:bCs/>
          <w:color w:val="000000"/>
          <w:lang w:val="en-AU"/>
        </w:rPr>
      </w:pPr>
    </w:p>
    <w:p w:rsidR="001E6CFC" w:rsidRPr="00F71B40" w:rsidRDefault="001E6CFC" w:rsidP="00D62A32">
      <w:pPr>
        <w:autoSpaceDE w:val="0"/>
        <w:autoSpaceDN w:val="0"/>
        <w:adjustRightInd w:val="0"/>
        <w:rPr>
          <w:rFonts w:cs="Times New Roman"/>
          <w:color w:val="000000"/>
          <w:lang w:val="en-AU"/>
        </w:rPr>
      </w:pPr>
      <w:r w:rsidRPr="00F71B40">
        <w:rPr>
          <w:rFonts w:cs="Times New Roman"/>
          <w:b/>
          <w:bCs/>
          <w:color w:val="000000"/>
          <w:lang w:val="en-AU"/>
        </w:rPr>
        <w:t xml:space="preserve">Objectives </w:t>
      </w:r>
    </w:p>
    <w:p w:rsidR="001E6CFC" w:rsidRPr="00F71B40" w:rsidRDefault="001E6CFC" w:rsidP="00D62A32">
      <w:pPr>
        <w:autoSpaceDE w:val="0"/>
        <w:autoSpaceDN w:val="0"/>
        <w:adjustRightInd w:val="0"/>
        <w:rPr>
          <w:rFonts w:cs="Times New Roman"/>
          <w:color w:val="000000"/>
          <w:lang w:val="en-AU"/>
        </w:rPr>
      </w:pPr>
      <w:r w:rsidRPr="00F71B40">
        <w:rPr>
          <w:rFonts w:cs="Times New Roman"/>
          <w:color w:val="000000"/>
          <w:lang w:val="en-AU"/>
        </w:rPr>
        <w:t xml:space="preserve">The Australian aid program is evolving in following RAMSI transition, AusAID integration with DFAT and new government aid policy and architecture. DFAT is commissioning an independent review of the program to assess the following areas and make recommendations for any improvements to the program: </w:t>
      </w:r>
    </w:p>
    <w:p w:rsidR="001E6CFC" w:rsidRPr="00F71B40" w:rsidRDefault="009C0CEA" w:rsidP="004D15F8">
      <w:pPr>
        <w:pStyle w:val="ListParagraph"/>
        <w:numPr>
          <w:ilvl w:val="0"/>
          <w:numId w:val="28"/>
        </w:numPr>
        <w:autoSpaceDE w:val="0"/>
        <w:autoSpaceDN w:val="0"/>
        <w:adjustRightInd w:val="0"/>
        <w:rPr>
          <w:rFonts w:cs="Times New Roman"/>
          <w:color w:val="000000"/>
          <w:lang w:val="en-AU"/>
        </w:rPr>
      </w:pPr>
      <w:r w:rsidRPr="00F71B40">
        <w:rPr>
          <w:rFonts w:cs="Times New Roman"/>
          <w:color w:val="000000"/>
          <w:lang w:val="en-AU"/>
        </w:rPr>
        <w:t>Are</w:t>
      </w:r>
      <w:r w:rsidR="001E6CFC" w:rsidRPr="00F71B40">
        <w:rPr>
          <w:rFonts w:cs="Times New Roman"/>
          <w:color w:val="000000"/>
          <w:lang w:val="en-AU"/>
        </w:rPr>
        <w:t xml:space="preserve"> the new program goals clear, achievable and appropriately sequenced? </w:t>
      </w:r>
    </w:p>
    <w:p w:rsidR="001E6CFC" w:rsidRPr="00F71B40" w:rsidRDefault="009C0CEA" w:rsidP="004D15F8">
      <w:pPr>
        <w:pStyle w:val="ListParagraph"/>
        <w:numPr>
          <w:ilvl w:val="0"/>
          <w:numId w:val="28"/>
        </w:numPr>
        <w:autoSpaceDE w:val="0"/>
        <w:autoSpaceDN w:val="0"/>
        <w:adjustRightInd w:val="0"/>
        <w:rPr>
          <w:rFonts w:cs="Times New Roman"/>
          <w:color w:val="000000"/>
          <w:lang w:val="en-AU"/>
        </w:rPr>
      </w:pPr>
      <w:r w:rsidRPr="00F71B40">
        <w:rPr>
          <w:rFonts w:cs="Times New Roman"/>
          <w:color w:val="000000"/>
          <w:lang w:val="en-AU"/>
        </w:rPr>
        <w:t>Is</w:t>
      </w:r>
      <w:r w:rsidR="001E6CFC" w:rsidRPr="00F71B40">
        <w:rPr>
          <w:rFonts w:cs="Times New Roman"/>
          <w:color w:val="000000"/>
          <w:lang w:val="en-AU"/>
        </w:rPr>
        <w:t xml:space="preserve"> the program using its available resources effectively? </w:t>
      </w:r>
    </w:p>
    <w:p w:rsidR="001E6CFC" w:rsidRPr="00F71B40" w:rsidRDefault="009C0CEA" w:rsidP="004D15F8">
      <w:pPr>
        <w:pStyle w:val="ListParagraph"/>
        <w:numPr>
          <w:ilvl w:val="0"/>
          <w:numId w:val="28"/>
        </w:numPr>
        <w:autoSpaceDE w:val="0"/>
        <w:autoSpaceDN w:val="0"/>
        <w:adjustRightInd w:val="0"/>
        <w:rPr>
          <w:rFonts w:cs="Times New Roman"/>
          <w:color w:val="000000"/>
          <w:lang w:val="en-AU"/>
        </w:rPr>
      </w:pPr>
      <w:r w:rsidRPr="00F71B40">
        <w:rPr>
          <w:rFonts w:cs="Times New Roman"/>
          <w:color w:val="000000"/>
          <w:lang w:val="en-AU"/>
        </w:rPr>
        <w:t>Is</w:t>
      </w:r>
      <w:r w:rsidR="001E6CFC" w:rsidRPr="00F71B40">
        <w:rPr>
          <w:rFonts w:cs="Times New Roman"/>
          <w:color w:val="000000"/>
          <w:lang w:val="en-AU"/>
        </w:rPr>
        <w:t xml:space="preserve"> the program effective in incentivising the changes Australia is trying to achieve? </w:t>
      </w:r>
    </w:p>
    <w:p w:rsidR="001E6CFC" w:rsidRPr="00F71B40" w:rsidRDefault="009C0CEA" w:rsidP="004D15F8">
      <w:pPr>
        <w:pStyle w:val="ListParagraph"/>
        <w:numPr>
          <w:ilvl w:val="0"/>
          <w:numId w:val="28"/>
        </w:numPr>
        <w:autoSpaceDE w:val="0"/>
        <w:autoSpaceDN w:val="0"/>
        <w:adjustRightInd w:val="0"/>
        <w:rPr>
          <w:rFonts w:cs="Times New Roman"/>
          <w:color w:val="000000"/>
          <w:lang w:val="en-AU"/>
        </w:rPr>
      </w:pPr>
      <w:r w:rsidRPr="00F71B40">
        <w:rPr>
          <w:rFonts w:cs="Times New Roman"/>
          <w:color w:val="000000"/>
          <w:lang w:val="en-AU"/>
        </w:rPr>
        <w:t>Does</w:t>
      </w:r>
      <w:r w:rsidR="001E6CFC" w:rsidRPr="00F71B40">
        <w:rPr>
          <w:rFonts w:cs="Times New Roman"/>
          <w:color w:val="000000"/>
          <w:lang w:val="en-AU"/>
        </w:rPr>
        <w:t xml:space="preserve"> the program have clear and appropriate management and governance structures in place? </w:t>
      </w:r>
    </w:p>
    <w:p w:rsidR="001E6CFC" w:rsidRPr="00F71B40" w:rsidRDefault="009C0CEA" w:rsidP="004D15F8">
      <w:pPr>
        <w:pStyle w:val="ListParagraph"/>
        <w:numPr>
          <w:ilvl w:val="0"/>
          <w:numId w:val="28"/>
        </w:numPr>
        <w:autoSpaceDE w:val="0"/>
        <w:autoSpaceDN w:val="0"/>
        <w:adjustRightInd w:val="0"/>
        <w:rPr>
          <w:rFonts w:cs="Times New Roman"/>
          <w:color w:val="000000"/>
          <w:lang w:val="en-AU"/>
        </w:rPr>
      </w:pPr>
      <w:r w:rsidRPr="00F71B40">
        <w:rPr>
          <w:rFonts w:cs="Times New Roman"/>
          <w:color w:val="000000"/>
          <w:lang w:val="en-AU"/>
        </w:rPr>
        <w:t>Has</w:t>
      </w:r>
      <w:r w:rsidR="001E6CFC" w:rsidRPr="00F71B40">
        <w:rPr>
          <w:rFonts w:cs="Times New Roman"/>
          <w:color w:val="000000"/>
          <w:lang w:val="en-AU"/>
        </w:rPr>
        <w:t xml:space="preserve"> the program clearly identified risks to success and have in place clear strategies for managing these appropriately? </w:t>
      </w:r>
    </w:p>
    <w:p w:rsidR="001E6CFC" w:rsidRPr="00F71B40" w:rsidRDefault="001E6CFC" w:rsidP="00D62A32">
      <w:pPr>
        <w:autoSpaceDE w:val="0"/>
        <w:autoSpaceDN w:val="0"/>
        <w:adjustRightInd w:val="0"/>
        <w:rPr>
          <w:rFonts w:cs="Times New Roman"/>
          <w:color w:val="000000"/>
          <w:lang w:val="en-AU"/>
        </w:rPr>
      </w:pPr>
    </w:p>
    <w:p w:rsidR="001E6CFC" w:rsidRPr="00F71B40" w:rsidRDefault="001E6CFC" w:rsidP="00D62A32">
      <w:pPr>
        <w:autoSpaceDE w:val="0"/>
        <w:autoSpaceDN w:val="0"/>
        <w:adjustRightInd w:val="0"/>
        <w:rPr>
          <w:rFonts w:cs="Times New Roman"/>
          <w:color w:val="000000"/>
          <w:lang w:val="en-AU"/>
        </w:rPr>
      </w:pPr>
      <w:r w:rsidRPr="00F71B40">
        <w:rPr>
          <w:rFonts w:cs="Times New Roman"/>
          <w:b/>
          <w:bCs/>
          <w:color w:val="000000"/>
          <w:lang w:val="en-AU"/>
        </w:rPr>
        <w:t xml:space="preserve">Background </w:t>
      </w:r>
    </w:p>
    <w:p w:rsidR="001E6CFC" w:rsidRPr="00F71B40" w:rsidRDefault="001E6CFC" w:rsidP="00D62A32">
      <w:pPr>
        <w:autoSpaceDE w:val="0"/>
        <w:autoSpaceDN w:val="0"/>
        <w:adjustRightInd w:val="0"/>
        <w:rPr>
          <w:rFonts w:cs="Times New Roman"/>
          <w:color w:val="000000"/>
          <w:lang w:val="en-AU"/>
        </w:rPr>
      </w:pPr>
      <w:r w:rsidRPr="00F71B40">
        <w:rPr>
          <w:rFonts w:cs="Times New Roman"/>
          <w:color w:val="000000"/>
          <w:lang w:val="en-AU"/>
        </w:rPr>
        <w:t xml:space="preserve">The SIGOV Delivery Strategy articulates the outcomes of the first five year phase (2013–18) as: </w:t>
      </w:r>
    </w:p>
    <w:p w:rsidR="001E6CFC" w:rsidRPr="00F71B40" w:rsidRDefault="009C0CEA" w:rsidP="004D15F8">
      <w:pPr>
        <w:pStyle w:val="ListParagraph"/>
        <w:numPr>
          <w:ilvl w:val="0"/>
          <w:numId w:val="29"/>
        </w:numPr>
        <w:autoSpaceDE w:val="0"/>
        <w:autoSpaceDN w:val="0"/>
        <w:adjustRightInd w:val="0"/>
        <w:rPr>
          <w:rFonts w:cs="Times New Roman"/>
          <w:color w:val="000000"/>
          <w:lang w:val="en-AU"/>
        </w:rPr>
      </w:pPr>
      <w:r>
        <w:rPr>
          <w:rFonts w:cs="Times New Roman"/>
          <w:color w:val="000000"/>
          <w:lang w:val="en-AU"/>
        </w:rPr>
        <w:t>M</w:t>
      </w:r>
      <w:r w:rsidR="001E6CFC" w:rsidRPr="00F71B40">
        <w:rPr>
          <w:rFonts w:cs="Times New Roman"/>
          <w:color w:val="000000"/>
          <w:lang w:val="en-AU"/>
        </w:rPr>
        <w:t xml:space="preserve">acroeconomic stability; </w:t>
      </w:r>
    </w:p>
    <w:p w:rsidR="001E6CFC" w:rsidRPr="00F71B40" w:rsidRDefault="009C0CEA" w:rsidP="004D15F8">
      <w:pPr>
        <w:pStyle w:val="ListParagraph"/>
        <w:numPr>
          <w:ilvl w:val="0"/>
          <w:numId w:val="29"/>
        </w:numPr>
        <w:autoSpaceDE w:val="0"/>
        <w:autoSpaceDN w:val="0"/>
        <w:adjustRightInd w:val="0"/>
        <w:rPr>
          <w:rFonts w:cs="Times New Roman"/>
          <w:color w:val="000000"/>
          <w:lang w:val="en-AU"/>
        </w:rPr>
      </w:pPr>
      <w:r>
        <w:rPr>
          <w:rFonts w:cs="Times New Roman"/>
          <w:color w:val="000000"/>
          <w:lang w:val="en-AU"/>
        </w:rPr>
        <w:t>C</w:t>
      </w:r>
      <w:r w:rsidR="001E6CFC" w:rsidRPr="00F71B40">
        <w:rPr>
          <w:rFonts w:cs="Times New Roman"/>
          <w:color w:val="000000"/>
          <w:lang w:val="en-AU"/>
        </w:rPr>
        <w:t xml:space="preserve">entral agencies facilitate consistent, coherent, transparent and accountable public administration with a strong focus on gender equality; </w:t>
      </w:r>
    </w:p>
    <w:p w:rsidR="001E6CFC" w:rsidRPr="00F71B40" w:rsidRDefault="009C0CEA" w:rsidP="004D15F8">
      <w:pPr>
        <w:pStyle w:val="ListParagraph"/>
        <w:numPr>
          <w:ilvl w:val="0"/>
          <w:numId w:val="29"/>
        </w:numPr>
        <w:autoSpaceDE w:val="0"/>
        <w:autoSpaceDN w:val="0"/>
        <w:adjustRightInd w:val="0"/>
        <w:rPr>
          <w:rFonts w:cs="Times New Roman"/>
          <w:color w:val="000000"/>
          <w:lang w:val="en-AU"/>
        </w:rPr>
      </w:pPr>
      <w:r>
        <w:rPr>
          <w:rFonts w:cs="Times New Roman"/>
          <w:color w:val="000000"/>
          <w:lang w:val="en-AU"/>
        </w:rPr>
        <w:t>B</w:t>
      </w:r>
      <w:r w:rsidR="001E6CFC" w:rsidRPr="00F71B40">
        <w:rPr>
          <w:rFonts w:cs="Times New Roman"/>
          <w:color w:val="000000"/>
          <w:lang w:val="en-AU"/>
        </w:rPr>
        <w:t xml:space="preserve">udgets align better with service requirements and affordability and expenditure is more consistent with budget allocations; and </w:t>
      </w:r>
    </w:p>
    <w:p w:rsidR="001E6CFC" w:rsidRPr="00F71B40" w:rsidRDefault="009C0CEA" w:rsidP="004D15F8">
      <w:pPr>
        <w:pStyle w:val="ListParagraph"/>
        <w:numPr>
          <w:ilvl w:val="0"/>
          <w:numId w:val="29"/>
        </w:numPr>
        <w:autoSpaceDE w:val="0"/>
        <w:autoSpaceDN w:val="0"/>
        <w:adjustRightInd w:val="0"/>
        <w:rPr>
          <w:rFonts w:cs="Times New Roman"/>
          <w:color w:val="000000"/>
          <w:lang w:val="en-AU"/>
        </w:rPr>
      </w:pPr>
      <w:r w:rsidRPr="00F71B40">
        <w:rPr>
          <w:rFonts w:cs="Times New Roman"/>
          <w:color w:val="000000"/>
          <w:lang w:val="en-AU"/>
        </w:rPr>
        <w:t>Public</w:t>
      </w:r>
      <w:r w:rsidR="001E6CFC" w:rsidRPr="00F71B40">
        <w:rPr>
          <w:rFonts w:cs="Times New Roman"/>
          <w:color w:val="000000"/>
          <w:lang w:val="en-AU"/>
        </w:rPr>
        <w:t xml:space="preserve"> service resources are managed more effectively and accountably. </w:t>
      </w:r>
    </w:p>
    <w:p w:rsidR="001E6CFC" w:rsidRPr="00F71B40" w:rsidRDefault="001E6CFC" w:rsidP="00D62A32">
      <w:pPr>
        <w:autoSpaceDE w:val="0"/>
        <w:autoSpaceDN w:val="0"/>
        <w:adjustRightInd w:val="0"/>
        <w:rPr>
          <w:rFonts w:cs="Times New Roman"/>
          <w:color w:val="000000"/>
          <w:lang w:val="en-AU"/>
        </w:rPr>
      </w:pPr>
    </w:p>
    <w:p w:rsidR="001E6CFC" w:rsidRPr="00F71B40" w:rsidRDefault="001E6CFC" w:rsidP="00D62A32">
      <w:pPr>
        <w:autoSpaceDE w:val="0"/>
        <w:autoSpaceDN w:val="0"/>
        <w:adjustRightInd w:val="0"/>
        <w:rPr>
          <w:rFonts w:cs="Times New Roman"/>
          <w:color w:val="000000"/>
          <w:lang w:val="en-AU"/>
        </w:rPr>
      </w:pPr>
      <w:r w:rsidRPr="00F71B40">
        <w:rPr>
          <w:rFonts w:cs="Times New Roman"/>
          <w:color w:val="000000"/>
          <w:lang w:val="en-AU"/>
        </w:rPr>
        <w:t xml:space="preserve">The program is evolving these outcomes to: </w:t>
      </w:r>
    </w:p>
    <w:p w:rsidR="001E6CFC" w:rsidRPr="00F71B40" w:rsidRDefault="009C0CEA" w:rsidP="004D15F8">
      <w:pPr>
        <w:pStyle w:val="ListParagraph"/>
        <w:numPr>
          <w:ilvl w:val="0"/>
          <w:numId w:val="30"/>
        </w:numPr>
        <w:autoSpaceDE w:val="0"/>
        <w:autoSpaceDN w:val="0"/>
        <w:adjustRightInd w:val="0"/>
        <w:rPr>
          <w:rFonts w:cs="Times New Roman"/>
          <w:color w:val="000000"/>
          <w:lang w:val="en-AU"/>
        </w:rPr>
      </w:pPr>
      <w:r>
        <w:rPr>
          <w:rFonts w:cs="Times New Roman"/>
          <w:color w:val="000000"/>
          <w:lang w:val="en-AU"/>
        </w:rPr>
        <w:t>E</w:t>
      </w:r>
      <w:r w:rsidR="001E6CFC" w:rsidRPr="00F71B40">
        <w:rPr>
          <w:rFonts w:cs="Times New Roman"/>
          <w:color w:val="000000"/>
          <w:lang w:val="en-AU"/>
        </w:rPr>
        <w:t xml:space="preserve">conomic growth supported; </w:t>
      </w:r>
    </w:p>
    <w:p w:rsidR="001E6CFC" w:rsidRPr="00F71B40" w:rsidRDefault="009C0CEA" w:rsidP="004D15F8">
      <w:pPr>
        <w:pStyle w:val="ListParagraph"/>
        <w:numPr>
          <w:ilvl w:val="0"/>
          <w:numId w:val="30"/>
        </w:numPr>
        <w:autoSpaceDE w:val="0"/>
        <w:autoSpaceDN w:val="0"/>
        <w:adjustRightInd w:val="0"/>
        <w:rPr>
          <w:rFonts w:cs="Times New Roman"/>
          <w:color w:val="000000"/>
          <w:lang w:val="en-AU"/>
        </w:rPr>
      </w:pPr>
      <w:r>
        <w:rPr>
          <w:rFonts w:cs="Times New Roman"/>
          <w:color w:val="000000"/>
          <w:lang w:val="en-AU"/>
        </w:rPr>
        <w:t>P</w:t>
      </w:r>
      <w:r w:rsidR="001E6CFC" w:rsidRPr="00F71B40">
        <w:rPr>
          <w:rFonts w:cs="Times New Roman"/>
          <w:color w:val="000000"/>
          <w:lang w:val="en-AU"/>
        </w:rPr>
        <w:t xml:space="preserve">ublic service performance strengthened; </w:t>
      </w:r>
    </w:p>
    <w:p w:rsidR="001E6CFC" w:rsidRPr="00F71B40" w:rsidRDefault="009C0CEA" w:rsidP="004D15F8">
      <w:pPr>
        <w:pStyle w:val="ListParagraph"/>
        <w:numPr>
          <w:ilvl w:val="0"/>
          <w:numId w:val="30"/>
        </w:numPr>
        <w:autoSpaceDE w:val="0"/>
        <w:autoSpaceDN w:val="0"/>
        <w:adjustRightInd w:val="0"/>
        <w:rPr>
          <w:rFonts w:cs="Times New Roman"/>
          <w:color w:val="000000"/>
          <w:lang w:val="en-AU"/>
        </w:rPr>
      </w:pPr>
      <w:r>
        <w:rPr>
          <w:rFonts w:cs="Times New Roman"/>
          <w:color w:val="000000"/>
          <w:lang w:val="en-AU"/>
        </w:rPr>
        <w:t>P</w:t>
      </w:r>
      <w:r w:rsidR="001E6CFC" w:rsidRPr="00F71B40">
        <w:rPr>
          <w:rFonts w:cs="Times New Roman"/>
          <w:color w:val="000000"/>
          <w:lang w:val="en-AU"/>
        </w:rPr>
        <w:t xml:space="preserve">ublic financial management strengthened; and </w:t>
      </w:r>
    </w:p>
    <w:p w:rsidR="001E6CFC" w:rsidRPr="00F71B40" w:rsidRDefault="009C0CEA" w:rsidP="004D15F8">
      <w:pPr>
        <w:pStyle w:val="ListParagraph"/>
        <w:numPr>
          <w:ilvl w:val="0"/>
          <w:numId w:val="30"/>
        </w:numPr>
        <w:autoSpaceDE w:val="0"/>
        <w:autoSpaceDN w:val="0"/>
        <w:adjustRightInd w:val="0"/>
        <w:rPr>
          <w:rFonts w:cs="Times New Roman"/>
          <w:color w:val="000000"/>
          <w:lang w:val="en-AU"/>
        </w:rPr>
      </w:pPr>
      <w:r w:rsidRPr="00F71B40">
        <w:rPr>
          <w:rFonts w:cs="Times New Roman"/>
          <w:color w:val="000000"/>
          <w:lang w:val="en-AU"/>
        </w:rPr>
        <w:t>Individual</w:t>
      </w:r>
      <w:r w:rsidR="001E6CFC" w:rsidRPr="00F71B40">
        <w:rPr>
          <w:rFonts w:cs="Times New Roman"/>
          <w:color w:val="000000"/>
          <w:lang w:val="en-AU"/>
        </w:rPr>
        <w:t xml:space="preserve"> and institutional accountability and transparency improved. </w:t>
      </w:r>
    </w:p>
    <w:p w:rsidR="001E6CFC" w:rsidRPr="00F71B40" w:rsidRDefault="001E6CFC" w:rsidP="00D62A32">
      <w:pPr>
        <w:autoSpaceDE w:val="0"/>
        <w:autoSpaceDN w:val="0"/>
        <w:adjustRightInd w:val="0"/>
        <w:rPr>
          <w:rFonts w:cs="Times New Roman"/>
          <w:color w:val="000000"/>
          <w:lang w:val="en-AU"/>
        </w:rPr>
      </w:pPr>
    </w:p>
    <w:p w:rsidR="001E6CFC" w:rsidRPr="00F71B40" w:rsidRDefault="001E6CFC" w:rsidP="00D62A32">
      <w:pPr>
        <w:autoSpaceDE w:val="0"/>
        <w:autoSpaceDN w:val="0"/>
        <w:adjustRightInd w:val="0"/>
        <w:rPr>
          <w:rFonts w:cs="Times New Roman"/>
          <w:color w:val="000000"/>
          <w:lang w:val="en-AU"/>
        </w:rPr>
      </w:pPr>
      <w:r w:rsidRPr="00F71B40">
        <w:rPr>
          <w:rFonts w:cs="Times New Roman"/>
          <w:color w:val="000000"/>
          <w:lang w:val="en-AU"/>
        </w:rPr>
        <w:t xml:space="preserve">Support is directed to the Ministry of Finance and Treasury, Ministry of Public Service, Public Service Commission and the accountability agencies (Office of the Auditor General, Leadership Code Commission and the Office of the Ombudsman). The program is a key enabler for large Australian investments through earmarked budget support in health, education, and economic infrastructure. </w:t>
      </w:r>
    </w:p>
    <w:p w:rsidR="001E6CFC" w:rsidRPr="00F71B40" w:rsidRDefault="001E6CFC" w:rsidP="00D62A32">
      <w:pPr>
        <w:autoSpaceDE w:val="0"/>
        <w:autoSpaceDN w:val="0"/>
        <w:adjustRightInd w:val="0"/>
        <w:rPr>
          <w:rFonts w:cs="Times New Roman"/>
          <w:color w:val="000000"/>
          <w:lang w:val="en-AU"/>
        </w:rPr>
      </w:pPr>
    </w:p>
    <w:p w:rsidR="001E6CFC" w:rsidRPr="00F71B40" w:rsidRDefault="001E6CFC" w:rsidP="00D62A32">
      <w:pPr>
        <w:autoSpaceDE w:val="0"/>
        <w:autoSpaceDN w:val="0"/>
        <w:adjustRightInd w:val="0"/>
        <w:rPr>
          <w:rFonts w:cs="Times New Roman"/>
          <w:color w:val="000000"/>
          <w:lang w:val="en-AU"/>
        </w:rPr>
      </w:pPr>
      <w:r w:rsidRPr="00F71B40">
        <w:rPr>
          <w:rFonts w:cs="Times New Roman"/>
          <w:color w:val="000000"/>
          <w:lang w:val="en-AU"/>
        </w:rPr>
        <w:t xml:space="preserve">SIGOV brings together the programs previously managed under the Regional Assistance Mission to the Solomon Islands (RAMSI) Economic Governance and Machinery of Government programs. Envisaged as a 30-year program, SIGOV aims to build SIG confidence, capacity and commitment to manage its human and financial resources effectively and independently. In turn, this is intended to improve the delivery of public goods and services, and strengthen Solomon Islands‟ prospects for economic growth. </w:t>
      </w:r>
    </w:p>
    <w:p w:rsidR="001E6CFC" w:rsidRPr="00F71B40" w:rsidRDefault="001E6CFC" w:rsidP="00D62A32">
      <w:pPr>
        <w:autoSpaceDE w:val="0"/>
        <w:autoSpaceDN w:val="0"/>
        <w:adjustRightInd w:val="0"/>
        <w:rPr>
          <w:rFonts w:cs="Times New Roman"/>
          <w:color w:val="000000"/>
          <w:lang w:val="en-AU"/>
        </w:rPr>
      </w:pPr>
      <w:r w:rsidRPr="00F71B40">
        <w:rPr>
          <w:rFonts w:cs="Times New Roman"/>
          <w:color w:val="000000"/>
          <w:lang w:val="en-AU"/>
        </w:rPr>
        <w:t xml:space="preserve">SIGOV is managed directly by DFAT. Technical advisers are the primary modality for SIGOV Phase 1, and there is a need to assess whether this support is best meeting SIG‟s needs and whether the balance of </w:t>
      </w:r>
      <w:r w:rsidRPr="00F71B40">
        <w:rPr>
          <w:rFonts w:cs="Times New Roman"/>
          <w:color w:val="000000"/>
          <w:lang w:val="en-AU"/>
        </w:rPr>
        <w:lastRenderedPageBreak/>
        <w:t xml:space="preserve">resources is appropriate. The program also utilises twinning relationships and accountable cash grants. There may be other modalities that would be more effective or efficient. </w:t>
      </w:r>
    </w:p>
    <w:p w:rsidR="001E6CFC" w:rsidRPr="00F71B40" w:rsidRDefault="001E6CFC" w:rsidP="00D62A32">
      <w:pPr>
        <w:autoSpaceDE w:val="0"/>
        <w:autoSpaceDN w:val="0"/>
        <w:adjustRightInd w:val="0"/>
        <w:rPr>
          <w:rFonts w:cs="Times New Roman"/>
          <w:color w:val="000000"/>
          <w:lang w:val="en-AU"/>
        </w:rPr>
      </w:pPr>
    </w:p>
    <w:p w:rsidR="001E6CFC" w:rsidRPr="00F71B40" w:rsidRDefault="001E6CFC" w:rsidP="00D62A32">
      <w:pPr>
        <w:autoSpaceDE w:val="0"/>
        <w:autoSpaceDN w:val="0"/>
        <w:adjustRightInd w:val="0"/>
        <w:rPr>
          <w:rFonts w:cs="Times New Roman"/>
          <w:color w:val="000000"/>
          <w:lang w:val="en-AU"/>
        </w:rPr>
      </w:pPr>
      <w:r w:rsidRPr="00F71B40">
        <w:rPr>
          <w:rFonts w:cs="Times New Roman"/>
          <w:color w:val="000000"/>
          <w:lang w:val="en-AU"/>
        </w:rPr>
        <w:t xml:space="preserve">Management and coordination of SIGOV logistical arrangements and adviser recruitment/performance management is supported by Program Coordinator staff engaged under a managing contractor arrangement known as the Solomon Islands Partnership Facility (SIPF). Policy dialogue with SIG officers occurs on an informal basis and through formal committee coordination mechanisms, including the Core Economic Working Group, Human Resource Management Board and Governance Steering Committee in which DFAT participates. The majority of program resources support MoFT, and a MoFT-SIGOV Board has been established to provide a strategic direction setting and decision making body for the program. </w:t>
      </w:r>
    </w:p>
    <w:p w:rsidR="001E6CFC" w:rsidRPr="00F71B40" w:rsidRDefault="001E6CFC" w:rsidP="00D62A32">
      <w:pPr>
        <w:autoSpaceDE w:val="0"/>
        <w:autoSpaceDN w:val="0"/>
        <w:adjustRightInd w:val="0"/>
        <w:rPr>
          <w:rFonts w:cs="Times New Roman"/>
          <w:color w:val="000000"/>
          <w:lang w:val="en-AU"/>
        </w:rPr>
      </w:pPr>
      <w:r w:rsidRPr="00F71B40">
        <w:rPr>
          <w:rFonts w:cs="Times New Roman"/>
          <w:color w:val="000000"/>
          <w:lang w:val="en-AU"/>
        </w:rPr>
        <w:t xml:space="preserve">The SIGOV Delivery Strategy identifies that SIGOV activities, while necessary, are not sufficient to incentivise behavioural change for strengthened governance and accountability in Solomon Islands. </w:t>
      </w:r>
    </w:p>
    <w:p w:rsidR="001E6CFC" w:rsidRPr="00F71B40" w:rsidRDefault="001E6CFC" w:rsidP="00D62A32">
      <w:pPr>
        <w:autoSpaceDE w:val="0"/>
        <w:autoSpaceDN w:val="0"/>
        <w:adjustRightInd w:val="0"/>
        <w:rPr>
          <w:rFonts w:cs="Times New Roman"/>
          <w:b/>
          <w:bCs/>
          <w:color w:val="000000"/>
          <w:lang w:val="en-AU"/>
        </w:rPr>
      </w:pPr>
    </w:p>
    <w:p w:rsidR="001E6CFC" w:rsidRPr="00F71B40" w:rsidRDefault="001E6CFC" w:rsidP="00D62A32">
      <w:pPr>
        <w:autoSpaceDE w:val="0"/>
        <w:autoSpaceDN w:val="0"/>
        <w:adjustRightInd w:val="0"/>
        <w:rPr>
          <w:rFonts w:cs="Times New Roman"/>
          <w:color w:val="000000"/>
          <w:lang w:val="en-AU"/>
        </w:rPr>
      </w:pPr>
      <w:r w:rsidRPr="00F71B40">
        <w:rPr>
          <w:rFonts w:cs="Times New Roman"/>
          <w:b/>
          <w:bCs/>
          <w:color w:val="000000"/>
          <w:lang w:val="en-AU"/>
        </w:rPr>
        <w:t xml:space="preserve">Focus Questions </w:t>
      </w:r>
    </w:p>
    <w:p w:rsidR="001E6CFC" w:rsidRPr="00F71B40" w:rsidRDefault="001E6CFC" w:rsidP="00D62A32">
      <w:pPr>
        <w:autoSpaceDE w:val="0"/>
        <w:autoSpaceDN w:val="0"/>
        <w:adjustRightInd w:val="0"/>
        <w:rPr>
          <w:rFonts w:cs="Times New Roman"/>
          <w:color w:val="000000"/>
          <w:lang w:val="en-AU"/>
        </w:rPr>
      </w:pPr>
      <w:r w:rsidRPr="00F71B40">
        <w:rPr>
          <w:rFonts w:cs="Times New Roman"/>
          <w:color w:val="000000"/>
          <w:lang w:val="en-AU"/>
        </w:rPr>
        <w:t xml:space="preserve">The below focus questions are intended to guide the review. They are indicative only and additional questions may be added as the review process progresses. </w:t>
      </w:r>
      <w:r w:rsidRPr="00F71B40">
        <w:rPr>
          <w:rFonts w:cs="Times New Roman"/>
          <w:i/>
          <w:iCs/>
          <w:color w:val="000000"/>
          <w:lang w:val="en-AU"/>
        </w:rPr>
        <w:t xml:space="preserve">Relevance and strategic intent </w:t>
      </w:r>
    </w:p>
    <w:p w:rsidR="001E6CFC" w:rsidRPr="00F71B40" w:rsidRDefault="001E6CFC" w:rsidP="00D62A32">
      <w:pPr>
        <w:autoSpaceDE w:val="0"/>
        <w:autoSpaceDN w:val="0"/>
        <w:adjustRightInd w:val="0"/>
        <w:rPr>
          <w:rFonts w:cs="Times New Roman"/>
          <w:color w:val="000000"/>
          <w:lang w:val="en-AU"/>
        </w:rPr>
      </w:pPr>
      <w:r w:rsidRPr="00F71B40">
        <w:rPr>
          <w:rFonts w:cs="Times New Roman"/>
          <w:color w:val="000000"/>
          <w:lang w:val="en-AU"/>
        </w:rPr>
        <w:t xml:space="preserve">1. Are the objectives of the SIGOV Delivery Strategy and the governance Performance Assessment Framework appropriate? </w:t>
      </w:r>
    </w:p>
    <w:p w:rsidR="001E6CFC" w:rsidRPr="00F71B40" w:rsidRDefault="001E6CFC" w:rsidP="00D62A32">
      <w:pPr>
        <w:autoSpaceDE w:val="0"/>
        <w:autoSpaceDN w:val="0"/>
        <w:adjustRightInd w:val="0"/>
        <w:rPr>
          <w:rFonts w:cs="Times New Roman"/>
          <w:color w:val="000000"/>
          <w:lang w:val="en-AU"/>
        </w:rPr>
      </w:pPr>
      <w:r w:rsidRPr="00F71B40">
        <w:rPr>
          <w:rFonts w:cs="Times New Roman"/>
          <w:color w:val="000000"/>
          <w:lang w:val="en-AU"/>
        </w:rPr>
        <w:t xml:space="preserve">2. Do current investments align with the strategic objectives of </w:t>
      </w:r>
      <w:r w:rsidR="00F71B40" w:rsidRPr="00F71B40">
        <w:rPr>
          <w:rFonts w:cs="Times New Roman"/>
          <w:color w:val="000000"/>
          <w:lang w:val="en-AU"/>
        </w:rPr>
        <w:t>Australia’s</w:t>
      </w:r>
      <w:r w:rsidRPr="00F71B40">
        <w:rPr>
          <w:rFonts w:cs="Times New Roman"/>
          <w:color w:val="000000"/>
          <w:lang w:val="en-AU"/>
        </w:rPr>
        <w:t xml:space="preserve"> aid program in Solomon Islands? </w:t>
      </w:r>
    </w:p>
    <w:p w:rsidR="001E6CFC" w:rsidRPr="00F71B40" w:rsidRDefault="001E6CFC" w:rsidP="00D62A32">
      <w:pPr>
        <w:autoSpaceDE w:val="0"/>
        <w:autoSpaceDN w:val="0"/>
        <w:adjustRightInd w:val="0"/>
        <w:rPr>
          <w:rFonts w:cs="Times New Roman"/>
          <w:color w:val="000000"/>
          <w:lang w:val="en-AU"/>
        </w:rPr>
      </w:pPr>
      <w:r w:rsidRPr="00F71B40">
        <w:rPr>
          <w:rFonts w:cs="Times New Roman"/>
          <w:color w:val="000000"/>
          <w:lang w:val="en-AU"/>
        </w:rPr>
        <w:t xml:space="preserve">3. Is DFAT investing SIGOV support in the right areas? </w:t>
      </w:r>
    </w:p>
    <w:p w:rsidR="001E6CFC" w:rsidRPr="00F71B40" w:rsidRDefault="001E6CFC" w:rsidP="00D62A32">
      <w:pPr>
        <w:autoSpaceDE w:val="0"/>
        <w:autoSpaceDN w:val="0"/>
        <w:adjustRightInd w:val="0"/>
        <w:rPr>
          <w:rFonts w:cs="Times New Roman"/>
          <w:color w:val="000000"/>
          <w:lang w:val="en-AU"/>
        </w:rPr>
      </w:pPr>
      <w:r w:rsidRPr="00F71B40">
        <w:rPr>
          <w:rFonts w:cs="Times New Roman"/>
          <w:color w:val="000000"/>
          <w:lang w:val="en-AU"/>
        </w:rPr>
        <w:t xml:space="preserve">4. Within the context of Solomon Islands‟ political economy, are there opportunities for improving the objectives and broader strategy of the SIGOV program? </w:t>
      </w:r>
    </w:p>
    <w:p w:rsidR="001E6CFC" w:rsidRPr="00F71B40" w:rsidRDefault="001E6CFC" w:rsidP="00D62A32">
      <w:pPr>
        <w:autoSpaceDE w:val="0"/>
        <w:autoSpaceDN w:val="0"/>
        <w:adjustRightInd w:val="0"/>
        <w:rPr>
          <w:rFonts w:cs="Times New Roman"/>
          <w:color w:val="000000"/>
          <w:lang w:val="en-AU"/>
        </w:rPr>
      </w:pPr>
    </w:p>
    <w:p w:rsidR="001E6CFC" w:rsidRPr="00F71B40" w:rsidRDefault="001E6CFC" w:rsidP="00D62A32">
      <w:pPr>
        <w:autoSpaceDE w:val="0"/>
        <w:autoSpaceDN w:val="0"/>
        <w:adjustRightInd w:val="0"/>
        <w:rPr>
          <w:rFonts w:cs="Times New Roman"/>
          <w:color w:val="000000"/>
          <w:lang w:val="en-AU"/>
        </w:rPr>
      </w:pPr>
      <w:r w:rsidRPr="00F71B40">
        <w:rPr>
          <w:rFonts w:cs="Times New Roman"/>
          <w:i/>
          <w:iCs/>
          <w:color w:val="000000"/>
          <w:lang w:val="en-AU"/>
        </w:rPr>
        <w:t xml:space="preserve">Policy and partnerships </w:t>
      </w:r>
    </w:p>
    <w:p w:rsidR="001E6CFC" w:rsidRPr="00F71B40" w:rsidRDefault="001E6CFC" w:rsidP="00D62A32">
      <w:pPr>
        <w:autoSpaceDE w:val="0"/>
        <w:autoSpaceDN w:val="0"/>
        <w:adjustRightInd w:val="0"/>
        <w:rPr>
          <w:rFonts w:cs="Times New Roman"/>
          <w:color w:val="000000"/>
          <w:lang w:val="en-AU"/>
        </w:rPr>
      </w:pPr>
      <w:r w:rsidRPr="00F71B40">
        <w:rPr>
          <w:rFonts w:cs="Times New Roman"/>
          <w:color w:val="000000"/>
          <w:lang w:val="en-AU"/>
        </w:rPr>
        <w:t xml:space="preserve">5. Do SIGOV strategic objectives align with partner government agencies‟ policy and reform agendas? Is the right level of support being provided to enable SIG to implement planned reforms in a timely and appropriate way? Does our support to sectors have line of sight to these reforms? Are they reinforcing them at the line agency level? </w:t>
      </w:r>
    </w:p>
    <w:p w:rsidR="001E6CFC" w:rsidRPr="00F71B40" w:rsidRDefault="001E6CFC" w:rsidP="00D62A32">
      <w:pPr>
        <w:autoSpaceDE w:val="0"/>
        <w:autoSpaceDN w:val="0"/>
        <w:adjustRightInd w:val="0"/>
        <w:rPr>
          <w:rFonts w:cs="Times New Roman"/>
          <w:color w:val="000000"/>
          <w:lang w:val="en-AU"/>
        </w:rPr>
      </w:pPr>
      <w:r w:rsidRPr="00F71B40">
        <w:rPr>
          <w:rFonts w:cs="Times New Roman"/>
          <w:color w:val="000000"/>
          <w:lang w:val="en-AU"/>
        </w:rPr>
        <w:t xml:space="preserve">6. Does SIGOV have the right mix and balance of partnerships across SIG partner agencies? </w:t>
      </w:r>
    </w:p>
    <w:p w:rsidR="001E6CFC" w:rsidRPr="00F71B40" w:rsidRDefault="001E6CFC" w:rsidP="00D62A32">
      <w:pPr>
        <w:autoSpaceDE w:val="0"/>
        <w:autoSpaceDN w:val="0"/>
        <w:adjustRightInd w:val="0"/>
        <w:rPr>
          <w:rFonts w:cs="Times New Roman"/>
          <w:color w:val="000000"/>
          <w:lang w:val="en-AU"/>
        </w:rPr>
      </w:pPr>
      <w:r w:rsidRPr="00F71B40">
        <w:rPr>
          <w:rFonts w:cs="Times New Roman"/>
          <w:color w:val="000000"/>
          <w:lang w:val="en-AU"/>
        </w:rPr>
        <w:t xml:space="preserve">7. How should SIGOV engage most effectively at the political level, and is the balance between bureaucratic reform and political incentives correct? </w:t>
      </w:r>
    </w:p>
    <w:p w:rsidR="001E6CFC" w:rsidRPr="00F71B40" w:rsidRDefault="001E6CFC" w:rsidP="00D62A32">
      <w:pPr>
        <w:autoSpaceDE w:val="0"/>
        <w:autoSpaceDN w:val="0"/>
        <w:adjustRightInd w:val="0"/>
        <w:rPr>
          <w:rFonts w:cs="Times New Roman"/>
          <w:color w:val="000000"/>
          <w:lang w:val="en-AU"/>
        </w:rPr>
      </w:pPr>
      <w:r w:rsidRPr="00F71B40">
        <w:rPr>
          <w:rFonts w:cs="Times New Roman"/>
          <w:color w:val="000000"/>
          <w:lang w:val="en-AU"/>
        </w:rPr>
        <w:t xml:space="preserve">8. Are SIGOV governance, oversight and coordination mechanisms appropriate and functioning effectively? How could these be improved over time? </w:t>
      </w:r>
    </w:p>
    <w:p w:rsidR="001E6CFC" w:rsidRPr="00F71B40" w:rsidRDefault="001E6CFC" w:rsidP="00D62A32">
      <w:pPr>
        <w:autoSpaceDE w:val="0"/>
        <w:autoSpaceDN w:val="0"/>
        <w:adjustRightInd w:val="0"/>
        <w:rPr>
          <w:rFonts w:cs="Times New Roman"/>
          <w:color w:val="000000"/>
          <w:lang w:val="en-AU"/>
        </w:rPr>
      </w:pPr>
      <w:r w:rsidRPr="00F71B40">
        <w:rPr>
          <w:rFonts w:cs="Times New Roman"/>
          <w:color w:val="000000"/>
          <w:lang w:val="en-AU"/>
        </w:rPr>
        <w:t xml:space="preserve">9. Are there areas where SIGOV could support SIG partner agencies to further strengthen its own partnerships, either within or external to, government? </w:t>
      </w:r>
    </w:p>
    <w:p w:rsidR="001E6CFC" w:rsidRPr="00F71B40" w:rsidRDefault="001E6CFC" w:rsidP="00D62A32">
      <w:pPr>
        <w:autoSpaceDE w:val="0"/>
        <w:autoSpaceDN w:val="0"/>
        <w:adjustRightInd w:val="0"/>
        <w:rPr>
          <w:rFonts w:cs="Times New Roman"/>
          <w:color w:val="000000"/>
          <w:lang w:val="en-AU"/>
        </w:rPr>
      </w:pPr>
    </w:p>
    <w:p w:rsidR="001E6CFC" w:rsidRPr="00F71B40" w:rsidRDefault="001E6CFC" w:rsidP="00D62A32">
      <w:pPr>
        <w:autoSpaceDE w:val="0"/>
        <w:autoSpaceDN w:val="0"/>
        <w:adjustRightInd w:val="0"/>
        <w:rPr>
          <w:rFonts w:cs="Times New Roman"/>
          <w:color w:val="000000"/>
          <w:lang w:val="en-AU"/>
        </w:rPr>
      </w:pPr>
      <w:r w:rsidRPr="00F71B40">
        <w:rPr>
          <w:rFonts w:cs="Times New Roman"/>
          <w:i/>
          <w:iCs/>
          <w:color w:val="000000"/>
          <w:lang w:val="en-AU"/>
        </w:rPr>
        <w:t xml:space="preserve">Effectiveness, efficiency, modalities and innovative opportunities </w:t>
      </w:r>
    </w:p>
    <w:p w:rsidR="001E6CFC" w:rsidRPr="00F71B40" w:rsidRDefault="001E6CFC" w:rsidP="00D62A32">
      <w:pPr>
        <w:autoSpaceDE w:val="0"/>
        <w:autoSpaceDN w:val="0"/>
        <w:adjustRightInd w:val="0"/>
        <w:rPr>
          <w:rFonts w:cs="Times New Roman"/>
          <w:color w:val="000000"/>
          <w:lang w:val="en-AU"/>
        </w:rPr>
      </w:pPr>
      <w:r w:rsidRPr="00F71B40">
        <w:rPr>
          <w:rFonts w:cs="Times New Roman"/>
          <w:color w:val="000000"/>
          <w:lang w:val="en-AU"/>
        </w:rPr>
        <w:t xml:space="preserve">10. Is the sequencing of SIGOV activities providing adequate and appropriate levels of support to SIG partner agencies? </w:t>
      </w:r>
    </w:p>
    <w:p w:rsidR="001E6CFC" w:rsidRPr="00F71B40" w:rsidRDefault="001E6CFC" w:rsidP="00D62A32">
      <w:pPr>
        <w:autoSpaceDE w:val="0"/>
        <w:autoSpaceDN w:val="0"/>
        <w:adjustRightInd w:val="0"/>
        <w:rPr>
          <w:rFonts w:cs="Times New Roman"/>
          <w:color w:val="000000"/>
          <w:lang w:val="en-AU"/>
        </w:rPr>
      </w:pPr>
      <w:r w:rsidRPr="00F71B40">
        <w:rPr>
          <w:rFonts w:cs="Times New Roman"/>
          <w:color w:val="000000"/>
          <w:lang w:val="en-AU"/>
        </w:rPr>
        <w:t xml:space="preserve">11. Are modalities appropriate for achieving SIGOV objectives? Does DFAT have the right mix of technical assistance, budget support and twinning arrangements? Should DFAT consider alternative approaches as part of SIGOV? </w:t>
      </w:r>
    </w:p>
    <w:p w:rsidR="001E6CFC" w:rsidRPr="00F71B40" w:rsidRDefault="001E6CFC" w:rsidP="00D62A32">
      <w:pPr>
        <w:autoSpaceDE w:val="0"/>
        <w:autoSpaceDN w:val="0"/>
        <w:adjustRightInd w:val="0"/>
        <w:rPr>
          <w:rFonts w:cs="Times New Roman"/>
          <w:color w:val="000000"/>
          <w:lang w:val="en-AU"/>
        </w:rPr>
      </w:pPr>
      <w:r w:rsidRPr="00F71B40">
        <w:rPr>
          <w:rFonts w:cs="Times New Roman"/>
          <w:color w:val="000000"/>
          <w:lang w:val="en-AU"/>
        </w:rPr>
        <w:t xml:space="preserve">12. Is it possible to achieve the objectives of SIGOV at a lower cost? </w:t>
      </w:r>
    </w:p>
    <w:p w:rsidR="001E6CFC" w:rsidRPr="00F71B40" w:rsidRDefault="001E6CFC" w:rsidP="00D62A32">
      <w:pPr>
        <w:autoSpaceDE w:val="0"/>
        <w:autoSpaceDN w:val="0"/>
        <w:adjustRightInd w:val="0"/>
        <w:rPr>
          <w:rFonts w:cs="Times New Roman"/>
          <w:color w:val="000000"/>
          <w:lang w:val="en-AU"/>
        </w:rPr>
      </w:pPr>
    </w:p>
    <w:p w:rsidR="001E6CFC" w:rsidRPr="00F71B40" w:rsidRDefault="001E6CFC" w:rsidP="00D62A32">
      <w:pPr>
        <w:autoSpaceDE w:val="0"/>
        <w:autoSpaceDN w:val="0"/>
        <w:adjustRightInd w:val="0"/>
        <w:rPr>
          <w:rFonts w:cs="Times New Roman"/>
          <w:color w:val="000000"/>
          <w:lang w:val="en-AU"/>
        </w:rPr>
      </w:pPr>
      <w:r w:rsidRPr="00F71B40">
        <w:rPr>
          <w:rFonts w:cs="Times New Roman"/>
          <w:i/>
          <w:iCs/>
          <w:color w:val="000000"/>
          <w:lang w:val="en-AU"/>
        </w:rPr>
        <w:t xml:space="preserve">Monitoring, evaluation and analysis </w:t>
      </w:r>
    </w:p>
    <w:p w:rsidR="001E6CFC" w:rsidRPr="00F71B40" w:rsidRDefault="001E6CFC" w:rsidP="00D62A32">
      <w:pPr>
        <w:autoSpaceDE w:val="0"/>
        <w:autoSpaceDN w:val="0"/>
        <w:adjustRightInd w:val="0"/>
        <w:rPr>
          <w:rFonts w:cs="Times New Roman"/>
          <w:color w:val="000000"/>
          <w:lang w:val="en-AU"/>
        </w:rPr>
      </w:pPr>
      <w:r w:rsidRPr="00F71B40">
        <w:rPr>
          <w:rFonts w:cs="Times New Roman"/>
          <w:color w:val="000000"/>
          <w:lang w:val="en-AU"/>
        </w:rPr>
        <w:t xml:space="preserve">13. Could SIGOV be more flexible and responsive to emerging risks? </w:t>
      </w:r>
    </w:p>
    <w:p w:rsidR="001E6CFC" w:rsidRPr="00F71B40" w:rsidRDefault="001E6CFC" w:rsidP="00D62A32">
      <w:pPr>
        <w:autoSpaceDE w:val="0"/>
        <w:autoSpaceDN w:val="0"/>
        <w:adjustRightInd w:val="0"/>
        <w:rPr>
          <w:rFonts w:cs="Times New Roman"/>
          <w:color w:val="000000"/>
          <w:lang w:val="en-AU"/>
        </w:rPr>
      </w:pPr>
      <w:r w:rsidRPr="00F71B40">
        <w:rPr>
          <w:rFonts w:cs="Times New Roman"/>
          <w:color w:val="000000"/>
          <w:lang w:val="en-AU"/>
        </w:rPr>
        <w:t xml:space="preserve">14. How can DFAT improve existing monitoring and evaluation structures for SIGOV? Have all opportunities been explored to ensure SIGOV has a robust monitoring system in place? </w:t>
      </w:r>
    </w:p>
    <w:p w:rsidR="001E6CFC" w:rsidRPr="00F71B40" w:rsidRDefault="001E6CFC" w:rsidP="00D62A32">
      <w:pPr>
        <w:autoSpaceDE w:val="0"/>
        <w:autoSpaceDN w:val="0"/>
        <w:adjustRightInd w:val="0"/>
        <w:rPr>
          <w:rFonts w:cs="Times New Roman"/>
          <w:color w:val="000000"/>
          <w:lang w:val="en-AU"/>
        </w:rPr>
      </w:pPr>
      <w:r w:rsidRPr="00F71B40">
        <w:rPr>
          <w:rFonts w:cs="Times New Roman"/>
          <w:color w:val="000000"/>
          <w:lang w:val="en-AU"/>
        </w:rPr>
        <w:t xml:space="preserve">15. Are the targets in the Performance Assessment Framework (PAF) appropriate? Could the PAF be simplified or utilised more effectively for SIGOV? </w:t>
      </w:r>
    </w:p>
    <w:p w:rsidR="001E6CFC" w:rsidRPr="00F71B40" w:rsidRDefault="001E6CFC" w:rsidP="00D62A32">
      <w:pPr>
        <w:autoSpaceDE w:val="0"/>
        <w:autoSpaceDN w:val="0"/>
        <w:adjustRightInd w:val="0"/>
        <w:rPr>
          <w:rFonts w:cs="Times New Roman"/>
          <w:color w:val="000000"/>
          <w:lang w:val="en-AU"/>
        </w:rPr>
      </w:pPr>
      <w:r w:rsidRPr="00F71B40">
        <w:rPr>
          <w:rFonts w:cs="Times New Roman"/>
          <w:color w:val="000000"/>
          <w:lang w:val="en-AU"/>
        </w:rPr>
        <w:lastRenderedPageBreak/>
        <w:t xml:space="preserve">16. Is performance-linked aid being appropriately implemented? How could it be improved? Could or should it be broadened beyond MoFT to assistance provided to other SIGOV partners? </w:t>
      </w:r>
    </w:p>
    <w:p w:rsidR="001E6CFC" w:rsidRPr="00F71B40" w:rsidRDefault="001E6CFC" w:rsidP="00D62A32">
      <w:pPr>
        <w:autoSpaceDE w:val="0"/>
        <w:autoSpaceDN w:val="0"/>
        <w:adjustRightInd w:val="0"/>
        <w:rPr>
          <w:rFonts w:cs="Times New Roman"/>
          <w:color w:val="000000"/>
          <w:lang w:val="en-AU"/>
        </w:rPr>
      </w:pPr>
      <w:r w:rsidRPr="00F71B40">
        <w:rPr>
          <w:rFonts w:cs="Times New Roman"/>
          <w:color w:val="000000"/>
          <w:lang w:val="en-AU"/>
        </w:rPr>
        <w:t xml:space="preserve">17. Are there any other forms of research or analysis that need to be undertaken in order to assist DFAT to improve the delivery and impact of SIGOV activities? </w:t>
      </w:r>
    </w:p>
    <w:p w:rsidR="001E6CFC" w:rsidRPr="00F71B40" w:rsidRDefault="001E6CFC" w:rsidP="00D62A32">
      <w:pPr>
        <w:autoSpaceDE w:val="0"/>
        <w:autoSpaceDN w:val="0"/>
        <w:adjustRightInd w:val="0"/>
        <w:rPr>
          <w:rFonts w:cs="Times New Roman"/>
          <w:color w:val="000000"/>
          <w:lang w:val="en-AU"/>
        </w:rPr>
      </w:pPr>
    </w:p>
    <w:p w:rsidR="001E6CFC" w:rsidRPr="00F71B40" w:rsidRDefault="001E6CFC" w:rsidP="00D62A32">
      <w:pPr>
        <w:autoSpaceDE w:val="0"/>
        <w:autoSpaceDN w:val="0"/>
        <w:adjustRightInd w:val="0"/>
        <w:rPr>
          <w:rFonts w:cs="Times New Roman"/>
          <w:color w:val="000000"/>
          <w:lang w:val="en-AU"/>
        </w:rPr>
      </w:pPr>
      <w:r w:rsidRPr="00F71B40">
        <w:rPr>
          <w:rFonts w:cs="Times New Roman"/>
          <w:i/>
          <w:iCs/>
          <w:color w:val="000000"/>
          <w:lang w:val="en-AU"/>
        </w:rPr>
        <w:t xml:space="preserve">Risk management </w:t>
      </w:r>
    </w:p>
    <w:p w:rsidR="001E6CFC" w:rsidRPr="00F71B40" w:rsidRDefault="001E6CFC" w:rsidP="00D62A32">
      <w:pPr>
        <w:autoSpaceDE w:val="0"/>
        <w:autoSpaceDN w:val="0"/>
        <w:adjustRightInd w:val="0"/>
        <w:rPr>
          <w:rFonts w:cs="Times New Roman"/>
          <w:color w:val="000000"/>
          <w:lang w:val="en-AU"/>
        </w:rPr>
      </w:pPr>
      <w:r w:rsidRPr="00F71B40">
        <w:rPr>
          <w:rFonts w:cs="Times New Roman"/>
          <w:color w:val="000000"/>
          <w:lang w:val="en-AU"/>
        </w:rPr>
        <w:t xml:space="preserve">18. Does SIGOV strike the right balance between fiduciary and development risk? </w:t>
      </w:r>
    </w:p>
    <w:p w:rsidR="00E256D6" w:rsidRDefault="001E6CFC" w:rsidP="00D62A32">
      <w:pPr>
        <w:autoSpaceDE w:val="0"/>
        <w:autoSpaceDN w:val="0"/>
        <w:adjustRightInd w:val="0"/>
        <w:rPr>
          <w:rFonts w:cs="Times New Roman"/>
          <w:color w:val="000000"/>
          <w:lang w:val="en-AU"/>
        </w:rPr>
      </w:pPr>
      <w:r w:rsidRPr="00F71B40">
        <w:rPr>
          <w:rFonts w:cs="Times New Roman"/>
          <w:color w:val="000000"/>
          <w:lang w:val="en-AU"/>
        </w:rPr>
        <w:t xml:space="preserve">19. Are SIGOV activities appropriate protected against fraud? </w:t>
      </w:r>
    </w:p>
    <w:p w:rsidR="00E256D6" w:rsidRDefault="00E256D6" w:rsidP="00D62A32">
      <w:pPr>
        <w:autoSpaceDE w:val="0"/>
        <w:autoSpaceDN w:val="0"/>
        <w:adjustRightInd w:val="0"/>
        <w:rPr>
          <w:rFonts w:cs="Times New Roman"/>
          <w:color w:val="000000"/>
          <w:lang w:val="en-AU"/>
        </w:rPr>
      </w:pPr>
    </w:p>
    <w:p w:rsidR="001E6CFC" w:rsidRPr="00F71B40" w:rsidRDefault="001E6CFC" w:rsidP="00D62A32">
      <w:pPr>
        <w:rPr>
          <w:lang w:val="en-AU"/>
        </w:rPr>
      </w:pPr>
    </w:p>
    <w:p w:rsidR="001E6CFC" w:rsidRPr="00F71B40" w:rsidRDefault="001E6CFC" w:rsidP="00D62A32">
      <w:pPr>
        <w:spacing w:after="200" w:line="276" w:lineRule="auto"/>
        <w:rPr>
          <w:rFonts w:asciiTheme="majorHAnsi" w:eastAsiaTheme="majorEastAsia" w:hAnsiTheme="majorHAnsi" w:cstheme="majorBidi"/>
          <w:b/>
          <w:bCs/>
          <w:color w:val="365F91" w:themeColor="accent1" w:themeShade="BF"/>
          <w:sz w:val="28"/>
          <w:szCs w:val="28"/>
          <w:lang w:val="en-AU"/>
        </w:rPr>
      </w:pPr>
      <w:r w:rsidRPr="00F71B40">
        <w:rPr>
          <w:lang w:val="en-AU"/>
        </w:rPr>
        <w:br w:type="page"/>
      </w:r>
    </w:p>
    <w:p w:rsidR="001E6CFC" w:rsidRPr="00F71B40" w:rsidRDefault="00F74071" w:rsidP="00F74071">
      <w:pPr>
        <w:pStyle w:val="Heading1"/>
        <w:numPr>
          <w:ilvl w:val="0"/>
          <w:numId w:val="0"/>
        </w:numPr>
        <w:rPr>
          <w:lang w:val="en-AU"/>
        </w:rPr>
      </w:pPr>
      <w:bookmarkStart w:id="105" w:name="_Toc399410409"/>
      <w:r w:rsidRPr="00F71B40">
        <w:rPr>
          <w:lang w:val="en-AU"/>
        </w:rPr>
        <w:lastRenderedPageBreak/>
        <w:t xml:space="preserve">Annex </w:t>
      </w:r>
      <w:r w:rsidRPr="00F71B40">
        <w:rPr>
          <w:lang w:val="en-AU"/>
        </w:rPr>
        <w:fldChar w:fldCharType="begin"/>
      </w:r>
      <w:r w:rsidRPr="00F71B40">
        <w:rPr>
          <w:lang w:val="en-AU"/>
        </w:rPr>
        <w:instrText xml:space="preserve"> SEQ Annex \* ARABIC </w:instrText>
      </w:r>
      <w:r w:rsidRPr="00F71B40">
        <w:rPr>
          <w:lang w:val="en-AU"/>
        </w:rPr>
        <w:fldChar w:fldCharType="separate"/>
      </w:r>
      <w:r w:rsidR="00EF43BE">
        <w:rPr>
          <w:noProof/>
          <w:lang w:val="en-AU"/>
        </w:rPr>
        <w:t>3</w:t>
      </w:r>
      <w:r w:rsidRPr="00F71B40">
        <w:rPr>
          <w:lang w:val="en-AU"/>
        </w:rPr>
        <w:fldChar w:fldCharType="end"/>
      </w:r>
      <w:r w:rsidRPr="00F71B40">
        <w:rPr>
          <w:lang w:val="en-AU"/>
        </w:rPr>
        <w:t xml:space="preserve">: </w:t>
      </w:r>
      <w:r w:rsidR="001E6CFC" w:rsidRPr="00F71B40">
        <w:rPr>
          <w:lang w:val="en-AU"/>
        </w:rPr>
        <w:t>People met</w:t>
      </w:r>
      <w:bookmarkEnd w:id="105"/>
    </w:p>
    <w:p w:rsidR="001E6CFC" w:rsidRPr="00F71B40" w:rsidRDefault="001E6CFC" w:rsidP="00D62A32">
      <w:pPr>
        <w:pStyle w:val="Heading1"/>
        <w:numPr>
          <w:ilvl w:val="0"/>
          <w:numId w:val="0"/>
        </w:numPr>
        <w:rPr>
          <w:lang w:val="en-AU"/>
        </w:rPr>
      </w:pPr>
    </w:p>
    <w:p w:rsidR="00DD75B4" w:rsidRPr="006A70A3" w:rsidRDefault="00DD75B4" w:rsidP="006A70A3">
      <w:pPr>
        <w:rPr>
          <w:rFonts w:cs="Times New Roman"/>
          <w:b/>
        </w:rPr>
      </w:pPr>
      <w:r w:rsidRPr="006A70A3">
        <w:rPr>
          <w:rFonts w:cs="Times New Roman"/>
          <w:b/>
        </w:rPr>
        <w:t xml:space="preserve">DFAT Management </w:t>
      </w:r>
    </w:p>
    <w:p w:rsidR="00DD75B4" w:rsidRPr="006A70A3" w:rsidRDefault="00DD75B4" w:rsidP="006A70A3">
      <w:pPr>
        <w:rPr>
          <w:rFonts w:cs="Times New Roman"/>
        </w:rPr>
      </w:pPr>
      <w:r w:rsidRPr="006A70A3">
        <w:rPr>
          <w:rFonts w:cs="Times New Roman"/>
        </w:rPr>
        <w:t xml:space="preserve">Andrew Byrne (High Commissioner) </w:t>
      </w:r>
    </w:p>
    <w:p w:rsidR="00DD75B4" w:rsidRPr="006A70A3" w:rsidRDefault="00DD75B4" w:rsidP="006A70A3">
      <w:pPr>
        <w:rPr>
          <w:rFonts w:cs="Times New Roman"/>
        </w:rPr>
      </w:pPr>
      <w:r w:rsidRPr="006A70A3">
        <w:rPr>
          <w:rFonts w:cs="Times New Roman"/>
        </w:rPr>
        <w:t xml:space="preserve">Sue Connell (Minister Counsellor, Development) </w:t>
      </w:r>
    </w:p>
    <w:p w:rsidR="00DD75B4" w:rsidRPr="006A70A3" w:rsidRDefault="00DD75B4" w:rsidP="006A70A3">
      <w:pPr>
        <w:rPr>
          <w:rFonts w:cs="Times New Roman"/>
        </w:rPr>
      </w:pPr>
    </w:p>
    <w:p w:rsidR="00DD75B4" w:rsidRPr="006A70A3" w:rsidRDefault="00DD75B4" w:rsidP="006A70A3">
      <w:pPr>
        <w:rPr>
          <w:rFonts w:cs="Times New Roman"/>
          <w:b/>
        </w:rPr>
      </w:pPr>
      <w:r w:rsidRPr="006A70A3">
        <w:rPr>
          <w:rFonts w:cs="Times New Roman"/>
          <w:b/>
        </w:rPr>
        <w:t xml:space="preserve">Economics and Governance team </w:t>
      </w:r>
    </w:p>
    <w:p w:rsidR="00DD75B4" w:rsidRPr="006A70A3" w:rsidRDefault="00DD75B4" w:rsidP="006A70A3">
      <w:pPr>
        <w:rPr>
          <w:rFonts w:cs="Times New Roman"/>
        </w:rPr>
      </w:pPr>
      <w:r w:rsidRPr="006A70A3">
        <w:rPr>
          <w:rFonts w:cs="Times New Roman"/>
        </w:rPr>
        <w:t xml:space="preserve">Clair Cochrane (Counsellor, Economics and Governance) </w:t>
      </w:r>
    </w:p>
    <w:p w:rsidR="00DD75B4" w:rsidRPr="006A70A3" w:rsidRDefault="00DD75B4" w:rsidP="006A70A3">
      <w:pPr>
        <w:rPr>
          <w:rFonts w:cs="Times New Roman"/>
        </w:rPr>
      </w:pPr>
      <w:r w:rsidRPr="006A70A3">
        <w:rPr>
          <w:rFonts w:cs="Times New Roman"/>
        </w:rPr>
        <w:t xml:space="preserve">Kelly Vuanivono (First Secretary, Risk and Fraud) </w:t>
      </w:r>
    </w:p>
    <w:p w:rsidR="00DD75B4" w:rsidRPr="006A70A3" w:rsidRDefault="00DD75B4" w:rsidP="006A70A3">
      <w:pPr>
        <w:rPr>
          <w:rFonts w:cs="Times New Roman"/>
        </w:rPr>
      </w:pPr>
      <w:r w:rsidRPr="006A70A3">
        <w:rPr>
          <w:rFonts w:cs="Times New Roman"/>
        </w:rPr>
        <w:t xml:space="preserve">Silke Speier (First Secretary, Economics) </w:t>
      </w:r>
    </w:p>
    <w:p w:rsidR="00DD75B4" w:rsidRPr="006A70A3" w:rsidRDefault="00DD75B4" w:rsidP="006A70A3">
      <w:pPr>
        <w:rPr>
          <w:rFonts w:cs="Times New Roman"/>
        </w:rPr>
      </w:pPr>
      <w:r w:rsidRPr="006A70A3">
        <w:rPr>
          <w:rFonts w:cs="Times New Roman"/>
        </w:rPr>
        <w:t xml:space="preserve">Tanya Morjanoff (Second Secretary, Governance and Public Sector Reform) </w:t>
      </w:r>
    </w:p>
    <w:p w:rsidR="00DD75B4" w:rsidRPr="006A70A3" w:rsidRDefault="00DD75B4" w:rsidP="006A70A3">
      <w:pPr>
        <w:rPr>
          <w:rFonts w:cs="Times New Roman"/>
        </w:rPr>
      </w:pPr>
      <w:r w:rsidRPr="006A70A3">
        <w:rPr>
          <w:rFonts w:cs="Times New Roman"/>
        </w:rPr>
        <w:t xml:space="preserve">Samantha Vildam (Program Manager) </w:t>
      </w:r>
    </w:p>
    <w:p w:rsidR="00DD75B4" w:rsidRPr="006A70A3" w:rsidRDefault="00DD75B4" w:rsidP="006A70A3">
      <w:pPr>
        <w:rPr>
          <w:rFonts w:cs="Times New Roman"/>
        </w:rPr>
      </w:pPr>
      <w:r w:rsidRPr="006A70A3">
        <w:rPr>
          <w:rFonts w:cs="Times New Roman"/>
        </w:rPr>
        <w:t>Skyneck Opepiko (Program Manager)</w:t>
      </w:r>
    </w:p>
    <w:p w:rsidR="00DD75B4" w:rsidRPr="006A70A3" w:rsidRDefault="00DD75B4" w:rsidP="006A70A3">
      <w:pPr>
        <w:rPr>
          <w:rFonts w:cs="Times New Roman"/>
        </w:rPr>
      </w:pPr>
      <w:proofErr w:type="spellStart"/>
      <w:r w:rsidRPr="006A70A3">
        <w:rPr>
          <w:rFonts w:cs="Times New Roman"/>
        </w:rPr>
        <w:t>Rinnie</w:t>
      </w:r>
      <w:proofErr w:type="spellEnd"/>
      <w:r w:rsidRPr="006A70A3">
        <w:rPr>
          <w:rFonts w:cs="Times New Roman"/>
        </w:rPr>
        <w:t xml:space="preserve"> </w:t>
      </w:r>
      <w:proofErr w:type="spellStart"/>
      <w:r w:rsidRPr="006A70A3">
        <w:rPr>
          <w:rFonts w:cs="Times New Roman"/>
        </w:rPr>
        <w:t>Herming</w:t>
      </w:r>
      <w:proofErr w:type="spellEnd"/>
      <w:r w:rsidRPr="006A70A3">
        <w:rPr>
          <w:rFonts w:cs="Times New Roman"/>
        </w:rPr>
        <w:t xml:space="preserve"> (Assistant Program Manager)</w:t>
      </w:r>
    </w:p>
    <w:p w:rsidR="00DD75B4" w:rsidRPr="006A70A3" w:rsidRDefault="00DD75B4" w:rsidP="006A70A3">
      <w:pPr>
        <w:rPr>
          <w:rFonts w:cs="Times New Roman"/>
        </w:rPr>
      </w:pPr>
      <w:r w:rsidRPr="006A70A3">
        <w:rPr>
          <w:rFonts w:cs="Times New Roman"/>
        </w:rPr>
        <w:t xml:space="preserve">Johanne </w:t>
      </w:r>
      <w:proofErr w:type="spellStart"/>
      <w:r w:rsidRPr="006A70A3">
        <w:rPr>
          <w:rFonts w:cs="Times New Roman"/>
        </w:rPr>
        <w:t>Bawden</w:t>
      </w:r>
      <w:proofErr w:type="spellEnd"/>
      <w:r w:rsidRPr="006A70A3">
        <w:rPr>
          <w:rFonts w:cs="Times New Roman"/>
        </w:rPr>
        <w:t xml:space="preserve"> (Senior Program Manager, SIPF)</w:t>
      </w:r>
    </w:p>
    <w:p w:rsidR="00DD75B4" w:rsidRPr="006A70A3" w:rsidRDefault="00DD75B4" w:rsidP="006A70A3">
      <w:pPr>
        <w:rPr>
          <w:rFonts w:cs="Times New Roman"/>
        </w:rPr>
      </w:pPr>
      <w:proofErr w:type="spellStart"/>
      <w:r w:rsidRPr="006A70A3">
        <w:rPr>
          <w:rFonts w:cs="Times New Roman"/>
        </w:rPr>
        <w:t>Radha</w:t>
      </w:r>
      <w:proofErr w:type="spellEnd"/>
      <w:r w:rsidRPr="006A70A3">
        <w:rPr>
          <w:rFonts w:cs="Times New Roman"/>
        </w:rPr>
        <w:t xml:space="preserve"> Etheridge (Senior Program Manager, SIPF)</w:t>
      </w:r>
    </w:p>
    <w:p w:rsidR="00DD75B4" w:rsidRPr="006A70A3" w:rsidRDefault="00DD75B4" w:rsidP="006A70A3">
      <w:pPr>
        <w:rPr>
          <w:rFonts w:cs="Times New Roman"/>
        </w:rPr>
      </w:pPr>
    </w:p>
    <w:p w:rsidR="00DD75B4" w:rsidRPr="006A70A3" w:rsidRDefault="00DD75B4" w:rsidP="006A70A3">
      <w:pPr>
        <w:rPr>
          <w:rFonts w:cs="Times New Roman"/>
          <w:b/>
        </w:rPr>
      </w:pPr>
      <w:r w:rsidRPr="006A70A3">
        <w:rPr>
          <w:rFonts w:cs="Times New Roman"/>
          <w:b/>
        </w:rPr>
        <w:t xml:space="preserve">DFAT Canberra Sector Specialists </w:t>
      </w:r>
    </w:p>
    <w:p w:rsidR="00DD75B4" w:rsidRPr="006A70A3" w:rsidRDefault="00DD75B4" w:rsidP="006A70A3">
      <w:pPr>
        <w:rPr>
          <w:rFonts w:cs="Times New Roman"/>
        </w:rPr>
      </w:pPr>
      <w:r w:rsidRPr="006A70A3">
        <w:rPr>
          <w:rFonts w:cs="Times New Roman"/>
        </w:rPr>
        <w:t xml:space="preserve">Graham </w:t>
      </w:r>
      <w:proofErr w:type="spellStart"/>
      <w:r w:rsidRPr="006A70A3">
        <w:rPr>
          <w:rFonts w:cs="Times New Roman"/>
        </w:rPr>
        <w:t>Teskey</w:t>
      </w:r>
      <w:proofErr w:type="spellEnd"/>
      <w:r w:rsidRPr="006A70A3">
        <w:rPr>
          <w:rFonts w:cs="Times New Roman"/>
        </w:rPr>
        <w:t xml:space="preserve"> (Principal Sector Specialist, Governance) </w:t>
      </w:r>
    </w:p>
    <w:p w:rsidR="00DD75B4" w:rsidRPr="006A70A3" w:rsidRDefault="00DD75B4" w:rsidP="006A70A3">
      <w:pPr>
        <w:rPr>
          <w:rFonts w:cs="Times New Roman"/>
        </w:rPr>
      </w:pPr>
      <w:r w:rsidRPr="006A70A3">
        <w:rPr>
          <w:rFonts w:cs="Times New Roman"/>
        </w:rPr>
        <w:t xml:space="preserve">Michael Carnahan (Chief Economist, Development) </w:t>
      </w:r>
    </w:p>
    <w:p w:rsidR="00DD75B4" w:rsidRPr="006A70A3" w:rsidRDefault="00DD75B4" w:rsidP="006A70A3">
      <w:pPr>
        <w:rPr>
          <w:rFonts w:cs="Times New Roman"/>
        </w:rPr>
      </w:pPr>
      <w:r w:rsidRPr="006A70A3">
        <w:rPr>
          <w:rFonts w:cs="Times New Roman"/>
        </w:rPr>
        <w:t xml:space="preserve">Belinda Costin (Assistant Director, Governance) </w:t>
      </w:r>
    </w:p>
    <w:p w:rsidR="00DD75B4" w:rsidRPr="006A70A3" w:rsidRDefault="00DD75B4" w:rsidP="006A70A3">
      <w:pPr>
        <w:rPr>
          <w:rFonts w:cs="Times New Roman"/>
        </w:rPr>
      </w:pPr>
      <w:r w:rsidRPr="006A70A3">
        <w:rPr>
          <w:rFonts w:cs="Times New Roman"/>
        </w:rPr>
        <w:t>Amelia Robertson (Assistant Director, Anti-Corruption)</w:t>
      </w:r>
    </w:p>
    <w:p w:rsidR="00DD75B4" w:rsidRPr="006A70A3" w:rsidRDefault="00DD75B4" w:rsidP="006A70A3">
      <w:pPr>
        <w:rPr>
          <w:rFonts w:cs="Times New Roman"/>
        </w:rPr>
      </w:pPr>
    </w:p>
    <w:p w:rsidR="00DD75B4" w:rsidRPr="006A70A3" w:rsidRDefault="00DD75B4" w:rsidP="006A70A3">
      <w:pPr>
        <w:tabs>
          <w:tab w:val="left" w:pos="2454"/>
        </w:tabs>
        <w:rPr>
          <w:rFonts w:cs="Times New Roman"/>
          <w:b/>
          <w:color w:val="0D0D0D" w:themeColor="text1" w:themeTint="F2"/>
        </w:rPr>
      </w:pPr>
      <w:r w:rsidRPr="006A70A3">
        <w:rPr>
          <w:rFonts w:cs="Times New Roman"/>
          <w:b/>
        </w:rPr>
        <w:t xml:space="preserve">Solomon Islands Government </w:t>
      </w:r>
    </w:p>
    <w:p w:rsidR="00DD75B4" w:rsidRPr="006A70A3" w:rsidRDefault="00DD75B4" w:rsidP="006A70A3">
      <w:pPr>
        <w:tabs>
          <w:tab w:val="left" w:pos="1659"/>
          <w:tab w:val="left" w:pos="7131"/>
        </w:tabs>
        <w:rPr>
          <w:rFonts w:cs="Times New Roman"/>
        </w:rPr>
      </w:pPr>
      <w:proofErr w:type="spellStart"/>
      <w:r w:rsidRPr="006A70A3">
        <w:rPr>
          <w:rFonts w:cs="Times New Roman"/>
        </w:rPr>
        <w:t>Eliam</w:t>
      </w:r>
      <w:proofErr w:type="spellEnd"/>
      <w:r w:rsidRPr="006A70A3">
        <w:rPr>
          <w:rFonts w:cs="Times New Roman"/>
        </w:rPr>
        <w:t xml:space="preserve"> </w:t>
      </w:r>
      <w:proofErr w:type="spellStart"/>
      <w:r w:rsidRPr="006A70A3">
        <w:rPr>
          <w:rFonts w:cs="Times New Roman"/>
        </w:rPr>
        <w:t>Tangirongo</w:t>
      </w:r>
      <w:proofErr w:type="spellEnd"/>
      <w:r w:rsidRPr="006A70A3">
        <w:rPr>
          <w:rFonts w:cs="Times New Roman"/>
        </w:rPr>
        <w:t xml:space="preserve"> (Public Service Commission Chairman) </w:t>
      </w:r>
    </w:p>
    <w:p w:rsidR="00DD75B4" w:rsidRPr="006A70A3" w:rsidRDefault="00DD75B4" w:rsidP="006A70A3">
      <w:pPr>
        <w:tabs>
          <w:tab w:val="left" w:pos="1659"/>
          <w:tab w:val="left" w:pos="7131"/>
        </w:tabs>
        <w:rPr>
          <w:rFonts w:cs="Times New Roman"/>
        </w:rPr>
      </w:pPr>
      <w:r w:rsidRPr="006A70A3">
        <w:rPr>
          <w:rFonts w:cs="Times New Roman"/>
        </w:rPr>
        <w:t xml:space="preserve">James </w:t>
      </w:r>
      <w:proofErr w:type="spellStart"/>
      <w:r w:rsidRPr="006A70A3">
        <w:rPr>
          <w:rFonts w:cs="Times New Roman"/>
        </w:rPr>
        <w:t>Remobatu</w:t>
      </w:r>
      <w:proofErr w:type="spellEnd"/>
      <w:r w:rsidRPr="006A70A3">
        <w:rPr>
          <w:rFonts w:cs="Times New Roman"/>
        </w:rPr>
        <w:t xml:space="preserve"> (Secretary to Cabinet)</w:t>
      </w:r>
    </w:p>
    <w:p w:rsidR="00DD75B4" w:rsidRPr="006A70A3" w:rsidRDefault="00DD75B4" w:rsidP="006A70A3">
      <w:pPr>
        <w:tabs>
          <w:tab w:val="left" w:pos="2454"/>
        </w:tabs>
        <w:rPr>
          <w:rFonts w:cs="Times New Roman"/>
        </w:rPr>
      </w:pPr>
      <w:r w:rsidRPr="006A70A3">
        <w:rPr>
          <w:rFonts w:cs="Times New Roman"/>
        </w:rPr>
        <w:t xml:space="preserve">Shadrach </w:t>
      </w:r>
      <w:proofErr w:type="spellStart"/>
      <w:r w:rsidRPr="006A70A3">
        <w:rPr>
          <w:rFonts w:cs="Times New Roman"/>
        </w:rPr>
        <w:t>Fanega</w:t>
      </w:r>
      <w:proofErr w:type="spellEnd"/>
      <w:r w:rsidRPr="006A70A3">
        <w:rPr>
          <w:rFonts w:cs="Times New Roman"/>
        </w:rPr>
        <w:t xml:space="preserve"> (PS, </w:t>
      </w:r>
      <w:proofErr w:type="spellStart"/>
      <w:r w:rsidRPr="006A70A3">
        <w:rPr>
          <w:rFonts w:cs="Times New Roman"/>
        </w:rPr>
        <w:t>MoFT</w:t>
      </w:r>
      <w:proofErr w:type="spellEnd"/>
      <w:r w:rsidRPr="006A70A3">
        <w:rPr>
          <w:rFonts w:cs="Times New Roman"/>
        </w:rPr>
        <w:t xml:space="preserve">) </w:t>
      </w:r>
    </w:p>
    <w:p w:rsidR="00DD75B4" w:rsidRPr="006A70A3" w:rsidRDefault="00DD75B4" w:rsidP="006A70A3">
      <w:pPr>
        <w:tabs>
          <w:tab w:val="left" w:pos="2454"/>
        </w:tabs>
        <w:rPr>
          <w:rFonts w:cs="Times New Roman"/>
        </w:rPr>
      </w:pPr>
      <w:r w:rsidRPr="006A70A3">
        <w:rPr>
          <w:rFonts w:cs="Times New Roman"/>
        </w:rPr>
        <w:t xml:space="preserve">Elizabeth </w:t>
      </w:r>
      <w:proofErr w:type="spellStart"/>
      <w:r w:rsidRPr="006A70A3">
        <w:rPr>
          <w:rFonts w:cs="Times New Roman"/>
        </w:rPr>
        <w:t>Kausimae</w:t>
      </w:r>
      <w:proofErr w:type="spellEnd"/>
      <w:r w:rsidRPr="006A70A3">
        <w:rPr>
          <w:rFonts w:cs="Times New Roman"/>
        </w:rPr>
        <w:t xml:space="preserve"> (US Corporate services, </w:t>
      </w:r>
      <w:proofErr w:type="spellStart"/>
      <w:r w:rsidRPr="006A70A3">
        <w:rPr>
          <w:rFonts w:cs="Times New Roman"/>
        </w:rPr>
        <w:t>MoFT</w:t>
      </w:r>
      <w:proofErr w:type="spellEnd"/>
      <w:r w:rsidRPr="006A70A3">
        <w:rPr>
          <w:rFonts w:cs="Times New Roman"/>
        </w:rPr>
        <w:t xml:space="preserve">) </w:t>
      </w:r>
    </w:p>
    <w:p w:rsidR="00DD75B4" w:rsidRPr="006A70A3" w:rsidRDefault="00DD75B4" w:rsidP="006A70A3">
      <w:pPr>
        <w:tabs>
          <w:tab w:val="left" w:pos="2454"/>
        </w:tabs>
        <w:rPr>
          <w:rFonts w:cs="Times New Roman"/>
        </w:rPr>
      </w:pPr>
      <w:r w:rsidRPr="006A70A3">
        <w:rPr>
          <w:rFonts w:cs="Times New Roman"/>
        </w:rPr>
        <w:t xml:space="preserve">McKinnie </w:t>
      </w:r>
      <w:proofErr w:type="spellStart"/>
      <w:r w:rsidRPr="006A70A3">
        <w:rPr>
          <w:rFonts w:cs="Times New Roman"/>
        </w:rPr>
        <w:t>Dentana</w:t>
      </w:r>
      <w:proofErr w:type="spellEnd"/>
      <w:r w:rsidRPr="006A70A3">
        <w:rPr>
          <w:rFonts w:cs="Times New Roman"/>
        </w:rPr>
        <w:t xml:space="preserve"> (US Economics, </w:t>
      </w:r>
      <w:proofErr w:type="spellStart"/>
      <w:r w:rsidRPr="006A70A3">
        <w:rPr>
          <w:rFonts w:cs="Times New Roman"/>
        </w:rPr>
        <w:t>MoFT</w:t>
      </w:r>
      <w:proofErr w:type="spellEnd"/>
      <w:r w:rsidRPr="006A70A3">
        <w:rPr>
          <w:rFonts w:cs="Times New Roman"/>
        </w:rPr>
        <w:t xml:space="preserve">) </w:t>
      </w:r>
    </w:p>
    <w:p w:rsidR="00DD75B4" w:rsidRPr="006A70A3" w:rsidRDefault="00DD75B4" w:rsidP="006A70A3">
      <w:pPr>
        <w:tabs>
          <w:tab w:val="left" w:pos="2454"/>
        </w:tabs>
        <w:rPr>
          <w:rFonts w:cs="Times New Roman"/>
        </w:rPr>
      </w:pPr>
      <w:r w:rsidRPr="006A70A3">
        <w:rPr>
          <w:rFonts w:cs="Times New Roman"/>
        </w:rPr>
        <w:t xml:space="preserve">Harry Kuma (US Fiscal, </w:t>
      </w:r>
      <w:proofErr w:type="spellStart"/>
      <w:r w:rsidRPr="006A70A3">
        <w:rPr>
          <w:rFonts w:cs="Times New Roman"/>
        </w:rPr>
        <w:t>MoFT</w:t>
      </w:r>
      <w:proofErr w:type="spellEnd"/>
      <w:r w:rsidRPr="006A70A3">
        <w:rPr>
          <w:rFonts w:cs="Times New Roman"/>
        </w:rPr>
        <w:t xml:space="preserve">) </w:t>
      </w:r>
    </w:p>
    <w:p w:rsidR="00DD75B4" w:rsidRPr="006A70A3" w:rsidRDefault="00DD75B4" w:rsidP="006A70A3">
      <w:pPr>
        <w:tabs>
          <w:tab w:val="left" w:pos="1659"/>
        </w:tabs>
        <w:rPr>
          <w:rFonts w:cs="Times New Roman"/>
        </w:rPr>
      </w:pPr>
      <w:r w:rsidRPr="006A70A3">
        <w:rPr>
          <w:rFonts w:cs="Times New Roman"/>
          <w:color w:val="0D0D0D" w:themeColor="text1" w:themeTint="F2"/>
        </w:rPr>
        <w:t xml:space="preserve">Ishmael </w:t>
      </w:r>
      <w:proofErr w:type="spellStart"/>
      <w:r w:rsidRPr="006A70A3">
        <w:rPr>
          <w:rFonts w:cs="Times New Roman"/>
          <w:color w:val="0D0D0D" w:themeColor="text1" w:themeTint="F2"/>
        </w:rPr>
        <w:t>Avui</w:t>
      </w:r>
      <w:proofErr w:type="spellEnd"/>
      <w:r w:rsidRPr="006A70A3">
        <w:rPr>
          <w:rFonts w:cs="Times New Roman"/>
          <w:color w:val="0D0D0D" w:themeColor="text1" w:themeTint="F2"/>
        </w:rPr>
        <w:t xml:space="preserve"> (PS, MPS) </w:t>
      </w:r>
      <w:r w:rsidRPr="006A70A3">
        <w:rPr>
          <w:rFonts w:cs="Times New Roman"/>
        </w:rPr>
        <w:tab/>
      </w:r>
    </w:p>
    <w:p w:rsidR="00DD75B4" w:rsidRPr="006A70A3" w:rsidRDefault="00DD75B4" w:rsidP="006A70A3">
      <w:pPr>
        <w:tabs>
          <w:tab w:val="left" w:pos="2454"/>
        </w:tabs>
        <w:rPr>
          <w:rFonts w:cs="Times New Roman"/>
        </w:rPr>
      </w:pPr>
      <w:r w:rsidRPr="006A70A3">
        <w:rPr>
          <w:rFonts w:cs="Times New Roman"/>
        </w:rPr>
        <w:t xml:space="preserve">Luke </w:t>
      </w:r>
      <w:proofErr w:type="spellStart"/>
      <w:r w:rsidRPr="006A70A3">
        <w:rPr>
          <w:rFonts w:cs="Times New Roman"/>
        </w:rPr>
        <w:t>Mua</w:t>
      </w:r>
      <w:proofErr w:type="spellEnd"/>
      <w:r w:rsidRPr="006A70A3">
        <w:rPr>
          <w:rFonts w:cs="Times New Roman"/>
        </w:rPr>
        <w:t xml:space="preserve"> (US, MPS)</w:t>
      </w:r>
    </w:p>
    <w:p w:rsidR="00DD75B4" w:rsidRPr="006A70A3" w:rsidRDefault="00DD75B4" w:rsidP="006A70A3">
      <w:pPr>
        <w:tabs>
          <w:tab w:val="left" w:pos="2454"/>
        </w:tabs>
        <w:rPr>
          <w:rFonts w:cs="Times New Roman"/>
        </w:rPr>
      </w:pPr>
      <w:r w:rsidRPr="006A70A3">
        <w:rPr>
          <w:rFonts w:cs="Times New Roman"/>
        </w:rPr>
        <w:t>Walter Hubert (US, MPS)</w:t>
      </w:r>
    </w:p>
    <w:p w:rsidR="00DD75B4" w:rsidRPr="006A70A3" w:rsidRDefault="00DD75B4" w:rsidP="006A70A3">
      <w:pPr>
        <w:tabs>
          <w:tab w:val="left" w:pos="2454"/>
        </w:tabs>
        <w:rPr>
          <w:rFonts w:cs="Times New Roman"/>
        </w:rPr>
      </w:pPr>
      <w:r w:rsidRPr="006A70A3">
        <w:rPr>
          <w:rFonts w:cs="Times New Roman"/>
        </w:rPr>
        <w:t xml:space="preserve">Bernard </w:t>
      </w:r>
      <w:proofErr w:type="spellStart"/>
      <w:r w:rsidRPr="006A70A3">
        <w:rPr>
          <w:rFonts w:cs="Times New Roman"/>
        </w:rPr>
        <w:t>Telei</w:t>
      </w:r>
      <w:proofErr w:type="spellEnd"/>
      <w:r w:rsidRPr="006A70A3">
        <w:rPr>
          <w:rFonts w:cs="Times New Roman"/>
        </w:rPr>
        <w:t xml:space="preserve"> (US, MPS) </w:t>
      </w:r>
    </w:p>
    <w:p w:rsidR="00DD75B4" w:rsidRPr="006A70A3" w:rsidRDefault="00DD75B4" w:rsidP="006A70A3">
      <w:pPr>
        <w:tabs>
          <w:tab w:val="left" w:pos="2454"/>
        </w:tabs>
        <w:rPr>
          <w:rFonts w:cs="Times New Roman"/>
        </w:rPr>
      </w:pPr>
      <w:r w:rsidRPr="006A70A3">
        <w:rPr>
          <w:rFonts w:cs="Times New Roman"/>
        </w:rPr>
        <w:t xml:space="preserve">Emily </w:t>
      </w:r>
      <w:proofErr w:type="spellStart"/>
      <w:r w:rsidRPr="006A70A3">
        <w:rPr>
          <w:rFonts w:cs="Times New Roman"/>
        </w:rPr>
        <w:t>Teatela</w:t>
      </w:r>
      <w:proofErr w:type="spellEnd"/>
      <w:r w:rsidRPr="006A70A3">
        <w:rPr>
          <w:rFonts w:cs="Times New Roman"/>
        </w:rPr>
        <w:t xml:space="preserve"> (US, MPS)</w:t>
      </w:r>
    </w:p>
    <w:p w:rsidR="00DD75B4" w:rsidRPr="006A70A3" w:rsidRDefault="00DD75B4" w:rsidP="006A70A3">
      <w:pPr>
        <w:tabs>
          <w:tab w:val="left" w:pos="2454"/>
        </w:tabs>
        <w:rPr>
          <w:rFonts w:cs="Times New Roman"/>
        </w:rPr>
      </w:pPr>
      <w:r w:rsidRPr="006A70A3">
        <w:rPr>
          <w:rFonts w:cs="Times New Roman"/>
        </w:rPr>
        <w:t xml:space="preserve">Barnabas </w:t>
      </w:r>
      <w:proofErr w:type="spellStart"/>
      <w:r w:rsidRPr="006A70A3">
        <w:rPr>
          <w:rFonts w:cs="Times New Roman"/>
        </w:rPr>
        <w:t>Anga</w:t>
      </w:r>
      <w:proofErr w:type="spellEnd"/>
      <w:r w:rsidRPr="006A70A3">
        <w:rPr>
          <w:rFonts w:cs="Times New Roman"/>
        </w:rPr>
        <w:t xml:space="preserve"> (PS Mines and Energy) </w:t>
      </w:r>
    </w:p>
    <w:p w:rsidR="00DD75B4" w:rsidRPr="006A70A3" w:rsidRDefault="00DD75B4" w:rsidP="006A70A3">
      <w:pPr>
        <w:rPr>
          <w:rFonts w:cs="Times New Roman"/>
        </w:rPr>
      </w:pPr>
      <w:r w:rsidRPr="006A70A3">
        <w:rPr>
          <w:rFonts w:cs="Times New Roman"/>
        </w:rPr>
        <w:t xml:space="preserve">Emmanuel </w:t>
      </w:r>
      <w:proofErr w:type="spellStart"/>
      <w:r w:rsidRPr="006A70A3">
        <w:rPr>
          <w:rFonts w:cs="Times New Roman"/>
        </w:rPr>
        <w:t>Kohauto’o</w:t>
      </w:r>
      <w:proofErr w:type="spellEnd"/>
      <w:r w:rsidRPr="006A70A3">
        <w:rPr>
          <w:rFonts w:cs="Times New Roman"/>
        </w:rPr>
        <w:t xml:space="preserve"> (Leadership Code Commission Chairman)</w:t>
      </w:r>
    </w:p>
    <w:p w:rsidR="00DD75B4" w:rsidRPr="006A70A3" w:rsidRDefault="00DD75B4" w:rsidP="006A70A3">
      <w:pPr>
        <w:tabs>
          <w:tab w:val="left" w:pos="1659"/>
          <w:tab w:val="left" w:pos="7131"/>
        </w:tabs>
        <w:rPr>
          <w:rFonts w:cs="Times New Roman"/>
        </w:rPr>
      </w:pPr>
      <w:r w:rsidRPr="006A70A3">
        <w:rPr>
          <w:rFonts w:cs="Times New Roman"/>
        </w:rPr>
        <w:t xml:space="preserve">Joe </w:t>
      </w:r>
      <w:proofErr w:type="spellStart"/>
      <w:r w:rsidRPr="006A70A3">
        <w:rPr>
          <w:rFonts w:cs="Times New Roman"/>
        </w:rPr>
        <w:t>Porowei</w:t>
      </w:r>
      <w:proofErr w:type="spellEnd"/>
      <w:r w:rsidRPr="006A70A3">
        <w:rPr>
          <w:rFonts w:cs="Times New Roman"/>
        </w:rPr>
        <w:t xml:space="preserve"> (Ombudsman) </w:t>
      </w:r>
    </w:p>
    <w:p w:rsidR="00DD75B4" w:rsidRPr="006A70A3" w:rsidRDefault="00DD75B4" w:rsidP="006A70A3">
      <w:pPr>
        <w:tabs>
          <w:tab w:val="left" w:pos="1659"/>
          <w:tab w:val="left" w:pos="7131"/>
        </w:tabs>
        <w:rPr>
          <w:rFonts w:cs="Times New Roman"/>
        </w:rPr>
      </w:pPr>
      <w:r w:rsidRPr="006A70A3">
        <w:rPr>
          <w:rFonts w:cs="Times New Roman"/>
        </w:rPr>
        <w:t xml:space="preserve">Ronald </w:t>
      </w:r>
      <w:proofErr w:type="spellStart"/>
      <w:r w:rsidRPr="006A70A3">
        <w:rPr>
          <w:rFonts w:cs="Times New Roman"/>
        </w:rPr>
        <w:t>Karovo</w:t>
      </w:r>
      <w:proofErr w:type="spellEnd"/>
      <w:r w:rsidRPr="006A70A3">
        <w:rPr>
          <w:rFonts w:cs="Times New Roman"/>
        </w:rPr>
        <w:t xml:space="preserve"> (Deputy Director, IPAM) </w:t>
      </w:r>
    </w:p>
    <w:p w:rsidR="00DD75B4" w:rsidRPr="006A70A3" w:rsidRDefault="00DD75B4" w:rsidP="006A70A3">
      <w:pPr>
        <w:tabs>
          <w:tab w:val="left" w:pos="1659"/>
          <w:tab w:val="left" w:pos="7131"/>
        </w:tabs>
        <w:rPr>
          <w:rFonts w:cs="Times New Roman"/>
        </w:rPr>
      </w:pPr>
    </w:p>
    <w:p w:rsidR="00DD75B4" w:rsidRPr="006A70A3" w:rsidRDefault="00DD75B4" w:rsidP="006A70A3">
      <w:pPr>
        <w:tabs>
          <w:tab w:val="left" w:pos="1659"/>
          <w:tab w:val="left" w:pos="7131"/>
        </w:tabs>
        <w:rPr>
          <w:rFonts w:cs="Times New Roman"/>
          <w:i/>
        </w:rPr>
      </w:pPr>
      <w:r w:rsidRPr="006A70A3">
        <w:rPr>
          <w:rFonts w:cs="Times New Roman"/>
          <w:i/>
        </w:rPr>
        <w:t xml:space="preserve">SIG Human Resource Managers </w:t>
      </w:r>
    </w:p>
    <w:p w:rsidR="00DD75B4" w:rsidRPr="006A70A3" w:rsidRDefault="00DD75B4" w:rsidP="006A70A3">
      <w:pPr>
        <w:tabs>
          <w:tab w:val="left" w:pos="1659"/>
          <w:tab w:val="left" w:pos="7131"/>
        </w:tabs>
        <w:rPr>
          <w:rFonts w:cs="Times New Roman"/>
        </w:rPr>
      </w:pPr>
      <w:r w:rsidRPr="006A70A3">
        <w:rPr>
          <w:rFonts w:cs="Times New Roman"/>
        </w:rPr>
        <w:t xml:space="preserve">Ronnie </w:t>
      </w:r>
      <w:proofErr w:type="spellStart"/>
      <w:r w:rsidRPr="006A70A3">
        <w:rPr>
          <w:rFonts w:cs="Times New Roman"/>
        </w:rPr>
        <w:t>Piva</w:t>
      </w:r>
      <w:proofErr w:type="spellEnd"/>
      <w:r w:rsidRPr="006A70A3">
        <w:rPr>
          <w:rFonts w:cs="Times New Roman"/>
        </w:rPr>
        <w:t xml:space="preserve"> (</w:t>
      </w:r>
      <w:proofErr w:type="spellStart"/>
      <w:r w:rsidRPr="006A70A3">
        <w:rPr>
          <w:rFonts w:cs="Times New Roman"/>
        </w:rPr>
        <w:t>MoFT</w:t>
      </w:r>
      <w:proofErr w:type="spellEnd"/>
      <w:r w:rsidRPr="006A70A3">
        <w:rPr>
          <w:rFonts w:cs="Times New Roman"/>
        </w:rPr>
        <w:t xml:space="preserve">) </w:t>
      </w:r>
    </w:p>
    <w:p w:rsidR="00DD75B4" w:rsidRPr="006A70A3" w:rsidRDefault="00DD75B4" w:rsidP="006A70A3">
      <w:pPr>
        <w:tabs>
          <w:tab w:val="left" w:pos="1659"/>
          <w:tab w:val="left" w:pos="7131"/>
        </w:tabs>
        <w:rPr>
          <w:rFonts w:cs="Times New Roman"/>
        </w:rPr>
      </w:pPr>
      <w:r w:rsidRPr="006A70A3">
        <w:rPr>
          <w:rFonts w:cs="Times New Roman"/>
        </w:rPr>
        <w:t xml:space="preserve">Dorothy </w:t>
      </w:r>
      <w:proofErr w:type="spellStart"/>
      <w:r w:rsidRPr="006A70A3">
        <w:rPr>
          <w:rFonts w:cs="Times New Roman"/>
        </w:rPr>
        <w:t>Kiko</w:t>
      </w:r>
      <w:proofErr w:type="spellEnd"/>
      <w:r w:rsidRPr="006A70A3">
        <w:rPr>
          <w:rFonts w:cs="Times New Roman"/>
        </w:rPr>
        <w:t xml:space="preserve"> (</w:t>
      </w:r>
      <w:proofErr w:type="spellStart"/>
      <w:r w:rsidRPr="006A70A3">
        <w:rPr>
          <w:rFonts w:cs="Times New Roman"/>
        </w:rPr>
        <w:t>MoHMS</w:t>
      </w:r>
      <w:proofErr w:type="spellEnd"/>
      <w:r w:rsidRPr="006A70A3">
        <w:rPr>
          <w:rFonts w:cs="Times New Roman"/>
        </w:rPr>
        <w:t xml:space="preserve">) </w:t>
      </w:r>
    </w:p>
    <w:p w:rsidR="00DD75B4" w:rsidRPr="006A70A3" w:rsidRDefault="00DD75B4" w:rsidP="006A70A3">
      <w:pPr>
        <w:tabs>
          <w:tab w:val="left" w:pos="1659"/>
          <w:tab w:val="left" w:pos="7131"/>
        </w:tabs>
        <w:rPr>
          <w:rFonts w:cs="Times New Roman"/>
        </w:rPr>
      </w:pPr>
      <w:r w:rsidRPr="006A70A3">
        <w:rPr>
          <w:rFonts w:cs="Times New Roman"/>
        </w:rPr>
        <w:t xml:space="preserve">Janet Prakash (MPS) </w:t>
      </w:r>
    </w:p>
    <w:p w:rsidR="00DD75B4" w:rsidRPr="006A70A3" w:rsidRDefault="00DD75B4" w:rsidP="006A70A3">
      <w:pPr>
        <w:tabs>
          <w:tab w:val="left" w:pos="1659"/>
          <w:tab w:val="left" w:pos="7131"/>
        </w:tabs>
        <w:rPr>
          <w:rFonts w:cs="Times New Roman"/>
        </w:rPr>
      </w:pPr>
      <w:proofErr w:type="spellStart"/>
      <w:r w:rsidRPr="006A70A3">
        <w:rPr>
          <w:rFonts w:cs="Times New Roman"/>
        </w:rPr>
        <w:t>Manesseh</w:t>
      </w:r>
      <w:proofErr w:type="spellEnd"/>
      <w:r w:rsidRPr="006A70A3">
        <w:rPr>
          <w:rFonts w:cs="Times New Roman"/>
        </w:rPr>
        <w:t xml:space="preserve"> </w:t>
      </w:r>
      <w:proofErr w:type="spellStart"/>
      <w:r w:rsidRPr="006A70A3">
        <w:rPr>
          <w:rFonts w:cs="Times New Roman"/>
        </w:rPr>
        <w:t>Toalifiri</w:t>
      </w:r>
      <w:proofErr w:type="spellEnd"/>
      <w:r w:rsidRPr="006A70A3">
        <w:rPr>
          <w:rFonts w:cs="Times New Roman"/>
        </w:rPr>
        <w:t xml:space="preserve"> (MDPAC)</w:t>
      </w:r>
    </w:p>
    <w:p w:rsidR="00DD75B4" w:rsidRPr="006A70A3" w:rsidRDefault="00DD75B4" w:rsidP="006A70A3">
      <w:pPr>
        <w:tabs>
          <w:tab w:val="left" w:pos="1659"/>
        </w:tabs>
        <w:rPr>
          <w:rFonts w:cs="Times New Roman"/>
        </w:rPr>
      </w:pPr>
    </w:p>
    <w:p w:rsidR="00DD75B4" w:rsidRPr="006A70A3" w:rsidRDefault="00DD75B4" w:rsidP="00E256D6">
      <w:pPr>
        <w:keepNext/>
        <w:keepLines/>
        <w:rPr>
          <w:rFonts w:cs="Times New Roman"/>
          <w:b/>
        </w:rPr>
      </w:pPr>
      <w:r w:rsidRPr="006A70A3">
        <w:rPr>
          <w:rFonts w:cs="Times New Roman"/>
          <w:b/>
        </w:rPr>
        <w:lastRenderedPageBreak/>
        <w:t xml:space="preserve">Donors </w:t>
      </w:r>
    </w:p>
    <w:p w:rsidR="00DD75B4" w:rsidRPr="006A70A3" w:rsidRDefault="00DD75B4" w:rsidP="00E256D6">
      <w:pPr>
        <w:keepNext/>
        <w:keepLines/>
        <w:tabs>
          <w:tab w:val="left" w:pos="2454"/>
        </w:tabs>
        <w:rPr>
          <w:rFonts w:cs="Times New Roman"/>
          <w:color w:val="0D0D0D" w:themeColor="text1" w:themeTint="F2"/>
        </w:rPr>
      </w:pPr>
      <w:r w:rsidRPr="006A70A3">
        <w:rPr>
          <w:rFonts w:cs="Times New Roman"/>
          <w:color w:val="0D0D0D" w:themeColor="text1" w:themeTint="F2"/>
        </w:rPr>
        <w:t xml:space="preserve">Naomi </w:t>
      </w:r>
      <w:proofErr w:type="spellStart"/>
      <w:r w:rsidRPr="006A70A3">
        <w:rPr>
          <w:rFonts w:cs="Times New Roman"/>
          <w:color w:val="0D0D0D" w:themeColor="text1" w:themeTint="F2"/>
        </w:rPr>
        <w:t>Kyriacopoulos</w:t>
      </w:r>
      <w:proofErr w:type="spellEnd"/>
      <w:r w:rsidRPr="006A70A3">
        <w:rPr>
          <w:rFonts w:cs="Times New Roman"/>
          <w:color w:val="0D0D0D" w:themeColor="text1" w:themeTint="F2"/>
        </w:rPr>
        <w:t xml:space="preserve"> and Anna Reid (New Zealand)</w:t>
      </w:r>
    </w:p>
    <w:p w:rsidR="00DD75B4" w:rsidRPr="006A70A3" w:rsidRDefault="00DD75B4" w:rsidP="00E256D6">
      <w:pPr>
        <w:keepNext/>
        <w:keepLines/>
        <w:tabs>
          <w:tab w:val="left" w:pos="2454"/>
        </w:tabs>
        <w:rPr>
          <w:rFonts w:cs="Times New Roman"/>
          <w:color w:val="000000" w:themeColor="text1"/>
        </w:rPr>
      </w:pPr>
      <w:r w:rsidRPr="006A70A3">
        <w:rPr>
          <w:rFonts w:cs="Times New Roman"/>
          <w:color w:val="000000" w:themeColor="text1"/>
        </w:rPr>
        <w:t xml:space="preserve">Anne Tully and </w:t>
      </w:r>
      <w:proofErr w:type="spellStart"/>
      <w:r w:rsidRPr="006A70A3">
        <w:rPr>
          <w:rFonts w:cs="Times New Roman"/>
          <w:color w:val="000000" w:themeColor="text1"/>
        </w:rPr>
        <w:t>Satyendra</w:t>
      </w:r>
      <w:proofErr w:type="spellEnd"/>
      <w:r w:rsidRPr="006A70A3">
        <w:rPr>
          <w:rFonts w:cs="Times New Roman"/>
          <w:color w:val="000000" w:themeColor="text1"/>
        </w:rPr>
        <w:t xml:space="preserve"> </w:t>
      </w:r>
      <w:proofErr w:type="spellStart"/>
      <w:r w:rsidRPr="006A70A3">
        <w:rPr>
          <w:rFonts w:cs="Times New Roman"/>
          <w:color w:val="000000" w:themeColor="text1"/>
        </w:rPr>
        <w:t>Prassad</w:t>
      </w:r>
      <w:proofErr w:type="spellEnd"/>
      <w:r w:rsidRPr="006A70A3">
        <w:rPr>
          <w:rFonts w:cs="Times New Roman"/>
          <w:color w:val="000000" w:themeColor="text1"/>
        </w:rPr>
        <w:t xml:space="preserve"> (World Bank) </w:t>
      </w:r>
    </w:p>
    <w:p w:rsidR="00DD75B4" w:rsidRPr="006A70A3" w:rsidRDefault="00DD75B4" w:rsidP="00E256D6">
      <w:pPr>
        <w:keepNext/>
        <w:keepLines/>
        <w:rPr>
          <w:rFonts w:cs="Times New Roman"/>
          <w:color w:val="000000" w:themeColor="text1"/>
        </w:rPr>
      </w:pPr>
      <w:proofErr w:type="spellStart"/>
      <w:r w:rsidRPr="006A70A3">
        <w:rPr>
          <w:rFonts w:cs="Times New Roman"/>
        </w:rPr>
        <w:t>Tai’atu</w:t>
      </w:r>
      <w:proofErr w:type="spellEnd"/>
      <w:r w:rsidRPr="006A70A3">
        <w:rPr>
          <w:rFonts w:cs="Times New Roman"/>
        </w:rPr>
        <w:t xml:space="preserve"> </w:t>
      </w:r>
      <w:proofErr w:type="spellStart"/>
      <w:r w:rsidRPr="006A70A3">
        <w:rPr>
          <w:rFonts w:cs="Times New Roman"/>
        </w:rPr>
        <w:t>Sataata</w:t>
      </w:r>
      <w:proofErr w:type="spellEnd"/>
      <w:r w:rsidRPr="006A70A3">
        <w:rPr>
          <w:rFonts w:cs="Times New Roman"/>
        </w:rPr>
        <w:t xml:space="preserve"> and Jarrod Harrington (Asian Development Bank) </w:t>
      </w:r>
    </w:p>
    <w:p w:rsidR="00DD75B4" w:rsidRPr="006A70A3" w:rsidRDefault="00E256D6" w:rsidP="00E256D6">
      <w:pPr>
        <w:keepNext/>
        <w:keepLines/>
        <w:tabs>
          <w:tab w:val="left" w:pos="2454"/>
        </w:tabs>
        <w:rPr>
          <w:rFonts w:cs="Times New Roman"/>
          <w:color w:val="0D0D0D" w:themeColor="text1" w:themeTint="F2"/>
        </w:rPr>
      </w:pPr>
      <w:proofErr w:type="gramStart"/>
      <w:r>
        <w:rPr>
          <w:rFonts w:cs="Times New Roman"/>
        </w:rPr>
        <w:t>Lorena  Elvira</w:t>
      </w:r>
      <w:proofErr w:type="gramEnd"/>
      <w:r>
        <w:rPr>
          <w:rFonts w:cs="Times New Roman"/>
        </w:rPr>
        <w:t xml:space="preserve"> </w:t>
      </w:r>
      <w:proofErr w:type="spellStart"/>
      <w:r>
        <w:rPr>
          <w:rFonts w:cs="Times New Roman"/>
        </w:rPr>
        <w:t>A</w:t>
      </w:r>
      <w:r w:rsidR="00DD75B4" w:rsidRPr="006A70A3">
        <w:rPr>
          <w:rFonts w:cs="Times New Roman"/>
        </w:rPr>
        <w:t>yuso</w:t>
      </w:r>
      <w:proofErr w:type="spellEnd"/>
      <w:r w:rsidR="00DD75B4" w:rsidRPr="006A70A3">
        <w:rPr>
          <w:rFonts w:cs="Times New Roman"/>
        </w:rPr>
        <w:t xml:space="preserve"> (EU)</w:t>
      </w:r>
    </w:p>
    <w:p w:rsidR="00DD75B4" w:rsidRPr="006A70A3" w:rsidRDefault="00DD75B4" w:rsidP="00454BA1">
      <w:pPr>
        <w:tabs>
          <w:tab w:val="left" w:pos="1659"/>
        </w:tabs>
        <w:rPr>
          <w:rFonts w:cs="Times New Roman"/>
        </w:rPr>
      </w:pPr>
    </w:p>
    <w:p w:rsidR="00DD75B4" w:rsidRPr="006A70A3" w:rsidRDefault="00DD75B4" w:rsidP="006A70A3">
      <w:pPr>
        <w:rPr>
          <w:rFonts w:cs="Times New Roman"/>
          <w:b/>
        </w:rPr>
      </w:pPr>
      <w:r w:rsidRPr="006A70A3">
        <w:rPr>
          <w:rFonts w:cs="Times New Roman"/>
          <w:b/>
        </w:rPr>
        <w:t xml:space="preserve">In-line advisors </w:t>
      </w:r>
    </w:p>
    <w:p w:rsidR="00DD75B4" w:rsidRPr="006A70A3" w:rsidRDefault="00DD75B4" w:rsidP="006A70A3">
      <w:pPr>
        <w:rPr>
          <w:rFonts w:cs="Times New Roman"/>
          <w:color w:val="0D0D0D" w:themeColor="text1" w:themeTint="F2"/>
        </w:rPr>
      </w:pPr>
      <w:r w:rsidRPr="006A70A3">
        <w:rPr>
          <w:rFonts w:cs="Times New Roman"/>
          <w:color w:val="0D0D0D" w:themeColor="text1" w:themeTint="F2"/>
        </w:rPr>
        <w:t xml:space="preserve">Robert Cohen (Acting Auditor General) </w:t>
      </w:r>
    </w:p>
    <w:p w:rsidR="00DD75B4" w:rsidRPr="006A70A3" w:rsidRDefault="00DD75B4" w:rsidP="006A70A3">
      <w:pPr>
        <w:rPr>
          <w:rFonts w:cs="Times New Roman"/>
          <w:color w:val="0D0D0D" w:themeColor="text1" w:themeTint="F2"/>
        </w:rPr>
      </w:pPr>
      <w:r w:rsidRPr="006A70A3">
        <w:rPr>
          <w:rFonts w:cs="Times New Roman"/>
          <w:color w:val="0D0D0D" w:themeColor="text1" w:themeTint="F2"/>
        </w:rPr>
        <w:t>Geoff Kavanagh (Accountant General)</w:t>
      </w:r>
    </w:p>
    <w:p w:rsidR="00DD75B4" w:rsidRPr="006A70A3" w:rsidRDefault="00DD75B4" w:rsidP="006A70A3">
      <w:pPr>
        <w:rPr>
          <w:rFonts w:cs="Times New Roman"/>
        </w:rPr>
      </w:pPr>
    </w:p>
    <w:p w:rsidR="00DD75B4" w:rsidRPr="006A70A3" w:rsidRDefault="00DD75B4" w:rsidP="006A70A3">
      <w:pPr>
        <w:tabs>
          <w:tab w:val="left" w:pos="2454"/>
        </w:tabs>
        <w:rPr>
          <w:rFonts w:cs="Times New Roman"/>
          <w:b/>
          <w:color w:val="0D0D0D" w:themeColor="text1" w:themeTint="F2"/>
        </w:rPr>
      </w:pPr>
      <w:r w:rsidRPr="006A70A3">
        <w:rPr>
          <w:rFonts w:cs="Times New Roman"/>
          <w:b/>
          <w:color w:val="0D0D0D" w:themeColor="text1" w:themeTint="F2"/>
        </w:rPr>
        <w:t xml:space="preserve">Advisors </w:t>
      </w:r>
    </w:p>
    <w:p w:rsidR="00DD75B4" w:rsidRPr="006A70A3" w:rsidRDefault="00DD75B4" w:rsidP="006A70A3">
      <w:pPr>
        <w:rPr>
          <w:rFonts w:cs="Times New Roman"/>
        </w:rPr>
      </w:pPr>
      <w:r w:rsidRPr="006A70A3">
        <w:rPr>
          <w:rFonts w:cs="Times New Roman"/>
        </w:rPr>
        <w:t xml:space="preserve">Collin Johnson, Katherine Tuck, Philip de la Rue, Mitch Pirie, </w:t>
      </w:r>
      <w:r w:rsidRPr="006A70A3">
        <w:rPr>
          <w:rFonts w:cs="Times New Roman"/>
          <w:color w:val="000000" w:themeColor="text1"/>
        </w:rPr>
        <w:t xml:space="preserve">Brendan </w:t>
      </w:r>
      <w:proofErr w:type="spellStart"/>
      <w:r w:rsidRPr="006A70A3">
        <w:rPr>
          <w:rFonts w:cs="Times New Roman"/>
          <w:color w:val="000000" w:themeColor="text1"/>
        </w:rPr>
        <w:t>Nerdal</w:t>
      </w:r>
      <w:proofErr w:type="spellEnd"/>
      <w:r w:rsidRPr="006A70A3">
        <w:rPr>
          <w:rFonts w:cs="Times New Roman"/>
          <w:color w:val="000000" w:themeColor="text1"/>
        </w:rPr>
        <w:t xml:space="preserve"> and </w:t>
      </w:r>
      <w:r w:rsidRPr="006A70A3">
        <w:rPr>
          <w:rFonts w:cs="Times New Roman"/>
        </w:rPr>
        <w:t xml:space="preserve">Nick </w:t>
      </w:r>
      <w:proofErr w:type="spellStart"/>
      <w:r w:rsidRPr="006A70A3">
        <w:rPr>
          <w:rFonts w:cs="Times New Roman"/>
        </w:rPr>
        <w:t>Yiannakopoulos</w:t>
      </w:r>
      <w:proofErr w:type="spellEnd"/>
      <w:r w:rsidRPr="006A70A3">
        <w:rPr>
          <w:rFonts w:cs="Times New Roman"/>
        </w:rPr>
        <w:t xml:space="preserve"> (Australian Government </w:t>
      </w:r>
      <w:proofErr w:type="spellStart"/>
      <w:r w:rsidRPr="006A70A3">
        <w:rPr>
          <w:rFonts w:cs="Times New Roman"/>
        </w:rPr>
        <w:t>deployees</w:t>
      </w:r>
      <w:proofErr w:type="spellEnd"/>
      <w:r w:rsidRPr="006A70A3">
        <w:rPr>
          <w:rFonts w:cs="Times New Roman"/>
        </w:rPr>
        <w:t xml:space="preserve">, </w:t>
      </w:r>
      <w:proofErr w:type="spellStart"/>
      <w:r w:rsidRPr="006A70A3">
        <w:rPr>
          <w:rFonts w:cs="Times New Roman"/>
        </w:rPr>
        <w:t>MoFT</w:t>
      </w:r>
      <w:proofErr w:type="spellEnd"/>
      <w:r w:rsidRPr="006A70A3">
        <w:rPr>
          <w:rFonts w:cs="Times New Roman"/>
        </w:rPr>
        <w:t xml:space="preserve">) </w:t>
      </w:r>
    </w:p>
    <w:p w:rsidR="00DD75B4" w:rsidRPr="006A70A3" w:rsidRDefault="00DD75B4" w:rsidP="006A70A3">
      <w:pPr>
        <w:rPr>
          <w:rFonts w:cs="Times New Roman"/>
        </w:rPr>
      </w:pPr>
      <w:r w:rsidRPr="006A70A3">
        <w:rPr>
          <w:rFonts w:cs="Times New Roman"/>
        </w:rPr>
        <w:t xml:space="preserve">Jorge Lynch (DFAT procurement advisor) </w:t>
      </w:r>
    </w:p>
    <w:p w:rsidR="00DD75B4" w:rsidRPr="006A70A3" w:rsidRDefault="00DD75B4" w:rsidP="006A70A3">
      <w:pPr>
        <w:tabs>
          <w:tab w:val="left" w:pos="7027"/>
        </w:tabs>
        <w:rPr>
          <w:rFonts w:cs="Times New Roman"/>
          <w:color w:val="000000" w:themeColor="text1"/>
        </w:rPr>
      </w:pPr>
      <w:r w:rsidRPr="006A70A3">
        <w:rPr>
          <w:rFonts w:cs="Times New Roman"/>
          <w:color w:val="000000" w:themeColor="text1"/>
        </w:rPr>
        <w:t xml:space="preserve">Lisa Cleary, Katerina Coase and Caroline McGregor (MPS advisors) </w:t>
      </w:r>
      <w:r w:rsidRPr="006A70A3">
        <w:rPr>
          <w:rFonts w:cs="Times New Roman"/>
          <w:color w:val="000000" w:themeColor="text1"/>
        </w:rPr>
        <w:tab/>
      </w:r>
    </w:p>
    <w:p w:rsidR="00DD75B4" w:rsidRPr="006A70A3" w:rsidRDefault="00DD75B4" w:rsidP="006A70A3">
      <w:pPr>
        <w:tabs>
          <w:tab w:val="left" w:pos="2454"/>
        </w:tabs>
        <w:rPr>
          <w:rFonts w:cs="Times New Roman"/>
        </w:rPr>
      </w:pPr>
      <w:r w:rsidRPr="006A70A3">
        <w:rPr>
          <w:rFonts w:cs="Times New Roman"/>
        </w:rPr>
        <w:t xml:space="preserve">Paula </w:t>
      </w:r>
      <w:proofErr w:type="spellStart"/>
      <w:r w:rsidRPr="006A70A3">
        <w:rPr>
          <w:rFonts w:cs="Times New Roman"/>
        </w:rPr>
        <w:t>Uluinaceva</w:t>
      </w:r>
      <w:proofErr w:type="spellEnd"/>
      <w:r w:rsidRPr="006A70A3">
        <w:rPr>
          <w:rFonts w:cs="Times New Roman"/>
        </w:rPr>
        <w:t>, Richard Walsh, Fiona Stanley, Ricardo Aquino, Julie Byers and Sue Morrison (</w:t>
      </w:r>
      <w:proofErr w:type="spellStart"/>
      <w:r w:rsidRPr="006A70A3">
        <w:rPr>
          <w:rFonts w:cs="Times New Roman"/>
        </w:rPr>
        <w:t>MoFT</w:t>
      </w:r>
      <w:proofErr w:type="spellEnd"/>
      <w:r w:rsidRPr="006A70A3">
        <w:rPr>
          <w:rFonts w:cs="Times New Roman"/>
        </w:rPr>
        <w:t xml:space="preserve"> advisors) </w:t>
      </w:r>
    </w:p>
    <w:p w:rsidR="00DD75B4" w:rsidRPr="006A70A3" w:rsidRDefault="00DD75B4" w:rsidP="006A70A3">
      <w:pPr>
        <w:tabs>
          <w:tab w:val="left" w:pos="2454"/>
        </w:tabs>
        <w:rPr>
          <w:rFonts w:cs="Times New Roman"/>
        </w:rPr>
      </w:pPr>
      <w:r w:rsidRPr="006A70A3">
        <w:rPr>
          <w:rFonts w:cs="Times New Roman"/>
        </w:rPr>
        <w:t xml:space="preserve">Gary </w:t>
      </w:r>
      <w:proofErr w:type="spellStart"/>
      <w:r w:rsidRPr="006A70A3">
        <w:rPr>
          <w:rFonts w:cs="Times New Roman"/>
        </w:rPr>
        <w:t>Calcott</w:t>
      </w:r>
      <w:proofErr w:type="spellEnd"/>
      <w:r w:rsidRPr="006A70A3">
        <w:rPr>
          <w:rFonts w:cs="Times New Roman"/>
        </w:rPr>
        <w:t>, Ian Doyle, Geoff Thorn, Peter Hughes (Customs Advisors)</w:t>
      </w:r>
    </w:p>
    <w:p w:rsidR="00DD75B4" w:rsidRPr="006A70A3" w:rsidRDefault="00DD75B4" w:rsidP="006A70A3">
      <w:pPr>
        <w:rPr>
          <w:rFonts w:cs="Times New Roman"/>
        </w:rPr>
      </w:pPr>
      <w:r w:rsidRPr="006A70A3">
        <w:rPr>
          <w:rFonts w:cs="Times New Roman"/>
        </w:rPr>
        <w:t xml:space="preserve">David Air, Beau </w:t>
      </w:r>
      <w:proofErr w:type="spellStart"/>
      <w:r w:rsidRPr="006A70A3">
        <w:rPr>
          <w:rFonts w:cs="Times New Roman"/>
        </w:rPr>
        <w:t>Tydd</w:t>
      </w:r>
      <w:proofErr w:type="spellEnd"/>
      <w:r w:rsidRPr="006A70A3">
        <w:rPr>
          <w:rFonts w:cs="Times New Roman"/>
        </w:rPr>
        <w:t xml:space="preserve"> (ICTSU advisors) </w:t>
      </w:r>
    </w:p>
    <w:p w:rsidR="00DD75B4" w:rsidRPr="006A70A3" w:rsidRDefault="00DD75B4" w:rsidP="006A70A3">
      <w:pPr>
        <w:tabs>
          <w:tab w:val="left" w:pos="1659"/>
        </w:tabs>
        <w:rPr>
          <w:rFonts w:cs="Times New Roman"/>
        </w:rPr>
      </w:pPr>
    </w:p>
    <w:p w:rsidR="00DD75B4" w:rsidRPr="006A70A3" w:rsidRDefault="00DD75B4" w:rsidP="006A70A3">
      <w:pPr>
        <w:tabs>
          <w:tab w:val="left" w:pos="1659"/>
        </w:tabs>
        <w:rPr>
          <w:rFonts w:cs="Times New Roman"/>
          <w:b/>
        </w:rPr>
      </w:pPr>
      <w:r w:rsidRPr="006A70A3">
        <w:rPr>
          <w:rFonts w:cs="Times New Roman"/>
          <w:b/>
          <w:color w:val="000000" w:themeColor="text1"/>
        </w:rPr>
        <w:t>DFAT Strategic, Performance and Broad-based program</w:t>
      </w:r>
      <w:r w:rsidRPr="006A70A3">
        <w:rPr>
          <w:rFonts w:cs="Times New Roman"/>
          <w:b/>
        </w:rPr>
        <w:t xml:space="preserve"> </w:t>
      </w:r>
    </w:p>
    <w:p w:rsidR="00DD75B4" w:rsidRPr="006A70A3" w:rsidRDefault="00DD75B4" w:rsidP="006A70A3">
      <w:pPr>
        <w:tabs>
          <w:tab w:val="left" w:pos="1659"/>
        </w:tabs>
        <w:rPr>
          <w:rFonts w:cs="Times New Roman"/>
        </w:rPr>
      </w:pPr>
      <w:r w:rsidRPr="006A70A3">
        <w:rPr>
          <w:rFonts w:cs="Times New Roman"/>
        </w:rPr>
        <w:t xml:space="preserve">Brendan Peace, Rebecca Gibbs, Scott </w:t>
      </w:r>
      <w:proofErr w:type="spellStart"/>
      <w:r w:rsidRPr="006A70A3">
        <w:rPr>
          <w:rFonts w:cs="Times New Roman"/>
        </w:rPr>
        <w:t>McNara</w:t>
      </w:r>
      <w:proofErr w:type="spellEnd"/>
      <w:r w:rsidRPr="006A70A3">
        <w:rPr>
          <w:rFonts w:cs="Times New Roman"/>
        </w:rPr>
        <w:t xml:space="preserve">, Moses </w:t>
      </w:r>
      <w:proofErr w:type="spellStart"/>
      <w:r w:rsidRPr="006A70A3">
        <w:rPr>
          <w:rFonts w:cs="Times New Roman"/>
        </w:rPr>
        <w:t>Tongare</w:t>
      </w:r>
      <w:proofErr w:type="spellEnd"/>
      <w:r w:rsidRPr="006A70A3">
        <w:rPr>
          <w:rFonts w:cs="Times New Roman"/>
        </w:rPr>
        <w:t xml:space="preserve">, Fred </w:t>
      </w:r>
      <w:proofErr w:type="spellStart"/>
      <w:r w:rsidRPr="006A70A3">
        <w:rPr>
          <w:rFonts w:cs="Times New Roman"/>
        </w:rPr>
        <w:t>Saeni</w:t>
      </w:r>
      <w:proofErr w:type="spellEnd"/>
      <w:r w:rsidRPr="006A70A3">
        <w:rPr>
          <w:rFonts w:cs="Times New Roman"/>
        </w:rPr>
        <w:t xml:space="preserve">, Edward Suinao, and Eric </w:t>
      </w:r>
      <w:proofErr w:type="spellStart"/>
      <w:r w:rsidRPr="006A70A3">
        <w:rPr>
          <w:rFonts w:cs="Times New Roman"/>
        </w:rPr>
        <w:t>Lui</w:t>
      </w:r>
      <w:proofErr w:type="spellEnd"/>
    </w:p>
    <w:p w:rsidR="00DD75B4" w:rsidRPr="006A70A3" w:rsidRDefault="00DD75B4" w:rsidP="006A70A3">
      <w:pPr>
        <w:rPr>
          <w:rFonts w:cs="Times New Roman"/>
        </w:rPr>
      </w:pPr>
    </w:p>
    <w:p w:rsidR="00DD75B4" w:rsidRPr="006A70A3" w:rsidRDefault="00DD75B4" w:rsidP="006A70A3">
      <w:pPr>
        <w:rPr>
          <w:rFonts w:cs="Times New Roman"/>
          <w:b/>
          <w:color w:val="0D0D0D" w:themeColor="text1" w:themeTint="F2"/>
        </w:rPr>
      </w:pPr>
      <w:r w:rsidRPr="006A70A3">
        <w:rPr>
          <w:rFonts w:cs="Times New Roman"/>
          <w:b/>
          <w:color w:val="0D0D0D" w:themeColor="text1" w:themeTint="F2"/>
        </w:rPr>
        <w:t xml:space="preserve">DFAT Health/Education Sector Program </w:t>
      </w:r>
    </w:p>
    <w:p w:rsidR="00DD75B4" w:rsidRPr="006A70A3" w:rsidRDefault="00DD75B4" w:rsidP="006A70A3">
      <w:pPr>
        <w:rPr>
          <w:rFonts w:cs="Times New Roman"/>
          <w:color w:val="FF0000"/>
        </w:rPr>
      </w:pPr>
      <w:proofErr w:type="gramStart"/>
      <w:r w:rsidRPr="006A70A3">
        <w:rPr>
          <w:rFonts w:cs="Times New Roman"/>
          <w:color w:val="0D0D0D" w:themeColor="text1" w:themeTint="F2"/>
        </w:rPr>
        <w:t xml:space="preserve">Kirsten Hawke, Jane </w:t>
      </w:r>
      <w:proofErr w:type="spellStart"/>
      <w:r w:rsidRPr="006A70A3">
        <w:rPr>
          <w:rFonts w:cs="Times New Roman"/>
          <w:color w:val="0D0D0D" w:themeColor="text1" w:themeTint="F2"/>
        </w:rPr>
        <w:t>Bastin-Sikimeti</w:t>
      </w:r>
      <w:proofErr w:type="spellEnd"/>
      <w:r w:rsidRPr="006A70A3">
        <w:rPr>
          <w:rFonts w:cs="Times New Roman"/>
          <w:color w:val="0D0D0D" w:themeColor="text1" w:themeTint="F2"/>
        </w:rPr>
        <w:t xml:space="preserve">, David Kelly </w:t>
      </w:r>
      <w:r w:rsidRPr="006A70A3">
        <w:rPr>
          <w:rFonts w:cs="Times New Roman"/>
          <w:color w:val="000000" w:themeColor="text1"/>
        </w:rPr>
        <w:t xml:space="preserve">and Financial Advisors – Maude </w:t>
      </w:r>
      <w:proofErr w:type="spellStart"/>
      <w:r w:rsidRPr="006A70A3">
        <w:rPr>
          <w:rFonts w:cs="Times New Roman"/>
          <w:color w:val="000000" w:themeColor="text1"/>
        </w:rPr>
        <w:t>Ruesh</w:t>
      </w:r>
      <w:proofErr w:type="spellEnd"/>
      <w:r w:rsidRPr="006A70A3">
        <w:rPr>
          <w:rFonts w:cs="Times New Roman"/>
          <w:color w:val="000000" w:themeColor="text1"/>
        </w:rPr>
        <w:t>, Michael Whyatt, Tony Higgins and Vivien Yu.</w:t>
      </w:r>
      <w:proofErr w:type="gramEnd"/>
      <w:r w:rsidRPr="006A70A3">
        <w:rPr>
          <w:rFonts w:cs="Times New Roman"/>
          <w:color w:val="FF0000"/>
        </w:rPr>
        <w:t xml:space="preserve"> </w:t>
      </w:r>
    </w:p>
    <w:p w:rsidR="00DD75B4" w:rsidRPr="006A70A3" w:rsidRDefault="00DD75B4" w:rsidP="006A70A3">
      <w:pPr>
        <w:rPr>
          <w:rFonts w:cs="Times New Roman"/>
          <w:color w:val="0D0D0D" w:themeColor="text1" w:themeTint="F2"/>
        </w:rPr>
      </w:pPr>
    </w:p>
    <w:p w:rsidR="00DD75B4" w:rsidRPr="006A70A3" w:rsidRDefault="00DD75B4" w:rsidP="006A70A3">
      <w:pPr>
        <w:rPr>
          <w:rFonts w:cs="Times New Roman"/>
          <w:b/>
          <w:color w:val="0D0D0D" w:themeColor="text1" w:themeTint="F2"/>
        </w:rPr>
      </w:pPr>
      <w:r w:rsidRPr="006A70A3">
        <w:rPr>
          <w:rFonts w:cs="Times New Roman"/>
          <w:b/>
          <w:color w:val="0D0D0D" w:themeColor="text1" w:themeTint="F2"/>
        </w:rPr>
        <w:t xml:space="preserve">DFAT Law and Justice Program </w:t>
      </w:r>
    </w:p>
    <w:p w:rsidR="00E256D6" w:rsidRDefault="00DD75B4" w:rsidP="006A70A3">
      <w:pPr>
        <w:rPr>
          <w:rFonts w:asciiTheme="minorHAnsi" w:hAnsiTheme="minorHAnsi"/>
          <w:color w:val="0D0D0D" w:themeColor="text1" w:themeTint="F2"/>
        </w:rPr>
      </w:pPr>
      <w:r w:rsidRPr="006A70A3">
        <w:rPr>
          <w:rFonts w:cs="Times New Roman"/>
          <w:color w:val="0D0D0D" w:themeColor="text1" w:themeTint="F2"/>
        </w:rPr>
        <w:t xml:space="preserve">Rochelle White, </w:t>
      </w:r>
      <w:proofErr w:type="spellStart"/>
      <w:r w:rsidRPr="006A70A3">
        <w:rPr>
          <w:rFonts w:cs="Times New Roman"/>
          <w:color w:val="0D0D0D" w:themeColor="text1" w:themeTint="F2"/>
        </w:rPr>
        <w:t>Sarak</w:t>
      </w:r>
      <w:proofErr w:type="spellEnd"/>
      <w:r w:rsidRPr="006A70A3">
        <w:rPr>
          <w:rFonts w:cs="Times New Roman"/>
          <w:color w:val="0D0D0D" w:themeColor="text1" w:themeTint="F2"/>
        </w:rPr>
        <w:t xml:space="preserve"> </w:t>
      </w:r>
      <w:proofErr w:type="spellStart"/>
      <w:r w:rsidRPr="006A70A3">
        <w:rPr>
          <w:rFonts w:cs="Times New Roman"/>
          <w:color w:val="0D0D0D" w:themeColor="text1" w:themeTint="F2"/>
        </w:rPr>
        <w:t>Kennott</w:t>
      </w:r>
      <w:proofErr w:type="spellEnd"/>
      <w:r w:rsidRPr="006A70A3">
        <w:rPr>
          <w:rFonts w:cs="Times New Roman"/>
          <w:color w:val="0D0D0D" w:themeColor="text1" w:themeTint="F2"/>
        </w:rPr>
        <w:t xml:space="preserve">, Robin Perry, Jessica Suri and Brown </w:t>
      </w:r>
      <w:proofErr w:type="spellStart"/>
      <w:r w:rsidRPr="006A70A3">
        <w:rPr>
          <w:rFonts w:cs="Times New Roman"/>
          <w:color w:val="0D0D0D" w:themeColor="text1" w:themeTint="F2"/>
        </w:rPr>
        <w:t>Onahikeni</w:t>
      </w:r>
      <w:proofErr w:type="spellEnd"/>
    </w:p>
    <w:p w:rsidR="00E256D6" w:rsidRDefault="00E256D6" w:rsidP="006A70A3">
      <w:pPr>
        <w:rPr>
          <w:rFonts w:asciiTheme="minorHAnsi" w:hAnsiTheme="minorHAnsi"/>
          <w:color w:val="0D0D0D" w:themeColor="text1" w:themeTint="F2"/>
        </w:rPr>
      </w:pPr>
    </w:p>
    <w:p w:rsidR="00E256D6" w:rsidRDefault="00E256D6" w:rsidP="00D62A32">
      <w:pPr>
        <w:rPr>
          <w:lang w:val="en-AU"/>
        </w:rPr>
      </w:pPr>
    </w:p>
    <w:p w:rsidR="00E256D6" w:rsidRDefault="00E256D6" w:rsidP="00D62A32">
      <w:pPr>
        <w:rPr>
          <w:lang w:val="en-AU"/>
        </w:rPr>
      </w:pPr>
    </w:p>
    <w:p w:rsidR="00E256D6" w:rsidRDefault="00E256D6" w:rsidP="00D62A32">
      <w:pPr>
        <w:rPr>
          <w:rFonts w:cs="Times New Roman"/>
          <w:lang w:val="en-AU"/>
        </w:rPr>
      </w:pPr>
    </w:p>
    <w:p w:rsidR="00E256D6" w:rsidRDefault="00E256D6" w:rsidP="00D62A32">
      <w:pPr>
        <w:rPr>
          <w:rFonts w:cs="Times New Roman"/>
          <w:lang w:val="en-AU"/>
        </w:rPr>
      </w:pPr>
    </w:p>
    <w:p w:rsidR="00E256D6" w:rsidRDefault="00E256D6" w:rsidP="00D62A32">
      <w:pPr>
        <w:rPr>
          <w:lang w:val="en-AU"/>
        </w:rPr>
      </w:pPr>
    </w:p>
    <w:p w:rsidR="00E256D6" w:rsidRDefault="00E256D6" w:rsidP="00D62A32">
      <w:pPr>
        <w:rPr>
          <w:lang w:val="en-AU"/>
        </w:rPr>
      </w:pPr>
    </w:p>
    <w:p w:rsidR="001E6CFC" w:rsidRPr="00F71B40" w:rsidRDefault="001E6CFC" w:rsidP="00D62A32">
      <w:pPr>
        <w:rPr>
          <w:rFonts w:cs="Times New Roman"/>
          <w:lang w:val="en-AU"/>
        </w:rPr>
      </w:pPr>
    </w:p>
    <w:p w:rsidR="001E6CFC" w:rsidRPr="00F71B40" w:rsidRDefault="001E6CFC" w:rsidP="00D62A32">
      <w:pPr>
        <w:rPr>
          <w:rFonts w:cs="Times New Roman"/>
          <w:lang w:val="en-AU"/>
        </w:rPr>
      </w:pPr>
    </w:p>
    <w:p w:rsidR="001E6CFC" w:rsidRPr="00F71B40" w:rsidRDefault="001E6CFC" w:rsidP="00D62A32">
      <w:pPr>
        <w:rPr>
          <w:rFonts w:asciiTheme="majorHAnsi" w:eastAsiaTheme="majorEastAsia" w:hAnsiTheme="majorHAnsi" w:cstheme="majorBidi"/>
          <w:b/>
          <w:bCs/>
          <w:color w:val="365F91" w:themeColor="accent1" w:themeShade="BF"/>
          <w:sz w:val="28"/>
          <w:szCs w:val="28"/>
          <w:lang w:val="en-AU"/>
        </w:rPr>
      </w:pPr>
      <w:bookmarkStart w:id="106" w:name="_Toc394676774"/>
      <w:r w:rsidRPr="00F71B40">
        <w:rPr>
          <w:lang w:val="en-AU"/>
        </w:rPr>
        <w:br w:type="page"/>
      </w:r>
    </w:p>
    <w:p w:rsidR="001E6CFC" w:rsidRPr="00F71B40" w:rsidRDefault="001E6CFC" w:rsidP="00F74071">
      <w:pPr>
        <w:pStyle w:val="Heading1"/>
        <w:numPr>
          <w:ilvl w:val="0"/>
          <w:numId w:val="0"/>
        </w:numPr>
        <w:rPr>
          <w:lang w:val="en-AU"/>
        </w:rPr>
      </w:pPr>
      <w:bookmarkStart w:id="107" w:name="_Toc393458281"/>
      <w:bookmarkStart w:id="108" w:name="_Toc394676791"/>
      <w:bookmarkStart w:id="109" w:name="_Toc399410410"/>
      <w:bookmarkEnd w:id="106"/>
      <w:r w:rsidRPr="00F71B40">
        <w:rPr>
          <w:lang w:val="en-AU"/>
        </w:rPr>
        <w:lastRenderedPageBreak/>
        <w:t>References</w:t>
      </w:r>
      <w:bookmarkEnd w:id="107"/>
      <w:bookmarkEnd w:id="108"/>
      <w:bookmarkEnd w:id="109"/>
    </w:p>
    <w:p w:rsidR="00115AC9" w:rsidRPr="0098305E" w:rsidRDefault="00115AC9" w:rsidP="0069723F">
      <w:pPr>
        <w:rPr>
          <w:rFonts w:cs="Times New Roman"/>
          <w:noProof/>
          <w:sz w:val="20"/>
          <w:szCs w:val="20"/>
          <w:lang w:val="en-AU"/>
        </w:rPr>
      </w:pPr>
    </w:p>
    <w:p w:rsidR="00CC56DB" w:rsidRPr="006A70A3" w:rsidRDefault="00115AC9" w:rsidP="00CC56DB">
      <w:pPr>
        <w:pStyle w:val="EndNoteBibliography"/>
        <w:ind w:left="720" w:hanging="720"/>
        <w:rPr>
          <w:sz w:val="20"/>
          <w:szCs w:val="20"/>
        </w:rPr>
      </w:pPr>
      <w:r w:rsidRPr="006A70A3">
        <w:rPr>
          <w:sz w:val="20"/>
          <w:szCs w:val="20"/>
          <w:lang w:val="en-AU"/>
        </w:rPr>
        <w:fldChar w:fldCharType="begin"/>
      </w:r>
      <w:r w:rsidRPr="006A70A3">
        <w:rPr>
          <w:sz w:val="20"/>
          <w:szCs w:val="20"/>
          <w:lang w:val="en-AU"/>
        </w:rPr>
        <w:instrText xml:space="preserve"> ADDIN EN.REFLIST </w:instrText>
      </w:r>
      <w:r w:rsidRPr="006A70A3">
        <w:rPr>
          <w:sz w:val="20"/>
          <w:szCs w:val="20"/>
          <w:lang w:val="en-AU"/>
        </w:rPr>
        <w:fldChar w:fldCharType="separate"/>
      </w:r>
      <w:bookmarkStart w:id="110" w:name="_ENREF_1"/>
      <w:r w:rsidR="00CC56DB" w:rsidRPr="006A70A3">
        <w:rPr>
          <w:sz w:val="20"/>
          <w:szCs w:val="20"/>
        </w:rPr>
        <w:t>Allen, M. (2013). Long</w:t>
      </w:r>
      <w:r w:rsidR="00CC56DB" w:rsidRPr="006A70A3">
        <w:rPr>
          <w:rFonts w:ascii="MS Mincho" w:eastAsia="MS Mincho" w:hAnsi="MS Mincho" w:cs="MS Mincho" w:hint="eastAsia"/>
          <w:sz w:val="20"/>
          <w:szCs w:val="20"/>
        </w:rPr>
        <w:t>‑</w:t>
      </w:r>
      <w:r w:rsidR="00CC56DB" w:rsidRPr="006A70A3">
        <w:rPr>
          <w:sz w:val="20"/>
          <w:szCs w:val="20"/>
        </w:rPr>
        <w:t>Term Engagement: The Future of the Regional Assistance Mission to Solomon Islands. Barton ACT: Australian Strategic Policy Institute.</w:t>
      </w:r>
      <w:bookmarkEnd w:id="110"/>
    </w:p>
    <w:p w:rsidR="00CC56DB" w:rsidRPr="006A70A3" w:rsidRDefault="00CC56DB" w:rsidP="00CC56DB">
      <w:pPr>
        <w:pStyle w:val="EndNoteBibliography"/>
        <w:ind w:left="720" w:hanging="720"/>
        <w:rPr>
          <w:sz w:val="20"/>
          <w:szCs w:val="20"/>
        </w:rPr>
      </w:pPr>
      <w:bookmarkStart w:id="111" w:name="_ENREF_2"/>
      <w:r w:rsidRPr="006A70A3">
        <w:rPr>
          <w:sz w:val="20"/>
          <w:szCs w:val="20"/>
        </w:rPr>
        <w:t xml:space="preserve">Allen, M., Dinnen, S., Evan, D., &amp; Monson, R. (2013). Justice Delivered Locally - Systems, Challenges and Innovations </w:t>
      </w:r>
      <w:r w:rsidRPr="006A70A3">
        <w:rPr>
          <w:i/>
          <w:sz w:val="20"/>
          <w:szCs w:val="20"/>
        </w:rPr>
        <w:t>Justice for the Poor</w:t>
      </w:r>
      <w:r w:rsidRPr="006A70A3">
        <w:rPr>
          <w:sz w:val="20"/>
          <w:szCs w:val="20"/>
        </w:rPr>
        <w:t>. Washington DC: World Bank.</w:t>
      </w:r>
      <w:bookmarkEnd w:id="111"/>
    </w:p>
    <w:p w:rsidR="00CC56DB" w:rsidRPr="006A70A3" w:rsidRDefault="00CC56DB" w:rsidP="00CC56DB">
      <w:pPr>
        <w:pStyle w:val="EndNoteBibliography"/>
        <w:ind w:left="720" w:hanging="720"/>
        <w:rPr>
          <w:sz w:val="20"/>
          <w:szCs w:val="20"/>
        </w:rPr>
      </w:pPr>
      <w:bookmarkStart w:id="112" w:name="_ENREF_3"/>
      <w:r w:rsidRPr="006A70A3">
        <w:rPr>
          <w:sz w:val="20"/>
          <w:szCs w:val="20"/>
        </w:rPr>
        <w:t>Alonso, J., Clifton, J., &amp; Diaz-Fuentes, D. (2011). An Empirical Analysis of the Outsourcing and Decentralization Effects on Public Sector Size (COCOPS Working Paper No.4). Brussels: European Commission.</w:t>
      </w:r>
      <w:bookmarkEnd w:id="112"/>
    </w:p>
    <w:p w:rsidR="00CC56DB" w:rsidRPr="006A70A3" w:rsidRDefault="00CC56DB" w:rsidP="00CC56DB">
      <w:pPr>
        <w:pStyle w:val="EndNoteBibliography"/>
        <w:ind w:left="720" w:hanging="720"/>
        <w:rPr>
          <w:sz w:val="20"/>
          <w:szCs w:val="20"/>
        </w:rPr>
      </w:pPr>
      <w:bookmarkStart w:id="113" w:name="_ENREF_4"/>
      <w:r w:rsidRPr="006A70A3">
        <w:rPr>
          <w:sz w:val="20"/>
          <w:szCs w:val="20"/>
        </w:rPr>
        <w:t xml:space="preserve">Andrews, M. (2010). How Far Have Public Financial Management Reforms Come in Africa? </w:t>
      </w:r>
      <w:r w:rsidRPr="006A70A3">
        <w:rPr>
          <w:i/>
          <w:sz w:val="20"/>
          <w:szCs w:val="20"/>
        </w:rPr>
        <w:t>Faculty Research Working Paper Series</w:t>
      </w:r>
      <w:r w:rsidRPr="006A70A3">
        <w:rPr>
          <w:sz w:val="20"/>
          <w:szCs w:val="20"/>
        </w:rPr>
        <w:t>. Cambridge, Mass.: Harvard Kennedy School.</w:t>
      </w:r>
      <w:bookmarkEnd w:id="113"/>
    </w:p>
    <w:p w:rsidR="00CC56DB" w:rsidRPr="006A70A3" w:rsidRDefault="00CC56DB" w:rsidP="00CC56DB">
      <w:pPr>
        <w:pStyle w:val="EndNoteBibliography"/>
        <w:ind w:left="720" w:hanging="720"/>
        <w:rPr>
          <w:sz w:val="20"/>
          <w:szCs w:val="20"/>
        </w:rPr>
      </w:pPr>
      <w:bookmarkStart w:id="114" w:name="_ENREF_5"/>
      <w:r w:rsidRPr="006A70A3">
        <w:rPr>
          <w:sz w:val="20"/>
          <w:szCs w:val="20"/>
        </w:rPr>
        <w:t xml:space="preserve">Andrews, M. (2013). </w:t>
      </w:r>
      <w:r w:rsidRPr="006A70A3">
        <w:rPr>
          <w:i/>
          <w:sz w:val="20"/>
          <w:szCs w:val="20"/>
        </w:rPr>
        <w:t>The Limits of Institutional Reform in Development</w:t>
      </w:r>
      <w:r w:rsidRPr="006A70A3">
        <w:rPr>
          <w:sz w:val="20"/>
          <w:szCs w:val="20"/>
        </w:rPr>
        <w:t>. New York: Cambridge University Press.</w:t>
      </w:r>
      <w:bookmarkEnd w:id="114"/>
    </w:p>
    <w:p w:rsidR="00CC56DB" w:rsidRPr="006A70A3" w:rsidRDefault="00CC56DB" w:rsidP="00CC56DB">
      <w:pPr>
        <w:pStyle w:val="EndNoteBibliography"/>
        <w:ind w:left="720" w:hanging="720"/>
        <w:rPr>
          <w:sz w:val="20"/>
          <w:szCs w:val="20"/>
        </w:rPr>
      </w:pPr>
      <w:bookmarkStart w:id="115" w:name="_ENREF_6"/>
      <w:r w:rsidRPr="006A70A3">
        <w:rPr>
          <w:sz w:val="20"/>
          <w:szCs w:val="20"/>
        </w:rPr>
        <w:t>Andrews, M. (2014). Why Distributed End Users Often Limit Public Financial Management Reform Success. Cambridge, Mass.: Center for International Development at Harvard University.</w:t>
      </w:r>
      <w:bookmarkEnd w:id="115"/>
    </w:p>
    <w:p w:rsidR="00CC56DB" w:rsidRPr="006A70A3" w:rsidRDefault="00CC56DB" w:rsidP="00CC56DB">
      <w:pPr>
        <w:pStyle w:val="EndNoteBibliography"/>
        <w:ind w:left="720" w:hanging="720"/>
        <w:rPr>
          <w:sz w:val="20"/>
          <w:szCs w:val="20"/>
        </w:rPr>
      </w:pPr>
      <w:bookmarkStart w:id="116" w:name="_ENREF_7"/>
      <w:r w:rsidRPr="006A70A3">
        <w:rPr>
          <w:sz w:val="20"/>
          <w:szCs w:val="20"/>
        </w:rPr>
        <w:t xml:space="preserve">Asian Development Bank. (2014). Solomon Islands </w:t>
      </w:r>
      <w:r w:rsidRPr="006A70A3">
        <w:rPr>
          <w:i/>
          <w:sz w:val="20"/>
          <w:szCs w:val="20"/>
        </w:rPr>
        <w:t>Asian Development Outlook 2014: Fiscal Policy for Inclusive Growth</w:t>
      </w:r>
      <w:r w:rsidRPr="006A70A3">
        <w:rPr>
          <w:sz w:val="20"/>
          <w:szCs w:val="20"/>
        </w:rPr>
        <w:t xml:space="preserve"> (pp. 244-247). Manila: Asian Development Bank.</w:t>
      </w:r>
      <w:bookmarkEnd w:id="116"/>
    </w:p>
    <w:p w:rsidR="00CC56DB" w:rsidRPr="006A70A3" w:rsidRDefault="00CC56DB" w:rsidP="00CC56DB">
      <w:pPr>
        <w:pStyle w:val="EndNoteBibliography"/>
        <w:ind w:left="720" w:hanging="720"/>
        <w:rPr>
          <w:sz w:val="20"/>
          <w:szCs w:val="20"/>
        </w:rPr>
      </w:pPr>
      <w:bookmarkStart w:id="117" w:name="_ENREF_8"/>
      <w:r w:rsidRPr="006A70A3">
        <w:rPr>
          <w:sz w:val="20"/>
          <w:szCs w:val="20"/>
        </w:rPr>
        <w:t>AusAID. (2007). Governance for Growth Program: Design Document. Canberra: AusAID.</w:t>
      </w:r>
      <w:bookmarkEnd w:id="117"/>
    </w:p>
    <w:p w:rsidR="00CC56DB" w:rsidRPr="006A70A3" w:rsidRDefault="00CC56DB" w:rsidP="00CC56DB">
      <w:pPr>
        <w:pStyle w:val="EndNoteBibliography"/>
        <w:ind w:left="720" w:hanging="720"/>
        <w:rPr>
          <w:sz w:val="20"/>
          <w:szCs w:val="20"/>
        </w:rPr>
      </w:pPr>
      <w:bookmarkStart w:id="118" w:name="_ENREF_9"/>
      <w:r w:rsidRPr="006A70A3">
        <w:rPr>
          <w:sz w:val="20"/>
          <w:szCs w:val="20"/>
        </w:rPr>
        <w:t xml:space="preserve">AusAID. (2009). </w:t>
      </w:r>
      <w:r w:rsidRPr="006A70A3">
        <w:rPr>
          <w:i/>
          <w:sz w:val="20"/>
          <w:szCs w:val="20"/>
        </w:rPr>
        <w:t>Annual Program Performance Report for Solomon Islands 2008</w:t>
      </w:r>
      <w:r w:rsidRPr="006A70A3">
        <w:rPr>
          <w:sz w:val="20"/>
          <w:szCs w:val="20"/>
        </w:rPr>
        <w:t>. Canberra: AusAID.</w:t>
      </w:r>
      <w:bookmarkEnd w:id="118"/>
    </w:p>
    <w:p w:rsidR="00CC56DB" w:rsidRPr="006A70A3" w:rsidRDefault="00CC56DB" w:rsidP="00CC56DB">
      <w:pPr>
        <w:pStyle w:val="EndNoteBibliography"/>
        <w:ind w:left="720" w:hanging="720"/>
        <w:rPr>
          <w:sz w:val="20"/>
          <w:szCs w:val="20"/>
        </w:rPr>
      </w:pPr>
      <w:bookmarkStart w:id="119" w:name="_ENREF_10"/>
      <w:r w:rsidRPr="006A70A3">
        <w:rPr>
          <w:sz w:val="20"/>
          <w:szCs w:val="20"/>
        </w:rPr>
        <w:t>AusAID. (2012a). Investment Concept: Solomon Islands Economic and Public Sector Governance Program. Canberra: AusAID.</w:t>
      </w:r>
      <w:bookmarkEnd w:id="119"/>
    </w:p>
    <w:p w:rsidR="00CC56DB" w:rsidRPr="006A70A3" w:rsidRDefault="00CC56DB" w:rsidP="00CC56DB">
      <w:pPr>
        <w:pStyle w:val="EndNoteBibliography"/>
        <w:ind w:left="720" w:hanging="720"/>
        <w:rPr>
          <w:sz w:val="20"/>
          <w:szCs w:val="20"/>
        </w:rPr>
      </w:pPr>
      <w:bookmarkStart w:id="120" w:name="_ENREF_11"/>
      <w:r w:rsidRPr="006A70A3">
        <w:rPr>
          <w:sz w:val="20"/>
          <w:szCs w:val="20"/>
        </w:rPr>
        <w:t>AusAID. (2012b). Sustainable Economic Development, Private Sector Development, Thematic Strategy. Canberra: AusAID.</w:t>
      </w:r>
      <w:bookmarkEnd w:id="120"/>
    </w:p>
    <w:p w:rsidR="00CC56DB" w:rsidRPr="006A70A3" w:rsidRDefault="00CC56DB" w:rsidP="00CC56DB">
      <w:pPr>
        <w:pStyle w:val="EndNoteBibliography"/>
        <w:ind w:left="720" w:hanging="720"/>
        <w:rPr>
          <w:sz w:val="20"/>
          <w:szCs w:val="20"/>
        </w:rPr>
      </w:pPr>
      <w:bookmarkStart w:id="121" w:name="_ENREF_12"/>
      <w:r w:rsidRPr="006A70A3">
        <w:rPr>
          <w:sz w:val="20"/>
          <w:szCs w:val="20"/>
        </w:rPr>
        <w:t>AusAID. (2012c). Timor-Leste: Governance for Development Investment Design. Canberra: AusAID.</w:t>
      </w:r>
      <w:bookmarkEnd w:id="121"/>
    </w:p>
    <w:p w:rsidR="00CC56DB" w:rsidRPr="006A70A3" w:rsidRDefault="00CC56DB" w:rsidP="00CC56DB">
      <w:pPr>
        <w:pStyle w:val="EndNoteBibliography"/>
        <w:ind w:left="720" w:hanging="720"/>
        <w:rPr>
          <w:sz w:val="20"/>
          <w:szCs w:val="20"/>
        </w:rPr>
      </w:pPr>
      <w:bookmarkStart w:id="122" w:name="_ENREF_13"/>
      <w:r w:rsidRPr="006A70A3">
        <w:rPr>
          <w:sz w:val="20"/>
          <w:szCs w:val="20"/>
        </w:rPr>
        <w:t>AusAID. (2013). Delivery Strategy: Solomon Islands Economic and Public Sector Governance Program (SIGOV) 2013-4 to 2017-18. Canberra AusAID.</w:t>
      </w:r>
      <w:bookmarkEnd w:id="122"/>
    </w:p>
    <w:p w:rsidR="00CC56DB" w:rsidRPr="006A70A3" w:rsidRDefault="00CC56DB" w:rsidP="00CC56DB">
      <w:pPr>
        <w:pStyle w:val="EndNoteBibliography"/>
        <w:ind w:left="720" w:hanging="720"/>
        <w:rPr>
          <w:sz w:val="20"/>
          <w:szCs w:val="20"/>
        </w:rPr>
      </w:pPr>
      <w:bookmarkStart w:id="123" w:name="_ENREF_14"/>
      <w:r w:rsidRPr="006A70A3">
        <w:rPr>
          <w:sz w:val="20"/>
          <w:szCs w:val="20"/>
        </w:rPr>
        <w:t>AusAID. (n/k). Vanuatu Governance for Growth Design Summary Canberra: AusAID.</w:t>
      </w:r>
      <w:bookmarkEnd w:id="123"/>
    </w:p>
    <w:p w:rsidR="00CC56DB" w:rsidRPr="006A70A3" w:rsidRDefault="00CC56DB" w:rsidP="00CC56DB">
      <w:pPr>
        <w:pStyle w:val="EndNoteBibliography"/>
        <w:ind w:left="720" w:hanging="720"/>
        <w:rPr>
          <w:sz w:val="20"/>
          <w:szCs w:val="20"/>
        </w:rPr>
      </w:pPr>
      <w:bookmarkStart w:id="124" w:name="_ENREF_15"/>
      <w:r w:rsidRPr="006A70A3">
        <w:rPr>
          <w:sz w:val="20"/>
          <w:szCs w:val="20"/>
        </w:rPr>
        <w:t>AusAID and the Government of Vanuatu. (2011). Governance for Growth: Mid-Term Review. Canberra: AusAID.</w:t>
      </w:r>
      <w:bookmarkEnd w:id="124"/>
    </w:p>
    <w:p w:rsidR="00CC56DB" w:rsidRPr="006A70A3" w:rsidRDefault="00CC56DB" w:rsidP="00CC56DB">
      <w:pPr>
        <w:pStyle w:val="EndNoteBibliography"/>
        <w:ind w:left="720" w:hanging="720"/>
        <w:rPr>
          <w:sz w:val="20"/>
          <w:szCs w:val="20"/>
        </w:rPr>
      </w:pPr>
      <w:bookmarkStart w:id="125" w:name="_ENREF_16"/>
      <w:r w:rsidRPr="006A70A3">
        <w:rPr>
          <w:sz w:val="20"/>
          <w:szCs w:val="20"/>
        </w:rPr>
        <w:t>Australian Government. (2013a). Aid Program Performance Report 2012−13: Regional Assistance Mission Solomon Islands. Honiara: RAMSI.</w:t>
      </w:r>
      <w:bookmarkEnd w:id="125"/>
    </w:p>
    <w:p w:rsidR="00CC56DB" w:rsidRPr="006A70A3" w:rsidRDefault="00CC56DB" w:rsidP="00CC56DB">
      <w:pPr>
        <w:pStyle w:val="EndNoteBibliography"/>
        <w:ind w:left="720" w:hanging="720"/>
        <w:rPr>
          <w:sz w:val="20"/>
          <w:szCs w:val="20"/>
        </w:rPr>
      </w:pPr>
      <w:bookmarkStart w:id="126" w:name="_ENREF_17"/>
      <w:r w:rsidRPr="006A70A3">
        <w:rPr>
          <w:sz w:val="20"/>
          <w:szCs w:val="20"/>
        </w:rPr>
        <w:t>Australian Government. (2013b). Aid Program Performance Report 2012−13: Solomon Islands. Canberra: Department of Foreign Affairs and Trade.</w:t>
      </w:r>
      <w:bookmarkEnd w:id="126"/>
    </w:p>
    <w:p w:rsidR="00CC56DB" w:rsidRPr="006A70A3" w:rsidRDefault="00CC56DB" w:rsidP="00CC56DB">
      <w:pPr>
        <w:pStyle w:val="EndNoteBibliography"/>
        <w:ind w:left="720" w:hanging="720"/>
        <w:rPr>
          <w:sz w:val="20"/>
          <w:szCs w:val="20"/>
        </w:rPr>
      </w:pPr>
      <w:bookmarkStart w:id="127" w:name="_ENREF_18"/>
      <w:r w:rsidRPr="006A70A3">
        <w:rPr>
          <w:sz w:val="20"/>
          <w:szCs w:val="20"/>
        </w:rPr>
        <w:t xml:space="preserve">Australian Public Service Commission. (2013). Working with the Government and the Parliament. 2014, from </w:t>
      </w:r>
      <w:hyperlink r:id="rId28" w:history="1">
        <w:r w:rsidRPr="006A70A3">
          <w:rPr>
            <w:rStyle w:val="Hyperlink"/>
            <w:sz w:val="20"/>
            <w:szCs w:val="20"/>
          </w:rPr>
          <w:t>http://www.apsc.gov.au/publications-and-media/current-publications/aps-values-and-code-of-conduct-in-practice/working-with-the-government-and-the-parliament</w:t>
        </w:r>
        <w:bookmarkEnd w:id="127"/>
      </w:hyperlink>
    </w:p>
    <w:p w:rsidR="00CC56DB" w:rsidRPr="006A70A3" w:rsidRDefault="00CC56DB" w:rsidP="00CC56DB">
      <w:pPr>
        <w:pStyle w:val="EndNoteBibliography"/>
        <w:ind w:left="720" w:hanging="720"/>
        <w:rPr>
          <w:sz w:val="20"/>
          <w:szCs w:val="20"/>
        </w:rPr>
      </w:pPr>
      <w:bookmarkStart w:id="128" w:name="_ENREF_19"/>
      <w:r w:rsidRPr="006A70A3">
        <w:rPr>
          <w:sz w:val="20"/>
          <w:szCs w:val="20"/>
        </w:rPr>
        <w:t xml:space="preserve">Barbara, J. (2014). From Intervention to Partnership—Prospects for Development Partnership in Solomon Islands after the RAMSI. </w:t>
      </w:r>
      <w:r w:rsidRPr="006A70A3">
        <w:rPr>
          <w:i/>
          <w:sz w:val="20"/>
          <w:szCs w:val="20"/>
        </w:rPr>
        <w:t>Asia &amp; the Pacific Policy Studies, 1</w:t>
      </w:r>
      <w:r w:rsidRPr="006A70A3">
        <w:rPr>
          <w:sz w:val="20"/>
          <w:szCs w:val="20"/>
        </w:rPr>
        <w:t xml:space="preserve">(2), 395–408. </w:t>
      </w:r>
      <w:bookmarkEnd w:id="128"/>
    </w:p>
    <w:p w:rsidR="00CC56DB" w:rsidRPr="006A70A3" w:rsidRDefault="00CC56DB" w:rsidP="00CC56DB">
      <w:pPr>
        <w:pStyle w:val="EndNoteBibliography"/>
        <w:ind w:left="720" w:hanging="720"/>
        <w:rPr>
          <w:sz w:val="20"/>
          <w:szCs w:val="20"/>
        </w:rPr>
      </w:pPr>
      <w:bookmarkStart w:id="129" w:name="_ENREF_20"/>
      <w:r w:rsidRPr="006A70A3">
        <w:rPr>
          <w:sz w:val="20"/>
          <w:szCs w:val="20"/>
        </w:rPr>
        <w:t xml:space="preserve">Barma, N. H., Huybens, E., &amp; Viñuela, L. (2014). </w:t>
      </w:r>
      <w:r w:rsidRPr="006A70A3">
        <w:rPr>
          <w:i/>
          <w:sz w:val="20"/>
          <w:szCs w:val="20"/>
        </w:rPr>
        <w:t>Institutions Taking Root: Building State Capacity in Challenging Contexts</w:t>
      </w:r>
      <w:r w:rsidRPr="006A70A3">
        <w:rPr>
          <w:sz w:val="20"/>
          <w:szCs w:val="20"/>
        </w:rPr>
        <w:t>. Washington DC: World Bank.</w:t>
      </w:r>
      <w:bookmarkEnd w:id="129"/>
    </w:p>
    <w:p w:rsidR="00CC56DB" w:rsidRPr="006A70A3" w:rsidRDefault="00CC56DB" w:rsidP="00CC56DB">
      <w:pPr>
        <w:pStyle w:val="EndNoteBibliography"/>
        <w:ind w:left="720" w:hanging="720"/>
        <w:rPr>
          <w:sz w:val="20"/>
          <w:szCs w:val="20"/>
        </w:rPr>
      </w:pPr>
      <w:bookmarkStart w:id="130" w:name="_ENREF_21"/>
      <w:r w:rsidRPr="006A70A3">
        <w:rPr>
          <w:sz w:val="20"/>
          <w:szCs w:val="20"/>
        </w:rPr>
        <w:t>Baser, H. (2007). Provision of Technical Assistance Personnel in the Solomon Islands: What Can We Learn from the RAMSI Experience? Maastricht: European Centre for Development Policy Management.</w:t>
      </w:r>
      <w:bookmarkEnd w:id="130"/>
    </w:p>
    <w:p w:rsidR="00CC56DB" w:rsidRPr="006A70A3" w:rsidRDefault="00CC56DB" w:rsidP="00CC56DB">
      <w:pPr>
        <w:pStyle w:val="EndNoteBibliography"/>
        <w:ind w:left="720" w:hanging="720"/>
        <w:rPr>
          <w:sz w:val="20"/>
          <w:szCs w:val="20"/>
        </w:rPr>
      </w:pPr>
      <w:bookmarkStart w:id="131" w:name="_ENREF_22"/>
      <w:r w:rsidRPr="006A70A3">
        <w:rPr>
          <w:sz w:val="20"/>
          <w:szCs w:val="20"/>
        </w:rPr>
        <w:t>Bazeley, P., David, R., &amp; Kabutaulaka, T. T. (2013). Solomon Islands – Australia Partnership for Development: Independent Performance Assessment Panel Assessment for 2012. Canberra: AusAID.</w:t>
      </w:r>
      <w:bookmarkEnd w:id="131"/>
    </w:p>
    <w:p w:rsidR="00CC56DB" w:rsidRPr="006A70A3" w:rsidRDefault="00CC56DB" w:rsidP="00CC56DB">
      <w:pPr>
        <w:pStyle w:val="EndNoteBibliography"/>
        <w:ind w:left="720" w:hanging="720"/>
        <w:rPr>
          <w:sz w:val="20"/>
          <w:szCs w:val="20"/>
        </w:rPr>
      </w:pPr>
      <w:bookmarkStart w:id="132" w:name="_ENREF_23"/>
      <w:r w:rsidRPr="006A70A3">
        <w:rPr>
          <w:sz w:val="20"/>
          <w:szCs w:val="20"/>
        </w:rPr>
        <w:t xml:space="preserve">Beisheim, M., Liese, A., Janetschek, H., &amp; Sarre, J. (2014). Transnational Partnerships: Conditions for Successful Service Provision in Areas of Limited Statehood. </w:t>
      </w:r>
      <w:r w:rsidRPr="006A70A3">
        <w:rPr>
          <w:i/>
          <w:sz w:val="20"/>
          <w:szCs w:val="20"/>
        </w:rPr>
        <w:t>Governance</w:t>
      </w:r>
      <w:r w:rsidRPr="006A70A3">
        <w:rPr>
          <w:sz w:val="20"/>
          <w:szCs w:val="20"/>
        </w:rPr>
        <w:t xml:space="preserve">. </w:t>
      </w:r>
      <w:bookmarkEnd w:id="132"/>
    </w:p>
    <w:p w:rsidR="00CC56DB" w:rsidRPr="006A70A3" w:rsidRDefault="00CC56DB" w:rsidP="00CC56DB">
      <w:pPr>
        <w:pStyle w:val="EndNoteBibliography"/>
        <w:ind w:left="720" w:hanging="720"/>
        <w:rPr>
          <w:sz w:val="20"/>
          <w:szCs w:val="20"/>
        </w:rPr>
      </w:pPr>
      <w:bookmarkStart w:id="133" w:name="_ENREF_24"/>
      <w:r w:rsidRPr="006A70A3">
        <w:rPr>
          <w:sz w:val="20"/>
          <w:szCs w:val="20"/>
        </w:rPr>
        <w:t>Bellina, S., Darbon, D., Eriksen, S. S., &amp; Sending, O. J. (2009). The Legitimacy of the State in Fragile Situations. Oslo: Norwegian Agency for Development Cooperation.</w:t>
      </w:r>
      <w:bookmarkEnd w:id="133"/>
    </w:p>
    <w:p w:rsidR="00CC56DB" w:rsidRPr="006A70A3" w:rsidRDefault="00CC56DB" w:rsidP="00CC56DB">
      <w:pPr>
        <w:pStyle w:val="EndNoteBibliography"/>
        <w:ind w:left="720" w:hanging="720"/>
        <w:rPr>
          <w:sz w:val="20"/>
          <w:szCs w:val="20"/>
        </w:rPr>
      </w:pPr>
      <w:bookmarkStart w:id="134" w:name="_ENREF_25"/>
      <w:r w:rsidRPr="006A70A3">
        <w:rPr>
          <w:sz w:val="20"/>
          <w:szCs w:val="20"/>
        </w:rPr>
        <w:t>Blum, J. R. (2014). What Factors Predict How Public Sector Projects Perform? A Review of the World Bank’s Public Sector Management Portfolio. Washington DC: World Bank.</w:t>
      </w:r>
      <w:bookmarkEnd w:id="134"/>
    </w:p>
    <w:p w:rsidR="00CC56DB" w:rsidRPr="006A70A3" w:rsidRDefault="00CC56DB" w:rsidP="00CC56DB">
      <w:pPr>
        <w:pStyle w:val="EndNoteBibliography"/>
        <w:ind w:left="720" w:hanging="720"/>
        <w:rPr>
          <w:sz w:val="20"/>
          <w:szCs w:val="20"/>
        </w:rPr>
      </w:pPr>
      <w:bookmarkStart w:id="135" w:name="_ENREF_26"/>
      <w:r w:rsidRPr="006A70A3">
        <w:rPr>
          <w:sz w:val="20"/>
          <w:szCs w:val="20"/>
        </w:rPr>
        <w:t>Booth, D. (2011). Working with the Grain and Swimming against the Tide: Barriers to Uptake of Research Findings on Governance and Public Services in Low-Income Africa. London: Overseas Development Institute.</w:t>
      </w:r>
      <w:bookmarkEnd w:id="135"/>
    </w:p>
    <w:p w:rsidR="00CC56DB" w:rsidRPr="006A70A3" w:rsidRDefault="00CC56DB" w:rsidP="00CC56DB">
      <w:pPr>
        <w:pStyle w:val="EndNoteBibliography"/>
        <w:ind w:left="720" w:hanging="720"/>
        <w:rPr>
          <w:sz w:val="20"/>
          <w:szCs w:val="20"/>
        </w:rPr>
      </w:pPr>
      <w:bookmarkStart w:id="136" w:name="_ENREF_27"/>
      <w:r w:rsidRPr="006A70A3">
        <w:rPr>
          <w:sz w:val="20"/>
          <w:szCs w:val="20"/>
        </w:rPr>
        <w:t>Booth, D. (2014). Aiding Institutional Reform in Developing Countries: Lessons from the Philippines on What Works, What Doesn't, and Why. London: Overseas Devlopment Institute.</w:t>
      </w:r>
      <w:bookmarkEnd w:id="136"/>
    </w:p>
    <w:p w:rsidR="00CC56DB" w:rsidRPr="006A70A3" w:rsidRDefault="00CC56DB" w:rsidP="00CC56DB">
      <w:pPr>
        <w:pStyle w:val="EndNoteBibliography"/>
        <w:ind w:left="720" w:hanging="720"/>
        <w:rPr>
          <w:sz w:val="20"/>
          <w:szCs w:val="20"/>
        </w:rPr>
      </w:pPr>
      <w:bookmarkStart w:id="137" w:name="_ENREF_28"/>
      <w:r w:rsidRPr="006A70A3">
        <w:rPr>
          <w:sz w:val="20"/>
          <w:szCs w:val="20"/>
        </w:rPr>
        <w:t xml:space="preserve">Brigg, M. (2009). Wantokism and State Building in Solomon Islands: A Response to Fukuyama. </w:t>
      </w:r>
      <w:r w:rsidRPr="006A70A3">
        <w:rPr>
          <w:i/>
          <w:sz w:val="20"/>
          <w:szCs w:val="20"/>
        </w:rPr>
        <w:t>Pacific Economic Bulletin, 24</w:t>
      </w:r>
      <w:r w:rsidRPr="006A70A3">
        <w:rPr>
          <w:sz w:val="20"/>
          <w:szCs w:val="20"/>
        </w:rPr>
        <w:t xml:space="preserve">(3), 148-161. </w:t>
      </w:r>
      <w:bookmarkEnd w:id="137"/>
    </w:p>
    <w:p w:rsidR="00CC56DB" w:rsidRPr="006A70A3" w:rsidRDefault="00CC56DB" w:rsidP="00CC56DB">
      <w:pPr>
        <w:pStyle w:val="EndNoteBibliography"/>
        <w:ind w:left="720" w:hanging="720"/>
        <w:rPr>
          <w:sz w:val="20"/>
          <w:szCs w:val="20"/>
        </w:rPr>
      </w:pPr>
      <w:bookmarkStart w:id="138" w:name="_ENREF_29"/>
      <w:r w:rsidRPr="006A70A3">
        <w:rPr>
          <w:sz w:val="20"/>
          <w:szCs w:val="20"/>
        </w:rPr>
        <w:t>Brooke, P. (2003). Study of Measures Used to Address Weaknesses in Public Financial Management Systems in the Context of Policy Based Support. Washington DC: PEFA.</w:t>
      </w:r>
      <w:bookmarkEnd w:id="138"/>
    </w:p>
    <w:p w:rsidR="00CC56DB" w:rsidRPr="006A70A3" w:rsidRDefault="00CC56DB" w:rsidP="00CC56DB">
      <w:pPr>
        <w:pStyle w:val="EndNoteBibliography"/>
        <w:ind w:left="720" w:hanging="720"/>
        <w:rPr>
          <w:sz w:val="20"/>
          <w:szCs w:val="20"/>
        </w:rPr>
      </w:pPr>
      <w:bookmarkStart w:id="139" w:name="_ENREF_30"/>
      <w:r w:rsidRPr="006A70A3">
        <w:rPr>
          <w:sz w:val="20"/>
          <w:szCs w:val="20"/>
        </w:rPr>
        <w:lastRenderedPageBreak/>
        <w:t>Brown, T. (2012). Nation-Building in Solomon Islands: A Think Piece. London: IDL Group.</w:t>
      </w:r>
      <w:bookmarkEnd w:id="139"/>
    </w:p>
    <w:p w:rsidR="00CC56DB" w:rsidRPr="006A70A3" w:rsidRDefault="00CC56DB" w:rsidP="00CC56DB">
      <w:pPr>
        <w:pStyle w:val="EndNoteBibliography"/>
        <w:ind w:left="720" w:hanging="720"/>
        <w:rPr>
          <w:sz w:val="20"/>
          <w:szCs w:val="20"/>
        </w:rPr>
      </w:pPr>
      <w:bookmarkStart w:id="140" w:name="_ENREF_31"/>
      <w:r w:rsidRPr="006A70A3">
        <w:rPr>
          <w:sz w:val="20"/>
          <w:szCs w:val="20"/>
        </w:rPr>
        <w:t>Browne, E. (210). Reforming Budget Systems, a Practical Guide. Washington DC: UASAID.</w:t>
      </w:r>
      <w:bookmarkEnd w:id="140"/>
    </w:p>
    <w:p w:rsidR="00CC56DB" w:rsidRPr="006A70A3" w:rsidRDefault="00CC56DB" w:rsidP="00CC56DB">
      <w:pPr>
        <w:pStyle w:val="EndNoteBibliography"/>
        <w:ind w:left="720" w:hanging="720"/>
        <w:rPr>
          <w:sz w:val="20"/>
          <w:szCs w:val="20"/>
        </w:rPr>
      </w:pPr>
      <w:bookmarkStart w:id="141" w:name="_ENREF_32"/>
      <w:r w:rsidRPr="006A70A3">
        <w:rPr>
          <w:sz w:val="20"/>
          <w:szCs w:val="20"/>
        </w:rPr>
        <w:t xml:space="preserve">Butler, A. (2008). The Unrest in Honiara - an Australian Government Perspective. In S. Dinen &amp; S. Firth (Eds.), </w:t>
      </w:r>
      <w:r w:rsidRPr="006A70A3">
        <w:rPr>
          <w:i/>
          <w:sz w:val="20"/>
          <w:szCs w:val="20"/>
        </w:rPr>
        <w:t>Politics and Statebuilding in Solomon Islands</w:t>
      </w:r>
      <w:r w:rsidRPr="006A70A3">
        <w:rPr>
          <w:sz w:val="20"/>
          <w:szCs w:val="20"/>
        </w:rPr>
        <w:t xml:space="preserve"> (pp. 269-275). Caberra: Asia Pacific Press.</w:t>
      </w:r>
      <w:bookmarkEnd w:id="141"/>
    </w:p>
    <w:p w:rsidR="00CC56DB" w:rsidRPr="006A70A3" w:rsidRDefault="00CC56DB" w:rsidP="00CC56DB">
      <w:pPr>
        <w:pStyle w:val="EndNoteBibliography"/>
        <w:ind w:left="720" w:hanging="720"/>
        <w:rPr>
          <w:sz w:val="20"/>
          <w:szCs w:val="20"/>
        </w:rPr>
      </w:pPr>
      <w:bookmarkStart w:id="142" w:name="_ENREF_33"/>
      <w:r w:rsidRPr="006A70A3">
        <w:rPr>
          <w:sz w:val="20"/>
          <w:szCs w:val="20"/>
        </w:rPr>
        <w:t xml:space="preserve">Centre for the Future State. (2010). </w:t>
      </w:r>
      <w:r w:rsidRPr="006A70A3">
        <w:rPr>
          <w:i/>
          <w:sz w:val="20"/>
          <w:szCs w:val="20"/>
        </w:rPr>
        <w:t>An Upside Down View of Governance</w:t>
      </w:r>
      <w:r w:rsidRPr="006A70A3">
        <w:rPr>
          <w:sz w:val="20"/>
          <w:szCs w:val="20"/>
        </w:rPr>
        <w:t>. Brighton, Sussex: Institute of Development Studies.</w:t>
      </w:r>
      <w:bookmarkEnd w:id="142"/>
    </w:p>
    <w:p w:rsidR="00CC56DB" w:rsidRPr="006A70A3" w:rsidRDefault="00CC56DB" w:rsidP="00CC56DB">
      <w:pPr>
        <w:pStyle w:val="EndNoteBibliography"/>
        <w:ind w:left="720" w:hanging="720"/>
        <w:rPr>
          <w:sz w:val="20"/>
          <w:szCs w:val="20"/>
        </w:rPr>
      </w:pPr>
      <w:bookmarkStart w:id="143" w:name="_ENREF_34"/>
      <w:r w:rsidRPr="006A70A3">
        <w:rPr>
          <w:sz w:val="20"/>
          <w:szCs w:val="20"/>
        </w:rPr>
        <w:t>CEWG. (2013). Report of Fourth Annual Joint Review Mission. Honiara: Solomon Islands Core Economic Working Group.</w:t>
      </w:r>
      <w:bookmarkEnd w:id="143"/>
    </w:p>
    <w:p w:rsidR="00CC56DB" w:rsidRPr="006A70A3" w:rsidRDefault="00CC56DB" w:rsidP="00CC56DB">
      <w:pPr>
        <w:pStyle w:val="EndNoteBibliography"/>
        <w:ind w:left="720" w:hanging="720"/>
        <w:rPr>
          <w:sz w:val="20"/>
          <w:szCs w:val="20"/>
        </w:rPr>
      </w:pPr>
      <w:bookmarkStart w:id="144" w:name="_ENREF_35"/>
      <w:r w:rsidRPr="006A70A3">
        <w:rPr>
          <w:sz w:val="20"/>
          <w:szCs w:val="20"/>
        </w:rPr>
        <w:t xml:space="preserve">Cheeseman, N., Pablo Luna , J., Kitschelt, H., Paget, D., Rosenblatt, F., Sample, K., . . . Wang, Y.-t. (2014). </w:t>
      </w:r>
      <w:r w:rsidRPr="006A70A3">
        <w:rPr>
          <w:i/>
          <w:sz w:val="20"/>
          <w:szCs w:val="20"/>
        </w:rPr>
        <w:t>Politics Meets Policies: The Emergence of Programmatic Political Parties</w:t>
      </w:r>
      <w:r w:rsidRPr="006A70A3">
        <w:rPr>
          <w:sz w:val="20"/>
          <w:szCs w:val="20"/>
        </w:rPr>
        <w:t>. Stockholm: International Institute for Democracy and Electoral Assistance.</w:t>
      </w:r>
      <w:bookmarkEnd w:id="144"/>
    </w:p>
    <w:p w:rsidR="00CC56DB" w:rsidRPr="006A70A3" w:rsidRDefault="00CC56DB" w:rsidP="00CC56DB">
      <w:pPr>
        <w:pStyle w:val="EndNoteBibliography"/>
        <w:ind w:left="720" w:hanging="720"/>
        <w:rPr>
          <w:sz w:val="20"/>
          <w:szCs w:val="20"/>
        </w:rPr>
      </w:pPr>
      <w:bookmarkStart w:id="145" w:name="_ENREF_36"/>
      <w:r w:rsidRPr="006A70A3">
        <w:rPr>
          <w:sz w:val="20"/>
          <w:szCs w:val="20"/>
        </w:rPr>
        <w:t>Cochrane, C. (2013). Quality at Implementation Report for Solomon Islands Economic and Public Sector Governance Program (Includes Economic Governance and Machinery of Government Programs). Canberra: DFAT.</w:t>
      </w:r>
      <w:bookmarkEnd w:id="145"/>
    </w:p>
    <w:p w:rsidR="00CC56DB" w:rsidRPr="006A70A3" w:rsidRDefault="00CC56DB" w:rsidP="00CC56DB">
      <w:pPr>
        <w:pStyle w:val="EndNoteBibliography"/>
        <w:ind w:left="720" w:hanging="720"/>
        <w:rPr>
          <w:sz w:val="20"/>
          <w:szCs w:val="20"/>
        </w:rPr>
      </w:pPr>
      <w:bookmarkStart w:id="146" w:name="_ENREF_37"/>
      <w:r w:rsidRPr="006A70A3">
        <w:rPr>
          <w:sz w:val="20"/>
          <w:szCs w:val="20"/>
        </w:rPr>
        <w:t>Commonwealth of Australia. (2014). Portfolio Budget Statements 2014-15 - Budget Related Paper No. 1.9: Foreign Affairs and Trade Portfolio. Canberra.</w:t>
      </w:r>
      <w:bookmarkEnd w:id="146"/>
    </w:p>
    <w:p w:rsidR="00CC56DB" w:rsidRPr="006A70A3" w:rsidRDefault="00CC56DB" w:rsidP="00CC56DB">
      <w:pPr>
        <w:pStyle w:val="EndNoteBibliography"/>
        <w:ind w:left="720" w:hanging="720"/>
        <w:rPr>
          <w:sz w:val="20"/>
          <w:szCs w:val="20"/>
        </w:rPr>
      </w:pPr>
      <w:bookmarkStart w:id="147" w:name="_ENREF_38"/>
      <w:r w:rsidRPr="006A70A3">
        <w:rPr>
          <w:sz w:val="20"/>
          <w:szCs w:val="20"/>
        </w:rPr>
        <w:t>Coppel, N. (2013). Transition of the Regional Assistance Mission to Solomon Islands. Canberra: Australian National University.</w:t>
      </w:r>
      <w:bookmarkEnd w:id="147"/>
    </w:p>
    <w:p w:rsidR="00CC56DB" w:rsidRPr="006A70A3" w:rsidRDefault="00CC56DB" w:rsidP="00CC56DB">
      <w:pPr>
        <w:pStyle w:val="EndNoteBibliography"/>
        <w:ind w:left="720" w:hanging="720"/>
        <w:rPr>
          <w:sz w:val="20"/>
          <w:szCs w:val="20"/>
        </w:rPr>
      </w:pPr>
      <w:bookmarkStart w:id="148" w:name="_ENREF_39"/>
      <w:r w:rsidRPr="006A70A3">
        <w:rPr>
          <w:sz w:val="20"/>
          <w:szCs w:val="20"/>
        </w:rPr>
        <w:t>Cox, M., &amp; Hemon, K. (2009). Engagement in Fragile Situations: Preliminary Lessons from Donor Experience - a Literature Review. London: DfID.</w:t>
      </w:r>
      <w:bookmarkEnd w:id="148"/>
    </w:p>
    <w:p w:rsidR="00CC56DB" w:rsidRPr="006A70A3" w:rsidRDefault="00CC56DB" w:rsidP="00CC56DB">
      <w:pPr>
        <w:pStyle w:val="EndNoteBibliography"/>
        <w:ind w:left="720" w:hanging="720"/>
        <w:rPr>
          <w:sz w:val="20"/>
          <w:szCs w:val="20"/>
        </w:rPr>
      </w:pPr>
      <w:bookmarkStart w:id="149" w:name="_ENREF_40"/>
      <w:r w:rsidRPr="006A70A3">
        <w:rPr>
          <w:sz w:val="20"/>
          <w:szCs w:val="20"/>
        </w:rPr>
        <w:t>Craig, D., &amp; Porter, D. (2013a). Political Settlement in Solomon Islands: A Political Economic Basis for Stability after RAMSI? Canberra: Australian National University.</w:t>
      </w:r>
      <w:bookmarkEnd w:id="149"/>
    </w:p>
    <w:p w:rsidR="00CC56DB" w:rsidRPr="006A70A3" w:rsidRDefault="00CC56DB" w:rsidP="00CC56DB">
      <w:pPr>
        <w:pStyle w:val="EndNoteBibliography"/>
        <w:ind w:left="720" w:hanging="720"/>
        <w:rPr>
          <w:sz w:val="20"/>
          <w:szCs w:val="20"/>
        </w:rPr>
      </w:pPr>
      <w:bookmarkStart w:id="150" w:name="_ENREF_41"/>
      <w:r w:rsidRPr="006A70A3">
        <w:rPr>
          <w:sz w:val="20"/>
          <w:szCs w:val="20"/>
        </w:rPr>
        <w:t>Craig, D., &amp; Porter, D. (2013b).</w:t>
      </w:r>
      <w:r w:rsidRPr="006A70A3">
        <w:rPr>
          <w:i/>
          <w:sz w:val="20"/>
          <w:szCs w:val="20"/>
        </w:rPr>
        <w:t xml:space="preserve"> Post Conflict Pacts and Inclusive Political Settlements: Institutional Perspectives from Solomon Islands</w:t>
      </w:r>
      <w:r w:rsidRPr="006A70A3">
        <w:rPr>
          <w:sz w:val="20"/>
          <w:szCs w:val="20"/>
        </w:rPr>
        <w:t>. Working Papers. Manchester, UK.</w:t>
      </w:r>
      <w:bookmarkEnd w:id="150"/>
    </w:p>
    <w:p w:rsidR="00CC56DB" w:rsidRPr="006A70A3" w:rsidRDefault="00CC56DB" w:rsidP="00CC56DB">
      <w:pPr>
        <w:pStyle w:val="EndNoteBibliography"/>
        <w:ind w:left="720" w:hanging="720"/>
        <w:rPr>
          <w:sz w:val="20"/>
          <w:szCs w:val="20"/>
        </w:rPr>
      </w:pPr>
      <w:bookmarkStart w:id="151" w:name="_ENREF_42"/>
      <w:r w:rsidRPr="006A70A3">
        <w:rPr>
          <w:sz w:val="20"/>
          <w:szCs w:val="20"/>
        </w:rPr>
        <w:t>Cruz, C., &amp; Keefer, P. (2013). The Organization of Political Parties and the Politics of Bureaucratic Reform (Policy Research Working Paper 6686). Washington, DC: World Bank.</w:t>
      </w:r>
      <w:bookmarkEnd w:id="151"/>
    </w:p>
    <w:p w:rsidR="00CC56DB" w:rsidRPr="006A70A3" w:rsidRDefault="00CC56DB" w:rsidP="00CC56DB">
      <w:pPr>
        <w:pStyle w:val="EndNoteBibliography"/>
        <w:ind w:left="720" w:hanging="720"/>
        <w:rPr>
          <w:sz w:val="20"/>
          <w:szCs w:val="20"/>
        </w:rPr>
      </w:pPr>
      <w:bookmarkStart w:id="152" w:name="_ENREF_43"/>
      <w:r w:rsidRPr="006A70A3">
        <w:rPr>
          <w:sz w:val="20"/>
          <w:szCs w:val="20"/>
        </w:rPr>
        <w:t xml:space="preserve">DAC Fragile States Group. </w:t>
      </w:r>
      <w:r w:rsidRPr="006A70A3">
        <w:rPr>
          <w:i/>
          <w:sz w:val="20"/>
          <w:szCs w:val="20"/>
        </w:rPr>
        <w:t>Concepts and Dilemmas of State Building in Fragile Situations: From Fragility to Resilience</w:t>
      </w:r>
      <w:r w:rsidRPr="006A70A3">
        <w:rPr>
          <w:sz w:val="20"/>
          <w:szCs w:val="20"/>
        </w:rPr>
        <w:t>. Paris: OECD.</w:t>
      </w:r>
      <w:bookmarkEnd w:id="152"/>
    </w:p>
    <w:p w:rsidR="00CC56DB" w:rsidRPr="006A70A3" w:rsidRDefault="00CC56DB" w:rsidP="00CC56DB">
      <w:pPr>
        <w:pStyle w:val="EndNoteBibliography"/>
        <w:ind w:left="720" w:hanging="720"/>
        <w:rPr>
          <w:sz w:val="20"/>
          <w:szCs w:val="20"/>
        </w:rPr>
      </w:pPr>
      <w:bookmarkStart w:id="153" w:name="_ENREF_44"/>
      <w:r w:rsidRPr="006A70A3">
        <w:rPr>
          <w:sz w:val="20"/>
          <w:szCs w:val="20"/>
        </w:rPr>
        <w:t xml:space="preserve">Darcy, L., Russell, C., &amp; Vu, M. (2014). </w:t>
      </w:r>
      <w:r w:rsidRPr="006A70A3">
        <w:rPr>
          <w:i/>
          <w:sz w:val="20"/>
          <w:szCs w:val="20"/>
        </w:rPr>
        <w:t>Finding Balance 2014: Benchmarking the Performance of State-Owned Enterprises in Island Countries</w:t>
      </w:r>
      <w:r w:rsidRPr="006A70A3">
        <w:rPr>
          <w:sz w:val="20"/>
          <w:szCs w:val="20"/>
        </w:rPr>
        <w:t>. Manila: Asian Development Bank.</w:t>
      </w:r>
      <w:bookmarkEnd w:id="153"/>
    </w:p>
    <w:p w:rsidR="00CC56DB" w:rsidRPr="006A70A3" w:rsidRDefault="00CC56DB" w:rsidP="00CC56DB">
      <w:pPr>
        <w:pStyle w:val="EndNoteBibliography"/>
        <w:ind w:left="720" w:hanging="720"/>
        <w:rPr>
          <w:sz w:val="20"/>
          <w:szCs w:val="20"/>
        </w:rPr>
      </w:pPr>
      <w:bookmarkStart w:id="154" w:name="_ENREF_45"/>
      <w:r w:rsidRPr="006A70A3">
        <w:rPr>
          <w:sz w:val="20"/>
          <w:szCs w:val="20"/>
        </w:rPr>
        <w:t xml:space="preserve">Daunton, M. (2003). Trusting Leviathan: British Fiscal Administration from the Napoleonic Wars to the Second World War. In V. Braithwaite &amp; M. Levi (Eds.), </w:t>
      </w:r>
      <w:r w:rsidRPr="006A70A3">
        <w:rPr>
          <w:i/>
          <w:sz w:val="20"/>
          <w:szCs w:val="20"/>
        </w:rPr>
        <w:t>Trust and Governance</w:t>
      </w:r>
      <w:r w:rsidRPr="006A70A3">
        <w:rPr>
          <w:sz w:val="20"/>
          <w:szCs w:val="20"/>
        </w:rPr>
        <w:t>. New York: Russell Sage Foundation.</w:t>
      </w:r>
      <w:bookmarkEnd w:id="154"/>
    </w:p>
    <w:p w:rsidR="00CC56DB" w:rsidRPr="006A70A3" w:rsidRDefault="00CC56DB" w:rsidP="00CC56DB">
      <w:pPr>
        <w:pStyle w:val="EndNoteBibliography"/>
        <w:ind w:left="720" w:hanging="720"/>
        <w:rPr>
          <w:sz w:val="20"/>
          <w:szCs w:val="20"/>
        </w:rPr>
      </w:pPr>
      <w:bookmarkStart w:id="155" w:name="_ENREF_46"/>
      <w:r w:rsidRPr="006A70A3">
        <w:rPr>
          <w:sz w:val="20"/>
          <w:szCs w:val="20"/>
        </w:rPr>
        <w:t>Detto, K., Heijkoop, P., &amp; Raue, K. (2012). Review of RAMSI Delivery Support Arrangements. Honiara, Solomon Islands: RAMSI.</w:t>
      </w:r>
      <w:bookmarkEnd w:id="155"/>
    </w:p>
    <w:p w:rsidR="00CC56DB" w:rsidRPr="006A70A3" w:rsidRDefault="00CC56DB" w:rsidP="00CC56DB">
      <w:pPr>
        <w:pStyle w:val="EndNoteBibliography"/>
        <w:ind w:left="720" w:hanging="720"/>
        <w:rPr>
          <w:sz w:val="20"/>
          <w:szCs w:val="20"/>
        </w:rPr>
      </w:pPr>
      <w:bookmarkStart w:id="156" w:name="_ENREF_47"/>
      <w:r w:rsidRPr="006A70A3">
        <w:rPr>
          <w:sz w:val="20"/>
          <w:szCs w:val="20"/>
        </w:rPr>
        <w:t xml:space="preserve">Devesi, B. (1992). Independence or Dependence. In R. Crocombe &amp; E. Tuza (Eds.), </w:t>
      </w:r>
      <w:r w:rsidRPr="006A70A3">
        <w:rPr>
          <w:i/>
          <w:sz w:val="20"/>
          <w:szCs w:val="20"/>
        </w:rPr>
        <w:t>Independence, Dependence, Interdependence: The First 10 Years of Solomon Islands Independence</w:t>
      </w:r>
      <w:r w:rsidRPr="006A70A3">
        <w:rPr>
          <w:sz w:val="20"/>
          <w:szCs w:val="20"/>
        </w:rPr>
        <w:t>. Suva and Honiara: South Pacific and Solomon islands Colege of Higher Education.</w:t>
      </w:r>
      <w:bookmarkEnd w:id="156"/>
    </w:p>
    <w:p w:rsidR="00CC56DB" w:rsidRPr="006A70A3" w:rsidRDefault="00CC56DB" w:rsidP="00CC56DB">
      <w:pPr>
        <w:pStyle w:val="EndNoteBibliography"/>
        <w:ind w:left="720" w:hanging="720"/>
        <w:rPr>
          <w:sz w:val="20"/>
          <w:szCs w:val="20"/>
        </w:rPr>
      </w:pPr>
      <w:bookmarkStart w:id="157" w:name="_ENREF_48"/>
      <w:r w:rsidRPr="006A70A3">
        <w:rPr>
          <w:sz w:val="20"/>
          <w:szCs w:val="20"/>
        </w:rPr>
        <w:t>DFAT. (2014a).</w:t>
      </w:r>
      <w:r w:rsidRPr="006A70A3">
        <w:rPr>
          <w:i/>
          <w:sz w:val="20"/>
          <w:szCs w:val="20"/>
        </w:rPr>
        <w:t xml:space="preserve"> Candidate Information Pack: Senior Program Manager Democratic Governance</w:t>
      </w:r>
      <w:r w:rsidRPr="006A70A3">
        <w:rPr>
          <w:sz w:val="20"/>
          <w:szCs w:val="20"/>
        </w:rPr>
        <w:t>. Canberra.</w:t>
      </w:r>
      <w:bookmarkEnd w:id="157"/>
    </w:p>
    <w:p w:rsidR="00CC56DB" w:rsidRPr="006A70A3" w:rsidRDefault="00CC56DB" w:rsidP="00CC56DB">
      <w:pPr>
        <w:pStyle w:val="EndNoteBibliography"/>
        <w:ind w:left="720" w:hanging="720"/>
        <w:rPr>
          <w:sz w:val="20"/>
          <w:szCs w:val="20"/>
        </w:rPr>
      </w:pPr>
      <w:bookmarkStart w:id="158" w:name="_ENREF_49"/>
      <w:r w:rsidRPr="006A70A3">
        <w:rPr>
          <w:sz w:val="20"/>
          <w:szCs w:val="20"/>
        </w:rPr>
        <w:t>DFAT. (2014b). Solomon Islands Governance Program (SIGOV): Quarterly Report No. 3 (January-March 2014). Honiara, Solomon Islands: DFAT.</w:t>
      </w:r>
      <w:bookmarkEnd w:id="158"/>
    </w:p>
    <w:p w:rsidR="00CC56DB" w:rsidRPr="006A70A3" w:rsidRDefault="00CC56DB" w:rsidP="00CC56DB">
      <w:pPr>
        <w:pStyle w:val="EndNoteBibliography"/>
        <w:ind w:left="720" w:hanging="720"/>
        <w:rPr>
          <w:sz w:val="20"/>
          <w:szCs w:val="20"/>
        </w:rPr>
      </w:pPr>
      <w:bookmarkStart w:id="159" w:name="_ENREF_50"/>
      <w:r w:rsidRPr="006A70A3">
        <w:rPr>
          <w:sz w:val="20"/>
          <w:szCs w:val="20"/>
        </w:rPr>
        <w:t>DFAT. (2014c).</w:t>
      </w:r>
      <w:r w:rsidRPr="006A70A3">
        <w:rPr>
          <w:i/>
          <w:sz w:val="20"/>
          <w:szCs w:val="20"/>
        </w:rPr>
        <w:t xml:space="preserve"> Terms of Reference: Team Leader, Independent Review of Dfat's Solomon Islands Economic and Public Sector Governance Program</w:t>
      </w:r>
      <w:r w:rsidRPr="006A70A3">
        <w:rPr>
          <w:sz w:val="20"/>
          <w:szCs w:val="20"/>
        </w:rPr>
        <w:t>. Canberra.</w:t>
      </w:r>
      <w:bookmarkEnd w:id="159"/>
    </w:p>
    <w:p w:rsidR="00CC56DB" w:rsidRPr="006A70A3" w:rsidRDefault="00CC56DB" w:rsidP="00CC56DB">
      <w:pPr>
        <w:pStyle w:val="EndNoteBibliography"/>
        <w:ind w:left="720" w:hanging="720"/>
        <w:rPr>
          <w:sz w:val="20"/>
          <w:szCs w:val="20"/>
        </w:rPr>
      </w:pPr>
      <w:bookmarkStart w:id="160" w:name="_ENREF_51"/>
      <w:r w:rsidRPr="006A70A3">
        <w:rPr>
          <w:sz w:val="20"/>
          <w:szCs w:val="20"/>
        </w:rPr>
        <w:t>DFAT. (n/k).</w:t>
      </w:r>
      <w:r w:rsidRPr="006A70A3">
        <w:rPr>
          <w:i/>
          <w:sz w:val="20"/>
          <w:szCs w:val="20"/>
        </w:rPr>
        <w:t xml:space="preserve"> The Six Monthly Reflection and Redesign Process: Bringing Performance Managment and Political Economy Analysis Together</w:t>
      </w:r>
      <w:r w:rsidRPr="006A70A3">
        <w:rPr>
          <w:sz w:val="20"/>
          <w:szCs w:val="20"/>
        </w:rPr>
        <w:t>. Canberra.</w:t>
      </w:r>
      <w:bookmarkEnd w:id="160"/>
    </w:p>
    <w:p w:rsidR="00CC56DB" w:rsidRPr="006A70A3" w:rsidRDefault="00CC56DB" w:rsidP="00CC56DB">
      <w:pPr>
        <w:pStyle w:val="EndNoteBibliography"/>
        <w:ind w:left="720" w:hanging="720"/>
        <w:rPr>
          <w:sz w:val="20"/>
          <w:szCs w:val="20"/>
        </w:rPr>
      </w:pPr>
      <w:bookmarkStart w:id="161" w:name="_ENREF_52"/>
      <w:r w:rsidRPr="006A70A3">
        <w:rPr>
          <w:sz w:val="20"/>
          <w:szCs w:val="20"/>
        </w:rPr>
        <w:t>DfID. (2012). Results in Fragile and Conflict-Affected States and Situations. London: DfID.</w:t>
      </w:r>
      <w:bookmarkEnd w:id="161"/>
    </w:p>
    <w:p w:rsidR="00CC56DB" w:rsidRPr="006A70A3" w:rsidRDefault="00CC56DB" w:rsidP="00CC56DB">
      <w:pPr>
        <w:pStyle w:val="EndNoteBibliography"/>
        <w:ind w:left="720" w:hanging="720"/>
        <w:rPr>
          <w:sz w:val="20"/>
          <w:szCs w:val="20"/>
        </w:rPr>
      </w:pPr>
      <w:bookmarkStart w:id="162" w:name="_ENREF_53"/>
      <w:r w:rsidRPr="006A70A3">
        <w:rPr>
          <w:sz w:val="20"/>
          <w:szCs w:val="20"/>
        </w:rPr>
        <w:t>Diamond, J. (2012). Guidance Note on Sequencing PFM Reforms. Washington DC: EC, IMF and PEFA.</w:t>
      </w:r>
      <w:bookmarkEnd w:id="162"/>
    </w:p>
    <w:p w:rsidR="00CC56DB" w:rsidRPr="006A70A3" w:rsidRDefault="00CC56DB" w:rsidP="00CC56DB">
      <w:pPr>
        <w:pStyle w:val="EndNoteBibliography"/>
        <w:ind w:left="720" w:hanging="720"/>
        <w:rPr>
          <w:sz w:val="20"/>
          <w:szCs w:val="20"/>
        </w:rPr>
      </w:pPr>
      <w:bookmarkStart w:id="163" w:name="_ENREF_54"/>
      <w:r w:rsidRPr="006A70A3">
        <w:rPr>
          <w:sz w:val="20"/>
          <w:szCs w:val="20"/>
        </w:rPr>
        <w:t xml:space="preserve">Dinnen, S. (2008). The Solomon Islands Intervention and the Instabilities of the Post-Colonial State. </w:t>
      </w:r>
      <w:r w:rsidRPr="006A70A3">
        <w:rPr>
          <w:i/>
          <w:sz w:val="20"/>
          <w:szCs w:val="20"/>
        </w:rPr>
        <w:t>Global Change, Peace and Secutiry, 20</w:t>
      </w:r>
      <w:r w:rsidRPr="006A70A3">
        <w:rPr>
          <w:sz w:val="20"/>
          <w:szCs w:val="20"/>
        </w:rPr>
        <w:t xml:space="preserve">(3), 339-355. </w:t>
      </w:r>
      <w:bookmarkEnd w:id="163"/>
    </w:p>
    <w:p w:rsidR="00CC56DB" w:rsidRPr="006A70A3" w:rsidRDefault="00CC56DB" w:rsidP="00CC56DB">
      <w:pPr>
        <w:pStyle w:val="EndNoteBibliography"/>
        <w:ind w:left="720" w:hanging="720"/>
        <w:rPr>
          <w:sz w:val="20"/>
          <w:szCs w:val="20"/>
        </w:rPr>
      </w:pPr>
      <w:bookmarkStart w:id="164" w:name="_ENREF_55"/>
      <w:r w:rsidRPr="006A70A3">
        <w:rPr>
          <w:sz w:val="20"/>
          <w:szCs w:val="20"/>
        </w:rPr>
        <w:t xml:space="preserve">Dinnen, S., &amp; Allen, M. (2013). Paradoxes of Postcolonial Police-Building: Solomon Islands. </w:t>
      </w:r>
      <w:r w:rsidRPr="006A70A3">
        <w:rPr>
          <w:i/>
          <w:sz w:val="20"/>
          <w:szCs w:val="20"/>
        </w:rPr>
        <w:t>Policing and Society, 23</w:t>
      </w:r>
      <w:r w:rsidRPr="006A70A3">
        <w:rPr>
          <w:sz w:val="20"/>
          <w:szCs w:val="20"/>
        </w:rPr>
        <w:t xml:space="preserve">(2), 222-242. </w:t>
      </w:r>
      <w:bookmarkEnd w:id="164"/>
    </w:p>
    <w:p w:rsidR="00CC56DB" w:rsidRPr="006A70A3" w:rsidRDefault="00CC56DB" w:rsidP="00CC56DB">
      <w:pPr>
        <w:pStyle w:val="EndNoteBibliography"/>
        <w:ind w:left="720" w:hanging="720"/>
        <w:rPr>
          <w:sz w:val="20"/>
          <w:szCs w:val="20"/>
        </w:rPr>
      </w:pPr>
      <w:bookmarkStart w:id="165" w:name="_ENREF_56"/>
      <w:r w:rsidRPr="006A70A3">
        <w:rPr>
          <w:sz w:val="20"/>
          <w:szCs w:val="20"/>
        </w:rPr>
        <w:t>Dixon, G., Anderson, M., Deacon, P., Kodoleke, M., &amp; Loudon, M. (2012). Financial and Economic Management Support Program (FEMSP) Mid Term Review. Canberra: RAMSI.</w:t>
      </w:r>
      <w:bookmarkEnd w:id="165"/>
    </w:p>
    <w:p w:rsidR="00CC56DB" w:rsidRPr="006A70A3" w:rsidRDefault="00CC56DB" w:rsidP="00CC56DB">
      <w:pPr>
        <w:pStyle w:val="EndNoteBibliography"/>
        <w:ind w:left="720" w:hanging="720"/>
        <w:rPr>
          <w:sz w:val="20"/>
          <w:szCs w:val="20"/>
        </w:rPr>
      </w:pPr>
      <w:bookmarkStart w:id="166" w:name="_ENREF_57"/>
      <w:r w:rsidRPr="006A70A3">
        <w:rPr>
          <w:sz w:val="20"/>
          <w:szCs w:val="20"/>
        </w:rPr>
        <w:t xml:space="preserve">Duncan, R. (2011). Governance Reform in the Public Sector in Pacific Island Countries: Understanding How Culture Matters. In R. Duncan (Ed.), </w:t>
      </w:r>
      <w:r w:rsidRPr="006A70A3">
        <w:rPr>
          <w:i/>
          <w:sz w:val="20"/>
          <w:szCs w:val="20"/>
        </w:rPr>
        <w:t>The Political Economy of Economic Reform in the Pacific</w:t>
      </w:r>
      <w:r w:rsidRPr="006A70A3">
        <w:rPr>
          <w:sz w:val="20"/>
          <w:szCs w:val="20"/>
        </w:rPr>
        <w:t xml:space="preserve"> (pp. 139-162). Manila: ADB.</w:t>
      </w:r>
      <w:bookmarkEnd w:id="166"/>
    </w:p>
    <w:p w:rsidR="00CC56DB" w:rsidRPr="006A70A3" w:rsidRDefault="00CC56DB" w:rsidP="00CC56DB">
      <w:pPr>
        <w:pStyle w:val="EndNoteBibliography"/>
        <w:ind w:left="720" w:hanging="720"/>
        <w:rPr>
          <w:sz w:val="20"/>
          <w:szCs w:val="20"/>
        </w:rPr>
      </w:pPr>
      <w:bookmarkStart w:id="167" w:name="_ENREF_58"/>
      <w:r w:rsidRPr="006A70A3">
        <w:rPr>
          <w:sz w:val="20"/>
          <w:szCs w:val="20"/>
        </w:rPr>
        <w:lastRenderedPageBreak/>
        <w:t xml:space="preserve">Fraenkel, J. (2011). The Atrophied State: A Supply-Side Perspective on Politician “Slush Funds” in Western Melanesia. In R. Duncan (Ed.), </w:t>
      </w:r>
      <w:r w:rsidRPr="006A70A3">
        <w:rPr>
          <w:i/>
          <w:sz w:val="20"/>
          <w:szCs w:val="20"/>
        </w:rPr>
        <w:t>The Political Economy of Economic Reform in the Pacific</w:t>
      </w:r>
      <w:r w:rsidRPr="006A70A3">
        <w:rPr>
          <w:sz w:val="20"/>
          <w:szCs w:val="20"/>
        </w:rPr>
        <w:t xml:space="preserve"> (pp. 303-326). Manila: ADB.</w:t>
      </w:r>
      <w:bookmarkEnd w:id="167"/>
    </w:p>
    <w:p w:rsidR="00CC56DB" w:rsidRPr="006A70A3" w:rsidRDefault="00CC56DB" w:rsidP="00CC56DB">
      <w:pPr>
        <w:pStyle w:val="EndNoteBibliography"/>
        <w:ind w:left="720" w:hanging="720"/>
        <w:rPr>
          <w:sz w:val="20"/>
          <w:szCs w:val="20"/>
        </w:rPr>
      </w:pPr>
      <w:bookmarkStart w:id="168" w:name="_ENREF_59"/>
      <w:r w:rsidRPr="006A70A3">
        <w:rPr>
          <w:sz w:val="20"/>
          <w:szCs w:val="20"/>
        </w:rPr>
        <w:t>Fraenkel, J., Madraiwiwi, J., &amp; Okole, H. (2014). The RAMSI Decade: A Review of the Regional Assistance Mission to Solomon Islands, 2003-</w:t>
      </w:r>
      <w:r w:rsidRPr="006A70A3">
        <w:rPr>
          <w:rFonts w:ascii="Cambria Math" w:hAnsi="Cambria Math" w:cs="Cambria Math"/>
          <w:sz w:val="20"/>
          <w:szCs w:val="20"/>
        </w:rPr>
        <w:t>‐</w:t>
      </w:r>
      <w:r w:rsidRPr="006A70A3">
        <w:rPr>
          <w:sz w:val="20"/>
          <w:szCs w:val="20"/>
        </w:rPr>
        <w:t>2013. Honiara, Solomon Islands: Solomon Islands Government and the Pacific Islands Forum.</w:t>
      </w:r>
      <w:bookmarkEnd w:id="168"/>
    </w:p>
    <w:p w:rsidR="00CC56DB" w:rsidRPr="006A70A3" w:rsidRDefault="00CC56DB" w:rsidP="00CC56DB">
      <w:pPr>
        <w:pStyle w:val="EndNoteBibliography"/>
        <w:ind w:left="720" w:hanging="720"/>
        <w:rPr>
          <w:sz w:val="20"/>
          <w:szCs w:val="20"/>
        </w:rPr>
      </w:pPr>
      <w:bookmarkStart w:id="169" w:name="_ENREF_60"/>
      <w:r w:rsidRPr="006A70A3">
        <w:rPr>
          <w:sz w:val="20"/>
          <w:szCs w:val="20"/>
        </w:rPr>
        <w:t>Francis, J., &amp; Kelly, D. (2014). Quality at Implementation Report for Solomon Islands Bilateral Health Program. Canberra: DFAT.</w:t>
      </w:r>
      <w:bookmarkEnd w:id="169"/>
    </w:p>
    <w:p w:rsidR="00CC56DB" w:rsidRPr="006A70A3" w:rsidRDefault="00CC56DB" w:rsidP="00CC56DB">
      <w:pPr>
        <w:pStyle w:val="EndNoteBibliography"/>
        <w:ind w:left="720" w:hanging="720"/>
        <w:rPr>
          <w:sz w:val="20"/>
          <w:szCs w:val="20"/>
        </w:rPr>
      </w:pPr>
      <w:bookmarkStart w:id="170" w:name="_ENREF_61"/>
      <w:r w:rsidRPr="006A70A3">
        <w:rPr>
          <w:sz w:val="20"/>
          <w:szCs w:val="20"/>
        </w:rPr>
        <w:t xml:space="preserve">Fukuyama, F. (2008). State-Building in the Solomon Islands. </w:t>
      </w:r>
      <w:r w:rsidRPr="006A70A3">
        <w:rPr>
          <w:i/>
          <w:sz w:val="20"/>
          <w:szCs w:val="20"/>
        </w:rPr>
        <w:t>Pacific Economic Bulletin, 23</w:t>
      </w:r>
      <w:r w:rsidRPr="006A70A3">
        <w:rPr>
          <w:sz w:val="20"/>
          <w:szCs w:val="20"/>
        </w:rPr>
        <w:t xml:space="preserve">(3), 18-34. </w:t>
      </w:r>
      <w:bookmarkEnd w:id="170"/>
    </w:p>
    <w:p w:rsidR="00CC56DB" w:rsidRPr="006A70A3" w:rsidRDefault="00CC56DB" w:rsidP="00CC56DB">
      <w:pPr>
        <w:pStyle w:val="EndNoteBibliography"/>
        <w:ind w:left="720" w:hanging="720"/>
        <w:rPr>
          <w:sz w:val="20"/>
          <w:szCs w:val="20"/>
        </w:rPr>
      </w:pPr>
      <w:bookmarkStart w:id="171" w:name="_ENREF_62"/>
      <w:r w:rsidRPr="006A70A3">
        <w:rPr>
          <w:sz w:val="20"/>
          <w:szCs w:val="20"/>
        </w:rPr>
        <w:t>Gannicott, K., &amp; Powell, W. (2013). Public Sector Remuneration in Solomon Islands: Sumary Report. Canberra: AusAID.</w:t>
      </w:r>
      <w:bookmarkEnd w:id="171"/>
    </w:p>
    <w:p w:rsidR="00CC56DB" w:rsidRPr="006A70A3" w:rsidRDefault="00CC56DB" w:rsidP="00CC56DB">
      <w:pPr>
        <w:pStyle w:val="EndNoteBibliography"/>
        <w:ind w:left="720" w:hanging="720"/>
        <w:rPr>
          <w:sz w:val="20"/>
          <w:szCs w:val="20"/>
        </w:rPr>
      </w:pPr>
      <w:bookmarkStart w:id="172" w:name="_ENREF_63"/>
      <w:r w:rsidRPr="006A70A3">
        <w:rPr>
          <w:sz w:val="20"/>
          <w:szCs w:val="20"/>
        </w:rPr>
        <w:t>Gold, J., Roberts, D., &amp; Fisher, S. (2014). Reforming Civil Service in Sierra Leone through Collective Leadership. Washington DC: World Bank.</w:t>
      </w:r>
      <w:bookmarkEnd w:id="172"/>
    </w:p>
    <w:p w:rsidR="00CC56DB" w:rsidRPr="006A70A3" w:rsidRDefault="00CC56DB" w:rsidP="00CC56DB">
      <w:pPr>
        <w:pStyle w:val="EndNoteBibliography"/>
        <w:ind w:left="720" w:hanging="720"/>
        <w:rPr>
          <w:sz w:val="20"/>
          <w:szCs w:val="20"/>
        </w:rPr>
      </w:pPr>
      <w:bookmarkStart w:id="173" w:name="_ENREF_64"/>
      <w:r w:rsidRPr="006A70A3">
        <w:rPr>
          <w:sz w:val="20"/>
          <w:szCs w:val="20"/>
        </w:rPr>
        <w:t xml:space="preserve">Greenwell, H., &amp; Moore, B. (2014). Capacity Development in Economic Policy Agencies. </w:t>
      </w:r>
      <w:r w:rsidRPr="006A70A3">
        <w:rPr>
          <w:i/>
          <w:sz w:val="20"/>
          <w:szCs w:val="20"/>
        </w:rPr>
        <w:t>Australian Govenrment Treasury: Economic Roundup</w:t>
      </w:r>
      <w:r w:rsidRPr="006A70A3">
        <w:rPr>
          <w:sz w:val="20"/>
          <w:szCs w:val="20"/>
        </w:rPr>
        <w:t xml:space="preserve">(2), 11-34. </w:t>
      </w:r>
      <w:bookmarkEnd w:id="173"/>
    </w:p>
    <w:p w:rsidR="00CC56DB" w:rsidRPr="006A70A3" w:rsidRDefault="00CC56DB" w:rsidP="00CC56DB">
      <w:pPr>
        <w:pStyle w:val="EndNoteBibliography"/>
        <w:ind w:left="720" w:hanging="720"/>
        <w:rPr>
          <w:sz w:val="20"/>
          <w:szCs w:val="20"/>
        </w:rPr>
      </w:pPr>
      <w:bookmarkStart w:id="174" w:name="_ENREF_65"/>
      <w:r w:rsidRPr="006A70A3">
        <w:rPr>
          <w:sz w:val="20"/>
          <w:szCs w:val="20"/>
        </w:rPr>
        <w:t xml:space="preserve">Hakimi, E., Manning, N., Prasad, S., &amp; Prince, K. (2004). </w:t>
      </w:r>
      <w:r w:rsidRPr="006A70A3">
        <w:rPr>
          <w:i/>
          <w:sz w:val="20"/>
          <w:szCs w:val="20"/>
        </w:rPr>
        <w:t>Asymmetric Reforms: Agency-Level Reforms in the Afghan Civil Service</w:t>
      </w:r>
      <w:r w:rsidRPr="006A70A3">
        <w:rPr>
          <w:sz w:val="20"/>
          <w:szCs w:val="20"/>
        </w:rPr>
        <w:t>. Washington DC: World Bank.</w:t>
      </w:r>
      <w:bookmarkEnd w:id="174"/>
    </w:p>
    <w:p w:rsidR="00CC56DB" w:rsidRPr="006A70A3" w:rsidRDefault="00CC56DB" w:rsidP="00CC56DB">
      <w:pPr>
        <w:pStyle w:val="EndNoteBibliography"/>
        <w:ind w:left="720" w:hanging="720"/>
        <w:rPr>
          <w:sz w:val="20"/>
          <w:szCs w:val="20"/>
        </w:rPr>
      </w:pPr>
      <w:bookmarkStart w:id="175" w:name="_ENREF_66"/>
      <w:r w:rsidRPr="006A70A3">
        <w:rPr>
          <w:sz w:val="20"/>
          <w:szCs w:val="20"/>
        </w:rPr>
        <w:t>Haque, T. A. (2013). Economic Transition in Solomon Islands. Canberra: Australian National University.</w:t>
      </w:r>
      <w:bookmarkEnd w:id="175"/>
    </w:p>
    <w:p w:rsidR="00CC56DB" w:rsidRPr="006A70A3" w:rsidRDefault="00CC56DB" w:rsidP="00CC56DB">
      <w:pPr>
        <w:pStyle w:val="EndNoteBibliography"/>
        <w:ind w:left="720" w:hanging="720"/>
        <w:rPr>
          <w:sz w:val="20"/>
          <w:szCs w:val="20"/>
        </w:rPr>
      </w:pPr>
      <w:bookmarkStart w:id="176" w:name="_ENREF_67"/>
      <w:r w:rsidRPr="006A70A3">
        <w:rPr>
          <w:sz w:val="20"/>
          <w:szCs w:val="20"/>
        </w:rPr>
        <w:t>Harris, D., Seeto, C., Tyrrel, L., &amp; Costin, B. (2014).</w:t>
      </w:r>
      <w:r w:rsidRPr="006A70A3">
        <w:rPr>
          <w:i/>
          <w:sz w:val="20"/>
          <w:szCs w:val="20"/>
        </w:rPr>
        <w:t xml:space="preserve"> Solomon Islands Education Sector: Political Economy Analysis</w:t>
      </w:r>
      <w:r w:rsidRPr="006A70A3">
        <w:rPr>
          <w:sz w:val="20"/>
          <w:szCs w:val="20"/>
        </w:rPr>
        <w:t>. Canberra.</w:t>
      </w:r>
      <w:bookmarkEnd w:id="176"/>
    </w:p>
    <w:p w:rsidR="00CC56DB" w:rsidRPr="006A70A3" w:rsidRDefault="00CC56DB" w:rsidP="00CC56DB">
      <w:pPr>
        <w:pStyle w:val="EndNoteBibliography"/>
        <w:ind w:left="720" w:hanging="720"/>
        <w:rPr>
          <w:sz w:val="20"/>
          <w:szCs w:val="20"/>
        </w:rPr>
      </w:pPr>
      <w:bookmarkStart w:id="177" w:name="_ENREF_68"/>
      <w:r w:rsidRPr="006A70A3">
        <w:rPr>
          <w:sz w:val="20"/>
          <w:szCs w:val="20"/>
        </w:rPr>
        <w:t xml:space="preserve">Hasnain, Z., &amp; Manning, N. (2014). </w:t>
      </w:r>
      <w:r w:rsidRPr="006A70A3">
        <w:rPr>
          <w:i/>
          <w:sz w:val="20"/>
          <w:szCs w:val="20"/>
        </w:rPr>
        <w:t>Pay Flexibility and Government Performance</w:t>
      </w:r>
      <w:r w:rsidRPr="006A70A3">
        <w:rPr>
          <w:sz w:val="20"/>
          <w:szCs w:val="20"/>
        </w:rPr>
        <w:t>. Washington DC: World Bank.</w:t>
      </w:r>
      <w:bookmarkEnd w:id="177"/>
    </w:p>
    <w:p w:rsidR="00CC56DB" w:rsidRPr="006A70A3" w:rsidRDefault="00CC56DB" w:rsidP="00CC56DB">
      <w:pPr>
        <w:pStyle w:val="EndNoteBibliography"/>
        <w:ind w:left="720" w:hanging="720"/>
        <w:rPr>
          <w:sz w:val="20"/>
          <w:szCs w:val="20"/>
        </w:rPr>
      </w:pPr>
      <w:bookmarkStart w:id="178" w:name="_ENREF_69"/>
      <w:r w:rsidRPr="006A70A3">
        <w:rPr>
          <w:sz w:val="20"/>
          <w:szCs w:val="20"/>
        </w:rPr>
        <w:t xml:space="preserve">Hausman, D. (2010). Starting from Scratch in Recruitment and Training: Solomon Islands 2004-2009 </w:t>
      </w:r>
      <w:r w:rsidRPr="006A70A3">
        <w:rPr>
          <w:i/>
          <w:sz w:val="20"/>
          <w:szCs w:val="20"/>
        </w:rPr>
        <w:t>Innovations for Successful Societies</w:t>
      </w:r>
      <w:r w:rsidRPr="006A70A3">
        <w:rPr>
          <w:sz w:val="20"/>
          <w:szCs w:val="20"/>
        </w:rPr>
        <w:t>. Princeton, NJ: Princeton University.</w:t>
      </w:r>
      <w:bookmarkEnd w:id="178"/>
    </w:p>
    <w:p w:rsidR="00CC56DB" w:rsidRPr="006A70A3" w:rsidRDefault="00CC56DB" w:rsidP="00CC56DB">
      <w:pPr>
        <w:pStyle w:val="EndNoteBibliography"/>
        <w:ind w:left="720" w:hanging="720"/>
        <w:rPr>
          <w:sz w:val="20"/>
          <w:szCs w:val="20"/>
        </w:rPr>
      </w:pPr>
      <w:bookmarkStart w:id="179" w:name="_ENREF_70"/>
      <w:r w:rsidRPr="006A70A3">
        <w:rPr>
          <w:sz w:val="20"/>
          <w:szCs w:val="20"/>
        </w:rPr>
        <w:t xml:space="preserve">Hausmann, R., Rodrik, D., &amp; Velasco, A. (2006). Getting the Diagnosis Right. </w:t>
      </w:r>
      <w:r w:rsidRPr="006A70A3">
        <w:rPr>
          <w:i/>
          <w:sz w:val="20"/>
          <w:szCs w:val="20"/>
        </w:rPr>
        <w:t>Finance and Development, 43</w:t>
      </w:r>
      <w:r w:rsidRPr="006A70A3">
        <w:rPr>
          <w:sz w:val="20"/>
          <w:szCs w:val="20"/>
        </w:rPr>
        <w:t xml:space="preserve">(1). </w:t>
      </w:r>
      <w:bookmarkEnd w:id="179"/>
    </w:p>
    <w:p w:rsidR="00CC56DB" w:rsidRPr="006A70A3" w:rsidRDefault="00CC56DB" w:rsidP="00CC56DB">
      <w:pPr>
        <w:pStyle w:val="EndNoteBibliography"/>
        <w:ind w:left="720" w:hanging="720"/>
        <w:rPr>
          <w:sz w:val="20"/>
          <w:szCs w:val="20"/>
        </w:rPr>
      </w:pPr>
      <w:bookmarkStart w:id="180" w:name="_ENREF_71"/>
      <w:r w:rsidRPr="006A70A3">
        <w:rPr>
          <w:sz w:val="20"/>
          <w:szCs w:val="20"/>
        </w:rPr>
        <w:t>Howes, S., &amp; Pryke, J. (2013). Benchmarking Australian Aid Results from the 2013 Australian Aid Stakeholder Survey. Acton, ACT: Development Policy Centre, Australian National University.</w:t>
      </w:r>
      <w:bookmarkEnd w:id="180"/>
    </w:p>
    <w:p w:rsidR="00CC56DB" w:rsidRPr="006A70A3" w:rsidRDefault="00CC56DB" w:rsidP="00CC56DB">
      <w:pPr>
        <w:pStyle w:val="EndNoteBibliography"/>
        <w:ind w:left="720" w:hanging="720"/>
        <w:rPr>
          <w:sz w:val="20"/>
          <w:szCs w:val="20"/>
        </w:rPr>
      </w:pPr>
      <w:bookmarkStart w:id="181" w:name="_ENREF_72"/>
      <w:r w:rsidRPr="006A70A3">
        <w:rPr>
          <w:sz w:val="20"/>
          <w:szCs w:val="20"/>
        </w:rPr>
        <w:t>IMF. (2010). Solomon Islands Article IV Consultation Staff Report. Washington DC: IMF.</w:t>
      </w:r>
      <w:bookmarkEnd w:id="181"/>
    </w:p>
    <w:p w:rsidR="00CC56DB" w:rsidRPr="006A70A3" w:rsidRDefault="00CC56DB" w:rsidP="00CC56DB">
      <w:pPr>
        <w:pStyle w:val="EndNoteBibliography"/>
        <w:ind w:left="720" w:hanging="720"/>
        <w:rPr>
          <w:sz w:val="20"/>
          <w:szCs w:val="20"/>
        </w:rPr>
      </w:pPr>
      <w:bookmarkStart w:id="182" w:name="_ENREF_73"/>
      <w:r w:rsidRPr="006A70A3">
        <w:rPr>
          <w:sz w:val="20"/>
          <w:szCs w:val="20"/>
        </w:rPr>
        <w:t>IMF. (2011). IMF Country Report No. 11/180. Washington DC: IMF.</w:t>
      </w:r>
      <w:bookmarkEnd w:id="182"/>
    </w:p>
    <w:p w:rsidR="00CC56DB" w:rsidRPr="006A70A3" w:rsidRDefault="00CC56DB" w:rsidP="00CC56DB">
      <w:pPr>
        <w:pStyle w:val="EndNoteBibliography"/>
        <w:ind w:left="720" w:hanging="720"/>
        <w:rPr>
          <w:sz w:val="20"/>
          <w:szCs w:val="20"/>
        </w:rPr>
      </w:pPr>
      <w:bookmarkStart w:id="183" w:name="_ENREF_74"/>
      <w:r w:rsidRPr="006A70A3">
        <w:rPr>
          <w:sz w:val="20"/>
          <w:szCs w:val="20"/>
        </w:rPr>
        <w:t>IMF. (2013). Solomon Islands Article IV Consultation Staff Report. Washington DC: IMF.</w:t>
      </w:r>
      <w:bookmarkEnd w:id="183"/>
    </w:p>
    <w:p w:rsidR="00CC56DB" w:rsidRPr="006A70A3" w:rsidRDefault="00CC56DB" w:rsidP="00CC56DB">
      <w:pPr>
        <w:pStyle w:val="EndNoteBibliography"/>
        <w:ind w:left="720" w:hanging="720"/>
        <w:rPr>
          <w:sz w:val="20"/>
          <w:szCs w:val="20"/>
        </w:rPr>
      </w:pPr>
      <w:bookmarkStart w:id="184" w:name="_ENREF_75"/>
      <w:r w:rsidRPr="006A70A3">
        <w:rPr>
          <w:sz w:val="20"/>
          <w:szCs w:val="20"/>
        </w:rPr>
        <w:t>Independent Commission for Aid Impact. (2014). Dfid’s Private Sector Development Work. London: Independent Commission for Aid Impact.</w:t>
      </w:r>
      <w:bookmarkEnd w:id="184"/>
    </w:p>
    <w:p w:rsidR="00CC56DB" w:rsidRPr="006A70A3" w:rsidRDefault="00CC56DB" w:rsidP="00CC56DB">
      <w:pPr>
        <w:pStyle w:val="EndNoteBibliography"/>
        <w:ind w:left="720" w:hanging="720"/>
        <w:rPr>
          <w:sz w:val="20"/>
          <w:szCs w:val="20"/>
        </w:rPr>
      </w:pPr>
      <w:bookmarkStart w:id="185" w:name="_ENREF_76"/>
      <w:r w:rsidRPr="006A70A3">
        <w:rPr>
          <w:sz w:val="20"/>
          <w:szCs w:val="20"/>
        </w:rPr>
        <w:t xml:space="preserve">Independent Evaluation Group. (2006). </w:t>
      </w:r>
      <w:r w:rsidRPr="006A70A3">
        <w:rPr>
          <w:i/>
          <w:sz w:val="20"/>
          <w:szCs w:val="20"/>
        </w:rPr>
        <w:t>Engaging with Fragile States: An IEG Review of World Bank Support to Low-Income Countries under Stress</w:t>
      </w:r>
      <w:r w:rsidRPr="006A70A3">
        <w:rPr>
          <w:sz w:val="20"/>
          <w:szCs w:val="20"/>
        </w:rPr>
        <w:t>. Washington DC: World Bank.</w:t>
      </w:r>
      <w:bookmarkEnd w:id="185"/>
    </w:p>
    <w:p w:rsidR="00CC56DB" w:rsidRPr="006A70A3" w:rsidRDefault="00CC56DB" w:rsidP="00CC56DB">
      <w:pPr>
        <w:pStyle w:val="EndNoteBibliography"/>
        <w:ind w:left="720" w:hanging="720"/>
        <w:rPr>
          <w:sz w:val="20"/>
          <w:szCs w:val="20"/>
        </w:rPr>
      </w:pPr>
      <w:bookmarkStart w:id="186" w:name="_ENREF_77"/>
      <w:r w:rsidRPr="006A70A3">
        <w:rPr>
          <w:sz w:val="20"/>
          <w:szCs w:val="20"/>
        </w:rPr>
        <w:t xml:space="preserve">Independent Evaluation Group. (2008). </w:t>
      </w:r>
      <w:r w:rsidRPr="006A70A3">
        <w:rPr>
          <w:i/>
          <w:sz w:val="20"/>
          <w:szCs w:val="20"/>
        </w:rPr>
        <w:t>Public Sector Reform: What Works and Why?</w:t>
      </w:r>
      <w:r w:rsidRPr="006A70A3">
        <w:rPr>
          <w:sz w:val="20"/>
          <w:szCs w:val="20"/>
        </w:rPr>
        <w:t xml:space="preserve"> Washington DC: World Bank.</w:t>
      </w:r>
      <w:bookmarkEnd w:id="186"/>
    </w:p>
    <w:p w:rsidR="00CC56DB" w:rsidRPr="006A70A3" w:rsidRDefault="00CC56DB" w:rsidP="00CC56DB">
      <w:pPr>
        <w:pStyle w:val="EndNoteBibliography"/>
        <w:ind w:left="720" w:hanging="720"/>
        <w:rPr>
          <w:sz w:val="20"/>
          <w:szCs w:val="20"/>
        </w:rPr>
      </w:pPr>
      <w:bookmarkStart w:id="187" w:name="_ENREF_78"/>
      <w:r w:rsidRPr="006A70A3">
        <w:rPr>
          <w:sz w:val="20"/>
          <w:szCs w:val="20"/>
        </w:rPr>
        <w:t>Independent Evaluation Group. (2011). IEG Annual Report 2011: Results and Performance of the World Bank Group. Washington DC: World Bank.</w:t>
      </w:r>
      <w:bookmarkEnd w:id="187"/>
    </w:p>
    <w:p w:rsidR="00CC56DB" w:rsidRPr="006A70A3" w:rsidRDefault="00CC56DB" w:rsidP="00CC56DB">
      <w:pPr>
        <w:pStyle w:val="EndNoteBibliography"/>
        <w:ind w:left="720" w:hanging="720"/>
        <w:rPr>
          <w:sz w:val="20"/>
          <w:szCs w:val="20"/>
        </w:rPr>
      </w:pPr>
      <w:bookmarkStart w:id="188" w:name="_ENREF_79"/>
      <w:r w:rsidRPr="006A70A3">
        <w:rPr>
          <w:sz w:val="20"/>
          <w:szCs w:val="20"/>
        </w:rPr>
        <w:t xml:space="preserve">Independent Evaluation Group. (2013). </w:t>
      </w:r>
      <w:r w:rsidRPr="006A70A3">
        <w:rPr>
          <w:i/>
          <w:sz w:val="20"/>
          <w:szCs w:val="20"/>
        </w:rPr>
        <w:t>World Bank Group Assistance to Low-Income Fragile and Conflict-Affected States: An Independent Evaluation</w:t>
      </w:r>
      <w:r w:rsidRPr="006A70A3">
        <w:rPr>
          <w:sz w:val="20"/>
          <w:szCs w:val="20"/>
        </w:rPr>
        <w:t>. Washington DC: World Bank.</w:t>
      </w:r>
      <w:bookmarkEnd w:id="188"/>
    </w:p>
    <w:p w:rsidR="00CC56DB" w:rsidRPr="006A70A3" w:rsidRDefault="00CC56DB" w:rsidP="00CC56DB">
      <w:pPr>
        <w:pStyle w:val="EndNoteBibliography"/>
        <w:ind w:left="720" w:hanging="720"/>
        <w:rPr>
          <w:sz w:val="20"/>
          <w:szCs w:val="20"/>
        </w:rPr>
      </w:pPr>
      <w:bookmarkStart w:id="189" w:name="_ENREF_80"/>
      <w:r w:rsidRPr="006A70A3">
        <w:rPr>
          <w:sz w:val="20"/>
          <w:szCs w:val="20"/>
        </w:rPr>
        <w:t xml:space="preserve">Kabutaulaka, T. T. (2008a). Parties, Constitutional Engineering and Governance in the Solomon Islands. In R. Rich, L. Hambly &amp; M. G. Morgan (Eds.), </w:t>
      </w:r>
      <w:r w:rsidRPr="006A70A3">
        <w:rPr>
          <w:i/>
          <w:sz w:val="20"/>
          <w:szCs w:val="20"/>
        </w:rPr>
        <w:t>Political Parties in the Pacific Islands</w:t>
      </w:r>
      <w:r w:rsidRPr="006A70A3">
        <w:rPr>
          <w:sz w:val="20"/>
          <w:szCs w:val="20"/>
        </w:rPr>
        <w:t xml:space="preserve"> (pp. 103-116). Canberra: Australian National University.</w:t>
      </w:r>
      <w:bookmarkEnd w:id="189"/>
    </w:p>
    <w:p w:rsidR="00CC56DB" w:rsidRPr="006A70A3" w:rsidRDefault="00CC56DB" w:rsidP="00CC56DB">
      <w:pPr>
        <w:pStyle w:val="EndNoteBibliography"/>
        <w:ind w:left="720" w:hanging="720"/>
        <w:rPr>
          <w:sz w:val="20"/>
          <w:szCs w:val="20"/>
        </w:rPr>
      </w:pPr>
      <w:bookmarkStart w:id="190" w:name="_ENREF_81"/>
      <w:r w:rsidRPr="006A70A3">
        <w:rPr>
          <w:sz w:val="20"/>
          <w:szCs w:val="20"/>
        </w:rPr>
        <w:t xml:space="preserve">Kabutaulaka, T. T. (2008b). Westminster Meets Solomons in the Honiara Riots. In S. Dinen &amp; S. Firth (Eds.), </w:t>
      </w:r>
      <w:r w:rsidRPr="006A70A3">
        <w:rPr>
          <w:i/>
          <w:sz w:val="20"/>
          <w:szCs w:val="20"/>
        </w:rPr>
        <w:t>Politics and Statebuilding in Solomon Islands</w:t>
      </w:r>
      <w:r w:rsidRPr="006A70A3">
        <w:rPr>
          <w:sz w:val="20"/>
          <w:szCs w:val="20"/>
        </w:rPr>
        <w:t xml:space="preserve"> (pp. 96-118). Caberra: Asia Pacific Press.</w:t>
      </w:r>
      <w:bookmarkEnd w:id="190"/>
    </w:p>
    <w:p w:rsidR="00CC56DB" w:rsidRPr="006A70A3" w:rsidRDefault="00CC56DB" w:rsidP="00CC56DB">
      <w:pPr>
        <w:pStyle w:val="EndNoteBibliography"/>
        <w:ind w:left="720" w:hanging="720"/>
        <w:rPr>
          <w:sz w:val="20"/>
          <w:szCs w:val="20"/>
        </w:rPr>
      </w:pPr>
      <w:bookmarkStart w:id="191" w:name="_ENREF_82"/>
      <w:r w:rsidRPr="006A70A3">
        <w:rPr>
          <w:sz w:val="20"/>
          <w:szCs w:val="20"/>
        </w:rPr>
        <w:t>Keefer, P. (2013a). Collective Action, Political Parties and Pro-Development Public Policy (Policy Research Working Paper 5676). Washington, DC: World Bank.</w:t>
      </w:r>
      <w:bookmarkEnd w:id="191"/>
    </w:p>
    <w:p w:rsidR="00CC56DB" w:rsidRPr="006A70A3" w:rsidRDefault="00CC56DB" w:rsidP="00CC56DB">
      <w:pPr>
        <w:pStyle w:val="EndNoteBibliography"/>
        <w:ind w:left="720" w:hanging="720"/>
        <w:rPr>
          <w:sz w:val="20"/>
          <w:szCs w:val="20"/>
        </w:rPr>
      </w:pPr>
      <w:bookmarkStart w:id="192" w:name="_ENREF_83"/>
      <w:r w:rsidRPr="006A70A3">
        <w:rPr>
          <w:sz w:val="20"/>
          <w:szCs w:val="20"/>
        </w:rPr>
        <w:t>Keefer, P. (2013b). Organizing for Prosperity Collective Action, Political Parties and the Political Economy of Development (Policy Research Working Paper 6583). Washington, DC: World Bank.</w:t>
      </w:r>
      <w:bookmarkEnd w:id="192"/>
    </w:p>
    <w:p w:rsidR="00CC56DB" w:rsidRPr="006A70A3" w:rsidRDefault="00CC56DB" w:rsidP="00CC56DB">
      <w:pPr>
        <w:pStyle w:val="EndNoteBibliography"/>
        <w:ind w:left="720" w:hanging="720"/>
        <w:rPr>
          <w:sz w:val="20"/>
          <w:szCs w:val="20"/>
        </w:rPr>
      </w:pPr>
      <w:bookmarkStart w:id="193" w:name="_ENREF_84"/>
      <w:r w:rsidRPr="006A70A3">
        <w:rPr>
          <w:sz w:val="20"/>
          <w:szCs w:val="20"/>
        </w:rPr>
        <w:t>Keefer, P., &amp; Khemani, S. (2012). Do Informed Citizens Receive More…or Pay More? The Impact of Radio on the Government Distribution of Public Health Benefits (Policy Research Working Paper 5952). Washington, DC: World Bank.</w:t>
      </w:r>
      <w:bookmarkEnd w:id="193"/>
    </w:p>
    <w:p w:rsidR="00CC56DB" w:rsidRPr="006A70A3" w:rsidRDefault="00CC56DB" w:rsidP="00CC56DB">
      <w:pPr>
        <w:pStyle w:val="EndNoteBibliography"/>
        <w:ind w:left="720" w:hanging="720"/>
        <w:rPr>
          <w:sz w:val="20"/>
          <w:szCs w:val="20"/>
        </w:rPr>
      </w:pPr>
      <w:bookmarkStart w:id="194" w:name="_ENREF_85"/>
      <w:r w:rsidRPr="006A70A3">
        <w:rPr>
          <w:sz w:val="20"/>
          <w:szCs w:val="20"/>
        </w:rPr>
        <w:t>Keefer, P., &amp; Khemani, S. (2014). Radio’s Impact on Preferences for Patronage Benefits (Policy Research Working Paper 6932). Washington, DC: World Bank.</w:t>
      </w:r>
      <w:bookmarkEnd w:id="194"/>
    </w:p>
    <w:p w:rsidR="00CC56DB" w:rsidRPr="006A70A3" w:rsidRDefault="00CC56DB" w:rsidP="00CC56DB">
      <w:pPr>
        <w:pStyle w:val="EndNoteBibliography"/>
        <w:ind w:left="720" w:hanging="720"/>
        <w:rPr>
          <w:sz w:val="20"/>
          <w:szCs w:val="20"/>
        </w:rPr>
      </w:pPr>
      <w:bookmarkStart w:id="195" w:name="_ENREF_86"/>
      <w:r w:rsidRPr="006A70A3">
        <w:rPr>
          <w:sz w:val="20"/>
          <w:szCs w:val="20"/>
        </w:rPr>
        <w:t>Kelly, D. (2013). Quality at Implementation Report for Solomon Islands Bilateral Health Program. Canberra: AusAID.</w:t>
      </w:r>
      <w:bookmarkEnd w:id="195"/>
    </w:p>
    <w:p w:rsidR="00CC56DB" w:rsidRPr="006A70A3" w:rsidRDefault="00CC56DB" w:rsidP="00CC56DB">
      <w:pPr>
        <w:pStyle w:val="EndNoteBibliography"/>
        <w:ind w:left="720" w:hanging="720"/>
        <w:rPr>
          <w:sz w:val="20"/>
          <w:szCs w:val="20"/>
        </w:rPr>
      </w:pPr>
      <w:bookmarkStart w:id="196" w:name="_ENREF_87"/>
      <w:r w:rsidRPr="006A70A3">
        <w:rPr>
          <w:sz w:val="20"/>
          <w:szCs w:val="20"/>
        </w:rPr>
        <w:t>Khemani, S. (2013). Buying Votes Vs. Supplying Public Services Political Incentives to under-Invest in Pro-Poor Policies (Policy Research Working Paper 6339). Washington, DC: World Bank.</w:t>
      </w:r>
      <w:bookmarkEnd w:id="196"/>
    </w:p>
    <w:p w:rsidR="00CC56DB" w:rsidRPr="006A70A3" w:rsidRDefault="00CC56DB" w:rsidP="00CC56DB">
      <w:pPr>
        <w:pStyle w:val="EndNoteBibliography"/>
        <w:ind w:left="720" w:hanging="720"/>
        <w:rPr>
          <w:sz w:val="20"/>
          <w:szCs w:val="20"/>
        </w:rPr>
      </w:pPr>
      <w:bookmarkStart w:id="197" w:name="_ENREF_88"/>
      <w:r w:rsidRPr="006A70A3">
        <w:rPr>
          <w:sz w:val="20"/>
          <w:szCs w:val="20"/>
        </w:rPr>
        <w:lastRenderedPageBreak/>
        <w:t xml:space="preserve">Kitschelt, H., &amp; Wilkinson, S. I. (2007). </w:t>
      </w:r>
      <w:r w:rsidRPr="006A70A3">
        <w:rPr>
          <w:i/>
          <w:sz w:val="20"/>
          <w:szCs w:val="20"/>
        </w:rPr>
        <w:t>Patrons, Clients, and Policies: Patterns of Democratic Accountability and Political Competition</w:t>
      </w:r>
      <w:r w:rsidRPr="006A70A3">
        <w:rPr>
          <w:sz w:val="20"/>
          <w:szCs w:val="20"/>
        </w:rPr>
        <w:t>. Cambridge: Cambridge University Press.</w:t>
      </w:r>
      <w:bookmarkEnd w:id="197"/>
    </w:p>
    <w:p w:rsidR="00CC56DB" w:rsidRPr="006A70A3" w:rsidRDefault="00CC56DB" w:rsidP="00CC56DB">
      <w:pPr>
        <w:pStyle w:val="EndNoteBibliography"/>
        <w:ind w:left="720" w:hanging="720"/>
        <w:rPr>
          <w:sz w:val="20"/>
          <w:szCs w:val="20"/>
        </w:rPr>
      </w:pPr>
      <w:bookmarkStart w:id="198" w:name="_ENREF_89"/>
      <w:r w:rsidRPr="006A70A3">
        <w:rPr>
          <w:sz w:val="20"/>
          <w:szCs w:val="20"/>
        </w:rPr>
        <w:t xml:space="preserve">Krasner, S. D., &amp; Risse, T. (2014). External Actors, State-Building and Service Provision in Areas of Limited Statehood: An Introduction. </w:t>
      </w:r>
      <w:r w:rsidRPr="006A70A3">
        <w:rPr>
          <w:i/>
          <w:sz w:val="20"/>
          <w:szCs w:val="20"/>
        </w:rPr>
        <w:t>Governance</w:t>
      </w:r>
      <w:r w:rsidRPr="006A70A3">
        <w:rPr>
          <w:sz w:val="20"/>
          <w:szCs w:val="20"/>
        </w:rPr>
        <w:t xml:space="preserve">. </w:t>
      </w:r>
      <w:bookmarkEnd w:id="198"/>
    </w:p>
    <w:p w:rsidR="00CC56DB" w:rsidRPr="006A70A3" w:rsidRDefault="00CC56DB" w:rsidP="00CC56DB">
      <w:pPr>
        <w:pStyle w:val="EndNoteBibliography"/>
        <w:ind w:left="720" w:hanging="720"/>
        <w:rPr>
          <w:sz w:val="20"/>
          <w:szCs w:val="20"/>
        </w:rPr>
      </w:pPr>
      <w:bookmarkStart w:id="199" w:name="_ENREF_90"/>
      <w:r w:rsidRPr="006A70A3">
        <w:rPr>
          <w:sz w:val="20"/>
          <w:szCs w:val="20"/>
        </w:rPr>
        <w:t xml:space="preserve">Lake, D. A., &amp; Fariss, C. J. (2014). Why International Trusteeship Fails: The Politics of External Authority in Areas of Limited Statehood. </w:t>
      </w:r>
      <w:r w:rsidRPr="006A70A3">
        <w:rPr>
          <w:i/>
          <w:sz w:val="20"/>
          <w:szCs w:val="20"/>
        </w:rPr>
        <w:t>Governance</w:t>
      </w:r>
      <w:r w:rsidRPr="006A70A3">
        <w:rPr>
          <w:sz w:val="20"/>
          <w:szCs w:val="20"/>
        </w:rPr>
        <w:t xml:space="preserve">. </w:t>
      </w:r>
      <w:bookmarkEnd w:id="199"/>
    </w:p>
    <w:p w:rsidR="00CC56DB" w:rsidRPr="006A70A3" w:rsidRDefault="00CC56DB" w:rsidP="00CC56DB">
      <w:pPr>
        <w:pStyle w:val="EndNoteBibliography"/>
        <w:ind w:left="720" w:hanging="720"/>
        <w:rPr>
          <w:sz w:val="20"/>
          <w:szCs w:val="20"/>
        </w:rPr>
      </w:pPr>
      <w:bookmarkStart w:id="200" w:name="_ENREF_91"/>
      <w:r w:rsidRPr="006A70A3">
        <w:rPr>
          <w:sz w:val="20"/>
          <w:szCs w:val="20"/>
        </w:rPr>
        <w:t xml:space="preserve">Leftwich, A., &amp; Sen, K. (2010). </w:t>
      </w:r>
      <w:r w:rsidRPr="006A70A3">
        <w:rPr>
          <w:i/>
          <w:sz w:val="20"/>
          <w:szCs w:val="20"/>
        </w:rPr>
        <w:t>Beyond Institutions: Institutions and Organizations in the Politics and Economics of Growth and Poverty Reduction – a Thematic Synthesis of Research Evidence</w:t>
      </w:r>
      <w:r w:rsidRPr="006A70A3">
        <w:rPr>
          <w:sz w:val="20"/>
          <w:szCs w:val="20"/>
        </w:rPr>
        <w:t>. Manchester: IDPM, University of Manchester.</w:t>
      </w:r>
      <w:bookmarkEnd w:id="200"/>
    </w:p>
    <w:p w:rsidR="00CC56DB" w:rsidRPr="006A70A3" w:rsidRDefault="00CC56DB" w:rsidP="00CC56DB">
      <w:pPr>
        <w:pStyle w:val="EndNoteBibliography"/>
        <w:ind w:left="720" w:hanging="720"/>
        <w:rPr>
          <w:sz w:val="20"/>
          <w:szCs w:val="20"/>
        </w:rPr>
      </w:pPr>
      <w:bookmarkStart w:id="201" w:name="_ENREF_92"/>
      <w:r w:rsidRPr="006A70A3">
        <w:rPr>
          <w:sz w:val="20"/>
          <w:szCs w:val="20"/>
        </w:rPr>
        <w:t xml:space="preserve">Lindblom, C. (1959). The Science of Muddling Through. </w:t>
      </w:r>
      <w:r w:rsidRPr="006A70A3">
        <w:rPr>
          <w:i/>
          <w:sz w:val="20"/>
          <w:szCs w:val="20"/>
        </w:rPr>
        <w:t>Public Administration Review, 19</w:t>
      </w:r>
      <w:r w:rsidRPr="006A70A3">
        <w:rPr>
          <w:sz w:val="20"/>
          <w:szCs w:val="20"/>
        </w:rPr>
        <w:t xml:space="preserve">, 79-88. </w:t>
      </w:r>
      <w:bookmarkEnd w:id="201"/>
    </w:p>
    <w:p w:rsidR="00CC56DB" w:rsidRPr="006A70A3" w:rsidRDefault="00CC56DB" w:rsidP="00CC56DB">
      <w:pPr>
        <w:pStyle w:val="EndNoteBibliography"/>
        <w:ind w:left="720" w:hanging="720"/>
        <w:rPr>
          <w:sz w:val="20"/>
          <w:szCs w:val="20"/>
        </w:rPr>
      </w:pPr>
      <w:bookmarkStart w:id="202" w:name="_ENREF_93"/>
      <w:r w:rsidRPr="006A70A3">
        <w:rPr>
          <w:sz w:val="20"/>
          <w:szCs w:val="20"/>
        </w:rPr>
        <w:t>Ling, C., &amp; Roberts, D. (2012). Evidence of Development Impact from Institutional Change : A Review of the Evidence on Open Budgeting (Policy Research Working Paper 6968). Washington, DC: World Bank.</w:t>
      </w:r>
      <w:bookmarkEnd w:id="202"/>
    </w:p>
    <w:p w:rsidR="00CC56DB" w:rsidRPr="006A70A3" w:rsidRDefault="00CC56DB" w:rsidP="00CC56DB">
      <w:pPr>
        <w:pStyle w:val="EndNoteBibliography"/>
        <w:ind w:left="720" w:hanging="720"/>
        <w:rPr>
          <w:sz w:val="20"/>
          <w:szCs w:val="20"/>
        </w:rPr>
      </w:pPr>
      <w:bookmarkStart w:id="203" w:name="_ENREF_94"/>
      <w:r w:rsidRPr="006A70A3">
        <w:rPr>
          <w:sz w:val="20"/>
          <w:szCs w:val="20"/>
        </w:rPr>
        <w:t>Linpico. (2012). Government of the Solomon Islands Public Expenditure and Financial Accountability (PEFA) Assessment: Final Report. Washington DC: World Bank.</w:t>
      </w:r>
      <w:bookmarkEnd w:id="203"/>
    </w:p>
    <w:p w:rsidR="00CC56DB" w:rsidRPr="006A70A3" w:rsidRDefault="00CC56DB" w:rsidP="00CC56DB">
      <w:pPr>
        <w:pStyle w:val="EndNoteBibliography"/>
        <w:ind w:left="720" w:hanging="720"/>
        <w:rPr>
          <w:sz w:val="20"/>
          <w:szCs w:val="20"/>
        </w:rPr>
      </w:pPr>
      <w:bookmarkStart w:id="204" w:name="_ENREF_95"/>
      <w:r w:rsidRPr="006A70A3">
        <w:rPr>
          <w:sz w:val="20"/>
          <w:szCs w:val="20"/>
        </w:rPr>
        <w:t xml:space="preserve">London School of Economics and PricewaterhouseCoopers LLP. (2010). </w:t>
      </w:r>
      <w:r w:rsidRPr="006A70A3">
        <w:rPr>
          <w:i/>
          <w:sz w:val="20"/>
          <w:szCs w:val="20"/>
        </w:rPr>
        <w:t>Conflict and Fragility - Do No Harm: International Support for Statebuilding</w:t>
      </w:r>
      <w:r w:rsidRPr="006A70A3">
        <w:rPr>
          <w:sz w:val="20"/>
          <w:szCs w:val="20"/>
        </w:rPr>
        <w:t>. Paris: OECD.</w:t>
      </w:r>
      <w:bookmarkEnd w:id="204"/>
    </w:p>
    <w:p w:rsidR="00CC56DB" w:rsidRPr="006A70A3" w:rsidRDefault="00CC56DB" w:rsidP="00CC56DB">
      <w:pPr>
        <w:pStyle w:val="EndNoteBibliography"/>
        <w:ind w:left="720" w:hanging="720"/>
        <w:rPr>
          <w:sz w:val="20"/>
          <w:szCs w:val="20"/>
        </w:rPr>
      </w:pPr>
      <w:bookmarkStart w:id="205" w:name="_ENREF_96"/>
      <w:r w:rsidRPr="006A70A3">
        <w:rPr>
          <w:sz w:val="20"/>
          <w:szCs w:val="20"/>
        </w:rPr>
        <w:t>Madgwick, J. (2013). 2013 Sig RAMSI People’s Survey Report. Honiara, Solomon Islands: ANU Edge and the University of the South Pacific.</w:t>
      </w:r>
      <w:bookmarkEnd w:id="205"/>
    </w:p>
    <w:p w:rsidR="00CC56DB" w:rsidRPr="006A70A3" w:rsidRDefault="00CC56DB" w:rsidP="00CC56DB">
      <w:pPr>
        <w:pStyle w:val="EndNoteBibliography"/>
        <w:ind w:left="720" w:hanging="720"/>
        <w:rPr>
          <w:sz w:val="20"/>
          <w:szCs w:val="20"/>
        </w:rPr>
      </w:pPr>
      <w:bookmarkStart w:id="206" w:name="_ENREF_97"/>
      <w:r w:rsidRPr="006A70A3">
        <w:rPr>
          <w:sz w:val="20"/>
          <w:szCs w:val="20"/>
        </w:rPr>
        <w:t>Mangham, L. (2007). Addressing the Human Resource Crisis in Malawi’s Health Sector: Employment Preferences of Public Sector Registered Nurses (Esau Working Paper 18). London: Overseas Development Institute.</w:t>
      </w:r>
      <w:bookmarkEnd w:id="206"/>
    </w:p>
    <w:p w:rsidR="00CC56DB" w:rsidRPr="006A70A3" w:rsidRDefault="00CC56DB" w:rsidP="00CC56DB">
      <w:pPr>
        <w:pStyle w:val="EndNoteBibliography"/>
        <w:ind w:left="720" w:hanging="720"/>
        <w:rPr>
          <w:sz w:val="20"/>
          <w:szCs w:val="20"/>
        </w:rPr>
      </w:pPr>
      <w:bookmarkStart w:id="207" w:name="_ENREF_98"/>
      <w:r w:rsidRPr="006A70A3">
        <w:rPr>
          <w:sz w:val="20"/>
          <w:szCs w:val="20"/>
        </w:rPr>
        <w:t>Manning, N. (2009). Improving Performance: Foundations of Systemic Performance (GET Brief). Washington DC: World Bank.</w:t>
      </w:r>
      <w:bookmarkEnd w:id="207"/>
    </w:p>
    <w:p w:rsidR="00CC56DB" w:rsidRPr="006A70A3" w:rsidRDefault="00CC56DB" w:rsidP="00CC56DB">
      <w:pPr>
        <w:pStyle w:val="EndNoteBibliography"/>
        <w:ind w:left="720" w:hanging="720"/>
        <w:rPr>
          <w:sz w:val="20"/>
          <w:szCs w:val="20"/>
        </w:rPr>
      </w:pPr>
      <w:bookmarkStart w:id="208" w:name="_ENREF_99"/>
      <w:r w:rsidRPr="006A70A3">
        <w:rPr>
          <w:sz w:val="20"/>
          <w:szCs w:val="20"/>
        </w:rPr>
        <w:t xml:space="preserve">Manning, N. (2014). </w:t>
      </w:r>
      <w:r w:rsidRPr="006A70A3">
        <w:rPr>
          <w:i/>
          <w:sz w:val="20"/>
          <w:szCs w:val="20"/>
        </w:rPr>
        <w:t>Peer Learning – a Promising Idea in Search of a Methodology</w:t>
      </w:r>
      <w:r w:rsidRPr="006A70A3">
        <w:rPr>
          <w:sz w:val="20"/>
          <w:szCs w:val="20"/>
        </w:rPr>
        <w:t xml:space="preserve">. Paper presented at the Effective Institutions Platform (October 28-29), OECD, Paris. </w:t>
      </w:r>
      <w:bookmarkEnd w:id="208"/>
    </w:p>
    <w:p w:rsidR="00CC56DB" w:rsidRPr="006A70A3" w:rsidRDefault="00CC56DB" w:rsidP="00CC56DB">
      <w:pPr>
        <w:pStyle w:val="EndNoteBibliography"/>
        <w:ind w:left="720" w:hanging="720"/>
        <w:rPr>
          <w:sz w:val="20"/>
          <w:szCs w:val="20"/>
        </w:rPr>
      </w:pPr>
      <w:bookmarkStart w:id="209" w:name="_ENREF_100"/>
      <w:r w:rsidRPr="006A70A3">
        <w:rPr>
          <w:sz w:val="20"/>
          <w:szCs w:val="20"/>
        </w:rPr>
        <w:t xml:space="preserve">Manning, N., &amp; Parison, N. (2003). </w:t>
      </w:r>
      <w:r w:rsidRPr="006A70A3">
        <w:rPr>
          <w:i/>
          <w:sz w:val="20"/>
          <w:szCs w:val="20"/>
        </w:rPr>
        <w:t>International Public Administration Reform: Implications for the Russian Federation</w:t>
      </w:r>
      <w:r w:rsidRPr="006A70A3">
        <w:rPr>
          <w:sz w:val="20"/>
          <w:szCs w:val="20"/>
        </w:rPr>
        <w:t>. Washington DC: World Bank.</w:t>
      </w:r>
      <w:bookmarkEnd w:id="209"/>
    </w:p>
    <w:p w:rsidR="00CC56DB" w:rsidRPr="006A70A3" w:rsidRDefault="00CC56DB" w:rsidP="00CC56DB">
      <w:pPr>
        <w:pStyle w:val="EndNoteBibliography"/>
        <w:ind w:left="720" w:hanging="720"/>
        <w:rPr>
          <w:sz w:val="20"/>
          <w:szCs w:val="20"/>
        </w:rPr>
      </w:pPr>
      <w:bookmarkStart w:id="210" w:name="_ENREF_101"/>
      <w:r w:rsidRPr="006A70A3">
        <w:rPr>
          <w:sz w:val="20"/>
          <w:szCs w:val="20"/>
        </w:rPr>
        <w:t xml:space="preserve">Manning, N., Shepherd, G., &amp; Guerrero, A. (2010). Why Trust in Government Matters. In P. Arizti, J. Brumby, N. Manning, R. Senderowitsch &amp; T. Thomas (Eds.), </w:t>
      </w:r>
      <w:r w:rsidRPr="006A70A3">
        <w:rPr>
          <w:i/>
          <w:sz w:val="20"/>
          <w:szCs w:val="20"/>
        </w:rPr>
        <w:t>Results, Performance Budgeting and Trust in Government</w:t>
      </w:r>
      <w:r w:rsidRPr="006A70A3">
        <w:rPr>
          <w:sz w:val="20"/>
          <w:szCs w:val="20"/>
        </w:rPr>
        <w:t xml:space="preserve"> (pp. 49-74). Washington: World Bank.</w:t>
      </w:r>
      <w:bookmarkEnd w:id="210"/>
    </w:p>
    <w:p w:rsidR="00CC56DB" w:rsidRPr="006A70A3" w:rsidRDefault="00CC56DB" w:rsidP="00CC56DB">
      <w:pPr>
        <w:pStyle w:val="EndNoteBibliography"/>
        <w:ind w:left="720" w:hanging="720"/>
        <w:rPr>
          <w:sz w:val="20"/>
          <w:szCs w:val="20"/>
        </w:rPr>
      </w:pPr>
      <w:bookmarkStart w:id="211" w:name="_ENREF_102"/>
      <w:r w:rsidRPr="006A70A3">
        <w:rPr>
          <w:sz w:val="20"/>
          <w:szCs w:val="20"/>
        </w:rPr>
        <w:t xml:space="preserve">Mansuri, G., &amp; Rao, V. (Eds.). (2012). </w:t>
      </w:r>
      <w:r w:rsidRPr="006A70A3">
        <w:rPr>
          <w:i/>
          <w:sz w:val="20"/>
          <w:szCs w:val="20"/>
        </w:rPr>
        <w:t>Localizing Development: Does Participation Work?</w:t>
      </w:r>
      <w:r w:rsidRPr="006A70A3">
        <w:rPr>
          <w:sz w:val="20"/>
          <w:szCs w:val="20"/>
        </w:rPr>
        <w:t xml:space="preserve"> Washington DC: World Bank.</w:t>
      </w:r>
      <w:bookmarkEnd w:id="211"/>
    </w:p>
    <w:p w:rsidR="00CC56DB" w:rsidRPr="006A70A3" w:rsidRDefault="00CC56DB" w:rsidP="00CC56DB">
      <w:pPr>
        <w:pStyle w:val="EndNoteBibliography"/>
        <w:ind w:left="720" w:hanging="720"/>
        <w:rPr>
          <w:sz w:val="20"/>
          <w:szCs w:val="20"/>
        </w:rPr>
      </w:pPr>
      <w:bookmarkStart w:id="212" w:name="_ENREF_103"/>
      <w:r w:rsidRPr="006A70A3">
        <w:rPr>
          <w:sz w:val="20"/>
          <w:szCs w:val="20"/>
        </w:rPr>
        <w:t xml:space="preserve">Marsden, D. (2004). The Role of Performance-Related Pay in Renegotiating the "Effort Bargain": The Case of the British Public Service. </w:t>
      </w:r>
      <w:r w:rsidRPr="006A70A3">
        <w:rPr>
          <w:i/>
          <w:sz w:val="20"/>
          <w:szCs w:val="20"/>
        </w:rPr>
        <w:t>Industrial and labor Relations review, 57</w:t>
      </w:r>
      <w:r w:rsidRPr="006A70A3">
        <w:rPr>
          <w:sz w:val="20"/>
          <w:szCs w:val="20"/>
        </w:rPr>
        <w:t xml:space="preserve">(3), 350-370. </w:t>
      </w:r>
      <w:bookmarkEnd w:id="212"/>
    </w:p>
    <w:p w:rsidR="00CC56DB" w:rsidRPr="006A70A3" w:rsidRDefault="00CC56DB" w:rsidP="00CC56DB">
      <w:pPr>
        <w:pStyle w:val="EndNoteBibliography"/>
        <w:ind w:left="720" w:hanging="720"/>
        <w:rPr>
          <w:sz w:val="20"/>
          <w:szCs w:val="20"/>
        </w:rPr>
      </w:pPr>
      <w:bookmarkStart w:id="213" w:name="_ENREF_104"/>
      <w:r w:rsidRPr="006A70A3">
        <w:rPr>
          <w:sz w:val="20"/>
          <w:szCs w:val="20"/>
        </w:rPr>
        <w:t xml:space="preserve">Matanock, A. M. (2014). Governance Delegation Agreements: Shared Sovereignty as a Substitute for Limited Statehood. </w:t>
      </w:r>
      <w:r w:rsidRPr="006A70A3">
        <w:rPr>
          <w:i/>
          <w:sz w:val="20"/>
          <w:szCs w:val="20"/>
        </w:rPr>
        <w:t>Governance</w:t>
      </w:r>
      <w:r w:rsidRPr="006A70A3">
        <w:rPr>
          <w:sz w:val="20"/>
          <w:szCs w:val="20"/>
        </w:rPr>
        <w:t xml:space="preserve">. </w:t>
      </w:r>
      <w:bookmarkEnd w:id="213"/>
    </w:p>
    <w:p w:rsidR="00CC56DB" w:rsidRPr="006A70A3" w:rsidRDefault="00CC56DB" w:rsidP="00CC56DB">
      <w:pPr>
        <w:pStyle w:val="EndNoteBibliography"/>
        <w:ind w:left="720" w:hanging="720"/>
        <w:rPr>
          <w:sz w:val="20"/>
          <w:szCs w:val="20"/>
        </w:rPr>
      </w:pPr>
      <w:bookmarkStart w:id="214" w:name="_ENREF_105"/>
      <w:r w:rsidRPr="006A70A3">
        <w:rPr>
          <w:sz w:val="20"/>
          <w:szCs w:val="20"/>
        </w:rPr>
        <w:t xml:space="preserve">Matta, N., &amp; Morgan, P. (2011). Local Empowerment through Rapid Results. </w:t>
      </w:r>
      <w:r w:rsidRPr="006A70A3">
        <w:rPr>
          <w:i/>
          <w:sz w:val="20"/>
          <w:szCs w:val="20"/>
        </w:rPr>
        <w:t>Stanford Social Innovation Review, Summer 2011</w:t>
      </w:r>
      <w:r w:rsidRPr="006A70A3">
        <w:rPr>
          <w:sz w:val="20"/>
          <w:szCs w:val="20"/>
        </w:rPr>
        <w:t xml:space="preserve">. </w:t>
      </w:r>
      <w:bookmarkEnd w:id="214"/>
    </w:p>
    <w:p w:rsidR="00CC56DB" w:rsidRPr="006A70A3" w:rsidRDefault="00CC56DB" w:rsidP="00CC56DB">
      <w:pPr>
        <w:pStyle w:val="EndNoteBibliography"/>
        <w:ind w:left="720" w:hanging="720"/>
        <w:rPr>
          <w:sz w:val="20"/>
          <w:szCs w:val="20"/>
        </w:rPr>
      </w:pPr>
      <w:bookmarkStart w:id="215" w:name="_ENREF_106"/>
      <w:r w:rsidRPr="006A70A3">
        <w:rPr>
          <w:sz w:val="20"/>
          <w:szCs w:val="20"/>
        </w:rPr>
        <w:t xml:space="preserve">McLoughlin, C. (2014). When Does Service Delivery Improve the Legitimacy of a Fragile or Conflict-Affected State? </w:t>
      </w:r>
      <w:r w:rsidRPr="006A70A3">
        <w:rPr>
          <w:i/>
          <w:sz w:val="20"/>
          <w:szCs w:val="20"/>
        </w:rPr>
        <w:t>Governance</w:t>
      </w:r>
      <w:r w:rsidRPr="006A70A3">
        <w:rPr>
          <w:sz w:val="20"/>
          <w:szCs w:val="20"/>
        </w:rPr>
        <w:t xml:space="preserve">. </w:t>
      </w:r>
      <w:bookmarkEnd w:id="215"/>
    </w:p>
    <w:p w:rsidR="00CC56DB" w:rsidRPr="006A70A3" w:rsidRDefault="00CC56DB" w:rsidP="00CC56DB">
      <w:pPr>
        <w:pStyle w:val="EndNoteBibliography"/>
        <w:ind w:left="720" w:hanging="720"/>
        <w:rPr>
          <w:sz w:val="20"/>
          <w:szCs w:val="20"/>
        </w:rPr>
      </w:pPr>
      <w:bookmarkStart w:id="216" w:name="_ENREF_107"/>
      <w:r w:rsidRPr="006A70A3">
        <w:rPr>
          <w:sz w:val="20"/>
          <w:szCs w:val="20"/>
        </w:rPr>
        <w:t>Ministry of Public Service. (2014). Attendance Management Policy and Procedure Manual. Honiara: Ministry of Public Service.</w:t>
      </w:r>
      <w:bookmarkEnd w:id="216"/>
    </w:p>
    <w:p w:rsidR="00CC56DB" w:rsidRPr="006A70A3" w:rsidRDefault="00CC56DB" w:rsidP="00CC56DB">
      <w:pPr>
        <w:pStyle w:val="EndNoteBibliography"/>
        <w:ind w:left="720" w:hanging="720"/>
        <w:rPr>
          <w:sz w:val="20"/>
          <w:szCs w:val="20"/>
        </w:rPr>
      </w:pPr>
      <w:bookmarkStart w:id="217" w:name="_ENREF_108"/>
      <w:r w:rsidRPr="006A70A3">
        <w:rPr>
          <w:sz w:val="20"/>
          <w:szCs w:val="20"/>
        </w:rPr>
        <w:t xml:space="preserve">Moore, C. (2013). Moving Forward by Asking the Right Questions of the Past. In T. Wood &amp; S. Howes (Eds.), </w:t>
      </w:r>
      <w:r w:rsidRPr="006A70A3">
        <w:rPr>
          <w:i/>
          <w:sz w:val="20"/>
          <w:szCs w:val="20"/>
        </w:rPr>
        <w:t>Debating Ten Years of RAMSI</w:t>
      </w:r>
      <w:r w:rsidRPr="006A70A3">
        <w:rPr>
          <w:sz w:val="20"/>
          <w:szCs w:val="20"/>
        </w:rPr>
        <w:t xml:space="preserve"> (pp. 27-30). Acton, ACT: Development Policy Centre, Crawford School of Public Policy.</w:t>
      </w:r>
      <w:bookmarkEnd w:id="217"/>
    </w:p>
    <w:p w:rsidR="00CC56DB" w:rsidRPr="006A70A3" w:rsidRDefault="00CC56DB" w:rsidP="00CC56DB">
      <w:pPr>
        <w:pStyle w:val="EndNoteBibliography"/>
        <w:ind w:left="720" w:hanging="720"/>
        <w:rPr>
          <w:sz w:val="20"/>
          <w:szCs w:val="20"/>
        </w:rPr>
      </w:pPr>
      <w:bookmarkStart w:id="218" w:name="_ENREF_109"/>
      <w:r w:rsidRPr="006A70A3">
        <w:rPr>
          <w:sz w:val="20"/>
          <w:szCs w:val="20"/>
        </w:rPr>
        <w:t xml:space="preserve">Moustafa, A., &amp; Abbott, D. (2014). </w:t>
      </w:r>
      <w:r w:rsidRPr="006A70A3">
        <w:rPr>
          <w:i/>
          <w:sz w:val="20"/>
          <w:szCs w:val="20"/>
        </w:rPr>
        <w:t>The State of Human Development in the Pacific: A Report on Vulnerability and Exclusion in a Time of Rapid Change</w:t>
      </w:r>
      <w:r w:rsidRPr="006A70A3">
        <w:rPr>
          <w:sz w:val="20"/>
          <w:szCs w:val="20"/>
        </w:rPr>
        <w:t>. Suva, Fiji: UNDP.</w:t>
      </w:r>
      <w:bookmarkEnd w:id="218"/>
    </w:p>
    <w:p w:rsidR="00CC56DB" w:rsidRPr="006A70A3" w:rsidRDefault="00CC56DB" w:rsidP="00CC56DB">
      <w:pPr>
        <w:pStyle w:val="EndNoteBibliography"/>
        <w:ind w:left="720" w:hanging="720"/>
        <w:rPr>
          <w:sz w:val="20"/>
          <w:szCs w:val="20"/>
        </w:rPr>
      </w:pPr>
      <w:bookmarkStart w:id="219" w:name="_ENREF_110"/>
      <w:r w:rsidRPr="006A70A3">
        <w:rPr>
          <w:sz w:val="20"/>
          <w:szCs w:val="20"/>
        </w:rPr>
        <w:t>North, D. C., Wallis, J. J., Webb, S. B., &amp; Weingast, B. R. (2007). Limited Access Orders in the Developing World: A New Approach to the Problems of Development, Policy Research Working Paper 4359. Washington DC: World Bank.</w:t>
      </w:r>
      <w:bookmarkEnd w:id="219"/>
    </w:p>
    <w:p w:rsidR="00CC56DB" w:rsidRPr="006A70A3" w:rsidRDefault="00CC56DB" w:rsidP="00CC56DB">
      <w:pPr>
        <w:pStyle w:val="EndNoteBibliography"/>
        <w:ind w:left="720" w:hanging="720"/>
        <w:rPr>
          <w:sz w:val="20"/>
          <w:szCs w:val="20"/>
        </w:rPr>
      </w:pPr>
      <w:bookmarkStart w:id="220" w:name="_ENREF_111"/>
      <w:r w:rsidRPr="006A70A3">
        <w:rPr>
          <w:sz w:val="20"/>
          <w:szCs w:val="20"/>
        </w:rPr>
        <w:t xml:space="preserve">Nunberg, B., &amp; Taliercio, R. (2012). Sabotaging Civil Service Reform in Aid-Dependent Countries: Are Donors to Blame? </w:t>
      </w:r>
      <w:r w:rsidRPr="006A70A3">
        <w:rPr>
          <w:i/>
          <w:sz w:val="20"/>
          <w:szCs w:val="20"/>
        </w:rPr>
        <w:t>World Development, 40</w:t>
      </w:r>
      <w:r w:rsidRPr="006A70A3">
        <w:rPr>
          <w:sz w:val="20"/>
          <w:szCs w:val="20"/>
        </w:rPr>
        <w:t xml:space="preserve">(10), 1970–1981. </w:t>
      </w:r>
      <w:bookmarkEnd w:id="220"/>
    </w:p>
    <w:p w:rsidR="00CC56DB" w:rsidRPr="006A70A3" w:rsidRDefault="00CC56DB" w:rsidP="00CC56DB">
      <w:pPr>
        <w:pStyle w:val="EndNoteBibliography"/>
        <w:ind w:left="720" w:hanging="720"/>
        <w:rPr>
          <w:sz w:val="20"/>
          <w:szCs w:val="20"/>
        </w:rPr>
      </w:pPr>
      <w:bookmarkStart w:id="221" w:name="_ENREF_112"/>
      <w:r w:rsidRPr="006A70A3">
        <w:rPr>
          <w:sz w:val="20"/>
          <w:szCs w:val="20"/>
        </w:rPr>
        <w:t xml:space="preserve">O’Callaghan, M. L. (Ed.). (2013). </w:t>
      </w:r>
      <w:r w:rsidRPr="006A70A3">
        <w:rPr>
          <w:i/>
          <w:sz w:val="20"/>
          <w:szCs w:val="20"/>
        </w:rPr>
        <w:t>Rebuilding a Nation: Ten Years of the Solomon Islands - RAMSI Partnership</w:t>
      </w:r>
      <w:r w:rsidRPr="006A70A3">
        <w:rPr>
          <w:sz w:val="20"/>
          <w:szCs w:val="20"/>
        </w:rPr>
        <w:t>. Honiara, Solomon Islands: Regional Assistance Mission to Solomon Islands (RAMSI).</w:t>
      </w:r>
      <w:bookmarkEnd w:id="221"/>
    </w:p>
    <w:p w:rsidR="00CC56DB" w:rsidRPr="006A70A3" w:rsidRDefault="00CC56DB" w:rsidP="00CC56DB">
      <w:pPr>
        <w:pStyle w:val="EndNoteBibliography"/>
        <w:ind w:left="720" w:hanging="720"/>
        <w:rPr>
          <w:sz w:val="20"/>
          <w:szCs w:val="20"/>
        </w:rPr>
      </w:pPr>
      <w:bookmarkStart w:id="222" w:name="_ENREF_113"/>
      <w:r w:rsidRPr="006A70A3">
        <w:rPr>
          <w:sz w:val="20"/>
          <w:szCs w:val="20"/>
        </w:rPr>
        <w:t xml:space="preserve">OECD. (2003). </w:t>
      </w:r>
      <w:r w:rsidRPr="006A70A3">
        <w:rPr>
          <w:i/>
          <w:sz w:val="20"/>
          <w:szCs w:val="20"/>
        </w:rPr>
        <w:t>Aid Activities in Europe and Oceania 2001-2</w:t>
      </w:r>
      <w:r w:rsidRPr="006A70A3">
        <w:rPr>
          <w:sz w:val="20"/>
          <w:szCs w:val="20"/>
        </w:rPr>
        <w:t>. Paris: OECD DAC.</w:t>
      </w:r>
      <w:bookmarkEnd w:id="222"/>
    </w:p>
    <w:p w:rsidR="00CC56DB" w:rsidRPr="006A70A3" w:rsidRDefault="00CC56DB" w:rsidP="00CC56DB">
      <w:pPr>
        <w:pStyle w:val="EndNoteBibliography"/>
        <w:ind w:left="720" w:hanging="720"/>
        <w:rPr>
          <w:sz w:val="20"/>
          <w:szCs w:val="20"/>
        </w:rPr>
      </w:pPr>
      <w:bookmarkStart w:id="223" w:name="_ENREF_114"/>
      <w:r w:rsidRPr="006A70A3">
        <w:rPr>
          <w:sz w:val="20"/>
          <w:szCs w:val="20"/>
        </w:rPr>
        <w:t>OECD. (2012). Managing Aid for Trade and Development Results: Solomon Islands Case Study. Paris: OECD.</w:t>
      </w:r>
      <w:bookmarkEnd w:id="223"/>
    </w:p>
    <w:p w:rsidR="00CC56DB" w:rsidRPr="006A70A3" w:rsidRDefault="00CC56DB" w:rsidP="00CC56DB">
      <w:pPr>
        <w:pStyle w:val="EndNoteBibliography"/>
        <w:ind w:left="720" w:hanging="720"/>
        <w:rPr>
          <w:sz w:val="20"/>
          <w:szCs w:val="20"/>
        </w:rPr>
      </w:pPr>
      <w:bookmarkStart w:id="224" w:name="_ENREF_115"/>
      <w:r w:rsidRPr="006A70A3">
        <w:rPr>
          <w:sz w:val="20"/>
          <w:szCs w:val="20"/>
        </w:rPr>
        <w:lastRenderedPageBreak/>
        <w:t>Office of Auditor General, Leadership Code Commission, Office of the Ombudsman, &amp; DFAT. (2014).</w:t>
      </w:r>
      <w:r w:rsidRPr="006A70A3">
        <w:rPr>
          <w:i/>
          <w:sz w:val="20"/>
          <w:szCs w:val="20"/>
        </w:rPr>
        <w:t xml:space="preserve"> Communication Outreach Strategy</w:t>
      </w:r>
      <w:r w:rsidRPr="006A70A3">
        <w:rPr>
          <w:sz w:val="20"/>
          <w:szCs w:val="20"/>
        </w:rPr>
        <w:t>.</w:t>
      </w:r>
      <w:bookmarkEnd w:id="224"/>
    </w:p>
    <w:p w:rsidR="00CC56DB" w:rsidRPr="006A70A3" w:rsidRDefault="00CC56DB" w:rsidP="00CC56DB">
      <w:pPr>
        <w:pStyle w:val="EndNoteBibliography"/>
        <w:ind w:left="720" w:hanging="720"/>
        <w:rPr>
          <w:sz w:val="20"/>
          <w:szCs w:val="20"/>
        </w:rPr>
      </w:pPr>
      <w:bookmarkStart w:id="225" w:name="_ENREF_116"/>
      <w:r w:rsidRPr="006A70A3">
        <w:rPr>
          <w:sz w:val="20"/>
          <w:szCs w:val="20"/>
        </w:rPr>
        <w:t>Office of Development Effectiveness. (2011). Theory of Policy Dialogue Success: Policy Dialogue Evaluation Working Paper Canberra: AusAID.</w:t>
      </w:r>
      <w:bookmarkEnd w:id="225"/>
    </w:p>
    <w:p w:rsidR="00CC56DB" w:rsidRPr="006A70A3" w:rsidRDefault="00CC56DB" w:rsidP="00CC56DB">
      <w:pPr>
        <w:pStyle w:val="EndNoteBibliography"/>
        <w:ind w:left="720" w:hanging="720"/>
        <w:rPr>
          <w:sz w:val="20"/>
          <w:szCs w:val="20"/>
        </w:rPr>
      </w:pPr>
      <w:bookmarkStart w:id="226" w:name="_ENREF_117"/>
      <w:r w:rsidRPr="006A70A3">
        <w:rPr>
          <w:sz w:val="20"/>
          <w:szCs w:val="20"/>
        </w:rPr>
        <w:t>OPCS (World Bank). (2009). Country Policy and Institutional Assessments: 2009 Assessment Questionnaire Washington DC: World Bank.</w:t>
      </w:r>
      <w:bookmarkEnd w:id="226"/>
    </w:p>
    <w:p w:rsidR="00CC56DB" w:rsidRPr="006A70A3" w:rsidRDefault="00CC56DB" w:rsidP="00CC56DB">
      <w:pPr>
        <w:pStyle w:val="EndNoteBibliography"/>
        <w:ind w:left="720" w:hanging="720"/>
        <w:rPr>
          <w:sz w:val="20"/>
          <w:szCs w:val="20"/>
        </w:rPr>
      </w:pPr>
      <w:bookmarkStart w:id="227" w:name="_ENREF_118"/>
      <w:r w:rsidRPr="006A70A3">
        <w:rPr>
          <w:sz w:val="20"/>
          <w:szCs w:val="20"/>
        </w:rPr>
        <w:t xml:space="preserve">Palmer, D. (2006). Tackling Malawi's Human Resources Crisis. </w:t>
      </w:r>
      <w:r w:rsidRPr="006A70A3">
        <w:rPr>
          <w:i/>
          <w:sz w:val="20"/>
          <w:szCs w:val="20"/>
        </w:rPr>
        <w:t>Reproductive Health Matters, 14</w:t>
      </w:r>
      <w:r w:rsidRPr="006A70A3">
        <w:rPr>
          <w:sz w:val="20"/>
          <w:szCs w:val="20"/>
        </w:rPr>
        <w:t xml:space="preserve">(27), 27-39. </w:t>
      </w:r>
      <w:bookmarkEnd w:id="227"/>
    </w:p>
    <w:p w:rsidR="00CC56DB" w:rsidRPr="006A70A3" w:rsidRDefault="00CC56DB" w:rsidP="00CC56DB">
      <w:pPr>
        <w:pStyle w:val="EndNoteBibliography"/>
        <w:ind w:left="720" w:hanging="720"/>
        <w:rPr>
          <w:sz w:val="20"/>
          <w:szCs w:val="20"/>
        </w:rPr>
      </w:pPr>
      <w:bookmarkStart w:id="228" w:name="_ENREF_119"/>
      <w:r w:rsidRPr="006A70A3">
        <w:rPr>
          <w:sz w:val="20"/>
          <w:szCs w:val="20"/>
        </w:rPr>
        <w:t xml:space="preserve">Pollitt, C., &amp; Dan, S. (2011). </w:t>
      </w:r>
      <w:r w:rsidRPr="006A70A3">
        <w:rPr>
          <w:i/>
          <w:sz w:val="20"/>
          <w:szCs w:val="20"/>
        </w:rPr>
        <w:t>The Impacts of the New Public Management in Europe: A Meta-Analysis (COCOPS World Package 1 - Deliverable 1)</w:t>
      </w:r>
      <w:r w:rsidRPr="006A70A3">
        <w:rPr>
          <w:sz w:val="20"/>
          <w:szCs w:val="20"/>
        </w:rPr>
        <w:t>. Brussels: European Commission.</w:t>
      </w:r>
      <w:bookmarkEnd w:id="228"/>
    </w:p>
    <w:p w:rsidR="00CC56DB" w:rsidRPr="006A70A3" w:rsidRDefault="00CC56DB" w:rsidP="00CC56DB">
      <w:pPr>
        <w:pStyle w:val="EndNoteBibliography"/>
        <w:ind w:left="720" w:hanging="720"/>
        <w:rPr>
          <w:sz w:val="20"/>
          <w:szCs w:val="20"/>
        </w:rPr>
      </w:pPr>
      <w:bookmarkStart w:id="229" w:name="_ENREF_120"/>
      <w:r w:rsidRPr="006A70A3">
        <w:rPr>
          <w:sz w:val="20"/>
          <w:szCs w:val="20"/>
        </w:rPr>
        <w:t xml:space="preserve">Porter, D., Andrews, M., Turkewitz, J., &amp; Wescott, C. (2010). Managing Public Finance and Procurement in Fragile and Conflicted Settings </w:t>
      </w:r>
      <w:r w:rsidRPr="006A70A3">
        <w:rPr>
          <w:i/>
          <w:sz w:val="20"/>
          <w:szCs w:val="20"/>
        </w:rPr>
        <w:t>World Development Report 2011 background paper</w:t>
      </w:r>
      <w:r w:rsidRPr="006A70A3">
        <w:rPr>
          <w:sz w:val="20"/>
          <w:szCs w:val="20"/>
        </w:rPr>
        <w:t>. Washington DC: World Bank.</w:t>
      </w:r>
      <w:bookmarkEnd w:id="229"/>
    </w:p>
    <w:p w:rsidR="00CC56DB" w:rsidRPr="006A70A3" w:rsidRDefault="00CC56DB" w:rsidP="00CC56DB">
      <w:pPr>
        <w:pStyle w:val="EndNoteBibliography"/>
        <w:ind w:left="720" w:hanging="720"/>
        <w:rPr>
          <w:sz w:val="20"/>
          <w:szCs w:val="20"/>
        </w:rPr>
      </w:pPr>
      <w:bookmarkStart w:id="230" w:name="_ENREF_121"/>
      <w:r w:rsidRPr="006A70A3">
        <w:rPr>
          <w:sz w:val="20"/>
          <w:szCs w:val="20"/>
        </w:rPr>
        <w:t>Porter, D., Andrews, M., &amp; Wescott, C. (2010). Public Finance Management in Fragile and Conflicted Settings (Background Paper for World Development Report 2011). Washington DC: World Bank.</w:t>
      </w:r>
      <w:bookmarkEnd w:id="230"/>
    </w:p>
    <w:p w:rsidR="00CC56DB" w:rsidRPr="006A70A3" w:rsidRDefault="00CC56DB" w:rsidP="00CC56DB">
      <w:pPr>
        <w:pStyle w:val="EndNoteBibliography"/>
        <w:ind w:left="720" w:hanging="720"/>
        <w:rPr>
          <w:sz w:val="20"/>
          <w:szCs w:val="20"/>
        </w:rPr>
      </w:pPr>
      <w:bookmarkStart w:id="231" w:name="_ENREF_122"/>
      <w:r w:rsidRPr="006A70A3">
        <w:rPr>
          <w:sz w:val="20"/>
          <w:szCs w:val="20"/>
        </w:rPr>
        <w:t>Powles, A. (2013). The Private Sector, the Solomon Islands and the Peace-Economic Dividend: Learning from the RAMSI Experience. London: King's College.</w:t>
      </w:r>
      <w:bookmarkEnd w:id="231"/>
    </w:p>
    <w:p w:rsidR="00CC56DB" w:rsidRPr="006A70A3" w:rsidRDefault="00CC56DB" w:rsidP="00CC56DB">
      <w:pPr>
        <w:pStyle w:val="EndNoteBibliography"/>
        <w:ind w:left="720" w:hanging="720"/>
        <w:rPr>
          <w:sz w:val="20"/>
          <w:szCs w:val="20"/>
        </w:rPr>
      </w:pPr>
      <w:bookmarkStart w:id="232" w:name="_ENREF_123"/>
      <w:r w:rsidRPr="006A70A3">
        <w:rPr>
          <w:sz w:val="20"/>
          <w:szCs w:val="20"/>
        </w:rPr>
        <w:t xml:space="preserve">Pritchett, L., &amp; de Weijer, F. (2010). Fragile States: Stuck in a Capability Trap </w:t>
      </w:r>
      <w:r w:rsidRPr="006A70A3">
        <w:rPr>
          <w:i/>
          <w:sz w:val="20"/>
          <w:szCs w:val="20"/>
        </w:rPr>
        <w:t>World Development Report 2011 Background Papers</w:t>
      </w:r>
      <w:r w:rsidRPr="006A70A3">
        <w:rPr>
          <w:sz w:val="20"/>
          <w:szCs w:val="20"/>
        </w:rPr>
        <w:t>. Washington DC: World Bank.</w:t>
      </w:r>
      <w:bookmarkEnd w:id="232"/>
    </w:p>
    <w:p w:rsidR="00CC56DB" w:rsidRPr="006A70A3" w:rsidRDefault="00CC56DB" w:rsidP="00CC56DB">
      <w:pPr>
        <w:pStyle w:val="EndNoteBibliography"/>
        <w:ind w:left="720" w:hanging="720"/>
        <w:rPr>
          <w:sz w:val="20"/>
          <w:szCs w:val="20"/>
        </w:rPr>
      </w:pPr>
      <w:bookmarkStart w:id="233" w:name="_ENREF_124"/>
      <w:r w:rsidRPr="006A70A3">
        <w:rPr>
          <w:sz w:val="20"/>
          <w:szCs w:val="20"/>
        </w:rPr>
        <w:t xml:space="preserve">Pritchett, L., &amp; Woolcock, M. (2004). Solutions When the Solution Is the Problem: Arraying the Disarray in Development. </w:t>
      </w:r>
      <w:r w:rsidRPr="006A70A3">
        <w:rPr>
          <w:i/>
          <w:sz w:val="20"/>
          <w:szCs w:val="20"/>
        </w:rPr>
        <w:t>World Development, 32</w:t>
      </w:r>
      <w:r w:rsidRPr="006A70A3">
        <w:rPr>
          <w:sz w:val="20"/>
          <w:szCs w:val="20"/>
        </w:rPr>
        <w:t xml:space="preserve">(2), 191-212. </w:t>
      </w:r>
      <w:bookmarkEnd w:id="233"/>
    </w:p>
    <w:p w:rsidR="00CC56DB" w:rsidRPr="006A70A3" w:rsidRDefault="00CC56DB" w:rsidP="00CC56DB">
      <w:pPr>
        <w:pStyle w:val="EndNoteBibliography"/>
        <w:ind w:left="720" w:hanging="720"/>
        <w:rPr>
          <w:sz w:val="20"/>
          <w:szCs w:val="20"/>
        </w:rPr>
      </w:pPr>
      <w:bookmarkStart w:id="234" w:name="_ENREF_125"/>
      <w:r w:rsidRPr="006A70A3">
        <w:rPr>
          <w:sz w:val="20"/>
          <w:szCs w:val="20"/>
        </w:rPr>
        <w:t xml:space="preserve">Public Accounts Committee. (2014). Report on the 2014 Supplementary Appropriation Bill </w:t>
      </w:r>
      <w:r w:rsidRPr="006A70A3">
        <w:rPr>
          <w:i/>
          <w:sz w:val="20"/>
          <w:szCs w:val="20"/>
        </w:rPr>
        <w:t>National Parliament</w:t>
      </w:r>
      <w:r w:rsidRPr="006A70A3">
        <w:rPr>
          <w:sz w:val="20"/>
          <w:szCs w:val="20"/>
        </w:rPr>
        <w:t>. Honiara: National Parliament.</w:t>
      </w:r>
      <w:bookmarkEnd w:id="234"/>
    </w:p>
    <w:p w:rsidR="00CC56DB" w:rsidRPr="006A70A3" w:rsidRDefault="00CC56DB" w:rsidP="00CC56DB">
      <w:pPr>
        <w:pStyle w:val="EndNoteBibliography"/>
        <w:ind w:left="720" w:hanging="720"/>
        <w:rPr>
          <w:sz w:val="20"/>
          <w:szCs w:val="20"/>
        </w:rPr>
      </w:pPr>
      <w:bookmarkStart w:id="235" w:name="_ENREF_126"/>
      <w:r w:rsidRPr="006A70A3">
        <w:rPr>
          <w:sz w:val="20"/>
          <w:szCs w:val="20"/>
        </w:rPr>
        <w:t xml:space="preserve">Rodrik, D. (2005). Growth Strategies. In P. Aghion &amp; S. Durlauf (Eds.), </w:t>
      </w:r>
      <w:r w:rsidRPr="006A70A3">
        <w:rPr>
          <w:i/>
          <w:sz w:val="20"/>
          <w:szCs w:val="20"/>
        </w:rPr>
        <w:t>Handbook of Economic Growth</w:t>
      </w:r>
      <w:r w:rsidRPr="006A70A3">
        <w:rPr>
          <w:sz w:val="20"/>
          <w:szCs w:val="20"/>
        </w:rPr>
        <w:t>. Amsterdam: Elsevier.</w:t>
      </w:r>
      <w:bookmarkEnd w:id="235"/>
    </w:p>
    <w:p w:rsidR="00CC56DB" w:rsidRPr="006A70A3" w:rsidRDefault="00CC56DB" w:rsidP="00CC56DB">
      <w:pPr>
        <w:pStyle w:val="EndNoteBibliography"/>
        <w:ind w:left="720" w:hanging="720"/>
        <w:rPr>
          <w:sz w:val="20"/>
          <w:szCs w:val="20"/>
        </w:rPr>
      </w:pPr>
      <w:bookmarkStart w:id="236" w:name="_ENREF_127"/>
      <w:r w:rsidRPr="006A70A3">
        <w:rPr>
          <w:sz w:val="20"/>
          <w:szCs w:val="20"/>
        </w:rPr>
        <w:t xml:space="preserve">Rodrik, D. (2008). The New Development Economics: We Shall Experiment, but How Shall We Learn? </w:t>
      </w:r>
      <w:r w:rsidRPr="006A70A3">
        <w:rPr>
          <w:i/>
          <w:sz w:val="20"/>
          <w:szCs w:val="20"/>
        </w:rPr>
        <w:t>Faculty Research Working Paper Series</w:t>
      </w:r>
      <w:r w:rsidRPr="006A70A3">
        <w:rPr>
          <w:sz w:val="20"/>
          <w:szCs w:val="20"/>
        </w:rPr>
        <w:t>. Cambridge, Mass.: Harvard Kennedy School.</w:t>
      </w:r>
      <w:bookmarkEnd w:id="236"/>
    </w:p>
    <w:p w:rsidR="00CC56DB" w:rsidRPr="006A70A3" w:rsidRDefault="00CC56DB" w:rsidP="00CC56DB">
      <w:pPr>
        <w:pStyle w:val="EndNoteBibliography"/>
        <w:ind w:left="720" w:hanging="720"/>
        <w:rPr>
          <w:sz w:val="20"/>
          <w:szCs w:val="20"/>
        </w:rPr>
      </w:pPr>
      <w:bookmarkStart w:id="237" w:name="_ENREF_128"/>
      <w:r w:rsidRPr="006A70A3">
        <w:rPr>
          <w:sz w:val="20"/>
          <w:szCs w:val="20"/>
        </w:rPr>
        <w:t xml:space="preserve">Roll, M. (2014). Deciphering Pockets of Effectiveness. In M. Roll (Ed.), </w:t>
      </w:r>
      <w:r w:rsidRPr="006A70A3">
        <w:rPr>
          <w:i/>
          <w:sz w:val="20"/>
          <w:szCs w:val="20"/>
        </w:rPr>
        <w:t>The Politics of Public Sector Performance: Pockets of Effectiveness in Developing Countries</w:t>
      </w:r>
      <w:r w:rsidRPr="006A70A3">
        <w:rPr>
          <w:sz w:val="20"/>
          <w:szCs w:val="20"/>
        </w:rPr>
        <w:t xml:space="preserve"> (pp. 194-241). Abingdon, UK: Routledge.</w:t>
      </w:r>
      <w:bookmarkEnd w:id="237"/>
    </w:p>
    <w:p w:rsidR="00CC56DB" w:rsidRPr="006A70A3" w:rsidRDefault="00CC56DB" w:rsidP="00CC56DB">
      <w:pPr>
        <w:pStyle w:val="EndNoteBibliography"/>
        <w:ind w:left="720" w:hanging="720"/>
        <w:rPr>
          <w:sz w:val="20"/>
          <w:szCs w:val="20"/>
        </w:rPr>
      </w:pPr>
      <w:bookmarkStart w:id="238" w:name="_ENREF_129"/>
      <w:r w:rsidRPr="006A70A3">
        <w:rPr>
          <w:sz w:val="20"/>
          <w:szCs w:val="20"/>
        </w:rPr>
        <w:t>Rondinelli, D. A. (2006). Reforming Public Administration in Postconflict Societies - Implications for International Assistance. Washington DC: United States Agency for International Development.</w:t>
      </w:r>
      <w:bookmarkEnd w:id="238"/>
    </w:p>
    <w:p w:rsidR="00CC56DB" w:rsidRPr="006A70A3" w:rsidRDefault="00CC56DB" w:rsidP="00CC56DB">
      <w:pPr>
        <w:pStyle w:val="EndNoteBibliography"/>
        <w:ind w:left="720" w:hanging="720"/>
        <w:rPr>
          <w:sz w:val="20"/>
          <w:szCs w:val="20"/>
        </w:rPr>
      </w:pPr>
      <w:bookmarkStart w:id="239" w:name="_ENREF_130"/>
      <w:r w:rsidRPr="006A70A3">
        <w:rPr>
          <w:sz w:val="20"/>
          <w:szCs w:val="20"/>
        </w:rPr>
        <w:t>Sasako Calls for Immediate Dissolution of Parliament and Election (2014, 12 August, 2014).</w:t>
      </w:r>
      <w:r w:rsidRPr="006A70A3">
        <w:rPr>
          <w:i/>
          <w:sz w:val="20"/>
          <w:szCs w:val="20"/>
        </w:rPr>
        <w:t xml:space="preserve"> Solomon Star</w:t>
      </w:r>
      <w:r w:rsidRPr="006A70A3">
        <w:rPr>
          <w:sz w:val="20"/>
          <w:szCs w:val="20"/>
        </w:rPr>
        <w:t xml:space="preserve">. </w:t>
      </w:r>
      <w:bookmarkEnd w:id="239"/>
    </w:p>
    <w:p w:rsidR="00CC56DB" w:rsidRPr="006A70A3" w:rsidRDefault="00CC56DB" w:rsidP="00CC56DB">
      <w:pPr>
        <w:pStyle w:val="EndNoteBibliography"/>
        <w:ind w:left="720" w:hanging="720"/>
        <w:rPr>
          <w:sz w:val="20"/>
          <w:szCs w:val="20"/>
        </w:rPr>
      </w:pPr>
      <w:bookmarkStart w:id="240" w:name="_ENREF_131"/>
      <w:r w:rsidRPr="006A70A3">
        <w:rPr>
          <w:sz w:val="20"/>
          <w:szCs w:val="20"/>
        </w:rPr>
        <w:t xml:space="preserve">Schick, A. (1998). Why Most Developing Countries Should Not Try New Zealand's Reforms. </w:t>
      </w:r>
      <w:r w:rsidRPr="006A70A3">
        <w:rPr>
          <w:i/>
          <w:sz w:val="20"/>
          <w:szCs w:val="20"/>
        </w:rPr>
        <w:t>World Bank Research Observer (International), 13</w:t>
      </w:r>
      <w:r w:rsidRPr="006A70A3">
        <w:rPr>
          <w:sz w:val="20"/>
          <w:szCs w:val="20"/>
        </w:rPr>
        <w:t xml:space="preserve">, 23-31. </w:t>
      </w:r>
      <w:bookmarkEnd w:id="240"/>
    </w:p>
    <w:p w:rsidR="00CC56DB" w:rsidRPr="006A70A3" w:rsidRDefault="00CC56DB" w:rsidP="00CC56DB">
      <w:pPr>
        <w:pStyle w:val="EndNoteBibliography"/>
        <w:ind w:left="720" w:hanging="720"/>
        <w:rPr>
          <w:sz w:val="20"/>
          <w:szCs w:val="20"/>
        </w:rPr>
      </w:pPr>
      <w:bookmarkStart w:id="241" w:name="_ENREF_132"/>
      <w:r w:rsidRPr="006A70A3">
        <w:rPr>
          <w:sz w:val="20"/>
          <w:szCs w:val="20"/>
        </w:rPr>
        <w:t xml:space="preserve">Silberman, B. S. (1993). </w:t>
      </w:r>
      <w:r w:rsidRPr="006A70A3">
        <w:rPr>
          <w:i/>
          <w:sz w:val="20"/>
          <w:szCs w:val="20"/>
        </w:rPr>
        <w:t>Cages of Reason: The Rise of the Rational State in France, Japan, the United States, and Great Britain</w:t>
      </w:r>
      <w:r w:rsidRPr="006A70A3">
        <w:rPr>
          <w:sz w:val="20"/>
          <w:szCs w:val="20"/>
        </w:rPr>
        <w:t>. Chicago: University of Chicago Press.</w:t>
      </w:r>
      <w:bookmarkEnd w:id="241"/>
    </w:p>
    <w:p w:rsidR="00CC56DB" w:rsidRPr="006A70A3" w:rsidRDefault="00CC56DB" w:rsidP="00CC56DB">
      <w:pPr>
        <w:pStyle w:val="EndNoteBibliography"/>
        <w:ind w:left="720" w:hanging="720"/>
        <w:rPr>
          <w:sz w:val="20"/>
          <w:szCs w:val="20"/>
        </w:rPr>
      </w:pPr>
      <w:bookmarkStart w:id="242" w:name="_ENREF_133"/>
      <w:r w:rsidRPr="006A70A3">
        <w:rPr>
          <w:sz w:val="20"/>
          <w:szCs w:val="20"/>
        </w:rPr>
        <w:t>Act to Provide for the Human Resource Management of the Public Service and Related Matters (Bill) (2014).</w:t>
      </w:r>
      <w:bookmarkEnd w:id="242"/>
    </w:p>
    <w:p w:rsidR="00CC56DB" w:rsidRPr="006A70A3" w:rsidRDefault="00CC56DB" w:rsidP="00CC56DB">
      <w:pPr>
        <w:pStyle w:val="EndNoteBibliography"/>
        <w:ind w:left="720" w:hanging="720"/>
        <w:rPr>
          <w:sz w:val="20"/>
          <w:szCs w:val="20"/>
        </w:rPr>
      </w:pPr>
      <w:bookmarkStart w:id="243" w:name="_ENREF_134"/>
      <w:r w:rsidRPr="006A70A3">
        <w:rPr>
          <w:sz w:val="20"/>
          <w:szCs w:val="20"/>
        </w:rPr>
        <w:t>Solomon Islands Truth and Reconciliation Commission. (2012a). Solomon Islands Truth and Reconciliation Commission: Confronting the Truth for a Better Solomon Islands (Final Report, Volume I). Honiara, Solomon Islands: Solomon Islands Government.</w:t>
      </w:r>
      <w:bookmarkEnd w:id="243"/>
    </w:p>
    <w:p w:rsidR="00CC56DB" w:rsidRPr="006A70A3" w:rsidRDefault="00CC56DB" w:rsidP="00CC56DB">
      <w:pPr>
        <w:pStyle w:val="EndNoteBibliography"/>
        <w:ind w:left="720" w:hanging="720"/>
        <w:rPr>
          <w:sz w:val="20"/>
          <w:szCs w:val="20"/>
        </w:rPr>
      </w:pPr>
      <w:bookmarkStart w:id="244" w:name="_ENREF_135"/>
      <w:r w:rsidRPr="006A70A3">
        <w:rPr>
          <w:sz w:val="20"/>
          <w:szCs w:val="20"/>
        </w:rPr>
        <w:t>Solomon Islands Truth and Reconciliation Commission. (2012b). Solomon Islands Truth and Reconciliation Commission: Confronting the Truth for a Better Solomon Islands (Final Report, Volume II). Honiara, Solomon Islands: Solomon Islands Government.</w:t>
      </w:r>
      <w:bookmarkEnd w:id="244"/>
    </w:p>
    <w:p w:rsidR="00CC56DB" w:rsidRPr="006A70A3" w:rsidRDefault="00CC56DB" w:rsidP="00CC56DB">
      <w:pPr>
        <w:pStyle w:val="EndNoteBibliography"/>
        <w:ind w:left="720" w:hanging="720"/>
        <w:rPr>
          <w:sz w:val="20"/>
          <w:szCs w:val="20"/>
        </w:rPr>
      </w:pPr>
      <w:bookmarkStart w:id="245" w:name="_ENREF_136"/>
      <w:r w:rsidRPr="006A70A3">
        <w:rPr>
          <w:sz w:val="20"/>
          <w:szCs w:val="20"/>
        </w:rPr>
        <w:t>Solomon Islands Truth and Reconciliation Commission. (2012c). Solomon Islands Truth and Reconciliation Commission: Confronting the Truth for a Better Solomon Islands (Final Report, Volume III). Honiara, Solomon Islands: Solomon Islands Government.</w:t>
      </w:r>
      <w:bookmarkEnd w:id="245"/>
    </w:p>
    <w:p w:rsidR="00CC56DB" w:rsidRPr="006A70A3" w:rsidRDefault="00CC56DB" w:rsidP="00CC56DB">
      <w:pPr>
        <w:pStyle w:val="EndNoteBibliography"/>
        <w:ind w:left="720" w:hanging="720"/>
        <w:rPr>
          <w:sz w:val="20"/>
          <w:szCs w:val="20"/>
        </w:rPr>
      </w:pPr>
      <w:bookmarkStart w:id="246" w:name="_ENREF_137"/>
      <w:r w:rsidRPr="006A70A3">
        <w:rPr>
          <w:sz w:val="20"/>
          <w:szCs w:val="20"/>
        </w:rPr>
        <w:t xml:space="preserve">Steeves, J. S. (2006). Unbounded Politics in the Solomon Islands: Leadership and Party Alignments. </w:t>
      </w:r>
      <w:r w:rsidRPr="006A70A3">
        <w:rPr>
          <w:i/>
          <w:sz w:val="20"/>
          <w:szCs w:val="20"/>
        </w:rPr>
        <w:t>Pacific Studies, 19</w:t>
      </w:r>
      <w:r w:rsidRPr="006A70A3">
        <w:rPr>
          <w:sz w:val="20"/>
          <w:szCs w:val="20"/>
        </w:rPr>
        <w:t xml:space="preserve">(115-138). </w:t>
      </w:r>
      <w:bookmarkEnd w:id="246"/>
    </w:p>
    <w:p w:rsidR="00CC56DB" w:rsidRPr="006A70A3" w:rsidRDefault="00CC56DB" w:rsidP="00CC56DB">
      <w:pPr>
        <w:pStyle w:val="EndNoteBibliography"/>
        <w:ind w:left="720" w:hanging="720"/>
        <w:rPr>
          <w:sz w:val="20"/>
          <w:szCs w:val="20"/>
        </w:rPr>
      </w:pPr>
      <w:bookmarkStart w:id="247" w:name="_ENREF_138"/>
      <w:r w:rsidRPr="006A70A3">
        <w:rPr>
          <w:sz w:val="20"/>
          <w:szCs w:val="20"/>
        </w:rPr>
        <w:t xml:space="preserve">Stevens, M., &amp; Tegemann, S. (2004). Comparative Experience with Public Service Reform in Ghana, Tanzania and Zambia. In S. Kpundeh &amp; B. Levy (Eds.), </w:t>
      </w:r>
      <w:r w:rsidRPr="006A70A3">
        <w:rPr>
          <w:i/>
          <w:sz w:val="20"/>
          <w:szCs w:val="20"/>
        </w:rPr>
        <w:t>Building State Capacity in Africa</w:t>
      </w:r>
      <w:r w:rsidRPr="006A70A3">
        <w:rPr>
          <w:sz w:val="20"/>
          <w:szCs w:val="20"/>
        </w:rPr>
        <w:t xml:space="preserve"> (pp. 43-86). Washington DC: World Bank.</w:t>
      </w:r>
      <w:bookmarkEnd w:id="247"/>
    </w:p>
    <w:p w:rsidR="00CC56DB" w:rsidRPr="006A70A3" w:rsidRDefault="00CC56DB" w:rsidP="00CC56DB">
      <w:pPr>
        <w:pStyle w:val="EndNoteBibliography"/>
        <w:ind w:left="720" w:hanging="720"/>
        <w:rPr>
          <w:sz w:val="20"/>
          <w:szCs w:val="20"/>
        </w:rPr>
      </w:pPr>
      <w:bookmarkStart w:id="248" w:name="_ENREF_139"/>
      <w:r w:rsidRPr="006A70A3">
        <w:rPr>
          <w:sz w:val="20"/>
          <w:szCs w:val="20"/>
        </w:rPr>
        <w:t>Teskey, G. (2013a).</w:t>
      </w:r>
      <w:r w:rsidRPr="006A70A3">
        <w:rPr>
          <w:i/>
          <w:sz w:val="20"/>
          <w:szCs w:val="20"/>
        </w:rPr>
        <w:t xml:space="preserve"> Strengthening Accountability in the Solomons</w:t>
      </w:r>
      <w:r w:rsidRPr="006A70A3">
        <w:rPr>
          <w:sz w:val="20"/>
          <w:szCs w:val="20"/>
        </w:rPr>
        <w:t>. Canberra.</w:t>
      </w:r>
      <w:bookmarkEnd w:id="248"/>
    </w:p>
    <w:p w:rsidR="00CC56DB" w:rsidRPr="006A70A3" w:rsidRDefault="00CC56DB" w:rsidP="00CC56DB">
      <w:pPr>
        <w:pStyle w:val="EndNoteBibliography"/>
        <w:ind w:left="720" w:hanging="720"/>
        <w:rPr>
          <w:sz w:val="20"/>
          <w:szCs w:val="20"/>
        </w:rPr>
      </w:pPr>
      <w:bookmarkStart w:id="249" w:name="_ENREF_140"/>
      <w:r w:rsidRPr="006A70A3">
        <w:rPr>
          <w:sz w:val="20"/>
          <w:szCs w:val="20"/>
        </w:rPr>
        <w:t>Teskey, G. (2013b).</w:t>
      </w:r>
      <w:r w:rsidRPr="006A70A3">
        <w:rPr>
          <w:i/>
          <w:sz w:val="20"/>
          <w:szCs w:val="20"/>
        </w:rPr>
        <w:t xml:space="preserve"> Summary of Outcomes: Solomon Islands Governance Workshop II (Honiara, 19-22 March, 2013)</w:t>
      </w:r>
      <w:r w:rsidRPr="006A70A3">
        <w:rPr>
          <w:sz w:val="20"/>
          <w:szCs w:val="20"/>
        </w:rPr>
        <w:t>. Canberra.</w:t>
      </w:r>
      <w:bookmarkEnd w:id="249"/>
    </w:p>
    <w:p w:rsidR="00CC56DB" w:rsidRPr="006A70A3" w:rsidRDefault="00CC56DB" w:rsidP="00CC56DB">
      <w:pPr>
        <w:pStyle w:val="EndNoteBibliography"/>
        <w:ind w:left="720" w:hanging="720"/>
        <w:rPr>
          <w:sz w:val="20"/>
          <w:szCs w:val="20"/>
        </w:rPr>
      </w:pPr>
      <w:bookmarkStart w:id="250" w:name="_ENREF_141"/>
      <w:r w:rsidRPr="006A70A3">
        <w:rPr>
          <w:sz w:val="20"/>
          <w:szCs w:val="20"/>
        </w:rPr>
        <w:t>Tommasi, D. (2009). Strengthening Public Expenditure Management in Developing Countries: Sequencing Issues. Brussels: Capacity4dev.eu.</w:t>
      </w:r>
      <w:bookmarkEnd w:id="250"/>
    </w:p>
    <w:p w:rsidR="00CC56DB" w:rsidRPr="006A70A3" w:rsidRDefault="00CC56DB" w:rsidP="00CC56DB">
      <w:pPr>
        <w:pStyle w:val="EndNoteBibliography"/>
        <w:ind w:left="720" w:hanging="720"/>
        <w:rPr>
          <w:sz w:val="20"/>
          <w:szCs w:val="20"/>
        </w:rPr>
      </w:pPr>
      <w:bookmarkStart w:id="251" w:name="_ENREF_142"/>
      <w:r w:rsidRPr="006A70A3">
        <w:rPr>
          <w:sz w:val="20"/>
          <w:szCs w:val="20"/>
        </w:rPr>
        <w:t>Valentine, T. R. (2002). A Medium-Term Strategy for Enhancing Pay and Conditions of Service in the Zambian Public Service (Final Report). Lusaka, Zambia: Management Development Division, Cabinet Office.</w:t>
      </w:r>
      <w:bookmarkEnd w:id="251"/>
    </w:p>
    <w:p w:rsidR="00CC56DB" w:rsidRPr="006A70A3" w:rsidRDefault="00CC56DB" w:rsidP="00CC56DB">
      <w:pPr>
        <w:pStyle w:val="EndNoteBibliography"/>
        <w:ind w:left="720" w:hanging="720"/>
        <w:rPr>
          <w:sz w:val="20"/>
          <w:szCs w:val="20"/>
        </w:rPr>
      </w:pPr>
      <w:bookmarkStart w:id="252" w:name="_ENREF_143"/>
      <w:r w:rsidRPr="006A70A3">
        <w:rPr>
          <w:sz w:val="20"/>
          <w:szCs w:val="20"/>
        </w:rPr>
        <w:lastRenderedPageBreak/>
        <w:t>Van Dooren, W., Lonti, Z., Sterck, M., &amp; Bouckaert, G. (2007). Institutional Drivers of Efficiency in the Public Sector. Paris: OECD.</w:t>
      </w:r>
      <w:bookmarkEnd w:id="252"/>
    </w:p>
    <w:p w:rsidR="00CC56DB" w:rsidRPr="006A70A3" w:rsidRDefault="00CC56DB" w:rsidP="00CC56DB">
      <w:pPr>
        <w:pStyle w:val="EndNoteBibliography"/>
        <w:ind w:left="720" w:hanging="720"/>
        <w:rPr>
          <w:sz w:val="20"/>
          <w:szCs w:val="20"/>
        </w:rPr>
      </w:pPr>
      <w:bookmarkStart w:id="253" w:name="_ENREF_144"/>
      <w:r w:rsidRPr="006A70A3">
        <w:rPr>
          <w:sz w:val="20"/>
          <w:szCs w:val="20"/>
        </w:rPr>
        <w:t xml:space="preserve">Weber, M. (1978). </w:t>
      </w:r>
      <w:r w:rsidRPr="006A70A3">
        <w:rPr>
          <w:i/>
          <w:sz w:val="20"/>
          <w:szCs w:val="20"/>
        </w:rPr>
        <w:t>Economy and Society (Vol. 2)</w:t>
      </w:r>
      <w:r w:rsidRPr="006A70A3">
        <w:rPr>
          <w:sz w:val="20"/>
          <w:szCs w:val="20"/>
        </w:rPr>
        <w:t>. Berkely, CA: University of California Press.</w:t>
      </w:r>
      <w:bookmarkEnd w:id="253"/>
    </w:p>
    <w:p w:rsidR="00CC56DB" w:rsidRPr="006A70A3" w:rsidRDefault="00CC56DB" w:rsidP="00CC56DB">
      <w:pPr>
        <w:pStyle w:val="EndNoteBibliography"/>
        <w:ind w:left="720" w:hanging="720"/>
        <w:rPr>
          <w:sz w:val="20"/>
          <w:szCs w:val="20"/>
        </w:rPr>
      </w:pPr>
      <w:bookmarkStart w:id="254" w:name="_ENREF_145"/>
      <w:r w:rsidRPr="006A70A3">
        <w:rPr>
          <w:sz w:val="20"/>
          <w:szCs w:val="20"/>
        </w:rPr>
        <w:t xml:space="preserve">Wood, T. (2013). RAMSI: Lessons on the Role for Aid. </w:t>
      </w:r>
      <w:bookmarkEnd w:id="254"/>
    </w:p>
    <w:p w:rsidR="00CC56DB" w:rsidRPr="006A70A3" w:rsidRDefault="00CC56DB" w:rsidP="00CC56DB">
      <w:pPr>
        <w:pStyle w:val="EndNoteBibliography"/>
        <w:ind w:left="720" w:hanging="720"/>
        <w:rPr>
          <w:sz w:val="20"/>
          <w:szCs w:val="20"/>
        </w:rPr>
      </w:pPr>
      <w:bookmarkStart w:id="255" w:name="_ENREF_146"/>
      <w:r w:rsidRPr="006A70A3">
        <w:rPr>
          <w:sz w:val="20"/>
          <w:szCs w:val="20"/>
        </w:rPr>
        <w:t xml:space="preserve">Wood, T., &amp; Howes, S. (Eds.). (2013). </w:t>
      </w:r>
      <w:r w:rsidRPr="006A70A3">
        <w:rPr>
          <w:i/>
          <w:sz w:val="20"/>
          <w:szCs w:val="20"/>
        </w:rPr>
        <w:t>Debating Ten Years of RAMSI</w:t>
      </w:r>
      <w:r w:rsidRPr="006A70A3">
        <w:rPr>
          <w:sz w:val="20"/>
          <w:szCs w:val="20"/>
        </w:rPr>
        <w:t>. Acton, ACT: Development Policy Centre, Crawford School of Public Policy.</w:t>
      </w:r>
      <w:bookmarkEnd w:id="255"/>
    </w:p>
    <w:p w:rsidR="00CC56DB" w:rsidRPr="006A70A3" w:rsidRDefault="00CC56DB" w:rsidP="00CC56DB">
      <w:pPr>
        <w:pStyle w:val="EndNoteBibliography"/>
        <w:ind w:left="720" w:hanging="720"/>
        <w:rPr>
          <w:sz w:val="20"/>
          <w:szCs w:val="20"/>
        </w:rPr>
      </w:pPr>
      <w:bookmarkStart w:id="256" w:name="_ENREF_147"/>
      <w:r w:rsidRPr="006A70A3">
        <w:rPr>
          <w:sz w:val="20"/>
          <w:szCs w:val="20"/>
        </w:rPr>
        <w:t xml:space="preserve">World Bank. (1998). </w:t>
      </w:r>
      <w:r w:rsidRPr="006A70A3">
        <w:rPr>
          <w:i/>
          <w:sz w:val="20"/>
          <w:szCs w:val="20"/>
        </w:rPr>
        <w:t>Public Expenditure Management Handbook</w:t>
      </w:r>
      <w:r w:rsidRPr="006A70A3">
        <w:rPr>
          <w:sz w:val="20"/>
          <w:szCs w:val="20"/>
        </w:rPr>
        <w:t>. Washington DC: World Bank.</w:t>
      </w:r>
      <w:bookmarkEnd w:id="256"/>
    </w:p>
    <w:p w:rsidR="00CC56DB" w:rsidRPr="006A70A3" w:rsidRDefault="00CC56DB" w:rsidP="00CC56DB">
      <w:pPr>
        <w:pStyle w:val="EndNoteBibliography"/>
        <w:ind w:left="720" w:hanging="720"/>
        <w:rPr>
          <w:sz w:val="20"/>
          <w:szCs w:val="20"/>
        </w:rPr>
      </w:pPr>
      <w:bookmarkStart w:id="257" w:name="_ENREF_148"/>
      <w:r w:rsidRPr="006A70A3">
        <w:rPr>
          <w:sz w:val="20"/>
          <w:szCs w:val="20"/>
        </w:rPr>
        <w:t xml:space="preserve">World Bank. (2002). Thailand's Hurdle Approach to Budget Reform </w:t>
      </w:r>
      <w:r w:rsidRPr="006A70A3">
        <w:rPr>
          <w:i/>
          <w:sz w:val="20"/>
          <w:szCs w:val="20"/>
        </w:rPr>
        <w:t>PREM Notes</w:t>
      </w:r>
      <w:r w:rsidRPr="006A70A3">
        <w:rPr>
          <w:sz w:val="20"/>
          <w:szCs w:val="20"/>
        </w:rPr>
        <w:t>. Washington DC: World Bank.</w:t>
      </w:r>
      <w:bookmarkEnd w:id="257"/>
    </w:p>
    <w:p w:rsidR="00CC56DB" w:rsidRPr="006A70A3" w:rsidRDefault="00CC56DB" w:rsidP="00CC56DB">
      <w:pPr>
        <w:pStyle w:val="EndNoteBibliography"/>
        <w:ind w:left="720" w:hanging="720"/>
        <w:rPr>
          <w:sz w:val="20"/>
          <w:szCs w:val="20"/>
        </w:rPr>
      </w:pPr>
      <w:bookmarkStart w:id="258" w:name="_ENREF_149"/>
      <w:r w:rsidRPr="006A70A3">
        <w:rPr>
          <w:sz w:val="20"/>
          <w:szCs w:val="20"/>
        </w:rPr>
        <w:t xml:space="preserve">World Bank. (2011). </w:t>
      </w:r>
      <w:r w:rsidRPr="006A70A3">
        <w:rPr>
          <w:i/>
          <w:sz w:val="20"/>
          <w:szCs w:val="20"/>
        </w:rPr>
        <w:t>World Development Report: Conflict, Security and Development</w:t>
      </w:r>
      <w:r w:rsidRPr="006A70A3">
        <w:rPr>
          <w:sz w:val="20"/>
          <w:szCs w:val="20"/>
        </w:rPr>
        <w:t>. Washington DC: World Bank.</w:t>
      </w:r>
      <w:bookmarkEnd w:id="258"/>
    </w:p>
    <w:p w:rsidR="00CC56DB" w:rsidRPr="006A70A3" w:rsidRDefault="00CC56DB" w:rsidP="00CC56DB">
      <w:pPr>
        <w:pStyle w:val="EndNoteBibliography"/>
        <w:ind w:left="720" w:hanging="720"/>
        <w:rPr>
          <w:sz w:val="20"/>
          <w:szCs w:val="20"/>
        </w:rPr>
      </w:pPr>
      <w:bookmarkStart w:id="259" w:name="_ENREF_150"/>
      <w:r w:rsidRPr="006A70A3">
        <w:rPr>
          <w:sz w:val="20"/>
          <w:szCs w:val="20"/>
        </w:rPr>
        <w:t>World Bank. (2012). The World Bank’s Approach to Public Sector Management 2011-2020: Better Results from Public Sector Institutions. Washington DC: World Bank.</w:t>
      </w:r>
      <w:bookmarkEnd w:id="259"/>
    </w:p>
    <w:p w:rsidR="00CC56DB" w:rsidRPr="006A70A3" w:rsidRDefault="00CC56DB" w:rsidP="00CC56DB">
      <w:pPr>
        <w:pStyle w:val="EndNoteBibliography"/>
        <w:ind w:left="720" w:hanging="720"/>
        <w:rPr>
          <w:sz w:val="20"/>
          <w:szCs w:val="20"/>
        </w:rPr>
      </w:pPr>
      <w:bookmarkStart w:id="260" w:name="_ENREF_151"/>
      <w:r w:rsidRPr="006A70A3">
        <w:rPr>
          <w:sz w:val="20"/>
          <w:szCs w:val="20"/>
        </w:rPr>
        <w:t>World Bank. (2013).</w:t>
      </w:r>
      <w:r w:rsidRPr="006A70A3">
        <w:rPr>
          <w:i/>
          <w:sz w:val="20"/>
          <w:szCs w:val="20"/>
        </w:rPr>
        <w:t xml:space="preserve"> Constituency Development Funds: Briefing Note</w:t>
      </w:r>
      <w:r w:rsidRPr="006A70A3">
        <w:rPr>
          <w:sz w:val="20"/>
          <w:szCs w:val="20"/>
        </w:rPr>
        <w:t>. Honiara, Solomon Islands.</w:t>
      </w:r>
      <w:bookmarkEnd w:id="260"/>
    </w:p>
    <w:p w:rsidR="00CC56DB" w:rsidRPr="006A70A3" w:rsidRDefault="00CC56DB" w:rsidP="00CC56DB">
      <w:pPr>
        <w:pStyle w:val="EndNoteBibliography"/>
        <w:ind w:left="720" w:hanging="720"/>
        <w:rPr>
          <w:sz w:val="20"/>
          <w:szCs w:val="20"/>
        </w:rPr>
      </w:pPr>
      <w:bookmarkStart w:id="261" w:name="_ENREF_152"/>
      <w:r w:rsidRPr="006A70A3">
        <w:rPr>
          <w:sz w:val="20"/>
          <w:szCs w:val="20"/>
        </w:rPr>
        <w:t>World Bank. (2014a). Provincial Financing Assessment: Community Officer Project. Washington DC: World Bank.</w:t>
      </w:r>
      <w:bookmarkEnd w:id="261"/>
    </w:p>
    <w:p w:rsidR="00CC56DB" w:rsidRPr="006A70A3" w:rsidRDefault="00CC56DB" w:rsidP="00CC56DB">
      <w:pPr>
        <w:pStyle w:val="EndNoteBibliography"/>
        <w:ind w:left="720" w:hanging="720"/>
        <w:rPr>
          <w:sz w:val="20"/>
          <w:szCs w:val="20"/>
        </w:rPr>
      </w:pPr>
      <w:bookmarkStart w:id="262" w:name="_ENREF_153"/>
      <w:r w:rsidRPr="006A70A3">
        <w:rPr>
          <w:sz w:val="20"/>
          <w:szCs w:val="20"/>
        </w:rPr>
        <w:t xml:space="preserve">World Bank. (2014b). Provincial Financing Assessment: Community Officer Project. Honiara, Solomon Islands: World Bank </w:t>
      </w:r>
      <w:bookmarkEnd w:id="262"/>
    </w:p>
    <w:p w:rsidR="00CC56DB" w:rsidRPr="006A70A3" w:rsidRDefault="00CC56DB" w:rsidP="00CC56DB">
      <w:pPr>
        <w:pStyle w:val="EndNoteBibliography"/>
        <w:ind w:left="720" w:hanging="720"/>
        <w:rPr>
          <w:sz w:val="20"/>
          <w:szCs w:val="20"/>
        </w:rPr>
      </w:pPr>
      <w:bookmarkStart w:id="263" w:name="_ENREF_154"/>
      <w:r w:rsidRPr="006A70A3">
        <w:rPr>
          <w:sz w:val="20"/>
          <w:szCs w:val="20"/>
        </w:rPr>
        <w:t>Zhou, Y. (2006). Sierra Leone: The Role of the Rapid Results Approach in Decentralization and Strengthening Local Governance. Washington DC: World Bank.</w:t>
      </w:r>
      <w:bookmarkEnd w:id="263"/>
    </w:p>
    <w:p w:rsidR="00370053" w:rsidRPr="00F71B40" w:rsidRDefault="00115AC9" w:rsidP="00D62A32">
      <w:pPr>
        <w:spacing w:after="200" w:line="276" w:lineRule="auto"/>
        <w:rPr>
          <w:lang w:val="en-AU"/>
        </w:rPr>
      </w:pPr>
      <w:r w:rsidRPr="006A70A3">
        <w:rPr>
          <w:rFonts w:cs="Times New Roman"/>
          <w:noProof/>
          <w:sz w:val="20"/>
          <w:szCs w:val="20"/>
          <w:lang w:val="en-AU"/>
        </w:rPr>
        <w:fldChar w:fldCharType="end"/>
      </w:r>
    </w:p>
    <w:sectPr w:rsidR="00370053" w:rsidRPr="00F71B40">
      <w:footerReference w:type="default" r:id="rId29"/>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5993" w:rsidRDefault="002A5993" w:rsidP="00267F8F">
      <w:r>
        <w:separator/>
      </w:r>
    </w:p>
  </w:endnote>
  <w:endnote w:type="continuationSeparator" w:id="0">
    <w:p w:rsidR="002A5993" w:rsidRDefault="002A5993" w:rsidP="00267F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dobe Garamond Pro">
    <w:altName w:val="Adobe Garamond Pro"/>
    <w:panose1 w:val="00000000000000000000"/>
    <w:charset w:val="00"/>
    <w:family w:val="roman"/>
    <w:notTrueType/>
    <w:pitch w:val="variable"/>
    <w:sig w:usb0="00000007" w:usb1="00000001" w:usb2="00000000" w:usb3="00000000" w:csb0="00000093"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MU Serif Roman">
    <w:altName w:val="Cambria Math"/>
    <w:charset w:val="00"/>
    <w:family w:val="auto"/>
    <w:pitch w:val="variable"/>
    <w:sig w:usb0="00000001" w:usb1="5201E9EB" w:usb2="02000004" w:usb3="00000000" w:csb0="0000019F" w:csb1="00000000"/>
  </w:font>
  <w:font w:name="Times-Roma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EC0" w:rsidRDefault="00806EC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5983930"/>
      <w:docPartObj>
        <w:docPartGallery w:val="Page Numbers (Bottom of Page)"/>
        <w:docPartUnique/>
      </w:docPartObj>
    </w:sdtPr>
    <w:sdtEndPr>
      <w:rPr>
        <w:noProof/>
      </w:rPr>
    </w:sdtEndPr>
    <w:sdtContent>
      <w:p w:rsidR="00F57583" w:rsidRDefault="00F57583">
        <w:pPr>
          <w:pStyle w:val="Footer"/>
          <w:jc w:val="center"/>
        </w:pPr>
        <w:r>
          <w:fldChar w:fldCharType="begin"/>
        </w:r>
        <w:r>
          <w:instrText xml:space="preserve"> PAGE   \* MERGEFORMAT </w:instrText>
        </w:r>
        <w:r>
          <w:fldChar w:fldCharType="separate"/>
        </w:r>
        <w:r w:rsidR="00806EC0">
          <w:rPr>
            <w:noProof/>
          </w:rPr>
          <w:t>5</w:t>
        </w:r>
        <w:r>
          <w:rPr>
            <w:noProof/>
          </w:rPr>
          <w:fldChar w:fldCharType="end"/>
        </w:r>
      </w:p>
    </w:sdtContent>
  </w:sdt>
  <w:p w:rsidR="00F57583" w:rsidRDefault="00F5758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EC0" w:rsidRDefault="00806EC0">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0146978"/>
      <w:docPartObj>
        <w:docPartGallery w:val="Page Numbers (Bottom of Page)"/>
        <w:docPartUnique/>
      </w:docPartObj>
    </w:sdtPr>
    <w:sdtEndPr>
      <w:rPr>
        <w:noProof/>
      </w:rPr>
    </w:sdtEndPr>
    <w:sdtContent>
      <w:p w:rsidR="00F57583" w:rsidRDefault="00F57583">
        <w:pPr>
          <w:pStyle w:val="Footer"/>
          <w:jc w:val="center"/>
        </w:pPr>
        <w:r>
          <w:fldChar w:fldCharType="begin"/>
        </w:r>
        <w:r>
          <w:instrText xml:space="preserve"> PAGE   \* MERGEFORMAT </w:instrText>
        </w:r>
        <w:r>
          <w:fldChar w:fldCharType="separate"/>
        </w:r>
        <w:r w:rsidR="00806EC0">
          <w:rPr>
            <w:noProof/>
          </w:rPr>
          <w:t>51</w:t>
        </w:r>
        <w:r>
          <w:rPr>
            <w:noProof/>
          </w:rPr>
          <w:fldChar w:fldCharType="end"/>
        </w:r>
      </w:p>
    </w:sdtContent>
  </w:sdt>
  <w:p w:rsidR="00F57583" w:rsidRDefault="00F5758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5993" w:rsidRDefault="002A5993" w:rsidP="00267F8F">
      <w:r>
        <w:separator/>
      </w:r>
    </w:p>
  </w:footnote>
  <w:footnote w:type="continuationSeparator" w:id="0">
    <w:p w:rsidR="002A5993" w:rsidRDefault="002A5993" w:rsidP="00267F8F">
      <w:r>
        <w:continuationSeparator/>
      </w:r>
    </w:p>
  </w:footnote>
  <w:footnote w:id="1">
    <w:p w:rsidR="00F57583" w:rsidRPr="005E595C" w:rsidRDefault="00F57583" w:rsidP="00A215D0">
      <w:pPr>
        <w:pStyle w:val="FootnoteText"/>
        <w:ind w:left="360" w:hanging="360"/>
        <w:rPr>
          <w:rFonts w:ascii="Times New Roman" w:hAnsi="Times New Roman"/>
        </w:rPr>
      </w:pPr>
      <w:r w:rsidRPr="005E595C">
        <w:rPr>
          <w:rStyle w:val="FootnoteReference"/>
          <w:rFonts w:ascii="Times New Roman" w:hAnsi="Times New Roman"/>
        </w:rPr>
        <w:footnoteRef/>
      </w:r>
      <w:r w:rsidRPr="005E595C">
        <w:rPr>
          <w:rFonts w:ascii="Times New Roman" w:hAnsi="Times New Roman"/>
        </w:rPr>
        <w:t xml:space="preserve"> </w:t>
      </w:r>
      <w:r w:rsidRPr="005E595C">
        <w:rPr>
          <w:rFonts w:ascii="Times New Roman" w:hAnsi="Times New Roman"/>
        </w:rPr>
        <w:tab/>
      </w:r>
      <w:r>
        <w:rPr>
          <w:rFonts w:ascii="Times New Roman" w:hAnsi="Times New Roman"/>
        </w:rPr>
        <w:fldChar w:fldCharType="begin"/>
      </w:r>
      <w:r>
        <w:rPr>
          <w:rFonts w:ascii="Times New Roman" w:hAnsi="Times New Roman"/>
        </w:rPr>
        <w:instrText xml:space="preserve"> ADDIN EN.CITE &lt;EndNote&gt;&lt;Cite&gt;&lt;Author&gt;Moustafa&lt;/Author&gt;&lt;Year&gt;2014&lt;/Year&gt;&lt;RecNum&gt;4361&lt;/RecNum&gt;&lt;Suffix&gt;`, table 1.1&lt;/Suffix&gt;&lt;DisplayText&gt;(Moustafa &amp;amp; Abbott, 2014, table 1.1)&lt;/DisplayText&gt;&lt;record&gt;&lt;rec-number&gt;4361&lt;/rec-number&gt;&lt;foreign-keys&gt;&lt;key app="EN" db-id="5v9z5rrdszvwsneef06v9dapsd0apdtfapdx" timestamp="1410356732"&gt;4361&lt;/key&gt;&lt;/foreign-keys&gt;&lt;ref-type name="Book"&gt;6&lt;/ref-type&gt;&lt;contributors&gt;&lt;authors&gt;&lt;author&gt;Ahmed Moustafa&lt;/author&gt;&lt;author&gt;David Abbott&lt;/author&gt;&lt;/authors&gt;&lt;/contributors&gt;&lt;titles&gt;&lt;title&gt;THE STATE OF HUMAN DEVELOPMENT IN THE PACIFIC: A REPORT ON VULNERABILITY AND EXCLUSION IN A TIME OF RAPID CHANGE&lt;/title&gt;&lt;/titles&gt;&lt;dates&gt;&lt;year&gt;2014&lt;/year&gt;&lt;/dates&gt;&lt;pub-location&gt;Suva, Fiji&lt;/pub-location&gt;&lt;publisher&gt;UNDP&lt;/publisher&gt;&lt;urls&gt;&lt;/urls&gt;&lt;/record&gt;&lt;/Cite&gt;&lt;/EndNote&gt;</w:instrText>
      </w:r>
      <w:r>
        <w:rPr>
          <w:rFonts w:ascii="Times New Roman" w:hAnsi="Times New Roman"/>
        </w:rPr>
        <w:fldChar w:fldCharType="separate"/>
      </w:r>
      <w:r>
        <w:rPr>
          <w:rFonts w:ascii="Times New Roman" w:hAnsi="Times New Roman"/>
          <w:noProof/>
        </w:rPr>
        <w:t>(</w:t>
      </w:r>
      <w:hyperlink w:anchor="_ENREF_109" w:tooltip="Moustafa, 2014 #4361" w:history="1">
        <w:r w:rsidR="00CC56DB">
          <w:rPr>
            <w:rFonts w:ascii="Times New Roman" w:hAnsi="Times New Roman"/>
            <w:noProof/>
          </w:rPr>
          <w:t>Moustafa &amp; Abbott, 2014, table 1.1</w:t>
        </w:r>
      </w:hyperlink>
      <w:r>
        <w:rPr>
          <w:rFonts w:ascii="Times New Roman" w:hAnsi="Times New Roman"/>
          <w:noProof/>
        </w:rPr>
        <w:t>)</w:t>
      </w:r>
      <w:r>
        <w:rPr>
          <w:rFonts w:ascii="Times New Roman" w:hAnsi="Times New Roman"/>
        </w:rPr>
        <w:fldChar w:fldCharType="end"/>
      </w:r>
      <w:r w:rsidRPr="005E595C">
        <w:rPr>
          <w:rFonts w:ascii="Times New Roman" w:hAnsi="Times New Roman"/>
        </w:rPr>
        <w:t xml:space="preserve"> shows that the recent average annual improvement in the Human Development Index is lower in the Solomon Islands than in all other countries in the region where the data are available.</w:t>
      </w:r>
      <w:r w:rsidR="00E256D6">
        <w:rPr>
          <w:rFonts w:ascii="Times New Roman" w:hAnsi="Times New Roman"/>
        </w:rPr>
        <w:t xml:space="preserve">  </w:t>
      </w:r>
      <w:r>
        <w:rPr>
          <w:rFonts w:ascii="Times New Roman" w:hAnsi="Times New Roman"/>
        </w:rPr>
        <w:t xml:space="preserve">The report also notes that youth unemployment is just </w:t>
      </w:r>
      <w:proofErr w:type="gramStart"/>
      <w:r>
        <w:rPr>
          <w:rFonts w:ascii="Times New Roman" w:hAnsi="Times New Roman"/>
        </w:rPr>
        <w:t>under</w:t>
      </w:r>
      <w:proofErr w:type="gramEnd"/>
      <w:r>
        <w:rPr>
          <w:rFonts w:ascii="Times New Roman" w:hAnsi="Times New Roman"/>
        </w:rPr>
        <w:t xml:space="preserve"> 50%.</w:t>
      </w:r>
    </w:p>
  </w:footnote>
  <w:footnote w:id="2">
    <w:p w:rsidR="00F57583" w:rsidRDefault="00F57583" w:rsidP="00AF3E41">
      <w:pPr>
        <w:pStyle w:val="FootnoteText"/>
        <w:ind w:left="360" w:hanging="360"/>
      </w:pPr>
      <w:r>
        <w:rPr>
          <w:rStyle w:val="FootnoteReference"/>
        </w:rPr>
        <w:footnoteRef/>
      </w:r>
      <w:r>
        <w:t xml:space="preserve"> </w:t>
      </w:r>
      <w:r>
        <w:tab/>
      </w:r>
      <w:r>
        <w:rPr>
          <w:rFonts w:ascii="Times New Roman" w:hAnsi="Times New Roman"/>
        </w:rPr>
        <w:fldChar w:fldCharType="begin"/>
      </w:r>
      <w:r>
        <w:rPr>
          <w:rFonts w:ascii="Times New Roman" w:hAnsi="Times New Roman"/>
        </w:rPr>
        <w:instrText xml:space="preserve"> ADDIN EN.CITE &lt;EndNote&gt;&lt;Cite&gt;&lt;Author&gt;Dixon&lt;/Author&gt;&lt;Year&gt;2012&lt;/Year&gt;&lt;RecNum&gt;4331&lt;/RecNum&gt;&lt;Suffix&gt;`,Annex 1&lt;/Suffix&gt;&lt;DisplayText&gt;(Dixon et al., 2012,Annex 1)&lt;/DisplayText&gt;&lt;record&gt;&lt;rec-number&gt;4331&lt;/rec-number&gt;&lt;foreign-keys&gt;&lt;key app="EN" db-id="5v9z5rrdszvwsneef06v9dapsd0apdtfapdx" timestamp="1408738818"&gt;4331&lt;/key&gt;&lt;/foreign-keys&gt;&lt;ref-type name="Book Section"&gt;5&lt;/ref-type&gt;&lt;contributors&gt;&lt;authors&gt;&lt;author&gt;Geoff Dixon&lt;/author&gt;&lt;author&gt;Michael Anderson&lt;/author&gt;&lt;author&gt;Peter Deacon&lt;/author&gt;&lt;author&gt;Merrylyn Kodoleke&lt;/author&gt;&lt;author&gt;Mike Loudon&lt;/author&gt;&lt;/authors&gt;&lt;/contributors&gt;&lt;titles&gt;&lt;title&gt;FINANCIAL AND ECONOMIC MANAGEMENT SUPPORT PROGRAM (FEMSP) Mid term review&lt;/title&gt;&lt;/titles&gt;&lt;dates&gt;&lt;year&gt;2012&lt;/year&gt;&lt;/dates&gt;&lt;pub-location&gt;Canberra&lt;/pub-location&gt;&lt;publisher&gt;RAMSI&lt;/publisher&gt;&lt;urls&gt;&lt;/urls&gt;&lt;/record&gt;&lt;/Cite&gt;&lt;/EndNote&gt;</w:instrText>
      </w:r>
      <w:r>
        <w:rPr>
          <w:rFonts w:ascii="Times New Roman" w:hAnsi="Times New Roman"/>
        </w:rPr>
        <w:fldChar w:fldCharType="separate"/>
      </w:r>
      <w:r>
        <w:rPr>
          <w:rFonts w:ascii="Times New Roman" w:hAnsi="Times New Roman"/>
          <w:noProof/>
        </w:rPr>
        <w:t>(</w:t>
      </w:r>
      <w:hyperlink w:anchor="_ENREF_56" w:tooltip="Dixon, 2012 #4331" w:history="1">
        <w:r w:rsidR="00CC56DB">
          <w:rPr>
            <w:rFonts w:ascii="Times New Roman" w:hAnsi="Times New Roman"/>
            <w:noProof/>
          </w:rPr>
          <w:t>Dixon et al., 2012,Annex 1</w:t>
        </w:r>
      </w:hyperlink>
      <w:r>
        <w:rPr>
          <w:rFonts w:ascii="Times New Roman" w:hAnsi="Times New Roman"/>
          <w:noProof/>
        </w:rPr>
        <w:t>)</w:t>
      </w:r>
      <w:r>
        <w:rPr>
          <w:rFonts w:ascii="Times New Roman" w:hAnsi="Times New Roman"/>
        </w:rPr>
        <w:fldChar w:fldCharType="end"/>
      </w:r>
      <w:r w:rsidRPr="00AF3E41">
        <w:rPr>
          <w:rFonts w:ascii="Times New Roman" w:hAnsi="Times New Roman"/>
        </w:rPr>
        <w:t xml:space="preserve"> provides a more </w:t>
      </w:r>
      <w:r>
        <w:rPr>
          <w:rFonts w:ascii="Times New Roman" w:hAnsi="Times New Roman"/>
        </w:rPr>
        <w:t>detailed</w:t>
      </w:r>
      <w:r w:rsidRPr="00AF3E41">
        <w:rPr>
          <w:rFonts w:ascii="Times New Roman" w:hAnsi="Times New Roman"/>
        </w:rPr>
        <w:t xml:space="preserve"> list of achievements of FEMSP.</w:t>
      </w:r>
    </w:p>
  </w:footnote>
  <w:footnote w:id="3">
    <w:p w:rsidR="00F57583" w:rsidRPr="00884737" w:rsidRDefault="00F57583" w:rsidP="00884737">
      <w:pPr>
        <w:pStyle w:val="FootnoteText"/>
        <w:ind w:left="360" w:hanging="360"/>
        <w:rPr>
          <w:rFonts w:ascii="Times New Roman" w:hAnsi="Times New Roman"/>
        </w:rPr>
      </w:pPr>
      <w:r w:rsidRPr="00884737">
        <w:rPr>
          <w:rStyle w:val="FootnoteReference"/>
          <w:rFonts w:ascii="Times New Roman" w:hAnsi="Times New Roman"/>
        </w:rPr>
        <w:footnoteRef/>
      </w:r>
      <w:r w:rsidRPr="00884737">
        <w:rPr>
          <w:rFonts w:ascii="Times New Roman" w:hAnsi="Times New Roman"/>
        </w:rPr>
        <w:t xml:space="preserve"> </w:t>
      </w:r>
      <w:r w:rsidRPr="00884737">
        <w:rPr>
          <w:rFonts w:ascii="Times New Roman" w:hAnsi="Times New Roman"/>
        </w:rPr>
        <w:tab/>
        <w:t>See http://www.pefa.org/.</w:t>
      </w:r>
    </w:p>
  </w:footnote>
  <w:footnote w:id="4">
    <w:p w:rsidR="00F57583" w:rsidRPr="00AF3E41" w:rsidRDefault="00F57583" w:rsidP="00AF3E41">
      <w:pPr>
        <w:pStyle w:val="FootnoteText"/>
        <w:ind w:left="360" w:hanging="360"/>
        <w:rPr>
          <w:rFonts w:ascii="Times New Roman" w:hAnsi="Times New Roman"/>
        </w:rPr>
      </w:pPr>
      <w:r w:rsidRPr="00AF3E41">
        <w:rPr>
          <w:rStyle w:val="FootnoteReference"/>
          <w:rFonts w:ascii="Times New Roman" w:hAnsi="Times New Roman"/>
        </w:rPr>
        <w:footnoteRef/>
      </w:r>
      <w:r w:rsidRPr="00AF3E41">
        <w:rPr>
          <w:rFonts w:ascii="Times New Roman" w:hAnsi="Times New Roman"/>
        </w:rPr>
        <w:t xml:space="preserve"> </w:t>
      </w:r>
      <w:r w:rsidRPr="00AF3E41">
        <w:rPr>
          <w:rFonts w:ascii="Times New Roman" w:hAnsi="Times New Roman"/>
        </w:rPr>
        <w:tab/>
      </w:r>
      <w:r>
        <w:rPr>
          <w:rFonts w:ascii="Times New Roman" w:hAnsi="Times New Roman"/>
        </w:rPr>
        <w:fldChar w:fldCharType="begin"/>
      </w:r>
      <w:r>
        <w:rPr>
          <w:rFonts w:ascii="Times New Roman" w:hAnsi="Times New Roman"/>
        </w:rPr>
        <w:instrText xml:space="preserve"> ADDIN EN.CITE &lt;EndNote&gt;&lt;Cite&gt;&lt;Author&gt;Asian Development Bank&lt;/Author&gt;&lt;Year&gt;2014&lt;/Year&gt;&lt;RecNum&gt;4273&lt;/RecNum&gt;&lt;DisplayText&gt;(Asian Development Bank, 2014)&lt;/DisplayText&gt;&lt;record&gt;&lt;rec-number&gt;4273&lt;/rec-number&gt;&lt;foreign-keys&gt;&lt;key app="EN" db-id="5v9z5rrdszvwsneef06v9dapsd0apdtfapdx" timestamp="1408400313"&gt;4273&lt;/key&gt;&lt;/foreign-keys&gt;&lt;ref-type name="Book Section"&gt;5&lt;/ref-type&gt;&lt;contributors&gt;&lt;authors&gt;&lt;author&gt;Asian Development Bank,&lt;/author&gt;&lt;/authors&gt;&lt;/contributors&gt;&lt;titles&gt;&lt;title&gt;Solomon Islands&lt;/title&gt;&lt;secondary-title&gt;Asian Development Outlook 2014: Fiscal Policy for Inclusive Growth&lt;/secondary-title&gt;&lt;/titles&gt;&lt;pages&gt;244-247&lt;/pages&gt;&lt;dates&gt;&lt;year&gt;2014&lt;/year&gt;&lt;/dates&gt;&lt;pub-location&gt;Manila&lt;/pub-location&gt;&lt;publisher&gt;Asian Development Bank&lt;/publisher&gt;&lt;urls&gt;&lt;/urls&gt;&lt;/record&gt;&lt;/Cite&gt;&lt;/EndNote&gt;</w:instrText>
      </w:r>
      <w:r>
        <w:rPr>
          <w:rFonts w:ascii="Times New Roman" w:hAnsi="Times New Roman"/>
        </w:rPr>
        <w:fldChar w:fldCharType="separate"/>
      </w:r>
      <w:r>
        <w:rPr>
          <w:rFonts w:ascii="Times New Roman" w:hAnsi="Times New Roman"/>
          <w:noProof/>
        </w:rPr>
        <w:t>(</w:t>
      </w:r>
      <w:hyperlink w:anchor="_ENREF_7" w:tooltip="Asian Development Bank, 2014 #4273" w:history="1">
        <w:r w:rsidR="00CC56DB">
          <w:rPr>
            <w:rFonts w:ascii="Times New Roman" w:hAnsi="Times New Roman"/>
            <w:noProof/>
          </w:rPr>
          <w:t>Asian Development Bank, 2014</w:t>
        </w:r>
      </w:hyperlink>
      <w:r>
        <w:rPr>
          <w:rFonts w:ascii="Times New Roman" w:hAnsi="Times New Roman"/>
          <w:noProof/>
        </w:rPr>
        <w:t>)</w:t>
      </w:r>
      <w:r>
        <w:rPr>
          <w:rFonts w:ascii="Times New Roman" w:hAnsi="Times New Roman"/>
        </w:rPr>
        <w:fldChar w:fldCharType="end"/>
      </w:r>
      <w:r w:rsidRPr="00AF3E41">
        <w:rPr>
          <w:rFonts w:ascii="Times New Roman" w:hAnsi="Times New Roman"/>
        </w:rPr>
        <w:t xml:space="preserve"> reports that expenditure on public sector employees has been growing at an average annual rate of 10% over the past 6 years, together with growth in rental subsidies, allowances, and overtime payments and grade creep.</w:t>
      </w:r>
    </w:p>
  </w:footnote>
  <w:footnote w:id="5">
    <w:p w:rsidR="00F57583" w:rsidRPr="00884737" w:rsidRDefault="00F57583" w:rsidP="00884737">
      <w:pPr>
        <w:pStyle w:val="FootnoteText"/>
        <w:ind w:left="360" w:hanging="360"/>
        <w:rPr>
          <w:rFonts w:ascii="Times New Roman" w:hAnsi="Times New Roman"/>
        </w:rPr>
      </w:pPr>
      <w:r w:rsidRPr="00884737">
        <w:rPr>
          <w:rStyle w:val="FootnoteReference"/>
          <w:rFonts w:ascii="Times New Roman" w:hAnsi="Times New Roman"/>
        </w:rPr>
        <w:footnoteRef/>
      </w:r>
      <w:r w:rsidRPr="00884737">
        <w:rPr>
          <w:rFonts w:ascii="Times New Roman" w:hAnsi="Times New Roman"/>
        </w:rPr>
        <w:t xml:space="preserve"> </w:t>
      </w:r>
      <w:r w:rsidRPr="00884737">
        <w:rPr>
          <w:rFonts w:ascii="Times New Roman" w:hAnsi="Times New Roman"/>
        </w:rPr>
        <w:tab/>
        <w:t>Policemen or village constables</w:t>
      </w:r>
    </w:p>
  </w:footnote>
  <w:footnote w:id="6">
    <w:p w:rsidR="00F57583" w:rsidRPr="00884737" w:rsidRDefault="00F57583" w:rsidP="00884737">
      <w:pPr>
        <w:pStyle w:val="FootnoteText"/>
        <w:ind w:left="360" w:hanging="360"/>
        <w:rPr>
          <w:rFonts w:ascii="Times New Roman" w:hAnsi="Times New Roman"/>
        </w:rPr>
      </w:pPr>
      <w:r w:rsidRPr="00C2086D">
        <w:rPr>
          <w:rStyle w:val="FootnoteReference"/>
          <w:rFonts w:ascii="Times New Roman" w:hAnsi="Times New Roman"/>
        </w:rPr>
        <w:footnoteRef/>
      </w:r>
      <w:r w:rsidRPr="00C2086D">
        <w:rPr>
          <w:rFonts w:ascii="Times New Roman" w:hAnsi="Times New Roman"/>
        </w:rPr>
        <w:t xml:space="preserve"> </w:t>
      </w:r>
      <w:r w:rsidRPr="00C2086D">
        <w:rPr>
          <w:rFonts w:ascii="Times New Roman" w:hAnsi="Times New Roman"/>
        </w:rPr>
        <w:tab/>
        <w:t xml:space="preserve">This point can be made about Melanesia in general </w:t>
      </w:r>
      <w:r>
        <w:rPr>
          <w:rFonts w:ascii="Times New Roman" w:hAnsi="Times New Roman"/>
        </w:rPr>
        <w:fldChar w:fldCharType="begin"/>
      </w:r>
      <w:r>
        <w:rPr>
          <w:rFonts w:ascii="Times New Roman" w:hAnsi="Times New Roman"/>
        </w:rPr>
        <w:instrText xml:space="preserve"> ADDIN EN.CITE &lt;EndNote&gt;&lt;Cite&gt;&lt;Author&gt;Fraenkel&lt;/Author&gt;&lt;Year&gt;2011&lt;/Year&gt;&lt;RecNum&gt;4343&lt;/RecNum&gt;&lt;DisplayText&gt;(Fraenkel, 2011)&lt;/DisplayText&gt;&lt;record&gt;&lt;rec-number&gt;4343&lt;/rec-number&gt;&lt;foreign-keys&gt;&lt;key app="EN" db-id="5v9z5rrdszvwsneef06v9dapsd0apdtfapdx" timestamp="1408820328"&gt;4343&lt;/key&gt;&lt;/foreign-keys&gt;&lt;ref-type name="Book Section"&gt;5&lt;/ref-type&gt;&lt;contributors&gt;&lt;authors&gt;&lt;author&gt;Jon Fraenkel&lt;/author&gt;&lt;/authors&gt;&lt;secondary-authors&gt;&lt;author&gt;Ron Duncan&lt;/author&gt;&lt;/secondary-authors&gt;&lt;/contributors&gt;&lt;titles&gt;&lt;title&gt;The Atrophied State: A Supply-Side Perspective on Politician “Slush Funds” in Western Melanesia&lt;/title&gt;&lt;secondary-title&gt;The Political Economy of Economic Reform in the Pacific&lt;/secondary-title&gt;&lt;/titles&gt;&lt;pages&gt;303-326&lt;/pages&gt;&lt;number&gt;Pacific Studies Series&lt;/number&gt;&lt;dates&gt;&lt;year&gt;2011&lt;/year&gt;&lt;/dates&gt;&lt;pub-location&gt;Manila&lt;/pub-location&gt;&lt;publisher&gt;ADB&lt;/publisher&gt;&lt;urls&gt;&lt;/urls&gt;&lt;/record&gt;&lt;/Cite&gt;&lt;/EndNote&gt;</w:instrText>
      </w:r>
      <w:r>
        <w:rPr>
          <w:rFonts w:ascii="Times New Roman" w:hAnsi="Times New Roman"/>
        </w:rPr>
        <w:fldChar w:fldCharType="separate"/>
      </w:r>
      <w:r>
        <w:rPr>
          <w:rFonts w:ascii="Times New Roman" w:hAnsi="Times New Roman"/>
          <w:noProof/>
        </w:rPr>
        <w:t>(</w:t>
      </w:r>
      <w:hyperlink w:anchor="_ENREF_58" w:tooltip="Fraenkel, 2011 #4343" w:history="1">
        <w:r w:rsidR="00CC56DB">
          <w:rPr>
            <w:rFonts w:ascii="Times New Roman" w:hAnsi="Times New Roman"/>
            <w:noProof/>
          </w:rPr>
          <w:t>Fraenkel, 2011</w:t>
        </w:r>
      </w:hyperlink>
      <w:r>
        <w:rPr>
          <w:rFonts w:ascii="Times New Roman" w:hAnsi="Times New Roman"/>
          <w:noProof/>
        </w:rPr>
        <w:t>)</w:t>
      </w:r>
      <w:r>
        <w:rPr>
          <w:rFonts w:ascii="Times New Roman" w:hAnsi="Times New Roman"/>
        </w:rPr>
        <w:fldChar w:fldCharType="end"/>
      </w:r>
      <w:r w:rsidRPr="00C2086D">
        <w:rPr>
          <w:rFonts w:ascii="Times New Roman" w:hAnsi="Times New Roman"/>
        </w:rPr>
        <w:t xml:space="preserve">.  </w:t>
      </w:r>
      <w:r w:rsidRPr="00884737">
        <w:rPr>
          <w:rFonts w:ascii="Times New Roman" w:hAnsi="Times New Roman"/>
        </w:rPr>
        <w:t xml:space="preserve">In such an environment, the comments made by the former </w:t>
      </w:r>
      <w:r>
        <w:rPr>
          <w:rFonts w:ascii="Times New Roman" w:hAnsi="Times New Roman"/>
        </w:rPr>
        <w:t xml:space="preserve">Australian </w:t>
      </w:r>
      <w:r w:rsidRPr="00884737">
        <w:rPr>
          <w:rFonts w:ascii="Times New Roman" w:hAnsi="Times New Roman"/>
        </w:rPr>
        <w:t xml:space="preserve">Deputy Head of Mission, Honiara 2002-5 and former Director, Solomon Islands Section 2005-7) in 2008 about the priority to “rebuild and strengthen the accountability institutions: the leadership Code Commission, the ombudsman’s office and the auditor-general’s office… so that people will actually use them to report allegations of corruption and allow them to be investigated and dealt with in the courts” </w:t>
      </w:r>
      <w:r>
        <w:rPr>
          <w:rFonts w:ascii="Times New Roman" w:hAnsi="Times New Roman"/>
        </w:rPr>
        <w:fldChar w:fldCharType="begin"/>
      </w:r>
      <w:r>
        <w:rPr>
          <w:rFonts w:ascii="Times New Roman" w:hAnsi="Times New Roman"/>
        </w:rPr>
        <w:instrText xml:space="preserve"> ADDIN EN.CITE &lt;EndNote&gt;&lt;Cite&gt;&lt;Author&gt;Butler&lt;/Author&gt;&lt;Year&gt;2008&lt;/Year&gt;&lt;RecNum&gt;4239&lt;/RecNum&gt;&lt;Suffix&gt;`, p.270&lt;/Suffix&gt;&lt;DisplayText&gt;(Butler, 2008, p.270)&lt;/DisplayText&gt;&lt;record&gt;&lt;rec-number&gt;4239&lt;/rec-number&gt;&lt;foreign-keys&gt;&lt;key app="EN" db-id="5v9z5rrdszvwsneef06v9dapsd0apdtfapdx" timestamp="1408137800"&gt;4239&lt;/key&gt;&lt;/foreign-keys&gt;&lt;ref-type name="Book Section"&gt;5&lt;/ref-type&gt;&lt;contributors&gt;&lt;authors&gt;&lt;author&gt;Anita Butler&lt;/author&gt;&lt;/authors&gt;&lt;secondary-authors&gt;&lt;author&gt;Sinclair Dinen&lt;/author&gt;&lt;author&gt;Stewart Firth&lt;/author&gt;&lt;/secondary-authors&gt;&lt;/contributors&gt;&lt;titles&gt;&lt;title&gt;The unrest in Honiara - an Australian government perspective&lt;/title&gt;&lt;secondary-title&gt;Politics and statebuilding in Solomon Islands&lt;/secondary-title&gt;&lt;/titles&gt;&lt;pages&gt;269-275&lt;/pages&gt;&lt;dates&gt;&lt;year&gt;2008&lt;/year&gt;&lt;/dates&gt;&lt;pub-location&gt;Caberra&lt;/pub-location&gt;&lt;publisher&gt;Asia Pacific Press&lt;/publisher&gt;&lt;urls&gt;&lt;/urls&gt;&lt;/record&gt;&lt;/Cite&gt;&lt;/EndNote&gt;</w:instrText>
      </w:r>
      <w:r>
        <w:rPr>
          <w:rFonts w:ascii="Times New Roman" w:hAnsi="Times New Roman"/>
        </w:rPr>
        <w:fldChar w:fldCharType="separate"/>
      </w:r>
      <w:r>
        <w:rPr>
          <w:rFonts w:ascii="Times New Roman" w:hAnsi="Times New Roman"/>
          <w:noProof/>
        </w:rPr>
        <w:t>(</w:t>
      </w:r>
      <w:hyperlink w:anchor="_ENREF_32" w:tooltip="Butler, 2008 #4239" w:history="1">
        <w:r w:rsidR="00CC56DB">
          <w:rPr>
            <w:rFonts w:ascii="Times New Roman" w:hAnsi="Times New Roman"/>
            <w:noProof/>
          </w:rPr>
          <w:t>Butler, 2008, p.270</w:t>
        </w:r>
      </w:hyperlink>
      <w:r>
        <w:rPr>
          <w:rFonts w:ascii="Times New Roman" w:hAnsi="Times New Roman"/>
          <w:noProof/>
        </w:rPr>
        <w:t>)</w:t>
      </w:r>
      <w:r>
        <w:rPr>
          <w:rFonts w:ascii="Times New Roman" w:hAnsi="Times New Roman"/>
        </w:rPr>
        <w:fldChar w:fldCharType="end"/>
      </w:r>
      <w:r w:rsidRPr="00884737">
        <w:rPr>
          <w:rFonts w:ascii="Times New Roman" w:hAnsi="Times New Roman"/>
        </w:rPr>
        <w:t xml:space="preserve"> seems to be aiming for something which is unlikely to be achieved in the short or medium term.</w:t>
      </w:r>
    </w:p>
  </w:footnote>
  <w:footnote w:id="7">
    <w:p w:rsidR="00F57583" w:rsidRPr="00884737" w:rsidRDefault="00F57583" w:rsidP="00FD5DEB">
      <w:pPr>
        <w:pStyle w:val="FootnoteText"/>
        <w:ind w:left="360" w:hanging="360"/>
        <w:rPr>
          <w:rFonts w:ascii="Times New Roman" w:hAnsi="Times New Roman"/>
        </w:rPr>
      </w:pPr>
      <w:r w:rsidRPr="00884737">
        <w:rPr>
          <w:rStyle w:val="FootnoteReference"/>
          <w:rFonts w:ascii="Times New Roman" w:hAnsi="Times New Roman"/>
        </w:rPr>
        <w:footnoteRef/>
      </w:r>
      <w:r w:rsidRPr="00884737">
        <w:rPr>
          <w:rFonts w:ascii="Times New Roman" w:hAnsi="Times New Roman"/>
        </w:rPr>
        <w:t xml:space="preserve"> </w:t>
      </w:r>
      <w:r w:rsidRPr="00884737">
        <w:rPr>
          <w:rFonts w:ascii="Times New Roman" w:hAnsi="Times New Roman"/>
        </w:rPr>
        <w:tab/>
        <w:t>The review mission assigned purely notional scores to the reforms listed in the traffic light report according to the degree to which: (i) they were reliant on downstream actors; (ii) they required political decision on short term tradeoffs or other sensitive decisions; and (iii) they required visible policy action rather than publication of report or preparation of draft regulations or bill, or discussion.</w:t>
      </w:r>
      <w:r w:rsidR="00E256D6">
        <w:rPr>
          <w:rFonts w:ascii="Times New Roman" w:hAnsi="Times New Roman"/>
        </w:rPr>
        <w:t xml:space="preserve">  </w:t>
      </w:r>
    </w:p>
  </w:footnote>
  <w:footnote w:id="8">
    <w:p w:rsidR="00F57583" w:rsidRPr="00C55426" w:rsidRDefault="00F57583" w:rsidP="00FD5DEB">
      <w:pPr>
        <w:ind w:left="360" w:hanging="360"/>
        <w:rPr>
          <w:rFonts w:cs="Times New Roman"/>
          <w:sz w:val="20"/>
          <w:szCs w:val="20"/>
        </w:rPr>
      </w:pPr>
      <w:r w:rsidRPr="00884737">
        <w:rPr>
          <w:rStyle w:val="FootnoteReference"/>
          <w:rFonts w:cs="Times New Roman"/>
          <w:sz w:val="20"/>
          <w:szCs w:val="20"/>
        </w:rPr>
        <w:footnoteRef/>
      </w:r>
      <w:r w:rsidRPr="00884737">
        <w:rPr>
          <w:rFonts w:cs="Times New Roman"/>
          <w:sz w:val="20"/>
          <w:szCs w:val="20"/>
        </w:rPr>
        <w:t xml:space="preserve"> </w:t>
      </w:r>
      <w:r w:rsidRPr="00884737">
        <w:rPr>
          <w:rFonts w:cs="Times New Roman"/>
          <w:sz w:val="20"/>
          <w:szCs w:val="20"/>
        </w:rPr>
        <w:tab/>
        <w:t xml:space="preserve">Although not directly covered in SIGOV, a further area where respondents expressed some concern was in relation to the functional responsibilities of the provinces. The Provincial Government Act provides for only very weak forms of decentralization, with resource control closely held by central government and provincial governments reliant on grants provided at the discretion of Ministry of Provincial Government and Institutional Strengthening. This conflicts with provincial aspirations for greater political self-determination and fiscal independence. Such aspirations are fuelled by broad (and seemingly accurate) perceptions that central government is providing inadequate services and public goods at the provincial level. </w:t>
      </w:r>
      <w:proofErr w:type="gramStart"/>
      <w:r w:rsidRPr="00884737">
        <w:rPr>
          <w:rFonts w:cs="Times New Roman"/>
          <w:sz w:val="20"/>
          <w:szCs w:val="20"/>
        </w:rPr>
        <w:t>consequently</w:t>
      </w:r>
      <w:proofErr w:type="gramEnd"/>
      <w:r w:rsidRPr="00884737">
        <w:rPr>
          <w:rFonts w:cs="Times New Roman"/>
          <w:sz w:val="20"/>
          <w:szCs w:val="20"/>
        </w:rPr>
        <w:t xml:space="preserve">, provincial governments have both disregarded formally delegations of responsibility in defining their own roles, and identified potential additional revenue sources beyond those identified in the Provincial Government Act (some with a questionable legal basis). The result is a mismatch and no clear understanding of the relationship between provincial financing and provincial service delivery responsibilities </w:t>
      </w:r>
      <w:r>
        <w:rPr>
          <w:rFonts w:cs="Times New Roman"/>
          <w:sz w:val="20"/>
          <w:szCs w:val="20"/>
        </w:rPr>
        <w:fldChar w:fldCharType="begin"/>
      </w:r>
      <w:r>
        <w:rPr>
          <w:rFonts w:cs="Times New Roman"/>
          <w:sz w:val="20"/>
          <w:szCs w:val="20"/>
        </w:rPr>
        <w:instrText xml:space="preserve"> ADDIN EN.CITE &lt;EndNote&gt;&lt;Cite&gt;&lt;Author&gt;World Bank&lt;/Author&gt;&lt;Year&gt;2014&lt;/Year&gt;&lt;RecNum&gt;4307&lt;/RecNum&gt;&lt;Suffix&gt;`, p.10&lt;/Suffix&gt;&lt;DisplayText&gt;(World Bank, 2014a, p.10)&lt;/DisplayText&gt;&lt;record&gt;&lt;rec-number&gt;4307&lt;/rec-number&gt;&lt;foreign-keys&gt;&lt;key app="EN" db-id="5v9z5rrdszvwsneef06v9dapsd0apdtfapdx" timestamp="1408650237"&gt;4307&lt;/key&gt;&lt;/foreign-keys&gt;&lt;ref-type name="Report"&gt;27&lt;/ref-type&gt;&lt;contributors&gt;&lt;authors&gt;&lt;author&gt;World Bank,&lt;/author&gt;&lt;/authors&gt;&lt;/contributors&gt;&lt;titles&gt;&lt;title&gt;Provincial Financing Assessment: Community Officer Project&lt;/title&gt;&lt;/titles&gt;&lt;dates&gt;&lt;year&gt;2014&lt;/year&gt;&lt;/dates&gt;&lt;pub-location&gt;Washington DC&lt;/pub-location&gt;&lt;publisher&gt;World Bank&lt;/publisher&gt;&lt;urls&gt;&lt;/urls&gt;&lt;/record&gt;&lt;/Cite&gt;&lt;/EndNote&gt;</w:instrText>
      </w:r>
      <w:r>
        <w:rPr>
          <w:rFonts w:cs="Times New Roman"/>
          <w:sz w:val="20"/>
          <w:szCs w:val="20"/>
        </w:rPr>
        <w:fldChar w:fldCharType="separate"/>
      </w:r>
      <w:r>
        <w:rPr>
          <w:rFonts w:cs="Times New Roman"/>
          <w:noProof/>
          <w:sz w:val="20"/>
          <w:szCs w:val="20"/>
        </w:rPr>
        <w:t>(</w:t>
      </w:r>
      <w:hyperlink w:anchor="_ENREF_152" w:tooltip="World Bank, 2014 #4307" w:history="1">
        <w:r w:rsidR="00CC56DB">
          <w:rPr>
            <w:rFonts w:cs="Times New Roman"/>
            <w:noProof/>
            <w:sz w:val="20"/>
            <w:szCs w:val="20"/>
          </w:rPr>
          <w:t>World Bank, 2014a, p.10</w:t>
        </w:r>
      </w:hyperlink>
      <w:r>
        <w:rPr>
          <w:rFonts w:cs="Times New Roman"/>
          <w:noProof/>
          <w:sz w:val="20"/>
          <w:szCs w:val="20"/>
        </w:rPr>
        <w:t>)</w:t>
      </w:r>
      <w:r>
        <w:rPr>
          <w:rFonts w:cs="Times New Roman"/>
          <w:sz w:val="20"/>
          <w:szCs w:val="20"/>
        </w:rPr>
        <w:fldChar w:fldCharType="end"/>
      </w:r>
      <w:r>
        <w:rPr>
          <w:rFonts w:cs="Times New Roman"/>
          <w:sz w:val="20"/>
          <w:szCs w:val="20"/>
        </w:rPr>
        <w:t>.</w:t>
      </w:r>
    </w:p>
  </w:footnote>
  <w:footnote w:id="9">
    <w:p w:rsidR="00F57583" w:rsidRPr="001351FE" w:rsidRDefault="00F57583" w:rsidP="00BA706F">
      <w:pPr>
        <w:pStyle w:val="FootnoteText"/>
        <w:ind w:left="360" w:hanging="360"/>
        <w:rPr>
          <w:rFonts w:ascii="Times New Roman" w:hAnsi="Times New Roman"/>
        </w:rPr>
      </w:pPr>
      <w:r w:rsidRPr="001351FE">
        <w:rPr>
          <w:rStyle w:val="FootnoteReference"/>
          <w:rFonts w:ascii="Times New Roman" w:hAnsi="Times New Roman"/>
        </w:rPr>
        <w:footnoteRef/>
      </w:r>
      <w:r w:rsidRPr="001351FE">
        <w:rPr>
          <w:rFonts w:ascii="Times New Roman" w:hAnsi="Times New Roman"/>
        </w:rPr>
        <w:t xml:space="preserve"> </w:t>
      </w:r>
      <w:r w:rsidRPr="001351FE">
        <w:rPr>
          <w:rFonts w:ascii="Times New Roman" w:hAnsi="Times New Roman"/>
        </w:rPr>
        <w:tab/>
        <w:t xml:space="preserve">This set of reforms are often seen as captured in (although not prescribed by) the writings of Max Weber who noted that a modern bureaucracy acts, in principle, as a lasting, impartial, rule-abiding and non-partisan executor of laws and regulations, which are devised by the political leadership </w:t>
      </w:r>
      <w:r>
        <w:rPr>
          <w:rFonts w:ascii="Times New Roman" w:hAnsi="Times New Roman"/>
        </w:rPr>
        <w:fldChar w:fldCharType="begin"/>
      </w:r>
      <w:r>
        <w:rPr>
          <w:rFonts w:ascii="Times New Roman" w:hAnsi="Times New Roman"/>
        </w:rPr>
        <w:instrText xml:space="preserve"> ADDIN EN.CITE &lt;EndNote&gt;&lt;Cite&gt;&lt;Author&gt;Weber&lt;/Author&gt;&lt;Year&gt;1978&lt;/Year&gt;&lt;RecNum&gt;3130&lt;/RecNum&gt;&lt;DisplayText&gt;(Weber, 1978)&lt;/DisplayText&gt;&lt;record&gt;&lt;rec-number&gt;3130&lt;/rec-number&gt;&lt;foreign-keys&gt;&lt;key app="EN" db-id="5v9z5rrdszvwsneef06v9dapsd0apdtfapdx" timestamp="0"&gt;3130&lt;/key&gt;&lt;/foreign-keys&gt;&lt;ref-type name="Book"&gt;6&lt;/ref-type&gt;&lt;contributors&gt;&lt;authors&gt;&lt;author&gt;Weber, Max&lt;/author&gt;&lt;/authors&gt;&lt;/contributors&gt;&lt;titles&gt;&lt;title&gt;Economy and Society (Vol. 2)&lt;/title&gt;&lt;/titles&gt;&lt;dates&gt;&lt;year&gt;1978&lt;/year&gt;&lt;/dates&gt;&lt;pub-location&gt;Berkely, CA&lt;/pub-location&gt;&lt;publisher&gt;University of California Press&lt;/publisher&gt;&lt;urls&gt;&lt;/urls&gt;&lt;/record&gt;&lt;/Cite&gt;&lt;/EndNote&gt;</w:instrText>
      </w:r>
      <w:r>
        <w:rPr>
          <w:rFonts w:ascii="Times New Roman" w:hAnsi="Times New Roman"/>
        </w:rPr>
        <w:fldChar w:fldCharType="separate"/>
      </w:r>
      <w:r>
        <w:rPr>
          <w:rFonts w:ascii="Times New Roman" w:hAnsi="Times New Roman"/>
          <w:noProof/>
        </w:rPr>
        <w:t>(</w:t>
      </w:r>
      <w:hyperlink w:anchor="_ENREF_144" w:tooltip="Weber, 1978 #3130" w:history="1">
        <w:r w:rsidR="00CC56DB">
          <w:rPr>
            <w:rFonts w:ascii="Times New Roman" w:hAnsi="Times New Roman"/>
            <w:noProof/>
          </w:rPr>
          <w:t>Weber, 1978</w:t>
        </w:r>
      </w:hyperlink>
      <w:r>
        <w:rPr>
          <w:rFonts w:ascii="Times New Roman" w:hAnsi="Times New Roman"/>
          <w:noProof/>
        </w:rPr>
        <w:t>)</w:t>
      </w:r>
      <w:r>
        <w:rPr>
          <w:rFonts w:ascii="Times New Roman" w:hAnsi="Times New Roman"/>
        </w:rPr>
        <w:fldChar w:fldCharType="end"/>
      </w:r>
      <w:r w:rsidRPr="001351FE">
        <w:rPr>
          <w:rFonts w:ascii="Times New Roman" w:hAnsi="Times New Roman"/>
        </w:rPr>
        <w:t xml:space="preserve">.  Weber observed that these traits were more likely to be found in hierarchical organizational structures staffed by career officials operating within stable and comprehensive sets of rules. </w:t>
      </w:r>
      <w:r>
        <w:rPr>
          <w:rFonts w:ascii="Times New Roman" w:hAnsi="Times New Roman"/>
        </w:rPr>
        <w:fldChar w:fldCharType="begin"/>
      </w:r>
      <w:r>
        <w:rPr>
          <w:rFonts w:ascii="Times New Roman" w:hAnsi="Times New Roman"/>
        </w:rPr>
        <w:instrText xml:space="preserve"> ADDIN EN.CITE &lt;EndNote&gt;&lt;Cite&gt;&lt;Author&gt;Pritchett&lt;/Author&gt;&lt;Year&gt;2004&lt;/Year&gt;&lt;RecNum&gt;3608&lt;/RecNum&gt;&lt;DisplayText&gt;(Pritchett &amp;amp; Woolcock, 2004)&lt;/DisplayText&gt;&lt;record&gt;&lt;rec-number&gt;3608&lt;/rec-number&gt;&lt;foreign-keys&gt;&lt;key app="EN" db-id="5v9z5rrdszvwsneef06v9dapsd0apdtfapdx" timestamp="0"&gt;3608&lt;/key&gt;&lt;/foreign-keys&gt;&lt;ref-type name="Journal Article"&gt;17&lt;/ref-type&gt;&lt;contributors&gt;&lt;authors&gt;&lt;author&gt;Lant Pritchett&lt;/author&gt;&lt;author&gt;Michael Woolcock&lt;/author&gt;&lt;/authors&gt;&lt;/contributors&gt;&lt;titles&gt;&lt;title&gt;Solutions when the solution is the problem: arraying the disarray in development&lt;/title&gt;&lt;secondary-title&gt;World Development&lt;/secondary-title&gt;&lt;/titles&gt;&lt;pages&gt;191-212&lt;/pages&gt;&lt;volume&gt;32&lt;/volume&gt;&lt;number&gt;2&lt;/number&gt;&lt;dates&gt;&lt;year&gt;2004&lt;/year&gt;&lt;/dates&gt;&lt;urls&gt;&lt;/urls&gt;&lt;/record&gt;&lt;/Cite&gt;&lt;/EndNote&gt;</w:instrText>
      </w:r>
      <w:r>
        <w:rPr>
          <w:rFonts w:ascii="Times New Roman" w:hAnsi="Times New Roman"/>
        </w:rPr>
        <w:fldChar w:fldCharType="separate"/>
      </w:r>
      <w:r>
        <w:rPr>
          <w:rFonts w:ascii="Times New Roman" w:hAnsi="Times New Roman"/>
          <w:noProof/>
        </w:rPr>
        <w:t>(</w:t>
      </w:r>
      <w:hyperlink w:anchor="_ENREF_124" w:tooltip="Pritchett, 2004 #3608" w:history="1">
        <w:r w:rsidR="00CC56DB">
          <w:rPr>
            <w:rFonts w:ascii="Times New Roman" w:hAnsi="Times New Roman"/>
            <w:noProof/>
          </w:rPr>
          <w:t>Pritchett &amp; Woolcock, 2004</w:t>
        </w:r>
      </w:hyperlink>
      <w:r>
        <w:rPr>
          <w:rFonts w:ascii="Times New Roman" w:hAnsi="Times New Roman"/>
          <w:noProof/>
        </w:rPr>
        <w:t>)</w:t>
      </w:r>
      <w:r>
        <w:rPr>
          <w:rFonts w:ascii="Times New Roman" w:hAnsi="Times New Roman"/>
        </w:rPr>
        <w:fldChar w:fldCharType="end"/>
      </w:r>
      <w:r w:rsidRPr="001351FE">
        <w:rPr>
          <w:rFonts w:ascii="Times New Roman" w:hAnsi="Times New Roman"/>
        </w:rPr>
        <w:t xml:space="preserve"> remind us that while Weber made these observations in Western Europe, the long history of bureaucracy in China and India makes it clear that Western Europe did not invent rational bureaucracy.</w:t>
      </w:r>
    </w:p>
  </w:footnote>
  <w:footnote w:id="10">
    <w:p w:rsidR="00F57583" w:rsidRPr="001351FE" w:rsidRDefault="00F57583" w:rsidP="00BA706F">
      <w:pPr>
        <w:pStyle w:val="FootnoteText"/>
        <w:ind w:left="360" w:hanging="360"/>
        <w:jc w:val="both"/>
        <w:rPr>
          <w:rFonts w:ascii="Times New Roman" w:hAnsi="Times New Roman"/>
        </w:rPr>
      </w:pPr>
      <w:r w:rsidRPr="001351FE">
        <w:rPr>
          <w:rStyle w:val="FootnoteReference"/>
          <w:rFonts w:ascii="Times New Roman" w:hAnsi="Times New Roman"/>
        </w:rPr>
        <w:footnoteRef/>
      </w:r>
      <w:r w:rsidRPr="001351FE">
        <w:rPr>
          <w:rFonts w:ascii="Times New Roman" w:hAnsi="Times New Roman"/>
        </w:rPr>
        <w:t xml:space="preserve"> </w:t>
      </w:r>
      <w:r w:rsidRPr="001351FE">
        <w:rPr>
          <w:rFonts w:ascii="Times New Roman" w:hAnsi="Times New Roman"/>
        </w:rPr>
        <w:tab/>
        <w:t xml:space="preserve">For instance, </w:t>
      </w:r>
      <w:r>
        <w:rPr>
          <w:rFonts w:ascii="Times New Roman" w:hAnsi="Times New Roman"/>
        </w:rPr>
        <w:fldChar w:fldCharType="begin"/>
      </w:r>
      <w:r>
        <w:rPr>
          <w:rFonts w:ascii="Times New Roman" w:hAnsi="Times New Roman"/>
        </w:rPr>
        <w:instrText xml:space="preserve"> ADDIN EN.CITE &lt;EndNote&gt;&lt;Cite&gt;&lt;Author&gt;Daunton&lt;/Author&gt;&lt;Year&gt;2003&lt;/Year&gt;&lt;RecNum&gt;1304&lt;/RecNum&gt;&lt;DisplayText&gt;(Daunton, 2003)&lt;/DisplayText&gt;&lt;record&gt;&lt;rec-number&gt;1304&lt;/rec-number&gt;&lt;foreign-keys&gt;&lt;key app="EN" db-id="5v9z5rrdszvwsneef06v9dapsd0apdtfapdx" timestamp="0"&gt;1304&lt;/key&gt;&lt;/foreign-keys&gt;&lt;ref-type name="Book Section"&gt;5&lt;/ref-type&gt;&lt;contributors&gt;&lt;authors&gt;&lt;author&gt;Martin Daunton&lt;/author&gt;&lt;/authors&gt;&lt;secondary-authors&gt;&lt;author&gt;Braithwaite, Valerie&lt;/author&gt;&lt;author&gt;Margaret Levi&lt;/author&gt;&lt;/secondary-authors&gt;&lt;/contributors&gt;&lt;titles&gt;&lt;title&gt;Trusting Leviathan: British fiscal administration from the Napoleonic Wars to the Second World War&lt;/title&gt;&lt;secondary-title&gt;Trust and Governance&lt;/secondary-title&gt;&lt;/titles&gt;&lt;dates&gt;&lt;year&gt;2003&lt;/year&gt;&lt;/dates&gt;&lt;pub-location&gt;New York&lt;/pub-location&gt;&lt;publisher&gt;Russell Sage Foundation&lt;/publisher&gt;&lt;urls&gt;&lt;/urls&gt;&lt;/record&gt;&lt;/Cite&gt;&lt;/EndNote&gt;</w:instrText>
      </w:r>
      <w:r>
        <w:rPr>
          <w:rFonts w:ascii="Times New Roman" w:hAnsi="Times New Roman"/>
        </w:rPr>
        <w:fldChar w:fldCharType="separate"/>
      </w:r>
      <w:r>
        <w:rPr>
          <w:rFonts w:ascii="Times New Roman" w:hAnsi="Times New Roman"/>
          <w:noProof/>
        </w:rPr>
        <w:t>(</w:t>
      </w:r>
      <w:hyperlink w:anchor="_ENREF_45" w:tooltip="Daunton, 2003 #1304" w:history="1">
        <w:r w:rsidR="00CC56DB">
          <w:rPr>
            <w:rFonts w:ascii="Times New Roman" w:hAnsi="Times New Roman"/>
            <w:noProof/>
          </w:rPr>
          <w:t>Daunton, 2003</w:t>
        </w:r>
      </w:hyperlink>
      <w:r>
        <w:rPr>
          <w:rFonts w:ascii="Times New Roman" w:hAnsi="Times New Roman"/>
          <w:noProof/>
        </w:rPr>
        <w:t>)</w:t>
      </w:r>
      <w:r>
        <w:rPr>
          <w:rFonts w:ascii="Times New Roman" w:hAnsi="Times New Roman"/>
        </w:rPr>
        <w:fldChar w:fldCharType="end"/>
      </w:r>
      <w:r w:rsidRPr="001351FE">
        <w:rPr>
          <w:rFonts w:ascii="Times New Roman" w:hAnsi="Times New Roman"/>
        </w:rPr>
        <w:t xml:space="preserve"> </w:t>
      </w:r>
      <w:r w:rsidRPr="001351FE">
        <w:rPr>
          <w:rFonts w:ascii="Times New Roman" w:hAnsi="Times New Roman"/>
          <w:spacing w:val="-1"/>
        </w:rPr>
        <w:t>provides a historical account of how the British government won legitimacy for, and com</w:t>
      </w:r>
      <w:r w:rsidRPr="001351FE">
        <w:rPr>
          <w:rFonts w:ascii="Times New Roman" w:hAnsi="Times New Roman"/>
          <w:spacing w:val="-1"/>
        </w:rPr>
        <w:softHyphen/>
      </w:r>
      <w:r w:rsidRPr="001351FE">
        <w:rPr>
          <w:rFonts w:ascii="Times New Roman" w:hAnsi="Times New Roman"/>
        </w:rPr>
        <w:t>pliance with, its tax system by means of credible commitments to cur</w:t>
      </w:r>
      <w:r w:rsidRPr="001351FE">
        <w:rPr>
          <w:rFonts w:ascii="Times New Roman" w:hAnsi="Times New Roman"/>
        </w:rPr>
        <w:softHyphen/>
      </w:r>
      <w:r w:rsidRPr="001351FE">
        <w:rPr>
          <w:rFonts w:ascii="Times New Roman" w:hAnsi="Times New Roman"/>
          <w:spacing w:val="5"/>
        </w:rPr>
        <w:t xml:space="preserve">tail government spending, bring equity into the tax system, and </w:t>
      </w:r>
      <w:r w:rsidRPr="001351FE">
        <w:rPr>
          <w:rFonts w:ascii="Times New Roman" w:hAnsi="Times New Roman"/>
        </w:rPr>
        <w:t>increase ac</w:t>
      </w:r>
      <w:r>
        <w:rPr>
          <w:rFonts w:ascii="Times New Roman" w:hAnsi="Times New Roman"/>
        </w:rPr>
        <w:t xml:space="preserve">countability and transparency. </w:t>
      </w:r>
    </w:p>
  </w:footnote>
  <w:footnote w:id="11">
    <w:p w:rsidR="00F57583" w:rsidRPr="00884737" w:rsidRDefault="00F57583" w:rsidP="00FD5DEB">
      <w:pPr>
        <w:pStyle w:val="FootnoteText"/>
        <w:ind w:left="360" w:hanging="360"/>
        <w:rPr>
          <w:rFonts w:ascii="Times New Roman" w:hAnsi="Times New Roman"/>
        </w:rPr>
      </w:pPr>
      <w:r w:rsidRPr="00884737">
        <w:rPr>
          <w:rStyle w:val="FootnoteReference"/>
          <w:rFonts w:ascii="Times New Roman" w:hAnsi="Times New Roman"/>
        </w:rPr>
        <w:footnoteRef/>
      </w:r>
      <w:r w:rsidRPr="00884737">
        <w:rPr>
          <w:rFonts w:ascii="Times New Roman" w:hAnsi="Times New Roman"/>
        </w:rPr>
        <w:t xml:space="preserve"> </w:t>
      </w:r>
      <w:r w:rsidRPr="00884737">
        <w:rPr>
          <w:rFonts w:ascii="Times New Roman" w:hAnsi="Times New Roman"/>
        </w:rPr>
        <w:tab/>
        <w:t xml:space="preserve">“…budget submissions to </w:t>
      </w:r>
      <w:proofErr w:type="spellStart"/>
      <w:r w:rsidRPr="00884737">
        <w:rPr>
          <w:rFonts w:ascii="Times New Roman" w:hAnsi="Times New Roman"/>
        </w:rPr>
        <w:t>MoFT</w:t>
      </w:r>
      <w:proofErr w:type="spellEnd"/>
      <w:r w:rsidRPr="00884737">
        <w:rPr>
          <w:rFonts w:ascii="Times New Roman" w:hAnsi="Times New Roman"/>
        </w:rPr>
        <w:t xml:space="preserve"> fail to respect budget ceilings often resulting in unilateral adjustments by </w:t>
      </w:r>
      <w:proofErr w:type="spellStart"/>
      <w:r w:rsidRPr="00884737">
        <w:rPr>
          <w:rFonts w:ascii="Times New Roman" w:hAnsi="Times New Roman"/>
        </w:rPr>
        <w:t>MoFT</w:t>
      </w:r>
      <w:proofErr w:type="spellEnd"/>
      <w:r w:rsidRPr="00884737">
        <w:rPr>
          <w:rFonts w:ascii="Times New Roman" w:hAnsi="Times New Roman"/>
        </w:rPr>
        <w:t xml:space="preserve"> in the course of budget preparation and the need for virements during budget execution… (and while) the health and education sectors receive appropriate priority in budget allocations… intrasectoral expenditures, such as large expenditures on poorly managed tertiary scholarships, undermine allocative and operational efficiency”. </w:t>
      </w:r>
      <w:r>
        <w:rPr>
          <w:rFonts w:ascii="Times New Roman" w:hAnsi="Times New Roman"/>
        </w:rPr>
        <w:fldChar w:fldCharType="begin"/>
      </w:r>
      <w:r>
        <w:rPr>
          <w:rFonts w:ascii="Times New Roman" w:hAnsi="Times New Roman"/>
        </w:rPr>
        <w:instrText xml:space="preserve"> ADDIN EN.CITE &lt;EndNote&gt;&lt;Cite&gt;&lt;Author&gt;CEWG&lt;/Author&gt;&lt;Year&gt;2013&lt;/Year&gt;&lt;RecNum&gt;4266&lt;/RecNum&gt;&lt;Suffix&gt;`, p.vii&lt;/Suffix&gt;&lt;DisplayText&gt;(CEWG, 2013, p.vii)&lt;/DisplayText&gt;&lt;record&gt;&lt;rec-number&gt;4266&lt;/rec-number&gt;&lt;foreign-keys&gt;&lt;key app="EN" db-id="5v9z5rrdszvwsneef06v9dapsd0apdtfapdx" timestamp="1408393765"&gt;4266&lt;/key&gt;&lt;/foreign-keys&gt;&lt;ref-type name="Report"&gt;27&lt;/ref-type&gt;&lt;contributors&gt;&lt;authors&gt;&lt;author&gt;CEWG&lt;/author&gt;&lt;/authors&gt;&lt;/contributors&gt;&lt;titles&gt;&lt;title&gt;Report of Fourth Annual Joint Review Mission&lt;/title&gt;&lt;/titles&gt;&lt;dates&gt;&lt;year&gt;2013&lt;/year&gt;&lt;/dates&gt;&lt;pub-location&gt;Honiara&lt;/pub-location&gt;&lt;publisher&gt;Solomon Islands Core Economic Working Group&lt;/publisher&gt;&lt;urls&gt;&lt;/urls&gt;&lt;/record&gt;&lt;/Cite&gt;&lt;/EndNote&gt;</w:instrText>
      </w:r>
      <w:r>
        <w:rPr>
          <w:rFonts w:ascii="Times New Roman" w:hAnsi="Times New Roman"/>
        </w:rPr>
        <w:fldChar w:fldCharType="separate"/>
      </w:r>
      <w:r>
        <w:rPr>
          <w:rFonts w:ascii="Times New Roman" w:hAnsi="Times New Roman"/>
          <w:noProof/>
        </w:rPr>
        <w:t>(</w:t>
      </w:r>
      <w:hyperlink w:anchor="_ENREF_34" w:tooltip="CEWG, 2013 #4266" w:history="1">
        <w:r w:rsidR="00CC56DB">
          <w:rPr>
            <w:rFonts w:ascii="Times New Roman" w:hAnsi="Times New Roman"/>
            <w:noProof/>
          </w:rPr>
          <w:t>CEWG, 2013, p.vii</w:t>
        </w:r>
      </w:hyperlink>
      <w:r>
        <w:rPr>
          <w:rFonts w:ascii="Times New Roman" w:hAnsi="Times New Roman"/>
          <w:noProof/>
        </w:rPr>
        <w:t>)</w:t>
      </w:r>
      <w:r>
        <w:rPr>
          <w:rFonts w:ascii="Times New Roman" w:hAnsi="Times New Roman"/>
        </w:rPr>
        <w:fldChar w:fldCharType="end"/>
      </w:r>
    </w:p>
  </w:footnote>
  <w:footnote w:id="12">
    <w:p w:rsidR="00F57583" w:rsidRPr="00884737" w:rsidRDefault="00F57583" w:rsidP="00FD5DEB">
      <w:pPr>
        <w:ind w:left="360" w:hanging="360"/>
        <w:rPr>
          <w:rFonts w:cs="Times New Roman"/>
          <w:sz w:val="20"/>
          <w:szCs w:val="20"/>
        </w:rPr>
      </w:pPr>
      <w:r w:rsidRPr="00884737">
        <w:rPr>
          <w:rStyle w:val="FootnoteReference"/>
          <w:rFonts w:cs="Times New Roman"/>
          <w:sz w:val="20"/>
          <w:szCs w:val="20"/>
        </w:rPr>
        <w:footnoteRef/>
      </w:r>
      <w:r w:rsidRPr="00884737">
        <w:rPr>
          <w:rFonts w:cs="Times New Roman"/>
          <w:sz w:val="20"/>
          <w:szCs w:val="20"/>
        </w:rPr>
        <w:t xml:space="preserve"> </w:t>
      </w:r>
      <w:r w:rsidRPr="00884737">
        <w:rPr>
          <w:rFonts w:cs="Times New Roman"/>
          <w:sz w:val="20"/>
          <w:szCs w:val="20"/>
        </w:rPr>
        <w:tab/>
        <w:t xml:space="preserve">Some respondents suggested that there is room for debate whether budgetary discipline is being achieved through somewhat arbitrary cuts – a recent newspaper headline offers unsubstantiated support for this claim </w:t>
      </w:r>
      <w:r>
        <w:rPr>
          <w:rFonts w:cs="Times New Roman"/>
          <w:sz w:val="20"/>
          <w:szCs w:val="20"/>
        </w:rPr>
        <w:fldChar w:fldCharType="begin"/>
      </w:r>
      <w:r>
        <w:rPr>
          <w:rFonts w:cs="Times New Roman"/>
          <w:sz w:val="20"/>
          <w:szCs w:val="20"/>
        </w:rPr>
        <w:instrText xml:space="preserve"> ADDIN EN.CITE &lt;EndNote&gt;&lt;Cite ExcludeAuth="1"&gt;&lt;Year&gt;2014&lt;/Year&gt;&lt;RecNum&gt;4303&lt;/RecNum&gt;&lt;DisplayText&gt;(&amp;quot;Sasako Calls for Immediate Dissolution of Parliament and Election &amp;quot;, 2014)&lt;/DisplayText&gt;&lt;record&gt;&lt;rec-number&gt;4303&lt;/rec-number&gt;&lt;foreign-keys&gt;&lt;key app="EN" db-id="5v9z5rrdszvwsneef06v9dapsd0apdtfapdx" timestamp="1408645133"&gt;4303&lt;/key&gt;&lt;/foreign-keys&gt;&lt;ref-type name="Newspaper Article"&gt;23&lt;/ref-type&gt;&lt;contributors&gt;&lt;/contributors&gt;&lt;titles&gt;&lt;title&gt;Sasako calls for immediate dissolution of parliament and election &lt;/title&gt;&lt;secondary-title&gt;Solomon Star&lt;/secondary-title&gt;&lt;/titles&gt;&lt;dates&gt;&lt;year&gt;2014&lt;/year&gt;&lt;pub-dates&gt;&lt;date&gt;12 August, 2014&lt;/date&gt;&lt;/pub-dates&gt;&lt;/dates&gt;&lt;pub-location&gt;Honiara&lt;/pub-location&gt;&lt;urls&gt;&lt;/urls&gt;&lt;/record&gt;&lt;/Cite&gt;&lt;/EndNote&gt;</w:instrText>
      </w:r>
      <w:r>
        <w:rPr>
          <w:rFonts w:cs="Times New Roman"/>
          <w:sz w:val="20"/>
          <w:szCs w:val="20"/>
        </w:rPr>
        <w:fldChar w:fldCharType="separate"/>
      </w:r>
      <w:r>
        <w:rPr>
          <w:rFonts w:cs="Times New Roman"/>
          <w:noProof/>
          <w:sz w:val="20"/>
          <w:szCs w:val="20"/>
        </w:rPr>
        <w:t>(</w:t>
      </w:r>
      <w:hyperlink w:anchor="_ENREF_130" w:tooltip=", 2014 #4303" w:history="1">
        <w:r w:rsidR="00CC56DB">
          <w:rPr>
            <w:rFonts w:cs="Times New Roman"/>
            <w:noProof/>
            <w:sz w:val="20"/>
            <w:szCs w:val="20"/>
          </w:rPr>
          <w:t>"Sasako Calls for Immediate Dissolution of Parliament and Election ", 2014</w:t>
        </w:r>
      </w:hyperlink>
      <w:r>
        <w:rPr>
          <w:rFonts w:cs="Times New Roman"/>
          <w:noProof/>
          <w:sz w:val="20"/>
          <w:szCs w:val="20"/>
        </w:rPr>
        <w:t>)</w:t>
      </w:r>
      <w:r>
        <w:rPr>
          <w:rFonts w:cs="Times New Roman"/>
          <w:sz w:val="20"/>
          <w:szCs w:val="20"/>
        </w:rPr>
        <w:fldChar w:fldCharType="end"/>
      </w:r>
      <w:r w:rsidRPr="00884737">
        <w:rPr>
          <w:rFonts w:cs="Times New Roman"/>
          <w:sz w:val="20"/>
          <w:szCs w:val="20"/>
        </w:rPr>
        <w:t>.</w:t>
      </w:r>
    </w:p>
  </w:footnote>
  <w:footnote w:id="13">
    <w:p w:rsidR="00F57583" w:rsidRPr="00884737" w:rsidRDefault="00F57583" w:rsidP="00A46DA9">
      <w:pPr>
        <w:pStyle w:val="FootnoteText"/>
        <w:ind w:left="360" w:hanging="360"/>
        <w:rPr>
          <w:rFonts w:ascii="Times New Roman" w:hAnsi="Times New Roman"/>
        </w:rPr>
      </w:pPr>
      <w:r w:rsidRPr="00884737">
        <w:rPr>
          <w:rStyle w:val="FootnoteReference"/>
          <w:rFonts w:ascii="Times New Roman" w:hAnsi="Times New Roman"/>
        </w:rPr>
        <w:footnoteRef/>
      </w:r>
      <w:r w:rsidRPr="00884737">
        <w:rPr>
          <w:rFonts w:ascii="Times New Roman" w:hAnsi="Times New Roman"/>
        </w:rPr>
        <w:t xml:space="preserve"> </w:t>
      </w:r>
      <w:r w:rsidRPr="00884737">
        <w:rPr>
          <w:rFonts w:ascii="Times New Roman" w:hAnsi="Times New Roman"/>
        </w:rPr>
        <w:tab/>
        <w:t xml:space="preserve">This point has been picked up elsewhere. “… </w:t>
      </w:r>
      <w:proofErr w:type="gramStart"/>
      <w:r w:rsidRPr="00884737">
        <w:rPr>
          <w:rFonts w:ascii="Times New Roman" w:hAnsi="Times New Roman"/>
        </w:rPr>
        <w:t>the</w:t>
      </w:r>
      <w:proofErr w:type="gramEnd"/>
      <w:r w:rsidRPr="00884737">
        <w:rPr>
          <w:rFonts w:ascii="Times New Roman" w:hAnsi="Times New Roman"/>
        </w:rPr>
        <w:t xml:space="preserve"> misuse of CW (contingency warrants) for budget items that are forseeable has already commenced under the new Public Financial Management Act 2013…  (T)he Director (of the Budget Unit in the Ministry of Finance and Treasury) advised that ministries did not properly plan for their activities…” </w:t>
      </w:r>
      <w:r>
        <w:rPr>
          <w:rFonts w:ascii="Times New Roman" w:hAnsi="Times New Roman"/>
        </w:rPr>
        <w:fldChar w:fldCharType="begin"/>
      </w:r>
      <w:r>
        <w:rPr>
          <w:rFonts w:ascii="Times New Roman" w:hAnsi="Times New Roman"/>
        </w:rPr>
        <w:instrText xml:space="preserve"> ADDIN EN.CITE &lt;EndNote&gt;&lt;Cite&gt;&lt;Author&gt;Public Accounts Committee&lt;/Author&gt;&lt;Year&gt;2014&lt;/Year&gt;&lt;RecNum&gt;4305&lt;/RecNum&gt;&lt;Suffix&gt;`, pp.4-5&lt;/Suffix&gt;&lt;DisplayText&gt;(Public Accounts Committee, 2014, pp.4-5)&lt;/DisplayText&gt;&lt;record&gt;&lt;rec-number&gt;4305&lt;/rec-number&gt;&lt;foreign-keys&gt;&lt;key app="EN" db-id="5v9z5rrdszvwsneef06v9dapsd0apdtfapdx" timestamp="1408648732"&gt;4305&lt;/key&gt;&lt;/foreign-keys&gt;&lt;ref-type name="Report"&gt;27&lt;/ref-type&gt;&lt;contributors&gt;&lt;authors&gt;&lt;author&gt;Public Accounts Committee,&lt;/author&gt;&lt;/authors&gt;&lt;/contributors&gt;&lt;titles&gt;&lt;title&gt;Report on the 2014 Supplementary Appropriation Bill&lt;/title&gt;&lt;secondary-title&gt;National Parliament&lt;/secondary-title&gt;&lt;/titles&gt;&lt;dates&gt;&lt;year&gt;2014&lt;/year&gt;&lt;/dates&gt;&lt;pub-location&gt;Honiara&lt;/pub-location&gt;&lt;publisher&gt;National Parliament&lt;/publisher&gt;&lt;urls&gt;&lt;/urls&gt;&lt;/record&gt;&lt;/Cite&gt;&lt;/EndNote&gt;</w:instrText>
      </w:r>
      <w:r>
        <w:rPr>
          <w:rFonts w:ascii="Times New Roman" w:hAnsi="Times New Roman"/>
        </w:rPr>
        <w:fldChar w:fldCharType="separate"/>
      </w:r>
      <w:r>
        <w:rPr>
          <w:rFonts w:ascii="Times New Roman" w:hAnsi="Times New Roman"/>
          <w:noProof/>
        </w:rPr>
        <w:t>(</w:t>
      </w:r>
      <w:hyperlink w:anchor="_ENREF_125" w:tooltip="Public Accounts Committee, 2014 #4305" w:history="1">
        <w:r w:rsidR="00CC56DB">
          <w:rPr>
            <w:rFonts w:ascii="Times New Roman" w:hAnsi="Times New Roman"/>
            <w:noProof/>
          </w:rPr>
          <w:t>Public Accounts Committee, 2014, pp.4-5</w:t>
        </w:r>
      </w:hyperlink>
      <w:r>
        <w:rPr>
          <w:rFonts w:ascii="Times New Roman" w:hAnsi="Times New Roman"/>
          <w:noProof/>
        </w:rPr>
        <w:t>)</w:t>
      </w:r>
      <w:r>
        <w:rPr>
          <w:rFonts w:ascii="Times New Roman" w:hAnsi="Times New Roman"/>
        </w:rPr>
        <w:fldChar w:fldCharType="end"/>
      </w:r>
      <w:r w:rsidRPr="00884737">
        <w:rPr>
          <w:rFonts w:ascii="Times New Roman" w:hAnsi="Times New Roman"/>
        </w:rPr>
        <w:t xml:space="preserve">.  </w:t>
      </w:r>
    </w:p>
  </w:footnote>
  <w:footnote w:id="14">
    <w:p w:rsidR="00F57583" w:rsidRPr="00884737" w:rsidRDefault="00F57583" w:rsidP="00CE01DC">
      <w:pPr>
        <w:autoSpaceDE w:val="0"/>
        <w:autoSpaceDN w:val="0"/>
        <w:adjustRightInd w:val="0"/>
        <w:ind w:left="360" w:hanging="360"/>
        <w:rPr>
          <w:rFonts w:cs="Times New Roman"/>
          <w:sz w:val="20"/>
          <w:szCs w:val="20"/>
        </w:rPr>
      </w:pPr>
      <w:r w:rsidRPr="00884737">
        <w:rPr>
          <w:rStyle w:val="FootnoteReference"/>
          <w:rFonts w:cs="Times New Roman"/>
          <w:sz w:val="20"/>
          <w:szCs w:val="20"/>
        </w:rPr>
        <w:footnoteRef/>
      </w:r>
      <w:r w:rsidRPr="00884737">
        <w:rPr>
          <w:rFonts w:cs="Times New Roman"/>
          <w:sz w:val="20"/>
          <w:szCs w:val="20"/>
        </w:rPr>
        <w:t xml:space="preserve"> </w:t>
      </w:r>
      <w:r w:rsidRPr="00884737">
        <w:rPr>
          <w:rFonts w:cs="Times New Roman"/>
          <w:sz w:val="20"/>
          <w:szCs w:val="20"/>
        </w:rPr>
        <w:tab/>
        <w:t xml:space="preserve">The recent UK Independent Commission for Aid Impact critical review of DfID’s Private Sector Development Work provides a useful illustration of the problem of not having a theory of change.  The report notes that the Commission could “not observe a clear ‘theory of change’ at the portfolio level that expressed how the private sector needed to be re-configured to enable it most optimally to contribute to economic growth, stability and poverty reduction…”.  That </w:t>
      </w:r>
      <w:r w:rsidRPr="00884737">
        <w:rPr>
          <w:rFonts w:cs="Times New Roman"/>
          <w:color w:val="000000"/>
          <w:sz w:val="20"/>
          <w:szCs w:val="20"/>
        </w:rPr>
        <w:t xml:space="preserve">absence of a ‘theory of change’ meant that it was impossible to clarify “how DFID’s activities cohere as a consistent endeavor” </w:t>
      </w:r>
      <w:r>
        <w:rPr>
          <w:rFonts w:cs="Times New Roman"/>
          <w:color w:val="000000"/>
          <w:sz w:val="20"/>
          <w:szCs w:val="20"/>
        </w:rPr>
        <w:fldChar w:fldCharType="begin"/>
      </w:r>
      <w:r>
        <w:rPr>
          <w:rFonts w:cs="Times New Roman"/>
          <w:color w:val="000000"/>
          <w:sz w:val="20"/>
          <w:szCs w:val="20"/>
        </w:rPr>
        <w:instrText xml:space="preserve"> ADDIN EN.CITE &lt;EndNote&gt;&lt;Cite&gt;&lt;Author&gt;Independent Commission for Aid Impact&lt;/Author&gt;&lt;Year&gt;2014&lt;/Year&gt;&lt;RecNum&gt;4356&lt;/RecNum&gt;&lt;Suffix&gt;`, pp.13-4&lt;/Suffix&gt;&lt;DisplayText&gt;(Independent Commission for Aid Impact, 2014, pp.13-4)&lt;/DisplayText&gt;&lt;record&gt;&lt;rec-number&gt;4356&lt;/rec-number&gt;&lt;foreign-keys&gt;&lt;key app="EN" db-id="5v9z5rrdszvwsneef06v9dapsd0apdtfapdx" timestamp="1408971499"&gt;4356&lt;/key&gt;&lt;/foreign-keys&gt;&lt;ref-type name="Report"&gt;27&lt;/ref-type&gt;&lt;contributors&gt;&lt;authors&gt;&lt;author&gt;Independent Commission for Aid Impact,&lt;/author&gt;&lt;/authors&gt;&lt;/contributors&gt;&lt;titles&gt;&lt;title&gt;DFID’s Private Sector Development Work&lt;/title&gt;&lt;/titles&gt;&lt;dates&gt;&lt;year&gt;2014&lt;/year&gt;&lt;/dates&gt;&lt;pub-location&gt;London&lt;/pub-location&gt;&lt;publisher&gt;Independent Commission for Aid Impact&lt;/publisher&gt;&lt;urls&gt;&lt;/urls&gt;&lt;/record&gt;&lt;/Cite&gt;&lt;/EndNote&gt;</w:instrText>
      </w:r>
      <w:r>
        <w:rPr>
          <w:rFonts w:cs="Times New Roman"/>
          <w:color w:val="000000"/>
          <w:sz w:val="20"/>
          <w:szCs w:val="20"/>
        </w:rPr>
        <w:fldChar w:fldCharType="separate"/>
      </w:r>
      <w:r>
        <w:rPr>
          <w:rFonts w:cs="Times New Roman"/>
          <w:noProof/>
          <w:color w:val="000000"/>
          <w:sz w:val="20"/>
          <w:szCs w:val="20"/>
        </w:rPr>
        <w:t>(</w:t>
      </w:r>
      <w:hyperlink w:anchor="_ENREF_75" w:tooltip="Independent Commission for Aid Impact, 2014 #4356" w:history="1">
        <w:r w:rsidR="00CC56DB">
          <w:rPr>
            <w:rFonts w:cs="Times New Roman"/>
            <w:noProof/>
            <w:color w:val="000000"/>
            <w:sz w:val="20"/>
            <w:szCs w:val="20"/>
          </w:rPr>
          <w:t>Independent Commission for Aid Impact, 2014, pp.13-4</w:t>
        </w:r>
      </w:hyperlink>
      <w:r>
        <w:rPr>
          <w:rFonts w:cs="Times New Roman"/>
          <w:noProof/>
          <w:color w:val="000000"/>
          <w:sz w:val="20"/>
          <w:szCs w:val="20"/>
        </w:rPr>
        <w:t>)</w:t>
      </w:r>
      <w:r>
        <w:rPr>
          <w:rFonts w:cs="Times New Roman"/>
          <w:color w:val="000000"/>
          <w:sz w:val="20"/>
          <w:szCs w:val="20"/>
        </w:rPr>
        <w:fldChar w:fldCharType="end"/>
      </w:r>
      <w:r w:rsidRPr="00884737">
        <w:rPr>
          <w:rFonts w:cs="Times New Roman"/>
          <w:color w:val="000000"/>
          <w:sz w:val="20"/>
          <w:szCs w:val="20"/>
        </w:rPr>
        <w:t xml:space="preserve">.  </w:t>
      </w:r>
    </w:p>
  </w:footnote>
  <w:footnote w:id="15">
    <w:p w:rsidR="00F57583" w:rsidRPr="00884737" w:rsidRDefault="00F57583" w:rsidP="006A70A3">
      <w:pPr>
        <w:ind w:left="360" w:hanging="360"/>
      </w:pPr>
      <w:r w:rsidRPr="00884737">
        <w:rPr>
          <w:rStyle w:val="FootnoteReference"/>
          <w:rFonts w:cs="Times New Roman"/>
          <w:sz w:val="20"/>
          <w:szCs w:val="20"/>
        </w:rPr>
        <w:footnoteRef/>
      </w:r>
      <w:r w:rsidRPr="00884737">
        <w:rPr>
          <w:rFonts w:cs="Times New Roman"/>
          <w:sz w:val="20"/>
          <w:szCs w:val="20"/>
        </w:rPr>
        <w:t xml:space="preserve"> </w:t>
      </w:r>
      <w:r w:rsidRPr="00884737">
        <w:rPr>
          <w:rFonts w:cs="Times New Roman"/>
          <w:sz w:val="20"/>
          <w:szCs w:val="20"/>
        </w:rPr>
        <w:tab/>
        <w:t xml:space="preserve">The severe limits to our knowledge about public sector management supports the case for cautious incrementalism, along the lines of the observations made by </w:t>
      </w:r>
      <w:r>
        <w:rPr>
          <w:rFonts w:cs="Times New Roman"/>
          <w:sz w:val="20"/>
          <w:szCs w:val="20"/>
        </w:rPr>
        <w:fldChar w:fldCharType="begin"/>
      </w:r>
      <w:r>
        <w:rPr>
          <w:rFonts w:cs="Times New Roman"/>
          <w:sz w:val="20"/>
          <w:szCs w:val="20"/>
        </w:rPr>
        <w:instrText xml:space="preserve"> ADDIN EN.CITE &lt;EndNote&gt;&lt;Cite&gt;&lt;Author&gt;Lindblom&lt;/Author&gt;&lt;Year&gt;1959&lt;/Year&gt;&lt;RecNum&gt;503&lt;/RecNum&gt;&lt;DisplayText&gt;(Lindblom, 1959)&lt;/DisplayText&gt;&lt;record&gt;&lt;rec-number&gt;503&lt;/rec-number&gt;&lt;foreign-keys&gt;&lt;key app="EN" db-id="5v9z5rrdszvwsneef06v9dapsd0apdtfapdx" timestamp="0"&gt;503&lt;/key&gt;&lt;/foreign-keys&gt;&lt;ref-type name="Journal Article"&gt;17&lt;/ref-type&gt;&lt;contributors&gt;&lt;authors&gt;&lt;author&gt;Charles Lindblom&lt;/author&gt;&lt;/authors&gt;&lt;/contributors&gt;&lt;titles&gt;&lt;title&gt;The Science of Muddling Through&lt;/title&gt;&lt;secondary-title&gt;Public Administration Review&lt;/secondary-title&gt;&lt;/titles&gt;&lt;periodical&gt;&lt;full-title&gt;Public Administration Review&lt;/full-title&gt;&lt;/periodical&gt;&lt;pages&gt;79-88&lt;/pages&gt;&lt;volume&gt;19&lt;/volume&gt;&lt;dates&gt;&lt;year&gt;1959&lt;/year&gt;&lt;/dates&gt;&lt;urls&gt;&lt;/urls&gt;&lt;/record&gt;&lt;/Cite&gt;&lt;/EndNote&gt;</w:instrText>
      </w:r>
      <w:r>
        <w:rPr>
          <w:rFonts w:cs="Times New Roman"/>
          <w:sz w:val="20"/>
          <w:szCs w:val="20"/>
        </w:rPr>
        <w:fldChar w:fldCharType="separate"/>
      </w:r>
      <w:r>
        <w:rPr>
          <w:rFonts w:cs="Times New Roman"/>
          <w:noProof/>
          <w:sz w:val="20"/>
          <w:szCs w:val="20"/>
        </w:rPr>
        <w:t>(</w:t>
      </w:r>
      <w:hyperlink w:anchor="_ENREF_92" w:tooltip="Lindblom, 1959 #503" w:history="1">
        <w:r w:rsidR="00CC56DB">
          <w:rPr>
            <w:rFonts w:cs="Times New Roman"/>
            <w:noProof/>
            <w:sz w:val="20"/>
            <w:szCs w:val="20"/>
          </w:rPr>
          <w:t>Lindblom, 1959</w:t>
        </w:r>
      </w:hyperlink>
      <w:r>
        <w:rPr>
          <w:rFonts w:cs="Times New Roman"/>
          <w:noProof/>
          <w:sz w:val="20"/>
          <w:szCs w:val="20"/>
        </w:rPr>
        <w:t>)</w:t>
      </w:r>
      <w:r>
        <w:rPr>
          <w:rFonts w:cs="Times New Roman"/>
          <w:sz w:val="20"/>
          <w:szCs w:val="20"/>
        </w:rPr>
        <w:fldChar w:fldCharType="end"/>
      </w:r>
      <w:r w:rsidRPr="00884737">
        <w:rPr>
          <w:rFonts w:cs="Times New Roman"/>
          <w:sz w:val="20"/>
          <w:szCs w:val="20"/>
        </w:rPr>
        <w:t xml:space="preserve"> that “muddling through” within large bureaucracies is a ration</w:t>
      </w:r>
      <w:r w:rsidRPr="0098305E">
        <w:rPr>
          <w:rFonts w:cs="Times New Roman"/>
          <w:sz w:val="20"/>
          <w:szCs w:val="20"/>
        </w:rPr>
        <w:t>al way of managing complexity and the inherent uncertainty in predicting exactly what the consequence of refor</w:t>
      </w:r>
      <w:r w:rsidRPr="006A70A3">
        <w:rPr>
          <w:rFonts w:cs="Times New Roman"/>
          <w:sz w:val="20"/>
          <w:szCs w:val="20"/>
        </w:rPr>
        <w:t xml:space="preserve">ms at each stage will be.  More recent commentators have underscored the need for </w:t>
      </w:r>
      <w:r w:rsidRPr="00DA653D">
        <w:rPr>
          <w:sz w:val="20"/>
          <w:szCs w:val="20"/>
        </w:rPr>
        <w:t xml:space="preserve">Problem-Driven Iterative Adaptation (PDIA) </w:t>
      </w:r>
      <w:r w:rsidRPr="00DA653D">
        <w:rPr>
          <w:sz w:val="20"/>
          <w:szCs w:val="20"/>
        </w:rPr>
        <w:fldChar w:fldCharType="begin"/>
      </w:r>
      <w:r>
        <w:rPr>
          <w:sz w:val="20"/>
          <w:szCs w:val="20"/>
        </w:rPr>
        <w:instrText xml:space="preserve"> ADDIN EN.CITE &lt;EndNote&gt;&lt;Cite&gt;&lt;Author&gt;Andrews&lt;/Author&gt;&lt;Year&gt;2013&lt;/Year&gt;&lt;RecNum&gt;4174&lt;/RecNum&gt;&lt;DisplayText&gt;(Andrews, 2013)&lt;/DisplayText&gt;&lt;record&gt;&lt;rec-number&gt;4174&lt;/rec-number&gt;&lt;foreign-keys&gt;&lt;key app="EN" db-id="5v9z5rrdszvwsneef06v9dapsd0apdtfapdx" timestamp="1401389669"&gt;4174&lt;/key&gt;&lt;/foreign-keys&gt;&lt;ref-type name="Book"&gt;6&lt;/ref-type&gt;&lt;contributors&gt;&lt;authors&gt;&lt;author&gt;Matt Andrews&lt;/author&gt;&lt;/authors&gt;&lt;/contributors&gt;&lt;titles&gt;&lt;title&gt;The Limits of Institutional reform in Development&lt;/title&gt;&lt;/titles&gt;&lt;dates&gt;&lt;year&gt;2013&lt;/year&gt;&lt;/dates&gt;&lt;pub-location&gt;New York&lt;/pub-location&gt;&lt;publisher&gt;Cambridge University Press&lt;/publisher&gt;&lt;urls&gt;&lt;/urls&gt;&lt;/record&gt;&lt;/Cite&gt;&lt;/EndNote&gt;</w:instrText>
      </w:r>
      <w:r w:rsidRPr="00DA653D">
        <w:rPr>
          <w:sz w:val="20"/>
          <w:szCs w:val="20"/>
        </w:rPr>
        <w:fldChar w:fldCharType="separate"/>
      </w:r>
      <w:r>
        <w:rPr>
          <w:noProof/>
          <w:sz w:val="20"/>
          <w:szCs w:val="20"/>
        </w:rPr>
        <w:t>(</w:t>
      </w:r>
      <w:hyperlink w:anchor="_ENREF_5" w:tooltip="Andrews, 2013 #4174" w:history="1">
        <w:r w:rsidR="00CC56DB">
          <w:rPr>
            <w:noProof/>
            <w:sz w:val="20"/>
            <w:szCs w:val="20"/>
          </w:rPr>
          <w:t>Andrews, 2013</w:t>
        </w:r>
      </w:hyperlink>
      <w:r>
        <w:rPr>
          <w:noProof/>
          <w:sz w:val="20"/>
          <w:szCs w:val="20"/>
        </w:rPr>
        <w:t>)</w:t>
      </w:r>
      <w:r w:rsidRPr="00DA653D">
        <w:rPr>
          <w:sz w:val="20"/>
          <w:szCs w:val="20"/>
        </w:rPr>
        <w:fldChar w:fldCharType="end"/>
      </w:r>
      <w:r>
        <w:rPr>
          <w:sz w:val="20"/>
          <w:szCs w:val="20"/>
        </w:rPr>
        <w:t xml:space="preserve"> and, rather memorably, </w:t>
      </w:r>
      <w:r w:rsidRPr="006A70A3">
        <w:rPr>
          <w:sz w:val="20"/>
          <w:szCs w:val="20"/>
        </w:rPr>
        <w:t xml:space="preserve">Booth </w:t>
      </w:r>
      <w:r>
        <w:rPr>
          <w:sz w:val="20"/>
          <w:szCs w:val="20"/>
        </w:rPr>
        <w:t>describes institutional reform as</w:t>
      </w:r>
      <w:r w:rsidRPr="006A70A3">
        <w:rPr>
          <w:sz w:val="20"/>
          <w:szCs w:val="20"/>
        </w:rPr>
        <w:t xml:space="preserve"> “a guerrilla operation, not a war of fixed positions” </w:t>
      </w:r>
      <w:r w:rsidRPr="006A70A3">
        <w:rPr>
          <w:sz w:val="20"/>
          <w:szCs w:val="20"/>
        </w:rPr>
        <w:fldChar w:fldCharType="begin"/>
      </w:r>
      <w:r w:rsidRPr="006A70A3">
        <w:rPr>
          <w:sz w:val="20"/>
          <w:szCs w:val="20"/>
        </w:rPr>
        <w:instrText xml:space="preserve"> ADDIN EN.CITE &lt;EndNote&gt;&lt;Cite&gt;&lt;Author&gt;Booth&lt;/Author&gt;&lt;Year&gt;2014&lt;/Year&gt;&lt;RecNum&gt;4372&lt;/RecNum&gt;&lt;Suffix&gt;`, p.ix&lt;/Suffix&gt;&lt;DisplayText&gt;(Booth, 2014, p.ix)&lt;/DisplayText&gt;&lt;record&gt;&lt;rec-number&gt;4372&lt;/rec-number&gt;&lt;foreign-keys&gt;&lt;key app="EN" db-id="5v9z5rrdszvwsneef06v9dapsd0apdtfapdx" timestamp="1413916916"&gt;4372&lt;/key&gt;&lt;/foreign-keys&gt;&lt;ref-type name="Report"&gt;27&lt;/ref-type&gt;&lt;contributors&gt;&lt;authors&gt;&lt;author&gt;David Booth&lt;/author&gt;&lt;/authors&gt;&lt;/contributors&gt;&lt;titles&gt;&lt;title&gt;Aiding Institutional Reform in Developing Countries: lessons from the Philippines on what works, what doesn&amp;apos;t, and why&lt;/title&gt;&lt;/titles&gt;&lt;dates&gt;&lt;year&gt;2014&lt;/year&gt;&lt;/dates&gt;&lt;pub-location&gt;London&lt;/pub-location&gt;&lt;publisher&gt;Overseas Devlopment Institute&lt;/publisher&gt;&lt;urls&gt;&lt;/urls&gt;&lt;custom2&gt;yes&lt;/custom2&gt;&lt;/record&gt;&lt;/Cite&gt;&lt;/EndNote&gt;</w:instrText>
      </w:r>
      <w:r w:rsidRPr="006A70A3">
        <w:rPr>
          <w:sz w:val="20"/>
          <w:szCs w:val="20"/>
        </w:rPr>
        <w:fldChar w:fldCharType="separate"/>
      </w:r>
      <w:r w:rsidRPr="006A70A3">
        <w:rPr>
          <w:noProof/>
          <w:sz w:val="20"/>
          <w:szCs w:val="20"/>
        </w:rPr>
        <w:t>(</w:t>
      </w:r>
      <w:hyperlink w:anchor="_ENREF_27" w:tooltip="Booth, 2014 #4372" w:history="1">
        <w:r w:rsidR="00CC56DB" w:rsidRPr="006A70A3">
          <w:rPr>
            <w:noProof/>
            <w:sz w:val="20"/>
            <w:szCs w:val="20"/>
          </w:rPr>
          <w:t>Booth, 2014, p.ix</w:t>
        </w:r>
      </w:hyperlink>
      <w:r w:rsidRPr="006A70A3">
        <w:rPr>
          <w:noProof/>
          <w:sz w:val="20"/>
          <w:szCs w:val="20"/>
        </w:rPr>
        <w:t>)</w:t>
      </w:r>
      <w:r w:rsidRPr="006A70A3">
        <w:rPr>
          <w:sz w:val="20"/>
          <w:szCs w:val="20"/>
        </w:rPr>
        <w:fldChar w:fldCharType="end"/>
      </w:r>
      <w:r w:rsidRPr="006A70A3">
        <w:rPr>
          <w:sz w:val="20"/>
          <w:szCs w:val="20"/>
        </w:rPr>
        <w:t>.</w:t>
      </w:r>
    </w:p>
  </w:footnote>
  <w:footnote w:id="16">
    <w:p w:rsidR="00F57583" w:rsidRPr="006544DC" w:rsidRDefault="00F57583" w:rsidP="006544DC">
      <w:pPr>
        <w:pStyle w:val="FootnoteText"/>
        <w:ind w:left="270" w:hanging="270"/>
        <w:rPr>
          <w:rFonts w:ascii="Times New Roman" w:hAnsi="Times New Roman"/>
        </w:rPr>
      </w:pPr>
      <w:r w:rsidRPr="006544DC">
        <w:rPr>
          <w:rStyle w:val="FootnoteReference"/>
          <w:rFonts w:ascii="Times New Roman" w:hAnsi="Times New Roman"/>
        </w:rPr>
        <w:footnoteRef/>
      </w:r>
      <w:r w:rsidRPr="006544DC">
        <w:rPr>
          <w:rFonts w:ascii="Times New Roman" w:hAnsi="Times New Roman"/>
        </w:rPr>
        <w:t xml:space="preserve"> </w:t>
      </w:r>
      <w:r w:rsidRPr="006544DC">
        <w:rPr>
          <w:rFonts w:ascii="Times New Roman" w:hAnsi="Times New Roman"/>
        </w:rPr>
        <w:tab/>
        <w:t xml:space="preserve">Annual official development assistance is around </w:t>
      </w:r>
      <w:r w:rsidRPr="006544DC">
        <w:rPr>
          <w:rFonts w:ascii="Times New Roman" w:hAnsi="Times New Roman"/>
          <w:lang w:val="en-AU"/>
        </w:rPr>
        <w:t xml:space="preserve">US$330m currently, around 50% of GDP, and is likely, at most, to reduce to around 30% of GDP </w:t>
      </w:r>
      <w:r w:rsidRPr="006544DC">
        <w:rPr>
          <w:rFonts w:ascii="Times New Roman" w:hAnsi="Times New Roman"/>
          <w:lang w:val="en-AU"/>
        </w:rPr>
        <w:fldChar w:fldCharType="begin"/>
      </w:r>
      <w:r w:rsidRPr="006544DC">
        <w:rPr>
          <w:rFonts w:ascii="Times New Roman" w:hAnsi="Times New Roman"/>
          <w:lang w:val="en-AU"/>
        </w:rPr>
        <w:instrText xml:space="preserve"> ADDIN EN.CITE &lt;EndNote&gt;&lt;Cite&gt;&lt;Author&gt;Haque&lt;/Author&gt;&lt;Year&gt;2013&lt;/Year&gt;&lt;RecNum&gt;4268&lt;/RecNum&gt;&lt;DisplayText&gt;(Haque, 2013)&lt;/DisplayText&gt;&lt;record&gt;&lt;rec-number&gt;4268&lt;/rec-number&gt;&lt;foreign-keys&gt;&lt;key app="EN" db-id="5v9z5rrdszvwsneef06v9dapsd0apdtfapdx" timestamp="1408398450"&gt;4268&lt;/key&gt;&lt;/foreign-keys&gt;&lt;ref-type name="Report"&gt;27&lt;/ref-type&gt;&lt;contributors&gt;&lt;authors&gt;&lt;author&gt;Haque, Tobias A.&lt;/author&gt;&lt;/authors&gt;&lt;/contributors&gt;&lt;titles&gt;&lt;title&gt;Economic Transition in Solomon Islands&lt;/title&gt;&lt;/titles&gt;&lt;dates&gt;&lt;year&gt;2013&lt;/year&gt;&lt;/dates&gt;&lt;pub-location&gt;Canberra&lt;/pub-location&gt;&lt;publisher&gt;Australian National University&lt;/publisher&gt;&lt;urls&gt;&lt;/urls&gt;&lt;/record&gt;&lt;/Cite&gt;&lt;/EndNote&gt;</w:instrText>
      </w:r>
      <w:r w:rsidRPr="006544DC">
        <w:rPr>
          <w:rFonts w:ascii="Times New Roman" w:hAnsi="Times New Roman"/>
          <w:lang w:val="en-AU"/>
        </w:rPr>
        <w:fldChar w:fldCharType="separate"/>
      </w:r>
      <w:r w:rsidRPr="006544DC">
        <w:rPr>
          <w:rFonts w:ascii="Times New Roman" w:hAnsi="Times New Roman"/>
          <w:lang w:val="en-AU"/>
        </w:rPr>
        <w:t>(</w:t>
      </w:r>
      <w:hyperlink w:anchor="_ENREF_66" w:tooltip="Haque, 2013 #4268" w:history="1">
        <w:r w:rsidR="00CC56DB" w:rsidRPr="006544DC">
          <w:rPr>
            <w:rFonts w:ascii="Times New Roman" w:hAnsi="Times New Roman"/>
            <w:lang w:val="en-AU"/>
          </w:rPr>
          <w:t>Haque, 2013</w:t>
        </w:r>
      </w:hyperlink>
      <w:r w:rsidRPr="006544DC">
        <w:rPr>
          <w:rFonts w:ascii="Times New Roman" w:hAnsi="Times New Roman"/>
          <w:lang w:val="en-AU"/>
        </w:rPr>
        <w:t>)</w:t>
      </w:r>
      <w:r w:rsidRPr="006544DC">
        <w:rPr>
          <w:rFonts w:ascii="Times New Roman" w:hAnsi="Times New Roman"/>
          <w:lang w:val="en-AU"/>
        </w:rPr>
        <w:fldChar w:fldCharType="end"/>
      </w:r>
      <w:r w:rsidRPr="006544DC">
        <w:rPr>
          <w:rFonts w:ascii="Times New Roman" w:hAnsi="Times New Roman"/>
          <w:lang w:val="en-AU"/>
        </w:rPr>
        <w:t>.</w:t>
      </w:r>
    </w:p>
  </w:footnote>
  <w:footnote w:id="17">
    <w:p w:rsidR="00F57583" w:rsidRPr="006A70A3" w:rsidRDefault="00F57583" w:rsidP="006A70A3">
      <w:pPr>
        <w:pStyle w:val="FootnoteText"/>
        <w:ind w:left="270" w:hanging="270"/>
        <w:rPr>
          <w:rFonts w:ascii="Times New Roman" w:hAnsi="Times New Roman"/>
        </w:rPr>
      </w:pPr>
      <w:r w:rsidRPr="006A70A3">
        <w:rPr>
          <w:rStyle w:val="FootnoteReference"/>
          <w:rFonts w:ascii="Times New Roman" w:hAnsi="Times New Roman"/>
        </w:rPr>
        <w:footnoteRef/>
      </w:r>
      <w:r w:rsidRPr="006A70A3">
        <w:rPr>
          <w:rFonts w:ascii="Times New Roman" w:hAnsi="Times New Roman"/>
        </w:rPr>
        <w:t xml:space="preserve"> </w:t>
      </w:r>
      <w:r w:rsidRPr="006A70A3">
        <w:rPr>
          <w:rFonts w:ascii="Times New Roman" w:hAnsi="Times New Roman"/>
        </w:rPr>
        <w:tab/>
      </w:r>
      <w:r w:rsidR="00CC56DB">
        <w:rPr>
          <w:rFonts w:ascii="Times New Roman" w:hAnsi="Times New Roman"/>
        </w:rPr>
        <w:fldChar w:fldCharType="begin"/>
      </w:r>
      <w:r w:rsidR="00CC56DB">
        <w:rPr>
          <w:rFonts w:ascii="Times New Roman" w:hAnsi="Times New Roman"/>
        </w:rPr>
        <w:instrText xml:space="preserve"> ADDIN EN.CITE &lt;EndNote&gt;&lt;Cite&gt;&lt;Author&gt;Greenwell&lt;/Author&gt;&lt;Year&gt;2014&lt;/Year&gt;&lt;RecNum&gt;4376&lt;/RecNum&gt;&lt;DisplayText&gt;(Dixon et al., 2012; Greenwell &amp;amp; Moore, 2014)&lt;/DisplayText&gt;&lt;record&gt;&lt;rec-number&gt;4376&lt;/rec-number&gt;&lt;foreign-keys&gt;&lt;key app="EN" db-id="5v9z5rrdszvwsneef06v9dapsd0apdtfapdx" timestamp="1413932575"&gt;4376&lt;/key&gt;&lt;/foreign-keys&gt;&lt;ref-type name="Journal Article"&gt;17&lt;/ref-type&gt;&lt;contributors&gt;&lt;authors&gt;&lt;author&gt;Harry Greenwell&lt;/author&gt;&lt;author&gt;Bede Moore&lt;/author&gt;&lt;/authors&gt;&lt;/contributors&gt;&lt;titles&gt;&lt;title&gt;Capacity development in economic policy agencies&lt;/title&gt;&lt;secondary-title&gt;Australian Govenrment Treasury: Economic Roundup&lt;/secondary-title&gt;&lt;/titles&gt;&lt;pages&gt;11-34&lt;/pages&gt;&lt;number&gt;2&lt;/number&gt;&lt;dates&gt;&lt;year&gt;2014&lt;/year&gt;&lt;/dates&gt;&lt;urls&gt;&lt;/urls&gt;&lt;/record&gt;&lt;/Cite&gt;&lt;Cite&gt;&lt;Author&gt;Dixon&lt;/Author&gt;&lt;Year&gt;2012&lt;/Year&gt;&lt;RecNum&gt;4331&lt;/RecNum&gt;&lt;record&gt;&lt;rec-number&gt;4331&lt;/rec-number&gt;&lt;foreign-keys&gt;&lt;key app="EN" db-id="5v9z5rrdszvwsneef06v9dapsd0apdtfapdx" timestamp="1408738818"&gt;4331&lt;/key&gt;&lt;/foreign-keys&gt;&lt;ref-type name="Book Section"&gt;5&lt;/ref-type&gt;&lt;contributors&gt;&lt;authors&gt;&lt;author&gt;Geoff Dixon&lt;/author&gt;&lt;author&gt;Michael Anderson&lt;/author&gt;&lt;author&gt;Peter Deacon&lt;/author&gt;&lt;author&gt;Merrylyn Kodoleke&lt;/author&gt;&lt;author&gt;Mike Loudon&lt;/author&gt;&lt;/authors&gt;&lt;/contributors&gt;&lt;titles&gt;&lt;title&gt;FINANCIAL AND ECONOMIC MANAGEMENT SUPPORT PROGRAM (FEMSP) Mid term review&lt;/title&gt;&lt;/titles&gt;&lt;dates&gt;&lt;year&gt;2012&lt;/year&gt;&lt;/dates&gt;&lt;pub-location&gt;Canberra&lt;/pub-location&gt;&lt;publisher&gt;RAMSI&lt;/publisher&gt;&lt;urls&gt;&lt;/urls&gt;&lt;/record&gt;&lt;/Cite&gt;&lt;/EndNote&gt;</w:instrText>
      </w:r>
      <w:r w:rsidR="00CC56DB">
        <w:rPr>
          <w:rFonts w:ascii="Times New Roman" w:hAnsi="Times New Roman"/>
        </w:rPr>
        <w:fldChar w:fldCharType="separate"/>
      </w:r>
      <w:r w:rsidR="00CC56DB">
        <w:rPr>
          <w:rFonts w:ascii="Times New Roman" w:hAnsi="Times New Roman"/>
          <w:noProof/>
        </w:rPr>
        <w:t>(</w:t>
      </w:r>
      <w:hyperlink w:anchor="_ENREF_56" w:tooltip="Dixon, 2012 #4331" w:history="1">
        <w:r w:rsidR="00CC56DB">
          <w:rPr>
            <w:rFonts w:ascii="Times New Roman" w:hAnsi="Times New Roman"/>
            <w:noProof/>
          </w:rPr>
          <w:t>Dixon et al., 2012</w:t>
        </w:r>
      </w:hyperlink>
      <w:r w:rsidR="00CC56DB">
        <w:rPr>
          <w:rFonts w:ascii="Times New Roman" w:hAnsi="Times New Roman"/>
          <w:noProof/>
        </w:rPr>
        <w:t xml:space="preserve">; </w:t>
      </w:r>
      <w:hyperlink w:anchor="_ENREF_64" w:tooltip="Greenwell, 2014 #4376" w:history="1">
        <w:r w:rsidR="00CC56DB">
          <w:rPr>
            <w:rFonts w:ascii="Times New Roman" w:hAnsi="Times New Roman"/>
            <w:noProof/>
          </w:rPr>
          <w:t>Greenwell &amp; Moore, 2014</w:t>
        </w:r>
      </w:hyperlink>
      <w:r w:rsidR="00CC56DB">
        <w:rPr>
          <w:rFonts w:ascii="Times New Roman" w:hAnsi="Times New Roman"/>
          <w:noProof/>
        </w:rPr>
        <w:t>)</w:t>
      </w:r>
      <w:r w:rsidR="00CC56DB">
        <w:rPr>
          <w:rFonts w:ascii="Times New Roman" w:hAnsi="Times New Roman"/>
        </w:rPr>
        <w:fldChar w:fldCharType="end"/>
      </w:r>
      <w:r w:rsidRPr="006A70A3">
        <w:rPr>
          <w:rFonts w:ascii="Times New Roman" w:hAnsi="Times New Roman"/>
        </w:rPr>
        <w:t xml:space="preserve"> provide some background to this point.</w:t>
      </w:r>
    </w:p>
  </w:footnote>
  <w:footnote w:id="18">
    <w:p w:rsidR="00F57583" w:rsidRDefault="00F57583" w:rsidP="006544DC">
      <w:pPr>
        <w:pStyle w:val="FootnoteText"/>
        <w:ind w:left="270" w:hanging="270"/>
      </w:pPr>
      <w:r w:rsidRPr="006544DC">
        <w:rPr>
          <w:rStyle w:val="FootnoteReference"/>
          <w:rFonts w:ascii="Times New Roman" w:hAnsi="Times New Roman"/>
        </w:rPr>
        <w:footnoteRef/>
      </w:r>
      <w:r w:rsidRPr="006544DC">
        <w:rPr>
          <w:rFonts w:ascii="Times New Roman" w:hAnsi="Times New Roman"/>
        </w:rPr>
        <w:t xml:space="preserve"> </w:t>
      </w:r>
      <w:r w:rsidRPr="006544DC">
        <w:rPr>
          <w:rFonts w:ascii="Times New Roman" w:hAnsi="Times New Roman"/>
        </w:rPr>
        <w:tab/>
      </w:r>
      <w:r w:rsidRPr="006544DC">
        <w:rPr>
          <w:rFonts w:ascii="Times New Roman" w:hAnsi="Times New Roman"/>
          <w:lang w:val="en-AU"/>
        </w:rPr>
        <w:fldChar w:fldCharType="begin"/>
      </w:r>
      <w:r w:rsidRPr="006544DC">
        <w:rPr>
          <w:rFonts w:ascii="Times New Roman" w:hAnsi="Times New Roman"/>
          <w:lang w:val="en-AU"/>
        </w:rPr>
        <w:instrText xml:space="preserve"> ADDIN EN.CITE &lt;EndNote&gt;&lt;Cite&gt;&lt;Author&gt;Diamond&lt;/Author&gt;&lt;Year&gt;2012&lt;/Year&gt;&lt;RecNum&gt;4072&lt;/RecNum&gt;&lt;Suffix&gt;`, box 1`, p.17&lt;/Suffix&gt;&lt;DisplayText&gt;(Diamond, 2012, box 1, p.17)&lt;/DisplayText&gt;&lt;record&gt;&lt;rec-number&gt;4072&lt;/rec-number&gt;&lt;foreign-keys&gt;&lt;key app="EN" db-id="5v9z5rrdszvwsneef06v9dapsd0apdtfapdx" timestamp="1390667783"&gt;4072&lt;/key&gt;&lt;/foreign-keys&gt;&lt;ref-type name="Report"&gt;27&lt;/ref-type&gt;&lt;contributors&gt;&lt;authors&gt;&lt;author&gt;Jack Diamond&lt;/author&gt;&lt;/authors&gt;&lt;/contributors&gt;&lt;titles&gt;&lt;title&gt;Guidance Note on Sequencing PFM reforms&lt;/title&gt;&lt;/titles&gt;&lt;dates&gt;&lt;year&gt;2012&lt;/year&gt;&lt;/dates&gt;&lt;pub-location&gt;Washington DC&lt;/pub-location&gt;&lt;publisher&gt;EC, IMF and PEFA&lt;/publisher&gt;&lt;urls&gt;&lt;/urls&gt;&lt;custom2&gt;Yes&lt;/custom2&gt;&lt;/record&gt;&lt;/Cite&gt;&lt;/EndNote&gt;</w:instrText>
      </w:r>
      <w:r w:rsidRPr="006544DC">
        <w:rPr>
          <w:rFonts w:ascii="Times New Roman" w:hAnsi="Times New Roman"/>
          <w:lang w:val="en-AU"/>
        </w:rPr>
        <w:fldChar w:fldCharType="separate"/>
      </w:r>
      <w:r w:rsidRPr="006544DC">
        <w:rPr>
          <w:rFonts w:ascii="Times New Roman" w:hAnsi="Times New Roman"/>
          <w:lang w:val="en-AU"/>
        </w:rPr>
        <w:t>(</w:t>
      </w:r>
      <w:hyperlink w:anchor="_ENREF_53" w:tooltip="Diamond, 2012 #4072" w:history="1">
        <w:r w:rsidR="00CC56DB" w:rsidRPr="006544DC">
          <w:rPr>
            <w:rFonts w:ascii="Times New Roman" w:hAnsi="Times New Roman"/>
            <w:lang w:val="en-AU"/>
          </w:rPr>
          <w:t>Diamond, 2012, box 1, p.17</w:t>
        </w:r>
      </w:hyperlink>
      <w:r w:rsidRPr="006544DC">
        <w:rPr>
          <w:rFonts w:ascii="Times New Roman" w:hAnsi="Times New Roman"/>
          <w:lang w:val="en-AU"/>
        </w:rPr>
        <w:t>)</w:t>
      </w:r>
      <w:r w:rsidRPr="006544DC">
        <w:rPr>
          <w:rFonts w:ascii="Times New Roman" w:hAnsi="Times New Roman"/>
          <w:lang w:val="en-AU"/>
        </w:rPr>
        <w:fldChar w:fldCharType="end"/>
      </w:r>
      <w:r w:rsidRPr="006544DC">
        <w:rPr>
          <w:rFonts w:ascii="Times New Roman" w:hAnsi="Times New Roman"/>
          <w:lang w:val="en-AU"/>
        </w:rPr>
        <w:t xml:space="preserve"> provides an excellent summary of the “basics” which – it can be argued – underpin other subsequent operational efficiency gains in PFM</w:t>
      </w:r>
      <w:r>
        <w:rPr>
          <w:rFonts w:ascii="Times New Roman" w:hAnsi="Times New Roman"/>
          <w:lang w:val="en-AU"/>
        </w:rPr>
        <w:t>.</w:t>
      </w:r>
    </w:p>
  </w:footnote>
  <w:footnote w:id="19">
    <w:p w:rsidR="00F57583" w:rsidRPr="00884737" w:rsidRDefault="00F57583" w:rsidP="006544DC">
      <w:pPr>
        <w:pStyle w:val="ListParagraph"/>
        <w:ind w:left="270" w:hanging="270"/>
        <w:contextualSpacing w:val="0"/>
        <w:rPr>
          <w:rFonts w:cs="Times New Roman"/>
          <w:sz w:val="20"/>
          <w:szCs w:val="20"/>
        </w:rPr>
      </w:pPr>
      <w:r w:rsidRPr="00884737">
        <w:rPr>
          <w:rStyle w:val="FootnoteReference"/>
          <w:rFonts w:cs="Times New Roman"/>
          <w:sz w:val="20"/>
          <w:szCs w:val="20"/>
        </w:rPr>
        <w:footnoteRef/>
      </w:r>
      <w:r w:rsidRPr="00884737">
        <w:rPr>
          <w:rFonts w:cs="Times New Roman"/>
          <w:sz w:val="20"/>
          <w:szCs w:val="20"/>
        </w:rPr>
        <w:t xml:space="preserve"> </w:t>
      </w:r>
      <w:r w:rsidRPr="00884737">
        <w:rPr>
          <w:rFonts w:cs="Times New Roman"/>
          <w:sz w:val="20"/>
          <w:szCs w:val="20"/>
        </w:rPr>
        <w:tab/>
      </w:r>
      <w:r>
        <w:rPr>
          <w:rFonts w:cs="Times New Roman"/>
          <w:sz w:val="20"/>
          <w:szCs w:val="20"/>
        </w:rPr>
        <w:fldChar w:fldCharType="begin"/>
      </w:r>
      <w:r>
        <w:rPr>
          <w:rFonts w:cs="Times New Roman"/>
          <w:sz w:val="20"/>
          <w:szCs w:val="20"/>
        </w:rPr>
        <w:instrText xml:space="preserve"> ADDIN EN.CITE &lt;EndNote&gt;&lt;Cite&gt;&lt;Author&gt;Baser&lt;/Author&gt;&lt;Year&gt;2007&lt;/Year&gt;&lt;RecNum&gt;4313&lt;/RecNum&gt;&lt;DisplayText&gt;(Baser, 2007)&lt;/DisplayText&gt;&lt;record&gt;&lt;rec-number&gt;4313&lt;/rec-number&gt;&lt;foreign-keys&gt;&lt;key app="EN" db-id="5v9z5rrdszvwsneef06v9dapsd0apdtfapdx" timestamp="1408717581"&gt;4313&lt;/key&gt;&lt;/foreign-keys&gt;&lt;ref-type name="Report"&gt;27&lt;/ref-type&gt;&lt;contributors&gt;&lt;authors&gt;&lt;author&gt;Heather Baser&lt;/author&gt;&lt;/authors&gt;&lt;/contributors&gt;&lt;titles&gt;&lt;title&gt;Provision of Technical Assistance Personnel in the Solomon Islands: What can we learn from the RAMSI experience?&lt;/title&gt;&lt;/titles&gt;&lt;dates&gt;&lt;year&gt;2007&lt;/year&gt;&lt;/dates&gt;&lt;pub-location&gt;Maastricht&lt;/pub-location&gt;&lt;publisher&gt;European Centre for Development Policy Management&lt;/publisher&gt;&lt;urls&gt;&lt;/urls&gt;&lt;/record&gt;&lt;/Cite&gt;&lt;/EndNote&gt;</w:instrText>
      </w:r>
      <w:r>
        <w:rPr>
          <w:rFonts w:cs="Times New Roman"/>
          <w:sz w:val="20"/>
          <w:szCs w:val="20"/>
        </w:rPr>
        <w:fldChar w:fldCharType="separate"/>
      </w:r>
      <w:r>
        <w:rPr>
          <w:rFonts w:cs="Times New Roman"/>
          <w:noProof/>
          <w:sz w:val="20"/>
          <w:szCs w:val="20"/>
        </w:rPr>
        <w:t>(</w:t>
      </w:r>
      <w:hyperlink w:anchor="_ENREF_21" w:tooltip="Baser, 2007 #4313" w:history="1">
        <w:r w:rsidR="00CC56DB">
          <w:rPr>
            <w:rFonts w:cs="Times New Roman"/>
            <w:noProof/>
            <w:sz w:val="20"/>
            <w:szCs w:val="20"/>
          </w:rPr>
          <w:t>Baser, 2007</w:t>
        </w:r>
      </w:hyperlink>
      <w:r>
        <w:rPr>
          <w:rFonts w:cs="Times New Roman"/>
          <w:noProof/>
          <w:sz w:val="20"/>
          <w:szCs w:val="20"/>
        </w:rPr>
        <w:t>)</w:t>
      </w:r>
      <w:r>
        <w:rPr>
          <w:rFonts w:cs="Times New Roman"/>
          <w:sz w:val="20"/>
          <w:szCs w:val="20"/>
        </w:rPr>
        <w:fldChar w:fldCharType="end"/>
      </w:r>
      <w:r w:rsidRPr="00884737">
        <w:rPr>
          <w:rFonts w:cs="Times New Roman"/>
          <w:sz w:val="20"/>
          <w:szCs w:val="20"/>
        </w:rPr>
        <w:t xml:space="preserve"> helpfully clarifies the roles of technical assistance personnel in-line and advisory positions:</w:t>
      </w:r>
    </w:p>
    <w:p w:rsidR="00F57583" w:rsidRPr="00884737" w:rsidRDefault="00F57583" w:rsidP="004D15F8">
      <w:pPr>
        <w:pStyle w:val="ListParagraph"/>
        <w:numPr>
          <w:ilvl w:val="0"/>
          <w:numId w:val="6"/>
        </w:numPr>
        <w:autoSpaceDE w:val="0"/>
        <w:autoSpaceDN w:val="0"/>
        <w:adjustRightInd w:val="0"/>
        <w:ind w:left="720"/>
        <w:rPr>
          <w:rFonts w:cs="Times New Roman"/>
          <w:sz w:val="20"/>
          <w:szCs w:val="20"/>
        </w:rPr>
      </w:pPr>
      <w:r w:rsidRPr="00884737">
        <w:rPr>
          <w:rFonts w:cs="Times New Roman"/>
          <w:sz w:val="20"/>
          <w:szCs w:val="20"/>
        </w:rPr>
        <w:t>An in-line official occupies an established position in the public service and is engaged in carrying out its sovereign responsibilities. He/she reports to the relevant manager in the organizational structure, exercises formal public service delegations (subject to formal laws/regulations) and manages and directs staff who report to that position. He/she also attends relevant working groups, committees, etc. in accordance with the demands of the position. In-line positions are expected to be both implementers and capacity builders with the objective of developing longer-term and enduring institutional partnerships between their home countries and the partner government.</w:t>
      </w:r>
    </w:p>
    <w:p w:rsidR="00F57583" w:rsidRPr="00884737" w:rsidRDefault="00F57583" w:rsidP="004D15F8">
      <w:pPr>
        <w:pStyle w:val="ListParagraph"/>
        <w:numPr>
          <w:ilvl w:val="2"/>
          <w:numId w:val="6"/>
        </w:numPr>
        <w:autoSpaceDE w:val="0"/>
        <w:autoSpaceDN w:val="0"/>
        <w:adjustRightInd w:val="0"/>
        <w:ind w:left="1080"/>
        <w:rPr>
          <w:rFonts w:cs="Times New Roman"/>
          <w:sz w:val="20"/>
          <w:szCs w:val="20"/>
        </w:rPr>
      </w:pPr>
      <w:r w:rsidRPr="00884737">
        <w:rPr>
          <w:rFonts w:cs="Times New Roman"/>
          <w:sz w:val="20"/>
          <w:szCs w:val="20"/>
        </w:rPr>
        <w:t>Supernumerary in-line positions created as temporary additions to the SIG public service establishment to deal with time-bound workload increases.</w:t>
      </w:r>
    </w:p>
    <w:p w:rsidR="00F57583" w:rsidRPr="00884737" w:rsidRDefault="00F57583" w:rsidP="004D15F8">
      <w:pPr>
        <w:pStyle w:val="ListParagraph"/>
        <w:numPr>
          <w:ilvl w:val="2"/>
          <w:numId w:val="6"/>
        </w:numPr>
        <w:autoSpaceDE w:val="0"/>
        <w:autoSpaceDN w:val="0"/>
        <w:adjustRightInd w:val="0"/>
        <w:ind w:left="1080"/>
        <w:rPr>
          <w:rFonts w:cs="Times New Roman"/>
          <w:sz w:val="20"/>
          <w:szCs w:val="20"/>
        </w:rPr>
      </w:pPr>
      <w:r w:rsidRPr="00884737">
        <w:rPr>
          <w:rFonts w:cs="Times New Roman"/>
          <w:sz w:val="20"/>
          <w:szCs w:val="20"/>
        </w:rPr>
        <w:t xml:space="preserve">Constitutional in-line positions are designated as essential in the Solomon Islands constitution. They have fixed terms and are answerable solely to the Government of the Solomon Islands. </w:t>
      </w:r>
    </w:p>
    <w:p w:rsidR="00F57583" w:rsidRPr="00884737" w:rsidRDefault="00F57583" w:rsidP="004D15F8">
      <w:pPr>
        <w:pStyle w:val="ListParagraph"/>
        <w:numPr>
          <w:ilvl w:val="0"/>
          <w:numId w:val="6"/>
        </w:numPr>
        <w:autoSpaceDE w:val="0"/>
        <w:autoSpaceDN w:val="0"/>
        <w:adjustRightInd w:val="0"/>
        <w:ind w:left="720"/>
        <w:rPr>
          <w:rFonts w:cs="Times New Roman"/>
          <w:sz w:val="20"/>
          <w:szCs w:val="20"/>
        </w:rPr>
      </w:pPr>
      <w:r w:rsidRPr="00884737">
        <w:rPr>
          <w:rFonts w:cs="Times New Roman"/>
          <w:sz w:val="20"/>
          <w:szCs w:val="20"/>
        </w:rPr>
        <w:t xml:space="preserve">Advisory positions are supplementary to the public sector establishment and, as such, have no formal delegation, staff management or decision-making authority. They may attend working groups, committees and other meetings at the request of their national colleagues but are expected to be more hands off than in-line officials. They have a capacity development role – to work primarily with counterparts to strengthen their skills and improve their knowledge in areas of need. </w:t>
      </w:r>
    </w:p>
  </w:footnote>
  <w:footnote w:id="20">
    <w:p w:rsidR="00F57583" w:rsidRPr="00884737" w:rsidRDefault="00F57583" w:rsidP="005D3B35">
      <w:pPr>
        <w:pStyle w:val="FootnoteText"/>
        <w:ind w:left="360" w:hanging="360"/>
        <w:rPr>
          <w:rFonts w:ascii="Times New Roman" w:hAnsi="Times New Roman"/>
        </w:rPr>
      </w:pPr>
      <w:r w:rsidRPr="00884737">
        <w:rPr>
          <w:rStyle w:val="FootnoteReference"/>
          <w:rFonts w:ascii="Times New Roman" w:hAnsi="Times New Roman"/>
        </w:rPr>
        <w:footnoteRef/>
      </w:r>
      <w:r w:rsidRPr="00884737">
        <w:rPr>
          <w:rFonts w:ascii="Times New Roman" w:hAnsi="Times New Roman"/>
        </w:rPr>
        <w:t xml:space="preserve"> </w:t>
      </w:r>
      <w:r w:rsidRPr="00884737">
        <w:rPr>
          <w:rFonts w:ascii="Times New Roman" w:hAnsi="Times New Roman"/>
        </w:rPr>
        <w:tab/>
        <w:t>Although this is a complicated question – reputational concerns might simply lead to a different form of Australian support rather than to a reduction.</w:t>
      </w:r>
    </w:p>
  </w:footnote>
  <w:footnote w:id="21">
    <w:p w:rsidR="00F57583" w:rsidRPr="006A70A3" w:rsidRDefault="00F57583" w:rsidP="006A70A3">
      <w:pPr>
        <w:pStyle w:val="FootnoteText"/>
        <w:ind w:left="360" w:hanging="360"/>
        <w:rPr>
          <w:rFonts w:ascii="Times New Roman" w:hAnsi="Times New Roman"/>
        </w:rPr>
      </w:pPr>
      <w:r w:rsidRPr="006A70A3">
        <w:rPr>
          <w:rStyle w:val="FootnoteReference"/>
          <w:rFonts w:ascii="Times New Roman" w:hAnsi="Times New Roman"/>
        </w:rPr>
        <w:footnoteRef/>
      </w:r>
      <w:r w:rsidRPr="006A70A3">
        <w:rPr>
          <w:rFonts w:ascii="Times New Roman" w:hAnsi="Times New Roman"/>
        </w:rPr>
        <w:t xml:space="preserve"> </w:t>
      </w:r>
      <w:r w:rsidRPr="006A70A3">
        <w:rPr>
          <w:rFonts w:ascii="Times New Roman" w:hAnsi="Times New Roman"/>
        </w:rPr>
        <w:tab/>
        <w:t xml:space="preserve">See also </w:t>
      </w:r>
      <w:r>
        <w:rPr>
          <w:rFonts w:ascii="Times New Roman" w:hAnsi="Times New Roman"/>
          <w:lang w:val="en-AU"/>
        </w:rPr>
        <w:fldChar w:fldCharType="begin"/>
      </w:r>
      <w:r>
        <w:rPr>
          <w:rFonts w:ascii="Times New Roman" w:hAnsi="Times New Roman"/>
          <w:lang w:val="en-AU"/>
        </w:rPr>
        <w:instrText xml:space="preserve"> ADDIN EN.CITE &lt;EndNote&gt;&lt;Cite&gt;&lt;Author&gt;AusAID&lt;/Author&gt;&lt;Year&gt;2012&lt;/Year&gt;&lt;RecNum&gt;4374&lt;/RecNum&gt;&lt;DisplayText&gt;(AusAID, 2012b)&lt;/DisplayText&gt;&lt;record&gt;&lt;rec-number&gt;4374&lt;/rec-number&gt;&lt;foreign-keys&gt;&lt;key app="EN" db-id="5v9z5rrdszvwsneef06v9dapsd0apdtfapdx" timestamp="1413929764"&gt;4374&lt;/key&gt;&lt;/foreign-keys&gt;&lt;ref-type name="Report"&gt;27&lt;/ref-type&gt;&lt;contributors&gt;&lt;authors&gt;&lt;author&gt;AusAID&lt;/author&gt;&lt;/authors&gt;&lt;/contributors&gt;&lt;titles&gt;&lt;title&gt;Sustainable Economic Development, Private Sector Development, Thematic Strategy&lt;/title&gt;&lt;/titles&gt;&lt;dates&gt;&lt;year&gt;2012&lt;/year&gt;&lt;/dates&gt;&lt;pub-location&gt;Canberra&lt;/pub-location&gt;&lt;publisher&gt;AusAID&lt;/publisher&gt;&lt;urls&gt;&lt;/urls&gt;&lt;/record&gt;&lt;/Cite&gt;&lt;/EndNote&gt;</w:instrText>
      </w:r>
      <w:r>
        <w:rPr>
          <w:rFonts w:ascii="Times New Roman" w:hAnsi="Times New Roman"/>
          <w:lang w:val="en-AU"/>
        </w:rPr>
        <w:fldChar w:fldCharType="separate"/>
      </w:r>
      <w:r>
        <w:rPr>
          <w:rFonts w:ascii="Times New Roman" w:hAnsi="Times New Roman"/>
          <w:noProof/>
          <w:lang w:val="en-AU"/>
        </w:rPr>
        <w:t>(</w:t>
      </w:r>
      <w:hyperlink w:anchor="_ENREF_11" w:tooltip="AusAID, 2012 #4374" w:history="1">
        <w:r w:rsidR="00CC56DB">
          <w:rPr>
            <w:rFonts w:ascii="Times New Roman" w:hAnsi="Times New Roman"/>
            <w:noProof/>
            <w:lang w:val="en-AU"/>
          </w:rPr>
          <w:t>AusAID, 2012b</w:t>
        </w:r>
      </w:hyperlink>
      <w:r>
        <w:rPr>
          <w:rFonts w:ascii="Times New Roman" w:hAnsi="Times New Roman"/>
          <w:noProof/>
          <w:lang w:val="en-AU"/>
        </w:rPr>
        <w:t>)</w:t>
      </w:r>
      <w:r>
        <w:rPr>
          <w:rFonts w:ascii="Times New Roman" w:hAnsi="Times New Roman"/>
          <w:lang w:val="en-AU"/>
        </w:rPr>
        <w:fldChar w:fldCharType="end"/>
      </w:r>
    </w:p>
  </w:footnote>
  <w:footnote w:id="22">
    <w:p w:rsidR="00F57583" w:rsidRPr="00882E93" w:rsidRDefault="00F57583" w:rsidP="007E58A6">
      <w:pPr>
        <w:pStyle w:val="FootnoteText"/>
        <w:ind w:left="360" w:hanging="360"/>
        <w:rPr>
          <w:rFonts w:ascii="Times New Roman" w:hAnsi="Times New Roman"/>
        </w:rPr>
      </w:pPr>
      <w:r w:rsidRPr="00882E93">
        <w:rPr>
          <w:rStyle w:val="FootnoteReference"/>
          <w:rFonts w:ascii="Times New Roman" w:hAnsi="Times New Roman"/>
        </w:rPr>
        <w:footnoteRef/>
      </w:r>
      <w:r w:rsidRPr="00882E93">
        <w:rPr>
          <w:rFonts w:ascii="Times New Roman" w:hAnsi="Times New Roman"/>
        </w:rPr>
        <w:t xml:space="preserve"> </w:t>
      </w:r>
      <w:r w:rsidRPr="00882E93">
        <w:rPr>
          <w:rFonts w:ascii="Times New Roman" w:hAnsi="Times New Roman"/>
        </w:rPr>
        <w:tab/>
        <w:t xml:space="preserve">A story provided to the review mission by the Permanent Secretary for Forestry, Environment and Conservation illustrates the point.  The rules for budget submissions and for cash releases are seemingly in good shape – his problem was that he could not get his staff and </w:t>
      </w:r>
      <w:proofErr w:type="spellStart"/>
      <w:r w:rsidRPr="00882E93">
        <w:rPr>
          <w:rFonts w:ascii="Times New Roman" w:hAnsi="Times New Roman"/>
        </w:rPr>
        <w:t>MoFT</w:t>
      </w:r>
      <w:proofErr w:type="spellEnd"/>
      <w:r w:rsidRPr="00882E93">
        <w:rPr>
          <w:rFonts w:ascii="Times New Roman" w:hAnsi="Times New Roman"/>
        </w:rPr>
        <w:t xml:space="preserve"> to collaborate to get them to work in a sufficiently timely manner, denying him the opportunity to inspect additional logs and thus raise additional revenue.</w:t>
      </w:r>
    </w:p>
  </w:footnote>
  <w:footnote w:id="23">
    <w:p w:rsidR="00F57583" w:rsidRPr="006A70A3" w:rsidRDefault="00F57583" w:rsidP="006A70A3">
      <w:pPr>
        <w:pStyle w:val="FootnoteText"/>
        <w:ind w:left="360" w:hanging="360"/>
        <w:rPr>
          <w:rFonts w:ascii="Times New Roman" w:hAnsi="Times New Roman"/>
        </w:rPr>
      </w:pPr>
      <w:r w:rsidRPr="006A70A3">
        <w:rPr>
          <w:rStyle w:val="FootnoteReference"/>
          <w:rFonts w:ascii="Times New Roman" w:hAnsi="Times New Roman"/>
        </w:rPr>
        <w:footnoteRef/>
      </w:r>
      <w:r w:rsidRPr="006A70A3">
        <w:rPr>
          <w:rFonts w:ascii="Times New Roman" w:hAnsi="Times New Roman"/>
        </w:rPr>
        <w:t xml:space="preserve"> </w:t>
      </w:r>
      <w:r w:rsidRPr="006A70A3">
        <w:rPr>
          <w:rFonts w:ascii="Times New Roman" w:hAnsi="Times New Roman"/>
        </w:rPr>
        <w:tab/>
        <w:t xml:space="preserve">There is </w:t>
      </w:r>
      <w:r>
        <w:rPr>
          <w:rFonts w:ascii="Times New Roman" w:hAnsi="Times New Roman"/>
        </w:rPr>
        <w:t xml:space="preserve">more </w:t>
      </w:r>
      <w:r w:rsidRPr="006A70A3">
        <w:rPr>
          <w:rFonts w:ascii="Times New Roman" w:hAnsi="Times New Roman"/>
        </w:rPr>
        <w:t xml:space="preserve">evidence of the effectiveness of peer learning in sectors other than public sector management </w:t>
      </w:r>
      <w:r>
        <w:rPr>
          <w:rFonts w:ascii="Times New Roman" w:hAnsi="Times New Roman"/>
        </w:rPr>
        <w:fldChar w:fldCharType="begin"/>
      </w:r>
      <w:r>
        <w:rPr>
          <w:rFonts w:ascii="Times New Roman" w:hAnsi="Times New Roman"/>
        </w:rPr>
        <w:instrText xml:space="preserve"> ADDIN EN.CITE &lt;EndNote&gt;&lt;Cite&gt;&lt;Author&gt;Manning&lt;/Author&gt;&lt;Year&gt;2014&lt;/Year&gt;&lt;RecNum&gt;4377&lt;/RecNum&gt;&lt;DisplayText&gt;(Manning, 2014)&lt;/DisplayText&gt;&lt;record&gt;&lt;rec-number&gt;4377&lt;/rec-number&gt;&lt;foreign-keys&gt;&lt;key app="EN" db-id="5v9z5rrdszvwsneef06v9dapsd0apdtfapdx" timestamp="1413935093"&gt;4377&lt;/key&gt;&lt;/foreign-keys&gt;&lt;ref-type name="Conference Paper"&gt;47&lt;/ref-type&gt;&lt;contributors&gt;&lt;authors&gt;&lt;author&gt;Nick Manning&lt;/author&gt;&lt;/authors&gt;&lt;/contributors&gt;&lt;titles&gt;&lt;title&gt;Peer Learning – a promising idea in search of a methodology&lt;/title&gt;&lt;secondary-title&gt;Effective Institutions Platform (October 28-29)&lt;/secondary-title&gt;&lt;/titles&gt;&lt;dates&gt;&lt;year&gt;2014&lt;/year&gt;&lt;/dates&gt;&lt;pub-location&gt;OECD, Paris&lt;/pub-location&gt;&lt;urls&gt;&lt;/urls&gt;&lt;/record&gt;&lt;/Cite&gt;&lt;/EndNote&gt;</w:instrText>
      </w:r>
      <w:r>
        <w:rPr>
          <w:rFonts w:ascii="Times New Roman" w:hAnsi="Times New Roman"/>
        </w:rPr>
        <w:fldChar w:fldCharType="separate"/>
      </w:r>
      <w:r>
        <w:rPr>
          <w:rFonts w:ascii="Times New Roman" w:hAnsi="Times New Roman"/>
          <w:noProof/>
        </w:rPr>
        <w:t>(</w:t>
      </w:r>
      <w:hyperlink w:anchor="_ENREF_99" w:tooltip="Manning, 2014 #4377" w:history="1">
        <w:r w:rsidR="00CC56DB">
          <w:rPr>
            <w:rFonts w:ascii="Times New Roman" w:hAnsi="Times New Roman"/>
            <w:noProof/>
          </w:rPr>
          <w:t>Manning, 2014</w:t>
        </w:r>
      </w:hyperlink>
      <w:r>
        <w:rPr>
          <w:rFonts w:ascii="Times New Roman" w:hAnsi="Times New Roman"/>
          <w:noProof/>
        </w:rPr>
        <w:t>)</w:t>
      </w:r>
      <w:r>
        <w:rPr>
          <w:rFonts w:ascii="Times New Roman" w:hAnsi="Times New Roman"/>
        </w:rPr>
        <w:fldChar w:fldCharType="end"/>
      </w:r>
      <w:r>
        <w:rPr>
          <w:rFonts w:ascii="Times New Roman" w:hAnsi="Times New Roman"/>
        </w:rPr>
        <w:t>, but this likely reflects the state of research rather than a difference in the sector.</w:t>
      </w:r>
    </w:p>
  </w:footnote>
  <w:footnote w:id="24">
    <w:p w:rsidR="00F57583" w:rsidRPr="001351FE" w:rsidRDefault="00F57583" w:rsidP="00DA7D93">
      <w:pPr>
        <w:pStyle w:val="FootnoteText"/>
        <w:ind w:left="360" w:hanging="360"/>
        <w:rPr>
          <w:rFonts w:ascii="Times New Roman" w:hAnsi="Times New Roman"/>
        </w:rPr>
      </w:pPr>
      <w:r w:rsidRPr="001351FE">
        <w:rPr>
          <w:rStyle w:val="FootnoteReference"/>
          <w:rFonts w:ascii="Times New Roman" w:hAnsi="Times New Roman"/>
        </w:rPr>
        <w:footnoteRef/>
      </w:r>
      <w:r w:rsidRPr="001351FE">
        <w:rPr>
          <w:rFonts w:ascii="Times New Roman" w:hAnsi="Times New Roman"/>
        </w:rPr>
        <w:t xml:space="preserve"> </w:t>
      </w:r>
      <w:r w:rsidRPr="001351FE">
        <w:rPr>
          <w:rFonts w:ascii="Times New Roman" w:hAnsi="Times New Roman"/>
        </w:rPr>
        <w:tab/>
        <w:t>Email from Eleanor Kennon (July 30, 2014)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EC0" w:rsidRDefault="00806EC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EC0" w:rsidRDefault="00806EC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EC0" w:rsidRDefault="00806EC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42C9E"/>
    <w:multiLevelType w:val="hybridMultilevel"/>
    <w:tmpl w:val="B686DB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C140EC"/>
    <w:multiLevelType w:val="hybridMultilevel"/>
    <w:tmpl w:val="E1D40F10"/>
    <w:lvl w:ilvl="0" w:tplc="4388412C">
      <w:start w:val="1"/>
      <w:numFmt w:val="bullet"/>
      <w:pStyle w:val="AbulP"/>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57458C"/>
    <w:multiLevelType w:val="hybridMultilevel"/>
    <w:tmpl w:val="B358D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775B6E"/>
    <w:multiLevelType w:val="hybridMultilevel"/>
    <w:tmpl w:val="3FB44228"/>
    <w:lvl w:ilvl="0" w:tplc="04090001">
      <w:start w:val="1"/>
      <w:numFmt w:val="bullet"/>
      <w:lvlText w:val=""/>
      <w:lvlJc w:val="left"/>
      <w:pPr>
        <w:ind w:left="1080" w:hanging="720"/>
      </w:pPr>
      <w:rPr>
        <w:rFonts w:ascii="Symbol" w:hAnsi="Symbol" w:hint="default"/>
      </w:rPr>
    </w:lvl>
    <w:lvl w:ilvl="1" w:tplc="608C4FAE">
      <w:start w:val="8"/>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7755A1"/>
    <w:multiLevelType w:val="hybridMultilevel"/>
    <w:tmpl w:val="6D20F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DA10A27"/>
    <w:multiLevelType w:val="hybridMultilevel"/>
    <w:tmpl w:val="44DC3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0FC38E7"/>
    <w:multiLevelType w:val="hybridMultilevel"/>
    <w:tmpl w:val="4F503FA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5BF00FE"/>
    <w:multiLevelType w:val="multilevel"/>
    <w:tmpl w:val="6CC652A0"/>
    <w:lvl w:ilvl="0">
      <w:start w:val="1"/>
      <w:numFmt w:val="lowerLetter"/>
      <w:pStyle w:val="Heading2"/>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160B536E"/>
    <w:multiLevelType w:val="multilevel"/>
    <w:tmpl w:val="CA469A8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18814A14"/>
    <w:multiLevelType w:val="hybridMultilevel"/>
    <w:tmpl w:val="56905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8B871BE"/>
    <w:multiLevelType w:val="hybridMultilevel"/>
    <w:tmpl w:val="CCE033E6"/>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nsid w:val="1E182A9B"/>
    <w:multiLevelType w:val="hybridMultilevel"/>
    <w:tmpl w:val="6554DB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F460942"/>
    <w:multiLevelType w:val="multilevel"/>
    <w:tmpl w:val="9C388E2C"/>
    <w:lvl w:ilvl="0">
      <w:start w:val="1"/>
      <w:numFmt w:val="low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21417DA5"/>
    <w:multiLevelType w:val="multilevel"/>
    <w:tmpl w:val="2A3A44C4"/>
    <w:lvl w:ilvl="0">
      <w:start w:val="1"/>
      <w:numFmt w:val="low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23B04F03"/>
    <w:multiLevelType w:val="hybridMultilevel"/>
    <w:tmpl w:val="F8322790"/>
    <w:lvl w:ilvl="0" w:tplc="D75A2650">
      <w:start w:val="1"/>
      <w:numFmt w:val="lowerLetter"/>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5">
    <w:nsid w:val="27BC05B7"/>
    <w:multiLevelType w:val="hybridMultilevel"/>
    <w:tmpl w:val="B8C863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7FE72CA"/>
    <w:multiLevelType w:val="hybridMultilevel"/>
    <w:tmpl w:val="429A9EA6"/>
    <w:lvl w:ilvl="0" w:tplc="EC80A0DC">
      <w:start w:val="1"/>
      <w:numFmt w:val="decimal"/>
      <w:pStyle w:val="NumPar"/>
      <w:lvlText w:val="%1."/>
      <w:lvlJc w:val="left"/>
      <w:pPr>
        <w:ind w:left="54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2B215911"/>
    <w:multiLevelType w:val="hybridMultilevel"/>
    <w:tmpl w:val="DFDC920E"/>
    <w:lvl w:ilvl="0" w:tplc="953CC054">
      <w:start w:val="1"/>
      <w:numFmt w:val="bullet"/>
      <w:pStyle w:val="Abull"/>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2B7D1530"/>
    <w:multiLevelType w:val="hybridMultilevel"/>
    <w:tmpl w:val="E8801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4A13DAF"/>
    <w:multiLevelType w:val="hybridMultilevel"/>
    <w:tmpl w:val="2A36B38A"/>
    <w:lvl w:ilvl="0" w:tplc="36C0EE46">
      <w:start w:val="1"/>
      <w:numFmt w:val="bullet"/>
      <w:pStyle w:val="Bulletpar"/>
      <w:lvlText w:val=""/>
      <w:lvlJc w:val="left"/>
      <w:pPr>
        <w:ind w:left="720" w:hanging="72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3CAA9D4A">
      <w:start w:val="4"/>
      <w:numFmt w:val="bullet"/>
      <w:lvlText w:val="•"/>
      <w:lvlJc w:val="left"/>
      <w:pPr>
        <w:ind w:left="1800" w:hanging="360"/>
      </w:pPr>
      <w:rPr>
        <w:rFonts w:ascii="Times New Roman" w:eastAsiaTheme="minorHAnsi" w:hAnsi="Times New Roman" w:cs="Times New Roman"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0">
    <w:nsid w:val="3777091B"/>
    <w:multiLevelType w:val="multilevel"/>
    <w:tmpl w:val="DD92C090"/>
    <w:lvl w:ilvl="0">
      <w:start w:val="1"/>
      <w:numFmt w:val="low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378B1AE3"/>
    <w:multiLevelType w:val="hybridMultilevel"/>
    <w:tmpl w:val="F0D02008"/>
    <w:lvl w:ilvl="0" w:tplc="A366196E">
      <w:start w:val="1"/>
      <w:numFmt w:val="bullet"/>
      <w:pStyle w:val="Style1"/>
      <w:lvlText w:val=""/>
      <w:lvlJc w:val="left"/>
      <w:pPr>
        <w:tabs>
          <w:tab w:val="num" w:pos="644"/>
        </w:tabs>
        <w:ind w:left="644" w:hanging="284"/>
      </w:pPr>
      <w:rPr>
        <w:rFonts w:ascii="Symbol" w:hAnsi="Symbol" w:hint="default"/>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22">
    <w:nsid w:val="435B2D43"/>
    <w:multiLevelType w:val="hybridMultilevel"/>
    <w:tmpl w:val="4366F84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57566C5"/>
    <w:multiLevelType w:val="hybridMultilevel"/>
    <w:tmpl w:val="A32AF180"/>
    <w:lvl w:ilvl="0" w:tplc="B1324C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A2129A8"/>
    <w:multiLevelType w:val="hybridMultilevel"/>
    <w:tmpl w:val="A9BE507E"/>
    <w:lvl w:ilvl="0" w:tplc="13CE373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DA75163"/>
    <w:multiLevelType w:val="hybridMultilevel"/>
    <w:tmpl w:val="1C8A5D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E600B62"/>
    <w:multiLevelType w:val="multilevel"/>
    <w:tmpl w:val="1DBE5088"/>
    <w:lvl w:ilvl="0">
      <w:start w:val="1"/>
      <w:numFmt w:val="decimal"/>
      <w:pStyle w:val="Heading1"/>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50CE3D8B"/>
    <w:multiLevelType w:val="hybridMultilevel"/>
    <w:tmpl w:val="83B8BB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52F3740C"/>
    <w:multiLevelType w:val="hybridMultilevel"/>
    <w:tmpl w:val="71203332"/>
    <w:lvl w:ilvl="0" w:tplc="596CE6B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8C96F0F"/>
    <w:multiLevelType w:val="multilevel"/>
    <w:tmpl w:val="A864766C"/>
    <w:lvl w:ilvl="0">
      <w:start w:val="1"/>
      <w:numFmt w:val="lowerLetter"/>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5E385BF9"/>
    <w:multiLevelType w:val="hybridMultilevel"/>
    <w:tmpl w:val="9C584AAE"/>
    <w:lvl w:ilvl="0" w:tplc="951E3C8E">
      <w:start w:val="1"/>
      <w:numFmt w:val="lowerLetter"/>
      <w:lvlText w:val="%1."/>
      <w:lvlJc w:val="left"/>
      <w:pPr>
        <w:ind w:left="1560" w:hanging="42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31">
    <w:nsid w:val="5F150187"/>
    <w:multiLevelType w:val="hybridMultilevel"/>
    <w:tmpl w:val="049C159E"/>
    <w:lvl w:ilvl="0" w:tplc="9B20924A">
      <w:start w:val="1"/>
      <w:numFmt w:val="decimal"/>
      <w:lvlText w:val="%1."/>
      <w:lvlJc w:val="left"/>
      <w:pPr>
        <w:ind w:left="1155" w:hanging="43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662D0C0C"/>
    <w:multiLevelType w:val="hybridMultilevel"/>
    <w:tmpl w:val="BCAA77A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nsid w:val="6B975E81"/>
    <w:multiLevelType w:val="hybridMultilevel"/>
    <w:tmpl w:val="6E38D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3EE3B0C"/>
    <w:multiLevelType w:val="hybridMultilevel"/>
    <w:tmpl w:val="E1F04B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793A7A68"/>
    <w:multiLevelType w:val="hybridMultilevel"/>
    <w:tmpl w:val="7FEC2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D351F92"/>
    <w:multiLevelType w:val="hybridMultilevel"/>
    <w:tmpl w:val="B6F69674"/>
    <w:lvl w:ilvl="0" w:tplc="07B64F8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D4B75FA"/>
    <w:multiLevelType w:val="hybridMultilevel"/>
    <w:tmpl w:val="A04AC9A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9"/>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0"/>
  </w:num>
  <w:num w:numId="6">
    <w:abstractNumId w:val="10"/>
  </w:num>
  <w:num w:numId="7">
    <w:abstractNumId w:val="32"/>
  </w:num>
  <w:num w:numId="8">
    <w:abstractNumId w:val="3"/>
  </w:num>
  <w:num w:numId="9">
    <w:abstractNumId w:val="26"/>
  </w:num>
  <w:num w:numId="10">
    <w:abstractNumId w:val="34"/>
  </w:num>
  <w:num w:numId="11">
    <w:abstractNumId w:val="9"/>
  </w:num>
  <w:num w:numId="12">
    <w:abstractNumId w:val="29"/>
  </w:num>
  <w:num w:numId="13">
    <w:abstractNumId w:val="12"/>
  </w:num>
  <w:num w:numId="14">
    <w:abstractNumId w:val="4"/>
  </w:num>
  <w:num w:numId="15">
    <w:abstractNumId w:val="2"/>
  </w:num>
  <w:num w:numId="16">
    <w:abstractNumId w:val="31"/>
  </w:num>
  <w:num w:numId="17">
    <w:abstractNumId w:val="17"/>
  </w:num>
  <w:num w:numId="18">
    <w:abstractNumId w:val="1"/>
  </w:num>
  <w:num w:numId="19">
    <w:abstractNumId w:val="0"/>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3"/>
  </w:num>
  <w:num w:numId="22">
    <w:abstractNumId w:val="7"/>
  </w:num>
  <w:num w:numId="23">
    <w:abstractNumId w:val="20"/>
  </w:num>
  <w:num w:numId="24">
    <w:abstractNumId w:val="8"/>
  </w:num>
  <w:num w:numId="25">
    <w:abstractNumId w:val="11"/>
  </w:num>
  <w:num w:numId="26">
    <w:abstractNumId w:val="25"/>
  </w:num>
  <w:num w:numId="27">
    <w:abstractNumId w:val="35"/>
  </w:num>
  <w:num w:numId="28">
    <w:abstractNumId w:val="22"/>
  </w:num>
  <w:num w:numId="29">
    <w:abstractNumId w:val="6"/>
  </w:num>
  <w:num w:numId="30">
    <w:abstractNumId w:val="15"/>
  </w:num>
  <w:num w:numId="31">
    <w:abstractNumId w:val="23"/>
  </w:num>
  <w:num w:numId="32">
    <w:abstractNumId w:val="14"/>
  </w:num>
  <w:num w:numId="33">
    <w:abstractNumId w:val="36"/>
  </w:num>
  <w:num w:numId="34">
    <w:abstractNumId w:val="28"/>
  </w:num>
  <w:num w:numId="35">
    <w:abstractNumId w:val="24"/>
  </w:num>
  <w:num w:numId="36">
    <w:abstractNumId w:val="37"/>
  </w:num>
  <w:num w:numId="37">
    <w:abstractNumId w:val="27"/>
  </w:num>
  <w:num w:numId="38">
    <w:abstractNumId w:val="18"/>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7"/>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APA 6th Copy&lt;/Style&gt;&lt;LeftDelim&gt;{&lt;/LeftDelim&gt;&lt;RightDelim&gt;}&lt;/RightDelim&gt;&lt;FontName&gt;Times New Roman&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5v9z5rrdszvwsneef06v9dapsd0apdtfapdx&quot;&gt;Library 8-2-13&lt;record-ids&gt;&lt;item&gt;1&lt;/item&gt;&lt;item&gt;58&lt;/item&gt;&lt;item&gt;503&lt;/item&gt;&lt;item&gt;675&lt;/item&gt;&lt;item&gt;679&lt;/item&gt;&lt;item&gt;1048&lt;/item&gt;&lt;item&gt;1206&lt;/item&gt;&lt;item&gt;1207&lt;/item&gt;&lt;item&gt;1304&lt;/item&gt;&lt;item&gt;1319&lt;/item&gt;&lt;item&gt;2956&lt;/item&gt;&lt;item&gt;2969&lt;/item&gt;&lt;item&gt;2970&lt;/item&gt;&lt;item&gt;2980&lt;/item&gt;&lt;item&gt;2981&lt;/item&gt;&lt;item&gt;2987&lt;/item&gt;&lt;item&gt;3017&lt;/item&gt;&lt;item&gt;3061&lt;/item&gt;&lt;item&gt;3079&lt;/item&gt;&lt;item&gt;3097&lt;/item&gt;&lt;item&gt;3130&lt;/item&gt;&lt;item&gt;3164&lt;/item&gt;&lt;item&gt;3266&lt;/item&gt;&lt;item&gt;3267&lt;/item&gt;&lt;item&gt;3329&lt;/item&gt;&lt;item&gt;3484&lt;/item&gt;&lt;item&gt;3608&lt;/item&gt;&lt;item&gt;3613&lt;/item&gt;&lt;item&gt;3624&lt;/item&gt;&lt;item&gt;3625&lt;/item&gt;&lt;item&gt;3639&lt;/item&gt;&lt;item&gt;3722&lt;/item&gt;&lt;item&gt;3759&lt;/item&gt;&lt;item&gt;3803&lt;/item&gt;&lt;item&gt;3816&lt;/item&gt;&lt;item&gt;4068&lt;/item&gt;&lt;item&gt;4072&lt;/item&gt;&lt;item&gt;4089&lt;/item&gt;&lt;item&gt;4125&lt;/item&gt;&lt;item&gt;4174&lt;/item&gt;&lt;item&gt;4180&lt;/item&gt;&lt;item&gt;4218&lt;/item&gt;&lt;item&gt;4225&lt;/item&gt;&lt;item&gt;4227&lt;/item&gt;&lt;item&gt;4228&lt;/item&gt;&lt;item&gt;4239&lt;/item&gt;&lt;item&gt;4240&lt;/item&gt;&lt;item&gt;4241&lt;/item&gt;&lt;item&gt;4242&lt;/item&gt;&lt;item&gt;4243&lt;/item&gt;&lt;item&gt;4244&lt;/item&gt;&lt;item&gt;4245&lt;/item&gt;&lt;item&gt;4246&lt;/item&gt;&lt;item&gt;4247&lt;/item&gt;&lt;item&gt;4248&lt;/item&gt;&lt;item&gt;4249&lt;/item&gt;&lt;item&gt;4250&lt;/item&gt;&lt;item&gt;4251&lt;/item&gt;&lt;item&gt;4253&lt;/item&gt;&lt;item&gt;4257&lt;/item&gt;&lt;item&gt;4258&lt;/item&gt;&lt;item&gt;4259&lt;/item&gt;&lt;item&gt;4260&lt;/item&gt;&lt;item&gt;4261&lt;/item&gt;&lt;item&gt;4262&lt;/item&gt;&lt;item&gt;4264&lt;/item&gt;&lt;item&gt;4265&lt;/item&gt;&lt;item&gt;4266&lt;/item&gt;&lt;item&gt;4267&lt;/item&gt;&lt;item&gt;4268&lt;/item&gt;&lt;item&gt;4269&lt;/item&gt;&lt;item&gt;4270&lt;/item&gt;&lt;item&gt;4271&lt;/item&gt;&lt;item&gt;4273&lt;/item&gt;&lt;item&gt;4274&lt;/item&gt;&lt;item&gt;4275&lt;/item&gt;&lt;item&gt;4276&lt;/item&gt;&lt;item&gt;4277&lt;/item&gt;&lt;item&gt;4278&lt;/item&gt;&lt;item&gt;4279&lt;/item&gt;&lt;item&gt;4280&lt;/item&gt;&lt;item&gt;4281&lt;/item&gt;&lt;item&gt;4282&lt;/item&gt;&lt;item&gt;4283&lt;/item&gt;&lt;item&gt;4284&lt;/item&gt;&lt;item&gt;4285&lt;/item&gt;&lt;item&gt;4286&lt;/item&gt;&lt;item&gt;4287&lt;/item&gt;&lt;item&gt;4288&lt;/item&gt;&lt;item&gt;4291&lt;/item&gt;&lt;item&gt;4292&lt;/item&gt;&lt;item&gt;4293&lt;/item&gt;&lt;item&gt;4294&lt;/item&gt;&lt;item&gt;4295&lt;/item&gt;&lt;item&gt;4296&lt;/item&gt;&lt;item&gt;4297&lt;/item&gt;&lt;item&gt;4298&lt;/item&gt;&lt;item&gt;4299&lt;/item&gt;&lt;item&gt;4300&lt;/item&gt;&lt;item&gt;4301&lt;/item&gt;&lt;item&gt;4303&lt;/item&gt;&lt;item&gt;4304&lt;/item&gt;&lt;item&gt;4305&lt;/item&gt;&lt;item&gt;4307&lt;/item&gt;&lt;item&gt;4308&lt;/item&gt;&lt;item&gt;4309&lt;/item&gt;&lt;item&gt;4310&lt;/item&gt;&lt;item&gt;4311&lt;/item&gt;&lt;item&gt;4312&lt;/item&gt;&lt;item&gt;4313&lt;/item&gt;&lt;item&gt;4314&lt;/item&gt;&lt;item&gt;4315&lt;/item&gt;&lt;item&gt;4316&lt;/item&gt;&lt;item&gt;4317&lt;/item&gt;&lt;item&gt;4318&lt;/item&gt;&lt;item&gt;4319&lt;/item&gt;&lt;item&gt;4322&lt;/item&gt;&lt;item&gt;4323&lt;/item&gt;&lt;item&gt;4329&lt;/item&gt;&lt;item&gt;4330&lt;/item&gt;&lt;item&gt;4331&lt;/item&gt;&lt;item&gt;4332&lt;/item&gt;&lt;item&gt;4333&lt;/item&gt;&lt;item&gt;4334&lt;/item&gt;&lt;item&gt;4336&lt;/item&gt;&lt;item&gt;4337&lt;/item&gt;&lt;item&gt;4338&lt;/item&gt;&lt;item&gt;4339&lt;/item&gt;&lt;item&gt;4340&lt;/item&gt;&lt;item&gt;4341&lt;/item&gt;&lt;item&gt;4342&lt;/item&gt;&lt;item&gt;4343&lt;/item&gt;&lt;item&gt;4344&lt;/item&gt;&lt;item&gt;4345&lt;/item&gt;&lt;item&gt;4346&lt;/item&gt;&lt;item&gt;4347&lt;/item&gt;&lt;item&gt;4348&lt;/item&gt;&lt;item&gt;4349&lt;/item&gt;&lt;item&gt;4350&lt;/item&gt;&lt;item&gt;4351&lt;/item&gt;&lt;item&gt;4352&lt;/item&gt;&lt;item&gt;4354&lt;/item&gt;&lt;item&gt;4355&lt;/item&gt;&lt;item&gt;4356&lt;/item&gt;&lt;item&gt;4361&lt;/item&gt;&lt;item&gt;4362&lt;/item&gt;&lt;item&gt;4363&lt;/item&gt;&lt;item&gt;4364&lt;/item&gt;&lt;item&gt;4365&lt;/item&gt;&lt;item&gt;4366&lt;/item&gt;&lt;item&gt;4372&lt;/item&gt;&lt;item&gt;4374&lt;/item&gt;&lt;item&gt;4375&lt;/item&gt;&lt;item&gt;4376&lt;/item&gt;&lt;item&gt;4377&lt;/item&gt;&lt;/record-ids&gt;&lt;/item&gt;&lt;/Libraries&gt;"/>
  </w:docVars>
  <w:rsids>
    <w:rsidRoot w:val="00A21469"/>
    <w:rsid w:val="0000321F"/>
    <w:rsid w:val="00003A12"/>
    <w:rsid w:val="0000523B"/>
    <w:rsid w:val="000061DE"/>
    <w:rsid w:val="000067BB"/>
    <w:rsid w:val="000076BE"/>
    <w:rsid w:val="00011930"/>
    <w:rsid w:val="00012F06"/>
    <w:rsid w:val="000216CE"/>
    <w:rsid w:val="00024215"/>
    <w:rsid w:val="00026730"/>
    <w:rsid w:val="00026A61"/>
    <w:rsid w:val="00030014"/>
    <w:rsid w:val="00031026"/>
    <w:rsid w:val="000321B1"/>
    <w:rsid w:val="00033813"/>
    <w:rsid w:val="000355F5"/>
    <w:rsid w:val="00036A31"/>
    <w:rsid w:val="00037011"/>
    <w:rsid w:val="00037A06"/>
    <w:rsid w:val="00041D2F"/>
    <w:rsid w:val="0004292F"/>
    <w:rsid w:val="00042966"/>
    <w:rsid w:val="00043FCF"/>
    <w:rsid w:val="00045364"/>
    <w:rsid w:val="00045A10"/>
    <w:rsid w:val="00052715"/>
    <w:rsid w:val="00054549"/>
    <w:rsid w:val="000550D1"/>
    <w:rsid w:val="00057974"/>
    <w:rsid w:val="00057EDE"/>
    <w:rsid w:val="00062CBC"/>
    <w:rsid w:val="00063079"/>
    <w:rsid w:val="0006311B"/>
    <w:rsid w:val="00063968"/>
    <w:rsid w:val="0006632F"/>
    <w:rsid w:val="0006793D"/>
    <w:rsid w:val="000719B8"/>
    <w:rsid w:val="00073BE4"/>
    <w:rsid w:val="00074629"/>
    <w:rsid w:val="00077685"/>
    <w:rsid w:val="0008314E"/>
    <w:rsid w:val="00083A3C"/>
    <w:rsid w:val="00084B8C"/>
    <w:rsid w:val="00085FB0"/>
    <w:rsid w:val="00087755"/>
    <w:rsid w:val="00090107"/>
    <w:rsid w:val="00090B9E"/>
    <w:rsid w:val="00091258"/>
    <w:rsid w:val="0009543A"/>
    <w:rsid w:val="00095DAF"/>
    <w:rsid w:val="00096671"/>
    <w:rsid w:val="0009758E"/>
    <w:rsid w:val="000A20AD"/>
    <w:rsid w:val="000A233B"/>
    <w:rsid w:val="000A24F6"/>
    <w:rsid w:val="000A6914"/>
    <w:rsid w:val="000B0054"/>
    <w:rsid w:val="000B0A53"/>
    <w:rsid w:val="000B1D50"/>
    <w:rsid w:val="000B2332"/>
    <w:rsid w:val="000B2859"/>
    <w:rsid w:val="000B340C"/>
    <w:rsid w:val="000B6B50"/>
    <w:rsid w:val="000B7416"/>
    <w:rsid w:val="000B7A16"/>
    <w:rsid w:val="000C3329"/>
    <w:rsid w:val="000C4A9F"/>
    <w:rsid w:val="000C511D"/>
    <w:rsid w:val="000C6CA1"/>
    <w:rsid w:val="000D04B4"/>
    <w:rsid w:val="000D2D51"/>
    <w:rsid w:val="000D3A2C"/>
    <w:rsid w:val="000D6DE1"/>
    <w:rsid w:val="000D6EC9"/>
    <w:rsid w:val="000D738F"/>
    <w:rsid w:val="000E1C89"/>
    <w:rsid w:val="000E30B7"/>
    <w:rsid w:val="000E3637"/>
    <w:rsid w:val="000E3A16"/>
    <w:rsid w:val="000F1F38"/>
    <w:rsid w:val="000F2F8C"/>
    <w:rsid w:val="000F5767"/>
    <w:rsid w:val="000F6CF1"/>
    <w:rsid w:val="000F6EC7"/>
    <w:rsid w:val="001013FA"/>
    <w:rsid w:val="001033C8"/>
    <w:rsid w:val="0010585E"/>
    <w:rsid w:val="001065F0"/>
    <w:rsid w:val="00107E67"/>
    <w:rsid w:val="0011353B"/>
    <w:rsid w:val="0011375D"/>
    <w:rsid w:val="00113D0F"/>
    <w:rsid w:val="00115059"/>
    <w:rsid w:val="00115AC9"/>
    <w:rsid w:val="00115DB4"/>
    <w:rsid w:val="00116442"/>
    <w:rsid w:val="001215CC"/>
    <w:rsid w:val="001243C4"/>
    <w:rsid w:val="0012624C"/>
    <w:rsid w:val="0013132E"/>
    <w:rsid w:val="00141100"/>
    <w:rsid w:val="001417DF"/>
    <w:rsid w:val="0014248A"/>
    <w:rsid w:val="00144237"/>
    <w:rsid w:val="00145760"/>
    <w:rsid w:val="00147F58"/>
    <w:rsid w:val="001529F9"/>
    <w:rsid w:val="00152D46"/>
    <w:rsid w:val="00153586"/>
    <w:rsid w:val="0015387F"/>
    <w:rsid w:val="00156360"/>
    <w:rsid w:val="001631E2"/>
    <w:rsid w:val="00164BDB"/>
    <w:rsid w:val="0017233C"/>
    <w:rsid w:val="00173020"/>
    <w:rsid w:val="001736D1"/>
    <w:rsid w:val="00175210"/>
    <w:rsid w:val="001753D8"/>
    <w:rsid w:val="00175AB5"/>
    <w:rsid w:val="00175E0B"/>
    <w:rsid w:val="00177578"/>
    <w:rsid w:val="00182593"/>
    <w:rsid w:val="0018572F"/>
    <w:rsid w:val="001872CC"/>
    <w:rsid w:val="00187D1A"/>
    <w:rsid w:val="00187FD2"/>
    <w:rsid w:val="00192FC0"/>
    <w:rsid w:val="00194B7A"/>
    <w:rsid w:val="00195A6C"/>
    <w:rsid w:val="00196101"/>
    <w:rsid w:val="0019680E"/>
    <w:rsid w:val="00197BCE"/>
    <w:rsid w:val="001A3B82"/>
    <w:rsid w:val="001A62D9"/>
    <w:rsid w:val="001A6784"/>
    <w:rsid w:val="001A6F75"/>
    <w:rsid w:val="001B267C"/>
    <w:rsid w:val="001B4B2F"/>
    <w:rsid w:val="001B74BA"/>
    <w:rsid w:val="001B7A23"/>
    <w:rsid w:val="001C0C3B"/>
    <w:rsid w:val="001C178B"/>
    <w:rsid w:val="001C4041"/>
    <w:rsid w:val="001C4A32"/>
    <w:rsid w:val="001C5ACE"/>
    <w:rsid w:val="001C7E8F"/>
    <w:rsid w:val="001D0FB9"/>
    <w:rsid w:val="001D1679"/>
    <w:rsid w:val="001D2DA5"/>
    <w:rsid w:val="001D3A61"/>
    <w:rsid w:val="001D5A72"/>
    <w:rsid w:val="001E32C0"/>
    <w:rsid w:val="001E4A2D"/>
    <w:rsid w:val="001E6CFC"/>
    <w:rsid w:val="001E7BA3"/>
    <w:rsid w:val="001F013D"/>
    <w:rsid w:val="001F14F9"/>
    <w:rsid w:val="001F1FA7"/>
    <w:rsid w:val="001F4928"/>
    <w:rsid w:val="001F785D"/>
    <w:rsid w:val="0020194C"/>
    <w:rsid w:val="002024FC"/>
    <w:rsid w:val="00202DD9"/>
    <w:rsid w:val="002056F6"/>
    <w:rsid w:val="00205FAC"/>
    <w:rsid w:val="0021192A"/>
    <w:rsid w:val="00214ACB"/>
    <w:rsid w:val="00214BDC"/>
    <w:rsid w:val="00215BE8"/>
    <w:rsid w:val="00216109"/>
    <w:rsid w:val="00216DC9"/>
    <w:rsid w:val="00217065"/>
    <w:rsid w:val="0022062F"/>
    <w:rsid w:val="00220C42"/>
    <w:rsid w:val="00223901"/>
    <w:rsid w:val="002250A6"/>
    <w:rsid w:val="00226364"/>
    <w:rsid w:val="00226748"/>
    <w:rsid w:val="0022687A"/>
    <w:rsid w:val="00226DD9"/>
    <w:rsid w:val="00231500"/>
    <w:rsid w:val="00231CF6"/>
    <w:rsid w:val="00232F45"/>
    <w:rsid w:val="00234133"/>
    <w:rsid w:val="0023596D"/>
    <w:rsid w:val="0023699C"/>
    <w:rsid w:val="00237D30"/>
    <w:rsid w:val="00240584"/>
    <w:rsid w:val="00240BC6"/>
    <w:rsid w:val="00240C97"/>
    <w:rsid w:val="00244937"/>
    <w:rsid w:val="0024657D"/>
    <w:rsid w:val="002479D7"/>
    <w:rsid w:val="00247F58"/>
    <w:rsid w:val="00251A04"/>
    <w:rsid w:val="0025256A"/>
    <w:rsid w:val="00254514"/>
    <w:rsid w:val="0025678F"/>
    <w:rsid w:val="00260527"/>
    <w:rsid w:val="00261242"/>
    <w:rsid w:val="00262B09"/>
    <w:rsid w:val="002649AE"/>
    <w:rsid w:val="00264F1B"/>
    <w:rsid w:val="0026741A"/>
    <w:rsid w:val="00267F8F"/>
    <w:rsid w:val="00270E6E"/>
    <w:rsid w:val="0027410A"/>
    <w:rsid w:val="0027449A"/>
    <w:rsid w:val="00274570"/>
    <w:rsid w:val="002745BB"/>
    <w:rsid w:val="002748FA"/>
    <w:rsid w:val="00275294"/>
    <w:rsid w:val="00275529"/>
    <w:rsid w:val="00275FBE"/>
    <w:rsid w:val="0027654D"/>
    <w:rsid w:val="00276618"/>
    <w:rsid w:val="002804B3"/>
    <w:rsid w:val="00281C20"/>
    <w:rsid w:val="00284C0A"/>
    <w:rsid w:val="00285793"/>
    <w:rsid w:val="00285E34"/>
    <w:rsid w:val="0029279C"/>
    <w:rsid w:val="00293600"/>
    <w:rsid w:val="00293C10"/>
    <w:rsid w:val="00294402"/>
    <w:rsid w:val="002A0177"/>
    <w:rsid w:val="002A09B9"/>
    <w:rsid w:val="002A2370"/>
    <w:rsid w:val="002A371E"/>
    <w:rsid w:val="002A4E9F"/>
    <w:rsid w:val="002A5993"/>
    <w:rsid w:val="002A7242"/>
    <w:rsid w:val="002A7EF7"/>
    <w:rsid w:val="002B2876"/>
    <w:rsid w:val="002B7F25"/>
    <w:rsid w:val="002C1511"/>
    <w:rsid w:val="002C351F"/>
    <w:rsid w:val="002C552E"/>
    <w:rsid w:val="002C6D83"/>
    <w:rsid w:val="002C7CF2"/>
    <w:rsid w:val="002D0C0F"/>
    <w:rsid w:val="002D0F6E"/>
    <w:rsid w:val="002D17EA"/>
    <w:rsid w:val="002D1A71"/>
    <w:rsid w:val="002D23AE"/>
    <w:rsid w:val="002D2830"/>
    <w:rsid w:val="002D2E4A"/>
    <w:rsid w:val="002D3751"/>
    <w:rsid w:val="002D57F5"/>
    <w:rsid w:val="002D7EE2"/>
    <w:rsid w:val="002E1439"/>
    <w:rsid w:val="002E19B7"/>
    <w:rsid w:val="002E24FA"/>
    <w:rsid w:val="002E44BE"/>
    <w:rsid w:val="002E732D"/>
    <w:rsid w:val="002F23EB"/>
    <w:rsid w:val="002F3A58"/>
    <w:rsid w:val="002F548D"/>
    <w:rsid w:val="002F5541"/>
    <w:rsid w:val="00301BE8"/>
    <w:rsid w:val="00302913"/>
    <w:rsid w:val="00302B64"/>
    <w:rsid w:val="003040D4"/>
    <w:rsid w:val="00305EB6"/>
    <w:rsid w:val="003153F9"/>
    <w:rsid w:val="00317271"/>
    <w:rsid w:val="00327047"/>
    <w:rsid w:val="00330EFF"/>
    <w:rsid w:val="003327FD"/>
    <w:rsid w:val="00334726"/>
    <w:rsid w:val="00334D85"/>
    <w:rsid w:val="00334DDC"/>
    <w:rsid w:val="00334E96"/>
    <w:rsid w:val="00340613"/>
    <w:rsid w:val="00341BD5"/>
    <w:rsid w:val="00342556"/>
    <w:rsid w:val="00343045"/>
    <w:rsid w:val="00343843"/>
    <w:rsid w:val="0035044F"/>
    <w:rsid w:val="00351199"/>
    <w:rsid w:val="00351CF7"/>
    <w:rsid w:val="00357203"/>
    <w:rsid w:val="00357E5C"/>
    <w:rsid w:val="00360965"/>
    <w:rsid w:val="00361D8F"/>
    <w:rsid w:val="00363983"/>
    <w:rsid w:val="00363DE8"/>
    <w:rsid w:val="003641EC"/>
    <w:rsid w:val="003657D3"/>
    <w:rsid w:val="00370053"/>
    <w:rsid w:val="003706BF"/>
    <w:rsid w:val="00370F0C"/>
    <w:rsid w:val="003713F2"/>
    <w:rsid w:val="00371CF7"/>
    <w:rsid w:val="00372750"/>
    <w:rsid w:val="003750C9"/>
    <w:rsid w:val="0038135D"/>
    <w:rsid w:val="00381594"/>
    <w:rsid w:val="00382A95"/>
    <w:rsid w:val="003875A7"/>
    <w:rsid w:val="00391D86"/>
    <w:rsid w:val="00395553"/>
    <w:rsid w:val="00396250"/>
    <w:rsid w:val="00397086"/>
    <w:rsid w:val="00397BB2"/>
    <w:rsid w:val="003A0D2D"/>
    <w:rsid w:val="003A1182"/>
    <w:rsid w:val="003A1268"/>
    <w:rsid w:val="003A4E7F"/>
    <w:rsid w:val="003B0AA6"/>
    <w:rsid w:val="003B62A3"/>
    <w:rsid w:val="003B67CD"/>
    <w:rsid w:val="003B70F5"/>
    <w:rsid w:val="003B7CC3"/>
    <w:rsid w:val="003B7D6E"/>
    <w:rsid w:val="003B7F75"/>
    <w:rsid w:val="003C29E9"/>
    <w:rsid w:val="003C36C0"/>
    <w:rsid w:val="003C371D"/>
    <w:rsid w:val="003C3BF2"/>
    <w:rsid w:val="003C51CF"/>
    <w:rsid w:val="003C7CD6"/>
    <w:rsid w:val="003D072D"/>
    <w:rsid w:val="003D0D1F"/>
    <w:rsid w:val="003D2394"/>
    <w:rsid w:val="003D2DAA"/>
    <w:rsid w:val="003D7D17"/>
    <w:rsid w:val="003E03E0"/>
    <w:rsid w:val="003E0680"/>
    <w:rsid w:val="003E3783"/>
    <w:rsid w:val="003E43BF"/>
    <w:rsid w:val="003E4A1F"/>
    <w:rsid w:val="003E4E6C"/>
    <w:rsid w:val="003E521E"/>
    <w:rsid w:val="003E64AF"/>
    <w:rsid w:val="003F03AD"/>
    <w:rsid w:val="003F0C47"/>
    <w:rsid w:val="003F1670"/>
    <w:rsid w:val="003F404A"/>
    <w:rsid w:val="003F6279"/>
    <w:rsid w:val="003F782A"/>
    <w:rsid w:val="00406E5B"/>
    <w:rsid w:val="004077EB"/>
    <w:rsid w:val="00407BCE"/>
    <w:rsid w:val="00411277"/>
    <w:rsid w:val="00411D71"/>
    <w:rsid w:val="00412B17"/>
    <w:rsid w:val="004131BD"/>
    <w:rsid w:val="004133AB"/>
    <w:rsid w:val="004178DE"/>
    <w:rsid w:val="0042054F"/>
    <w:rsid w:val="00421453"/>
    <w:rsid w:val="004239F9"/>
    <w:rsid w:val="00425C55"/>
    <w:rsid w:val="004260F6"/>
    <w:rsid w:val="00426128"/>
    <w:rsid w:val="00426A0F"/>
    <w:rsid w:val="00427DC4"/>
    <w:rsid w:val="0043036D"/>
    <w:rsid w:val="004304E9"/>
    <w:rsid w:val="004317B5"/>
    <w:rsid w:val="004349B2"/>
    <w:rsid w:val="00435F5B"/>
    <w:rsid w:val="0044213D"/>
    <w:rsid w:val="00442463"/>
    <w:rsid w:val="0044308C"/>
    <w:rsid w:val="00446DDB"/>
    <w:rsid w:val="0044731C"/>
    <w:rsid w:val="0045174C"/>
    <w:rsid w:val="00451F4A"/>
    <w:rsid w:val="00452115"/>
    <w:rsid w:val="00452846"/>
    <w:rsid w:val="00454BA1"/>
    <w:rsid w:val="0045523B"/>
    <w:rsid w:val="004553A5"/>
    <w:rsid w:val="00456118"/>
    <w:rsid w:val="00456F3E"/>
    <w:rsid w:val="00457D2B"/>
    <w:rsid w:val="0046020E"/>
    <w:rsid w:val="00462824"/>
    <w:rsid w:val="00463B5E"/>
    <w:rsid w:val="00465D9A"/>
    <w:rsid w:val="0046654D"/>
    <w:rsid w:val="004669BC"/>
    <w:rsid w:val="00466B08"/>
    <w:rsid w:val="004736CD"/>
    <w:rsid w:val="00473C8B"/>
    <w:rsid w:val="004808AB"/>
    <w:rsid w:val="00481B6C"/>
    <w:rsid w:val="0048376A"/>
    <w:rsid w:val="00483A67"/>
    <w:rsid w:val="00483B70"/>
    <w:rsid w:val="00486D4D"/>
    <w:rsid w:val="00487B46"/>
    <w:rsid w:val="004908D5"/>
    <w:rsid w:val="004914D0"/>
    <w:rsid w:val="0049177F"/>
    <w:rsid w:val="004926E1"/>
    <w:rsid w:val="004930CE"/>
    <w:rsid w:val="004948AC"/>
    <w:rsid w:val="004979FE"/>
    <w:rsid w:val="00497BB9"/>
    <w:rsid w:val="004A0BE0"/>
    <w:rsid w:val="004A12B6"/>
    <w:rsid w:val="004A353B"/>
    <w:rsid w:val="004A38A5"/>
    <w:rsid w:val="004A48A4"/>
    <w:rsid w:val="004A5BD2"/>
    <w:rsid w:val="004A67AA"/>
    <w:rsid w:val="004B2A86"/>
    <w:rsid w:val="004B5840"/>
    <w:rsid w:val="004C240E"/>
    <w:rsid w:val="004C2651"/>
    <w:rsid w:val="004C408E"/>
    <w:rsid w:val="004C4D87"/>
    <w:rsid w:val="004C5CF2"/>
    <w:rsid w:val="004C6B47"/>
    <w:rsid w:val="004C709A"/>
    <w:rsid w:val="004D1079"/>
    <w:rsid w:val="004D15F8"/>
    <w:rsid w:val="004D1BCE"/>
    <w:rsid w:val="004D2280"/>
    <w:rsid w:val="004D2DAA"/>
    <w:rsid w:val="004D44B0"/>
    <w:rsid w:val="004D532D"/>
    <w:rsid w:val="004D636F"/>
    <w:rsid w:val="004D6CB4"/>
    <w:rsid w:val="004D6DAD"/>
    <w:rsid w:val="004E0003"/>
    <w:rsid w:val="004E0151"/>
    <w:rsid w:val="004E17D2"/>
    <w:rsid w:val="004E2C1D"/>
    <w:rsid w:val="004E3191"/>
    <w:rsid w:val="004E573E"/>
    <w:rsid w:val="004F05B1"/>
    <w:rsid w:val="004F0C14"/>
    <w:rsid w:val="004F1F9A"/>
    <w:rsid w:val="004F2845"/>
    <w:rsid w:val="004F2DCD"/>
    <w:rsid w:val="004F5744"/>
    <w:rsid w:val="00501744"/>
    <w:rsid w:val="00501E84"/>
    <w:rsid w:val="00503079"/>
    <w:rsid w:val="00503253"/>
    <w:rsid w:val="0050329C"/>
    <w:rsid w:val="005049C8"/>
    <w:rsid w:val="005066C0"/>
    <w:rsid w:val="005076FE"/>
    <w:rsid w:val="00511134"/>
    <w:rsid w:val="00511D08"/>
    <w:rsid w:val="00512EB3"/>
    <w:rsid w:val="00513A54"/>
    <w:rsid w:val="00514009"/>
    <w:rsid w:val="00514A10"/>
    <w:rsid w:val="0052023C"/>
    <w:rsid w:val="00521B3B"/>
    <w:rsid w:val="005238F5"/>
    <w:rsid w:val="00525DBA"/>
    <w:rsid w:val="005270BB"/>
    <w:rsid w:val="00531F99"/>
    <w:rsid w:val="00532C46"/>
    <w:rsid w:val="0053481F"/>
    <w:rsid w:val="00535533"/>
    <w:rsid w:val="00540957"/>
    <w:rsid w:val="00541119"/>
    <w:rsid w:val="0054215D"/>
    <w:rsid w:val="00542B23"/>
    <w:rsid w:val="00545C00"/>
    <w:rsid w:val="00546879"/>
    <w:rsid w:val="00546A9D"/>
    <w:rsid w:val="00547099"/>
    <w:rsid w:val="0055244A"/>
    <w:rsid w:val="00552ADD"/>
    <w:rsid w:val="00553C38"/>
    <w:rsid w:val="00555C17"/>
    <w:rsid w:val="0055691A"/>
    <w:rsid w:val="00566133"/>
    <w:rsid w:val="0056657E"/>
    <w:rsid w:val="005700AE"/>
    <w:rsid w:val="00572B3F"/>
    <w:rsid w:val="00581374"/>
    <w:rsid w:val="00582450"/>
    <w:rsid w:val="00582F01"/>
    <w:rsid w:val="00584494"/>
    <w:rsid w:val="00593686"/>
    <w:rsid w:val="005947EC"/>
    <w:rsid w:val="00594D24"/>
    <w:rsid w:val="0059789D"/>
    <w:rsid w:val="005A1DA5"/>
    <w:rsid w:val="005A29BE"/>
    <w:rsid w:val="005A552E"/>
    <w:rsid w:val="005A6BCF"/>
    <w:rsid w:val="005B1A50"/>
    <w:rsid w:val="005B1C77"/>
    <w:rsid w:val="005B1F52"/>
    <w:rsid w:val="005B32E1"/>
    <w:rsid w:val="005B7922"/>
    <w:rsid w:val="005C41B3"/>
    <w:rsid w:val="005C7AC0"/>
    <w:rsid w:val="005D0DBB"/>
    <w:rsid w:val="005D30C3"/>
    <w:rsid w:val="005D30D9"/>
    <w:rsid w:val="005D3452"/>
    <w:rsid w:val="005D36D0"/>
    <w:rsid w:val="005D3B35"/>
    <w:rsid w:val="005D55CB"/>
    <w:rsid w:val="005D5EEC"/>
    <w:rsid w:val="005E0AC2"/>
    <w:rsid w:val="005E0FF1"/>
    <w:rsid w:val="005E12B6"/>
    <w:rsid w:val="005E2B21"/>
    <w:rsid w:val="005E58BA"/>
    <w:rsid w:val="005E58C3"/>
    <w:rsid w:val="005E595C"/>
    <w:rsid w:val="005E5964"/>
    <w:rsid w:val="005E5D2A"/>
    <w:rsid w:val="005E6A33"/>
    <w:rsid w:val="005F24C3"/>
    <w:rsid w:val="005F51D0"/>
    <w:rsid w:val="005F56BB"/>
    <w:rsid w:val="005F6799"/>
    <w:rsid w:val="00600E94"/>
    <w:rsid w:val="00601291"/>
    <w:rsid w:val="006028E7"/>
    <w:rsid w:val="0060372A"/>
    <w:rsid w:val="0060398B"/>
    <w:rsid w:val="00605D56"/>
    <w:rsid w:val="006077C7"/>
    <w:rsid w:val="0061018A"/>
    <w:rsid w:val="00610F18"/>
    <w:rsid w:val="00613488"/>
    <w:rsid w:val="00616D81"/>
    <w:rsid w:val="00622BC4"/>
    <w:rsid w:val="00624407"/>
    <w:rsid w:val="00627B27"/>
    <w:rsid w:val="00630E93"/>
    <w:rsid w:val="00632F3C"/>
    <w:rsid w:val="00633B7A"/>
    <w:rsid w:val="0063500C"/>
    <w:rsid w:val="00636C2D"/>
    <w:rsid w:val="00640CC4"/>
    <w:rsid w:val="006422D9"/>
    <w:rsid w:val="00643829"/>
    <w:rsid w:val="00644B94"/>
    <w:rsid w:val="006462D0"/>
    <w:rsid w:val="00646BFA"/>
    <w:rsid w:val="006515EA"/>
    <w:rsid w:val="00652012"/>
    <w:rsid w:val="00653491"/>
    <w:rsid w:val="00653A0B"/>
    <w:rsid w:val="00653A9D"/>
    <w:rsid w:val="00653DA3"/>
    <w:rsid w:val="006542D8"/>
    <w:rsid w:val="006544DC"/>
    <w:rsid w:val="006608FB"/>
    <w:rsid w:val="006628CD"/>
    <w:rsid w:val="00662CB1"/>
    <w:rsid w:val="00663265"/>
    <w:rsid w:val="00663446"/>
    <w:rsid w:val="006660F5"/>
    <w:rsid w:val="006667A7"/>
    <w:rsid w:val="00667008"/>
    <w:rsid w:val="00667A5F"/>
    <w:rsid w:val="00670085"/>
    <w:rsid w:val="00670BE7"/>
    <w:rsid w:val="00671148"/>
    <w:rsid w:val="00671209"/>
    <w:rsid w:val="0067460A"/>
    <w:rsid w:val="00674B2F"/>
    <w:rsid w:val="006756D7"/>
    <w:rsid w:val="00675927"/>
    <w:rsid w:val="00677172"/>
    <w:rsid w:val="00677A53"/>
    <w:rsid w:val="00677EBB"/>
    <w:rsid w:val="00681E69"/>
    <w:rsid w:val="00682F3C"/>
    <w:rsid w:val="00690161"/>
    <w:rsid w:val="0069040A"/>
    <w:rsid w:val="006935B7"/>
    <w:rsid w:val="006941BE"/>
    <w:rsid w:val="006947E6"/>
    <w:rsid w:val="00694B92"/>
    <w:rsid w:val="0069723F"/>
    <w:rsid w:val="006A0458"/>
    <w:rsid w:val="006A0F36"/>
    <w:rsid w:val="006A2849"/>
    <w:rsid w:val="006A34CE"/>
    <w:rsid w:val="006A37CD"/>
    <w:rsid w:val="006A403A"/>
    <w:rsid w:val="006A52B4"/>
    <w:rsid w:val="006A5335"/>
    <w:rsid w:val="006A5854"/>
    <w:rsid w:val="006A70A3"/>
    <w:rsid w:val="006A7563"/>
    <w:rsid w:val="006A7865"/>
    <w:rsid w:val="006B33AF"/>
    <w:rsid w:val="006B43A6"/>
    <w:rsid w:val="006B53DF"/>
    <w:rsid w:val="006B5A0C"/>
    <w:rsid w:val="006B5A22"/>
    <w:rsid w:val="006B65F4"/>
    <w:rsid w:val="006B6E10"/>
    <w:rsid w:val="006C5CE3"/>
    <w:rsid w:val="006D16A8"/>
    <w:rsid w:val="006D3F9C"/>
    <w:rsid w:val="006D67F3"/>
    <w:rsid w:val="006D7622"/>
    <w:rsid w:val="006E09A4"/>
    <w:rsid w:val="006E206B"/>
    <w:rsid w:val="006E66BA"/>
    <w:rsid w:val="006E7C32"/>
    <w:rsid w:val="006F013F"/>
    <w:rsid w:val="006F0A9E"/>
    <w:rsid w:val="006F3590"/>
    <w:rsid w:val="006F445D"/>
    <w:rsid w:val="006F486A"/>
    <w:rsid w:val="006F7E9B"/>
    <w:rsid w:val="0070248E"/>
    <w:rsid w:val="00703BE3"/>
    <w:rsid w:val="00704FFF"/>
    <w:rsid w:val="00705566"/>
    <w:rsid w:val="00706DAC"/>
    <w:rsid w:val="007072FB"/>
    <w:rsid w:val="00711708"/>
    <w:rsid w:val="00711EE9"/>
    <w:rsid w:val="007120A6"/>
    <w:rsid w:val="00712DDD"/>
    <w:rsid w:val="00712F80"/>
    <w:rsid w:val="007155FA"/>
    <w:rsid w:val="0071565B"/>
    <w:rsid w:val="00715BD8"/>
    <w:rsid w:val="00716141"/>
    <w:rsid w:val="00717974"/>
    <w:rsid w:val="00720B1F"/>
    <w:rsid w:val="007219F7"/>
    <w:rsid w:val="007240FD"/>
    <w:rsid w:val="00730BB4"/>
    <w:rsid w:val="007331B8"/>
    <w:rsid w:val="0073356E"/>
    <w:rsid w:val="00734CD4"/>
    <w:rsid w:val="00735B80"/>
    <w:rsid w:val="00737727"/>
    <w:rsid w:val="007416CB"/>
    <w:rsid w:val="00743F01"/>
    <w:rsid w:val="00744351"/>
    <w:rsid w:val="00747C03"/>
    <w:rsid w:val="00753F6D"/>
    <w:rsid w:val="00757EF5"/>
    <w:rsid w:val="00760864"/>
    <w:rsid w:val="0076146F"/>
    <w:rsid w:val="0076164B"/>
    <w:rsid w:val="00762507"/>
    <w:rsid w:val="007631A1"/>
    <w:rsid w:val="007675C9"/>
    <w:rsid w:val="007679AF"/>
    <w:rsid w:val="00770ECD"/>
    <w:rsid w:val="007710F7"/>
    <w:rsid w:val="00777A68"/>
    <w:rsid w:val="00780970"/>
    <w:rsid w:val="007809D4"/>
    <w:rsid w:val="00782C36"/>
    <w:rsid w:val="00783570"/>
    <w:rsid w:val="00784F7A"/>
    <w:rsid w:val="0079119F"/>
    <w:rsid w:val="00791855"/>
    <w:rsid w:val="007941B0"/>
    <w:rsid w:val="0079542A"/>
    <w:rsid w:val="007956A8"/>
    <w:rsid w:val="00797646"/>
    <w:rsid w:val="007A09F6"/>
    <w:rsid w:val="007A0C85"/>
    <w:rsid w:val="007A358C"/>
    <w:rsid w:val="007A4E24"/>
    <w:rsid w:val="007A62C8"/>
    <w:rsid w:val="007B1375"/>
    <w:rsid w:val="007B233E"/>
    <w:rsid w:val="007B29D2"/>
    <w:rsid w:val="007B3525"/>
    <w:rsid w:val="007B4972"/>
    <w:rsid w:val="007B4E42"/>
    <w:rsid w:val="007B5348"/>
    <w:rsid w:val="007B6042"/>
    <w:rsid w:val="007B68FD"/>
    <w:rsid w:val="007B74D1"/>
    <w:rsid w:val="007C1691"/>
    <w:rsid w:val="007C2BD2"/>
    <w:rsid w:val="007C4096"/>
    <w:rsid w:val="007C70BC"/>
    <w:rsid w:val="007C7EBF"/>
    <w:rsid w:val="007D0399"/>
    <w:rsid w:val="007D03DF"/>
    <w:rsid w:val="007D2716"/>
    <w:rsid w:val="007D39A4"/>
    <w:rsid w:val="007D465C"/>
    <w:rsid w:val="007D4C09"/>
    <w:rsid w:val="007D52B0"/>
    <w:rsid w:val="007D61E0"/>
    <w:rsid w:val="007E1086"/>
    <w:rsid w:val="007E24B0"/>
    <w:rsid w:val="007E33C1"/>
    <w:rsid w:val="007E58A6"/>
    <w:rsid w:val="007E7D45"/>
    <w:rsid w:val="007F127A"/>
    <w:rsid w:val="007F2B6E"/>
    <w:rsid w:val="007F3889"/>
    <w:rsid w:val="007F4BD0"/>
    <w:rsid w:val="007F75B8"/>
    <w:rsid w:val="008019A4"/>
    <w:rsid w:val="00803125"/>
    <w:rsid w:val="00806871"/>
    <w:rsid w:val="00806D70"/>
    <w:rsid w:val="00806EC0"/>
    <w:rsid w:val="00810687"/>
    <w:rsid w:val="008109C5"/>
    <w:rsid w:val="00810EC1"/>
    <w:rsid w:val="00814F8D"/>
    <w:rsid w:val="00816A1C"/>
    <w:rsid w:val="00816A47"/>
    <w:rsid w:val="00816B8C"/>
    <w:rsid w:val="00817CDF"/>
    <w:rsid w:val="008204BE"/>
    <w:rsid w:val="00821BCD"/>
    <w:rsid w:val="00822593"/>
    <w:rsid w:val="008232D3"/>
    <w:rsid w:val="008234C4"/>
    <w:rsid w:val="008246F0"/>
    <w:rsid w:val="00824DC8"/>
    <w:rsid w:val="00826213"/>
    <w:rsid w:val="00827B51"/>
    <w:rsid w:val="008300D8"/>
    <w:rsid w:val="00830C6F"/>
    <w:rsid w:val="008310E1"/>
    <w:rsid w:val="00832F2E"/>
    <w:rsid w:val="0083414D"/>
    <w:rsid w:val="00834B5A"/>
    <w:rsid w:val="00835A57"/>
    <w:rsid w:val="00835D32"/>
    <w:rsid w:val="00840011"/>
    <w:rsid w:val="00842967"/>
    <w:rsid w:val="00843C5B"/>
    <w:rsid w:val="008453A2"/>
    <w:rsid w:val="008469C9"/>
    <w:rsid w:val="008474DB"/>
    <w:rsid w:val="00850F4A"/>
    <w:rsid w:val="008512D4"/>
    <w:rsid w:val="00851332"/>
    <w:rsid w:val="0085182B"/>
    <w:rsid w:val="0085300B"/>
    <w:rsid w:val="0085526B"/>
    <w:rsid w:val="00855B6D"/>
    <w:rsid w:val="00856A9F"/>
    <w:rsid w:val="00860020"/>
    <w:rsid w:val="00860FBA"/>
    <w:rsid w:val="008612CA"/>
    <w:rsid w:val="00861640"/>
    <w:rsid w:val="00862C41"/>
    <w:rsid w:val="00863703"/>
    <w:rsid w:val="0086535D"/>
    <w:rsid w:val="00865A7D"/>
    <w:rsid w:val="00865B29"/>
    <w:rsid w:val="00866B58"/>
    <w:rsid w:val="00867FE9"/>
    <w:rsid w:val="00870B79"/>
    <w:rsid w:val="0087191F"/>
    <w:rsid w:val="00873988"/>
    <w:rsid w:val="00873A91"/>
    <w:rsid w:val="00873C3A"/>
    <w:rsid w:val="00873D58"/>
    <w:rsid w:val="00875693"/>
    <w:rsid w:val="008811A1"/>
    <w:rsid w:val="008824E0"/>
    <w:rsid w:val="00882E93"/>
    <w:rsid w:val="00883BB9"/>
    <w:rsid w:val="00884737"/>
    <w:rsid w:val="00885D57"/>
    <w:rsid w:val="00886E59"/>
    <w:rsid w:val="0089049D"/>
    <w:rsid w:val="00891B82"/>
    <w:rsid w:val="00893C50"/>
    <w:rsid w:val="00894A87"/>
    <w:rsid w:val="00896C87"/>
    <w:rsid w:val="00897688"/>
    <w:rsid w:val="00897D51"/>
    <w:rsid w:val="00897FF2"/>
    <w:rsid w:val="008A04B4"/>
    <w:rsid w:val="008A18DD"/>
    <w:rsid w:val="008A21BB"/>
    <w:rsid w:val="008A41B5"/>
    <w:rsid w:val="008A6AC5"/>
    <w:rsid w:val="008A75CC"/>
    <w:rsid w:val="008B0ADB"/>
    <w:rsid w:val="008B3066"/>
    <w:rsid w:val="008B3404"/>
    <w:rsid w:val="008B71E0"/>
    <w:rsid w:val="008B7CA4"/>
    <w:rsid w:val="008C0CBB"/>
    <w:rsid w:val="008C10F7"/>
    <w:rsid w:val="008C2BE9"/>
    <w:rsid w:val="008C3FF5"/>
    <w:rsid w:val="008C4FCE"/>
    <w:rsid w:val="008C6274"/>
    <w:rsid w:val="008C6D39"/>
    <w:rsid w:val="008D196A"/>
    <w:rsid w:val="008D3300"/>
    <w:rsid w:val="008D34D1"/>
    <w:rsid w:val="008D3F0D"/>
    <w:rsid w:val="008D3FB7"/>
    <w:rsid w:val="008D65C8"/>
    <w:rsid w:val="008D6B4E"/>
    <w:rsid w:val="008E207B"/>
    <w:rsid w:val="008E310B"/>
    <w:rsid w:val="008E4011"/>
    <w:rsid w:val="008E4065"/>
    <w:rsid w:val="008E4B9A"/>
    <w:rsid w:val="008E53B7"/>
    <w:rsid w:val="008E544B"/>
    <w:rsid w:val="008E7C15"/>
    <w:rsid w:val="008F20ED"/>
    <w:rsid w:val="008F2C37"/>
    <w:rsid w:val="008F3B4B"/>
    <w:rsid w:val="008F46B6"/>
    <w:rsid w:val="008F5983"/>
    <w:rsid w:val="008F6771"/>
    <w:rsid w:val="00900E42"/>
    <w:rsid w:val="009014B9"/>
    <w:rsid w:val="00903FEE"/>
    <w:rsid w:val="0090675C"/>
    <w:rsid w:val="00910D9C"/>
    <w:rsid w:val="00912C2D"/>
    <w:rsid w:val="0091389E"/>
    <w:rsid w:val="00913D81"/>
    <w:rsid w:val="009161A5"/>
    <w:rsid w:val="009170F0"/>
    <w:rsid w:val="009175E5"/>
    <w:rsid w:val="009176BA"/>
    <w:rsid w:val="00926B11"/>
    <w:rsid w:val="0093226D"/>
    <w:rsid w:val="00936591"/>
    <w:rsid w:val="009375AD"/>
    <w:rsid w:val="00937A41"/>
    <w:rsid w:val="00937D32"/>
    <w:rsid w:val="009438AE"/>
    <w:rsid w:val="009449A4"/>
    <w:rsid w:val="009458DF"/>
    <w:rsid w:val="00945C76"/>
    <w:rsid w:val="009463B4"/>
    <w:rsid w:val="00947A49"/>
    <w:rsid w:val="0095058E"/>
    <w:rsid w:val="00952783"/>
    <w:rsid w:val="0095481C"/>
    <w:rsid w:val="00955040"/>
    <w:rsid w:val="009565D8"/>
    <w:rsid w:val="00956C82"/>
    <w:rsid w:val="00957F0D"/>
    <w:rsid w:val="00961C8E"/>
    <w:rsid w:val="009623B1"/>
    <w:rsid w:val="00963793"/>
    <w:rsid w:val="00963F1F"/>
    <w:rsid w:val="0096706B"/>
    <w:rsid w:val="00967EC4"/>
    <w:rsid w:val="00970885"/>
    <w:rsid w:val="0097213F"/>
    <w:rsid w:val="0097282B"/>
    <w:rsid w:val="0097489D"/>
    <w:rsid w:val="009757B1"/>
    <w:rsid w:val="009757B9"/>
    <w:rsid w:val="00977308"/>
    <w:rsid w:val="00977C00"/>
    <w:rsid w:val="00977C85"/>
    <w:rsid w:val="00980570"/>
    <w:rsid w:val="009805A0"/>
    <w:rsid w:val="009824BF"/>
    <w:rsid w:val="009829D3"/>
    <w:rsid w:val="0098305E"/>
    <w:rsid w:val="00985275"/>
    <w:rsid w:val="009873F1"/>
    <w:rsid w:val="009902BE"/>
    <w:rsid w:val="009904A0"/>
    <w:rsid w:val="00991063"/>
    <w:rsid w:val="00991A72"/>
    <w:rsid w:val="00992C37"/>
    <w:rsid w:val="00993144"/>
    <w:rsid w:val="00995D00"/>
    <w:rsid w:val="00997D1B"/>
    <w:rsid w:val="009A1634"/>
    <w:rsid w:val="009A2F25"/>
    <w:rsid w:val="009A5466"/>
    <w:rsid w:val="009A6B5B"/>
    <w:rsid w:val="009A6F4F"/>
    <w:rsid w:val="009A7E32"/>
    <w:rsid w:val="009B4B2A"/>
    <w:rsid w:val="009B63C2"/>
    <w:rsid w:val="009B73A4"/>
    <w:rsid w:val="009C0CEA"/>
    <w:rsid w:val="009C1866"/>
    <w:rsid w:val="009C343C"/>
    <w:rsid w:val="009C3C42"/>
    <w:rsid w:val="009C5638"/>
    <w:rsid w:val="009D4EC7"/>
    <w:rsid w:val="009D614A"/>
    <w:rsid w:val="009E08E4"/>
    <w:rsid w:val="009E1323"/>
    <w:rsid w:val="009E353C"/>
    <w:rsid w:val="009E36F7"/>
    <w:rsid w:val="009E3CDB"/>
    <w:rsid w:val="009E5D03"/>
    <w:rsid w:val="009F17AD"/>
    <w:rsid w:val="009F7461"/>
    <w:rsid w:val="00A0005E"/>
    <w:rsid w:val="00A004BB"/>
    <w:rsid w:val="00A01857"/>
    <w:rsid w:val="00A039F0"/>
    <w:rsid w:val="00A04409"/>
    <w:rsid w:val="00A04788"/>
    <w:rsid w:val="00A0624D"/>
    <w:rsid w:val="00A0656F"/>
    <w:rsid w:val="00A0770B"/>
    <w:rsid w:val="00A11B12"/>
    <w:rsid w:val="00A15C13"/>
    <w:rsid w:val="00A206AD"/>
    <w:rsid w:val="00A207B1"/>
    <w:rsid w:val="00A21469"/>
    <w:rsid w:val="00A215D0"/>
    <w:rsid w:val="00A21FA9"/>
    <w:rsid w:val="00A22360"/>
    <w:rsid w:val="00A25EFE"/>
    <w:rsid w:val="00A27AF4"/>
    <w:rsid w:val="00A33476"/>
    <w:rsid w:val="00A34BB2"/>
    <w:rsid w:val="00A37077"/>
    <w:rsid w:val="00A3758F"/>
    <w:rsid w:val="00A41099"/>
    <w:rsid w:val="00A429B1"/>
    <w:rsid w:val="00A43516"/>
    <w:rsid w:val="00A45DAB"/>
    <w:rsid w:val="00A460BF"/>
    <w:rsid w:val="00A4614B"/>
    <w:rsid w:val="00A467EB"/>
    <w:rsid w:val="00A46DA9"/>
    <w:rsid w:val="00A47F99"/>
    <w:rsid w:val="00A50E03"/>
    <w:rsid w:val="00A51CF8"/>
    <w:rsid w:val="00A52986"/>
    <w:rsid w:val="00A53213"/>
    <w:rsid w:val="00A5346E"/>
    <w:rsid w:val="00A53FE9"/>
    <w:rsid w:val="00A541DF"/>
    <w:rsid w:val="00A54ED7"/>
    <w:rsid w:val="00A553D3"/>
    <w:rsid w:val="00A56867"/>
    <w:rsid w:val="00A615BE"/>
    <w:rsid w:val="00A62572"/>
    <w:rsid w:val="00A64659"/>
    <w:rsid w:val="00A64CAA"/>
    <w:rsid w:val="00A64DF7"/>
    <w:rsid w:val="00A70F5A"/>
    <w:rsid w:val="00A72BC2"/>
    <w:rsid w:val="00A72C83"/>
    <w:rsid w:val="00A74AD3"/>
    <w:rsid w:val="00A74C2C"/>
    <w:rsid w:val="00A74EFE"/>
    <w:rsid w:val="00A7579F"/>
    <w:rsid w:val="00A75B01"/>
    <w:rsid w:val="00A75C9B"/>
    <w:rsid w:val="00A774AD"/>
    <w:rsid w:val="00A81788"/>
    <w:rsid w:val="00A81943"/>
    <w:rsid w:val="00A81980"/>
    <w:rsid w:val="00A81B60"/>
    <w:rsid w:val="00A8211D"/>
    <w:rsid w:val="00A86DEE"/>
    <w:rsid w:val="00A90069"/>
    <w:rsid w:val="00A908BF"/>
    <w:rsid w:val="00A93E56"/>
    <w:rsid w:val="00A9405F"/>
    <w:rsid w:val="00A940D2"/>
    <w:rsid w:val="00A94935"/>
    <w:rsid w:val="00AA0574"/>
    <w:rsid w:val="00AA5949"/>
    <w:rsid w:val="00AB1DE6"/>
    <w:rsid w:val="00AB68EE"/>
    <w:rsid w:val="00AB6AFF"/>
    <w:rsid w:val="00AB725E"/>
    <w:rsid w:val="00AB7629"/>
    <w:rsid w:val="00AC144F"/>
    <w:rsid w:val="00AC21E0"/>
    <w:rsid w:val="00AC3835"/>
    <w:rsid w:val="00AC44AD"/>
    <w:rsid w:val="00AC5201"/>
    <w:rsid w:val="00AC5C3B"/>
    <w:rsid w:val="00AC5C5C"/>
    <w:rsid w:val="00AC738B"/>
    <w:rsid w:val="00AC752F"/>
    <w:rsid w:val="00AC7762"/>
    <w:rsid w:val="00AD13C8"/>
    <w:rsid w:val="00AD22A9"/>
    <w:rsid w:val="00AD28DB"/>
    <w:rsid w:val="00AD4BAA"/>
    <w:rsid w:val="00AD6D17"/>
    <w:rsid w:val="00AE21E8"/>
    <w:rsid w:val="00AE26AB"/>
    <w:rsid w:val="00AE2BBB"/>
    <w:rsid w:val="00AE3780"/>
    <w:rsid w:val="00AE4375"/>
    <w:rsid w:val="00AE48CC"/>
    <w:rsid w:val="00AE4B23"/>
    <w:rsid w:val="00AE5396"/>
    <w:rsid w:val="00AE7DA9"/>
    <w:rsid w:val="00AF0AB7"/>
    <w:rsid w:val="00AF1D27"/>
    <w:rsid w:val="00AF27AE"/>
    <w:rsid w:val="00AF365F"/>
    <w:rsid w:val="00AF3DCB"/>
    <w:rsid w:val="00AF3E41"/>
    <w:rsid w:val="00AF5C8A"/>
    <w:rsid w:val="00B025DB"/>
    <w:rsid w:val="00B02DC5"/>
    <w:rsid w:val="00B03904"/>
    <w:rsid w:val="00B041FC"/>
    <w:rsid w:val="00B0420F"/>
    <w:rsid w:val="00B051F9"/>
    <w:rsid w:val="00B056F0"/>
    <w:rsid w:val="00B05BFB"/>
    <w:rsid w:val="00B10FD2"/>
    <w:rsid w:val="00B11094"/>
    <w:rsid w:val="00B14563"/>
    <w:rsid w:val="00B21093"/>
    <w:rsid w:val="00B23C4B"/>
    <w:rsid w:val="00B24A15"/>
    <w:rsid w:val="00B24A79"/>
    <w:rsid w:val="00B26F3B"/>
    <w:rsid w:val="00B3026D"/>
    <w:rsid w:val="00B30822"/>
    <w:rsid w:val="00B31115"/>
    <w:rsid w:val="00B31756"/>
    <w:rsid w:val="00B3198C"/>
    <w:rsid w:val="00B3488B"/>
    <w:rsid w:val="00B34DD3"/>
    <w:rsid w:val="00B37FA3"/>
    <w:rsid w:val="00B406F5"/>
    <w:rsid w:val="00B409D7"/>
    <w:rsid w:val="00B40EED"/>
    <w:rsid w:val="00B41F66"/>
    <w:rsid w:val="00B442F8"/>
    <w:rsid w:val="00B4582B"/>
    <w:rsid w:val="00B45AEE"/>
    <w:rsid w:val="00B45BCC"/>
    <w:rsid w:val="00B5163D"/>
    <w:rsid w:val="00B52C64"/>
    <w:rsid w:val="00B551A8"/>
    <w:rsid w:val="00B55401"/>
    <w:rsid w:val="00B55EE2"/>
    <w:rsid w:val="00B60A62"/>
    <w:rsid w:val="00B638D1"/>
    <w:rsid w:val="00B65067"/>
    <w:rsid w:val="00B73794"/>
    <w:rsid w:val="00B73DA9"/>
    <w:rsid w:val="00B750EF"/>
    <w:rsid w:val="00B751A6"/>
    <w:rsid w:val="00B75E64"/>
    <w:rsid w:val="00B7695D"/>
    <w:rsid w:val="00B769DB"/>
    <w:rsid w:val="00B77230"/>
    <w:rsid w:val="00B7778B"/>
    <w:rsid w:val="00B77BB7"/>
    <w:rsid w:val="00B83B6C"/>
    <w:rsid w:val="00B849F2"/>
    <w:rsid w:val="00B8508E"/>
    <w:rsid w:val="00B86D89"/>
    <w:rsid w:val="00B91009"/>
    <w:rsid w:val="00B922B6"/>
    <w:rsid w:val="00B92CC9"/>
    <w:rsid w:val="00B93A57"/>
    <w:rsid w:val="00B93FE8"/>
    <w:rsid w:val="00B942AC"/>
    <w:rsid w:val="00B96283"/>
    <w:rsid w:val="00B96EF6"/>
    <w:rsid w:val="00BA5041"/>
    <w:rsid w:val="00BA706F"/>
    <w:rsid w:val="00BA7E65"/>
    <w:rsid w:val="00BB0200"/>
    <w:rsid w:val="00BB0CD6"/>
    <w:rsid w:val="00BB17F1"/>
    <w:rsid w:val="00BB4CC6"/>
    <w:rsid w:val="00BB501F"/>
    <w:rsid w:val="00BC0576"/>
    <w:rsid w:val="00BC19B4"/>
    <w:rsid w:val="00BC2CF5"/>
    <w:rsid w:val="00BC366B"/>
    <w:rsid w:val="00BC4079"/>
    <w:rsid w:val="00BC49C8"/>
    <w:rsid w:val="00BD0A35"/>
    <w:rsid w:val="00BD2768"/>
    <w:rsid w:val="00BD3985"/>
    <w:rsid w:val="00BD5E6B"/>
    <w:rsid w:val="00BD7733"/>
    <w:rsid w:val="00BE0036"/>
    <w:rsid w:val="00BE12A6"/>
    <w:rsid w:val="00BE13EE"/>
    <w:rsid w:val="00BE2AAF"/>
    <w:rsid w:val="00BE2F4A"/>
    <w:rsid w:val="00BE4B07"/>
    <w:rsid w:val="00BE5217"/>
    <w:rsid w:val="00BF0C68"/>
    <w:rsid w:val="00BF418B"/>
    <w:rsid w:val="00BF43CB"/>
    <w:rsid w:val="00BF4D49"/>
    <w:rsid w:val="00BF5756"/>
    <w:rsid w:val="00BF6EAC"/>
    <w:rsid w:val="00C042BB"/>
    <w:rsid w:val="00C042F6"/>
    <w:rsid w:val="00C05477"/>
    <w:rsid w:val="00C0726E"/>
    <w:rsid w:val="00C10656"/>
    <w:rsid w:val="00C15894"/>
    <w:rsid w:val="00C172DC"/>
    <w:rsid w:val="00C17DDE"/>
    <w:rsid w:val="00C2086D"/>
    <w:rsid w:val="00C20D34"/>
    <w:rsid w:val="00C21783"/>
    <w:rsid w:val="00C218E1"/>
    <w:rsid w:val="00C21A4A"/>
    <w:rsid w:val="00C2669C"/>
    <w:rsid w:val="00C27F22"/>
    <w:rsid w:val="00C31039"/>
    <w:rsid w:val="00C312FC"/>
    <w:rsid w:val="00C31320"/>
    <w:rsid w:val="00C317F3"/>
    <w:rsid w:val="00C35EF9"/>
    <w:rsid w:val="00C37B05"/>
    <w:rsid w:val="00C414F6"/>
    <w:rsid w:val="00C456E3"/>
    <w:rsid w:val="00C4657E"/>
    <w:rsid w:val="00C468D4"/>
    <w:rsid w:val="00C46D44"/>
    <w:rsid w:val="00C46FF0"/>
    <w:rsid w:val="00C5219F"/>
    <w:rsid w:val="00C52526"/>
    <w:rsid w:val="00C52C3B"/>
    <w:rsid w:val="00C55426"/>
    <w:rsid w:val="00C558B8"/>
    <w:rsid w:val="00C5690B"/>
    <w:rsid w:val="00C62769"/>
    <w:rsid w:val="00C62A0E"/>
    <w:rsid w:val="00C62B7E"/>
    <w:rsid w:val="00C641CE"/>
    <w:rsid w:val="00C6432A"/>
    <w:rsid w:val="00C65416"/>
    <w:rsid w:val="00C7415D"/>
    <w:rsid w:val="00C7583E"/>
    <w:rsid w:val="00C77170"/>
    <w:rsid w:val="00C776AF"/>
    <w:rsid w:val="00C77DF4"/>
    <w:rsid w:val="00C845D9"/>
    <w:rsid w:val="00C849F2"/>
    <w:rsid w:val="00C84A9C"/>
    <w:rsid w:val="00C902F4"/>
    <w:rsid w:val="00C9387C"/>
    <w:rsid w:val="00C9641A"/>
    <w:rsid w:val="00C96733"/>
    <w:rsid w:val="00C968BF"/>
    <w:rsid w:val="00C971B8"/>
    <w:rsid w:val="00CA0630"/>
    <w:rsid w:val="00CA2F7C"/>
    <w:rsid w:val="00CA3F7F"/>
    <w:rsid w:val="00CA70A0"/>
    <w:rsid w:val="00CA7F3A"/>
    <w:rsid w:val="00CB190F"/>
    <w:rsid w:val="00CB32F0"/>
    <w:rsid w:val="00CB4348"/>
    <w:rsid w:val="00CB78D9"/>
    <w:rsid w:val="00CC071B"/>
    <w:rsid w:val="00CC4756"/>
    <w:rsid w:val="00CC4AD7"/>
    <w:rsid w:val="00CC4BBC"/>
    <w:rsid w:val="00CC56DB"/>
    <w:rsid w:val="00CC5FF5"/>
    <w:rsid w:val="00CC697F"/>
    <w:rsid w:val="00CC6A3D"/>
    <w:rsid w:val="00CC7BFE"/>
    <w:rsid w:val="00CD00B7"/>
    <w:rsid w:val="00CD0C86"/>
    <w:rsid w:val="00CD653C"/>
    <w:rsid w:val="00CD6C98"/>
    <w:rsid w:val="00CE01DC"/>
    <w:rsid w:val="00CE15CC"/>
    <w:rsid w:val="00CE1607"/>
    <w:rsid w:val="00CE2FFE"/>
    <w:rsid w:val="00CE5FF9"/>
    <w:rsid w:val="00CF02F6"/>
    <w:rsid w:val="00CF1193"/>
    <w:rsid w:val="00CF1475"/>
    <w:rsid w:val="00CF3A88"/>
    <w:rsid w:val="00CF4F67"/>
    <w:rsid w:val="00CF5AF8"/>
    <w:rsid w:val="00CF790A"/>
    <w:rsid w:val="00D015CF"/>
    <w:rsid w:val="00D037C1"/>
    <w:rsid w:val="00D047DC"/>
    <w:rsid w:val="00D04EEE"/>
    <w:rsid w:val="00D05912"/>
    <w:rsid w:val="00D05E8F"/>
    <w:rsid w:val="00D05EBC"/>
    <w:rsid w:val="00D06AD5"/>
    <w:rsid w:val="00D13399"/>
    <w:rsid w:val="00D13E41"/>
    <w:rsid w:val="00D164E7"/>
    <w:rsid w:val="00D17265"/>
    <w:rsid w:val="00D17815"/>
    <w:rsid w:val="00D20275"/>
    <w:rsid w:val="00D20B23"/>
    <w:rsid w:val="00D2157E"/>
    <w:rsid w:val="00D23615"/>
    <w:rsid w:val="00D238B5"/>
    <w:rsid w:val="00D24C6A"/>
    <w:rsid w:val="00D253F0"/>
    <w:rsid w:val="00D25EB0"/>
    <w:rsid w:val="00D26FD0"/>
    <w:rsid w:val="00D2781F"/>
    <w:rsid w:val="00D31BD4"/>
    <w:rsid w:val="00D33D18"/>
    <w:rsid w:val="00D34219"/>
    <w:rsid w:val="00D34F17"/>
    <w:rsid w:val="00D35382"/>
    <w:rsid w:val="00D35BCB"/>
    <w:rsid w:val="00D36914"/>
    <w:rsid w:val="00D40129"/>
    <w:rsid w:val="00D40155"/>
    <w:rsid w:val="00D51927"/>
    <w:rsid w:val="00D558C2"/>
    <w:rsid w:val="00D56625"/>
    <w:rsid w:val="00D56CC1"/>
    <w:rsid w:val="00D62916"/>
    <w:rsid w:val="00D62A32"/>
    <w:rsid w:val="00D62E23"/>
    <w:rsid w:val="00D64AAA"/>
    <w:rsid w:val="00D64DAA"/>
    <w:rsid w:val="00D66C0A"/>
    <w:rsid w:val="00D67D3D"/>
    <w:rsid w:val="00D67F7B"/>
    <w:rsid w:val="00D7214B"/>
    <w:rsid w:val="00D7272A"/>
    <w:rsid w:val="00D7275E"/>
    <w:rsid w:val="00D72CBC"/>
    <w:rsid w:val="00D731FA"/>
    <w:rsid w:val="00D800DB"/>
    <w:rsid w:val="00D83A80"/>
    <w:rsid w:val="00D86873"/>
    <w:rsid w:val="00D87BB7"/>
    <w:rsid w:val="00D935AE"/>
    <w:rsid w:val="00D955C3"/>
    <w:rsid w:val="00D95B7F"/>
    <w:rsid w:val="00D96C19"/>
    <w:rsid w:val="00D9766D"/>
    <w:rsid w:val="00DA20C1"/>
    <w:rsid w:val="00DA228C"/>
    <w:rsid w:val="00DA5E60"/>
    <w:rsid w:val="00DA5E9D"/>
    <w:rsid w:val="00DA6110"/>
    <w:rsid w:val="00DA7D93"/>
    <w:rsid w:val="00DB0200"/>
    <w:rsid w:val="00DB1D78"/>
    <w:rsid w:val="00DB23E9"/>
    <w:rsid w:val="00DB3268"/>
    <w:rsid w:val="00DB66B8"/>
    <w:rsid w:val="00DC139F"/>
    <w:rsid w:val="00DC151A"/>
    <w:rsid w:val="00DC180B"/>
    <w:rsid w:val="00DD21D7"/>
    <w:rsid w:val="00DD2F1B"/>
    <w:rsid w:val="00DD3505"/>
    <w:rsid w:val="00DD4D8D"/>
    <w:rsid w:val="00DD558F"/>
    <w:rsid w:val="00DD75B4"/>
    <w:rsid w:val="00DE036A"/>
    <w:rsid w:val="00DE24B7"/>
    <w:rsid w:val="00DE2AC9"/>
    <w:rsid w:val="00DE4286"/>
    <w:rsid w:val="00DE470F"/>
    <w:rsid w:val="00DF18F7"/>
    <w:rsid w:val="00DF1EAA"/>
    <w:rsid w:val="00DF23E4"/>
    <w:rsid w:val="00DF32E2"/>
    <w:rsid w:val="00DF6532"/>
    <w:rsid w:val="00DF6E2F"/>
    <w:rsid w:val="00DF7F4D"/>
    <w:rsid w:val="00E01022"/>
    <w:rsid w:val="00E02DDA"/>
    <w:rsid w:val="00E03550"/>
    <w:rsid w:val="00E07309"/>
    <w:rsid w:val="00E07F18"/>
    <w:rsid w:val="00E10B48"/>
    <w:rsid w:val="00E14118"/>
    <w:rsid w:val="00E14660"/>
    <w:rsid w:val="00E16960"/>
    <w:rsid w:val="00E20EF4"/>
    <w:rsid w:val="00E215CC"/>
    <w:rsid w:val="00E22738"/>
    <w:rsid w:val="00E256D6"/>
    <w:rsid w:val="00E27CAB"/>
    <w:rsid w:val="00E27D40"/>
    <w:rsid w:val="00E3085A"/>
    <w:rsid w:val="00E30B7E"/>
    <w:rsid w:val="00E35E64"/>
    <w:rsid w:val="00E367E9"/>
    <w:rsid w:val="00E43E82"/>
    <w:rsid w:val="00E4436A"/>
    <w:rsid w:val="00E46343"/>
    <w:rsid w:val="00E470BB"/>
    <w:rsid w:val="00E5175E"/>
    <w:rsid w:val="00E52CEE"/>
    <w:rsid w:val="00E56131"/>
    <w:rsid w:val="00E56FAE"/>
    <w:rsid w:val="00E621DE"/>
    <w:rsid w:val="00E63940"/>
    <w:rsid w:val="00E646E5"/>
    <w:rsid w:val="00E64759"/>
    <w:rsid w:val="00E65418"/>
    <w:rsid w:val="00E66B6D"/>
    <w:rsid w:val="00E678AE"/>
    <w:rsid w:val="00E70710"/>
    <w:rsid w:val="00E70BB7"/>
    <w:rsid w:val="00E73003"/>
    <w:rsid w:val="00E7336C"/>
    <w:rsid w:val="00E75CEA"/>
    <w:rsid w:val="00E76A0F"/>
    <w:rsid w:val="00E80C1D"/>
    <w:rsid w:val="00E82659"/>
    <w:rsid w:val="00E82910"/>
    <w:rsid w:val="00E85BB3"/>
    <w:rsid w:val="00E9037F"/>
    <w:rsid w:val="00E92561"/>
    <w:rsid w:val="00E92A7D"/>
    <w:rsid w:val="00E9422B"/>
    <w:rsid w:val="00E9460C"/>
    <w:rsid w:val="00E96B33"/>
    <w:rsid w:val="00E973AA"/>
    <w:rsid w:val="00EA0A3A"/>
    <w:rsid w:val="00EA200B"/>
    <w:rsid w:val="00EA20E1"/>
    <w:rsid w:val="00EA2C7C"/>
    <w:rsid w:val="00EA4453"/>
    <w:rsid w:val="00EA481F"/>
    <w:rsid w:val="00EA7E5F"/>
    <w:rsid w:val="00EB3006"/>
    <w:rsid w:val="00EC1211"/>
    <w:rsid w:val="00EC151F"/>
    <w:rsid w:val="00EC3380"/>
    <w:rsid w:val="00EC34A1"/>
    <w:rsid w:val="00EC4D7B"/>
    <w:rsid w:val="00ED0346"/>
    <w:rsid w:val="00ED048F"/>
    <w:rsid w:val="00ED1F06"/>
    <w:rsid w:val="00ED4EFF"/>
    <w:rsid w:val="00ED610A"/>
    <w:rsid w:val="00ED64E4"/>
    <w:rsid w:val="00EE120D"/>
    <w:rsid w:val="00EE19C6"/>
    <w:rsid w:val="00EE35BE"/>
    <w:rsid w:val="00EE4381"/>
    <w:rsid w:val="00EE509D"/>
    <w:rsid w:val="00EE517B"/>
    <w:rsid w:val="00EE5ABD"/>
    <w:rsid w:val="00EE720B"/>
    <w:rsid w:val="00EF06B6"/>
    <w:rsid w:val="00EF09C4"/>
    <w:rsid w:val="00EF405C"/>
    <w:rsid w:val="00EF43BE"/>
    <w:rsid w:val="00EF4438"/>
    <w:rsid w:val="00EF6331"/>
    <w:rsid w:val="00EF7D04"/>
    <w:rsid w:val="00F03503"/>
    <w:rsid w:val="00F0459C"/>
    <w:rsid w:val="00F055BC"/>
    <w:rsid w:val="00F062E1"/>
    <w:rsid w:val="00F07109"/>
    <w:rsid w:val="00F11EAE"/>
    <w:rsid w:val="00F12C2E"/>
    <w:rsid w:val="00F1382B"/>
    <w:rsid w:val="00F13CB1"/>
    <w:rsid w:val="00F15D92"/>
    <w:rsid w:val="00F15F48"/>
    <w:rsid w:val="00F173A6"/>
    <w:rsid w:val="00F17642"/>
    <w:rsid w:val="00F220F0"/>
    <w:rsid w:val="00F22B00"/>
    <w:rsid w:val="00F2330D"/>
    <w:rsid w:val="00F23732"/>
    <w:rsid w:val="00F24146"/>
    <w:rsid w:val="00F2589D"/>
    <w:rsid w:val="00F26739"/>
    <w:rsid w:val="00F26CD1"/>
    <w:rsid w:val="00F3093A"/>
    <w:rsid w:val="00F34F22"/>
    <w:rsid w:val="00F40A61"/>
    <w:rsid w:val="00F4257B"/>
    <w:rsid w:val="00F44214"/>
    <w:rsid w:val="00F45D93"/>
    <w:rsid w:val="00F472D0"/>
    <w:rsid w:val="00F4770F"/>
    <w:rsid w:val="00F50419"/>
    <w:rsid w:val="00F50938"/>
    <w:rsid w:val="00F53C10"/>
    <w:rsid w:val="00F54473"/>
    <w:rsid w:val="00F54504"/>
    <w:rsid w:val="00F57583"/>
    <w:rsid w:val="00F6054D"/>
    <w:rsid w:val="00F63642"/>
    <w:rsid w:val="00F64490"/>
    <w:rsid w:val="00F6551C"/>
    <w:rsid w:val="00F66033"/>
    <w:rsid w:val="00F66399"/>
    <w:rsid w:val="00F663F7"/>
    <w:rsid w:val="00F665F8"/>
    <w:rsid w:val="00F66C67"/>
    <w:rsid w:val="00F71702"/>
    <w:rsid w:val="00F71B40"/>
    <w:rsid w:val="00F74071"/>
    <w:rsid w:val="00F7501F"/>
    <w:rsid w:val="00F7772A"/>
    <w:rsid w:val="00F810F9"/>
    <w:rsid w:val="00F83120"/>
    <w:rsid w:val="00F847C0"/>
    <w:rsid w:val="00F84E43"/>
    <w:rsid w:val="00F85553"/>
    <w:rsid w:val="00F86A5B"/>
    <w:rsid w:val="00F915DD"/>
    <w:rsid w:val="00F92667"/>
    <w:rsid w:val="00F92EBA"/>
    <w:rsid w:val="00F9447D"/>
    <w:rsid w:val="00F95B40"/>
    <w:rsid w:val="00F95B71"/>
    <w:rsid w:val="00F969FF"/>
    <w:rsid w:val="00F96F56"/>
    <w:rsid w:val="00FA01CC"/>
    <w:rsid w:val="00FA0392"/>
    <w:rsid w:val="00FA6692"/>
    <w:rsid w:val="00FA6812"/>
    <w:rsid w:val="00FB1FC8"/>
    <w:rsid w:val="00FB2174"/>
    <w:rsid w:val="00FB2F0F"/>
    <w:rsid w:val="00FB3053"/>
    <w:rsid w:val="00FB466C"/>
    <w:rsid w:val="00FB47CD"/>
    <w:rsid w:val="00FB486D"/>
    <w:rsid w:val="00FC13D1"/>
    <w:rsid w:val="00FC1816"/>
    <w:rsid w:val="00FC1DF3"/>
    <w:rsid w:val="00FC26B5"/>
    <w:rsid w:val="00FC2AEF"/>
    <w:rsid w:val="00FC3A6F"/>
    <w:rsid w:val="00FC5F25"/>
    <w:rsid w:val="00FC5F39"/>
    <w:rsid w:val="00FC7851"/>
    <w:rsid w:val="00FD5DEB"/>
    <w:rsid w:val="00FD656A"/>
    <w:rsid w:val="00FE0A3B"/>
    <w:rsid w:val="00FE307D"/>
    <w:rsid w:val="00FE3D6B"/>
    <w:rsid w:val="00FE4281"/>
    <w:rsid w:val="00FE4BA2"/>
    <w:rsid w:val="00FE644B"/>
    <w:rsid w:val="00FE6F12"/>
    <w:rsid w:val="00FF4B94"/>
    <w:rsid w:val="00FF50B0"/>
    <w:rsid w:val="00FF6575"/>
    <w:rsid w:val="00FF65EA"/>
    <w:rsid w:val="00FF6BC4"/>
    <w:rsid w:val="00FF72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3F1F"/>
    <w:pPr>
      <w:spacing w:after="0" w:line="240" w:lineRule="auto"/>
    </w:pPr>
    <w:rPr>
      <w:rFonts w:ascii="Times New Roman" w:hAnsi="Times New Roman"/>
    </w:rPr>
  </w:style>
  <w:style w:type="paragraph" w:styleId="Heading1">
    <w:name w:val="heading 1"/>
    <w:basedOn w:val="Normal"/>
    <w:next w:val="Normal"/>
    <w:link w:val="Heading1Char"/>
    <w:uiPriority w:val="9"/>
    <w:qFormat/>
    <w:rsid w:val="00CF790A"/>
    <w:pPr>
      <w:keepNext/>
      <w:keepLines/>
      <w:numPr>
        <w:numId w:val="9"/>
      </w:numPr>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74B2F"/>
    <w:pPr>
      <w:keepNext/>
      <w:keepLines/>
      <w:numPr>
        <w:numId w:val="22"/>
      </w:numPr>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autoRedefine/>
    <w:uiPriority w:val="9"/>
    <w:unhideWhenUsed/>
    <w:qFormat/>
    <w:rsid w:val="00B11094"/>
    <w:pPr>
      <w:keepNext/>
      <w:keepLines/>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961C8E"/>
    <w:pPr>
      <w:keepNext/>
      <w:keepLines/>
      <w:outlineLvl w:val="3"/>
    </w:pPr>
    <w:rPr>
      <w:rFonts w:eastAsiaTheme="majorEastAsia" w:cs="Times New Roman"/>
      <w:bCs/>
      <w:iCs/>
      <w:u w:val="single"/>
      <w:lang w:val="en-AU"/>
    </w:rPr>
  </w:style>
  <w:style w:type="paragraph" w:styleId="Heading5">
    <w:name w:val="heading 5"/>
    <w:basedOn w:val="Normal"/>
    <w:next w:val="Normal"/>
    <w:link w:val="Heading5Char"/>
    <w:uiPriority w:val="9"/>
    <w:unhideWhenUsed/>
    <w:qFormat/>
    <w:rsid w:val="00BC49C8"/>
    <w:pPr>
      <w:keepNext/>
      <w:keepLines/>
      <w:outlineLvl w:val="4"/>
    </w:pPr>
    <w:rPr>
      <w:rFonts w:eastAsiaTheme="majorEastAsia" w:cs="Times New Roman"/>
      <w:i/>
    </w:rPr>
  </w:style>
  <w:style w:type="paragraph" w:styleId="Heading6">
    <w:name w:val="heading 6"/>
    <w:basedOn w:val="Normal"/>
    <w:next w:val="Normal"/>
    <w:link w:val="Heading6Char"/>
    <w:uiPriority w:val="9"/>
    <w:semiHidden/>
    <w:unhideWhenUsed/>
    <w:qFormat/>
    <w:rsid w:val="004C408E"/>
    <w:pPr>
      <w:keepNext/>
      <w:keepLines/>
      <w:spacing w:before="120" w:after="12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4C408E"/>
    <w:pPr>
      <w:keepNext/>
      <w:keepLines/>
      <w:spacing w:before="200"/>
      <w:ind w:left="432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C408E"/>
    <w:pPr>
      <w:keepNext/>
      <w:keepLines/>
      <w:spacing w:before="200"/>
      <w:ind w:left="504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4C408E"/>
    <w:pPr>
      <w:keepNext/>
      <w:keepLines/>
      <w:spacing w:before="200"/>
      <w:ind w:left="576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790A"/>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1417DF"/>
    <w:rPr>
      <w:color w:val="0000FF" w:themeColor="hyperlink"/>
      <w:u w:val="single"/>
    </w:rPr>
  </w:style>
  <w:style w:type="table" w:styleId="TableGrid">
    <w:name w:val="Table Grid"/>
    <w:basedOn w:val="TableNormal"/>
    <w:uiPriority w:val="59"/>
    <w:rsid w:val="00FE6F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2E19B7"/>
    <w:pPr>
      <w:ind w:left="720"/>
      <w:contextualSpacing/>
    </w:pPr>
  </w:style>
  <w:style w:type="character" w:customStyle="1" w:styleId="Heading2Char">
    <w:name w:val="Heading 2 Char"/>
    <w:basedOn w:val="DefaultParagraphFont"/>
    <w:link w:val="Heading2"/>
    <w:uiPriority w:val="9"/>
    <w:rsid w:val="00674B2F"/>
    <w:rPr>
      <w:rFonts w:asciiTheme="majorHAnsi" w:eastAsiaTheme="majorEastAsia" w:hAnsiTheme="majorHAnsi" w:cstheme="majorBidi"/>
      <w:b/>
      <w:bCs/>
      <w:color w:val="4F81BD" w:themeColor="accent1"/>
      <w:sz w:val="26"/>
      <w:szCs w:val="26"/>
    </w:rPr>
  </w:style>
  <w:style w:type="paragraph" w:styleId="FootnoteText">
    <w:name w:val="footnote text"/>
    <w:aliases w:val="Note de bas de page Car, Car,Fußnote RiLiDick,Fußnote RiLiDick Char,Fußnotentext1,single space,footnote text,Footnote,text,Texto nota pie Car,fn,ft,FOOTNOTES,ADB,WB-Fußnotentext,Fußnote,WB-Fuﬂnotentext,Fuﬂnote,ALTS FOOTNOTE,f,Car"/>
    <w:basedOn w:val="Normal"/>
    <w:link w:val="FootnoteTextChar"/>
    <w:uiPriority w:val="99"/>
    <w:unhideWhenUsed/>
    <w:qFormat/>
    <w:rsid w:val="00267F8F"/>
    <w:rPr>
      <w:rFonts w:asciiTheme="minorHAnsi" w:hAnsiTheme="minorHAnsi" w:cs="Times New Roman"/>
      <w:sz w:val="20"/>
      <w:szCs w:val="20"/>
      <w:lang w:bidi="en-US"/>
    </w:rPr>
  </w:style>
  <w:style w:type="character" w:customStyle="1" w:styleId="FootnoteTextChar">
    <w:name w:val="Footnote Text Char"/>
    <w:aliases w:val="Note de bas de page Car Char, Car Char,Fußnote RiLiDick Char1,Fußnote RiLiDick Char Char,Fußnotentext1 Char,single space Char,footnote text Char,Footnote Char,text Char,Texto nota pie Car Char,fn Char,ft Char,FOOTNOTES Char,ADB Char"/>
    <w:basedOn w:val="DefaultParagraphFont"/>
    <w:link w:val="FootnoteText"/>
    <w:uiPriority w:val="99"/>
    <w:rsid w:val="00267F8F"/>
    <w:rPr>
      <w:rFonts w:cs="Times New Roman"/>
      <w:sz w:val="20"/>
      <w:szCs w:val="20"/>
      <w:lang w:bidi="en-US"/>
    </w:rPr>
  </w:style>
  <w:style w:type="character" w:styleId="FootnoteReference">
    <w:name w:val="footnote reference"/>
    <w:aliases w:val="16 Point,Superscript 6 Point,ftref, BVI fnr,BVI fnr,Знак сноски-FN,Footnote Reference Superscript,Footnote symbol,???? ??????-FN,Footnote Reference Number,Footnote Reference_LVL6,Footnote Reference_LVL61,Footnote Reference_LVL62,fr"/>
    <w:basedOn w:val="DefaultParagraphFont"/>
    <w:uiPriority w:val="99"/>
    <w:unhideWhenUsed/>
    <w:rsid w:val="00267F8F"/>
    <w:rPr>
      <w:vertAlign w:val="superscript"/>
    </w:rPr>
  </w:style>
  <w:style w:type="paragraph" w:styleId="EndnoteText">
    <w:name w:val="endnote text"/>
    <w:basedOn w:val="Normal"/>
    <w:link w:val="EndnoteTextChar"/>
    <w:uiPriority w:val="99"/>
    <w:unhideWhenUsed/>
    <w:rsid w:val="00267F8F"/>
    <w:rPr>
      <w:rFonts w:asciiTheme="minorHAnsi" w:eastAsiaTheme="minorEastAsia" w:hAnsiTheme="minorHAnsi"/>
      <w:sz w:val="20"/>
      <w:szCs w:val="20"/>
      <w:lang w:val="en-GB"/>
    </w:rPr>
  </w:style>
  <w:style w:type="character" w:customStyle="1" w:styleId="EndnoteTextChar">
    <w:name w:val="Endnote Text Char"/>
    <w:basedOn w:val="DefaultParagraphFont"/>
    <w:link w:val="EndnoteText"/>
    <w:uiPriority w:val="99"/>
    <w:rsid w:val="00267F8F"/>
    <w:rPr>
      <w:rFonts w:eastAsiaTheme="minorEastAsia"/>
      <w:sz w:val="20"/>
      <w:szCs w:val="20"/>
      <w:lang w:val="en-GB"/>
    </w:rPr>
  </w:style>
  <w:style w:type="character" w:styleId="EndnoteReference">
    <w:name w:val="endnote reference"/>
    <w:basedOn w:val="DefaultParagraphFont"/>
    <w:uiPriority w:val="99"/>
    <w:semiHidden/>
    <w:unhideWhenUsed/>
    <w:rsid w:val="00267F8F"/>
    <w:rPr>
      <w:vertAlign w:val="superscript"/>
    </w:rPr>
  </w:style>
  <w:style w:type="table" w:customStyle="1" w:styleId="TableGrid1">
    <w:name w:val="Table Grid1"/>
    <w:basedOn w:val="TableNormal"/>
    <w:next w:val="TableGrid"/>
    <w:uiPriority w:val="59"/>
    <w:rsid w:val="008E4B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8E4B9A"/>
    <w:rPr>
      <w:b w:val="0"/>
      <w:bCs w:val="0"/>
      <w:i w:val="0"/>
      <w:iCs w:val="0"/>
    </w:rPr>
  </w:style>
  <w:style w:type="character" w:customStyle="1" w:styleId="Heading3Char">
    <w:name w:val="Heading 3 Char"/>
    <w:basedOn w:val="DefaultParagraphFont"/>
    <w:link w:val="Heading3"/>
    <w:uiPriority w:val="9"/>
    <w:rsid w:val="00B11094"/>
    <w:rPr>
      <w:rFonts w:asciiTheme="majorHAnsi" w:eastAsiaTheme="majorEastAsia" w:hAnsiTheme="majorHAnsi" w:cstheme="majorBidi"/>
      <w:b/>
      <w:bCs/>
      <w:color w:val="4F81BD" w:themeColor="accent1"/>
    </w:rPr>
  </w:style>
  <w:style w:type="paragraph" w:styleId="TOC2">
    <w:name w:val="toc 2"/>
    <w:basedOn w:val="Normal"/>
    <w:next w:val="Normal"/>
    <w:autoRedefine/>
    <w:uiPriority w:val="39"/>
    <w:unhideWhenUsed/>
    <w:rsid w:val="0061018A"/>
    <w:pPr>
      <w:tabs>
        <w:tab w:val="left" w:pos="1170"/>
        <w:tab w:val="right" w:leader="dot" w:pos="9350"/>
      </w:tabs>
      <w:ind w:left="806" w:hanging="590"/>
    </w:pPr>
    <w:rPr>
      <w:noProof/>
    </w:rPr>
  </w:style>
  <w:style w:type="paragraph" w:styleId="TOC3">
    <w:name w:val="toc 3"/>
    <w:basedOn w:val="Normal"/>
    <w:next w:val="Normal"/>
    <w:autoRedefine/>
    <w:uiPriority w:val="39"/>
    <w:unhideWhenUsed/>
    <w:rsid w:val="0061018A"/>
    <w:pPr>
      <w:tabs>
        <w:tab w:val="right" w:leader="dot" w:pos="9350"/>
      </w:tabs>
      <w:ind w:left="1166"/>
    </w:pPr>
    <w:rPr>
      <w:noProof/>
      <w:sz w:val="20"/>
      <w:szCs w:val="20"/>
    </w:rPr>
  </w:style>
  <w:style w:type="paragraph" w:customStyle="1" w:styleId="Default">
    <w:name w:val="Default"/>
    <w:rsid w:val="00F84E43"/>
    <w:pPr>
      <w:autoSpaceDE w:val="0"/>
      <w:autoSpaceDN w:val="0"/>
      <w:adjustRightInd w:val="0"/>
      <w:spacing w:after="0" w:line="240" w:lineRule="auto"/>
    </w:pPr>
    <w:rPr>
      <w:rFonts w:ascii="Calibri" w:hAnsi="Calibri" w:cs="Calibri"/>
      <w:color w:val="000000"/>
      <w:sz w:val="24"/>
      <w:szCs w:val="24"/>
    </w:rPr>
  </w:style>
  <w:style w:type="character" w:customStyle="1" w:styleId="Heading4Char">
    <w:name w:val="Heading 4 Char"/>
    <w:basedOn w:val="DefaultParagraphFont"/>
    <w:link w:val="Heading4"/>
    <w:uiPriority w:val="9"/>
    <w:rsid w:val="00961C8E"/>
    <w:rPr>
      <w:rFonts w:ascii="Times New Roman" w:eastAsiaTheme="majorEastAsia" w:hAnsi="Times New Roman" w:cs="Times New Roman"/>
      <w:bCs/>
      <w:iCs/>
      <w:u w:val="single"/>
      <w:lang w:val="en-AU"/>
    </w:rPr>
  </w:style>
  <w:style w:type="character" w:customStyle="1" w:styleId="Heading5Char">
    <w:name w:val="Heading 5 Char"/>
    <w:basedOn w:val="DefaultParagraphFont"/>
    <w:link w:val="Heading5"/>
    <w:uiPriority w:val="9"/>
    <w:rsid w:val="00BC49C8"/>
    <w:rPr>
      <w:rFonts w:ascii="Times New Roman" w:eastAsiaTheme="majorEastAsia" w:hAnsi="Times New Roman" w:cs="Times New Roman"/>
      <w:i/>
    </w:rPr>
  </w:style>
  <w:style w:type="character" w:customStyle="1" w:styleId="Heading6Char">
    <w:name w:val="Heading 6 Char"/>
    <w:basedOn w:val="DefaultParagraphFont"/>
    <w:link w:val="Heading6"/>
    <w:uiPriority w:val="9"/>
    <w:semiHidden/>
    <w:rsid w:val="004C408E"/>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4C408E"/>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4C408E"/>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4C408E"/>
    <w:rPr>
      <w:rFonts w:asciiTheme="majorHAnsi" w:eastAsiaTheme="majorEastAsia" w:hAnsiTheme="majorHAnsi" w:cstheme="majorBidi"/>
      <w:i/>
      <w:iCs/>
      <w:color w:val="404040" w:themeColor="text1" w:themeTint="BF"/>
      <w:sz w:val="20"/>
      <w:szCs w:val="20"/>
    </w:rPr>
  </w:style>
  <w:style w:type="paragraph" w:styleId="CommentText">
    <w:name w:val="annotation text"/>
    <w:basedOn w:val="Normal"/>
    <w:link w:val="CommentTextChar"/>
    <w:uiPriority w:val="99"/>
    <w:semiHidden/>
    <w:unhideWhenUsed/>
    <w:rsid w:val="004C408E"/>
    <w:rPr>
      <w:rFonts w:asciiTheme="minorHAnsi" w:hAnsiTheme="minorHAnsi"/>
      <w:sz w:val="20"/>
      <w:szCs w:val="20"/>
    </w:rPr>
  </w:style>
  <w:style w:type="character" w:customStyle="1" w:styleId="CommentTextChar">
    <w:name w:val="Comment Text Char"/>
    <w:basedOn w:val="DefaultParagraphFont"/>
    <w:link w:val="CommentText"/>
    <w:uiPriority w:val="99"/>
    <w:semiHidden/>
    <w:rsid w:val="004C408E"/>
    <w:rPr>
      <w:sz w:val="20"/>
      <w:szCs w:val="20"/>
    </w:rPr>
  </w:style>
  <w:style w:type="paragraph" w:customStyle="1" w:styleId="Bulletpar">
    <w:name w:val="Bullet par"/>
    <w:basedOn w:val="ListParagraph"/>
    <w:qFormat/>
    <w:rsid w:val="004C408E"/>
    <w:pPr>
      <w:numPr>
        <w:numId w:val="1"/>
      </w:numPr>
      <w:tabs>
        <w:tab w:val="num" w:pos="360"/>
      </w:tabs>
      <w:spacing w:before="200"/>
      <w:ind w:firstLine="0"/>
      <w:contextualSpacing w:val="0"/>
      <w:jc w:val="both"/>
    </w:pPr>
    <w:rPr>
      <w:rFonts w:cs="Times New Roman"/>
    </w:rPr>
  </w:style>
  <w:style w:type="character" w:customStyle="1" w:styleId="NumParChar">
    <w:name w:val="NumPar Char"/>
    <w:basedOn w:val="DefaultParagraphFont"/>
    <w:link w:val="NumPar"/>
    <w:locked/>
    <w:rsid w:val="004C408E"/>
    <w:rPr>
      <w:rFonts w:ascii="Times New Roman" w:hAnsi="Times New Roman" w:cs="Times New Roman"/>
      <w:color w:val="000000" w:themeColor="text1"/>
    </w:rPr>
  </w:style>
  <w:style w:type="paragraph" w:customStyle="1" w:styleId="NumPar">
    <w:name w:val="NumPar"/>
    <w:basedOn w:val="ListParagraph"/>
    <w:link w:val="NumParChar"/>
    <w:qFormat/>
    <w:rsid w:val="004C408E"/>
    <w:pPr>
      <w:numPr>
        <w:numId w:val="2"/>
      </w:numPr>
      <w:spacing w:before="200"/>
      <w:contextualSpacing w:val="0"/>
      <w:jc w:val="both"/>
    </w:pPr>
    <w:rPr>
      <w:rFonts w:cs="Times New Roman"/>
      <w:color w:val="000000" w:themeColor="text1"/>
    </w:rPr>
  </w:style>
  <w:style w:type="character" w:styleId="CommentReference">
    <w:name w:val="annotation reference"/>
    <w:basedOn w:val="DefaultParagraphFont"/>
    <w:uiPriority w:val="99"/>
    <w:semiHidden/>
    <w:unhideWhenUsed/>
    <w:rsid w:val="004C408E"/>
    <w:rPr>
      <w:sz w:val="16"/>
      <w:szCs w:val="16"/>
    </w:rPr>
  </w:style>
  <w:style w:type="paragraph" w:styleId="BalloonText">
    <w:name w:val="Balloon Text"/>
    <w:basedOn w:val="Normal"/>
    <w:link w:val="BalloonTextChar"/>
    <w:uiPriority w:val="99"/>
    <w:semiHidden/>
    <w:unhideWhenUsed/>
    <w:rsid w:val="004C408E"/>
    <w:rPr>
      <w:rFonts w:ascii="Tahoma" w:hAnsi="Tahoma" w:cs="Tahoma"/>
      <w:sz w:val="16"/>
      <w:szCs w:val="16"/>
    </w:rPr>
  </w:style>
  <w:style w:type="character" w:customStyle="1" w:styleId="BalloonTextChar">
    <w:name w:val="Balloon Text Char"/>
    <w:basedOn w:val="DefaultParagraphFont"/>
    <w:link w:val="BalloonText"/>
    <w:uiPriority w:val="99"/>
    <w:semiHidden/>
    <w:rsid w:val="004C408E"/>
    <w:rPr>
      <w:rFonts w:ascii="Tahoma" w:hAnsi="Tahoma" w:cs="Tahoma"/>
      <w:sz w:val="16"/>
      <w:szCs w:val="16"/>
    </w:rPr>
  </w:style>
  <w:style w:type="character" w:customStyle="1" w:styleId="ListParagraphChar">
    <w:name w:val="List Paragraph Char"/>
    <w:basedOn w:val="DefaultParagraphFont"/>
    <w:link w:val="ListParagraph"/>
    <w:uiPriority w:val="34"/>
    <w:locked/>
    <w:rsid w:val="004C408E"/>
    <w:rPr>
      <w:rFonts w:ascii="Times New Roman" w:hAnsi="Times New Roman"/>
    </w:rPr>
  </w:style>
  <w:style w:type="paragraph" w:styleId="Caption">
    <w:name w:val="caption"/>
    <w:basedOn w:val="Normal"/>
    <w:next w:val="Normal"/>
    <w:uiPriority w:val="35"/>
    <w:qFormat/>
    <w:rsid w:val="00BA706F"/>
    <w:rPr>
      <w:rFonts w:eastAsia="MS Mincho" w:cs="Times New Roman"/>
      <w:b/>
      <w:bCs/>
      <w:sz w:val="20"/>
      <w:szCs w:val="20"/>
    </w:rPr>
  </w:style>
  <w:style w:type="paragraph" w:styleId="NormalWeb">
    <w:name w:val="Normal (Web)"/>
    <w:basedOn w:val="Normal"/>
    <w:uiPriority w:val="99"/>
    <w:unhideWhenUsed/>
    <w:rsid w:val="002F3A58"/>
    <w:pPr>
      <w:spacing w:before="100" w:beforeAutospacing="1" w:after="100" w:afterAutospacing="1"/>
    </w:pPr>
    <w:rPr>
      <w:rFonts w:eastAsia="Times New Roman" w:cs="Times New Roman"/>
      <w:sz w:val="24"/>
      <w:szCs w:val="24"/>
    </w:rPr>
  </w:style>
  <w:style w:type="paragraph" w:customStyle="1" w:styleId="Pa1">
    <w:name w:val="Pa1"/>
    <w:basedOn w:val="Default"/>
    <w:next w:val="Default"/>
    <w:uiPriority w:val="99"/>
    <w:rsid w:val="004E3191"/>
    <w:pPr>
      <w:spacing w:line="241" w:lineRule="atLeast"/>
    </w:pPr>
    <w:rPr>
      <w:rFonts w:cstheme="minorBidi"/>
      <w:color w:val="auto"/>
    </w:rPr>
  </w:style>
  <w:style w:type="character" w:customStyle="1" w:styleId="A1">
    <w:name w:val="A1"/>
    <w:uiPriority w:val="99"/>
    <w:rsid w:val="004E3191"/>
    <w:rPr>
      <w:rFonts w:cs="Calibri"/>
      <w:b/>
      <w:bCs/>
      <w:color w:val="000000"/>
      <w:sz w:val="69"/>
      <w:szCs w:val="69"/>
    </w:rPr>
  </w:style>
  <w:style w:type="character" w:customStyle="1" w:styleId="A4">
    <w:name w:val="A4"/>
    <w:uiPriority w:val="99"/>
    <w:rsid w:val="004E3191"/>
    <w:rPr>
      <w:rFonts w:cs="Calibri"/>
      <w:color w:val="000000"/>
      <w:sz w:val="21"/>
      <w:szCs w:val="21"/>
    </w:rPr>
  </w:style>
  <w:style w:type="character" w:customStyle="1" w:styleId="citation">
    <w:name w:val="citation"/>
    <w:basedOn w:val="DefaultParagraphFont"/>
    <w:rsid w:val="006077C7"/>
  </w:style>
  <w:style w:type="character" w:styleId="Emphasis">
    <w:name w:val="Emphasis"/>
    <w:basedOn w:val="DefaultParagraphFont"/>
    <w:uiPriority w:val="20"/>
    <w:qFormat/>
    <w:rsid w:val="007941B0"/>
    <w:rPr>
      <w:i/>
      <w:iCs/>
    </w:rPr>
  </w:style>
  <w:style w:type="paragraph" w:styleId="TOC1">
    <w:name w:val="toc 1"/>
    <w:basedOn w:val="Normal"/>
    <w:next w:val="Normal"/>
    <w:autoRedefine/>
    <w:uiPriority w:val="39"/>
    <w:unhideWhenUsed/>
    <w:rsid w:val="0061018A"/>
    <w:pPr>
      <w:tabs>
        <w:tab w:val="left" w:pos="540"/>
        <w:tab w:val="left" w:pos="630"/>
        <w:tab w:val="right" w:leader="dot" w:pos="9350"/>
      </w:tabs>
    </w:pPr>
    <w:rPr>
      <w:b/>
      <w:noProof/>
    </w:rPr>
  </w:style>
  <w:style w:type="character" w:styleId="FollowedHyperlink">
    <w:name w:val="FollowedHyperlink"/>
    <w:basedOn w:val="DefaultParagraphFont"/>
    <w:uiPriority w:val="99"/>
    <w:semiHidden/>
    <w:unhideWhenUsed/>
    <w:rsid w:val="00B0420F"/>
    <w:rPr>
      <w:color w:val="800080" w:themeColor="followedHyperlink"/>
      <w:u w:val="single"/>
    </w:rPr>
  </w:style>
  <w:style w:type="paragraph" w:customStyle="1" w:styleId="AMAIN">
    <w:name w:val="AMAIN"/>
    <w:basedOn w:val="Normal"/>
    <w:link w:val="AMAINChar"/>
    <w:qFormat/>
    <w:rsid w:val="005F24C3"/>
    <w:pPr>
      <w:widowControl w:val="0"/>
      <w:spacing w:after="120"/>
      <w:jc w:val="both"/>
    </w:pPr>
    <w:rPr>
      <w:rFonts w:asciiTheme="majorHAnsi" w:hAnsiTheme="majorHAnsi" w:cstheme="majorHAnsi"/>
      <w:kern w:val="32"/>
      <w:szCs w:val="32"/>
    </w:rPr>
  </w:style>
  <w:style w:type="character" w:customStyle="1" w:styleId="AMAINChar">
    <w:name w:val="AMAIN Char"/>
    <w:basedOn w:val="DefaultParagraphFont"/>
    <w:link w:val="AMAIN"/>
    <w:rsid w:val="005F24C3"/>
    <w:rPr>
      <w:rFonts w:asciiTheme="majorHAnsi" w:hAnsiTheme="majorHAnsi" w:cstheme="majorHAnsi"/>
      <w:kern w:val="32"/>
      <w:szCs w:val="32"/>
    </w:rPr>
  </w:style>
  <w:style w:type="paragraph" w:customStyle="1" w:styleId="EndNoteBibliographyTitle">
    <w:name w:val="EndNote Bibliography Title"/>
    <w:basedOn w:val="Normal"/>
    <w:link w:val="EndNoteBibliographyTitleChar"/>
    <w:rsid w:val="00C5690B"/>
    <w:pPr>
      <w:jc w:val="center"/>
    </w:pPr>
    <w:rPr>
      <w:rFonts w:cs="Times New Roman"/>
      <w:noProof/>
    </w:rPr>
  </w:style>
  <w:style w:type="character" w:customStyle="1" w:styleId="EndNoteBibliographyTitleChar">
    <w:name w:val="EndNote Bibliography Title Char"/>
    <w:basedOn w:val="DefaultParagraphFont"/>
    <w:link w:val="EndNoteBibliographyTitle"/>
    <w:rsid w:val="00C5690B"/>
    <w:rPr>
      <w:rFonts w:ascii="Times New Roman" w:hAnsi="Times New Roman" w:cs="Times New Roman"/>
      <w:noProof/>
    </w:rPr>
  </w:style>
  <w:style w:type="paragraph" w:customStyle="1" w:styleId="EndNoteBibliography">
    <w:name w:val="EndNote Bibliography"/>
    <w:basedOn w:val="Normal"/>
    <w:link w:val="EndNoteBibliographyChar"/>
    <w:rsid w:val="00C5690B"/>
    <w:rPr>
      <w:rFonts w:cs="Times New Roman"/>
      <w:noProof/>
    </w:rPr>
  </w:style>
  <w:style w:type="character" w:customStyle="1" w:styleId="EndNoteBibliographyChar">
    <w:name w:val="EndNote Bibliography Char"/>
    <w:basedOn w:val="DefaultParagraphFont"/>
    <w:link w:val="EndNoteBibliography"/>
    <w:rsid w:val="00C5690B"/>
    <w:rPr>
      <w:rFonts w:ascii="Times New Roman" w:hAnsi="Times New Roman" w:cs="Times New Roman"/>
      <w:noProof/>
    </w:rPr>
  </w:style>
  <w:style w:type="paragraph" w:styleId="Header">
    <w:name w:val="header"/>
    <w:basedOn w:val="Normal"/>
    <w:link w:val="HeaderChar"/>
    <w:uiPriority w:val="99"/>
    <w:unhideWhenUsed/>
    <w:rsid w:val="008F46B6"/>
    <w:pPr>
      <w:tabs>
        <w:tab w:val="center" w:pos="4680"/>
        <w:tab w:val="right" w:pos="9360"/>
      </w:tabs>
    </w:pPr>
  </w:style>
  <w:style w:type="character" w:customStyle="1" w:styleId="HeaderChar">
    <w:name w:val="Header Char"/>
    <w:basedOn w:val="DefaultParagraphFont"/>
    <w:link w:val="Header"/>
    <w:uiPriority w:val="99"/>
    <w:rsid w:val="008F46B6"/>
    <w:rPr>
      <w:rFonts w:ascii="Times New Roman" w:hAnsi="Times New Roman"/>
    </w:rPr>
  </w:style>
  <w:style w:type="paragraph" w:styleId="Footer">
    <w:name w:val="footer"/>
    <w:basedOn w:val="Normal"/>
    <w:link w:val="FooterChar"/>
    <w:uiPriority w:val="99"/>
    <w:unhideWhenUsed/>
    <w:rsid w:val="008F46B6"/>
    <w:pPr>
      <w:tabs>
        <w:tab w:val="center" w:pos="4680"/>
        <w:tab w:val="right" w:pos="9360"/>
      </w:tabs>
    </w:pPr>
  </w:style>
  <w:style w:type="character" w:customStyle="1" w:styleId="FooterChar">
    <w:name w:val="Footer Char"/>
    <w:basedOn w:val="DefaultParagraphFont"/>
    <w:link w:val="Footer"/>
    <w:uiPriority w:val="99"/>
    <w:rsid w:val="008F46B6"/>
    <w:rPr>
      <w:rFonts w:ascii="Times New Roman" w:hAnsi="Times New Roman"/>
    </w:rPr>
  </w:style>
  <w:style w:type="paragraph" w:styleId="TOCHeading">
    <w:name w:val="TOC Heading"/>
    <w:basedOn w:val="Heading1"/>
    <w:next w:val="Normal"/>
    <w:uiPriority w:val="39"/>
    <w:unhideWhenUsed/>
    <w:qFormat/>
    <w:rsid w:val="00A04788"/>
    <w:pPr>
      <w:spacing w:before="240" w:line="259" w:lineRule="auto"/>
      <w:outlineLvl w:val="9"/>
    </w:pPr>
    <w:rPr>
      <w:b w:val="0"/>
      <w:bCs w:val="0"/>
      <w:sz w:val="32"/>
      <w:szCs w:val="32"/>
    </w:rPr>
  </w:style>
  <w:style w:type="table" w:styleId="LightList">
    <w:name w:val="Light List"/>
    <w:basedOn w:val="TableNormal"/>
    <w:uiPriority w:val="61"/>
    <w:rsid w:val="005D345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Pa6">
    <w:name w:val="Pa6"/>
    <w:basedOn w:val="Default"/>
    <w:next w:val="Default"/>
    <w:uiPriority w:val="99"/>
    <w:rsid w:val="004E17D2"/>
    <w:pPr>
      <w:spacing w:line="221" w:lineRule="atLeast"/>
    </w:pPr>
    <w:rPr>
      <w:rFonts w:ascii="Adobe Garamond Pro" w:hAnsi="Adobe Garamond Pro" w:cstheme="minorBidi"/>
      <w:color w:val="auto"/>
    </w:rPr>
  </w:style>
  <w:style w:type="paragraph" w:customStyle="1" w:styleId="Pa11">
    <w:name w:val="Pa11"/>
    <w:basedOn w:val="Default"/>
    <w:next w:val="Default"/>
    <w:uiPriority w:val="99"/>
    <w:rsid w:val="004E17D2"/>
    <w:pPr>
      <w:spacing w:line="221" w:lineRule="atLeast"/>
    </w:pPr>
    <w:rPr>
      <w:rFonts w:ascii="Adobe Garamond Pro" w:hAnsi="Adobe Garamond Pro" w:cstheme="minorBidi"/>
      <w:color w:val="auto"/>
    </w:rPr>
  </w:style>
  <w:style w:type="character" w:customStyle="1" w:styleId="A10">
    <w:name w:val="A10"/>
    <w:uiPriority w:val="99"/>
    <w:rsid w:val="004E17D2"/>
    <w:rPr>
      <w:rFonts w:cs="Adobe Garamond Pro"/>
      <w:color w:val="000000"/>
      <w:sz w:val="22"/>
      <w:szCs w:val="22"/>
    </w:rPr>
  </w:style>
  <w:style w:type="paragraph" w:customStyle="1" w:styleId="Pa0">
    <w:name w:val="Pa0"/>
    <w:basedOn w:val="Default"/>
    <w:next w:val="Default"/>
    <w:uiPriority w:val="99"/>
    <w:rsid w:val="002D2E4A"/>
    <w:pPr>
      <w:spacing w:line="521" w:lineRule="atLeast"/>
    </w:pPr>
    <w:rPr>
      <w:rFonts w:ascii="Adobe Garamond Pro" w:hAnsi="Adobe Garamond Pro" w:cstheme="minorBidi"/>
      <w:color w:val="auto"/>
    </w:rPr>
  </w:style>
  <w:style w:type="paragraph" w:customStyle="1" w:styleId="Pa2">
    <w:name w:val="Pa2"/>
    <w:basedOn w:val="Default"/>
    <w:next w:val="Default"/>
    <w:uiPriority w:val="99"/>
    <w:rsid w:val="002D2E4A"/>
    <w:pPr>
      <w:spacing w:line="221" w:lineRule="atLeast"/>
    </w:pPr>
    <w:rPr>
      <w:rFonts w:ascii="Adobe Garamond Pro" w:hAnsi="Adobe Garamond Pro" w:cstheme="minorBidi"/>
      <w:color w:val="auto"/>
    </w:rPr>
  </w:style>
  <w:style w:type="paragraph" w:customStyle="1" w:styleId="Pa3">
    <w:name w:val="Pa3"/>
    <w:basedOn w:val="Default"/>
    <w:next w:val="Default"/>
    <w:uiPriority w:val="99"/>
    <w:rsid w:val="00AE4375"/>
    <w:pPr>
      <w:spacing w:line="281" w:lineRule="atLeast"/>
    </w:pPr>
    <w:rPr>
      <w:rFonts w:ascii="Adobe Garamond Pro" w:hAnsi="Adobe Garamond Pro" w:cstheme="minorBidi"/>
      <w:color w:val="auto"/>
    </w:rPr>
  </w:style>
  <w:style w:type="paragraph" w:customStyle="1" w:styleId="Style1">
    <w:name w:val="Style1"/>
    <w:basedOn w:val="Normal"/>
    <w:rsid w:val="00341BD5"/>
    <w:pPr>
      <w:numPr>
        <w:numId w:val="3"/>
      </w:numPr>
    </w:pPr>
    <w:rPr>
      <w:rFonts w:ascii="Garamond" w:eastAsia="Times New Roman" w:hAnsi="Garamond" w:cs="Times New Roman"/>
      <w:sz w:val="24"/>
      <w:szCs w:val="24"/>
      <w:lang w:val="en-AU"/>
    </w:rPr>
  </w:style>
  <w:style w:type="paragraph" w:customStyle="1" w:styleId="main">
    <w:name w:val="main"/>
    <w:basedOn w:val="Normal"/>
    <w:qFormat/>
    <w:rsid w:val="009E08E4"/>
    <w:pPr>
      <w:spacing w:after="240"/>
      <w:jc w:val="both"/>
    </w:pPr>
    <w:rPr>
      <w:rFonts w:cs="Arial"/>
      <w:kern w:val="32"/>
      <w:szCs w:val="32"/>
    </w:rPr>
  </w:style>
  <w:style w:type="paragraph" w:styleId="NoSpacing">
    <w:name w:val="No Spacing"/>
    <w:uiPriority w:val="1"/>
    <w:qFormat/>
    <w:rsid w:val="00A207B1"/>
    <w:pPr>
      <w:spacing w:after="0" w:line="240" w:lineRule="auto"/>
    </w:pPr>
    <w:rPr>
      <w:rFonts w:ascii="Times New Roman" w:hAnsi="Times New Roman"/>
    </w:rPr>
  </w:style>
  <w:style w:type="paragraph" w:styleId="TableofFigures">
    <w:name w:val="table of figures"/>
    <w:basedOn w:val="Normal"/>
    <w:next w:val="Normal"/>
    <w:uiPriority w:val="99"/>
    <w:unhideWhenUsed/>
    <w:rsid w:val="00D95B7F"/>
  </w:style>
  <w:style w:type="paragraph" w:customStyle="1" w:styleId="SH">
    <w:name w:val="SH"/>
    <w:basedOn w:val="Normal"/>
    <w:link w:val="SHChar"/>
    <w:qFormat/>
    <w:rsid w:val="00A27AF4"/>
    <w:pPr>
      <w:spacing w:after="200"/>
      <w:jc w:val="both"/>
    </w:pPr>
    <w:rPr>
      <w:rFonts w:cs="Times New Roman"/>
      <w:b/>
    </w:rPr>
  </w:style>
  <w:style w:type="character" w:customStyle="1" w:styleId="SHChar">
    <w:name w:val="SH Char"/>
    <w:basedOn w:val="DefaultParagraphFont"/>
    <w:link w:val="SH"/>
    <w:rsid w:val="00A27AF4"/>
    <w:rPr>
      <w:rFonts w:ascii="Times New Roman" w:hAnsi="Times New Roman" w:cs="Times New Roman"/>
      <w:b/>
    </w:rPr>
  </w:style>
  <w:style w:type="paragraph" w:customStyle="1" w:styleId="Amain0">
    <w:name w:val="Amain"/>
    <w:basedOn w:val="Normal"/>
    <w:link w:val="AmainChar0"/>
    <w:qFormat/>
    <w:rsid w:val="00A27AF4"/>
    <w:pPr>
      <w:spacing w:after="120" w:line="276" w:lineRule="auto"/>
      <w:jc w:val="both"/>
    </w:pPr>
    <w:rPr>
      <w:rFonts w:cs="Arial"/>
      <w:kern w:val="32"/>
      <w:szCs w:val="32"/>
    </w:rPr>
  </w:style>
  <w:style w:type="character" w:customStyle="1" w:styleId="AmainChar0">
    <w:name w:val="Amain Char"/>
    <w:basedOn w:val="DefaultParagraphFont"/>
    <w:link w:val="Amain0"/>
    <w:rsid w:val="00A27AF4"/>
    <w:rPr>
      <w:rFonts w:ascii="Times New Roman" w:hAnsi="Times New Roman" w:cs="Arial"/>
      <w:kern w:val="32"/>
      <w:szCs w:val="32"/>
    </w:rPr>
  </w:style>
  <w:style w:type="paragraph" w:customStyle="1" w:styleId="Abull">
    <w:name w:val="Abull"/>
    <w:basedOn w:val="Amain0"/>
    <w:link w:val="AbullChar"/>
    <w:qFormat/>
    <w:rsid w:val="00A27AF4"/>
    <w:pPr>
      <w:numPr>
        <w:numId w:val="17"/>
      </w:numPr>
    </w:pPr>
  </w:style>
  <w:style w:type="character" w:customStyle="1" w:styleId="AbullChar">
    <w:name w:val="Abull Char"/>
    <w:basedOn w:val="AmainChar0"/>
    <w:link w:val="Abull"/>
    <w:rsid w:val="00A27AF4"/>
    <w:rPr>
      <w:rFonts w:ascii="Times New Roman" w:hAnsi="Times New Roman" w:cs="Arial"/>
      <w:kern w:val="32"/>
      <w:szCs w:val="32"/>
    </w:rPr>
  </w:style>
  <w:style w:type="character" w:styleId="PageNumber">
    <w:name w:val="page number"/>
    <w:basedOn w:val="DefaultParagraphFont"/>
    <w:uiPriority w:val="99"/>
    <w:semiHidden/>
    <w:unhideWhenUsed/>
    <w:rsid w:val="00A27AF4"/>
  </w:style>
  <w:style w:type="paragraph" w:customStyle="1" w:styleId="AbulP">
    <w:name w:val="AbulP"/>
    <w:basedOn w:val="Normal"/>
    <w:link w:val="AbulPChar"/>
    <w:qFormat/>
    <w:rsid w:val="00A27AF4"/>
    <w:pPr>
      <w:numPr>
        <w:numId w:val="18"/>
      </w:numPr>
      <w:spacing w:after="120"/>
      <w:jc w:val="both"/>
    </w:pPr>
    <w:rPr>
      <w:rFonts w:ascii="CMU Serif Roman" w:hAnsi="CMU Serif Roman" w:cs="Times New Roman"/>
      <w:lang w:val="en-GB"/>
    </w:rPr>
  </w:style>
  <w:style w:type="character" w:customStyle="1" w:styleId="AbulPChar">
    <w:name w:val="AbulP Char"/>
    <w:basedOn w:val="ListParagraphChar"/>
    <w:link w:val="AbulP"/>
    <w:rsid w:val="00A27AF4"/>
    <w:rPr>
      <w:rFonts w:ascii="CMU Serif Roman" w:hAnsi="CMU Serif Roman" w:cs="Times New Roman"/>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3F1F"/>
    <w:pPr>
      <w:spacing w:after="0" w:line="240" w:lineRule="auto"/>
    </w:pPr>
    <w:rPr>
      <w:rFonts w:ascii="Times New Roman" w:hAnsi="Times New Roman"/>
    </w:rPr>
  </w:style>
  <w:style w:type="paragraph" w:styleId="Heading1">
    <w:name w:val="heading 1"/>
    <w:basedOn w:val="Normal"/>
    <w:next w:val="Normal"/>
    <w:link w:val="Heading1Char"/>
    <w:uiPriority w:val="9"/>
    <w:qFormat/>
    <w:rsid w:val="00CF790A"/>
    <w:pPr>
      <w:keepNext/>
      <w:keepLines/>
      <w:numPr>
        <w:numId w:val="9"/>
      </w:numPr>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74B2F"/>
    <w:pPr>
      <w:keepNext/>
      <w:keepLines/>
      <w:numPr>
        <w:numId w:val="22"/>
      </w:numPr>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autoRedefine/>
    <w:uiPriority w:val="9"/>
    <w:unhideWhenUsed/>
    <w:qFormat/>
    <w:rsid w:val="00B11094"/>
    <w:pPr>
      <w:keepNext/>
      <w:keepLines/>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961C8E"/>
    <w:pPr>
      <w:keepNext/>
      <w:keepLines/>
      <w:outlineLvl w:val="3"/>
    </w:pPr>
    <w:rPr>
      <w:rFonts w:eastAsiaTheme="majorEastAsia" w:cs="Times New Roman"/>
      <w:bCs/>
      <w:iCs/>
      <w:u w:val="single"/>
      <w:lang w:val="en-AU"/>
    </w:rPr>
  </w:style>
  <w:style w:type="paragraph" w:styleId="Heading5">
    <w:name w:val="heading 5"/>
    <w:basedOn w:val="Normal"/>
    <w:next w:val="Normal"/>
    <w:link w:val="Heading5Char"/>
    <w:uiPriority w:val="9"/>
    <w:unhideWhenUsed/>
    <w:qFormat/>
    <w:rsid w:val="00BC49C8"/>
    <w:pPr>
      <w:keepNext/>
      <w:keepLines/>
      <w:outlineLvl w:val="4"/>
    </w:pPr>
    <w:rPr>
      <w:rFonts w:eastAsiaTheme="majorEastAsia" w:cs="Times New Roman"/>
      <w:i/>
    </w:rPr>
  </w:style>
  <w:style w:type="paragraph" w:styleId="Heading6">
    <w:name w:val="heading 6"/>
    <w:basedOn w:val="Normal"/>
    <w:next w:val="Normal"/>
    <w:link w:val="Heading6Char"/>
    <w:uiPriority w:val="9"/>
    <w:semiHidden/>
    <w:unhideWhenUsed/>
    <w:qFormat/>
    <w:rsid w:val="004C408E"/>
    <w:pPr>
      <w:keepNext/>
      <w:keepLines/>
      <w:spacing w:before="120" w:after="12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4C408E"/>
    <w:pPr>
      <w:keepNext/>
      <w:keepLines/>
      <w:spacing w:before="200"/>
      <w:ind w:left="432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C408E"/>
    <w:pPr>
      <w:keepNext/>
      <w:keepLines/>
      <w:spacing w:before="200"/>
      <w:ind w:left="504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4C408E"/>
    <w:pPr>
      <w:keepNext/>
      <w:keepLines/>
      <w:spacing w:before="200"/>
      <w:ind w:left="576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790A"/>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1417DF"/>
    <w:rPr>
      <w:color w:val="0000FF" w:themeColor="hyperlink"/>
      <w:u w:val="single"/>
    </w:rPr>
  </w:style>
  <w:style w:type="table" w:styleId="TableGrid">
    <w:name w:val="Table Grid"/>
    <w:basedOn w:val="TableNormal"/>
    <w:uiPriority w:val="59"/>
    <w:rsid w:val="00FE6F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2E19B7"/>
    <w:pPr>
      <w:ind w:left="720"/>
      <w:contextualSpacing/>
    </w:pPr>
  </w:style>
  <w:style w:type="character" w:customStyle="1" w:styleId="Heading2Char">
    <w:name w:val="Heading 2 Char"/>
    <w:basedOn w:val="DefaultParagraphFont"/>
    <w:link w:val="Heading2"/>
    <w:uiPriority w:val="9"/>
    <w:rsid w:val="00674B2F"/>
    <w:rPr>
      <w:rFonts w:asciiTheme="majorHAnsi" w:eastAsiaTheme="majorEastAsia" w:hAnsiTheme="majorHAnsi" w:cstheme="majorBidi"/>
      <w:b/>
      <w:bCs/>
      <w:color w:val="4F81BD" w:themeColor="accent1"/>
      <w:sz w:val="26"/>
      <w:szCs w:val="26"/>
    </w:rPr>
  </w:style>
  <w:style w:type="paragraph" w:styleId="FootnoteText">
    <w:name w:val="footnote text"/>
    <w:aliases w:val="Note de bas de page Car, Car,Fußnote RiLiDick,Fußnote RiLiDick Char,Fußnotentext1,single space,footnote text,Footnote,text,Texto nota pie Car,fn,ft,FOOTNOTES,ADB,WB-Fußnotentext,Fußnote,WB-Fuﬂnotentext,Fuﬂnote,ALTS FOOTNOTE,f,Car"/>
    <w:basedOn w:val="Normal"/>
    <w:link w:val="FootnoteTextChar"/>
    <w:uiPriority w:val="99"/>
    <w:unhideWhenUsed/>
    <w:qFormat/>
    <w:rsid w:val="00267F8F"/>
    <w:rPr>
      <w:rFonts w:asciiTheme="minorHAnsi" w:hAnsiTheme="minorHAnsi" w:cs="Times New Roman"/>
      <w:sz w:val="20"/>
      <w:szCs w:val="20"/>
      <w:lang w:bidi="en-US"/>
    </w:rPr>
  </w:style>
  <w:style w:type="character" w:customStyle="1" w:styleId="FootnoteTextChar">
    <w:name w:val="Footnote Text Char"/>
    <w:aliases w:val="Note de bas de page Car Char, Car Char,Fußnote RiLiDick Char1,Fußnote RiLiDick Char Char,Fußnotentext1 Char,single space Char,footnote text Char,Footnote Char,text Char,Texto nota pie Car Char,fn Char,ft Char,FOOTNOTES Char,ADB Char"/>
    <w:basedOn w:val="DefaultParagraphFont"/>
    <w:link w:val="FootnoteText"/>
    <w:uiPriority w:val="99"/>
    <w:rsid w:val="00267F8F"/>
    <w:rPr>
      <w:rFonts w:cs="Times New Roman"/>
      <w:sz w:val="20"/>
      <w:szCs w:val="20"/>
      <w:lang w:bidi="en-US"/>
    </w:rPr>
  </w:style>
  <w:style w:type="character" w:styleId="FootnoteReference">
    <w:name w:val="footnote reference"/>
    <w:aliases w:val="16 Point,Superscript 6 Point,ftref, BVI fnr,BVI fnr,Знак сноски-FN,Footnote Reference Superscript,Footnote symbol,???? ??????-FN,Footnote Reference Number,Footnote Reference_LVL6,Footnote Reference_LVL61,Footnote Reference_LVL62,fr"/>
    <w:basedOn w:val="DefaultParagraphFont"/>
    <w:uiPriority w:val="99"/>
    <w:unhideWhenUsed/>
    <w:rsid w:val="00267F8F"/>
    <w:rPr>
      <w:vertAlign w:val="superscript"/>
    </w:rPr>
  </w:style>
  <w:style w:type="paragraph" w:styleId="EndnoteText">
    <w:name w:val="endnote text"/>
    <w:basedOn w:val="Normal"/>
    <w:link w:val="EndnoteTextChar"/>
    <w:uiPriority w:val="99"/>
    <w:unhideWhenUsed/>
    <w:rsid w:val="00267F8F"/>
    <w:rPr>
      <w:rFonts w:asciiTheme="minorHAnsi" w:eastAsiaTheme="minorEastAsia" w:hAnsiTheme="minorHAnsi"/>
      <w:sz w:val="20"/>
      <w:szCs w:val="20"/>
      <w:lang w:val="en-GB"/>
    </w:rPr>
  </w:style>
  <w:style w:type="character" w:customStyle="1" w:styleId="EndnoteTextChar">
    <w:name w:val="Endnote Text Char"/>
    <w:basedOn w:val="DefaultParagraphFont"/>
    <w:link w:val="EndnoteText"/>
    <w:uiPriority w:val="99"/>
    <w:rsid w:val="00267F8F"/>
    <w:rPr>
      <w:rFonts w:eastAsiaTheme="minorEastAsia"/>
      <w:sz w:val="20"/>
      <w:szCs w:val="20"/>
      <w:lang w:val="en-GB"/>
    </w:rPr>
  </w:style>
  <w:style w:type="character" w:styleId="EndnoteReference">
    <w:name w:val="endnote reference"/>
    <w:basedOn w:val="DefaultParagraphFont"/>
    <w:uiPriority w:val="99"/>
    <w:semiHidden/>
    <w:unhideWhenUsed/>
    <w:rsid w:val="00267F8F"/>
    <w:rPr>
      <w:vertAlign w:val="superscript"/>
    </w:rPr>
  </w:style>
  <w:style w:type="table" w:customStyle="1" w:styleId="TableGrid1">
    <w:name w:val="Table Grid1"/>
    <w:basedOn w:val="TableNormal"/>
    <w:next w:val="TableGrid"/>
    <w:uiPriority w:val="59"/>
    <w:rsid w:val="008E4B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8E4B9A"/>
    <w:rPr>
      <w:b w:val="0"/>
      <w:bCs w:val="0"/>
      <w:i w:val="0"/>
      <w:iCs w:val="0"/>
    </w:rPr>
  </w:style>
  <w:style w:type="character" w:customStyle="1" w:styleId="Heading3Char">
    <w:name w:val="Heading 3 Char"/>
    <w:basedOn w:val="DefaultParagraphFont"/>
    <w:link w:val="Heading3"/>
    <w:uiPriority w:val="9"/>
    <w:rsid w:val="00B11094"/>
    <w:rPr>
      <w:rFonts w:asciiTheme="majorHAnsi" w:eastAsiaTheme="majorEastAsia" w:hAnsiTheme="majorHAnsi" w:cstheme="majorBidi"/>
      <w:b/>
      <w:bCs/>
      <w:color w:val="4F81BD" w:themeColor="accent1"/>
    </w:rPr>
  </w:style>
  <w:style w:type="paragraph" w:styleId="TOC2">
    <w:name w:val="toc 2"/>
    <w:basedOn w:val="Normal"/>
    <w:next w:val="Normal"/>
    <w:autoRedefine/>
    <w:uiPriority w:val="39"/>
    <w:unhideWhenUsed/>
    <w:rsid w:val="0061018A"/>
    <w:pPr>
      <w:tabs>
        <w:tab w:val="left" w:pos="1170"/>
        <w:tab w:val="right" w:leader="dot" w:pos="9350"/>
      </w:tabs>
      <w:ind w:left="806" w:hanging="590"/>
    </w:pPr>
    <w:rPr>
      <w:noProof/>
    </w:rPr>
  </w:style>
  <w:style w:type="paragraph" w:styleId="TOC3">
    <w:name w:val="toc 3"/>
    <w:basedOn w:val="Normal"/>
    <w:next w:val="Normal"/>
    <w:autoRedefine/>
    <w:uiPriority w:val="39"/>
    <w:unhideWhenUsed/>
    <w:rsid w:val="0061018A"/>
    <w:pPr>
      <w:tabs>
        <w:tab w:val="right" w:leader="dot" w:pos="9350"/>
      </w:tabs>
      <w:ind w:left="1166"/>
    </w:pPr>
    <w:rPr>
      <w:noProof/>
      <w:sz w:val="20"/>
      <w:szCs w:val="20"/>
    </w:rPr>
  </w:style>
  <w:style w:type="paragraph" w:customStyle="1" w:styleId="Default">
    <w:name w:val="Default"/>
    <w:rsid w:val="00F84E43"/>
    <w:pPr>
      <w:autoSpaceDE w:val="0"/>
      <w:autoSpaceDN w:val="0"/>
      <w:adjustRightInd w:val="0"/>
      <w:spacing w:after="0" w:line="240" w:lineRule="auto"/>
    </w:pPr>
    <w:rPr>
      <w:rFonts w:ascii="Calibri" w:hAnsi="Calibri" w:cs="Calibri"/>
      <w:color w:val="000000"/>
      <w:sz w:val="24"/>
      <w:szCs w:val="24"/>
    </w:rPr>
  </w:style>
  <w:style w:type="character" w:customStyle="1" w:styleId="Heading4Char">
    <w:name w:val="Heading 4 Char"/>
    <w:basedOn w:val="DefaultParagraphFont"/>
    <w:link w:val="Heading4"/>
    <w:uiPriority w:val="9"/>
    <w:rsid w:val="00961C8E"/>
    <w:rPr>
      <w:rFonts w:ascii="Times New Roman" w:eastAsiaTheme="majorEastAsia" w:hAnsi="Times New Roman" w:cs="Times New Roman"/>
      <w:bCs/>
      <w:iCs/>
      <w:u w:val="single"/>
      <w:lang w:val="en-AU"/>
    </w:rPr>
  </w:style>
  <w:style w:type="character" w:customStyle="1" w:styleId="Heading5Char">
    <w:name w:val="Heading 5 Char"/>
    <w:basedOn w:val="DefaultParagraphFont"/>
    <w:link w:val="Heading5"/>
    <w:uiPriority w:val="9"/>
    <w:rsid w:val="00BC49C8"/>
    <w:rPr>
      <w:rFonts w:ascii="Times New Roman" w:eastAsiaTheme="majorEastAsia" w:hAnsi="Times New Roman" w:cs="Times New Roman"/>
      <w:i/>
    </w:rPr>
  </w:style>
  <w:style w:type="character" w:customStyle="1" w:styleId="Heading6Char">
    <w:name w:val="Heading 6 Char"/>
    <w:basedOn w:val="DefaultParagraphFont"/>
    <w:link w:val="Heading6"/>
    <w:uiPriority w:val="9"/>
    <w:semiHidden/>
    <w:rsid w:val="004C408E"/>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4C408E"/>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4C408E"/>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4C408E"/>
    <w:rPr>
      <w:rFonts w:asciiTheme="majorHAnsi" w:eastAsiaTheme="majorEastAsia" w:hAnsiTheme="majorHAnsi" w:cstheme="majorBidi"/>
      <w:i/>
      <w:iCs/>
      <w:color w:val="404040" w:themeColor="text1" w:themeTint="BF"/>
      <w:sz w:val="20"/>
      <w:szCs w:val="20"/>
    </w:rPr>
  </w:style>
  <w:style w:type="paragraph" w:styleId="CommentText">
    <w:name w:val="annotation text"/>
    <w:basedOn w:val="Normal"/>
    <w:link w:val="CommentTextChar"/>
    <w:uiPriority w:val="99"/>
    <w:semiHidden/>
    <w:unhideWhenUsed/>
    <w:rsid w:val="004C408E"/>
    <w:rPr>
      <w:rFonts w:asciiTheme="minorHAnsi" w:hAnsiTheme="minorHAnsi"/>
      <w:sz w:val="20"/>
      <w:szCs w:val="20"/>
    </w:rPr>
  </w:style>
  <w:style w:type="character" w:customStyle="1" w:styleId="CommentTextChar">
    <w:name w:val="Comment Text Char"/>
    <w:basedOn w:val="DefaultParagraphFont"/>
    <w:link w:val="CommentText"/>
    <w:uiPriority w:val="99"/>
    <w:semiHidden/>
    <w:rsid w:val="004C408E"/>
    <w:rPr>
      <w:sz w:val="20"/>
      <w:szCs w:val="20"/>
    </w:rPr>
  </w:style>
  <w:style w:type="paragraph" w:customStyle="1" w:styleId="Bulletpar">
    <w:name w:val="Bullet par"/>
    <w:basedOn w:val="ListParagraph"/>
    <w:qFormat/>
    <w:rsid w:val="004C408E"/>
    <w:pPr>
      <w:numPr>
        <w:numId w:val="1"/>
      </w:numPr>
      <w:tabs>
        <w:tab w:val="num" w:pos="360"/>
      </w:tabs>
      <w:spacing w:before="200"/>
      <w:ind w:firstLine="0"/>
      <w:contextualSpacing w:val="0"/>
      <w:jc w:val="both"/>
    </w:pPr>
    <w:rPr>
      <w:rFonts w:cs="Times New Roman"/>
    </w:rPr>
  </w:style>
  <w:style w:type="character" w:customStyle="1" w:styleId="NumParChar">
    <w:name w:val="NumPar Char"/>
    <w:basedOn w:val="DefaultParagraphFont"/>
    <w:link w:val="NumPar"/>
    <w:locked/>
    <w:rsid w:val="004C408E"/>
    <w:rPr>
      <w:rFonts w:ascii="Times New Roman" w:hAnsi="Times New Roman" w:cs="Times New Roman"/>
      <w:color w:val="000000" w:themeColor="text1"/>
    </w:rPr>
  </w:style>
  <w:style w:type="paragraph" w:customStyle="1" w:styleId="NumPar">
    <w:name w:val="NumPar"/>
    <w:basedOn w:val="ListParagraph"/>
    <w:link w:val="NumParChar"/>
    <w:qFormat/>
    <w:rsid w:val="004C408E"/>
    <w:pPr>
      <w:numPr>
        <w:numId w:val="2"/>
      </w:numPr>
      <w:spacing w:before="200"/>
      <w:contextualSpacing w:val="0"/>
      <w:jc w:val="both"/>
    </w:pPr>
    <w:rPr>
      <w:rFonts w:cs="Times New Roman"/>
      <w:color w:val="000000" w:themeColor="text1"/>
    </w:rPr>
  </w:style>
  <w:style w:type="character" w:styleId="CommentReference">
    <w:name w:val="annotation reference"/>
    <w:basedOn w:val="DefaultParagraphFont"/>
    <w:uiPriority w:val="99"/>
    <w:semiHidden/>
    <w:unhideWhenUsed/>
    <w:rsid w:val="004C408E"/>
    <w:rPr>
      <w:sz w:val="16"/>
      <w:szCs w:val="16"/>
    </w:rPr>
  </w:style>
  <w:style w:type="paragraph" w:styleId="BalloonText">
    <w:name w:val="Balloon Text"/>
    <w:basedOn w:val="Normal"/>
    <w:link w:val="BalloonTextChar"/>
    <w:uiPriority w:val="99"/>
    <w:semiHidden/>
    <w:unhideWhenUsed/>
    <w:rsid w:val="004C408E"/>
    <w:rPr>
      <w:rFonts w:ascii="Tahoma" w:hAnsi="Tahoma" w:cs="Tahoma"/>
      <w:sz w:val="16"/>
      <w:szCs w:val="16"/>
    </w:rPr>
  </w:style>
  <w:style w:type="character" w:customStyle="1" w:styleId="BalloonTextChar">
    <w:name w:val="Balloon Text Char"/>
    <w:basedOn w:val="DefaultParagraphFont"/>
    <w:link w:val="BalloonText"/>
    <w:uiPriority w:val="99"/>
    <w:semiHidden/>
    <w:rsid w:val="004C408E"/>
    <w:rPr>
      <w:rFonts w:ascii="Tahoma" w:hAnsi="Tahoma" w:cs="Tahoma"/>
      <w:sz w:val="16"/>
      <w:szCs w:val="16"/>
    </w:rPr>
  </w:style>
  <w:style w:type="character" w:customStyle="1" w:styleId="ListParagraphChar">
    <w:name w:val="List Paragraph Char"/>
    <w:basedOn w:val="DefaultParagraphFont"/>
    <w:link w:val="ListParagraph"/>
    <w:uiPriority w:val="34"/>
    <w:locked/>
    <w:rsid w:val="004C408E"/>
    <w:rPr>
      <w:rFonts w:ascii="Times New Roman" w:hAnsi="Times New Roman"/>
    </w:rPr>
  </w:style>
  <w:style w:type="paragraph" w:styleId="Caption">
    <w:name w:val="caption"/>
    <w:basedOn w:val="Normal"/>
    <w:next w:val="Normal"/>
    <w:uiPriority w:val="35"/>
    <w:qFormat/>
    <w:rsid w:val="00BA706F"/>
    <w:rPr>
      <w:rFonts w:eastAsia="MS Mincho" w:cs="Times New Roman"/>
      <w:b/>
      <w:bCs/>
      <w:sz w:val="20"/>
      <w:szCs w:val="20"/>
    </w:rPr>
  </w:style>
  <w:style w:type="paragraph" w:styleId="NormalWeb">
    <w:name w:val="Normal (Web)"/>
    <w:basedOn w:val="Normal"/>
    <w:uiPriority w:val="99"/>
    <w:unhideWhenUsed/>
    <w:rsid w:val="002F3A58"/>
    <w:pPr>
      <w:spacing w:before="100" w:beforeAutospacing="1" w:after="100" w:afterAutospacing="1"/>
    </w:pPr>
    <w:rPr>
      <w:rFonts w:eastAsia="Times New Roman" w:cs="Times New Roman"/>
      <w:sz w:val="24"/>
      <w:szCs w:val="24"/>
    </w:rPr>
  </w:style>
  <w:style w:type="paragraph" w:customStyle="1" w:styleId="Pa1">
    <w:name w:val="Pa1"/>
    <w:basedOn w:val="Default"/>
    <w:next w:val="Default"/>
    <w:uiPriority w:val="99"/>
    <w:rsid w:val="004E3191"/>
    <w:pPr>
      <w:spacing w:line="241" w:lineRule="atLeast"/>
    </w:pPr>
    <w:rPr>
      <w:rFonts w:cstheme="minorBidi"/>
      <w:color w:val="auto"/>
    </w:rPr>
  </w:style>
  <w:style w:type="character" w:customStyle="1" w:styleId="A1">
    <w:name w:val="A1"/>
    <w:uiPriority w:val="99"/>
    <w:rsid w:val="004E3191"/>
    <w:rPr>
      <w:rFonts w:cs="Calibri"/>
      <w:b/>
      <w:bCs/>
      <w:color w:val="000000"/>
      <w:sz w:val="69"/>
      <w:szCs w:val="69"/>
    </w:rPr>
  </w:style>
  <w:style w:type="character" w:customStyle="1" w:styleId="A4">
    <w:name w:val="A4"/>
    <w:uiPriority w:val="99"/>
    <w:rsid w:val="004E3191"/>
    <w:rPr>
      <w:rFonts w:cs="Calibri"/>
      <w:color w:val="000000"/>
      <w:sz w:val="21"/>
      <w:szCs w:val="21"/>
    </w:rPr>
  </w:style>
  <w:style w:type="character" w:customStyle="1" w:styleId="citation">
    <w:name w:val="citation"/>
    <w:basedOn w:val="DefaultParagraphFont"/>
    <w:rsid w:val="006077C7"/>
  </w:style>
  <w:style w:type="character" w:styleId="Emphasis">
    <w:name w:val="Emphasis"/>
    <w:basedOn w:val="DefaultParagraphFont"/>
    <w:uiPriority w:val="20"/>
    <w:qFormat/>
    <w:rsid w:val="007941B0"/>
    <w:rPr>
      <w:i/>
      <w:iCs/>
    </w:rPr>
  </w:style>
  <w:style w:type="paragraph" w:styleId="TOC1">
    <w:name w:val="toc 1"/>
    <w:basedOn w:val="Normal"/>
    <w:next w:val="Normal"/>
    <w:autoRedefine/>
    <w:uiPriority w:val="39"/>
    <w:unhideWhenUsed/>
    <w:rsid w:val="0061018A"/>
    <w:pPr>
      <w:tabs>
        <w:tab w:val="left" w:pos="540"/>
        <w:tab w:val="left" w:pos="630"/>
        <w:tab w:val="right" w:leader="dot" w:pos="9350"/>
      </w:tabs>
    </w:pPr>
    <w:rPr>
      <w:b/>
      <w:noProof/>
    </w:rPr>
  </w:style>
  <w:style w:type="character" w:styleId="FollowedHyperlink">
    <w:name w:val="FollowedHyperlink"/>
    <w:basedOn w:val="DefaultParagraphFont"/>
    <w:uiPriority w:val="99"/>
    <w:semiHidden/>
    <w:unhideWhenUsed/>
    <w:rsid w:val="00B0420F"/>
    <w:rPr>
      <w:color w:val="800080" w:themeColor="followedHyperlink"/>
      <w:u w:val="single"/>
    </w:rPr>
  </w:style>
  <w:style w:type="paragraph" w:customStyle="1" w:styleId="AMAIN">
    <w:name w:val="AMAIN"/>
    <w:basedOn w:val="Normal"/>
    <w:link w:val="AMAINChar"/>
    <w:qFormat/>
    <w:rsid w:val="005F24C3"/>
    <w:pPr>
      <w:widowControl w:val="0"/>
      <w:spacing w:after="120"/>
      <w:jc w:val="both"/>
    </w:pPr>
    <w:rPr>
      <w:rFonts w:asciiTheme="majorHAnsi" w:hAnsiTheme="majorHAnsi" w:cstheme="majorHAnsi"/>
      <w:kern w:val="32"/>
      <w:szCs w:val="32"/>
    </w:rPr>
  </w:style>
  <w:style w:type="character" w:customStyle="1" w:styleId="AMAINChar">
    <w:name w:val="AMAIN Char"/>
    <w:basedOn w:val="DefaultParagraphFont"/>
    <w:link w:val="AMAIN"/>
    <w:rsid w:val="005F24C3"/>
    <w:rPr>
      <w:rFonts w:asciiTheme="majorHAnsi" w:hAnsiTheme="majorHAnsi" w:cstheme="majorHAnsi"/>
      <w:kern w:val="32"/>
      <w:szCs w:val="32"/>
    </w:rPr>
  </w:style>
  <w:style w:type="paragraph" w:customStyle="1" w:styleId="EndNoteBibliographyTitle">
    <w:name w:val="EndNote Bibliography Title"/>
    <w:basedOn w:val="Normal"/>
    <w:link w:val="EndNoteBibliographyTitleChar"/>
    <w:rsid w:val="00C5690B"/>
    <w:pPr>
      <w:jc w:val="center"/>
    </w:pPr>
    <w:rPr>
      <w:rFonts w:cs="Times New Roman"/>
      <w:noProof/>
    </w:rPr>
  </w:style>
  <w:style w:type="character" w:customStyle="1" w:styleId="EndNoteBibliographyTitleChar">
    <w:name w:val="EndNote Bibliography Title Char"/>
    <w:basedOn w:val="DefaultParagraphFont"/>
    <w:link w:val="EndNoteBibliographyTitle"/>
    <w:rsid w:val="00C5690B"/>
    <w:rPr>
      <w:rFonts w:ascii="Times New Roman" w:hAnsi="Times New Roman" w:cs="Times New Roman"/>
      <w:noProof/>
    </w:rPr>
  </w:style>
  <w:style w:type="paragraph" w:customStyle="1" w:styleId="EndNoteBibliography">
    <w:name w:val="EndNote Bibliography"/>
    <w:basedOn w:val="Normal"/>
    <w:link w:val="EndNoteBibliographyChar"/>
    <w:rsid w:val="00C5690B"/>
    <w:rPr>
      <w:rFonts w:cs="Times New Roman"/>
      <w:noProof/>
    </w:rPr>
  </w:style>
  <w:style w:type="character" w:customStyle="1" w:styleId="EndNoteBibliographyChar">
    <w:name w:val="EndNote Bibliography Char"/>
    <w:basedOn w:val="DefaultParagraphFont"/>
    <w:link w:val="EndNoteBibliography"/>
    <w:rsid w:val="00C5690B"/>
    <w:rPr>
      <w:rFonts w:ascii="Times New Roman" w:hAnsi="Times New Roman" w:cs="Times New Roman"/>
      <w:noProof/>
    </w:rPr>
  </w:style>
  <w:style w:type="paragraph" w:styleId="Header">
    <w:name w:val="header"/>
    <w:basedOn w:val="Normal"/>
    <w:link w:val="HeaderChar"/>
    <w:uiPriority w:val="99"/>
    <w:unhideWhenUsed/>
    <w:rsid w:val="008F46B6"/>
    <w:pPr>
      <w:tabs>
        <w:tab w:val="center" w:pos="4680"/>
        <w:tab w:val="right" w:pos="9360"/>
      </w:tabs>
    </w:pPr>
  </w:style>
  <w:style w:type="character" w:customStyle="1" w:styleId="HeaderChar">
    <w:name w:val="Header Char"/>
    <w:basedOn w:val="DefaultParagraphFont"/>
    <w:link w:val="Header"/>
    <w:uiPriority w:val="99"/>
    <w:rsid w:val="008F46B6"/>
    <w:rPr>
      <w:rFonts w:ascii="Times New Roman" w:hAnsi="Times New Roman"/>
    </w:rPr>
  </w:style>
  <w:style w:type="paragraph" w:styleId="Footer">
    <w:name w:val="footer"/>
    <w:basedOn w:val="Normal"/>
    <w:link w:val="FooterChar"/>
    <w:uiPriority w:val="99"/>
    <w:unhideWhenUsed/>
    <w:rsid w:val="008F46B6"/>
    <w:pPr>
      <w:tabs>
        <w:tab w:val="center" w:pos="4680"/>
        <w:tab w:val="right" w:pos="9360"/>
      </w:tabs>
    </w:pPr>
  </w:style>
  <w:style w:type="character" w:customStyle="1" w:styleId="FooterChar">
    <w:name w:val="Footer Char"/>
    <w:basedOn w:val="DefaultParagraphFont"/>
    <w:link w:val="Footer"/>
    <w:uiPriority w:val="99"/>
    <w:rsid w:val="008F46B6"/>
    <w:rPr>
      <w:rFonts w:ascii="Times New Roman" w:hAnsi="Times New Roman"/>
    </w:rPr>
  </w:style>
  <w:style w:type="paragraph" w:styleId="TOCHeading">
    <w:name w:val="TOC Heading"/>
    <w:basedOn w:val="Heading1"/>
    <w:next w:val="Normal"/>
    <w:uiPriority w:val="39"/>
    <w:unhideWhenUsed/>
    <w:qFormat/>
    <w:rsid w:val="00A04788"/>
    <w:pPr>
      <w:spacing w:before="240" w:line="259" w:lineRule="auto"/>
      <w:outlineLvl w:val="9"/>
    </w:pPr>
    <w:rPr>
      <w:b w:val="0"/>
      <w:bCs w:val="0"/>
      <w:sz w:val="32"/>
      <w:szCs w:val="32"/>
    </w:rPr>
  </w:style>
  <w:style w:type="table" w:styleId="LightList">
    <w:name w:val="Light List"/>
    <w:basedOn w:val="TableNormal"/>
    <w:uiPriority w:val="61"/>
    <w:rsid w:val="005D345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Pa6">
    <w:name w:val="Pa6"/>
    <w:basedOn w:val="Default"/>
    <w:next w:val="Default"/>
    <w:uiPriority w:val="99"/>
    <w:rsid w:val="004E17D2"/>
    <w:pPr>
      <w:spacing w:line="221" w:lineRule="atLeast"/>
    </w:pPr>
    <w:rPr>
      <w:rFonts w:ascii="Adobe Garamond Pro" w:hAnsi="Adobe Garamond Pro" w:cstheme="minorBidi"/>
      <w:color w:val="auto"/>
    </w:rPr>
  </w:style>
  <w:style w:type="paragraph" w:customStyle="1" w:styleId="Pa11">
    <w:name w:val="Pa11"/>
    <w:basedOn w:val="Default"/>
    <w:next w:val="Default"/>
    <w:uiPriority w:val="99"/>
    <w:rsid w:val="004E17D2"/>
    <w:pPr>
      <w:spacing w:line="221" w:lineRule="atLeast"/>
    </w:pPr>
    <w:rPr>
      <w:rFonts w:ascii="Adobe Garamond Pro" w:hAnsi="Adobe Garamond Pro" w:cstheme="minorBidi"/>
      <w:color w:val="auto"/>
    </w:rPr>
  </w:style>
  <w:style w:type="character" w:customStyle="1" w:styleId="A10">
    <w:name w:val="A10"/>
    <w:uiPriority w:val="99"/>
    <w:rsid w:val="004E17D2"/>
    <w:rPr>
      <w:rFonts w:cs="Adobe Garamond Pro"/>
      <w:color w:val="000000"/>
      <w:sz w:val="22"/>
      <w:szCs w:val="22"/>
    </w:rPr>
  </w:style>
  <w:style w:type="paragraph" w:customStyle="1" w:styleId="Pa0">
    <w:name w:val="Pa0"/>
    <w:basedOn w:val="Default"/>
    <w:next w:val="Default"/>
    <w:uiPriority w:val="99"/>
    <w:rsid w:val="002D2E4A"/>
    <w:pPr>
      <w:spacing w:line="521" w:lineRule="atLeast"/>
    </w:pPr>
    <w:rPr>
      <w:rFonts w:ascii="Adobe Garamond Pro" w:hAnsi="Adobe Garamond Pro" w:cstheme="minorBidi"/>
      <w:color w:val="auto"/>
    </w:rPr>
  </w:style>
  <w:style w:type="paragraph" w:customStyle="1" w:styleId="Pa2">
    <w:name w:val="Pa2"/>
    <w:basedOn w:val="Default"/>
    <w:next w:val="Default"/>
    <w:uiPriority w:val="99"/>
    <w:rsid w:val="002D2E4A"/>
    <w:pPr>
      <w:spacing w:line="221" w:lineRule="atLeast"/>
    </w:pPr>
    <w:rPr>
      <w:rFonts w:ascii="Adobe Garamond Pro" w:hAnsi="Adobe Garamond Pro" w:cstheme="minorBidi"/>
      <w:color w:val="auto"/>
    </w:rPr>
  </w:style>
  <w:style w:type="paragraph" w:customStyle="1" w:styleId="Pa3">
    <w:name w:val="Pa3"/>
    <w:basedOn w:val="Default"/>
    <w:next w:val="Default"/>
    <w:uiPriority w:val="99"/>
    <w:rsid w:val="00AE4375"/>
    <w:pPr>
      <w:spacing w:line="281" w:lineRule="atLeast"/>
    </w:pPr>
    <w:rPr>
      <w:rFonts w:ascii="Adobe Garamond Pro" w:hAnsi="Adobe Garamond Pro" w:cstheme="minorBidi"/>
      <w:color w:val="auto"/>
    </w:rPr>
  </w:style>
  <w:style w:type="paragraph" w:customStyle="1" w:styleId="Style1">
    <w:name w:val="Style1"/>
    <w:basedOn w:val="Normal"/>
    <w:rsid w:val="00341BD5"/>
    <w:pPr>
      <w:numPr>
        <w:numId w:val="3"/>
      </w:numPr>
    </w:pPr>
    <w:rPr>
      <w:rFonts w:ascii="Garamond" w:eastAsia="Times New Roman" w:hAnsi="Garamond" w:cs="Times New Roman"/>
      <w:sz w:val="24"/>
      <w:szCs w:val="24"/>
      <w:lang w:val="en-AU"/>
    </w:rPr>
  </w:style>
  <w:style w:type="paragraph" w:customStyle="1" w:styleId="main">
    <w:name w:val="main"/>
    <w:basedOn w:val="Normal"/>
    <w:qFormat/>
    <w:rsid w:val="009E08E4"/>
    <w:pPr>
      <w:spacing w:after="240"/>
      <w:jc w:val="both"/>
    </w:pPr>
    <w:rPr>
      <w:rFonts w:cs="Arial"/>
      <w:kern w:val="32"/>
      <w:szCs w:val="32"/>
    </w:rPr>
  </w:style>
  <w:style w:type="paragraph" w:styleId="NoSpacing">
    <w:name w:val="No Spacing"/>
    <w:uiPriority w:val="1"/>
    <w:qFormat/>
    <w:rsid w:val="00A207B1"/>
    <w:pPr>
      <w:spacing w:after="0" w:line="240" w:lineRule="auto"/>
    </w:pPr>
    <w:rPr>
      <w:rFonts w:ascii="Times New Roman" w:hAnsi="Times New Roman"/>
    </w:rPr>
  </w:style>
  <w:style w:type="paragraph" w:styleId="TableofFigures">
    <w:name w:val="table of figures"/>
    <w:basedOn w:val="Normal"/>
    <w:next w:val="Normal"/>
    <w:uiPriority w:val="99"/>
    <w:unhideWhenUsed/>
    <w:rsid w:val="00D95B7F"/>
  </w:style>
  <w:style w:type="paragraph" w:customStyle="1" w:styleId="SH">
    <w:name w:val="SH"/>
    <w:basedOn w:val="Normal"/>
    <w:link w:val="SHChar"/>
    <w:qFormat/>
    <w:rsid w:val="00A27AF4"/>
    <w:pPr>
      <w:spacing w:after="200"/>
      <w:jc w:val="both"/>
    </w:pPr>
    <w:rPr>
      <w:rFonts w:cs="Times New Roman"/>
      <w:b/>
    </w:rPr>
  </w:style>
  <w:style w:type="character" w:customStyle="1" w:styleId="SHChar">
    <w:name w:val="SH Char"/>
    <w:basedOn w:val="DefaultParagraphFont"/>
    <w:link w:val="SH"/>
    <w:rsid w:val="00A27AF4"/>
    <w:rPr>
      <w:rFonts w:ascii="Times New Roman" w:hAnsi="Times New Roman" w:cs="Times New Roman"/>
      <w:b/>
    </w:rPr>
  </w:style>
  <w:style w:type="paragraph" w:customStyle="1" w:styleId="Amain0">
    <w:name w:val="Amain"/>
    <w:basedOn w:val="Normal"/>
    <w:link w:val="AmainChar0"/>
    <w:qFormat/>
    <w:rsid w:val="00A27AF4"/>
    <w:pPr>
      <w:spacing w:after="120" w:line="276" w:lineRule="auto"/>
      <w:jc w:val="both"/>
    </w:pPr>
    <w:rPr>
      <w:rFonts w:cs="Arial"/>
      <w:kern w:val="32"/>
      <w:szCs w:val="32"/>
    </w:rPr>
  </w:style>
  <w:style w:type="character" w:customStyle="1" w:styleId="AmainChar0">
    <w:name w:val="Amain Char"/>
    <w:basedOn w:val="DefaultParagraphFont"/>
    <w:link w:val="Amain0"/>
    <w:rsid w:val="00A27AF4"/>
    <w:rPr>
      <w:rFonts w:ascii="Times New Roman" w:hAnsi="Times New Roman" w:cs="Arial"/>
      <w:kern w:val="32"/>
      <w:szCs w:val="32"/>
    </w:rPr>
  </w:style>
  <w:style w:type="paragraph" w:customStyle="1" w:styleId="Abull">
    <w:name w:val="Abull"/>
    <w:basedOn w:val="Amain0"/>
    <w:link w:val="AbullChar"/>
    <w:qFormat/>
    <w:rsid w:val="00A27AF4"/>
    <w:pPr>
      <w:numPr>
        <w:numId w:val="17"/>
      </w:numPr>
    </w:pPr>
  </w:style>
  <w:style w:type="character" w:customStyle="1" w:styleId="AbullChar">
    <w:name w:val="Abull Char"/>
    <w:basedOn w:val="AmainChar0"/>
    <w:link w:val="Abull"/>
    <w:rsid w:val="00A27AF4"/>
    <w:rPr>
      <w:rFonts w:ascii="Times New Roman" w:hAnsi="Times New Roman" w:cs="Arial"/>
      <w:kern w:val="32"/>
      <w:szCs w:val="32"/>
    </w:rPr>
  </w:style>
  <w:style w:type="character" w:styleId="PageNumber">
    <w:name w:val="page number"/>
    <w:basedOn w:val="DefaultParagraphFont"/>
    <w:uiPriority w:val="99"/>
    <w:semiHidden/>
    <w:unhideWhenUsed/>
    <w:rsid w:val="00A27AF4"/>
  </w:style>
  <w:style w:type="paragraph" w:customStyle="1" w:styleId="AbulP">
    <w:name w:val="AbulP"/>
    <w:basedOn w:val="Normal"/>
    <w:link w:val="AbulPChar"/>
    <w:qFormat/>
    <w:rsid w:val="00A27AF4"/>
    <w:pPr>
      <w:numPr>
        <w:numId w:val="18"/>
      </w:numPr>
      <w:spacing w:after="120"/>
      <w:jc w:val="both"/>
    </w:pPr>
    <w:rPr>
      <w:rFonts w:ascii="CMU Serif Roman" w:hAnsi="CMU Serif Roman" w:cs="Times New Roman"/>
      <w:lang w:val="en-GB"/>
    </w:rPr>
  </w:style>
  <w:style w:type="character" w:customStyle="1" w:styleId="AbulPChar">
    <w:name w:val="AbulP Char"/>
    <w:basedOn w:val="ListParagraphChar"/>
    <w:link w:val="AbulP"/>
    <w:rsid w:val="00A27AF4"/>
    <w:rPr>
      <w:rFonts w:ascii="CMU Serif Roman" w:hAnsi="CMU Serif Roman"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633543">
      <w:bodyDiv w:val="1"/>
      <w:marLeft w:val="0"/>
      <w:marRight w:val="0"/>
      <w:marTop w:val="0"/>
      <w:marBottom w:val="0"/>
      <w:divBdr>
        <w:top w:val="none" w:sz="0" w:space="0" w:color="auto"/>
        <w:left w:val="none" w:sz="0" w:space="0" w:color="auto"/>
        <w:bottom w:val="none" w:sz="0" w:space="0" w:color="auto"/>
        <w:right w:val="none" w:sz="0" w:space="0" w:color="auto"/>
      </w:divBdr>
    </w:div>
    <w:div w:id="129398737">
      <w:bodyDiv w:val="1"/>
      <w:marLeft w:val="0"/>
      <w:marRight w:val="0"/>
      <w:marTop w:val="0"/>
      <w:marBottom w:val="0"/>
      <w:divBdr>
        <w:top w:val="none" w:sz="0" w:space="0" w:color="auto"/>
        <w:left w:val="none" w:sz="0" w:space="0" w:color="auto"/>
        <w:bottom w:val="none" w:sz="0" w:space="0" w:color="auto"/>
        <w:right w:val="none" w:sz="0" w:space="0" w:color="auto"/>
      </w:divBdr>
    </w:div>
    <w:div w:id="160001143">
      <w:bodyDiv w:val="1"/>
      <w:marLeft w:val="0"/>
      <w:marRight w:val="0"/>
      <w:marTop w:val="0"/>
      <w:marBottom w:val="0"/>
      <w:divBdr>
        <w:top w:val="none" w:sz="0" w:space="0" w:color="auto"/>
        <w:left w:val="none" w:sz="0" w:space="0" w:color="auto"/>
        <w:bottom w:val="none" w:sz="0" w:space="0" w:color="auto"/>
        <w:right w:val="none" w:sz="0" w:space="0" w:color="auto"/>
      </w:divBdr>
      <w:divsChild>
        <w:div w:id="1753313552">
          <w:marLeft w:val="0"/>
          <w:marRight w:val="0"/>
          <w:marTop w:val="0"/>
          <w:marBottom w:val="0"/>
          <w:divBdr>
            <w:top w:val="none" w:sz="0" w:space="0" w:color="auto"/>
            <w:left w:val="none" w:sz="0" w:space="0" w:color="auto"/>
            <w:bottom w:val="none" w:sz="0" w:space="0" w:color="auto"/>
            <w:right w:val="none" w:sz="0" w:space="0" w:color="auto"/>
          </w:divBdr>
          <w:divsChild>
            <w:div w:id="1967658639">
              <w:marLeft w:val="0"/>
              <w:marRight w:val="0"/>
              <w:marTop w:val="0"/>
              <w:marBottom w:val="0"/>
              <w:divBdr>
                <w:top w:val="none" w:sz="0" w:space="0" w:color="auto"/>
                <w:left w:val="none" w:sz="0" w:space="0" w:color="auto"/>
                <w:bottom w:val="none" w:sz="0" w:space="0" w:color="auto"/>
                <w:right w:val="none" w:sz="0" w:space="0" w:color="auto"/>
              </w:divBdr>
              <w:divsChild>
                <w:div w:id="1541163540">
                  <w:marLeft w:val="0"/>
                  <w:marRight w:val="0"/>
                  <w:marTop w:val="0"/>
                  <w:marBottom w:val="0"/>
                  <w:divBdr>
                    <w:top w:val="none" w:sz="0" w:space="0" w:color="auto"/>
                    <w:left w:val="none" w:sz="0" w:space="0" w:color="auto"/>
                    <w:bottom w:val="none" w:sz="0" w:space="0" w:color="auto"/>
                    <w:right w:val="none" w:sz="0" w:space="0" w:color="auto"/>
                  </w:divBdr>
                  <w:divsChild>
                    <w:div w:id="820656294">
                      <w:marLeft w:val="0"/>
                      <w:marRight w:val="0"/>
                      <w:marTop w:val="0"/>
                      <w:marBottom w:val="0"/>
                      <w:divBdr>
                        <w:top w:val="none" w:sz="0" w:space="0" w:color="auto"/>
                        <w:left w:val="none" w:sz="0" w:space="0" w:color="auto"/>
                        <w:bottom w:val="none" w:sz="0" w:space="0" w:color="auto"/>
                        <w:right w:val="none" w:sz="0" w:space="0" w:color="auto"/>
                      </w:divBdr>
                      <w:divsChild>
                        <w:div w:id="2044743987">
                          <w:marLeft w:val="0"/>
                          <w:marRight w:val="0"/>
                          <w:marTop w:val="0"/>
                          <w:marBottom w:val="0"/>
                          <w:divBdr>
                            <w:top w:val="none" w:sz="0" w:space="0" w:color="auto"/>
                            <w:left w:val="none" w:sz="0" w:space="0" w:color="auto"/>
                            <w:bottom w:val="none" w:sz="0" w:space="0" w:color="auto"/>
                            <w:right w:val="none" w:sz="0" w:space="0" w:color="auto"/>
                          </w:divBdr>
                          <w:divsChild>
                            <w:div w:id="930813863">
                              <w:marLeft w:val="0"/>
                              <w:marRight w:val="0"/>
                              <w:marTop w:val="0"/>
                              <w:marBottom w:val="0"/>
                              <w:divBdr>
                                <w:top w:val="none" w:sz="0" w:space="0" w:color="auto"/>
                                <w:left w:val="none" w:sz="0" w:space="0" w:color="auto"/>
                                <w:bottom w:val="none" w:sz="0" w:space="0" w:color="auto"/>
                                <w:right w:val="none" w:sz="0" w:space="0" w:color="auto"/>
                              </w:divBdr>
                              <w:divsChild>
                                <w:div w:id="1446774809">
                                  <w:marLeft w:val="0"/>
                                  <w:marRight w:val="0"/>
                                  <w:marTop w:val="0"/>
                                  <w:marBottom w:val="0"/>
                                  <w:divBdr>
                                    <w:top w:val="none" w:sz="0" w:space="0" w:color="auto"/>
                                    <w:left w:val="none" w:sz="0" w:space="0" w:color="auto"/>
                                    <w:bottom w:val="none" w:sz="0" w:space="0" w:color="auto"/>
                                    <w:right w:val="none" w:sz="0" w:space="0" w:color="auto"/>
                                  </w:divBdr>
                                  <w:divsChild>
                                    <w:div w:id="421225137">
                                      <w:marLeft w:val="0"/>
                                      <w:marRight w:val="0"/>
                                      <w:marTop w:val="0"/>
                                      <w:marBottom w:val="0"/>
                                      <w:divBdr>
                                        <w:top w:val="none" w:sz="0" w:space="0" w:color="auto"/>
                                        <w:left w:val="none" w:sz="0" w:space="0" w:color="auto"/>
                                        <w:bottom w:val="none" w:sz="0" w:space="0" w:color="auto"/>
                                        <w:right w:val="none" w:sz="0" w:space="0" w:color="auto"/>
                                      </w:divBdr>
                                      <w:divsChild>
                                        <w:div w:id="911041577">
                                          <w:marLeft w:val="0"/>
                                          <w:marRight w:val="0"/>
                                          <w:marTop w:val="0"/>
                                          <w:marBottom w:val="0"/>
                                          <w:divBdr>
                                            <w:top w:val="none" w:sz="0" w:space="0" w:color="auto"/>
                                            <w:left w:val="none" w:sz="0" w:space="0" w:color="auto"/>
                                            <w:bottom w:val="none" w:sz="0" w:space="0" w:color="auto"/>
                                            <w:right w:val="none" w:sz="0" w:space="0" w:color="auto"/>
                                          </w:divBdr>
                                          <w:divsChild>
                                            <w:div w:id="939069382">
                                              <w:marLeft w:val="0"/>
                                              <w:marRight w:val="0"/>
                                              <w:marTop w:val="0"/>
                                              <w:marBottom w:val="0"/>
                                              <w:divBdr>
                                                <w:top w:val="single" w:sz="12" w:space="2" w:color="FFFFCC"/>
                                                <w:left w:val="single" w:sz="12" w:space="2" w:color="FFFFCC"/>
                                                <w:bottom w:val="single" w:sz="12" w:space="2" w:color="FFFFCC"/>
                                                <w:right w:val="single" w:sz="12" w:space="0" w:color="FFFFCC"/>
                                              </w:divBdr>
                                              <w:divsChild>
                                                <w:div w:id="1347977023">
                                                  <w:marLeft w:val="0"/>
                                                  <w:marRight w:val="0"/>
                                                  <w:marTop w:val="0"/>
                                                  <w:marBottom w:val="0"/>
                                                  <w:divBdr>
                                                    <w:top w:val="none" w:sz="0" w:space="0" w:color="auto"/>
                                                    <w:left w:val="none" w:sz="0" w:space="0" w:color="auto"/>
                                                    <w:bottom w:val="none" w:sz="0" w:space="0" w:color="auto"/>
                                                    <w:right w:val="none" w:sz="0" w:space="0" w:color="auto"/>
                                                  </w:divBdr>
                                                  <w:divsChild>
                                                    <w:div w:id="440537732">
                                                      <w:marLeft w:val="0"/>
                                                      <w:marRight w:val="0"/>
                                                      <w:marTop w:val="0"/>
                                                      <w:marBottom w:val="0"/>
                                                      <w:divBdr>
                                                        <w:top w:val="none" w:sz="0" w:space="0" w:color="auto"/>
                                                        <w:left w:val="none" w:sz="0" w:space="0" w:color="auto"/>
                                                        <w:bottom w:val="none" w:sz="0" w:space="0" w:color="auto"/>
                                                        <w:right w:val="none" w:sz="0" w:space="0" w:color="auto"/>
                                                      </w:divBdr>
                                                      <w:divsChild>
                                                        <w:div w:id="149519443">
                                                          <w:marLeft w:val="0"/>
                                                          <w:marRight w:val="0"/>
                                                          <w:marTop w:val="0"/>
                                                          <w:marBottom w:val="0"/>
                                                          <w:divBdr>
                                                            <w:top w:val="none" w:sz="0" w:space="0" w:color="auto"/>
                                                            <w:left w:val="none" w:sz="0" w:space="0" w:color="auto"/>
                                                            <w:bottom w:val="none" w:sz="0" w:space="0" w:color="auto"/>
                                                            <w:right w:val="none" w:sz="0" w:space="0" w:color="auto"/>
                                                          </w:divBdr>
                                                          <w:divsChild>
                                                            <w:div w:id="1520587348">
                                                              <w:marLeft w:val="0"/>
                                                              <w:marRight w:val="0"/>
                                                              <w:marTop w:val="0"/>
                                                              <w:marBottom w:val="0"/>
                                                              <w:divBdr>
                                                                <w:top w:val="none" w:sz="0" w:space="0" w:color="auto"/>
                                                                <w:left w:val="none" w:sz="0" w:space="0" w:color="auto"/>
                                                                <w:bottom w:val="none" w:sz="0" w:space="0" w:color="auto"/>
                                                                <w:right w:val="none" w:sz="0" w:space="0" w:color="auto"/>
                                                              </w:divBdr>
                                                              <w:divsChild>
                                                                <w:div w:id="618493389">
                                                                  <w:marLeft w:val="0"/>
                                                                  <w:marRight w:val="0"/>
                                                                  <w:marTop w:val="0"/>
                                                                  <w:marBottom w:val="0"/>
                                                                  <w:divBdr>
                                                                    <w:top w:val="none" w:sz="0" w:space="0" w:color="auto"/>
                                                                    <w:left w:val="none" w:sz="0" w:space="0" w:color="auto"/>
                                                                    <w:bottom w:val="none" w:sz="0" w:space="0" w:color="auto"/>
                                                                    <w:right w:val="none" w:sz="0" w:space="0" w:color="auto"/>
                                                                  </w:divBdr>
                                                                  <w:divsChild>
                                                                    <w:div w:id="1348754039">
                                                                      <w:marLeft w:val="0"/>
                                                                      <w:marRight w:val="0"/>
                                                                      <w:marTop w:val="0"/>
                                                                      <w:marBottom w:val="0"/>
                                                                      <w:divBdr>
                                                                        <w:top w:val="none" w:sz="0" w:space="0" w:color="auto"/>
                                                                        <w:left w:val="none" w:sz="0" w:space="0" w:color="auto"/>
                                                                        <w:bottom w:val="none" w:sz="0" w:space="0" w:color="auto"/>
                                                                        <w:right w:val="none" w:sz="0" w:space="0" w:color="auto"/>
                                                                      </w:divBdr>
                                                                      <w:divsChild>
                                                                        <w:div w:id="330253421">
                                                                          <w:marLeft w:val="0"/>
                                                                          <w:marRight w:val="0"/>
                                                                          <w:marTop w:val="0"/>
                                                                          <w:marBottom w:val="0"/>
                                                                          <w:divBdr>
                                                                            <w:top w:val="none" w:sz="0" w:space="0" w:color="auto"/>
                                                                            <w:left w:val="none" w:sz="0" w:space="0" w:color="auto"/>
                                                                            <w:bottom w:val="none" w:sz="0" w:space="0" w:color="auto"/>
                                                                            <w:right w:val="none" w:sz="0" w:space="0" w:color="auto"/>
                                                                          </w:divBdr>
                                                                          <w:divsChild>
                                                                            <w:div w:id="921332163">
                                                                              <w:marLeft w:val="0"/>
                                                                              <w:marRight w:val="0"/>
                                                                              <w:marTop w:val="0"/>
                                                                              <w:marBottom w:val="0"/>
                                                                              <w:divBdr>
                                                                                <w:top w:val="none" w:sz="0" w:space="0" w:color="auto"/>
                                                                                <w:left w:val="none" w:sz="0" w:space="0" w:color="auto"/>
                                                                                <w:bottom w:val="none" w:sz="0" w:space="0" w:color="auto"/>
                                                                                <w:right w:val="none" w:sz="0" w:space="0" w:color="auto"/>
                                                                              </w:divBdr>
                                                                              <w:divsChild>
                                                                                <w:div w:id="554318893">
                                                                                  <w:marLeft w:val="0"/>
                                                                                  <w:marRight w:val="0"/>
                                                                                  <w:marTop w:val="0"/>
                                                                                  <w:marBottom w:val="0"/>
                                                                                  <w:divBdr>
                                                                                    <w:top w:val="none" w:sz="0" w:space="0" w:color="auto"/>
                                                                                    <w:left w:val="none" w:sz="0" w:space="0" w:color="auto"/>
                                                                                    <w:bottom w:val="none" w:sz="0" w:space="0" w:color="auto"/>
                                                                                    <w:right w:val="none" w:sz="0" w:space="0" w:color="auto"/>
                                                                                  </w:divBdr>
                                                                                  <w:divsChild>
                                                                                    <w:div w:id="125244832">
                                                                                      <w:marLeft w:val="0"/>
                                                                                      <w:marRight w:val="0"/>
                                                                                      <w:marTop w:val="0"/>
                                                                                      <w:marBottom w:val="0"/>
                                                                                      <w:divBdr>
                                                                                        <w:top w:val="none" w:sz="0" w:space="0" w:color="auto"/>
                                                                                        <w:left w:val="none" w:sz="0" w:space="0" w:color="auto"/>
                                                                                        <w:bottom w:val="none" w:sz="0" w:space="0" w:color="auto"/>
                                                                                        <w:right w:val="none" w:sz="0" w:space="0" w:color="auto"/>
                                                                                      </w:divBdr>
                                                                                      <w:divsChild>
                                                                                        <w:div w:id="673143578">
                                                                                          <w:marLeft w:val="0"/>
                                                                                          <w:marRight w:val="0"/>
                                                                                          <w:marTop w:val="0"/>
                                                                                          <w:marBottom w:val="0"/>
                                                                                          <w:divBdr>
                                                                                            <w:top w:val="none" w:sz="0" w:space="0" w:color="auto"/>
                                                                                            <w:left w:val="none" w:sz="0" w:space="0" w:color="auto"/>
                                                                                            <w:bottom w:val="none" w:sz="0" w:space="0" w:color="auto"/>
                                                                                            <w:right w:val="none" w:sz="0" w:space="0" w:color="auto"/>
                                                                                          </w:divBdr>
                                                                                          <w:divsChild>
                                                                                            <w:div w:id="1525942160">
                                                                                              <w:marLeft w:val="0"/>
                                                                                              <w:marRight w:val="120"/>
                                                                                              <w:marTop w:val="0"/>
                                                                                              <w:marBottom w:val="150"/>
                                                                                              <w:divBdr>
                                                                                                <w:top w:val="single" w:sz="2" w:space="0" w:color="EFEFEF"/>
                                                                                                <w:left w:val="single" w:sz="6" w:space="0" w:color="EFEFEF"/>
                                                                                                <w:bottom w:val="single" w:sz="6" w:space="0" w:color="E2E2E2"/>
                                                                                                <w:right w:val="single" w:sz="6" w:space="0" w:color="EFEFEF"/>
                                                                                              </w:divBdr>
                                                                                              <w:divsChild>
                                                                                                <w:div w:id="394623307">
                                                                                                  <w:marLeft w:val="0"/>
                                                                                                  <w:marRight w:val="0"/>
                                                                                                  <w:marTop w:val="0"/>
                                                                                                  <w:marBottom w:val="0"/>
                                                                                                  <w:divBdr>
                                                                                                    <w:top w:val="none" w:sz="0" w:space="0" w:color="auto"/>
                                                                                                    <w:left w:val="none" w:sz="0" w:space="0" w:color="auto"/>
                                                                                                    <w:bottom w:val="none" w:sz="0" w:space="0" w:color="auto"/>
                                                                                                    <w:right w:val="none" w:sz="0" w:space="0" w:color="auto"/>
                                                                                                  </w:divBdr>
                                                                                                  <w:divsChild>
                                                                                                    <w:div w:id="108399150">
                                                                                                      <w:marLeft w:val="0"/>
                                                                                                      <w:marRight w:val="0"/>
                                                                                                      <w:marTop w:val="0"/>
                                                                                                      <w:marBottom w:val="0"/>
                                                                                                      <w:divBdr>
                                                                                                        <w:top w:val="none" w:sz="0" w:space="0" w:color="auto"/>
                                                                                                        <w:left w:val="none" w:sz="0" w:space="0" w:color="auto"/>
                                                                                                        <w:bottom w:val="none" w:sz="0" w:space="0" w:color="auto"/>
                                                                                                        <w:right w:val="none" w:sz="0" w:space="0" w:color="auto"/>
                                                                                                      </w:divBdr>
                                                                                                      <w:divsChild>
                                                                                                        <w:div w:id="1666278203">
                                                                                                          <w:marLeft w:val="0"/>
                                                                                                          <w:marRight w:val="0"/>
                                                                                                          <w:marTop w:val="0"/>
                                                                                                          <w:marBottom w:val="0"/>
                                                                                                          <w:divBdr>
                                                                                                            <w:top w:val="none" w:sz="0" w:space="0" w:color="auto"/>
                                                                                                            <w:left w:val="none" w:sz="0" w:space="0" w:color="auto"/>
                                                                                                            <w:bottom w:val="none" w:sz="0" w:space="0" w:color="auto"/>
                                                                                                            <w:right w:val="none" w:sz="0" w:space="0" w:color="auto"/>
                                                                                                          </w:divBdr>
                                                                                                          <w:divsChild>
                                                                                                            <w:div w:id="893350472">
                                                                                                              <w:marLeft w:val="0"/>
                                                                                                              <w:marRight w:val="0"/>
                                                                                                              <w:marTop w:val="0"/>
                                                                                                              <w:marBottom w:val="0"/>
                                                                                                              <w:divBdr>
                                                                                                                <w:top w:val="none" w:sz="0" w:space="0" w:color="auto"/>
                                                                                                                <w:left w:val="none" w:sz="0" w:space="0" w:color="auto"/>
                                                                                                                <w:bottom w:val="none" w:sz="0" w:space="0" w:color="auto"/>
                                                                                                                <w:right w:val="none" w:sz="0" w:space="0" w:color="auto"/>
                                                                                                              </w:divBdr>
                                                                                                              <w:divsChild>
                                                                                                                <w:div w:id="629820116">
                                                                                                                  <w:marLeft w:val="0"/>
                                                                                                                  <w:marRight w:val="0"/>
                                                                                                                  <w:marTop w:val="0"/>
                                                                                                                  <w:marBottom w:val="0"/>
                                                                                                                  <w:divBdr>
                                                                                                                    <w:top w:val="single" w:sz="2" w:space="4" w:color="D8D8D8"/>
                                                                                                                    <w:left w:val="single" w:sz="2" w:space="0" w:color="D8D8D8"/>
                                                                                                                    <w:bottom w:val="single" w:sz="2" w:space="4" w:color="D8D8D8"/>
                                                                                                                    <w:right w:val="single" w:sz="2" w:space="0" w:color="D8D8D8"/>
                                                                                                                  </w:divBdr>
                                                                                                                  <w:divsChild>
                                                                                                                    <w:div w:id="843857168">
                                                                                                                      <w:marLeft w:val="225"/>
                                                                                                                      <w:marRight w:val="225"/>
                                                                                                                      <w:marTop w:val="75"/>
                                                                                                                      <w:marBottom w:val="75"/>
                                                                                                                      <w:divBdr>
                                                                                                                        <w:top w:val="none" w:sz="0" w:space="0" w:color="auto"/>
                                                                                                                        <w:left w:val="none" w:sz="0" w:space="0" w:color="auto"/>
                                                                                                                        <w:bottom w:val="none" w:sz="0" w:space="0" w:color="auto"/>
                                                                                                                        <w:right w:val="none" w:sz="0" w:space="0" w:color="auto"/>
                                                                                                                      </w:divBdr>
                                                                                                                      <w:divsChild>
                                                                                                                        <w:div w:id="237980331">
                                                                                                                          <w:marLeft w:val="0"/>
                                                                                                                          <w:marRight w:val="0"/>
                                                                                                                          <w:marTop w:val="0"/>
                                                                                                                          <w:marBottom w:val="0"/>
                                                                                                                          <w:divBdr>
                                                                                                                            <w:top w:val="single" w:sz="6" w:space="0" w:color="auto"/>
                                                                                                                            <w:left w:val="single" w:sz="6" w:space="0" w:color="auto"/>
                                                                                                                            <w:bottom w:val="single" w:sz="6" w:space="0" w:color="auto"/>
                                                                                                                            <w:right w:val="single" w:sz="6" w:space="0" w:color="auto"/>
                                                                                                                          </w:divBdr>
                                                                                                                          <w:divsChild>
                                                                                                                            <w:div w:id="1148665203">
                                                                                                                              <w:marLeft w:val="0"/>
                                                                                                                              <w:marRight w:val="0"/>
                                                                                                                              <w:marTop w:val="0"/>
                                                                                                                              <w:marBottom w:val="0"/>
                                                                                                                              <w:divBdr>
                                                                                                                                <w:top w:val="none" w:sz="0" w:space="0" w:color="auto"/>
                                                                                                                                <w:left w:val="none" w:sz="0" w:space="0" w:color="auto"/>
                                                                                                                                <w:bottom w:val="none" w:sz="0" w:space="0" w:color="auto"/>
                                                                                                                                <w:right w:val="none" w:sz="0" w:space="0" w:color="auto"/>
                                                                                                                              </w:divBdr>
                                                                                                                              <w:divsChild>
                                                                                                                                <w:div w:id="97518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49001884">
      <w:bodyDiv w:val="1"/>
      <w:marLeft w:val="0"/>
      <w:marRight w:val="0"/>
      <w:marTop w:val="0"/>
      <w:marBottom w:val="0"/>
      <w:divBdr>
        <w:top w:val="none" w:sz="0" w:space="0" w:color="auto"/>
        <w:left w:val="none" w:sz="0" w:space="0" w:color="auto"/>
        <w:bottom w:val="none" w:sz="0" w:space="0" w:color="auto"/>
        <w:right w:val="none" w:sz="0" w:space="0" w:color="auto"/>
      </w:divBdr>
      <w:divsChild>
        <w:div w:id="2061245172">
          <w:marLeft w:val="0"/>
          <w:marRight w:val="0"/>
          <w:marTop w:val="0"/>
          <w:marBottom w:val="0"/>
          <w:divBdr>
            <w:top w:val="none" w:sz="0" w:space="0" w:color="auto"/>
            <w:left w:val="none" w:sz="0" w:space="0" w:color="auto"/>
            <w:bottom w:val="none" w:sz="0" w:space="0" w:color="auto"/>
            <w:right w:val="none" w:sz="0" w:space="0" w:color="auto"/>
          </w:divBdr>
          <w:divsChild>
            <w:div w:id="1144737647">
              <w:marLeft w:val="0"/>
              <w:marRight w:val="0"/>
              <w:marTop w:val="0"/>
              <w:marBottom w:val="0"/>
              <w:divBdr>
                <w:top w:val="none" w:sz="0" w:space="0" w:color="auto"/>
                <w:left w:val="none" w:sz="0" w:space="0" w:color="auto"/>
                <w:bottom w:val="none" w:sz="0" w:space="0" w:color="auto"/>
                <w:right w:val="none" w:sz="0" w:space="0" w:color="auto"/>
              </w:divBdr>
              <w:divsChild>
                <w:div w:id="1920284240">
                  <w:marLeft w:val="0"/>
                  <w:marRight w:val="0"/>
                  <w:marTop w:val="0"/>
                  <w:marBottom w:val="0"/>
                  <w:divBdr>
                    <w:top w:val="none" w:sz="0" w:space="0" w:color="auto"/>
                    <w:left w:val="none" w:sz="0" w:space="0" w:color="auto"/>
                    <w:bottom w:val="none" w:sz="0" w:space="0" w:color="auto"/>
                    <w:right w:val="none" w:sz="0" w:space="0" w:color="auto"/>
                  </w:divBdr>
                  <w:divsChild>
                    <w:div w:id="1113473288">
                      <w:marLeft w:val="0"/>
                      <w:marRight w:val="0"/>
                      <w:marTop w:val="0"/>
                      <w:marBottom w:val="0"/>
                      <w:divBdr>
                        <w:top w:val="none" w:sz="0" w:space="0" w:color="auto"/>
                        <w:left w:val="none" w:sz="0" w:space="0" w:color="auto"/>
                        <w:bottom w:val="none" w:sz="0" w:space="0" w:color="auto"/>
                        <w:right w:val="none" w:sz="0" w:space="0" w:color="auto"/>
                      </w:divBdr>
                      <w:divsChild>
                        <w:div w:id="971252263">
                          <w:marLeft w:val="0"/>
                          <w:marRight w:val="75"/>
                          <w:marTop w:val="0"/>
                          <w:marBottom w:val="0"/>
                          <w:divBdr>
                            <w:top w:val="none" w:sz="0" w:space="0" w:color="auto"/>
                            <w:left w:val="none" w:sz="0" w:space="0" w:color="auto"/>
                            <w:bottom w:val="none" w:sz="0" w:space="0" w:color="auto"/>
                            <w:right w:val="none" w:sz="0" w:space="0" w:color="auto"/>
                          </w:divBdr>
                          <w:divsChild>
                            <w:div w:id="1719207864">
                              <w:marLeft w:val="0"/>
                              <w:marRight w:val="0"/>
                              <w:marTop w:val="0"/>
                              <w:marBottom w:val="0"/>
                              <w:divBdr>
                                <w:top w:val="none" w:sz="0" w:space="0" w:color="auto"/>
                                <w:left w:val="none" w:sz="0" w:space="0" w:color="auto"/>
                                <w:bottom w:val="none" w:sz="0" w:space="0" w:color="auto"/>
                                <w:right w:val="none" w:sz="0" w:space="0" w:color="auto"/>
                              </w:divBdr>
                              <w:divsChild>
                                <w:div w:id="1847550238">
                                  <w:marLeft w:val="0"/>
                                  <w:marRight w:val="0"/>
                                  <w:marTop w:val="0"/>
                                  <w:marBottom w:val="225"/>
                                  <w:divBdr>
                                    <w:top w:val="none" w:sz="0" w:space="0" w:color="auto"/>
                                    <w:left w:val="none" w:sz="0" w:space="0" w:color="auto"/>
                                    <w:bottom w:val="none" w:sz="0" w:space="0" w:color="auto"/>
                                    <w:right w:val="none" w:sz="0" w:space="0" w:color="auto"/>
                                  </w:divBdr>
                                  <w:divsChild>
                                    <w:div w:id="1827747470">
                                      <w:marLeft w:val="0"/>
                                      <w:marRight w:val="0"/>
                                      <w:marTop w:val="0"/>
                                      <w:marBottom w:val="15"/>
                                      <w:divBdr>
                                        <w:top w:val="none" w:sz="0" w:space="0" w:color="auto"/>
                                        <w:left w:val="none" w:sz="0" w:space="0" w:color="auto"/>
                                        <w:bottom w:val="none" w:sz="0" w:space="0" w:color="auto"/>
                                        <w:right w:val="none" w:sz="0" w:space="0" w:color="auto"/>
                                      </w:divBdr>
                                      <w:divsChild>
                                        <w:div w:id="296379005">
                                          <w:marLeft w:val="0"/>
                                          <w:marRight w:val="0"/>
                                          <w:marTop w:val="0"/>
                                          <w:marBottom w:val="0"/>
                                          <w:divBdr>
                                            <w:top w:val="none" w:sz="0" w:space="0" w:color="auto"/>
                                            <w:left w:val="none" w:sz="0" w:space="0" w:color="auto"/>
                                            <w:bottom w:val="none" w:sz="0" w:space="0" w:color="auto"/>
                                            <w:right w:val="none" w:sz="0" w:space="0" w:color="auto"/>
                                          </w:divBdr>
                                          <w:divsChild>
                                            <w:div w:id="194183535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0258323">
      <w:bodyDiv w:val="1"/>
      <w:marLeft w:val="0"/>
      <w:marRight w:val="0"/>
      <w:marTop w:val="0"/>
      <w:marBottom w:val="0"/>
      <w:divBdr>
        <w:top w:val="none" w:sz="0" w:space="0" w:color="auto"/>
        <w:left w:val="none" w:sz="0" w:space="0" w:color="auto"/>
        <w:bottom w:val="none" w:sz="0" w:space="0" w:color="auto"/>
        <w:right w:val="none" w:sz="0" w:space="0" w:color="auto"/>
      </w:divBdr>
    </w:div>
    <w:div w:id="306906968">
      <w:bodyDiv w:val="1"/>
      <w:marLeft w:val="0"/>
      <w:marRight w:val="0"/>
      <w:marTop w:val="0"/>
      <w:marBottom w:val="0"/>
      <w:divBdr>
        <w:top w:val="none" w:sz="0" w:space="0" w:color="auto"/>
        <w:left w:val="none" w:sz="0" w:space="0" w:color="auto"/>
        <w:bottom w:val="none" w:sz="0" w:space="0" w:color="auto"/>
        <w:right w:val="none" w:sz="0" w:space="0" w:color="auto"/>
      </w:divBdr>
    </w:div>
    <w:div w:id="320233837">
      <w:bodyDiv w:val="1"/>
      <w:marLeft w:val="0"/>
      <w:marRight w:val="0"/>
      <w:marTop w:val="0"/>
      <w:marBottom w:val="0"/>
      <w:divBdr>
        <w:top w:val="none" w:sz="0" w:space="0" w:color="auto"/>
        <w:left w:val="none" w:sz="0" w:space="0" w:color="auto"/>
        <w:bottom w:val="none" w:sz="0" w:space="0" w:color="auto"/>
        <w:right w:val="none" w:sz="0" w:space="0" w:color="auto"/>
      </w:divBdr>
    </w:div>
    <w:div w:id="362173307">
      <w:bodyDiv w:val="1"/>
      <w:marLeft w:val="0"/>
      <w:marRight w:val="0"/>
      <w:marTop w:val="0"/>
      <w:marBottom w:val="0"/>
      <w:divBdr>
        <w:top w:val="none" w:sz="0" w:space="0" w:color="auto"/>
        <w:left w:val="none" w:sz="0" w:space="0" w:color="auto"/>
        <w:bottom w:val="none" w:sz="0" w:space="0" w:color="auto"/>
        <w:right w:val="none" w:sz="0" w:space="0" w:color="auto"/>
      </w:divBdr>
    </w:div>
    <w:div w:id="489716404">
      <w:bodyDiv w:val="1"/>
      <w:marLeft w:val="0"/>
      <w:marRight w:val="0"/>
      <w:marTop w:val="0"/>
      <w:marBottom w:val="0"/>
      <w:divBdr>
        <w:top w:val="none" w:sz="0" w:space="0" w:color="auto"/>
        <w:left w:val="none" w:sz="0" w:space="0" w:color="auto"/>
        <w:bottom w:val="none" w:sz="0" w:space="0" w:color="auto"/>
        <w:right w:val="none" w:sz="0" w:space="0" w:color="auto"/>
      </w:divBdr>
    </w:div>
    <w:div w:id="489832502">
      <w:bodyDiv w:val="1"/>
      <w:marLeft w:val="0"/>
      <w:marRight w:val="0"/>
      <w:marTop w:val="0"/>
      <w:marBottom w:val="0"/>
      <w:divBdr>
        <w:top w:val="none" w:sz="0" w:space="0" w:color="auto"/>
        <w:left w:val="none" w:sz="0" w:space="0" w:color="auto"/>
        <w:bottom w:val="none" w:sz="0" w:space="0" w:color="auto"/>
        <w:right w:val="none" w:sz="0" w:space="0" w:color="auto"/>
      </w:divBdr>
    </w:div>
    <w:div w:id="640814629">
      <w:bodyDiv w:val="1"/>
      <w:marLeft w:val="0"/>
      <w:marRight w:val="0"/>
      <w:marTop w:val="0"/>
      <w:marBottom w:val="0"/>
      <w:divBdr>
        <w:top w:val="none" w:sz="0" w:space="0" w:color="auto"/>
        <w:left w:val="none" w:sz="0" w:space="0" w:color="auto"/>
        <w:bottom w:val="none" w:sz="0" w:space="0" w:color="auto"/>
        <w:right w:val="none" w:sz="0" w:space="0" w:color="auto"/>
      </w:divBdr>
    </w:div>
    <w:div w:id="673535672">
      <w:bodyDiv w:val="1"/>
      <w:marLeft w:val="0"/>
      <w:marRight w:val="0"/>
      <w:marTop w:val="0"/>
      <w:marBottom w:val="0"/>
      <w:divBdr>
        <w:top w:val="none" w:sz="0" w:space="0" w:color="auto"/>
        <w:left w:val="none" w:sz="0" w:space="0" w:color="auto"/>
        <w:bottom w:val="none" w:sz="0" w:space="0" w:color="auto"/>
        <w:right w:val="none" w:sz="0" w:space="0" w:color="auto"/>
      </w:divBdr>
    </w:div>
    <w:div w:id="767888379">
      <w:bodyDiv w:val="1"/>
      <w:marLeft w:val="0"/>
      <w:marRight w:val="0"/>
      <w:marTop w:val="0"/>
      <w:marBottom w:val="0"/>
      <w:divBdr>
        <w:top w:val="none" w:sz="0" w:space="0" w:color="auto"/>
        <w:left w:val="none" w:sz="0" w:space="0" w:color="auto"/>
        <w:bottom w:val="none" w:sz="0" w:space="0" w:color="auto"/>
        <w:right w:val="none" w:sz="0" w:space="0" w:color="auto"/>
      </w:divBdr>
    </w:div>
    <w:div w:id="776296844">
      <w:bodyDiv w:val="1"/>
      <w:marLeft w:val="0"/>
      <w:marRight w:val="0"/>
      <w:marTop w:val="0"/>
      <w:marBottom w:val="0"/>
      <w:divBdr>
        <w:top w:val="none" w:sz="0" w:space="0" w:color="auto"/>
        <w:left w:val="none" w:sz="0" w:space="0" w:color="auto"/>
        <w:bottom w:val="none" w:sz="0" w:space="0" w:color="auto"/>
        <w:right w:val="none" w:sz="0" w:space="0" w:color="auto"/>
      </w:divBdr>
    </w:div>
    <w:div w:id="802695465">
      <w:bodyDiv w:val="1"/>
      <w:marLeft w:val="0"/>
      <w:marRight w:val="0"/>
      <w:marTop w:val="0"/>
      <w:marBottom w:val="0"/>
      <w:divBdr>
        <w:top w:val="none" w:sz="0" w:space="0" w:color="auto"/>
        <w:left w:val="none" w:sz="0" w:space="0" w:color="auto"/>
        <w:bottom w:val="none" w:sz="0" w:space="0" w:color="auto"/>
        <w:right w:val="none" w:sz="0" w:space="0" w:color="auto"/>
      </w:divBdr>
    </w:div>
    <w:div w:id="892892455">
      <w:bodyDiv w:val="1"/>
      <w:marLeft w:val="0"/>
      <w:marRight w:val="0"/>
      <w:marTop w:val="0"/>
      <w:marBottom w:val="0"/>
      <w:divBdr>
        <w:top w:val="none" w:sz="0" w:space="0" w:color="auto"/>
        <w:left w:val="none" w:sz="0" w:space="0" w:color="auto"/>
        <w:bottom w:val="none" w:sz="0" w:space="0" w:color="auto"/>
        <w:right w:val="none" w:sz="0" w:space="0" w:color="auto"/>
      </w:divBdr>
      <w:divsChild>
        <w:div w:id="213398148">
          <w:marLeft w:val="547"/>
          <w:marRight w:val="0"/>
          <w:marTop w:val="0"/>
          <w:marBottom w:val="0"/>
          <w:divBdr>
            <w:top w:val="none" w:sz="0" w:space="0" w:color="auto"/>
            <w:left w:val="none" w:sz="0" w:space="0" w:color="auto"/>
            <w:bottom w:val="none" w:sz="0" w:space="0" w:color="auto"/>
            <w:right w:val="none" w:sz="0" w:space="0" w:color="auto"/>
          </w:divBdr>
        </w:div>
        <w:div w:id="433063290">
          <w:marLeft w:val="547"/>
          <w:marRight w:val="0"/>
          <w:marTop w:val="0"/>
          <w:marBottom w:val="0"/>
          <w:divBdr>
            <w:top w:val="none" w:sz="0" w:space="0" w:color="auto"/>
            <w:left w:val="none" w:sz="0" w:space="0" w:color="auto"/>
            <w:bottom w:val="none" w:sz="0" w:space="0" w:color="auto"/>
            <w:right w:val="none" w:sz="0" w:space="0" w:color="auto"/>
          </w:divBdr>
        </w:div>
        <w:div w:id="440345256">
          <w:marLeft w:val="1166"/>
          <w:marRight w:val="0"/>
          <w:marTop w:val="0"/>
          <w:marBottom w:val="0"/>
          <w:divBdr>
            <w:top w:val="none" w:sz="0" w:space="0" w:color="auto"/>
            <w:left w:val="none" w:sz="0" w:space="0" w:color="auto"/>
            <w:bottom w:val="none" w:sz="0" w:space="0" w:color="auto"/>
            <w:right w:val="none" w:sz="0" w:space="0" w:color="auto"/>
          </w:divBdr>
        </w:div>
        <w:div w:id="467011525">
          <w:marLeft w:val="547"/>
          <w:marRight w:val="0"/>
          <w:marTop w:val="0"/>
          <w:marBottom w:val="0"/>
          <w:divBdr>
            <w:top w:val="none" w:sz="0" w:space="0" w:color="auto"/>
            <w:left w:val="none" w:sz="0" w:space="0" w:color="auto"/>
            <w:bottom w:val="none" w:sz="0" w:space="0" w:color="auto"/>
            <w:right w:val="none" w:sz="0" w:space="0" w:color="auto"/>
          </w:divBdr>
        </w:div>
        <w:div w:id="1025249729">
          <w:marLeft w:val="1166"/>
          <w:marRight w:val="0"/>
          <w:marTop w:val="0"/>
          <w:marBottom w:val="0"/>
          <w:divBdr>
            <w:top w:val="none" w:sz="0" w:space="0" w:color="auto"/>
            <w:left w:val="none" w:sz="0" w:space="0" w:color="auto"/>
            <w:bottom w:val="none" w:sz="0" w:space="0" w:color="auto"/>
            <w:right w:val="none" w:sz="0" w:space="0" w:color="auto"/>
          </w:divBdr>
        </w:div>
        <w:div w:id="1075863172">
          <w:marLeft w:val="1166"/>
          <w:marRight w:val="0"/>
          <w:marTop w:val="0"/>
          <w:marBottom w:val="0"/>
          <w:divBdr>
            <w:top w:val="none" w:sz="0" w:space="0" w:color="auto"/>
            <w:left w:val="none" w:sz="0" w:space="0" w:color="auto"/>
            <w:bottom w:val="none" w:sz="0" w:space="0" w:color="auto"/>
            <w:right w:val="none" w:sz="0" w:space="0" w:color="auto"/>
          </w:divBdr>
        </w:div>
        <w:div w:id="1100491480">
          <w:marLeft w:val="547"/>
          <w:marRight w:val="0"/>
          <w:marTop w:val="0"/>
          <w:marBottom w:val="0"/>
          <w:divBdr>
            <w:top w:val="none" w:sz="0" w:space="0" w:color="auto"/>
            <w:left w:val="none" w:sz="0" w:space="0" w:color="auto"/>
            <w:bottom w:val="none" w:sz="0" w:space="0" w:color="auto"/>
            <w:right w:val="none" w:sz="0" w:space="0" w:color="auto"/>
          </w:divBdr>
        </w:div>
        <w:div w:id="1155680208">
          <w:marLeft w:val="1166"/>
          <w:marRight w:val="0"/>
          <w:marTop w:val="0"/>
          <w:marBottom w:val="0"/>
          <w:divBdr>
            <w:top w:val="none" w:sz="0" w:space="0" w:color="auto"/>
            <w:left w:val="none" w:sz="0" w:space="0" w:color="auto"/>
            <w:bottom w:val="none" w:sz="0" w:space="0" w:color="auto"/>
            <w:right w:val="none" w:sz="0" w:space="0" w:color="auto"/>
          </w:divBdr>
        </w:div>
        <w:div w:id="1477456923">
          <w:marLeft w:val="1166"/>
          <w:marRight w:val="0"/>
          <w:marTop w:val="0"/>
          <w:marBottom w:val="0"/>
          <w:divBdr>
            <w:top w:val="none" w:sz="0" w:space="0" w:color="auto"/>
            <w:left w:val="none" w:sz="0" w:space="0" w:color="auto"/>
            <w:bottom w:val="none" w:sz="0" w:space="0" w:color="auto"/>
            <w:right w:val="none" w:sz="0" w:space="0" w:color="auto"/>
          </w:divBdr>
        </w:div>
        <w:div w:id="1589727613">
          <w:marLeft w:val="1166"/>
          <w:marRight w:val="0"/>
          <w:marTop w:val="0"/>
          <w:marBottom w:val="0"/>
          <w:divBdr>
            <w:top w:val="none" w:sz="0" w:space="0" w:color="auto"/>
            <w:left w:val="none" w:sz="0" w:space="0" w:color="auto"/>
            <w:bottom w:val="none" w:sz="0" w:space="0" w:color="auto"/>
            <w:right w:val="none" w:sz="0" w:space="0" w:color="auto"/>
          </w:divBdr>
        </w:div>
        <w:div w:id="1601257451">
          <w:marLeft w:val="547"/>
          <w:marRight w:val="0"/>
          <w:marTop w:val="0"/>
          <w:marBottom w:val="0"/>
          <w:divBdr>
            <w:top w:val="none" w:sz="0" w:space="0" w:color="auto"/>
            <w:left w:val="none" w:sz="0" w:space="0" w:color="auto"/>
            <w:bottom w:val="none" w:sz="0" w:space="0" w:color="auto"/>
            <w:right w:val="none" w:sz="0" w:space="0" w:color="auto"/>
          </w:divBdr>
        </w:div>
        <w:div w:id="1736471549">
          <w:marLeft w:val="547"/>
          <w:marRight w:val="0"/>
          <w:marTop w:val="0"/>
          <w:marBottom w:val="0"/>
          <w:divBdr>
            <w:top w:val="none" w:sz="0" w:space="0" w:color="auto"/>
            <w:left w:val="none" w:sz="0" w:space="0" w:color="auto"/>
            <w:bottom w:val="none" w:sz="0" w:space="0" w:color="auto"/>
            <w:right w:val="none" w:sz="0" w:space="0" w:color="auto"/>
          </w:divBdr>
        </w:div>
        <w:div w:id="1827820678">
          <w:marLeft w:val="547"/>
          <w:marRight w:val="0"/>
          <w:marTop w:val="0"/>
          <w:marBottom w:val="0"/>
          <w:divBdr>
            <w:top w:val="none" w:sz="0" w:space="0" w:color="auto"/>
            <w:left w:val="none" w:sz="0" w:space="0" w:color="auto"/>
            <w:bottom w:val="none" w:sz="0" w:space="0" w:color="auto"/>
            <w:right w:val="none" w:sz="0" w:space="0" w:color="auto"/>
          </w:divBdr>
        </w:div>
        <w:div w:id="1931544278">
          <w:marLeft w:val="1166"/>
          <w:marRight w:val="0"/>
          <w:marTop w:val="0"/>
          <w:marBottom w:val="0"/>
          <w:divBdr>
            <w:top w:val="none" w:sz="0" w:space="0" w:color="auto"/>
            <w:left w:val="none" w:sz="0" w:space="0" w:color="auto"/>
            <w:bottom w:val="none" w:sz="0" w:space="0" w:color="auto"/>
            <w:right w:val="none" w:sz="0" w:space="0" w:color="auto"/>
          </w:divBdr>
        </w:div>
      </w:divsChild>
    </w:div>
    <w:div w:id="904027189">
      <w:bodyDiv w:val="1"/>
      <w:marLeft w:val="0"/>
      <w:marRight w:val="0"/>
      <w:marTop w:val="0"/>
      <w:marBottom w:val="0"/>
      <w:divBdr>
        <w:top w:val="none" w:sz="0" w:space="0" w:color="auto"/>
        <w:left w:val="none" w:sz="0" w:space="0" w:color="auto"/>
        <w:bottom w:val="none" w:sz="0" w:space="0" w:color="auto"/>
        <w:right w:val="none" w:sz="0" w:space="0" w:color="auto"/>
      </w:divBdr>
    </w:div>
    <w:div w:id="931086998">
      <w:bodyDiv w:val="1"/>
      <w:marLeft w:val="0"/>
      <w:marRight w:val="0"/>
      <w:marTop w:val="0"/>
      <w:marBottom w:val="0"/>
      <w:divBdr>
        <w:top w:val="none" w:sz="0" w:space="0" w:color="auto"/>
        <w:left w:val="none" w:sz="0" w:space="0" w:color="auto"/>
        <w:bottom w:val="none" w:sz="0" w:space="0" w:color="auto"/>
        <w:right w:val="none" w:sz="0" w:space="0" w:color="auto"/>
      </w:divBdr>
    </w:div>
    <w:div w:id="965620505">
      <w:bodyDiv w:val="1"/>
      <w:marLeft w:val="0"/>
      <w:marRight w:val="0"/>
      <w:marTop w:val="0"/>
      <w:marBottom w:val="0"/>
      <w:divBdr>
        <w:top w:val="none" w:sz="0" w:space="0" w:color="auto"/>
        <w:left w:val="none" w:sz="0" w:space="0" w:color="auto"/>
        <w:bottom w:val="none" w:sz="0" w:space="0" w:color="auto"/>
        <w:right w:val="none" w:sz="0" w:space="0" w:color="auto"/>
      </w:divBdr>
    </w:div>
    <w:div w:id="970938335">
      <w:bodyDiv w:val="1"/>
      <w:marLeft w:val="0"/>
      <w:marRight w:val="0"/>
      <w:marTop w:val="0"/>
      <w:marBottom w:val="0"/>
      <w:divBdr>
        <w:top w:val="none" w:sz="0" w:space="0" w:color="auto"/>
        <w:left w:val="none" w:sz="0" w:space="0" w:color="auto"/>
        <w:bottom w:val="none" w:sz="0" w:space="0" w:color="auto"/>
        <w:right w:val="none" w:sz="0" w:space="0" w:color="auto"/>
      </w:divBdr>
    </w:div>
    <w:div w:id="1035154894">
      <w:bodyDiv w:val="1"/>
      <w:marLeft w:val="0"/>
      <w:marRight w:val="0"/>
      <w:marTop w:val="0"/>
      <w:marBottom w:val="0"/>
      <w:divBdr>
        <w:top w:val="none" w:sz="0" w:space="0" w:color="auto"/>
        <w:left w:val="none" w:sz="0" w:space="0" w:color="auto"/>
        <w:bottom w:val="none" w:sz="0" w:space="0" w:color="auto"/>
        <w:right w:val="none" w:sz="0" w:space="0" w:color="auto"/>
      </w:divBdr>
    </w:div>
    <w:div w:id="1107773192">
      <w:bodyDiv w:val="1"/>
      <w:marLeft w:val="0"/>
      <w:marRight w:val="0"/>
      <w:marTop w:val="0"/>
      <w:marBottom w:val="0"/>
      <w:divBdr>
        <w:top w:val="none" w:sz="0" w:space="0" w:color="auto"/>
        <w:left w:val="none" w:sz="0" w:space="0" w:color="auto"/>
        <w:bottom w:val="none" w:sz="0" w:space="0" w:color="auto"/>
        <w:right w:val="none" w:sz="0" w:space="0" w:color="auto"/>
      </w:divBdr>
    </w:div>
    <w:div w:id="1122923466">
      <w:bodyDiv w:val="1"/>
      <w:marLeft w:val="0"/>
      <w:marRight w:val="0"/>
      <w:marTop w:val="0"/>
      <w:marBottom w:val="0"/>
      <w:divBdr>
        <w:top w:val="none" w:sz="0" w:space="0" w:color="auto"/>
        <w:left w:val="none" w:sz="0" w:space="0" w:color="auto"/>
        <w:bottom w:val="none" w:sz="0" w:space="0" w:color="auto"/>
        <w:right w:val="none" w:sz="0" w:space="0" w:color="auto"/>
      </w:divBdr>
    </w:div>
    <w:div w:id="1223715523">
      <w:bodyDiv w:val="1"/>
      <w:marLeft w:val="0"/>
      <w:marRight w:val="0"/>
      <w:marTop w:val="0"/>
      <w:marBottom w:val="0"/>
      <w:divBdr>
        <w:top w:val="none" w:sz="0" w:space="0" w:color="auto"/>
        <w:left w:val="none" w:sz="0" w:space="0" w:color="auto"/>
        <w:bottom w:val="none" w:sz="0" w:space="0" w:color="auto"/>
        <w:right w:val="none" w:sz="0" w:space="0" w:color="auto"/>
      </w:divBdr>
      <w:divsChild>
        <w:div w:id="344478271">
          <w:marLeft w:val="0"/>
          <w:marRight w:val="0"/>
          <w:marTop w:val="0"/>
          <w:marBottom w:val="0"/>
          <w:divBdr>
            <w:top w:val="none" w:sz="0" w:space="0" w:color="auto"/>
            <w:left w:val="none" w:sz="0" w:space="0" w:color="auto"/>
            <w:bottom w:val="none" w:sz="0" w:space="0" w:color="auto"/>
            <w:right w:val="none" w:sz="0" w:space="0" w:color="auto"/>
          </w:divBdr>
          <w:divsChild>
            <w:div w:id="892233842">
              <w:marLeft w:val="0"/>
              <w:marRight w:val="0"/>
              <w:marTop w:val="0"/>
              <w:marBottom w:val="0"/>
              <w:divBdr>
                <w:top w:val="none" w:sz="0" w:space="0" w:color="auto"/>
                <w:left w:val="none" w:sz="0" w:space="0" w:color="auto"/>
                <w:bottom w:val="none" w:sz="0" w:space="0" w:color="auto"/>
                <w:right w:val="none" w:sz="0" w:space="0" w:color="auto"/>
              </w:divBdr>
              <w:divsChild>
                <w:div w:id="860780590">
                  <w:marLeft w:val="0"/>
                  <w:marRight w:val="0"/>
                  <w:marTop w:val="0"/>
                  <w:marBottom w:val="0"/>
                  <w:divBdr>
                    <w:top w:val="none" w:sz="0" w:space="0" w:color="auto"/>
                    <w:left w:val="none" w:sz="0" w:space="0" w:color="auto"/>
                    <w:bottom w:val="none" w:sz="0" w:space="0" w:color="auto"/>
                    <w:right w:val="none" w:sz="0" w:space="0" w:color="auto"/>
                  </w:divBdr>
                  <w:divsChild>
                    <w:div w:id="442841934">
                      <w:marLeft w:val="0"/>
                      <w:marRight w:val="0"/>
                      <w:marTop w:val="0"/>
                      <w:marBottom w:val="0"/>
                      <w:divBdr>
                        <w:top w:val="none" w:sz="0" w:space="0" w:color="auto"/>
                        <w:left w:val="none" w:sz="0" w:space="0" w:color="auto"/>
                        <w:bottom w:val="none" w:sz="0" w:space="0" w:color="auto"/>
                        <w:right w:val="none" w:sz="0" w:space="0" w:color="auto"/>
                      </w:divBdr>
                      <w:divsChild>
                        <w:div w:id="1512454128">
                          <w:marLeft w:val="0"/>
                          <w:marRight w:val="0"/>
                          <w:marTop w:val="0"/>
                          <w:marBottom w:val="0"/>
                          <w:divBdr>
                            <w:top w:val="none" w:sz="0" w:space="0" w:color="auto"/>
                            <w:left w:val="none" w:sz="0" w:space="0" w:color="auto"/>
                            <w:bottom w:val="none" w:sz="0" w:space="0" w:color="auto"/>
                            <w:right w:val="none" w:sz="0" w:space="0" w:color="auto"/>
                          </w:divBdr>
                          <w:divsChild>
                            <w:div w:id="2003661738">
                              <w:marLeft w:val="0"/>
                              <w:marRight w:val="0"/>
                              <w:marTop w:val="0"/>
                              <w:marBottom w:val="0"/>
                              <w:divBdr>
                                <w:top w:val="none" w:sz="0" w:space="0" w:color="auto"/>
                                <w:left w:val="none" w:sz="0" w:space="0" w:color="auto"/>
                                <w:bottom w:val="none" w:sz="0" w:space="0" w:color="auto"/>
                                <w:right w:val="none" w:sz="0" w:space="0" w:color="auto"/>
                              </w:divBdr>
                              <w:divsChild>
                                <w:div w:id="346950897">
                                  <w:marLeft w:val="0"/>
                                  <w:marRight w:val="0"/>
                                  <w:marTop w:val="0"/>
                                  <w:marBottom w:val="0"/>
                                  <w:divBdr>
                                    <w:top w:val="none" w:sz="0" w:space="0" w:color="auto"/>
                                    <w:left w:val="none" w:sz="0" w:space="0" w:color="auto"/>
                                    <w:bottom w:val="none" w:sz="0" w:space="0" w:color="auto"/>
                                    <w:right w:val="none" w:sz="0" w:space="0" w:color="auto"/>
                                  </w:divBdr>
                                  <w:divsChild>
                                    <w:div w:id="465008906">
                                      <w:marLeft w:val="0"/>
                                      <w:marRight w:val="0"/>
                                      <w:marTop w:val="0"/>
                                      <w:marBottom w:val="0"/>
                                      <w:divBdr>
                                        <w:top w:val="none" w:sz="0" w:space="0" w:color="auto"/>
                                        <w:left w:val="none" w:sz="0" w:space="0" w:color="auto"/>
                                        <w:bottom w:val="none" w:sz="0" w:space="0" w:color="auto"/>
                                        <w:right w:val="none" w:sz="0" w:space="0" w:color="auto"/>
                                      </w:divBdr>
                                      <w:divsChild>
                                        <w:div w:id="694311486">
                                          <w:marLeft w:val="0"/>
                                          <w:marRight w:val="0"/>
                                          <w:marTop w:val="0"/>
                                          <w:marBottom w:val="0"/>
                                          <w:divBdr>
                                            <w:top w:val="none" w:sz="0" w:space="0" w:color="auto"/>
                                            <w:left w:val="none" w:sz="0" w:space="0" w:color="auto"/>
                                            <w:bottom w:val="none" w:sz="0" w:space="0" w:color="auto"/>
                                            <w:right w:val="none" w:sz="0" w:space="0" w:color="auto"/>
                                          </w:divBdr>
                                          <w:divsChild>
                                            <w:div w:id="1311866693">
                                              <w:marLeft w:val="0"/>
                                              <w:marRight w:val="0"/>
                                              <w:marTop w:val="0"/>
                                              <w:marBottom w:val="0"/>
                                              <w:divBdr>
                                                <w:top w:val="single" w:sz="12" w:space="2" w:color="FFFFCC"/>
                                                <w:left w:val="single" w:sz="12" w:space="2" w:color="FFFFCC"/>
                                                <w:bottom w:val="single" w:sz="12" w:space="2" w:color="FFFFCC"/>
                                                <w:right w:val="single" w:sz="12" w:space="0" w:color="FFFFCC"/>
                                              </w:divBdr>
                                              <w:divsChild>
                                                <w:div w:id="322315846">
                                                  <w:marLeft w:val="0"/>
                                                  <w:marRight w:val="0"/>
                                                  <w:marTop w:val="0"/>
                                                  <w:marBottom w:val="0"/>
                                                  <w:divBdr>
                                                    <w:top w:val="none" w:sz="0" w:space="0" w:color="auto"/>
                                                    <w:left w:val="none" w:sz="0" w:space="0" w:color="auto"/>
                                                    <w:bottom w:val="none" w:sz="0" w:space="0" w:color="auto"/>
                                                    <w:right w:val="none" w:sz="0" w:space="0" w:color="auto"/>
                                                  </w:divBdr>
                                                  <w:divsChild>
                                                    <w:div w:id="662395727">
                                                      <w:marLeft w:val="0"/>
                                                      <w:marRight w:val="0"/>
                                                      <w:marTop w:val="0"/>
                                                      <w:marBottom w:val="0"/>
                                                      <w:divBdr>
                                                        <w:top w:val="none" w:sz="0" w:space="0" w:color="auto"/>
                                                        <w:left w:val="none" w:sz="0" w:space="0" w:color="auto"/>
                                                        <w:bottom w:val="none" w:sz="0" w:space="0" w:color="auto"/>
                                                        <w:right w:val="none" w:sz="0" w:space="0" w:color="auto"/>
                                                      </w:divBdr>
                                                      <w:divsChild>
                                                        <w:div w:id="1136601489">
                                                          <w:marLeft w:val="0"/>
                                                          <w:marRight w:val="0"/>
                                                          <w:marTop w:val="0"/>
                                                          <w:marBottom w:val="0"/>
                                                          <w:divBdr>
                                                            <w:top w:val="none" w:sz="0" w:space="0" w:color="auto"/>
                                                            <w:left w:val="none" w:sz="0" w:space="0" w:color="auto"/>
                                                            <w:bottom w:val="none" w:sz="0" w:space="0" w:color="auto"/>
                                                            <w:right w:val="none" w:sz="0" w:space="0" w:color="auto"/>
                                                          </w:divBdr>
                                                          <w:divsChild>
                                                            <w:div w:id="767316235">
                                                              <w:marLeft w:val="0"/>
                                                              <w:marRight w:val="0"/>
                                                              <w:marTop w:val="0"/>
                                                              <w:marBottom w:val="0"/>
                                                              <w:divBdr>
                                                                <w:top w:val="none" w:sz="0" w:space="0" w:color="auto"/>
                                                                <w:left w:val="none" w:sz="0" w:space="0" w:color="auto"/>
                                                                <w:bottom w:val="none" w:sz="0" w:space="0" w:color="auto"/>
                                                                <w:right w:val="none" w:sz="0" w:space="0" w:color="auto"/>
                                                              </w:divBdr>
                                                              <w:divsChild>
                                                                <w:div w:id="1327517609">
                                                                  <w:marLeft w:val="0"/>
                                                                  <w:marRight w:val="0"/>
                                                                  <w:marTop w:val="0"/>
                                                                  <w:marBottom w:val="0"/>
                                                                  <w:divBdr>
                                                                    <w:top w:val="none" w:sz="0" w:space="0" w:color="auto"/>
                                                                    <w:left w:val="none" w:sz="0" w:space="0" w:color="auto"/>
                                                                    <w:bottom w:val="none" w:sz="0" w:space="0" w:color="auto"/>
                                                                    <w:right w:val="none" w:sz="0" w:space="0" w:color="auto"/>
                                                                  </w:divBdr>
                                                                  <w:divsChild>
                                                                    <w:div w:id="1911226960">
                                                                      <w:marLeft w:val="0"/>
                                                                      <w:marRight w:val="0"/>
                                                                      <w:marTop w:val="0"/>
                                                                      <w:marBottom w:val="0"/>
                                                                      <w:divBdr>
                                                                        <w:top w:val="none" w:sz="0" w:space="0" w:color="auto"/>
                                                                        <w:left w:val="none" w:sz="0" w:space="0" w:color="auto"/>
                                                                        <w:bottom w:val="none" w:sz="0" w:space="0" w:color="auto"/>
                                                                        <w:right w:val="none" w:sz="0" w:space="0" w:color="auto"/>
                                                                      </w:divBdr>
                                                                      <w:divsChild>
                                                                        <w:div w:id="1913078295">
                                                                          <w:marLeft w:val="0"/>
                                                                          <w:marRight w:val="0"/>
                                                                          <w:marTop w:val="0"/>
                                                                          <w:marBottom w:val="0"/>
                                                                          <w:divBdr>
                                                                            <w:top w:val="none" w:sz="0" w:space="0" w:color="auto"/>
                                                                            <w:left w:val="none" w:sz="0" w:space="0" w:color="auto"/>
                                                                            <w:bottom w:val="none" w:sz="0" w:space="0" w:color="auto"/>
                                                                            <w:right w:val="none" w:sz="0" w:space="0" w:color="auto"/>
                                                                          </w:divBdr>
                                                                          <w:divsChild>
                                                                            <w:div w:id="148904237">
                                                                              <w:marLeft w:val="0"/>
                                                                              <w:marRight w:val="0"/>
                                                                              <w:marTop w:val="0"/>
                                                                              <w:marBottom w:val="0"/>
                                                                              <w:divBdr>
                                                                                <w:top w:val="none" w:sz="0" w:space="0" w:color="auto"/>
                                                                                <w:left w:val="none" w:sz="0" w:space="0" w:color="auto"/>
                                                                                <w:bottom w:val="none" w:sz="0" w:space="0" w:color="auto"/>
                                                                                <w:right w:val="none" w:sz="0" w:space="0" w:color="auto"/>
                                                                              </w:divBdr>
                                                                              <w:divsChild>
                                                                                <w:div w:id="1478572807">
                                                                                  <w:marLeft w:val="0"/>
                                                                                  <w:marRight w:val="0"/>
                                                                                  <w:marTop w:val="0"/>
                                                                                  <w:marBottom w:val="0"/>
                                                                                  <w:divBdr>
                                                                                    <w:top w:val="none" w:sz="0" w:space="0" w:color="auto"/>
                                                                                    <w:left w:val="none" w:sz="0" w:space="0" w:color="auto"/>
                                                                                    <w:bottom w:val="none" w:sz="0" w:space="0" w:color="auto"/>
                                                                                    <w:right w:val="none" w:sz="0" w:space="0" w:color="auto"/>
                                                                                  </w:divBdr>
                                                                                  <w:divsChild>
                                                                                    <w:div w:id="1797723517">
                                                                                      <w:marLeft w:val="0"/>
                                                                                      <w:marRight w:val="0"/>
                                                                                      <w:marTop w:val="0"/>
                                                                                      <w:marBottom w:val="0"/>
                                                                                      <w:divBdr>
                                                                                        <w:top w:val="none" w:sz="0" w:space="0" w:color="auto"/>
                                                                                        <w:left w:val="none" w:sz="0" w:space="0" w:color="auto"/>
                                                                                        <w:bottom w:val="none" w:sz="0" w:space="0" w:color="auto"/>
                                                                                        <w:right w:val="none" w:sz="0" w:space="0" w:color="auto"/>
                                                                                      </w:divBdr>
                                                                                      <w:divsChild>
                                                                                        <w:div w:id="74715677">
                                                                                          <w:marLeft w:val="0"/>
                                                                                          <w:marRight w:val="0"/>
                                                                                          <w:marTop w:val="0"/>
                                                                                          <w:marBottom w:val="0"/>
                                                                                          <w:divBdr>
                                                                                            <w:top w:val="none" w:sz="0" w:space="0" w:color="auto"/>
                                                                                            <w:left w:val="none" w:sz="0" w:space="0" w:color="auto"/>
                                                                                            <w:bottom w:val="none" w:sz="0" w:space="0" w:color="auto"/>
                                                                                            <w:right w:val="none" w:sz="0" w:space="0" w:color="auto"/>
                                                                                          </w:divBdr>
                                                                                          <w:divsChild>
                                                                                            <w:div w:id="241187430">
                                                                                              <w:marLeft w:val="0"/>
                                                                                              <w:marRight w:val="120"/>
                                                                                              <w:marTop w:val="0"/>
                                                                                              <w:marBottom w:val="150"/>
                                                                                              <w:divBdr>
                                                                                                <w:top w:val="single" w:sz="2" w:space="0" w:color="EFEFEF"/>
                                                                                                <w:left w:val="single" w:sz="6" w:space="0" w:color="EFEFEF"/>
                                                                                                <w:bottom w:val="single" w:sz="6" w:space="0" w:color="E2E2E2"/>
                                                                                                <w:right w:val="single" w:sz="6" w:space="0" w:color="EFEFEF"/>
                                                                                              </w:divBdr>
                                                                                              <w:divsChild>
                                                                                                <w:div w:id="107088583">
                                                                                                  <w:marLeft w:val="0"/>
                                                                                                  <w:marRight w:val="0"/>
                                                                                                  <w:marTop w:val="0"/>
                                                                                                  <w:marBottom w:val="0"/>
                                                                                                  <w:divBdr>
                                                                                                    <w:top w:val="none" w:sz="0" w:space="0" w:color="auto"/>
                                                                                                    <w:left w:val="none" w:sz="0" w:space="0" w:color="auto"/>
                                                                                                    <w:bottom w:val="none" w:sz="0" w:space="0" w:color="auto"/>
                                                                                                    <w:right w:val="none" w:sz="0" w:space="0" w:color="auto"/>
                                                                                                  </w:divBdr>
                                                                                                  <w:divsChild>
                                                                                                    <w:div w:id="1019085607">
                                                                                                      <w:marLeft w:val="0"/>
                                                                                                      <w:marRight w:val="0"/>
                                                                                                      <w:marTop w:val="0"/>
                                                                                                      <w:marBottom w:val="0"/>
                                                                                                      <w:divBdr>
                                                                                                        <w:top w:val="none" w:sz="0" w:space="0" w:color="auto"/>
                                                                                                        <w:left w:val="none" w:sz="0" w:space="0" w:color="auto"/>
                                                                                                        <w:bottom w:val="none" w:sz="0" w:space="0" w:color="auto"/>
                                                                                                        <w:right w:val="none" w:sz="0" w:space="0" w:color="auto"/>
                                                                                                      </w:divBdr>
                                                                                                      <w:divsChild>
                                                                                                        <w:div w:id="1022900900">
                                                                                                          <w:marLeft w:val="0"/>
                                                                                                          <w:marRight w:val="0"/>
                                                                                                          <w:marTop w:val="0"/>
                                                                                                          <w:marBottom w:val="0"/>
                                                                                                          <w:divBdr>
                                                                                                            <w:top w:val="none" w:sz="0" w:space="0" w:color="auto"/>
                                                                                                            <w:left w:val="none" w:sz="0" w:space="0" w:color="auto"/>
                                                                                                            <w:bottom w:val="none" w:sz="0" w:space="0" w:color="auto"/>
                                                                                                            <w:right w:val="none" w:sz="0" w:space="0" w:color="auto"/>
                                                                                                          </w:divBdr>
                                                                                                          <w:divsChild>
                                                                                                            <w:div w:id="1197347726">
                                                                                                              <w:marLeft w:val="0"/>
                                                                                                              <w:marRight w:val="0"/>
                                                                                                              <w:marTop w:val="0"/>
                                                                                                              <w:marBottom w:val="0"/>
                                                                                                              <w:divBdr>
                                                                                                                <w:top w:val="none" w:sz="0" w:space="0" w:color="auto"/>
                                                                                                                <w:left w:val="none" w:sz="0" w:space="0" w:color="auto"/>
                                                                                                                <w:bottom w:val="none" w:sz="0" w:space="0" w:color="auto"/>
                                                                                                                <w:right w:val="none" w:sz="0" w:space="0" w:color="auto"/>
                                                                                                              </w:divBdr>
                                                                                                              <w:divsChild>
                                                                                                                <w:div w:id="89662872">
                                                                                                                  <w:marLeft w:val="0"/>
                                                                                                                  <w:marRight w:val="0"/>
                                                                                                                  <w:marTop w:val="0"/>
                                                                                                                  <w:marBottom w:val="0"/>
                                                                                                                  <w:divBdr>
                                                                                                                    <w:top w:val="single" w:sz="2" w:space="4" w:color="D8D8D8"/>
                                                                                                                    <w:left w:val="single" w:sz="2" w:space="0" w:color="D8D8D8"/>
                                                                                                                    <w:bottom w:val="single" w:sz="2" w:space="4" w:color="D8D8D8"/>
                                                                                                                    <w:right w:val="single" w:sz="2" w:space="0" w:color="D8D8D8"/>
                                                                                                                  </w:divBdr>
                                                                                                                  <w:divsChild>
                                                                                                                    <w:div w:id="1730231584">
                                                                                                                      <w:marLeft w:val="225"/>
                                                                                                                      <w:marRight w:val="225"/>
                                                                                                                      <w:marTop w:val="75"/>
                                                                                                                      <w:marBottom w:val="75"/>
                                                                                                                      <w:divBdr>
                                                                                                                        <w:top w:val="none" w:sz="0" w:space="0" w:color="auto"/>
                                                                                                                        <w:left w:val="none" w:sz="0" w:space="0" w:color="auto"/>
                                                                                                                        <w:bottom w:val="none" w:sz="0" w:space="0" w:color="auto"/>
                                                                                                                        <w:right w:val="none" w:sz="0" w:space="0" w:color="auto"/>
                                                                                                                      </w:divBdr>
                                                                                                                      <w:divsChild>
                                                                                                                        <w:div w:id="2106412981">
                                                                                                                          <w:marLeft w:val="0"/>
                                                                                                                          <w:marRight w:val="0"/>
                                                                                                                          <w:marTop w:val="0"/>
                                                                                                                          <w:marBottom w:val="0"/>
                                                                                                                          <w:divBdr>
                                                                                                                            <w:top w:val="single" w:sz="6" w:space="0" w:color="auto"/>
                                                                                                                            <w:left w:val="single" w:sz="6" w:space="0" w:color="auto"/>
                                                                                                                            <w:bottom w:val="single" w:sz="6" w:space="0" w:color="auto"/>
                                                                                                                            <w:right w:val="single" w:sz="6" w:space="0" w:color="auto"/>
                                                                                                                          </w:divBdr>
                                                                                                                          <w:divsChild>
                                                                                                                            <w:div w:id="213636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769020">
      <w:bodyDiv w:val="1"/>
      <w:marLeft w:val="0"/>
      <w:marRight w:val="0"/>
      <w:marTop w:val="0"/>
      <w:marBottom w:val="0"/>
      <w:divBdr>
        <w:top w:val="none" w:sz="0" w:space="0" w:color="auto"/>
        <w:left w:val="none" w:sz="0" w:space="0" w:color="auto"/>
        <w:bottom w:val="none" w:sz="0" w:space="0" w:color="auto"/>
        <w:right w:val="none" w:sz="0" w:space="0" w:color="auto"/>
      </w:divBdr>
    </w:div>
    <w:div w:id="1287472669">
      <w:bodyDiv w:val="1"/>
      <w:marLeft w:val="0"/>
      <w:marRight w:val="0"/>
      <w:marTop w:val="0"/>
      <w:marBottom w:val="0"/>
      <w:divBdr>
        <w:top w:val="none" w:sz="0" w:space="0" w:color="auto"/>
        <w:left w:val="none" w:sz="0" w:space="0" w:color="auto"/>
        <w:bottom w:val="none" w:sz="0" w:space="0" w:color="auto"/>
        <w:right w:val="none" w:sz="0" w:space="0" w:color="auto"/>
      </w:divBdr>
    </w:div>
    <w:div w:id="1299333506">
      <w:bodyDiv w:val="1"/>
      <w:marLeft w:val="0"/>
      <w:marRight w:val="0"/>
      <w:marTop w:val="0"/>
      <w:marBottom w:val="0"/>
      <w:divBdr>
        <w:top w:val="none" w:sz="0" w:space="0" w:color="auto"/>
        <w:left w:val="none" w:sz="0" w:space="0" w:color="auto"/>
        <w:bottom w:val="none" w:sz="0" w:space="0" w:color="auto"/>
        <w:right w:val="none" w:sz="0" w:space="0" w:color="auto"/>
      </w:divBdr>
    </w:div>
    <w:div w:id="1304458159">
      <w:bodyDiv w:val="1"/>
      <w:marLeft w:val="0"/>
      <w:marRight w:val="0"/>
      <w:marTop w:val="0"/>
      <w:marBottom w:val="0"/>
      <w:divBdr>
        <w:top w:val="none" w:sz="0" w:space="0" w:color="auto"/>
        <w:left w:val="none" w:sz="0" w:space="0" w:color="auto"/>
        <w:bottom w:val="none" w:sz="0" w:space="0" w:color="auto"/>
        <w:right w:val="none" w:sz="0" w:space="0" w:color="auto"/>
      </w:divBdr>
    </w:div>
    <w:div w:id="1444693606">
      <w:bodyDiv w:val="1"/>
      <w:marLeft w:val="0"/>
      <w:marRight w:val="0"/>
      <w:marTop w:val="0"/>
      <w:marBottom w:val="0"/>
      <w:divBdr>
        <w:top w:val="none" w:sz="0" w:space="0" w:color="auto"/>
        <w:left w:val="none" w:sz="0" w:space="0" w:color="auto"/>
        <w:bottom w:val="none" w:sz="0" w:space="0" w:color="auto"/>
        <w:right w:val="none" w:sz="0" w:space="0" w:color="auto"/>
      </w:divBdr>
    </w:div>
    <w:div w:id="1511066250">
      <w:bodyDiv w:val="1"/>
      <w:marLeft w:val="0"/>
      <w:marRight w:val="0"/>
      <w:marTop w:val="0"/>
      <w:marBottom w:val="0"/>
      <w:divBdr>
        <w:top w:val="none" w:sz="0" w:space="0" w:color="auto"/>
        <w:left w:val="none" w:sz="0" w:space="0" w:color="auto"/>
        <w:bottom w:val="none" w:sz="0" w:space="0" w:color="auto"/>
        <w:right w:val="none" w:sz="0" w:space="0" w:color="auto"/>
      </w:divBdr>
    </w:div>
    <w:div w:id="1548494501">
      <w:bodyDiv w:val="1"/>
      <w:marLeft w:val="0"/>
      <w:marRight w:val="0"/>
      <w:marTop w:val="0"/>
      <w:marBottom w:val="0"/>
      <w:divBdr>
        <w:top w:val="none" w:sz="0" w:space="0" w:color="auto"/>
        <w:left w:val="none" w:sz="0" w:space="0" w:color="auto"/>
        <w:bottom w:val="none" w:sz="0" w:space="0" w:color="auto"/>
        <w:right w:val="none" w:sz="0" w:space="0" w:color="auto"/>
      </w:divBdr>
    </w:div>
    <w:div w:id="1654064633">
      <w:bodyDiv w:val="1"/>
      <w:marLeft w:val="0"/>
      <w:marRight w:val="0"/>
      <w:marTop w:val="0"/>
      <w:marBottom w:val="0"/>
      <w:divBdr>
        <w:top w:val="none" w:sz="0" w:space="0" w:color="auto"/>
        <w:left w:val="none" w:sz="0" w:space="0" w:color="auto"/>
        <w:bottom w:val="none" w:sz="0" w:space="0" w:color="auto"/>
        <w:right w:val="none" w:sz="0" w:space="0" w:color="auto"/>
      </w:divBdr>
      <w:divsChild>
        <w:div w:id="1224097499">
          <w:marLeft w:val="0"/>
          <w:marRight w:val="0"/>
          <w:marTop w:val="0"/>
          <w:marBottom w:val="0"/>
          <w:divBdr>
            <w:top w:val="none" w:sz="0" w:space="0" w:color="auto"/>
            <w:left w:val="none" w:sz="0" w:space="0" w:color="auto"/>
            <w:bottom w:val="none" w:sz="0" w:space="0" w:color="auto"/>
            <w:right w:val="none" w:sz="0" w:space="0" w:color="auto"/>
          </w:divBdr>
          <w:divsChild>
            <w:div w:id="928123106">
              <w:marLeft w:val="0"/>
              <w:marRight w:val="0"/>
              <w:marTop w:val="0"/>
              <w:marBottom w:val="0"/>
              <w:divBdr>
                <w:top w:val="none" w:sz="0" w:space="0" w:color="auto"/>
                <w:left w:val="none" w:sz="0" w:space="0" w:color="auto"/>
                <w:bottom w:val="none" w:sz="0" w:space="0" w:color="auto"/>
                <w:right w:val="none" w:sz="0" w:space="0" w:color="auto"/>
              </w:divBdr>
              <w:divsChild>
                <w:div w:id="1951281243">
                  <w:marLeft w:val="0"/>
                  <w:marRight w:val="0"/>
                  <w:marTop w:val="0"/>
                  <w:marBottom w:val="0"/>
                  <w:divBdr>
                    <w:top w:val="none" w:sz="0" w:space="0" w:color="auto"/>
                    <w:left w:val="none" w:sz="0" w:space="0" w:color="auto"/>
                    <w:bottom w:val="none" w:sz="0" w:space="0" w:color="auto"/>
                    <w:right w:val="none" w:sz="0" w:space="0" w:color="auto"/>
                  </w:divBdr>
                  <w:divsChild>
                    <w:div w:id="2013680872">
                      <w:marLeft w:val="0"/>
                      <w:marRight w:val="0"/>
                      <w:marTop w:val="0"/>
                      <w:marBottom w:val="0"/>
                      <w:divBdr>
                        <w:top w:val="none" w:sz="0" w:space="0" w:color="auto"/>
                        <w:left w:val="none" w:sz="0" w:space="0" w:color="auto"/>
                        <w:bottom w:val="none" w:sz="0" w:space="0" w:color="auto"/>
                        <w:right w:val="none" w:sz="0" w:space="0" w:color="auto"/>
                      </w:divBdr>
                      <w:divsChild>
                        <w:div w:id="1174956369">
                          <w:marLeft w:val="0"/>
                          <w:marRight w:val="0"/>
                          <w:marTop w:val="0"/>
                          <w:marBottom w:val="0"/>
                          <w:divBdr>
                            <w:top w:val="none" w:sz="0" w:space="0" w:color="auto"/>
                            <w:left w:val="none" w:sz="0" w:space="0" w:color="auto"/>
                            <w:bottom w:val="none" w:sz="0" w:space="0" w:color="auto"/>
                            <w:right w:val="none" w:sz="0" w:space="0" w:color="auto"/>
                          </w:divBdr>
                          <w:divsChild>
                            <w:div w:id="1970932655">
                              <w:marLeft w:val="0"/>
                              <w:marRight w:val="0"/>
                              <w:marTop w:val="0"/>
                              <w:marBottom w:val="0"/>
                              <w:divBdr>
                                <w:top w:val="none" w:sz="0" w:space="0" w:color="auto"/>
                                <w:left w:val="none" w:sz="0" w:space="0" w:color="auto"/>
                                <w:bottom w:val="none" w:sz="0" w:space="0" w:color="auto"/>
                                <w:right w:val="none" w:sz="0" w:space="0" w:color="auto"/>
                              </w:divBdr>
                              <w:divsChild>
                                <w:div w:id="1823737806">
                                  <w:marLeft w:val="0"/>
                                  <w:marRight w:val="0"/>
                                  <w:marTop w:val="0"/>
                                  <w:marBottom w:val="0"/>
                                  <w:divBdr>
                                    <w:top w:val="none" w:sz="0" w:space="0" w:color="auto"/>
                                    <w:left w:val="none" w:sz="0" w:space="0" w:color="auto"/>
                                    <w:bottom w:val="none" w:sz="0" w:space="0" w:color="auto"/>
                                    <w:right w:val="none" w:sz="0" w:space="0" w:color="auto"/>
                                  </w:divBdr>
                                  <w:divsChild>
                                    <w:div w:id="1853255824">
                                      <w:marLeft w:val="0"/>
                                      <w:marRight w:val="0"/>
                                      <w:marTop w:val="0"/>
                                      <w:marBottom w:val="0"/>
                                      <w:divBdr>
                                        <w:top w:val="none" w:sz="0" w:space="0" w:color="auto"/>
                                        <w:left w:val="none" w:sz="0" w:space="0" w:color="auto"/>
                                        <w:bottom w:val="none" w:sz="0" w:space="0" w:color="auto"/>
                                        <w:right w:val="none" w:sz="0" w:space="0" w:color="auto"/>
                                      </w:divBdr>
                                      <w:divsChild>
                                        <w:div w:id="816067837">
                                          <w:marLeft w:val="0"/>
                                          <w:marRight w:val="0"/>
                                          <w:marTop w:val="0"/>
                                          <w:marBottom w:val="0"/>
                                          <w:divBdr>
                                            <w:top w:val="none" w:sz="0" w:space="0" w:color="auto"/>
                                            <w:left w:val="none" w:sz="0" w:space="0" w:color="auto"/>
                                            <w:bottom w:val="none" w:sz="0" w:space="0" w:color="auto"/>
                                            <w:right w:val="none" w:sz="0" w:space="0" w:color="auto"/>
                                          </w:divBdr>
                                          <w:divsChild>
                                            <w:div w:id="1367637025">
                                              <w:marLeft w:val="0"/>
                                              <w:marRight w:val="0"/>
                                              <w:marTop w:val="0"/>
                                              <w:marBottom w:val="0"/>
                                              <w:divBdr>
                                                <w:top w:val="single" w:sz="12" w:space="2" w:color="FFFFCC"/>
                                                <w:left w:val="single" w:sz="12" w:space="2" w:color="FFFFCC"/>
                                                <w:bottom w:val="single" w:sz="12" w:space="2" w:color="FFFFCC"/>
                                                <w:right w:val="single" w:sz="12" w:space="0" w:color="FFFFCC"/>
                                              </w:divBdr>
                                              <w:divsChild>
                                                <w:div w:id="1125000884">
                                                  <w:marLeft w:val="0"/>
                                                  <w:marRight w:val="0"/>
                                                  <w:marTop w:val="0"/>
                                                  <w:marBottom w:val="0"/>
                                                  <w:divBdr>
                                                    <w:top w:val="none" w:sz="0" w:space="0" w:color="auto"/>
                                                    <w:left w:val="none" w:sz="0" w:space="0" w:color="auto"/>
                                                    <w:bottom w:val="none" w:sz="0" w:space="0" w:color="auto"/>
                                                    <w:right w:val="none" w:sz="0" w:space="0" w:color="auto"/>
                                                  </w:divBdr>
                                                  <w:divsChild>
                                                    <w:div w:id="1962417659">
                                                      <w:marLeft w:val="0"/>
                                                      <w:marRight w:val="0"/>
                                                      <w:marTop w:val="0"/>
                                                      <w:marBottom w:val="0"/>
                                                      <w:divBdr>
                                                        <w:top w:val="none" w:sz="0" w:space="0" w:color="auto"/>
                                                        <w:left w:val="none" w:sz="0" w:space="0" w:color="auto"/>
                                                        <w:bottom w:val="none" w:sz="0" w:space="0" w:color="auto"/>
                                                        <w:right w:val="none" w:sz="0" w:space="0" w:color="auto"/>
                                                      </w:divBdr>
                                                      <w:divsChild>
                                                        <w:div w:id="1508209562">
                                                          <w:marLeft w:val="0"/>
                                                          <w:marRight w:val="0"/>
                                                          <w:marTop w:val="0"/>
                                                          <w:marBottom w:val="0"/>
                                                          <w:divBdr>
                                                            <w:top w:val="none" w:sz="0" w:space="0" w:color="auto"/>
                                                            <w:left w:val="none" w:sz="0" w:space="0" w:color="auto"/>
                                                            <w:bottom w:val="none" w:sz="0" w:space="0" w:color="auto"/>
                                                            <w:right w:val="none" w:sz="0" w:space="0" w:color="auto"/>
                                                          </w:divBdr>
                                                          <w:divsChild>
                                                            <w:div w:id="1119304210">
                                                              <w:marLeft w:val="0"/>
                                                              <w:marRight w:val="0"/>
                                                              <w:marTop w:val="0"/>
                                                              <w:marBottom w:val="0"/>
                                                              <w:divBdr>
                                                                <w:top w:val="none" w:sz="0" w:space="0" w:color="auto"/>
                                                                <w:left w:val="none" w:sz="0" w:space="0" w:color="auto"/>
                                                                <w:bottom w:val="none" w:sz="0" w:space="0" w:color="auto"/>
                                                                <w:right w:val="none" w:sz="0" w:space="0" w:color="auto"/>
                                                              </w:divBdr>
                                                              <w:divsChild>
                                                                <w:div w:id="1302885659">
                                                                  <w:marLeft w:val="0"/>
                                                                  <w:marRight w:val="0"/>
                                                                  <w:marTop w:val="0"/>
                                                                  <w:marBottom w:val="0"/>
                                                                  <w:divBdr>
                                                                    <w:top w:val="none" w:sz="0" w:space="0" w:color="auto"/>
                                                                    <w:left w:val="none" w:sz="0" w:space="0" w:color="auto"/>
                                                                    <w:bottom w:val="none" w:sz="0" w:space="0" w:color="auto"/>
                                                                    <w:right w:val="none" w:sz="0" w:space="0" w:color="auto"/>
                                                                  </w:divBdr>
                                                                  <w:divsChild>
                                                                    <w:div w:id="997732417">
                                                                      <w:marLeft w:val="0"/>
                                                                      <w:marRight w:val="0"/>
                                                                      <w:marTop w:val="0"/>
                                                                      <w:marBottom w:val="0"/>
                                                                      <w:divBdr>
                                                                        <w:top w:val="none" w:sz="0" w:space="0" w:color="auto"/>
                                                                        <w:left w:val="none" w:sz="0" w:space="0" w:color="auto"/>
                                                                        <w:bottom w:val="none" w:sz="0" w:space="0" w:color="auto"/>
                                                                        <w:right w:val="none" w:sz="0" w:space="0" w:color="auto"/>
                                                                      </w:divBdr>
                                                                      <w:divsChild>
                                                                        <w:div w:id="1040276311">
                                                                          <w:marLeft w:val="0"/>
                                                                          <w:marRight w:val="0"/>
                                                                          <w:marTop w:val="0"/>
                                                                          <w:marBottom w:val="0"/>
                                                                          <w:divBdr>
                                                                            <w:top w:val="none" w:sz="0" w:space="0" w:color="auto"/>
                                                                            <w:left w:val="none" w:sz="0" w:space="0" w:color="auto"/>
                                                                            <w:bottom w:val="none" w:sz="0" w:space="0" w:color="auto"/>
                                                                            <w:right w:val="none" w:sz="0" w:space="0" w:color="auto"/>
                                                                          </w:divBdr>
                                                                          <w:divsChild>
                                                                            <w:div w:id="1575164127">
                                                                              <w:marLeft w:val="0"/>
                                                                              <w:marRight w:val="0"/>
                                                                              <w:marTop w:val="0"/>
                                                                              <w:marBottom w:val="0"/>
                                                                              <w:divBdr>
                                                                                <w:top w:val="none" w:sz="0" w:space="0" w:color="auto"/>
                                                                                <w:left w:val="none" w:sz="0" w:space="0" w:color="auto"/>
                                                                                <w:bottom w:val="none" w:sz="0" w:space="0" w:color="auto"/>
                                                                                <w:right w:val="none" w:sz="0" w:space="0" w:color="auto"/>
                                                                              </w:divBdr>
                                                                              <w:divsChild>
                                                                                <w:div w:id="1740983864">
                                                                                  <w:marLeft w:val="0"/>
                                                                                  <w:marRight w:val="0"/>
                                                                                  <w:marTop w:val="0"/>
                                                                                  <w:marBottom w:val="0"/>
                                                                                  <w:divBdr>
                                                                                    <w:top w:val="none" w:sz="0" w:space="0" w:color="auto"/>
                                                                                    <w:left w:val="none" w:sz="0" w:space="0" w:color="auto"/>
                                                                                    <w:bottom w:val="none" w:sz="0" w:space="0" w:color="auto"/>
                                                                                    <w:right w:val="none" w:sz="0" w:space="0" w:color="auto"/>
                                                                                  </w:divBdr>
                                                                                  <w:divsChild>
                                                                                    <w:div w:id="422846219">
                                                                                      <w:marLeft w:val="0"/>
                                                                                      <w:marRight w:val="0"/>
                                                                                      <w:marTop w:val="0"/>
                                                                                      <w:marBottom w:val="0"/>
                                                                                      <w:divBdr>
                                                                                        <w:top w:val="none" w:sz="0" w:space="0" w:color="auto"/>
                                                                                        <w:left w:val="none" w:sz="0" w:space="0" w:color="auto"/>
                                                                                        <w:bottom w:val="none" w:sz="0" w:space="0" w:color="auto"/>
                                                                                        <w:right w:val="none" w:sz="0" w:space="0" w:color="auto"/>
                                                                                      </w:divBdr>
                                                                                      <w:divsChild>
                                                                                        <w:div w:id="1772697257">
                                                                                          <w:marLeft w:val="0"/>
                                                                                          <w:marRight w:val="0"/>
                                                                                          <w:marTop w:val="0"/>
                                                                                          <w:marBottom w:val="0"/>
                                                                                          <w:divBdr>
                                                                                            <w:top w:val="none" w:sz="0" w:space="0" w:color="auto"/>
                                                                                            <w:left w:val="none" w:sz="0" w:space="0" w:color="auto"/>
                                                                                            <w:bottom w:val="none" w:sz="0" w:space="0" w:color="auto"/>
                                                                                            <w:right w:val="none" w:sz="0" w:space="0" w:color="auto"/>
                                                                                          </w:divBdr>
                                                                                          <w:divsChild>
                                                                                            <w:div w:id="1227036916">
                                                                                              <w:marLeft w:val="0"/>
                                                                                              <w:marRight w:val="120"/>
                                                                                              <w:marTop w:val="0"/>
                                                                                              <w:marBottom w:val="150"/>
                                                                                              <w:divBdr>
                                                                                                <w:top w:val="single" w:sz="2" w:space="0" w:color="EFEFEF"/>
                                                                                                <w:left w:val="single" w:sz="6" w:space="0" w:color="EFEFEF"/>
                                                                                                <w:bottom w:val="single" w:sz="6" w:space="0" w:color="E2E2E2"/>
                                                                                                <w:right w:val="single" w:sz="6" w:space="0" w:color="EFEFEF"/>
                                                                                              </w:divBdr>
                                                                                              <w:divsChild>
                                                                                                <w:div w:id="1616522885">
                                                                                                  <w:marLeft w:val="0"/>
                                                                                                  <w:marRight w:val="0"/>
                                                                                                  <w:marTop w:val="0"/>
                                                                                                  <w:marBottom w:val="0"/>
                                                                                                  <w:divBdr>
                                                                                                    <w:top w:val="none" w:sz="0" w:space="0" w:color="auto"/>
                                                                                                    <w:left w:val="none" w:sz="0" w:space="0" w:color="auto"/>
                                                                                                    <w:bottom w:val="none" w:sz="0" w:space="0" w:color="auto"/>
                                                                                                    <w:right w:val="none" w:sz="0" w:space="0" w:color="auto"/>
                                                                                                  </w:divBdr>
                                                                                                  <w:divsChild>
                                                                                                    <w:div w:id="322393263">
                                                                                                      <w:marLeft w:val="0"/>
                                                                                                      <w:marRight w:val="0"/>
                                                                                                      <w:marTop w:val="0"/>
                                                                                                      <w:marBottom w:val="0"/>
                                                                                                      <w:divBdr>
                                                                                                        <w:top w:val="none" w:sz="0" w:space="0" w:color="auto"/>
                                                                                                        <w:left w:val="none" w:sz="0" w:space="0" w:color="auto"/>
                                                                                                        <w:bottom w:val="none" w:sz="0" w:space="0" w:color="auto"/>
                                                                                                        <w:right w:val="none" w:sz="0" w:space="0" w:color="auto"/>
                                                                                                      </w:divBdr>
                                                                                                      <w:divsChild>
                                                                                                        <w:div w:id="1932816212">
                                                                                                          <w:marLeft w:val="0"/>
                                                                                                          <w:marRight w:val="0"/>
                                                                                                          <w:marTop w:val="0"/>
                                                                                                          <w:marBottom w:val="0"/>
                                                                                                          <w:divBdr>
                                                                                                            <w:top w:val="none" w:sz="0" w:space="0" w:color="auto"/>
                                                                                                            <w:left w:val="none" w:sz="0" w:space="0" w:color="auto"/>
                                                                                                            <w:bottom w:val="none" w:sz="0" w:space="0" w:color="auto"/>
                                                                                                            <w:right w:val="none" w:sz="0" w:space="0" w:color="auto"/>
                                                                                                          </w:divBdr>
                                                                                                          <w:divsChild>
                                                                                                            <w:div w:id="1051536327">
                                                                                                              <w:marLeft w:val="0"/>
                                                                                                              <w:marRight w:val="0"/>
                                                                                                              <w:marTop w:val="0"/>
                                                                                                              <w:marBottom w:val="0"/>
                                                                                                              <w:divBdr>
                                                                                                                <w:top w:val="none" w:sz="0" w:space="0" w:color="auto"/>
                                                                                                                <w:left w:val="none" w:sz="0" w:space="0" w:color="auto"/>
                                                                                                                <w:bottom w:val="none" w:sz="0" w:space="0" w:color="auto"/>
                                                                                                                <w:right w:val="none" w:sz="0" w:space="0" w:color="auto"/>
                                                                                                              </w:divBdr>
                                                                                                              <w:divsChild>
                                                                                                                <w:div w:id="934821026">
                                                                                                                  <w:marLeft w:val="0"/>
                                                                                                                  <w:marRight w:val="0"/>
                                                                                                                  <w:marTop w:val="0"/>
                                                                                                                  <w:marBottom w:val="0"/>
                                                                                                                  <w:divBdr>
                                                                                                                    <w:top w:val="single" w:sz="2" w:space="4" w:color="D8D8D8"/>
                                                                                                                    <w:left w:val="single" w:sz="2" w:space="0" w:color="D8D8D8"/>
                                                                                                                    <w:bottom w:val="single" w:sz="2" w:space="4" w:color="D8D8D8"/>
                                                                                                                    <w:right w:val="single" w:sz="2" w:space="0" w:color="D8D8D8"/>
                                                                                                                  </w:divBdr>
                                                                                                                  <w:divsChild>
                                                                                                                    <w:div w:id="1416779850">
                                                                                                                      <w:marLeft w:val="225"/>
                                                                                                                      <w:marRight w:val="225"/>
                                                                                                                      <w:marTop w:val="75"/>
                                                                                                                      <w:marBottom w:val="75"/>
                                                                                                                      <w:divBdr>
                                                                                                                        <w:top w:val="none" w:sz="0" w:space="0" w:color="auto"/>
                                                                                                                        <w:left w:val="none" w:sz="0" w:space="0" w:color="auto"/>
                                                                                                                        <w:bottom w:val="none" w:sz="0" w:space="0" w:color="auto"/>
                                                                                                                        <w:right w:val="none" w:sz="0" w:space="0" w:color="auto"/>
                                                                                                                      </w:divBdr>
                                                                                                                      <w:divsChild>
                                                                                                                        <w:div w:id="758915934">
                                                                                                                          <w:marLeft w:val="0"/>
                                                                                                                          <w:marRight w:val="0"/>
                                                                                                                          <w:marTop w:val="0"/>
                                                                                                                          <w:marBottom w:val="0"/>
                                                                                                                          <w:divBdr>
                                                                                                                            <w:top w:val="single" w:sz="6" w:space="0" w:color="auto"/>
                                                                                                                            <w:left w:val="single" w:sz="6" w:space="0" w:color="auto"/>
                                                                                                                            <w:bottom w:val="single" w:sz="6" w:space="0" w:color="auto"/>
                                                                                                                            <w:right w:val="single" w:sz="6" w:space="0" w:color="auto"/>
                                                                                                                          </w:divBdr>
                                                                                                                          <w:divsChild>
                                                                                                                            <w:div w:id="1090389173">
                                                                                                                              <w:marLeft w:val="0"/>
                                                                                                                              <w:marRight w:val="0"/>
                                                                                                                              <w:marTop w:val="0"/>
                                                                                                                              <w:marBottom w:val="0"/>
                                                                                                                              <w:divBdr>
                                                                                                                                <w:top w:val="none" w:sz="0" w:space="0" w:color="auto"/>
                                                                                                                                <w:left w:val="none" w:sz="0" w:space="0" w:color="auto"/>
                                                                                                                                <w:bottom w:val="none" w:sz="0" w:space="0" w:color="auto"/>
                                                                                                                                <w:right w:val="none" w:sz="0" w:space="0" w:color="auto"/>
                                                                                                                              </w:divBdr>
                                                                                                                              <w:divsChild>
                                                                                                                                <w:div w:id="200108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4136208">
      <w:bodyDiv w:val="1"/>
      <w:marLeft w:val="0"/>
      <w:marRight w:val="0"/>
      <w:marTop w:val="0"/>
      <w:marBottom w:val="0"/>
      <w:divBdr>
        <w:top w:val="none" w:sz="0" w:space="0" w:color="auto"/>
        <w:left w:val="none" w:sz="0" w:space="0" w:color="auto"/>
        <w:bottom w:val="none" w:sz="0" w:space="0" w:color="auto"/>
        <w:right w:val="none" w:sz="0" w:space="0" w:color="auto"/>
      </w:divBdr>
    </w:div>
    <w:div w:id="1778788794">
      <w:bodyDiv w:val="1"/>
      <w:marLeft w:val="0"/>
      <w:marRight w:val="0"/>
      <w:marTop w:val="0"/>
      <w:marBottom w:val="0"/>
      <w:divBdr>
        <w:top w:val="none" w:sz="0" w:space="0" w:color="auto"/>
        <w:left w:val="none" w:sz="0" w:space="0" w:color="auto"/>
        <w:bottom w:val="none" w:sz="0" w:space="0" w:color="auto"/>
        <w:right w:val="none" w:sz="0" w:space="0" w:color="auto"/>
      </w:divBdr>
    </w:div>
    <w:div w:id="1810054865">
      <w:bodyDiv w:val="1"/>
      <w:marLeft w:val="0"/>
      <w:marRight w:val="0"/>
      <w:marTop w:val="0"/>
      <w:marBottom w:val="0"/>
      <w:divBdr>
        <w:top w:val="none" w:sz="0" w:space="0" w:color="auto"/>
        <w:left w:val="none" w:sz="0" w:space="0" w:color="auto"/>
        <w:bottom w:val="none" w:sz="0" w:space="0" w:color="auto"/>
        <w:right w:val="none" w:sz="0" w:space="0" w:color="auto"/>
      </w:divBdr>
    </w:div>
    <w:div w:id="1851791469">
      <w:bodyDiv w:val="1"/>
      <w:marLeft w:val="0"/>
      <w:marRight w:val="0"/>
      <w:marTop w:val="0"/>
      <w:marBottom w:val="0"/>
      <w:divBdr>
        <w:top w:val="none" w:sz="0" w:space="0" w:color="auto"/>
        <w:left w:val="none" w:sz="0" w:space="0" w:color="auto"/>
        <w:bottom w:val="none" w:sz="0" w:space="0" w:color="auto"/>
        <w:right w:val="none" w:sz="0" w:space="0" w:color="auto"/>
      </w:divBdr>
    </w:div>
    <w:div w:id="1878425383">
      <w:bodyDiv w:val="1"/>
      <w:marLeft w:val="0"/>
      <w:marRight w:val="0"/>
      <w:marTop w:val="0"/>
      <w:marBottom w:val="0"/>
      <w:divBdr>
        <w:top w:val="none" w:sz="0" w:space="0" w:color="auto"/>
        <w:left w:val="none" w:sz="0" w:space="0" w:color="auto"/>
        <w:bottom w:val="none" w:sz="0" w:space="0" w:color="auto"/>
        <w:right w:val="none" w:sz="0" w:space="0" w:color="auto"/>
      </w:divBdr>
    </w:div>
    <w:div w:id="1904169639">
      <w:bodyDiv w:val="1"/>
      <w:marLeft w:val="0"/>
      <w:marRight w:val="0"/>
      <w:marTop w:val="0"/>
      <w:marBottom w:val="0"/>
      <w:divBdr>
        <w:top w:val="none" w:sz="0" w:space="0" w:color="auto"/>
        <w:left w:val="none" w:sz="0" w:space="0" w:color="auto"/>
        <w:bottom w:val="none" w:sz="0" w:space="0" w:color="auto"/>
        <w:right w:val="none" w:sz="0" w:space="0" w:color="auto"/>
      </w:divBdr>
    </w:div>
    <w:div w:id="1918131407">
      <w:bodyDiv w:val="1"/>
      <w:marLeft w:val="0"/>
      <w:marRight w:val="0"/>
      <w:marTop w:val="0"/>
      <w:marBottom w:val="0"/>
      <w:divBdr>
        <w:top w:val="none" w:sz="0" w:space="0" w:color="auto"/>
        <w:left w:val="none" w:sz="0" w:space="0" w:color="auto"/>
        <w:bottom w:val="none" w:sz="0" w:space="0" w:color="auto"/>
        <w:right w:val="none" w:sz="0" w:space="0" w:color="auto"/>
      </w:divBdr>
    </w:div>
    <w:div w:id="2002082909">
      <w:bodyDiv w:val="1"/>
      <w:marLeft w:val="0"/>
      <w:marRight w:val="0"/>
      <w:marTop w:val="0"/>
      <w:marBottom w:val="0"/>
      <w:divBdr>
        <w:top w:val="none" w:sz="0" w:space="0" w:color="auto"/>
        <w:left w:val="none" w:sz="0" w:space="0" w:color="auto"/>
        <w:bottom w:val="none" w:sz="0" w:space="0" w:color="auto"/>
        <w:right w:val="none" w:sz="0" w:space="0" w:color="auto"/>
      </w:divBdr>
    </w:div>
    <w:div w:id="2044207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diagramQuickStyle" Target="diagrams/quickStyle1.xml"/><Relationship Id="rId26" Type="http://schemas.openxmlformats.org/officeDocument/2006/relationships/image" Target="media/image1.emf"/><Relationship Id="rId3" Type="http://schemas.openxmlformats.org/officeDocument/2006/relationships/styles" Target="styles.xml"/><Relationship Id="rId21" Type="http://schemas.openxmlformats.org/officeDocument/2006/relationships/diagramData" Target="diagrams/data2.xml"/><Relationship Id="rId34" Type="http://schemas.openxmlformats.org/officeDocument/2006/relationships/customXml" Target="../customXml/item4.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diagramLayout" Target="diagrams/layout1.xml"/><Relationship Id="rId25" Type="http://schemas.microsoft.com/office/2007/relationships/diagramDrawing" Target="diagrams/drawing2.xml"/><Relationship Id="rId33"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diagramData" Target="diagrams/data1.xml"/><Relationship Id="rId20" Type="http://schemas.microsoft.com/office/2007/relationships/diagramDrawing" Target="diagrams/drawing1.xm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diagramColors" Target="diagrams/colors2.xml"/><Relationship Id="rId32" Type="http://schemas.openxmlformats.org/officeDocument/2006/relationships/customXml" Target="../customXml/item2.xml"/><Relationship Id="rId5" Type="http://schemas.openxmlformats.org/officeDocument/2006/relationships/settings" Target="settings.xml"/><Relationship Id="rId15" Type="http://schemas.openxmlformats.org/officeDocument/2006/relationships/chart" Target="charts/chart1.xml"/><Relationship Id="rId23" Type="http://schemas.openxmlformats.org/officeDocument/2006/relationships/diagramQuickStyle" Target="diagrams/quickStyle2.xml"/><Relationship Id="rId28" Type="http://schemas.openxmlformats.org/officeDocument/2006/relationships/hyperlink" Target="http://www.apsc.gov.au/publications-and-media/current-publications/aps-values-and-code-of-conduct-in-practice/working-with-the-government-and-the-parliament" TargetMode="External"/><Relationship Id="rId10" Type="http://schemas.openxmlformats.org/officeDocument/2006/relationships/header" Target="header2.xml"/><Relationship Id="rId19" Type="http://schemas.openxmlformats.org/officeDocument/2006/relationships/diagramColors" Target="diagrams/colors1.xm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diagramLayout" Target="diagrams/layout2.xml"/><Relationship Id="rId27" Type="http://schemas.openxmlformats.org/officeDocument/2006/relationships/image" Target="media/image2.emf"/><Relationship Id="rId30" Type="http://schemas.openxmlformats.org/officeDocument/2006/relationships/fontTable" Target="fontTable.xml"/><Relationship Id="rId8" Type="http://schemas.openxmlformats.org/officeDocument/2006/relationships/endnotes" Target="endnotes.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Nick\Documents\Consultancies\DFAT\CPI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7409463990411603E-2"/>
          <c:y val="5.0316939025837851E-2"/>
          <c:w val="0.9043310626634099"/>
          <c:h val="0.39073266595444411"/>
        </c:manualLayout>
      </c:layout>
      <c:lineChart>
        <c:grouping val="standard"/>
        <c:varyColors val="0"/>
        <c:ser>
          <c:idx val="0"/>
          <c:order val="0"/>
          <c:tx>
            <c:strRef>
              <c:f>'EAP regional comparison'!$A$2</c:f>
              <c:strCache>
                <c:ptCount val="1"/>
                <c:pt idx="0">
                  <c:v>Solomon Islands</c:v>
                </c:pt>
              </c:strCache>
            </c:strRef>
          </c:tx>
          <c:spPr>
            <a:ln w="63500" cap="rnd">
              <a:solidFill>
                <a:srgbClr val="FF0000"/>
              </a:solidFill>
              <a:prstDash val="sysDash"/>
              <a:round/>
            </a:ln>
            <a:effectLst/>
          </c:spPr>
          <c:marker>
            <c:symbol val="none"/>
          </c:marker>
          <c:cat>
            <c:strRef>
              <c:f>'EAP regional comparison'!$B$1:$J$1</c:f>
              <c:strCache>
                <c:ptCount val="9"/>
                <c:pt idx="0">
                  <c:v>2005</c:v>
                </c:pt>
                <c:pt idx="1">
                  <c:v>2006</c:v>
                </c:pt>
                <c:pt idx="2">
                  <c:v>2007</c:v>
                </c:pt>
                <c:pt idx="3">
                  <c:v>2008</c:v>
                </c:pt>
                <c:pt idx="4">
                  <c:v>2009</c:v>
                </c:pt>
                <c:pt idx="5">
                  <c:v>2010</c:v>
                </c:pt>
                <c:pt idx="6">
                  <c:v>2011</c:v>
                </c:pt>
                <c:pt idx="7">
                  <c:v>2012</c:v>
                </c:pt>
                <c:pt idx="8">
                  <c:v>2013</c:v>
                </c:pt>
              </c:strCache>
            </c:strRef>
          </c:cat>
          <c:val>
            <c:numRef>
              <c:f>'EAP regional comparison'!$B$2:$J$2</c:f>
              <c:numCache>
                <c:formatCode>General</c:formatCode>
                <c:ptCount val="9"/>
                <c:pt idx="0">
                  <c:v>2.6</c:v>
                </c:pt>
                <c:pt idx="1">
                  <c:v>2.5</c:v>
                </c:pt>
                <c:pt idx="2">
                  <c:v>2.5</c:v>
                </c:pt>
                <c:pt idx="3">
                  <c:v>2.6</c:v>
                </c:pt>
                <c:pt idx="4">
                  <c:v>2.6</c:v>
                </c:pt>
                <c:pt idx="5">
                  <c:v>2.7</c:v>
                </c:pt>
                <c:pt idx="6">
                  <c:v>2.8</c:v>
                </c:pt>
                <c:pt idx="7">
                  <c:v>2.8</c:v>
                </c:pt>
                <c:pt idx="8">
                  <c:v>2.7</c:v>
                </c:pt>
              </c:numCache>
            </c:numRef>
          </c:val>
          <c:smooth val="0"/>
        </c:ser>
        <c:ser>
          <c:idx val="1"/>
          <c:order val="1"/>
          <c:tx>
            <c:strRef>
              <c:f>'EAP regional comparison'!$A$3</c:f>
              <c:strCache>
                <c:ptCount val="1"/>
                <c:pt idx="0">
                  <c:v>American Samoa</c:v>
                </c:pt>
              </c:strCache>
            </c:strRef>
          </c:tx>
          <c:spPr>
            <a:ln w="28575" cap="rnd">
              <a:solidFill>
                <a:schemeClr val="accent2"/>
              </a:solidFill>
              <a:round/>
            </a:ln>
            <a:effectLst/>
          </c:spPr>
          <c:marker>
            <c:symbol val="none"/>
          </c:marker>
          <c:cat>
            <c:strRef>
              <c:f>'EAP regional comparison'!$B$1:$J$1</c:f>
              <c:strCache>
                <c:ptCount val="9"/>
                <c:pt idx="0">
                  <c:v>2005</c:v>
                </c:pt>
                <c:pt idx="1">
                  <c:v>2006</c:v>
                </c:pt>
                <c:pt idx="2">
                  <c:v>2007</c:v>
                </c:pt>
                <c:pt idx="3">
                  <c:v>2008</c:v>
                </c:pt>
                <c:pt idx="4">
                  <c:v>2009</c:v>
                </c:pt>
                <c:pt idx="5">
                  <c:v>2010</c:v>
                </c:pt>
                <c:pt idx="6">
                  <c:v>2011</c:v>
                </c:pt>
                <c:pt idx="7">
                  <c:v>2012</c:v>
                </c:pt>
                <c:pt idx="8">
                  <c:v>2013</c:v>
                </c:pt>
              </c:strCache>
            </c:strRef>
          </c:cat>
          <c:val>
            <c:numRef>
              <c:f>'EAP regional comparison'!$B$3:$J$3</c:f>
              <c:numCache>
                <c:formatCode>General</c:formatCode>
                <c:ptCount val="9"/>
              </c:numCache>
            </c:numRef>
          </c:val>
          <c:smooth val="0"/>
        </c:ser>
        <c:ser>
          <c:idx val="2"/>
          <c:order val="2"/>
          <c:tx>
            <c:strRef>
              <c:f>'EAP regional comparison'!$A$4</c:f>
              <c:strCache>
                <c:ptCount val="1"/>
                <c:pt idx="0">
                  <c:v>Australia</c:v>
                </c:pt>
              </c:strCache>
            </c:strRef>
          </c:tx>
          <c:spPr>
            <a:ln w="28575" cap="rnd">
              <a:solidFill>
                <a:schemeClr val="accent3"/>
              </a:solidFill>
              <a:round/>
            </a:ln>
            <a:effectLst/>
          </c:spPr>
          <c:marker>
            <c:symbol val="none"/>
          </c:marker>
          <c:cat>
            <c:strRef>
              <c:f>'EAP regional comparison'!$B$1:$J$1</c:f>
              <c:strCache>
                <c:ptCount val="9"/>
                <c:pt idx="0">
                  <c:v>2005</c:v>
                </c:pt>
                <c:pt idx="1">
                  <c:v>2006</c:v>
                </c:pt>
                <c:pt idx="2">
                  <c:v>2007</c:v>
                </c:pt>
                <c:pt idx="3">
                  <c:v>2008</c:v>
                </c:pt>
                <c:pt idx="4">
                  <c:v>2009</c:v>
                </c:pt>
                <c:pt idx="5">
                  <c:v>2010</c:v>
                </c:pt>
                <c:pt idx="6">
                  <c:v>2011</c:v>
                </c:pt>
                <c:pt idx="7">
                  <c:v>2012</c:v>
                </c:pt>
                <c:pt idx="8">
                  <c:v>2013</c:v>
                </c:pt>
              </c:strCache>
            </c:strRef>
          </c:cat>
          <c:val>
            <c:numRef>
              <c:f>'EAP regional comparison'!$B$4:$J$4</c:f>
              <c:numCache>
                <c:formatCode>General</c:formatCode>
                <c:ptCount val="9"/>
              </c:numCache>
            </c:numRef>
          </c:val>
          <c:smooth val="0"/>
        </c:ser>
        <c:ser>
          <c:idx val="3"/>
          <c:order val="3"/>
          <c:tx>
            <c:strRef>
              <c:f>'EAP regional comparison'!$A$5</c:f>
              <c:strCache>
                <c:ptCount val="1"/>
                <c:pt idx="0">
                  <c:v>Brunei Darussalam</c:v>
                </c:pt>
              </c:strCache>
            </c:strRef>
          </c:tx>
          <c:spPr>
            <a:ln w="28575" cap="rnd">
              <a:solidFill>
                <a:schemeClr val="accent4"/>
              </a:solidFill>
              <a:round/>
            </a:ln>
            <a:effectLst/>
          </c:spPr>
          <c:marker>
            <c:symbol val="none"/>
          </c:marker>
          <c:cat>
            <c:strRef>
              <c:f>'EAP regional comparison'!$B$1:$J$1</c:f>
              <c:strCache>
                <c:ptCount val="9"/>
                <c:pt idx="0">
                  <c:v>2005</c:v>
                </c:pt>
                <c:pt idx="1">
                  <c:v>2006</c:v>
                </c:pt>
                <c:pt idx="2">
                  <c:v>2007</c:v>
                </c:pt>
                <c:pt idx="3">
                  <c:v>2008</c:v>
                </c:pt>
                <c:pt idx="4">
                  <c:v>2009</c:v>
                </c:pt>
                <c:pt idx="5">
                  <c:v>2010</c:v>
                </c:pt>
                <c:pt idx="6">
                  <c:v>2011</c:v>
                </c:pt>
                <c:pt idx="7">
                  <c:v>2012</c:v>
                </c:pt>
                <c:pt idx="8">
                  <c:v>2013</c:v>
                </c:pt>
              </c:strCache>
            </c:strRef>
          </c:cat>
          <c:val>
            <c:numRef>
              <c:f>'EAP regional comparison'!$B$5:$J$5</c:f>
              <c:numCache>
                <c:formatCode>General</c:formatCode>
                <c:ptCount val="9"/>
              </c:numCache>
            </c:numRef>
          </c:val>
          <c:smooth val="0"/>
        </c:ser>
        <c:ser>
          <c:idx val="4"/>
          <c:order val="4"/>
          <c:tx>
            <c:strRef>
              <c:f>'EAP regional comparison'!$A$6</c:f>
              <c:strCache>
                <c:ptCount val="1"/>
                <c:pt idx="0">
                  <c:v>Cambodia</c:v>
                </c:pt>
              </c:strCache>
            </c:strRef>
          </c:tx>
          <c:spPr>
            <a:ln w="28575" cap="rnd">
              <a:solidFill>
                <a:schemeClr val="accent5"/>
              </a:solidFill>
              <a:round/>
            </a:ln>
            <a:effectLst/>
          </c:spPr>
          <c:marker>
            <c:symbol val="none"/>
          </c:marker>
          <c:cat>
            <c:strRef>
              <c:f>'EAP regional comparison'!$B$1:$J$1</c:f>
              <c:strCache>
                <c:ptCount val="9"/>
                <c:pt idx="0">
                  <c:v>2005</c:v>
                </c:pt>
                <c:pt idx="1">
                  <c:v>2006</c:v>
                </c:pt>
                <c:pt idx="2">
                  <c:v>2007</c:v>
                </c:pt>
                <c:pt idx="3">
                  <c:v>2008</c:v>
                </c:pt>
                <c:pt idx="4">
                  <c:v>2009</c:v>
                </c:pt>
                <c:pt idx="5">
                  <c:v>2010</c:v>
                </c:pt>
                <c:pt idx="6">
                  <c:v>2011</c:v>
                </c:pt>
                <c:pt idx="7">
                  <c:v>2012</c:v>
                </c:pt>
                <c:pt idx="8">
                  <c:v>2013</c:v>
                </c:pt>
              </c:strCache>
            </c:strRef>
          </c:cat>
          <c:val>
            <c:numRef>
              <c:f>'EAP regional comparison'!$B$6:$J$6</c:f>
              <c:numCache>
                <c:formatCode>General</c:formatCode>
                <c:ptCount val="9"/>
                <c:pt idx="0">
                  <c:v>2.6</c:v>
                </c:pt>
                <c:pt idx="1">
                  <c:v>2.7</c:v>
                </c:pt>
                <c:pt idx="2">
                  <c:v>2.7</c:v>
                </c:pt>
                <c:pt idx="3">
                  <c:v>2.7</c:v>
                </c:pt>
                <c:pt idx="4">
                  <c:v>2.7</c:v>
                </c:pt>
                <c:pt idx="5">
                  <c:v>2.7</c:v>
                </c:pt>
                <c:pt idx="6">
                  <c:v>2.8</c:v>
                </c:pt>
                <c:pt idx="7">
                  <c:v>2.8</c:v>
                </c:pt>
                <c:pt idx="8">
                  <c:v>2.8</c:v>
                </c:pt>
              </c:numCache>
            </c:numRef>
          </c:val>
          <c:smooth val="0"/>
        </c:ser>
        <c:ser>
          <c:idx val="5"/>
          <c:order val="5"/>
          <c:tx>
            <c:strRef>
              <c:f>'EAP regional comparison'!$A$7</c:f>
              <c:strCache>
                <c:ptCount val="1"/>
                <c:pt idx="0">
                  <c:v>China</c:v>
                </c:pt>
              </c:strCache>
            </c:strRef>
          </c:tx>
          <c:spPr>
            <a:ln w="28575" cap="rnd">
              <a:solidFill>
                <a:schemeClr val="accent6"/>
              </a:solidFill>
              <a:round/>
            </a:ln>
            <a:effectLst/>
          </c:spPr>
          <c:marker>
            <c:symbol val="none"/>
          </c:marker>
          <c:cat>
            <c:strRef>
              <c:f>'EAP regional comparison'!$B$1:$J$1</c:f>
              <c:strCache>
                <c:ptCount val="9"/>
                <c:pt idx="0">
                  <c:v>2005</c:v>
                </c:pt>
                <c:pt idx="1">
                  <c:v>2006</c:v>
                </c:pt>
                <c:pt idx="2">
                  <c:v>2007</c:v>
                </c:pt>
                <c:pt idx="3">
                  <c:v>2008</c:v>
                </c:pt>
                <c:pt idx="4">
                  <c:v>2009</c:v>
                </c:pt>
                <c:pt idx="5">
                  <c:v>2010</c:v>
                </c:pt>
                <c:pt idx="6">
                  <c:v>2011</c:v>
                </c:pt>
                <c:pt idx="7">
                  <c:v>2012</c:v>
                </c:pt>
                <c:pt idx="8">
                  <c:v>2013</c:v>
                </c:pt>
              </c:strCache>
            </c:strRef>
          </c:cat>
          <c:val>
            <c:numRef>
              <c:f>'EAP regional comparison'!$B$7:$J$7</c:f>
              <c:numCache>
                <c:formatCode>General</c:formatCode>
                <c:ptCount val="9"/>
              </c:numCache>
            </c:numRef>
          </c:val>
          <c:smooth val="0"/>
        </c:ser>
        <c:ser>
          <c:idx val="6"/>
          <c:order val="6"/>
          <c:tx>
            <c:strRef>
              <c:f>'EAP regional comparison'!$A$8</c:f>
              <c:strCache>
                <c:ptCount val="1"/>
                <c:pt idx="0">
                  <c:v>Fiji</c:v>
                </c:pt>
              </c:strCache>
            </c:strRef>
          </c:tx>
          <c:spPr>
            <a:ln w="28575" cap="rnd">
              <a:solidFill>
                <a:schemeClr val="accent1">
                  <a:lumMod val="60000"/>
                </a:schemeClr>
              </a:solidFill>
              <a:round/>
            </a:ln>
            <a:effectLst/>
          </c:spPr>
          <c:marker>
            <c:symbol val="none"/>
          </c:marker>
          <c:cat>
            <c:strRef>
              <c:f>'EAP regional comparison'!$B$1:$J$1</c:f>
              <c:strCache>
                <c:ptCount val="9"/>
                <c:pt idx="0">
                  <c:v>2005</c:v>
                </c:pt>
                <c:pt idx="1">
                  <c:v>2006</c:v>
                </c:pt>
                <c:pt idx="2">
                  <c:v>2007</c:v>
                </c:pt>
                <c:pt idx="3">
                  <c:v>2008</c:v>
                </c:pt>
                <c:pt idx="4">
                  <c:v>2009</c:v>
                </c:pt>
                <c:pt idx="5">
                  <c:v>2010</c:v>
                </c:pt>
                <c:pt idx="6">
                  <c:v>2011</c:v>
                </c:pt>
                <c:pt idx="7">
                  <c:v>2012</c:v>
                </c:pt>
                <c:pt idx="8">
                  <c:v>2013</c:v>
                </c:pt>
              </c:strCache>
            </c:strRef>
          </c:cat>
          <c:val>
            <c:numRef>
              <c:f>'EAP regional comparison'!$B$8:$J$8</c:f>
              <c:numCache>
                <c:formatCode>General</c:formatCode>
                <c:ptCount val="9"/>
              </c:numCache>
            </c:numRef>
          </c:val>
          <c:smooth val="0"/>
        </c:ser>
        <c:ser>
          <c:idx val="7"/>
          <c:order val="7"/>
          <c:tx>
            <c:strRef>
              <c:f>'EAP regional comparison'!$A$9</c:f>
              <c:strCache>
                <c:ptCount val="1"/>
                <c:pt idx="0">
                  <c:v>French Polynesia</c:v>
                </c:pt>
              </c:strCache>
            </c:strRef>
          </c:tx>
          <c:spPr>
            <a:ln w="28575" cap="rnd">
              <a:solidFill>
                <a:schemeClr val="accent2">
                  <a:lumMod val="60000"/>
                </a:schemeClr>
              </a:solidFill>
              <a:round/>
            </a:ln>
            <a:effectLst/>
          </c:spPr>
          <c:marker>
            <c:symbol val="none"/>
          </c:marker>
          <c:cat>
            <c:strRef>
              <c:f>'EAP regional comparison'!$B$1:$J$1</c:f>
              <c:strCache>
                <c:ptCount val="9"/>
                <c:pt idx="0">
                  <c:v>2005</c:v>
                </c:pt>
                <c:pt idx="1">
                  <c:v>2006</c:v>
                </c:pt>
                <c:pt idx="2">
                  <c:v>2007</c:v>
                </c:pt>
                <c:pt idx="3">
                  <c:v>2008</c:v>
                </c:pt>
                <c:pt idx="4">
                  <c:v>2009</c:v>
                </c:pt>
                <c:pt idx="5">
                  <c:v>2010</c:v>
                </c:pt>
                <c:pt idx="6">
                  <c:v>2011</c:v>
                </c:pt>
                <c:pt idx="7">
                  <c:v>2012</c:v>
                </c:pt>
                <c:pt idx="8">
                  <c:v>2013</c:v>
                </c:pt>
              </c:strCache>
            </c:strRef>
          </c:cat>
          <c:val>
            <c:numRef>
              <c:f>'EAP regional comparison'!$B$9:$J$9</c:f>
              <c:numCache>
                <c:formatCode>General</c:formatCode>
                <c:ptCount val="9"/>
              </c:numCache>
            </c:numRef>
          </c:val>
          <c:smooth val="0"/>
        </c:ser>
        <c:ser>
          <c:idx val="8"/>
          <c:order val="8"/>
          <c:tx>
            <c:strRef>
              <c:f>'EAP regional comparison'!$A$10</c:f>
              <c:strCache>
                <c:ptCount val="1"/>
                <c:pt idx="0">
                  <c:v>Guam</c:v>
                </c:pt>
              </c:strCache>
            </c:strRef>
          </c:tx>
          <c:spPr>
            <a:ln w="28575" cap="rnd">
              <a:solidFill>
                <a:schemeClr val="accent3">
                  <a:lumMod val="60000"/>
                </a:schemeClr>
              </a:solidFill>
              <a:round/>
            </a:ln>
            <a:effectLst/>
          </c:spPr>
          <c:marker>
            <c:symbol val="none"/>
          </c:marker>
          <c:cat>
            <c:strRef>
              <c:f>'EAP regional comparison'!$B$1:$J$1</c:f>
              <c:strCache>
                <c:ptCount val="9"/>
                <c:pt idx="0">
                  <c:v>2005</c:v>
                </c:pt>
                <c:pt idx="1">
                  <c:v>2006</c:v>
                </c:pt>
                <c:pt idx="2">
                  <c:v>2007</c:v>
                </c:pt>
                <c:pt idx="3">
                  <c:v>2008</c:v>
                </c:pt>
                <c:pt idx="4">
                  <c:v>2009</c:v>
                </c:pt>
                <c:pt idx="5">
                  <c:v>2010</c:v>
                </c:pt>
                <c:pt idx="6">
                  <c:v>2011</c:v>
                </c:pt>
                <c:pt idx="7">
                  <c:v>2012</c:v>
                </c:pt>
                <c:pt idx="8">
                  <c:v>2013</c:v>
                </c:pt>
              </c:strCache>
            </c:strRef>
          </c:cat>
          <c:val>
            <c:numRef>
              <c:f>'EAP regional comparison'!$B$10:$J$10</c:f>
              <c:numCache>
                <c:formatCode>General</c:formatCode>
                <c:ptCount val="9"/>
              </c:numCache>
            </c:numRef>
          </c:val>
          <c:smooth val="0"/>
        </c:ser>
        <c:ser>
          <c:idx val="9"/>
          <c:order val="9"/>
          <c:tx>
            <c:strRef>
              <c:f>'EAP regional comparison'!$A$11</c:f>
              <c:strCache>
                <c:ptCount val="1"/>
                <c:pt idx="0">
                  <c:v>Hong Kong SAR, China</c:v>
                </c:pt>
              </c:strCache>
            </c:strRef>
          </c:tx>
          <c:spPr>
            <a:ln w="28575" cap="rnd">
              <a:solidFill>
                <a:schemeClr val="accent4">
                  <a:lumMod val="60000"/>
                </a:schemeClr>
              </a:solidFill>
              <a:round/>
            </a:ln>
            <a:effectLst/>
          </c:spPr>
          <c:marker>
            <c:symbol val="none"/>
          </c:marker>
          <c:cat>
            <c:strRef>
              <c:f>'EAP regional comparison'!$B$1:$J$1</c:f>
              <c:strCache>
                <c:ptCount val="9"/>
                <c:pt idx="0">
                  <c:v>2005</c:v>
                </c:pt>
                <c:pt idx="1">
                  <c:v>2006</c:v>
                </c:pt>
                <c:pt idx="2">
                  <c:v>2007</c:v>
                </c:pt>
                <c:pt idx="3">
                  <c:v>2008</c:v>
                </c:pt>
                <c:pt idx="4">
                  <c:v>2009</c:v>
                </c:pt>
                <c:pt idx="5">
                  <c:v>2010</c:v>
                </c:pt>
                <c:pt idx="6">
                  <c:v>2011</c:v>
                </c:pt>
                <c:pt idx="7">
                  <c:v>2012</c:v>
                </c:pt>
                <c:pt idx="8">
                  <c:v>2013</c:v>
                </c:pt>
              </c:strCache>
            </c:strRef>
          </c:cat>
          <c:val>
            <c:numRef>
              <c:f>'EAP regional comparison'!$B$11:$J$11</c:f>
              <c:numCache>
                <c:formatCode>General</c:formatCode>
                <c:ptCount val="9"/>
              </c:numCache>
            </c:numRef>
          </c:val>
          <c:smooth val="0"/>
        </c:ser>
        <c:ser>
          <c:idx val="10"/>
          <c:order val="10"/>
          <c:tx>
            <c:strRef>
              <c:f>'EAP regional comparison'!$A$12</c:f>
              <c:strCache>
                <c:ptCount val="1"/>
                <c:pt idx="0">
                  <c:v>Indonesia</c:v>
                </c:pt>
              </c:strCache>
            </c:strRef>
          </c:tx>
          <c:spPr>
            <a:ln w="28575" cap="rnd">
              <a:solidFill>
                <a:schemeClr val="accent5">
                  <a:lumMod val="60000"/>
                </a:schemeClr>
              </a:solidFill>
              <a:round/>
            </a:ln>
            <a:effectLst/>
          </c:spPr>
          <c:marker>
            <c:symbol val="none"/>
          </c:marker>
          <c:cat>
            <c:strRef>
              <c:f>'EAP regional comparison'!$B$1:$J$1</c:f>
              <c:strCache>
                <c:ptCount val="9"/>
                <c:pt idx="0">
                  <c:v>2005</c:v>
                </c:pt>
                <c:pt idx="1">
                  <c:v>2006</c:v>
                </c:pt>
                <c:pt idx="2">
                  <c:v>2007</c:v>
                </c:pt>
                <c:pt idx="3">
                  <c:v>2008</c:v>
                </c:pt>
                <c:pt idx="4">
                  <c:v>2009</c:v>
                </c:pt>
                <c:pt idx="5">
                  <c:v>2010</c:v>
                </c:pt>
                <c:pt idx="6">
                  <c:v>2011</c:v>
                </c:pt>
                <c:pt idx="7">
                  <c:v>2012</c:v>
                </c:pt>
                <c:pt idx="8">
                  <c:v>2013</c:v>
                </c:pt>
              </c:strCache>
            </c:strRef>
          </c:cat>
          <c:val>
            <c:numRef>
              <c:f>'EAP regional comparison'!$B$12:$J$12</c:f>
              <c:numCache>
                <c:formatCode>General</c:formatCode>
                <c:ptCount val="9"/>
                <c:pt idx="0">
                  <c:v>3.2</c:v>
                </c:pt>
                <c:pt idx="1">
                  <c:v>3.2</c:v>
                </c:pt>
              </c:numCache>
            </c:numRef>
          </c:val>
          <c:smooth val="0"/>
        </c:ser>
        <c:ser>
          <c:idx val="11"/>
          <c:order val="11"/>
          <c:tx>
            <c:strRef>
              <c:f>'EAP regional comparison'!$A$13</c:f>
              <c:strCache>
                <c:ptCount val="1"/>
                <c:pt idx="0">
                  <c:v>Japan</c:v>
                </c:pt>
              </c:strCache>
            </c:strRef>
          </c:tx>
          <c:spPr>
            <a:ln w="28575" cap="rnd">
              <a:solidFill>
                <a:schemeClr val="accent6">
                  <a:lumMod val="60000"/>
                </a:schemeClr>
              </a:solidFill>
              <a:round/>
            </a:ln>
            <a:effectLst/>
          </c:spPr>
          <c:marker>
            <c:symbol val="none"/>
          </c:marker>
          <c:cat>
            <c:strRef>
              <c:f>'EAP regional comparison'!$B$1:$J$1</c:f>
              <c:strCache>
                <c:ptCount val="9"/>
                <c:pt idx="0">
                  <c:v>2005</c:v>
                </c:pt>
                <c:pt idx="1">
                  <c:v>2006</c:v>
                </c:pt>
                <c:pt idx="2">
                  <c:v>2007</c:v>
                </c:pt>
                <c:pt idx="3">
                  <c:v>2008</c:v>
                </c:pt>
                <c:pt idx="4">
                  <c:v>2009</c:v>
                </c:pt>
                <c:pt idx="5">
                  <c:v>2010</c:v>
                </c:pt>
                <c:pt idx="6">
                  <c:v>2011</c:v>
                </c:pt>
                <c:pt idx="7">
                  <c:v>2012</c:v>
                </c:pt>
                <c:pt idx="8">
                  <c:v>2013</c:v>
                </c:pt>
              </c:strCache>
            </c:strRef>
          </c:cat>
          <c:val>
            <c:numRef>
              <c:f>'EAP regional comparison'!$B$13:$J$13</c:f>
              <c:numCache>
                <c:formatCode>General</c:formatCode>
                <c:ptCount val="9"/>
              </c:numCache>
            </c:numRef>
          </c:val>
          <c:smooth val="0"/>
        </c:ser>
        <c:ser>
          <c:idx val="12"/>
          <c:order val="12"/>
          <c:tx>
            <c:strRef>
              <c:f>'EAP regional comparison'!$A$14</c:f>
              <c:strCache>
                <c:ptCount val="1"/>
                <c:pt idx="0">
                  <c:v>Kiribati</c:v>
                </c:pt>
              </c:strCache>
            </c:strRef>
          </c:tx>
          <c:spPr>
            <a:ln w="28575" cap="rnd">
              <a:solidFill>
                <a:schemeClr val="accent1">
                  <a:lumMod val="80000"/>
                  <a:lumOff val="20000"/>
                </a:schemeClr>
              </a:solidFill>
              <a:round/>
            </a:ln>
            <a:effectLst/>
          </c:spPr>
          <c:marker>
            <c:symbol val="none"/>
          </c:marker>
          <c:cat>
            <c:strRef>
              <c:f>'EAP regional comparison'!$B$1:$J$1</c:f>
              <c:strCache>
                <c:ptCount val="9"/>
                <c:pt idx="0">
                  <c:v>2005</c:v>
                </c:pt>
                <c:pt idx="1">
                  <c:v>2006</c:v>
                </c:pt>
                <c:pt idx="2">
                  <c:v>2007</c:v>
                </c:pt>
                <c:pt idx="3">
                  <c:v>2008</c:v>
                </c:pt>
                <c:pt idx="4">
                  <c:v>2009</c:v>
                </c:pt>
                <c:pt idx="5">
                  <c:v>2010</c:v>
                </c:pt>
                <c:pt idx="6">
                  <c:v>2011</c:v>
                </c:pt>
                <c:pt idx="7">
                  <c:v>2012</c:v>
                </c:pt>
                <c:pt idx="8">
                  <c:v>2013</c:v>
                </c:pt>
              </c:strCache>
            </c:strRef>
          </c:cat>
          <c:val>
            <c:numRef>
              <c:f>'EAP regional comparison'!$B$14:$J$14</c:f>
              <c:numCache>
                <c:formatCode>General</c:formatCode>
                <c:ptCount val="9"/>
                <c:pt idx="0">
                  <c:v>3.3</c:v>
                </c:pt>
                <c:pt idx="1">
                  <c:v>3.2</c:v>
                </c:pt>
                <c:pt idx="2">
                  <c:v>3.2</c:v>
                </c:pt>
                <c:pt idx="3">
                  <c:v>3.1</c:v>
                </c:pt>
                <c:pt idx="4">
                  <c:v>3.1</c:v>
                </c:pt>
                <c:pt idx="5">
                  <c:v>3.1</c:v>
                </c:pt>
                <c:pt idx="6">
                  <c:v>3.3</c:v>
                </c:pt>
                <c:pt idx="7">
                  <c:v>3.2</c:v>
                </c:pt>
                <c:pt idx="8">
                  <c:v>3.2</c:v>
                </c:pt>
              </c:numCache>
            </c:numRef>
          </c:val>
          <c:smooth val="0"/>
        </c:ser>
        <c:ser>
          <c:idx val="13"/>
          <c:order val="13"/>
          <c:tx>
            <c:strRef>
              <c:f>'EAP regional comparison'!$A$15</c:f>
              <c:strCache>
                <c:ptCount val="1"/>
                <c:pt idx="0">
                  <c:v>Korea, Dem. Rep.</c:v>
                </c:pt>
              </c:strCache>
            </c:strRef>
          </c:tx>
          <c:spPr>
            <a:ln w="28575" cap="rnd">
              <a:solidFill>
                <a:schemeClr val="accent2">
                  <a:lumMod val="80000"/>
                  <a:lumOff val="20000"/>
                </a:schemeClr>
              </a:solidFill>
              <a:round/>
            </a:ln>
            <a:effectLst/>
          </c:spPr>
          <c:marker>
            <c:symbol val="none"/>
          </c:marker>
          <c:cat>
            <c:strRef>
              <c:f>'EAP regional comparison'!$B$1:$J$1</c:f>
              <c:strCache>
                <c:ptCount val="9"/>
                <c:pt idx="0">
                  <c:v>2005</c:v>
                </c:pt>
                <c:pt idx="1">
                  <c:v>2006</c:v>
                </c:pt>
                <c:pt idx="2">
                  <c:v>2007</c:v>
                </c:pt>
                <c:pt idx="3">
                  <c:v>2008</c:v>
                </c:pt>
                <c:pt idx="4">
                  <c:v>2009</c:v>
                </c:pt>
                <c:pt idx="5">
                  <c:v>2010</c:v>
                </c:pt>
                <c:pt idx="6">
                  <c:v>2011</c:v>
                </c:pt>
                <c:pt idx="7">
                  <c:v>2012</c:v>
                </c:pt>
                <c:pt idx="8">
                  <c:v>2013</c:v>
                </c:pt>
              </c:strCache>
            </c:strRef>
          </c:cat>
          <c:val>
            <c:numRef>
              <c:f>'EAP regional comparison'!$B$15:$J$15</c:f>
              <c:numCache>
                <c:formatCode>General</c:formatCode>
                <c:ptCount val="9"/>
              </c:numCache>
            </c:numRef>
          </c:val>
          <c:smooth val="0"/>
        </c:ser>
        <c:ser>
          <c:idx val="14"/>
          <c:order val="14"/>
          <c:tx>
            <c:strRef>
              <c:f>'EAP regional comparison'!$A$16</c:f>
              <c:strCache>
                <c:ptCount val="1"/>
                <c:pt idx="0">
                  <c:v>Korea, Rep.</c:v>
                </c:pt>
              </c:strCache>
            </c:strRef>
          </c:tx>
          <c:spPr>
            <a:ln w="28575" cap="rnd">
              <a:solidFill>
                <a:schemeClr val="accent3">
                  <a:lumMod val="80000"/>
                  <a:lumOff val="20000"/>
                </a:schemeClr>
              </a:solidFill>
              <a:round/>
            </a:ln>
            <a:effectLst/>
          </c:spPr>
          <c:marker>
            <c:symbol val="none"/>
          </c:marker>
          <c:cat>
            <c:strRef>
              <c:f>'EAP regional comparison'!$B$1:$J$1</c:f>
              <c:strCache>
                <c:ptCount val="9"/>
                <c:pt idx="0">
                  <c:v>2005</c:v>
                </c:pt>
                <c:pt idx="1">
                  <c:v>2006</c:v>
                </c:pt>
                <c:pt idx="2">
                  <c:v>2007</c:v>
                </c:pt>
                <c:pt idx="3">
                  <c:v>2008</c:v>
                </c:pt>
                <c:pt idx="4">
                  <c:v>2009</c:v>
                </c:pt>
                <c:pt idx="5">
                  <c:v>2010</c:v>
                </c:pt>
                <c:pt idx="6">
                  <c:v>2011</c:v>
                </c:pt>
                <c:pt idx="7">
                  <c:v>2012</c:v>
                </c:pt>
                <c:pt idx="8">
                  <c:v>2013</c:v>
                </c:pt>
              </c:strCache>
            </c:strRef>
          </c:cat>
          <c:val>
            <c:numRef>
              <c:f>'EAP regional comparison'!$B$16:$J$16</c:f>
              <c:numCache>
                <c:formatCode>General</c:formatCode>
                <c:ptCount val="9"/>
              </c:numCache>
            </c:numRef>
          </c:val>
          <c:smooth val="0"/>
        </c:ser>
        <c:ser>
          <c:idx val="15"/>
          <c:order val="15"/>
          <c:tx>
            <c:strRef>
              <c:f>'EAP regional comparison'!$A$17</c:f>
              <c:strCache>
                <c:ptCount val="1"/>
                <c:pt idx="0">
                  <c:v>Lao PDR</c:v>
                </c:pt>
              </c:strCache>
            </c:strRef>
          </c:tx>
          <c:spPr>
            <a:ln w="28575" cap="rnd">
              <a:solidFill>
                <a:schemeClr val="accent4">
                  <a:lumMod val="80000"/>
                  <a:lumOff val="20000"/>
                </a:schemeClr>
              </a:solidFill>
              <a:round/>
            </a:ln>
            <a:effectLst/>
          </c:spPr>
          <c:marker>
            <c:symbol val="none"/>
          </c:marker>
          <c:cat>
            <c:strRef>
              <c:f>'EAP regional comparison'!$B$1:$J$1</c:f>
              <c:strCache>
                <c:ptCount val="9"/>
                <c:pt idx="0">
                  <c:v>2005</c:v>
                </c:pt>
                <c:pt idx="1">
                  <c:v>2006</c:v>
                </c:pt>
                <c:pt idx="2">
                  <c:v>2007</c:v>
                </c:pt>
                <c:pt idx="3">
                  <c:v>2008</c:v>
                </c:pt>
                <c:pt idx="4">
                  <c:v>2009</c:v>
                </c:pt>
                <c:pt idx="5">
                  <c:v>2010</c:v>
                </c:pt>
                <c:pt idx="6">
                  <c:v>2011</c:v>
                </c:pt>
                <c:pt idx="7">
                  <c:v>2012</c:v>
                </c:pt>
                <c:pt idx="8">
                  <c:v>2013</c:v>
                </c:pt>
              </c:strCache>
            </c:strRef>
          </c:cat>
          <c:val>
            <c:numRef>
              <c:f>'EAP regional comparison'!$B$17:$J$17</c:f>
              <c:numCache>
                <c:formatCode>General</c:formatCode>
                <c:ptCount val="9"/>
                <c:pt idx="0">
                  <c:v>2.5</c:v>
                </c:pt>
                <c:pt idx="1">
                  <c:v>2.7</c:v>
                </c:pt>
                <c:pt idx="2">
                  <c:v>2.7</c:v>
                </c:pt>
                <c:pt idx="3">
                  <c:v>2.9</c:v>
                </c:pt>
                <c:pt idx="4">
                  <c:v>2.9</c:v>
                </c:pt>
                <c:pt idx="5">
                  <c:v>3.1</c:v>
                </c:pt>
                <c:pt idx="6">
                  <c:v>3.1</c:v>
                </c:pt>
                <c:pt idx="7">
                  <c:v>3.1</c:v>
                </c:pt>
                <c:pt idx="8">
                  <c:v>3.1</c:v>
                </c:pt>
              </c:numCache>
            </c:numRef>
          </c:val>
          <c:smooth val="0"/>
        </c:ser>
        <c:ser>
          <c:idx val="16"/>
          <c:order val="16"/>
          <c:tx>
            <c:strRef>
              <c:f>'EAP regional comparison'!$A$18</c:f>
              <c:strCache>
                <c:ptCount val="1"/>
                <c:pt idx="0">
                  <c:v>Macao SAR, China</c:v>
                </c:pt>
              </c:strCache>
            </c:strRef>
          </c:tx>
          <c:spPr>
            <a:ln w="28575" cap="rnd">
              <a:solidFill>
                <a:schemeClr val="accent5">
                  <a:lumMod val="80000"/>
                  <a:lumOff val="20000"/>
                </a:schemeClr>
              </a:solidFill>
              <a:round/>
            </a:ln>
            <a:effectLst/>
          </c:spPr>
          <c:marker>
            <c:symbol val="none"/>
          </c:marker>
          <c:cat>
            <c:strRef>
              <c:f>'EAP regional comparison'!$B$1:$J$1</c:f>
              <c:strCache>
                <c:ptCount val="9"/>
                <c:pt idx="0">
                  <c:v>2005</c:v>
                </c:pt>
                <c:pt idx="1">
                  <c:v>2006</c:v>
                </c:pt>
                <c:pt idx="2">
                  <c:v>2007</c:v>
                </c:pt>
                <c:pt idx="3">
                  <c:v>2008</c:v>
                </c:pt>
                <c:pt idx="4">
                  <c:v>2009</c:v>
                </c:pt>
                <c:pt idx="5">
                  <c:v>2010</c:v>
                </c:pt>
                <c:pt idx="6">
                  <c:v>2011</c:v>
                </c:pt>
                <c:pt idx="7">
                  <c:v>2012</c:v>
                </c:pt>
                <c:pt idx="8">
                  <c:v>2013</c:v>
                </c:pt>
              </c:strCache>
            </c:strRef>
          </c:cat>
          <c:val>
            <c:numRef>
              <c:f>'EAP regional comparison'!$B$18:$J$18</c:f>
              <c:numCache>
                <c:formatCode>General</c:formatCode>
                <c:ptCount val="9"/>
              </c:numCache>
            </c:numRef>
          </c:val>
          <c:smooth val="0"/>
        </c:ser>
        <c:ser>
          <c:idx val="17"/>
          <c:order val="17"/>
          <c:tx>
            <c:strRef>
              <c:f>'EAP regional comparison'!$A$19</c:f>
              <c:strCache>
                <c:ptCount val="1"/>
                <c:pt idx="0">
                  <c:v>Malaysia</c:v>
                </c:pt>
              </c:strCache>
            </c:strRef>
          </c:tx>
          <c:spPr>
            <a:ln w="28575" cap="rnd">
              <a:solidFill>
                <a:schemeClr val="accent6">
                  <a:lumMod val="80000"/>
                  <a:lumOff val="20000"/>
                </a:schemeClr>
              </a:solidFill>
              <a:round/>
            </a:ln>
            <a:effectLst/>
          </c:spPr>
          <c:marker>
            <c:symbol val="none"/>
          </c:marker>
          <c:cat>
            <c:strRef>
              <c:f>'EAP regional comparison'!$B$1:$J$1</c:f>
              <c:strCache>
                <c:ptCount val="9"/>
                <c:pt idx="0">
                  <c:v>2005</c:v>
                </c:pt>
                <c:pt idx="1">
                  <c:v>2006</c:v>
                </c:pt>
                <c:pt idx="2">
                  <c:v>2007</c:v>
                </c:pt>
                <c:pt idx="3">
                  <c:v>2008</c:v>
                </c:pt>
                <c:pt idx="4">
                  <c:v>2009</c:v>
                </c:pt>
                <c:pt idx="5">
                  <c:v>2010</c:v>
                </c:pt>
                <c:pt idx="6">
                  <c:v>2011</c:v>
                </c:pt>
                <c:pt idx="7">
                  <c:v>2012</c:v>
                </c:pt>
                <c:pt idx="8">
                  <c:v>2013</c:v>
                </c:pt>
              </c:strCache>
            </c:strRef>
          </c:cat>
          <c:val>
            <c:numRef>
              <c:f>'EAP regional comparison'!$B$19:$J$19</c:f>
              <c:numCache>
                <c:formatCode>General</c:formatCode>
                <c:ptCount val="9"/>
              </c:numCache>
            </c:numRef>
          </c:val>
          <c:smooth val="0"/>
        </c:ser>
        <c:ser>
          <c:idx val="18"/>
          <c:order val="18"/>
          <c:tx>
            <c:strRef>
              <c:f>'EAP regional comparison'!$A$20</c:f>
              <c:strCache>
                <c:ptCount val="1"/>
                <c:pt idx="0">
                  <c:v>Marshall Islands</c:v>
                </c:pt>
              </c:strCache>
            </c:strRef>
          </c:tx>
          <c:spPr>
            <a:ln w="28575" cap="rnd">
              <a:solidFill>
                <a:schemeClr val="accent1">
                  <a:lumMod val="80000"/>
                </a:schemeClr>
              </a:solidFill>
              <a:round/>
            </a:ln>
            <a:effectLst/>
          </c:spPr>
          <c:marker>
            <c:symbol val="none"/>
          </c:marker>
          <c:cat>
            <c:strRef>
              <c:f>'EAP regional comparison'!$B$1:$J$1</c:f>
              <c:strCache>
                <c:ptCount val="9"/>
                <c:pt idx="0">
                  <c:v>2005</c:v>
                </c:pt>
                <c:pt idx="1">
                  <c:v>2006</c:v>
                </c:pt>
                <c:pt idx="2">
                  <c:v>2007</c:v>
                </c:pt>
                <c:pt idx="3">
                  <c:v>2008</c:v>
                </c:pt>
                <c:pt idx="4">
                  <c:v>2009</c:v>
                </c:pt>
                <c:pt idx="5">
                  <c:v>2010</c:v>
                </c:pt>
                <c:pt idx="6">
                  <c:v>2011</c:v>
                </c:pt>
                <c:pt idx="7">
                  <c:v>2012</c:v>
                </c:pt>
                <c:pt idx="8">
                  <c:v>2013</c:v>
                </c:pt>
              </c:strCache>
            </c:strRef>
          </c:cat>
          <c:val>
            <c:numRef>
              <c:f>'EAP regional comparison'!$B$20:$J$20</c:f>
              <c:numCache>
                <c:formatCode>General</c:formatCode>
                <c:ptCount val="9"/>
                <c:pt idx="6">
                  <c:v>2.8</c:v>
                </c:pt>
                <c:pt idx="7">
                  <c:v>2.8</c:v>
                </c:pt>
                <c:pt idx="8">
                  <c:v>2.8</c:v>
                </c:pt>
              </c:numCache>
            </c:numRef>
          </c:val>
          <c:smooth val="0"/>
        </c:ser>
        <c:ser>
          <c:idx val="19"/>
          <c:order val="19"/>
          <c:tx>
            <c:strRef>
              <c:f>'EAP regional comparison'!$A$21</c:f>
              <c:strCache>
                <c:ptCount val="1"/>
                <c:pt idx="0">
                  <c:v>Micronesia, Fed. Sts.</c:v>
                </c:pt>
              </c:strCache>
            </c:strRef>
          </c:tx>
          <c:spPr>
            <a:ln w="28575" cap="rnd">
              <a:solidFill>
                <a:schemeClr val="accent2">
                  <a:lumMod val="80000"/>
                </a:schemeClr>
              </a:solidFill>
              <a:round/>
            </a:ln>
            <a:effectLst/>
          </c:spPr>
          <c:marker>
            <c:symbol val="none"/>
          </c:marker>
          <c:cat>
            <c:strRef>
              <c:f>'EAP regional comparison'!$B$1:$J$1</c:f>
              <c:strCache>
                <c:ptCount val="9"/>
                <c:pt idx="0">
                  <c:v>2005</c:v>
                </c:pt>
                <c:pt idx="1">
                  <c:v>2006</c:v>
                </c:pt>
                <c:pt idx="2">
                  <c:v>2007</c:v>
                </c:pt>
                <c:pt idx="3">
                  <c:v>2008</c:v>
                </c:pt>
                <c:pt idx="4">
                  <c:v>2009</c:v>
                </c:pt>
                <c:pt idx="5">
                  <c:v>2010</c:v>
                </c:pt>
                <c:pt idx="6">
                  <c:v>2011</c:v>
                </c:pt>
                <c:pt idx="7">
                  <c:v>2012</c:v>
                </c:pt>
                <c:pt idx="8">
                  <c:v>2013</c:v>
                </c:pt>
              </c:strCache>
            </c:strRef>
          </c:cat>
          <c:val>
            <c:numRef>
              <c:f>'EAP regional comparison'!$B$21:$J$21</c:f>
              <c:numCache>
                <c:formatCode>General</c:formatCode>
                <c:ptCount val="9"/>
                <c:pt idx="6">
                  <c:v>2.8</c:v>
                </c:pt>
                <c:pt idx="7">
                  <c:v>2.9</c:v>
                </c:pt>
                <c:pt idx="8">
                  <c:v>2.9</c:v>
                </c:pt>
              </c:numCache>
            </c:numRef>
          </c:val>
          <c:smooth val="0"/>
        </c:ser>
        <c:ser>
          <c:idx val="20"/>
          <c:order val="20"/>
          <c:tx>
            <c:strRef>
              <c:f>'EAP regional comparison'!$A$22</c:f>
              <c:strCache>
                <c:ptCount val="1"/>
                <c:pt idx="0">
                  <c:v>Mongolia</c:v>
                </c:pt>
              </c:strCache>
            </c:strRef>
          </c:tx>
          <c:spPr>
            <a:ln w="28575" cap="rnd">
              <a:solidFill>
                <a:schemeClr val="accent3">
                  <a:lumMod val="80000"/>
                </a:schemeClr>
              </a:solidFill>
              <a:round/>
            </a:ln>
            <a:effectLst/>
          </c:spPr>
          <c:marker>
            <c:symbol val="none"/>
          </c:marker>
          <c:cat>
            <c:strRef>
              <c:f>'EAP regional comparison'!$B$1:$J$1</c:f>
              <c:strCache>
                <c:ptCount val="9"/>
                <c:pt idx="0">
                  <c:v>2005</c:v>
                </c:pt>
                <c:pt idx="1">
                  <c:v>2006</c:v>
                </c:pt>
                <c:pt idx="2">
                  <c:v>2007</c:v>
                </c:pt>
                <c:pt idx="3">
                  <c:v>2008</c:v>
                </c:pt>
                <c:pt idx="4">
                  <c:v>2009</c:v>
                </c:pt>
                <c:pt idx="5">
                  <c:v>2010</c:v>
                </c:pt>
                <c:pt idx="6">
                  <c:v>2011</c:v>
                </c:pt>
                <c:pt idx="7">
                  <c:v>2012</c:v>
                </c:pt>
                <c:pt idx="8">
                  <c:v>2013</c:v>
                </c:pt>
              </c:strCache>
            </c:strRef>
          </c:cat>
          <c:val>
            <c:numRef>
              <c:f>'EAP regional comparison'!$B$22:$J$22</c:f>
              <c:numCache>
                <c:formatCode>General</c:formatCode>
                <c:ptCount val="9"/>
                <c:pt idx="0">
                  <c:v>3.3</c:v>
                </c:pt>
                <c:pt idx="1">
                  <c:v>3.3</c:v>
                </c:pt>
                <c:pt idx="2">
                  <c:v>3.4</c:v>
                </c:pt>
                <c:pt idx="3">
                  <c:v>3.3</c:v>
                </c:pt>
                <c:pt idx="4">
                  <c:v>3.4</c:v>
                </c:pt>
                <c:pt idx="5">
                  <c:v>3.4</c:v>
                </c:pt>
                <c:pt idx="6">
                  <c:v>3.5</c:v>
                </c:pt>
                <c:pt idx="7">
                  <c:v>3.4</c:v>
                </c:pt>
                <c:pt idx="8">
                  <c:v>3.4</c:v>
                </c:pt>
              </c:numCache>
            </c:numRef>
          </c:val>
          <c:smooth val="0"/>
        </c:ser>
        <c:ser>
          <c:idx val="21"/>
          <c:order val="21"/>
          <c:tx>
            <c:strRef>
              <c:f>'EAP regional comparison'!$A$23</c:f>
              <c:strCache>
                <c:ptCount val="1"/>
                <c:pt idx="0">
                  <c:v>Myanmar</c:v>
                </c:pt>
              </c:strCache>
            </c:strRef>
          </c:tx>
          <c:spPr>
            <a:ln w="28575" cap="rnd">
              <a:solidFill>
                <a:schemeClr val="accent4">
                  <a:lumMod val="80000"/>
                </a:schemeClr>
              </a:solidFill>
              <a:round/>
            </a:ln>
            <a:effectLst/>
          </c:spPr>
          <c:marker>
            <c:symbol val="none"/>
          </c:marker>
          <c:cat>
            <c:strRef>
              <c:f>'EAP regional comparison'!$B$1:$J$1</c:f>
              <c:strCache>
                <c:ptCount val="9"/>
                <c:pt idx="0">
                  <c:v>2005</c:v>
                </c:pt>
                <c:pt idx="1">
                  <c:v>2006</c:v>
                </c:pt>
                <c:pt idx="2">
                  <c:v>2007</c:v>
                </c:pt>
                <c:pt idx="3">
                  <c:v>2008</c:v>
                </c:pt>
                <c:pt idx="4">
                  <c:v>2009</c:v>
                </c:pt>
                <c:pt idx="5">
                  <c:v>2010</c:v>
                </c:pt>
                <c:pt idx="6">
                  <c:v>2011</c:v>
                </c:pt>
                <c:pt idx="7">
                  <c:v>2012</c:v>
                </c:pt>
                <c:pt idx="8">
                  <c:v>2013</c:v>
                </c:pt>
              </c:strCache>
            </c:strRef>
          </c:cat>
          <c:val>
            <c:numRef>
              <c:f>'EAP regional comparison'!$B$23:$J$23</c:f>
              <c:numCache>
                <c:formatCode>General</c:formatCode>
                <c:ptCount val="9"/>
                <c:pt idx="8">
                  <c:v>2.7</c:v>
                </c:pt>
              </c:numCache>
            </c:numRef>
          </c:val>
          <c:smooth val="0"/>
        </c:ser>
        <c:ser>
          <c:idx val="22"/>
          <c:order val="22"/>
          <c:tx>
            <c:strRef>
              <c:f>'EAP regional comparison'!$A$24</c:f>
              <c:strCache>
                <c:ptCount val="1"/>
                <c:pt idx="0">
                  <c:v>New Caledonia</c:v>
                </c:pt>
              </c:strCache>
            </c:strRef>
          </c:tx>
          <c:spPr>
            <a:ln w="28575" cap="rnd">
              <a:solidFill>
                <a:schemeClr val="accent5">
                  <a:lumMod val="80000"/>
                </a:schemeClr>
              </a:solidFill>
              <a:round/>
            </a:ln>
            <a:effectLst/>
          </c:spPr>
          <c:marker>
            <c:symbol val="none"/>
          </c:marker>
          <c:cat>
            <c:strRef>
              <c:f>'EAP regional comparison'!$B$1:$J$1</c:f>
              <c:strCache>
                <c:ptCount val="9"/>
                <c:pt idx="0">
                  <c:v>2005</c:v>
                </c:pt>
                <c:pt idx="1">
                  <c:v>2006</c:v>
                </c:pt>
                <c:pt idx="2">
                  <c:v>2007</c:v>
                </c:pt>
                <c:pt idx="3">
                  <c:v>2008</c:v>
                </c:pt>
                <c:pt idx="4">
                  <c:v>2009</c:v>
                </c:pt>
                <c:pt idx="5">
                  <c:v>2010</c:v>
                </c:pt>
                <c:pt idx="6">
                  <c:v>2011</c:v>
                </c:pt>
                <c:pt idx="7">
                  <c:v>2012</c:v>
                </c:pt>
                <c:pt idx="8">
                  <c:v>2013</c:v>
                </c:pt>
              </c:strCache>
            </c:strRef>
          </c:cat>
          <c:val>
            <c:numRef>
              <c:f>'EAP regional comparison'!$B$24:$J$24</c:f>
              <c:numCache>
                <c:formatCode>General</c:formatCode>
                <c:ptCount val="9"/>
              </c:numCache>
            </c:numRef>
          </c:val>
          <c:smooth val="0"/>
        </c:ser>
        <c:ser>
          <c:idx val="23"/>
          <c:order val="23"/>
          <c:tx>
            <c:strRef>
              <c:f>'EAP regional comparison'!$A$25</c:f>
              <c:strCache>
                <c:ptCount val="1"/>
                <c:pt idx="0">
                  <c:v>New Zealand</c:v>
                </c:pt>
              </c:strCache>
            </c:strRef>
          </c:tx>
          <c:spPr>
            <a:ln w="28575" cap="rnd">
              <a:solidFill>
                <a:schemeClr val="accent6">
                  <a:lumMod val="80000"/>
                </a:schemeClr>
              </a:solidFill>
              <a:round/>
            </a:ln>
            <a:effectLst/>
          </c:spPr>
          <c:marker>
            <c:symbol val="none"/>
          </c:marker>
          <c:cat>
            <c:strRef>
              <c:f>'EAP regional comparison'!$B$1:$J$1</c:f>
              <c:strCache>
                <c:ptCount val="9"/>
                <c:pt idx="0">
                  <c:v>2005</c:v>
                </c:pt>
                <c:pt idx="1">
                  <c:v>2006</c:v>
                </c:pt>
                <c:pt idx="2">
                  <c:v>2007</c:v>
                </c:pt>
                <c:pt idx="3">
                  <c:v>2008</c:v>
                </c:pt>
                <c:pt idx="4">
                  <c:v>2009</c:v>
                </c:pt>
                <c:pt idx="5">
                  <c:v>2010</c:v>
                </c:pt>
                <c:pt idx="6">
                  <c:v>2011</c:v>
                </c:pt>
                <c:pt idx="7">
                  <c:v>2012</c:v>
                </c:pt>
                <c:pt idx="8">
                  <c:v>2013</c:v>
                </c:pt>
              </c:strCache>
            </c:strRef>
          </c:cat>
          <c:val>
            <c:numRef>
              <c:f>'EAP regional comparison'!$B$25:$J$25</c:f>
              <c:numCache>
                <c:formatCode>General</c:formatCode>
                <c:ptCount val="9"/>
              </c:numCache>
            </c:numRef>
          </c:val>
          <c:smooth val="0"/>
        </c:ser>
        <c:ser>
          <c:idx val="24"/>
          <c:order val="24"/>
          <c:tx>
            <c:strRef>
              <c:f>'EAP regional comparison'!$A$26</c:f>
              <c:strCache>
                <c:ptCount val="1"/>
                <c:pt idx="0">
                  <c:v>Northern Mariana Islands</c:v>
                </c:pt>
              </c:strCache>
            </c:strRef>
          </c:tx>
          <c:spPr>
            <a:ln w="28575" cap="rnd">
              <a:solidFill>
                <a:schemeClr val="accent1">
                  <a:lumMod val="60000"/>
                  <a:lumOff val="40000"/>
                </a:schemeClr>
              </a:solidFill>
              <a:round/>
            </a:ln>
            <a:effectLst/>
          </c:spPr>
          <c:marker>
            <c:symbol val="none"/>
          </c:marker>
          <c:cat>
            <c:strRef>
              <c:f>'EAP regional comparison'!$B$1:$J$1</c:f>
              <c:strCache>
                <c:ptCount val="9"/>
                <c:pt idx="0">
                  <c:v>2005</c:v>
                </c:pt>
                <c:pt idx="1">
                  <c:v>2006</c:v>
                </c:pt>
                <c:pt idx="2">
                  <c:v>2007</c:v>
                </c:pt>
                <c:pt idx="3">
                  <c:v>2008</c:v>
                </c:pt>
                <c:pt idx="4">
                  <c:v>2009</c:v>
                </c:pt>
                <c:pt idx="5">
                  <c:v>2010</c:v>
                </c:pt>
                <c:pt idx="6">
                  <c:v>2011</c:v>
                </c:pt>
                <c:pt idx="7">
                  <c:v>2012</c:v>
                </c:pt>
                <c:pt idx="8">
                  <c:v>2013</c:v>
                </c:pt>
              </c:strCache>
            </c:strRef>
          </c:cat>
          <c:val>
            <c:numRef>
              <c:f>'EAP regional comparison'!$B$26:$J$26</c:f>
              <c:numCache>
                <c:formatCode>General</c:formatCode>
                <c:ptCount val="9"/>
              </c:numCache>
            </c:numRef>
          </c:val>
          <c:smooth val="0"/>
        </c:ser>
        <c:ser>
          <c:idx val="25"/>
          <c:order val="25"/>
          <c:tx>
            <c:strRef>
              <c:f>'EAP regional comparison'!$A$27</c:f>
              <c:strCache>
                <c:ptCount val="1"/>
                <c:pt idx="0">
                  <c:v>Palau</c:v>
                </c:pt>
              </c:strCache>
            </c:strRef>
          </c:tx>
          <c:spPr>
            <a:ln w="28575" cap="rnd">
              <a:solidFill>
                <a:schemeClr val="accent2">
                  <a:lumMod val="60000"/>
                  <a:lumOff val="40000"/>
                </a:schemeClr>
              </a:solidFill>
              <a:round/>
            </a:ln>
            <a:effectLst/>
          </c:spPr>
          <c:marker>
            <c:symbol val="none"/>
          </c:marker>
          <c:cat>
            <c:strRef>
              <c:f>'EAP regional comparison'!$B$1:$J$1</c:f>
              <c:strCache>
                <c:ptCount val="9"/>
                <c:pt idx="0">
                  <c:v>2005</c:v>
                </c:pt>
                <c:pt idx="1">
                  <c:v>2006</c:v>
                </c:pt>
                <c:pt idx="2">
                  <c:v>2007</c:v>
                </c:pt>
                <c:pt idx="3">
                  <c:v>2008</c:v>
                </c:pt>
                <c:pt idx="4">
                  <c:v>2009</c:v>
                </c:pt>
                <c:pt idx="5">
                  <c:v>2010</c:v>
                </c:pt>
                <c:pt idx="6">
                  <c:v>2011</c:v>
                </c:pt>
                <c:pt idx="7">
                  <c:v>2012</c:v>
                </c:pt>
                <c:pt idx="8">
                  <c:v>2013</c:v>
                </c:pt>
              </c:strCache>
            </c:strRef>
          </c:cat>
          <c:val>
            <c:numRef>
              <c:f>'EAP regional comparison'!$B$27:$J$27</c:f>
              <c:numCache>
                <c:formatCode>General</c:formatCode>
                <c:ptCount val="9"/>
              </c:numCache>
            </c:numRef>
          </c:val>
          <c:smooth val="0"/>
        </c:ser>
        <c:ser>
          <c:idx val="26"/>
          <c:order val="26"/>
          <c:tx>
            <c:strRef>
              <c:f>'EAP regional comparison'!$A$28</c:f>
              <c:strCache>
                <c:ptCount val="1"/>
                <c:pt idx="0">
                  <c:v>Papua New Guinea</c:v>
                </c:pt>
              </c:strCache>
            </c:strRef>
          </c:tx>
          <c:spPr>
            <a:ln w="28575" cap="rnd">
              <a:solidFill>
                <a:schemeClr val="accent3">
                  <a:lumMod val="60000"/>
                  <a:lumOff val="40000"/>
                </a:schemeClr>
              </a:solidFill>
              <a:round/>
            </a:ln>
            <a:effectLst/>
          </c:spPr>
          <c:marker>
            <c:symbol val="none"/>
          </c:marker>
          <c:cat>
            <c:strRef>
              <c:f>'EAP regional comparison'!$B$1:$J$1</c:f>
              <c:strCache>
                <c:ptCount val="9"/>
                <c:pt idx="0">
                  <c:v>2005</c:v>
                </c:pt>
                <c:pt idx="1">
                  <c:v>2006</c:v>
                </c:pt>
                <c:pt idx="2">
                  <c:v>2007</c:v>
                </c:pt>
                <c:pt idx="3">
                  <c:v>2008</c:v>
                </c:pt>
                <c:pt idx="4">
                  <c:v>2009</c:v>
                </c:pt>
                <c:pt idx="5">
                  <c:v>2010</c:v>
                </c:pt>
                <c:pt idx="6">
                  <c:v>2011</c:v>
                </c:pt>
                <c:pt idx="7">
                  <c:v>2012</c:v>
                </c:pt>
                <c:pt idx="8">
                  <c:v>2013</c:v>
                </c:pt>
              </c:strCache>
            </c:strRef>
          </c:cat>
          <c:val>
            <c:numRef>
              <c:f>'EAP regional comparison'!$B$28:$J$28</c:f>
              <c:numCache>
                <c:formatCode>General</c:formatCode>
                <c:ptCount val="9"/>
                <c:pt idx="0">
                  <c:v>3.1</c:v>
                </c:pt>
                <c:pt idx="1">
                  <c:v>2.9</c:v>
                </c:pt>
                <c:pt idx="2">
                  <c:v>2.9</c:v>
                </c:pt>
                <c:pt idx="3">
                  <c:v>2.9</c:v>
                </c:pt>
                <c:pt idx="4">
                  <c:v>2.8</c:v>
                </c:pt>
                <c:pt idx="5">
                  <c:v>2.9</c:v>
                </c:pt>
                <c:pt idx="6">
                  <c:v>3</c:v>
                </c:pt>
                <c:pt idx="7">
                  <c:v>3</c:v>
                </c:pt>
                <c:pt idx="8">
                  <c:v>2.9</c:v>
                </c:pt>
              </c:numCache>
            </c:numRef>
          </c:val>
          <c:smooth val="0"/>
        </c:ser>
        <c:ser>
          <c:idx val="27"/>
          <c:order val="27"/>
          <c:tx>
            <c:strRef>
              <c:f>'EAP regional comparison'!$A$29</c:f>
              <c:strCache>
                <c:ptCount val="1"/>
                <c:pt idx="0">
                  <c:v>Philippines</c:v>
                </c:pt>
              </c:strCache>
            </c:strRef>
          </c:tx>
          <c:spPr>
            <a:ln w="28575" cap="rnd">
              <a:solidFill>
                <a:schemeClr val="accent4">
                  <a:lumMod val="60000"/>
                  <a:lumOff val="40000"/>
                </a:schemeClr>
              </a:solidFill>
              <a:round/>
            </a:ln>
            <a:effectLst/>
          </c:spPr>
          <c:marker>
            <c:symbol val="none"/>
          </c:marker>
          <c:cat>
            <c:strRef>
              <c:f>'EAP regional comparison'!$B$1:$J$1</c:f>
              <c:strCache>
                <c:ptCount val="9"/>
                <c:pt idx="0">
                  <c:v>2005</c:v>
                </c:pt>
                <c:pt idx="1">
                  <c:v>2006</c:v>
                </c:pt>
                <c:pt idx="2">
                  <c:v>2007</c:v>
                </c:pt>
                <c:pt idx="3">
                  <c:v>2008</c:v>
                </c:pt>
                <c:pt idx="4">
                  <c:v>2009</c:v>
                </c:pt>
                <c:pt idx="5">
                  <c:v>2010</c:v>
                </c:pt>
                <c:pt idx="6">
                  <c:v>2011</c:v>
                </c:pt>
                <c:pt idx="7">
                  <c:v>2012</c:v>
                </c:pt>
                <c:pt idx="8">
                  <c:v>2013</c:v>
                </c:pt>
              </c:strCache>
            </c:strRef>
          </c:cat>
          <c:val>
            <c:numRef>
              <c:f>'EAP regional comparison'!$B$29:$J$29</c:f>
              <c:numCache>
                <c:formatCode>General</c:formatCode>
                <c:ptCount val="9"/>
              </c:numCache>
            </c:numRef>
          </c:val>
          <c:smooth val="0"/>
        </c:ser>
        <c:ser>
          <c:idx val="28"/>
          <c:order val="28"/>
          <c:tx>
            <c:strRef>
              <c:f>'EAP regional comparison'!$A$30</c:f>
              <c:strCache>
                <c:ptCount val="1"/>
                <c:pt idx="0">
                  <c:v>Samoa</c:v>
                </c:pt>
              </c:strCache>
            </c:strRef>
          </c:tx>
          <c:spPr>
            <a:ln w="28575" cap="rnd">
              <a:solidFill>
                <a:schemeClr val="accent5">
                  <a:lumMod val="60000"/>
                  <a:lumOff val="40000"/>
                </a:schemeClr>
              </a:solidFill>
              <a:round/>
            </a:ln>
            <a:effectLst/>
          </c:spPr>
          <c:marker>
            <c:symbol val="none"/>
          </c:marker>
          <c:cat>
            <c:strRef>
              <c:f>'EAP regional comparison'!$B$1:$J$1</c:f>
              <c:strCache>
                <c:ptCount val="9"/>
                <c:pt idx="0">
                  <c:v>2005</c:v>
                </c:pt>
                <c:pt idx="1">
                  <c:v>2006</c:v>
                </c:pt>
                <c:pt idx="2">
                  <c:v>2007</c:v>
                </c:pt>
                <c:pt idx="3">
                  <c:v>2008</c:v>
                </c:pt>
                <c:pt idx="4">
                  <c:v>2009</c:v>
                </c:pt>
                <c:pt idx="5">
                  <c:v>2010</c:v>
                </c:pt>
                <c:pt idx="6">
                  <c:v>2011</c:v>
                </c:pt>
                <c:pt idx="7">
                  <c:v>2012</c:v>
                </c:pt>
                <c:pt idx="8">
                  <c:v>2013</c:v>
                </c:pt>
              </c:strCache>
            </c:strRef>
          </c:cat>
          <c:val>
            <c:numRef>
              <c:f>'EAP regional comparison'!$B$30:$J$30</c:f>
              <c:numCache>
                <c:formatCode>General</c:formatCode>
                <c:ptCount val="9"/>
                <c:pt idx="0">
                  <c:v>4</c:v>
                </c:pt>
                <c:pt idx="1">
                  <c:v>3.9</c:v>
                </c:pt>
                <c:pt idx="2">
                  <c:v>3.9</c:v>
                </c:pt>
                <c:pt idx="3">
                  <c:v>3.9</c:v>
                </c:pt>
                <c:pt idx="4">
                  <c:v>4</c:v>
                </c:pt>
                <c:pt idx="5">
                  <c:v>4</c:v>
                </c:pt>
                <c:pt idx="6">
                  <c:v>4</c:v>
                </c:pt>
                <c:pt idx="7">
                  <c:v>4</c:v>
                </c:pt>
                <c:pt idx="8">
                  <c:v>4.0999999999999996</c:v>
                </c:pt>
              </c:numCache>
            </c:numRef>
          </c:val>
          <c:smooth val="0"/>
        </c:ser>
        <c:ser>
          <c:idx val="29"/>
          <c:order val="29"/>
          <c:tx>
            <c:strRef>
              <c:f>'EAP regional comparison'!$A$31</c:f>
              <c:strCache>
                <c:ptCount val="1"/>
                <c:pt idx="0">
                  <c:v>Singapore</c:v>
                </c:pt>
              </c:strCache>
            </c:strRef>
          </c:tx>
          <c:spPr>
            <a:ln w="28575" cap="rnd">
              <a:solidFill>
                <a:schemeClr val="accent6">
                  <a:lumMod val="60000"/>
                  <a:lumOff val="40000"/>
                </a:schemeClr>
              </a:solidFill>
              <a:round/>
            </a:ln>
            <a:effectLst/>
          </c:spPr>
          <c:marker>
            <c:symbol val="none"/>
          </c:marker>
          <c:cat>
            <c:strRef>
              <c:f>'EAP regional comparison'!$B$1:$J$1</c:f>
              <c:strCache>
                <c:ptCount val="9"/>
                <c:pt idx="0">
                  <c:v>2005</c:v>
                </c:pt>
                <c:pt idx="1">
                  <c:v>2006</c:v>
                </c:pt>
                <c:pt idx="2">
                  <c:v>2007</c:v>
                </c:pt>
                <c:pt idx="3">
                  <c:v>2008</c:v>
                </c:pt>
                <c:pt idx="4">
                  <c:v>2009</c:v>
                </c:pt>
                <c:pt idx="5">
                  <c:v>2010</c:v>
                </c:pt>
                <c:pt idx="6">
                  <c:v>2011</c:v>
                </c:pt>
                <c:pt idx="7">
                  <c:v>2012</c:v>
                </c:pt>
                <c:pt idx="8">
                  <c:v>2013</c:v>
                </c:pt>
              </c:strCache>
            </c:strRef>
          </c:cat>
          <c:val>
            <c:numRef>
              <c:f>'EAP regional comparison'!$B$31:$J$31</c:f>
              <c:numCache>
                <c:formatCode>General</c:formatCode>
                <c:ptCount val="9"/>
              </c:numCache>
            </c:numRef>
          </c:val>
          <c:smooth val="0"/>
        </c:ser>
        <c:ser>
          <c:idx val="30"/>
          <c:order val="30"/>
          <c:tx>
            <c:strRef>
              <c:f>'EAP regional comparison'!$A$32</c:f>
              <c:strCache>
                <c:ptCount val="1"/>
                <c:pt idx="0">
                  <c:v>Thailand</c:v>
                </c:pt>
              </c:strCache>
            </c:strRef>
          </c:tx>
          <c:spPr>
            <a:ln w="28575" cap="rnd">
              <a:solidFill>
                <a:schemeClr val="accent1">
                  <a:lumMod val="50000"/>
                </a:schemeClr>
              </a:solidFill>
              <a:round/>
            </a:ln>
            <a:effectLst/>
          </c:spPr>
          <c:marker>
            <c:symbol val="none"/>
          </c:marker>
          <c:cat>
            <c:strRef>
              <c:f>'EAP regional comparison'!$B$1:$J$1</c:f>
              <c:strCache>
                <c:ptCount val="9"/>
                <c:pt idx="0">
                  <c:v>2005</c:v>
                </c:pt>
                <c:pt idx="1">
                  <c:v>2006</c:v>
                </c:pt>
                <c:pt idx="2">
                  <c:v>2007</c:v>
                </c:pt>
                <c:pt idx="3">
                  <c:v>2008</c:v>
                </c:pt>
                <c:pt idx="4">
                  <c:v>2009</c:v>
                </c:pt>
                <c:pt idx="5">
                  <c:v>2010</c:v>
                </c:pt>
                <c:pt idx="6">
                  <c:v>2011</c:v>
                </c:pt>
                <c:pt idx="7">
                  <c:v>2012</c:v>
                </c:pt>
                <c:pt idx="8">
                  <c:v>2013</c:v>
                </c:pt>
              </c:strCache>
            </c:strRef>
          </c:cat>
          <c:val>
            <c:numRef>
              <c:f>'EAP regional comparison'!$B$32:$J$32</c:f>
              <c:numCache>
                <c:formatCode>General</c:formatCode>
                <c:ptCount val="9"/>
              </c:numCache>
            </c:numRef>
          </c:val>
          <c:smooth val="0"/>
        </c:ser>
        <c:ser>
          <c:idx val="31"/>
          <c:order val="31"/>
          <c:tx>
            <c:strRef>
              <c:f>'EAP regional comparison'!$A$33</c:f>
              <c:strCache>
                <c:ptCount val="1"/>
                <c:pt idx="0">
                  <c:v>Timor-Leste</c:v>
                </c:pt>
              </c:strCache>
            </c:strRef>
          </c:tx>
          <c:spPr>
            <a:ln w="28575" cap="rnd">
              <a:solidFill>
                <a:schemeClr val="accent2">
                  <a:lumMod val="50000"/>
                </a:schemeClr>
              </a:solidFill>
              <a:round/>
            </a:ln>
            <a:effectLst/>
          </c:spPr>
          <c:marker>
            <c:symbol val="none"/>
          </c:marker>
          <c:cat>
            <c:strRef>
              <c:f>'EAP regional comparison'!$B$1:$J$1</c:f>
              <c:strCache>
                <c:ptCount val="9"/>
                <c:pt idx="0">
                  <c:v>2005</c:v>
                </c:pt>
                <c:pt idx="1">
                  <c:v>2006</c:v>
                </c:pt>
                <c:pt idx="2">
                  <c:v>2007</c:v>
                </c:pt>
                <c:pt idx="3">
                  <c:v>2008</c:v>
                </c:pt>
                <c:pt idx="4">
                  <c:v>2009</c:v>
                </c:pt>
                <c:pt idx="5">
                  <c:v>2010</c:v>
                </c:pt>
                <c:pt idx="6">
                  <c:v>2011</c:v>
                </c:pt>
                <c:pt idx="7">
                  <c:v>2012</c:v>
                </c:pt>
                <c:pt idx="8">
                  <c:v>2013</c:v>
                </c:pt>
              </c:strCache>
            </c:strRef>
          </c:cat>
          <c:val>
            <c:numRef>
              <c:f>'EAP regional comparison'!$B$33:$J$33</c:f>
              <c:numCache>
                <c:formatCode>General</c:formatCode>
                <c:ptCount val="9"/>
                <c:pt idx="1">
                  <c:v>2.6</c:v>
                </c:pt>
                <c:pt idx="2">
                  <c:v>2.6</c:v>
                </c:pt>
                <c:pt idx="3">
                  <c:v>2.7</c:v>
                </c:pt>
                <c:pt idx="4">
                  <c:v>2.7</c:v>
                </c:pt>
                <c:pt idx="5">
                  <c:v>2.7</c:v>
                </c:pt>
                <c:pt idx="6">
                  <c:v>2.5</c:v>
                </c:pt>
                <c:pt idx="7">
                  <c:v>2.5</c:v>
                </c:pt>
                <c:pt idx="8">
                  <c:v>2.5</c:v>
                </c:pt>
              </c:numCache>
            </c:numRef>
          </c:val>
          <c:smooth val="0"/>
        </c:ser>
        <c:ser>
          <c:idx val="32"/>
          <c:order val="32"/>
          <c:tx>
            <c:strRef>
              <c:f>'EAP regional comparison'!$A$34</c:f>
              <c:strCache>
                <c:ptCount val="1"/>
                <c:pt idx="0">
                  <c:v>Tonga</c:v>
                </c:pt>
              </c:strCache>
            </c:strRef>
          </c:tx>
          <c:spPr>
            <a:ln w="28575" cap="rnd">
              <a:solidFill>
                <a:schemeClr val="accent3">
                  <a:lumMod val="50000"/>
                </a:schemeClr>
              </a:solidFill>
              <a:round/>
            </a:ln>
            <a:effectLst/>
          </c:spPr>
          <c:marker>
            <c:symbol val="none"/>
          </c:marker>
          <c:cat>
            <c:strRef>
              <c:f>'EAP regional comparison'!$B$1:$J$1</c:f>
              <c:strCache>
                <c:ptCount val="9"/>
                <c:pt idx="0">
                  <c:v>2005</c:v>
                </c:pt>
                <c:pt idx="1">
                  <c:v>2006</c:v>
                </c:pt>
                <c:pt idx="2">
                  <c:v>2007</c:v>
                </c:pt>
                <c:pt idx="3">
                  <c:v>2008</c:v>
                </c:pt>
                <c:pt idx="4">
                  <c:v>2009</c:v>
                </c:pt>
                <c:pt idx="5">
                  <c:v>2010</c:v>
                </c:pt>
                <c:pt idx="6">
                  <c:v>2011</c:v>
                </c:pt>
                <c:pt idx="7">
                  <c:v>2012</c:v>
                </c:pt>
                <c:pt idx="8">
                  <c:v>2013</c:v>
                </c:pt>
              </c:strCache>
            </c:strRef>
          </c:cat>
          <c:val>
            <c:numRef>
              <c:f>'EAP regional comparison'!$B$34:$J$34</c:f>
              <c:numCache>
                <c:formatCode>General</c:formatCode>
                <c:ptCount val="9"/>
                <c:pt idx="0">
                  <c:v>2.7</c:v>
                </c:pt>
                <c:pt idx="1">
                  <c:v>2.7</c:v>
                </c:pt>
                <c:pt idx="2">
                  <c:v>2.9</c:v>
                </c:pt>
                <c:pt idx="3">
                  <c:v>3.3</c:v>
                </c:pt>
                <c:pt idx="4">
                  <c:v>3.6</c:v>
                </c:pt>
                <c:pt idx="5">
                  <c:v>3.8</c:v>
                </c:pt>
                <c:pt idx="6">
                  <c:v>3.7</c:v>
                </c:pt>
                <c:pt idx="7">
                  <c:v>3.7</c:v>
                </c:pt>
                <c:pt idx="8">
                  <c:v>3.7</c:v>
                </c:pt>
              </c:numCache>
            </c:numRef>
          </c:val>
          <c:smooth val="0"/>
        </c:ser>
        <c:ser>
          <c:idx val="33"/>
          <c:order val="33"/>
          <c:tx>
            <c:strRef>
              <c:f>'EAP regional comparison'!$A$35</c:f>
              <c:strCache>
                <c:ptCount val="1"/>
                <c:pt idx="0">
                  <c:v>Tuvalu</c:v>
                </c:pt>
              </c:strCache>
            </c:strRef>
          </c:tx>
          <c:spPr>
            <a:ln w="28575" cap="rnd">
              <a:solidFill>
                <a:schemeClr val="accent4">
                  <a:lumMod val="50000"/>
                </a:schemeClr>
              </a:solidFill>
              <a:round/>
            </a:ln>
            <a:effectLst/>
          </c:spPr>
          <c:marker>
            <c:symbol val="none"/>
          </c:marker>
          <c:cat>
            <c:strRef>
              <c:f>'EAP regional comparison'!$B$1:$J$1</c:f>
              <c:strCache>
                <c:ptCount val="9"/>
                <c:pt idx="0">
                  <c:v>2005</c:v>
                </c:pt>
                <c:pt idx="1">
                  <c:v>2006</c:v>
                </c:pt>
                <c:pt idx="2">
                  <c:v>2007</c:v>
                </c:pt>
                <c:pt idx="3">
                  <c:v>2008</c:v>
                </c:pt>
                <c:pt idx="4">
                  <c:v>2009</c:v>
                </c:pt>
                <c:pt idx="5">
                  <c:v>2010</c:v>
                </c:pt>
                <c:pt idx="6">
                  <c:v>2011</c:v>
                </c:pt>
                <c:pt idx="7">
                  <c:v>2012</c:v>
                </c:pt>
                <c:pt idx="8">
                  <c:v>2013</c:v>
                </c:pt>
              </c:strCache>
            </c:strRef>
          </c:cat>
          <c:val>
            <c:numRef>
              <c:f>'EAP regional comparison'!$B$35:$J$35</c:f>
              <c:numCache>
                <c:formatCode>General</c:formatCode>
                <c:ptCount val="9"/>
                <c:pt idx="7">
                  <c:v>3</c:v>
                </c:pt>
                <c:pt idx="8">
                  <c:v>3</c:v>
                </c:pt>
              </c:numCache>
            </c:numRef>
          </c:val>
          <c:smooth val="0"/>
        </c:ser>
        <c:ser>
          <c:idx val="34"/>
          <c:order val="34"/>
          <c:tx>
            <c:strRef>
              <c:f>'EAP regional comparison'!$A$36</c:f>
              <c:strCache>
                <c:ptCount val="1"/>
                <c:pt idx="0">
                  <c:v>Vanuatu</c:v>
                </c:pt>
              </c:strCache>
            </c:strRef>
          </c:tx>
          <c:spPr>
            <a:ln w="28575" cap="rnd">
              <a:solidFill>
                <a:schemeClr val="accent5">
                  <a:lumMod val="50000"/>
                </a:schemeClr>
              </a:solidFill>
              <a:round/>
            </a:ln>
            <a:effectLst/>
          </c:spPr>
          <c:marker>
            <c:symbol val="none"/>
          </c:marker>
          <c:cat>
            <c:strRef>
              <c:f>'EAP regional comparison'!$B$1:$J$1</c:f>
              <c:strCache>
                <c:ptCount val="9"/>
                <c:pt idx="0">
                  <c:v>2005</c:v>
                </c:pt>
                <c:pt idx="1">
                  <c:v>2006</c:v>
                </c:pt>
                <c:pt idx="2">
                  <c:v>2007</c:v>
                </c:pt>
                <c:pt idx="3">
                  <c:v>2008</c:v>
                </c:pt>
                <c:pt idx="4">
                  <c:v>2009</c:v>
                </c:pt>
                <c:pt idx="5">
                  <c:v>2010</c:v>
                </c:pt>
                <c:pt idx="6">
                  <c:v>2011</c:v>
                </c:pt>
                <c:pt idx="7">
                  <c:v>2012</c:v>
                </c:pt>
                <c:pt idx="8">
                  <c:v>2013</c:v>
                </c:pt>
              </c:strCache>
            </c:strRef>
          </c:cat>
          <c:val>
            <c:numRef>
              <c:f>'EAP regional comparison'!$B$36:$J$36</c:f>
              <c:numCache>
                <c:formatCode>General</c:formatCode>
                <c:ptCount val="9"/>
                <c:pt idx="0">
                  <c:v>3.1</c:v>
                </c:pt>
                <c:pt idx="1">
                  <c:v>3.1</c:v>
                </c:pt>
                <c:pt idx="2">
                  <c:v>3.1</c:v>
                </c:pt>
                <c:pt idx="3">
                  <c:v>3.3</c:v>
                </c:pt>
                <c:pt idx="4">
                  <c:v>3.3</c:v>
                </c:pt>
                <c:pt idx="5">
                  <c:v>3.4</c:v>
                </c:pt>
                <c:pt idx="6">
                  <c:v>3.4</c:v>
                </c:pt>
                <c:pt idx="7">
                  <c:v>3.5</c:v>
                </c:pt>
                <c:pt idx="8">
                  <c:v>3.5</c:v>
                </c:pt>
              </c:numCache>
            </c:numRef>
          </c:val>
          <c:smooth val="0"/>
        </c:ser>
        <c:ser>
          <c:idx val="35"/>
          <c:order val="35"/>
          <c:tx>
            <c:strRef>
              <c:f>'EAP regional comparison'!$A$37</c:f>
              <c:strCache>
                <c:ptCount val="1"/>
                <c:pt idx="0">
                  <c:v>Vietnam</c:v>
                </c:pt>
              </c:strCache>
            </c:strRef>
          </c:tx>
          <c:spPr>
            <a:ln w="28575" cap="rnd">
              <a:solidFill>
                <a:schemeClr val="accent6">
                  <a:lumMod val="50000"/>
                </a:schemeClr>
              </a:solidFill>
              <a:round/>
            </a:ln>
            <a:effectLst/>
          </c:spPr>
          <c:marker>
            <c:symbol val="none"/>
          </c:marker>
          <c:cat>
            <c:strRef>
              <c:f>'EAP regional comparison'!$B$1:$J$1</c:f>
              <c:strCache>
                <c:ptCount val="9"/>
                <c:pt idx="0">
                  <c:v>2005</c:v>
                </c:pt>
                <c:pt idx="1">
                  <c:v>2006</c:v>
                </c:pt>
                <c:pt idx="2">
                  <c:v>2007</c:v>
                </c:pt>
                <c:pt idx="3">
                  <c:v>2008</c:v>
                </c:pt>
                <c:pt idx="4">
                  <c:v>2009</c:v>
                </c:pt>
                <c:pt idx="5">
                  <c:v>2010</c:v>
                </c:pt>
                <c:pt idx="6">
                  <c:v>2011</c:v>
                </c:pt>
                <c:pt idx="7">
                  <c:v>2012</c:v>
                </c:pt>
                <c:pt idx="8">
                  <c:v>2013</c:v>
                </c:pt>
              </c:strCache>
            </c:strRef>
          </c:cat>
          <c:val>
            <c:numRef>
              <c:f>'EAP regional comparison'!$B$37:$J$37</c:f>
              <c:numCache>
                <c:formatCode>General</c:formatCode>
                <c:ptCount val="9"/>
                <c:pt idx="0">
                  <c:v>3.5</c:v>
                </c:pt>
                <c:pt idx="1">
                  <c:v>3.5</c:v>
                </c:pt>
                <c:pt idx="2">
                  <c:v>3.5</c:v>
                </c:pt>
                <c:pt idx="3">
                  <c:v>3.6</c:v>
                </c:pt>
                <c:pt idx="4">
                  <c:v>3.6</c:v>
                </c:pt>
                <c:pt idx="5">
                  <c:v>3.6</c:v>
                </c:pt>
                <c:pt idx="6">
                  <c:v>3.6</c:v>
                </c:pt>
                <c:pt idx="7">
                  <c:v>3.5</c:v>
                </c:pt>
                <c:pt idx="8">
                  <c:v>3.5</c:v>
                </c:pt>
              </c:numCache>
            </c:numRef>
          </c:val>
          <c:smooth val="0"/>
        </c:ser>
        <c:dLbls>
          <c:showLegendKey val="0"/>
          <c:showVal val="0"/>
          <c:showCatName val="0"/>
          <c:showSerName val="0"/>
          <c:showPercent val="0"/>
          <c:showBubbleSize val="0"/>
        </c:dLbls>
        <c:marker val="1"/>
        <c:smooth val="0"/>
        <c:axId val="43631744"/>
        <c:axId val="43633280"/>
      </c:lineChart>
      <c:catAx>
        <c:axId val="436317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3633280"/>
        <c:crosses val="autoZero"/>
        <c:auto val="1"/>
        <c:lblAlgn val="ctr"/>
        <c:lblOffset val="100"/>
        <c:noMultiLvlLbl val="0"/>
      </c:catAx>
      <c:valAx>
        <c:axId val="43633280"/>
        <c:scaling>
          <c:orientation val="minMax"/>
          <c:min val="2"/>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3631744"/>
        <c:crosses val="autoZero"/>
        <c:crossBetween val="between"/>
      </c:valAx>
      <c:spPr>
        <a:noFill/>
        <a:ln>
          <a:noFill/>
        </a:ln>
        <a:effectLst/>
      </c:spPr>
    </c:plotArea>
    <c:legend>
      <c:legendPos val="b"/>
      <c:layout>
        <c:manualLayout>
          <c:xMode val="edge"/>
          <c:yMode val="edge"/>
          <c:x val="6.052584467404002E-2"/>
          <c:y val="0.50264757814364114"/>
          <c:w val="0.91234566777418724"/>
          <c:h val="0.43977666428060125"/>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solidFill>
      <a:round/>
    </a:ln>
    <a:effectLst/>
  </c:spPr>
  <c:txPr>
    <a:bodyPr/>
    <a:lstStyle/>
    <a:p>
      <a:pPr>
        <a:defRPr/>
      </a:pPr>
      <a:endParaRPr lang="en-US"/>
    </a:p>
  </c:txPr>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CE7F62E-DC24-4F2F-AC82-472AB2E0CD76}" type="doc">
      <dgm:prSet loTypeId="urn:microsoft.com/office/officeart/2005/8/layout/cycle7" loCatId="cycle" qsTypeId="urn:microsoft.com/office/officeart/2005/8/quickstyle/simple1" qsCatId="simple" csTypeId="urn:microsoft.com/office/officeart/2005/8/colors/accent1_2" csCatId="accent1" phldr="1"/>
      <dgm:spPr/>
      <dgm:t>
        <a:bodyPr/>
        <a:lstStyle/>
        <a:p>
          <a:endParaRPr lang="en-AU"/>
        </a:p>
      </dgm:t>
    </dgm:pt>
    <dgm:pt modelId="{E687C9D6-9737-438E-949C-302A015C7ED9}">
      <dgm:prSet phldrT="[Text]"/>
      <dgm:spPr/>
      <dgm:t>
        <a:bodyPr/>
        <a:lstStyle/>
        <a:p>
          <a:pPr algn="ctr"/>
          <a:r>
            <a:rPr lang="en-AU"/>
            <a:t>public servants</a:t>
          </a:r>
        </a:p>
      </dgm:t>
    </dgm:pt>
    <dgm:pt modelId="{D87788F3-A880-4034-BA48-9C06B2CD98CE}" type="parTrans" cxnId="{0AC06DE7-8E2B-424F-9416-1320676E8068}">
      <dgm:prSet/>
      <dgm:spPr/>
      <dgm:t>
        <a:bodyPr/>
        <a:lstStyle/>
        <a:p>
          <a:pPr algn="ctr"/>
          <a:endParaRPr lang="en-AU"/>
        </a:p>
      </dgm:t>
    </dgm:pt>
    <dgm:pt modelId="{149A0393-4524-4FB1-A6B5-A1FD759068BC}" type="sibTrans" cxnId="{0AC06DE7-8E2B-424F-9416-1320676E8068}">
      <dgm:prSet custT="1"/>
      <dgm:spPr>
        <a:noFill/>
      </dgm:spPr>
      <dgm:t>
        <a:bodyPr/>
        <a:lstStyle/>
        <a:p>
          <a:pPr algn="l"/>
          <a:endParaRPr lang="en-US" sz="900"/>
        </a:p>
        <a:p>
          <a:pPr algn="l"/>
          <a:r>
            <a:rPr lang="en-US" sz="900">
              <a:solidFill>
                <a:sysClr val="windowText" lastClr="000000"/>
              </a:solidFill>
              <a:sym typeface="Wingdings"/>
            </a:rPr>
            <a:t></a:t>
          </a:r>
          <a:r>
            <a:rPr lang="en-AU" sz="900">
              <a:solidFill>
                <a:sysClr val="windowText" lastClr="000000"/>
              </a:solidFill>
            </a:rPr>
            <a:t>demand</a:t>
          </a:r>
        </a:p>
        <a:p>
          <a:pPr algn="r"/>
          <a:r>
            <a:rPr lang="en-AU" sz="900">
              <a:solidFill>
                <a:sysClr val="windowText" lastClr="000000"/>
              </a:solidFill>
            </a:rPr>
            <a:t>implement</a:t>
          </a:r>
          <a:r>
            <a:rPr lang="en-US" sz="900">
              <a:solidFill>
                <a:sysClr val="windowText" lastClr="000000"/>
              </a:solidFill>
              <a:sym typeface="Wingdings"/>
            </a:rPr>
            <a:t></a:t>
          </a:r>
          <a:endParaRPr lang="en-AU" sz="900">
            <a:solidFill>
              <a:sysClr val="windowText" lastClr="000000"/>
            </a:solidFill>
          </a:endParaRPr>
        </a:p>
      </dgm:t>
    </dgm:pt>
    <dgm:pt modelId="{684B1283-D0D2-4004-9201-958D5330B552}">
      <dgm:prSet phldrT="[Text]"/>
      <dgm:spPr/>
      <dgm:t>
        <a:bodyPr/>
        <a:lstStyle/>
        <a:p>
          <a:pPr algn="ctr"/>
          <a:r>
            <a:rPr lang="en-AU"/>
            <a:t>citizens</a:t>
          </a:r>
        </a:p>
      </dgm:t>
    </dgm:pt>
    <dgm:pt modelId="{C7751C9A-BC50-439D-9C11-7C7811EFA84B}" type="parTrans" cxnId="{485FEC4D-44EE-4DE3-9FB1-9E148C1489EF}">
      <dgm:prSet/>
      <dgm:spPr/>
      <dgm:t>
        <a:bodyPr/>
        <a:lstStyle/>
        <a:p>
          <a:pPr algn="ctr"/>
          <a:endParaRPr lang="en-AU"/>
        </a:p>
      </dgm:t>
    </dgm:pt>
    <dgm:pt modelId="{8F0EB4DF-247B-4E0A-AC5C-A4611F7A58E9}" type="sibTrans" cxnId="{485FEC4D-44EE-4DE3-9FB1-9E148C1489EF}">
      <dgm:prSet custT="1"/>
      <dgm:spPr>
        <a:noFill/>
      </dgm:spPr>
      <dgm:t>
        <a:bodyPr/>
        <a:lstStyle/>
        <a:p>
          <a:pPr algn="l"/>
          <a:r>
            <a:rPr lang="en-US" sz="900">
              <a:solidFill>
                <a:sysClr val="windowText" lastClr="000000"/>
              </a:solidFill>
              <a:sym typeface="Wingdings"/>
            </a:rPr>
            <a:t></a:t>
          </a:r>
          <a:r>
            <a:rPr lang="en-AU" sz="900">
              <a:solidFill>
                <a:sysClr val="windowText" lastClr="000000"/>
              </a:solidFill>
            </a:rPr>
            <a:t>indicate preferences</a:t>
          </a:r>
        </a:p>
      </dgm:t>
    </dgm:pt>
    <dgm:pt modelId="{B7BA124E-9BE1-4311-A178-69585372E0F4}">
      <dgm:prSet phldrT="[Text]" custT="1"/>
      <dgm:spPr/>
      <dgm:t>
        <a:bodyPr/>
        <a:lstStyle/>
        <a:p>
          <a:pPr algn="ctr"/>
          <a:r>
            <a:rPr lang="en-AU" sz="900"/>
            <a:t>MPs</a:t>
          </a:r>
        </a:p>
      </dgm:t>
    </dgm:pt>
    <dgm:pt modelId="{0225CD75-E33B-4EC8-9F1D-D280FD1BA994}" type="parTrans" cxnId="{7A70E55C-AF0B-47D1-A625-48255BED6733}">
      <dgm:prSet/>
      <dgm:spPr/>
      <dgm:t>
        <a:bodyPr/>
        <a:lstStyle/>
        <a:p>
          <a:pPr algn="ctr"/>
          <a:endParaRPr lang="en-AU"/>
        </a:p>
      </dgm:t>
    </dgm:pt>
    <dgm:pt modelId="{03154FB8-C6E0-49A6-BC85-AA5F1EB74FB1}" type="sibTrans" cxnId="{7A70E55C-AF0B-47D1-A625-48255BED6733}">
      <dgm:prSet custT="1"/>
      <dgm:spPr>
        <a:noFill/>
      </dgm:spPr>
      <dgm:t>
        <a:bodyPr/>
        <a:lstStyle/>
        <a:p>
          <a:pPr algn="r"/>
          <a:r>
            <a:rPr lang="en-AU" sz="900">
              <a:solidFill>
                <a:sysClr val="windowText" lastClr="000000"/>
              </a:solidFill>
            </a:rPr>
            <a:t>set policy</a:t>
          </a:r>
          <a:r>
            <a:rPr lang="en-US" sz="900">
              <a:solidFill>
                <a:sysClr val="windowText" lastClr="000000"/>
              </a:solidFill>
              <a:sym typeface="Wingdings"/>
            </a:rPr>
            <a:t></a:t>
          </a:r>
          <a:endParaRPr lang="en-AU" sz="900">
            <a:solidFill>
              <a:sysClr val="windowText" lastClr="000000"/>
            </a:solidFill>
          </a:endParaRPr>
        </a:p>
      </dgm:t>
    </dgm:pt>
    <dgm:pt modelId="{A127D624-1F40-4864-A938-0CE62312C6CB}" type="pres">
      <dgm:prSet presAssocID="{3CE7F62E-DC24-4F2F-AC82-472AB2E0CD76}" presName="Name0" presStyleCnt="0">
        <dgm:presLayoutVars>
          <dgm:dir/>
          <dgm:resizeHandles val="exact"/>
        </dgm:presLayoutVars>
      </dgm:prSet>
      <dgm:spPr/>
      <dgm:t>
        <a:bodyPr/>
        <a:lstStyle/>
        <a:p>
          <a:endParaRPr lang="en-AU"/>
        </a:p>
      </dgm:t>
    </dgm:pt>
    <dgm:pt modelId="{7511BDE8-2452-460F-A800-AB0314A0124B}" type="pres">
      <dgm:prSet presAssocID="{E687C9D6-9737-438E-949C-302A015C7ED9}" presName="node" presStyleLbl="node1" presStyleIdx="0" presStyleCnt="3" custScaleY="63655">
        <dgm:presLayoutVars>
          <dgm:bulletEnabled val="1"/>
        </dgm:presLayoutVars>
      </dgm:prSet>
      <dgm:spPr/>
      <dgm:t>
        <a:bodyPr/>
        <a:lstStyle/>
        <a:p>
          <a:endParaRPr lang="en-AU"/>
        </a:p>
      </dgm:t>
    </dgm:pt>
    <dgm:pt modelId="{80144230-F5A4-4E0C-8537-DE1FFCAB0042}" type="pres">
      <dgm:prSet presAssocID="{149A0393-4524-4FB1-A6B5-A1FD759068BC}" presName="sibTrans" presStyleLbl="sibTrans2D1" presStyleIdx="0" presStyleCnt="3" custScaleX="152532" custScaleY="332818" custLinFactNeighborX="21620" custLinFactNeighborY="-25221"/>
      <dgm:spPr>
        <a:prstGeom prst="leftRightArrow">
          <a:avLst/>
        </a:prstGeom>
      </dgm:spPr>
      <dgm:t>
        <a:bodyPr/>
        <a:lstStyle/>
        <a:p>
          <a:endParaRPr lang="en-AU"/>
        </a:p>
      </dgm:t>
    </dgm:pt>
    <dgm:pt modelId="{FE56B02F-2382-4D4C-90DA-A1608DEB9426}" type="pres">
      <dgm:prSet presAssocID="{149A0393-4524-4FB1-A6B5-A1FD759068BC}" presName="connectorText" presStyleLbl="sibTrans2D1" presStyleIdx="0" presStyleCnt="3"/>
      <dgm:spPr>
        <a:prstGeom prst="leftRightArrow">
          <a:avLst/>
        </a:prstGeom>
      </dgm:spPr>
      <dgm:t>
        <a:bodyPr/>
        <a:lstStyle/>
        <a:p>
          <a:endParaRPr lang="en-AU"/>
        </a:p>
      </dgm:t>
    </dgm:pt>
    <dgm:pt modelId="{818E4FC6-4D25-4F86-AA73-06EAC455D89B}" type="pres">
      <dgm:prSet presAssocID="{684B1283-D0D2-4004-9201-958D5330B552}" presName="node" presStyleLbl="node1" presStyleIdx="1" presStyleCnt="3" custScaleX="83463" custScaleY="63655" custRadScaleRad="111870" custRadScaleInc="-5700">
        <dgm:presLayoutVars>
          <dgm:bulletEnabled val="1"/>
        </dgm:presLayoutVars>
      </dgm:prSet>
      <dgm:spPr/>
      <dgm:t>
        <a:bodyPr/>
        <a:lstStyle/>
        <a:p>
          <a:endParaRPr lang="en-AU"/>
        </a:p>
      </dgm:t>
    </dgm:pt>
    <dgm:pt modelId="{6887D766-F14D-4DD5-BE5D-0D1962513DFE}" type="pres">
      <dgm:prSet presAssocID="{8F0EB4DF-247B-4E0A-AC5C-A4611F7A58E9}" presName="sibTrans" presStyleLbl="sibTrans2D1" presStyleIdx="1" presStyleCnt="3" custFlipVert="1" custScaleX="124388" custScaleY="210661" custLinFactNeighborX="-4236" custLinFactNeighborY="6305"/>
      <dgm:spPr>
        <a:prstGeom prst="rightArrow">
          <a:avLst/>
        </a:prstGeom>
      </dgm:spPr>
      <dgm:t>
        <a:bodyPr/>
        <a:lstStyle/>
        <a:p>
          <a:endParaRPr lang="en-AU"/>
        </a:p>
      </dgm:t>
    </dgm:pt>
    <dgm:pt modelId="{EBA84922-6B80-4A01-AAF8-D254A8D06556}" type="pres">
      <dgm:prSet presAssocID="{8F0EB4DF-247B-4E0A-AC5C-A4611F7A58E9}" presName="connectorText" presStyleLbl="sibTrans2D1" presStyleIdx="1" presStyleCnt="3"/>
      <dgm:spPr>
        <a:prstGeom prst="rightArrow">
          <a:avLst/>
        </a:prstGeom>
      </dgm:spPr>
      <dgm:t>
        <a:bodyPr/>
        <a:lstStyle/>
        <a:p>
          <a:endParaRPr lang="en-AU"/>
        </a:p>
      </dgm:t>
    </dgm:pt>
    <dgm:pt modelId="{4F3FCCB7-B617-4443-B579-664649329354}" type="pres">
      <dgm:prSet presAssocID="{B7BA124E-9BE1-4311-A178-69585372E0F4}" presName="node" presStyleLbl="node1" presStyleIdx="2" presStyleCnt="3" custScaleX="92529" custScaleY="63655" custRadScaleRad="111234" custRadScaleInc="5426">
        <dgm:presLayoutVars>
          <dgm:bulletEnabled val="1"/>
        </dgm:presLayoutVars>
      </dgm:prSet>
      <dgm:spPr/>
      <dgm:t>
        <a:bodyPr/>
        <a:lstStyle/>
        <a:p>
          <a:endParaRPr lang="en-AU"/>
        </a:p>
      </dgm:t>
    </dgm:pt>
    <dgm:pt modelId="{E8AF2C45-5296-42D0-A952-357FD5A164BD}" type="pres">
      <dgm:prSet presAssocID="{03154FB8-C6E0-49A6-BC85-AA5F1EB74FB1}" presName="sibTrans" presStyleLbl="sibTrans2D1" presStyleIdx="2" presStyleCnt="3" custScaleX="144736" custScaleY="235567"/>
      <dgm:spPr>
        <a:prstGeom prst="rightArrow">
          <a:avLst/>
        </a:prstGeom>
      </dgm:spPr>
      <dgm:t>
        <a:bodyPr/>
        <a:lstStyle/>
        <a:p>
          <a:endParaRPr lang="en-AU"/>
        </a:p>
      </dgm:t>
    </dgm:pt>
    <dgm:pt modelId="{86E713E6-FF66-4996-9822-6205A65BF6C0}" type="pres">
      <dgm:prSet presAssocID="{03154FB8-C6E0-49A6-BC85-AA5F1EB74FB1}" presName="connectorText" presStyleLbl="sibTrans2D1" presStyleIdx="2" presStyleCnt="3"/>
      <dgm:spPr/>
      <dgm:t>
        <a:bodyPr/>
        <a:lstStyle/>
        <a:p>
          <a:endParaRPr lang="en-AU"/>
        </a:p>
      </dgm:t>
    </dgm:pt>
  </dgm:ptLst>
  <dgm:cxnLst>
    <dgm:cxn modelId="{61432BFB-0EEE-4550-A60E-0AF19ACF12E6}" type="presOf" srcId="{B7BA124E-9BE1-4311-A178-69585372E0F4}" destId="{4F3FCCB7-B617-4443-B579-664649329354}" srcOrd="0" destOrd="0" presId="urn:microsoft.com/office/officeart/2005/8/layout/cycle7"/>
    <dgm:cxn modelId="{71BA689F-E588-4B0E-9E64-1A24A001B30A}" type="presOf" srcId="{E687C9D6-9737-438E-949C-302A015C7ED9}" destId="{7511BDE8-2452-460F-A800-AB0314A0124B}" srcOrd="0" destOrd="0" presId="urn:microsoft.com/office/officeart/2005/8/layout/cycle7"/>
    <dgm:cxn modelId="{07CC5F28-643D-4369-BF35-8BA25B87BD1D}" type="presOf" srcId="{8F0EB4DF-247B-4E0A-AC5C-A4611F7A58E9}" destId="{6887D766-F14D-4DD5-BE5D-0D1962513DFE}" srcOrd="0" destOrd="0" presId="urn:microsoft.com/office/officeart/2005/8/layout/cycle7"/>
    <dgm:cxn modelId="{7A70E55C-AF0B-47D1-A625-48255BED6733}" srcId="{3CE7F62E-DC24-4F2F-AC82-472AB2E0CD76}" destId="{B7BA124E-9BE1-4311-A178-69585372E0F4}" srcOrd="2" destOrd="0" parTransId="{0225CD75-E33B-4EC8-9F1D-D280FD1BA994}" sibTransId="{03154FB8-C6E0-49A6-BC85-AA5F1EB74FB1}"/>
    <dgm:cxn modelId="{485FEC4D-44EE-4DE3-9FB1-9E148C1489EF}" srcId="{3CE7F62E-DC24-4F2F-AC82-472AB2E0CD76}" destId="{684B1283-D0D2-4004-9201-958D5330B552}" srcOrd="1" destOrd="0" parTransId="{C7751C9A-BC50-439D-9C11-7C7811EFA84B}" sibTransId="{8F0EB4DF-247B-4E0A-AC5C-A4611F7A58E9}"/>
    <dgm:cxn modelId="{3D8562CF-D71E-41E6-9248-968D478D65FA}" type="presOf" srcId="{03154FB8-C6E0-49A6-BC85-AA5F1EB74FB1}" destId="{E8AF2C45-5296-42D0-A952-357FD5A164BD}" srcOrd="0" destOrd="0" presId="urn:microsoft.com/office/officeart/2005/8/layout/cycle7"/>
    <dgm:cxn modelId="{0AC06DE7-8E2B-424F-9416-1320676E8068}" srcId="{3CE7F62E-DC24-4F2F-AC82-472AB2E0CD76}" destId="{E687C9D6-9737-438E-949C-302A015C7ED9}" srcOrd="0" destOrd="0" parTransId="{D87788F3-A880-4034-BA48-9C06B2CD98CE}" sibTransId="{149A0393-4524-4FB1-A6B5-A1FD759068BC}"/>
    <dgm:cxn modelId="{0DE51ED4-9030-448A-B0C0-EE730E30485A}" type="presOf" srcId="{684B1283-D0D2-4004-9201-958D5330B552}" destId="{818E4FC6-4D25-4F86-AA73-06EAC455D89B}" srcOrd="0" destOrd="0" presId="urn:microsoft.com/office/officeart/2005/8/layout/cycle7"/>
    <dgm:cxn modelId="{C751CA0F-FF30-4E5D-A9CD-A3130BB10E84}" type="presOf" srcId="{03154FB8-C6E0-49A6-BC85-AA5F1EB74FB1}" destId="{86E713E6-FF66-4996-9822-6205A65BF6C0}" srcOrd="1" destOrd="0" presId="urn:microsoft.com/office/officeart/2005/8/layout/cycle7"/>
    <dgm:cxn modelId="{CCF63386-F0CA-4AB5-B00C-F18241AAA58D}" type="presOf" srcId="{149A0393-4524-4FB1-A6B5-A1FD759068BC}" destId="{80144230-F5A4-4E0C-8537-DE1FFCAB0042}" srcOrd="0" destOrd="0" presId="urn:microsoft.com/office/officeart/2005/8/layout/cycle7"/>
    <dgm:cxn modelId="{3EDA1CB7-CAB5-4331-83DB-20BE3971F592}" type="presOf" srcId="{149A0393-4524-4FB1-A6B5-A1FD759068BC}" destId="{FE56B02F-2382-4D4C-90DA-A1608DEB9426}" srcOrd="1" destOrd="0" presId="urn:microsoft.com/office/officeart/2005/8/layout/cycle7"/>
    <dgm:cxn modelId="{FDE81D42-81D5-44D8-8E44-6C070DDA28D5}" type="presOf" srcId="{8F0EB4DF-247B-4E0A-AC5C-A4611F7A58E9}" destId="{EBA84922-6B80-4A01-AAF8-D254A8D06556}" srcOrd="1" destOrd="0" presId="urn:microsoft.com/office/officeart/2005/8/layout/cycle7"/>
    <dgm:cxn modelId="{9362D85D-2254-4F02-BEAB-8547157D0ABB}" type="presOf" srcId="{3CE7F62E-DC24-4F2F-AC82-472AB2E0CD76}" destId="{A127D624-1F40-4864-A938-0CE62312C6CB}" srcOrd="0" destOrd="0" presId="urn:microsoft.com/office/officeart/2005/8/layout/cycle7"/>
    <dgm:cxn modelId="{FAE27AB8-F188-4734-BC08-A9D37A42A98E}" type="presParOf" srcId="{A127D624-1F40-4864-A938-0CE62312C6CB}" destId="{7511BDE8-2452-460F-A800-AB0314A0124B}" srcOrd="0" destOrd="0" presId="urn:microsoft.com/office/officeart/2005/8/layout/cycle7"/>
    <dgm:cxn modelId="{E0443FBD-68F3-47E6-8A0A-1126D2B82C2A}" type="presParOf" srcId="{A127D624-1F40-4864-A938-0CE62312C6CB}" destId="{80144230-F5A4-4E0C-8537-DE1FFCAB0042}" srcOrd="1" destOrd="0" presId="urn:microsoft.com/office/officeart/2005/8/layout/cycle7"/>
    <dgm:cxn modelId="{2DCE3E03-8DD7-4FC0-9336-6BE563897AF4}" type="presParOf" srcId="{80144230-F5A4-4E0C-8537-DE1FFCAB0042}" destId="{FE56B02F-2382-4D4C-90DA-A1608DEB9426}" srcOrd="0" destOrd="0" presId="urn:microsoft.com/office/officeart/2005/8/layout/cycle7"/>
    <dgm:cxn modelId="{55272D47-F4A9-4648-8C3C-96DF767606FA}" type="presParOf" srcId="{A127D624-1F40-4864-A938-0CE62312C6CB}" destId="{818E4FC6-4D25-4F86-AA73-06EAC455D89B}" srcOrd="2" destOrd="0" presId="urn:microsoft.com/office/officeart/2005/8/layout/cycle7"/>
    <dgm:cxn modelId="{1F1EC42D-719B-4D6F-8185-16F0FF5C47A8}" type="presParOf" srcId="{A127D624-1F40-4864-A938-0CE62312C6CB}" destId="{6887D766-F14D-4DD5-BE5D-0D1962513DFE}" srcOrd="3" destOrd="0" presId="urn:microsoft.com/office/officeart/2005/8/layout/cycle7"/>
    <dgm:cxn modelId="{253A3948-7652-4BC8-B08A-6329FD375F52}" type="presParOf" srcId="{6887D766-F14D-4DD5-BE5D-0D1962513DFE}" destId="{EBA84922-6B80-4A01-AAF8-D254A8D06556}" srcOrd="0" destOrd="0" presId="urn:microsoft.com/office/officeart/2005/8/layout/cycle7"/>
    <dgm:cxn modelId="{8E66CFF3-EF67-474E-B175-B4FD654E42E2}" type="presParOf" srcId="{A127D624-1F40-4864-A938-0CE62312C6CB}" destId="{4F3FCCB7-B617-4443-B579-664649329354}" srcOrd="4" destOrd="0" presId="urn:microsoft.com/office/officeart/2005/8/layout/cycle7"/>
    <dgm:cxn modelId="{097D19C2-CF46-4C09-AE59-9C0C405D0C22}" type="presParOf" srcId="{A127D624-1F40-4864-A938-0CE62312C6CB}" destId="{E8AF2C45-5296-42D0-A952-357FD5A164BD}" srcOrd="5" destOrd="0" presId="urn:microsoft.com/office/officeart/2005/8/layout/cycle7"/>
    <dgm:cxn modelId="{1B1BE153-1EE1-46D1-A4EC-E1E40595EAC8}" type="presParOf" srcId="{E8AF2C45-5296-42D0-A952-357FD5A164BD}" destId="{86E713E6-FF66-4996-9822-6205A65BF6C0}" srcOrd="0" destOrd="0" presId="urn:microsoft.com/office/officeart/2005/8/layout/cycle7"/>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3CE7F62E-DC24-4F2F-AC82-472AB2E0CD76}" type="doc">
      <dgm:prSet loTypeId="urn:microsoft.com/office/officeart/2005/8/layout/cycle7" loCatId="cycle" qsTypeId="urn:microsoft.com/office/officeart/2005/8/quickstyle/simple1" qsCatId="simple" csTypeId="urn:microsoft.com/office/officeart/2005/8/colors/accent1_2" csCatId="accent1" phldr="1"/>
      <dgm:spPr/>
      <dgm:t>
        <a:bodyPr/>
        <a:lstStyle/>
        <a:p>
          <a:endParaRPr lang="en-AU"/>
        </a:p>
      </dgm:t>
    </dgm:pt>
    <dgm:pt modelId="{E687C9D6-9737-438E-949C-302A015C7ED9}">
      <dgm:prSet phldrT="[Text]"/>
      <dgm:spPr/>
      <dgm:t>
        <a:bodyPr/>
        <a:lstStyle/>
        <a:p>
          <a:pPr algn="ctr"/>
          <a:r>
            <a:rPr lang="en-AU"/>
            <a:t>public servants</a:t>
          </a:r>
        </a:p>
      </dgm:t>
    </dgm:pt>
    <dgm:pt modelId="{D87788F3-A880-4034-BA48-9C06B2CD98CE}" type="parTrans" cxnId="{0AC06DE7-8E2B-424F-9416-1320676E8068}">
      <dgm:prSet/>
      <dgm:spPr/>
      <dgm:t>
        <a:bodyPr/>
        <a:lstStyle/>
        <a:p>
          <a:pPr algn="ctr"/>
          <a:endParaRPr lang="en-AU"/>
        </a:p>
      </dgm:t>
    </dgm:pt>
    <dgm:pt modelId="{149A0393-4524-4FB1-A6B5-A1FD759068BC}" type="sibTrans" cxnId="{0AC06DE7-8E2B-424F-9416-1320676E8068}">
      <dgm:prSet custT="1"/>
      <dgm:spPr>
        <a:noFill/>
      </dgm:spPr>
      <dgm:t>
        <a:bodyPr/>
        <a:lstStyle/>
        <a:p>
          <a:pPr algn="l"/>
          <a:endParaRPr lang="en-AU" sz="900">
            <a:solidFill>
              <a:sysClr val="windowText" lastClr="000000"/>
            </a:solidFill>
          </a:endParaRPr>
        </a:p>
      </dgm:t>
    </dgm:pt>
    <dgm:pt modelId="{684B1283-D0D2-4004-9201-958D5330B552}">
      <dgm:prSet phldrT="[Text]"/>
      <dgm:spPr/>
      <dgm:t>
        <a:bodyPr/>
        <a:lstStyle/>
        <a:p>
          <a:pPr algn="ctr"/>
          <a:r>
            <a:rPr lang="en-AU"/>
            <a:t>citizens</a:t>
          </a:r>
        </a:p>
      </dgm:t>
    </dgm:pt>
    <dgm:pt modelId="{C7751C9A-BC50-439D-9C11-7C7811EFA84B}" type="parTrans" cxnId="{485FEC4D-44EE-4DE3-9FB1-9E148C1489EF}">
      <dgm:prSet/>
      <dgm:spPr/>
      <dgm:t>
        <a:bodyPr/>
        <a:lstStyle/>
        <a:p>
          <a:pPr algn="ctr"/>
          <a:endParaRPr lang="en-AU"/>
        </a:p>
      </dgm:t>
    </dgm:pt>
    <dgm:pt modelId="{8F0EB4DF-247B-4E0A-AC5C-A4611F7A58E9}" type="sibTrans" cxnId="{485FEC4D-44EE-4DE3-9FB1-9E148C1489EF}">
      <dgm:prSet custT="1"/>
      <dgm:spPr>
        <a:noFill/>
      </dgm:spPr>
      <dgm:t>
        <a:bodyPr/>
        <a:lstStyle/>
        <a:p>
          <a:pPr algn="l"/>
          <a:r>
            <a:rPr lang="en-US" sz="900">
              <a:solidFill>
                <a:sysClr val="windowText" lastClr="000000"/>
              </a:solidFill>
              <a:sym typeface="Wingdings"/>
            </a:rPr>
            <a:t></a:t>
          </a:r>
          <a:r>
            <a:rPr lang="en-AU" sz="900">
              <a:solidFill>
                <a:sysClr val="windowText" lastClr="000000"/>
              </a:solidFill>
            </a:rPr>
            <a:t>demand</a:t>
          </a:r>
        </a:p>
        <a:p>
          <a:pPr algn="r"/>
          <a:r>
            <a:rPr lang="en-AU" sz="900">
              <a:solidFill>
                <a:sysClr val="windowText" lastClr="000000"/>
              </a:solidFill>
            </a:rPr>
            <a:t>implement</a:t>
          </a:r>
          <a:r>
            <a:rPr lang="en-US" sz="900">
              <a:solidFill>
                <a:sysClr val="windowText" lastClr="000000"/>
              </a:solidFill>
              <a:sym typeface="Wingdings"/>
            </a:rPr>
            <a:t></a:t>
          </a:r>
          <a:endParaRPr lang="en-AU" sz="900">
            <a:solidFill>
              <a:sysClr val="windowText" lastClr="000000"/>
            </a:solidFill>
          </a:endParaRPr>
        </a:p>
      </dgm:t>
    </dgm:pt>
    <dgm:pt modelId="{B7BA124E-9BE1-4311-A178-69585372E0F4}">
      <dgm:prSet phldrT="[Text]" custT="1"/>
      <dgm:spPr/>
      <dgm:t>
        <a:bodyPr/>
        <a:lstStyle/>
        <a:p>
          <a:pPr algn="ctr"/>
          <a:r>
            <a:rPr lang="en-AU" sz="900"/>
            <a:t>MPs</a:t>
          </a:r>
        </a:p>
      </dgm:t>
    </dgm:pt>
    <dgm:pt modelId="{0225CD75-E33B-4EC8-9F1D-D280FD1BA994}" type="parTrans" cxnId="{7A70E55C-AF0B-47D1-A625-48255BED6733}">
      <dgm:prSet/>
      <dgm:spPr/>
      <dgm:t>
        <a:bodyPr/>
        <a:lstStyle/>
        <a:p>
          <a:pPr algn="ctr"/>
          <a:endParaRPr lang="en-AU"/>
        </a:p>
      </dgm:t>
    </dgm:pt>
    <dgm:pt modelId="{03154FB8-C6E0-49A6-BC85-AA5F1EB74FB1}" type="sibTrans" cxnId="{7A70E55C-AF0B-47D1-A625-48255BED6733}">
      <dgm:prSet custT="1"/>
      <dgm:spPr>
        <a:noFill/>
      </dgm:spPr>
      <dgm:t>
        <a:bodyPr/>
        <a:lstStyle/>
        <a:p>
          <a:pPr algn="r"/>
          <a:r>
            <a:rPr lang="en-AU" sz="1000">
              <a:solidFill>
                <a:sysClr val="windowText" lastClr="000000"/>
              </a:solidFill>
            </a:rPr>
            <a:t>set policy</a:t>
          </a:r>
          <a:r>
            <a:rPr lang="en-US" sz="1000">
              <a:solidFill>
                <a:sysClr val="windowText" lastClr="000000"/>
              </a:solidFill>
              <a:sym typeface="Wingdings"/>
            </a:rPr>
            <a:t></a:t>
          </a:r>
          <a:r>
            <a:rPr lang="en-AU" sz="1000">
              <a:solidFill>
                <a:sysClr val="windowText" lastClr="000000"/>
              </a:solidFill>
            </a:rPr>
            <a:t> </a:t>
          </a:r>
        </a:p>
        <a:p>
          <a:pPr algn="l"/>
          <a:r>
            <a:rPr lang="en-US" sz="1000">
              <a:solidFill>
                <a:sysClr val="windowText" lastClr="000000"/>
              </a:solidFill>
              <a:sym typeface="Wingdings"/>
            </a:rPr>
            <a:t></a:t>
          </a:r>
          <a:r>
            <a:rPr lang="en-AU" sz="1000">
              <a:solidFill>
                <a:sysClr val="windowText" lastClr="000000"/>
              </a:solidFill>
            </a:rPr>
            <a:t>seek benefits</a:t>
          </a:r>
          <a:endParaRPr lang="en-AU" sz="900">
            <a:solidFill>
              <a:sysClr val="windowText" lastClr="000000"/>
            </a:solidFill>
          </a:endParaRPr>
        </a:p>
      </dgm:t>
    </dgm:pt>
    <dgm:pt modelId="{A127D624-1F40-4864-A938-0CE62312C6CB}" type="pres">
      <dgm:prSet presAssocID="{3CE7F62E-DC24-4F2F-AC82-472AB2E0CD76}" presName="Name0" presStyleCnt="0">
        <dgm:presLayoutVars>
          <dgm:dir/>
          <dgm:resizeHandles val="exact"/>
        </dgm:presLayoutVars>
      </dgm:prSet>
      <dgm:spPr/>
      <dgm:t>
        <a:bodyPr/>
        <a:lstStyle/>
        <a:p>
          <a:endParaRPr lang="en-AU"/>
        </a:p>
      </dgm:t>
    </dgm:pt>
    <dgm:pt modelId="{7511BDE8-2452-460F-A800-AB0314A0124B}" type="pres">
      <dgm:prSet presAssocID="{E687C9D6-9737-438E-949C-302A015C7ED9}" presName="node" presStyleLbl="node1" presStyleIdx="0" presStyleCnt="3" custScaleY="63310">
        <dgm:presLayoutVars>
          <dgm:bulletEnabled val="1"/>
        </dgm:presLayoutVars>
      </dgm:prSet>
      <dgm:spPr/>
      <dgm:t>
        <a:bodyPr/>
        <a:lstStyle/>
        <a:p>
          <a:endParaRPr lang="en-AU"/>
        </a:p>
      </dgm:t>
    </dgm:pt>
    <dgm:pt modelId="{80144230-F5A4-4E0C-8537-DE1FFCAB0042}" type="pres">
      <dgm:prSet presAssocID="{149A0393-4524-4FB1-A6B5-A1FD759068BC}" presName="sibTrans" presStyleLbl="sibTrans2D1" presStyleIdx="0" presStyleCnt="3" custScaleX="145036" custScaleY="332818" custLinFactNeighborX="8108" custLinFactNeighborY="-6305"/>
      <dgm:spPr>
        <a:prstGeom prst="rect">
          <a:avLst/>
        </a:prstGeom>
      </dgm:spPr>
      <dgm:t>
        <a:bodyPr/>
        <a:lstStyle/>
        <a:p>
          <a:endParaRPr lang="en-AU"/>
        </a:p>
      </dgm:t>
    </dgm:pt>
    <dgm:pt modelId="{FE56B02F-2382-4D4C-90DA-A1608DEB9426}" type="pres">
      <dgm:prSet presAssocID="{149A0393-4524-4FB1-A6B5-A1FD759068BC}" presName="connectorText" presStyleLbl="sibTrans2D1" presStyleIdx="0" presStyleCnt="3"/>
      <dgm:spPr>
        <a:prstGeom prst="leftRightArrow">
          <a:avLst/>
        </a:prstGeom>
      </dgm:spPr>
      <dgm:t>
        <a:bodyPr/>
        <a:lstStyle/>
        <a:p>
          <a:endParaRPr lang="en-AU"/>
        </a:p>
      </dgm:t>
    </dgm:pt>
    <dgm:pt modelId="{818E4FC6-4D25-4F86-AA73-06EAC455D89B}" type="pres">
      <dgm:prSet presAssocID="{684B1283-D0D2-4004-9201-958D5330B552}" presName="node" presStyleLbl="node1" presStyleIdx="1" presStyleCnt="3" custScaleX="83463" custScaleY="63310" custRadScaleRad="111870" custRadScaleInc="-5700">
        <dgm:presLayoutVars>
          <dgm:bulletEnabled val="1"/>
        </dgm:presLayoutVars>
      </dgm:prSet>
      <dgm:spPr/>
      <dgm:t>
        <a:bodyPr/>
        <a:lstStyle/>
        <a:p>
          <a:endParaRPr lang="en-AU"/>
        </a:p>
      </dgm:t>
    </dgm:pt>
    <dgm:pt modelId="{6887D766-F14D-4DD5-BE5D-0D1962513DFE}" type="pres">
      <dgm:prSet presAssocID="{8F0EB4DF-247B-4E0A-AC5C-A4611F7A58E9}" presName="sibTrans" presStyleLbl="sibTrans2D1" presStyleIdx="1" presStyleCnt="3" custFlipVert="1" custScaleX="146008" custScaleY="382657" custLinFactNeighborX="-6939" custLinFactNeighborY="0"/>
      <dgm:spPr>
        <a:prstGeom prst="leftRightArrow">
          <a:avLst/>
        </a:prstGeom>
      </dgm:spPr>
      <dgm:t>
        <a:bodyPr/>
        <a:lstStyle/>
        <a:p>
          <a:endParaRPr lang="en-AU"/>
        </a:p>
      </dgm:t>
    </dgm:pt>
    <dgm:pt modelId="{EBA84922-6B80-4A01-AAF8-D254A8D06556}" type="pres">
      <dgm:prSet presAssocID="{8F0EB4DF-247B-4E0A-AC5C-A4611F7A58E9}" presName="connectorText" presStyleLbl="sibTrans2D1" presStyleIdx="1" presStyleCnt="3"/>
      <dgm:spPr>
        <a:prstGeom prst="rightArrow">
          <a:avLst/>
        </a:prstGeom>
      </dgm:spPr>
      <dgm:t>
        <a:bodyPr/>
        <a:lstStyle/>
        <a:p>
          <a:endParaRPr lang="en-AU"/>
        </a:p>
      </dgm:t>
    </dgm:pt>
    <dgm:pt modelId="{4F3FCCB7-B617-4443-B579-664649329354}" type="pres">
      <dgm:prSet presAssocID="{B7BA124E-9BE1-4311-A178-69585372E0F4}" presName="node" presStyleLbl="node1" presStyleIdx="2" presStyleCnt="3" custScaleX="92529" custScaleY="63310" custRadScaleRad="111234" custRadScaleInc="5426">
        <dgm:presLayoutVars>
          <dgm:bulletEnabled val="1"/>
        </dgm:presLayoutVars>
      </dgm:prSet>
      <dgm:spPr/>
      <dgm:t>
        <a:bodyPr/>
        <a:lstStyle/>
        <a:p>
          <a:endParaRPr lang="en-AU"/>
        </a:p>
      </dgm:t>
    </dgm:pt>
    <dgm:pt modelId="{E8AF2C45-5296-42D0-A952-357FD5A164BD}" type="pres">
      <dgm:prSet presAssocID="{03154FB8-C6E0-49A6-BC85-AA5F1EB74FB1}" presName="sibTrans" presStyleLbl="sibTrans2D1" presStyleIdx="2" presStyleCnt="3" custScaleX="144736" custScaleY="301335"/>
      <dgm:spPr>
        <a:prstGeom prst="rect">
          <a:avLst/>
        </a:prstGeom>
      </dgm:spPr>
      <dgm:t>
        <a:bodyPr/>
        <a:lstStyle/>
        <a:p>
          <a:endParaRPr lang="en-AU"/>
        </a:p>
      </dgm:t>
    </dgm:pt>
    <dgm:pt modelId="{86E713E6-FF66-4996-9822-6205A65BF6C0}" type="pres">
      <dgm:prSet presAssocID="{03154FB8-C6E0-49A6-BC85-AA5F1EB74FB1}" presName="connectorText" presStyleLbl="sibTrans2D1" presStyleIdx="2" presStyleCnt="3"/>
      <dgm:spPr>
        <a:prstGeom prst="rect">
          <a:avLst/>
        </a:prstGeom>
      </dgm:spPr>
      <dgm:t>
        <a:bodyPr/>
        <a:lstStyle/>
        <a:p>
          <a:endParaRPr lang="en-AU"/>
        </a:p>
      </dgm:t>
    </dgm:pt>
  </dgm:ptLst>
  <dgm:cxnLst>
    <dgm:cxn modelId="{9BF6BA45-00B1-4F1A-9B81-AD29DC5DAD04}" type="presOf" srcId="{8F0EB4DF-247B-4E0A-AC5C-A4611F7A58E9}" destId="{EBA84922-6B80-4A01-AAF8-D254A8D06556}" srcOrd="1" destOrd="0" presId="urn:microsoft.com/office/officeart/2005/8/layout/cycle7"/>
    <dgm:cxn modelId="{7A70E55C-AF0B-47D1-A625-48255BED6733}" srcId="{3CE7F62E-DC24-4F2F-AC82-472AB2E0CD76}" destId="{B7BA124E-9BE1-4311-A178-69585372E0F4}" srcOrd="2" destOrd="0" parTransId="{0225CD75-E33B-4EC8-9F1D-D280FD1BA994}" sibTransId="{03154FB8-C6E0-49A6-BC85-AA5F1EB74FB1}"/>
    <dgm:cxn modelId="{485FEC4D-44EE-4DE3-9FB1-9E148C1489EF}" srcId="{3CE7F62E-DC24-4F2F-AC82-472AB2E0CD76}" destId="{684B1283-D0D2-4004-9201-958D5330B552}" srcOrd="1" destOrd="0" parTransId="{C7751C9A-BC50-439D-9C11-7C7811EFA84B}" sibTransId="{8F0EB4DF-247B-4E0A-AC5C-A4611F7A58E9}"/>
    <dgm:cxn modelId="{79E39396-ABCA-4498-9C14-100B583DA8BE}" type="presOf" srcId="{149A0393-4524-4FB1-A6B5-A1FD759068BC}" destId="{FE56B02F-2382-4D4C-90DA-A1608DEB9426}" srcOrd="1" destOrd="0" presId="urn:microsoft.com/office/officeart/2005/8/layout/cycle7"/>
    <dgm:cxn modelId="{0AC06DE7-8E2B-424F-9416-1320676E8068}" srcId="{3CE7F62E-DC24-4F2F-AC82-472AB2E0CD76}" destId="{E687C9D6-9737-438E-949C-302A015C7ED9}" srcOrd="0" destOrd="0" parTransId="{D87788F3-A880-4034-BA48-9C06B2CD98CE}" sibTransId="{149A0393-4524-4FB1-A6B5-A1FD759068BC}"/>
    <dgm:cxn modelId="{A7CEF824-5CE0-4B0B-8FC9-30C3A6177160}" type="presOf" srcId="{03154FB8-C6E0-49A6-BC85-AA5F1EB74FB1}" destId="{86E713E6-FF66-4996-9822-6205A65BF6C0}" srcOrd="1" destOrd="0" presId="urn:microsoft.com/office/officeart/2005/8/layout/cycle7"/>
    <dgm:cxn modelId="{5CB8E024-C1C1-4D06-95D9-65267BA80E2D}" type="presOf" srcId="{E687C9D6-9737-438E-949C-302A015C7ED9}" destId="{7511BDE8-2452-460F-A800-AB0314A0124B}" srcOrd="0" destOrd="0" presId="urn:microsoft.com/office/officeart/2005/8/layout/cycle7"/>
    <dgm:cxn modelId="{5C838D7E-CC42-4B6A-9F89-0F6236A67CD3}" type="presOf" srcId="{684B1283-D0D2-4004-9201-958D5330B552}" destId="{818E4FC6-4D25-4F86-AA73-06EAC455D89B}" srcOrd="0" destOrd="0" presId="urn:microsoft.com/office/officeart/2005/8/layout/cycle7"/>
    <dgm:cxn modelId="{0ABC964E-F378-4986-AD41-71E491EF2269}" type="presOf" srcId="{3CE7F62E-DC24-4F2F-AC82-472AB2E0CD76}" destId="{A127D624-1F40-4864-A938-0CE62312C6CB}" srcOrd="0" destOrd="0" presId="urn:microsoft.com/office/officeart/2005/8/layout/cycle7"/>
    <dgm:cxn modelId="{50DAC73A-3E42-476E-A765-79AFC8B9264A}" type="presOf" srcId="{8F0EB4DF-247B-4E0A-AC5C-A4611F7A58E9}" destId="{6887D766-F14D-4DD5-BE5D-0D1962513DFE}" srcOrd="0" destOrd="0" presId="urn:microsoft.com/office/officeart/2005/8/layout/cycle7"/>
    <dgm:cxn modelId="{9494D511-154C-4182-ACDD-2FB52EB74B76}" type="presOf" srcId="{03154FB8-C6E0-49A6-BC85-AA5F1EB74FB1}" destId="{E8AF2C45-5296-42D0-A952-357FD5A164BD}" srcOrd="0" destOrd="0" presId="urn:microsoft.com/office/officeart/2005/8/layout/cycle7"/>
    <dgm:cxn modelId="{5A06AA29-0A92-4466-96AF-BE2B561B6886}" type="presOf" srcId="{149A0393-4524-4FB1-A6B5-A1FD759068BC}" destId="{80144230-F5A4-4E0C-8537-DE1FFCAB0042}" srcOrd="0" destOrd="0" presId="urn:microsoft.com/office/officeart/2005/8/layout/cycle7"/>
    <dgm:cxn modelId="{D57D5F0D-1ED7-4D11-8B38-9F7894C498F7}" type="presOf" srcId="{B7BA124E-9BE1-4311-A178-69585372E0F4}" destId="{4F3FCCB7-B617-4443-B579-664649329354}" srcOrd="0" destOrd="0" presId="urn:microsoft.com/office/officeart/2005/8/layout/cycle7"/>
    <dgm:cxn modelId="{22442047-EFCD-4AA4-B86C-52547757353E}" type="presParOf" srcId="{A127D624-1F40-4864-A938-0CE62312C6CB}" destId="{7511BDE8-2452-460F-A800-AB0314A0124B}" srcOrd="0" destOrd="0" presId="urn:microsoft.com/office/officeart/2005/8/layout/cycle7"/>
    <dgm:cxn modelId="{59185656-BDF1-42CE-9097-4F9990520BBF}" type="presParOf" srcId="{A127D624-1F40-4864-A938-0CE62312C6CB}" destId="{80144230-F5A4-4E0C-8537-DE1FFCAB0042}" srcOrd="1" destOrd="0" presId="urn:microsoft.com/office/officeart/2005/8/layout/cycle7"/>
    <dgm:cxn modelId="{7CC61326-8702-4C90-8181-D09B9C6A41C1}" type="presParOf" srcId="{80144230-F5A4-4E0C-8537-DE1FFCAB0042}" destId="{FE56B02F-2382-4D4C-90DA-A1608DEB9426}" srcOrd="0" destOrd="0" presId="urn:microsoft.com/office/officeart/2005/8/layout/cycle7"/>
    <dgm:cxn modelId="{5C80E51C-F8E4-4B8A-82AA-E68449774D39}" type="presParOf" srcId="{A127D624-1F40-4864-A938-0CE62312C6CB}" destId="{818E4FC6-4D25-4F86-AA73-06EAC455D89B}" srcOrd="2" destOrd="0" presId="urn:microsoft.com/office/officeart/2005/8/layout/cycle7"/>
    <dgm:cxn modelId="{2C4DD22D-7C26-4D92-B934-DB96CE7496AC}" type="presParOf" srcId="{A127D624-1F40-4864-A938-0CE62312C6CB}" destId="{6887D766-F14D-4DD5-BE5D-0D1962513DFE}" srcOrd="3" destOrd="0" presId="urn:microsoft.com/office/officeart/2005/8/layout/cycle7"/>
    <dgm:cxn modelId="{A3561903-49CF-428E-A80E-586E64E19519}" type="presParOf" srcId="{6887D766-F14D-4DD5-BE5D-0D1962513DFE}" destId="{EBA84922-6B80-4A01-AAF8-D254A8D06556}" srcOrd="0" destOrd="0" presId="urn:microsoft.com/office/officeart/2005/8/layout/cycle7"/>
    <dgm:cxn modelId="{7ED1376C-5561-490A-9386-4D2F4BA428A2}" type="presParOf" srcId="{A127D624-1F40-4864-A938-0CE62312C6CB}" destId="{4F3FCCB7-B617-4443-B579-664649329354}" srcOrd="4" destOrd="0" presId="urn:microsoft.com/office/officeart/2005/8/layout/cycle7"/>
    <dgm:cxn modelId="{49DB0F30-0408-4DA0-809D-67672AFFF21F}" type="presParOf" srcId="{A127D624-1F40-4864-A938-0CE62312C6CB}" destId="{E8AF2C45-5296-42D0-A952-357FD5A164BD}" srcOrd="5" destOrd="0" presId="urn:microsoft.com/office/officeart/2005/8/layout/cycle7"/>
    <dgm:cxn modelId="{53098BBA-2B9A-4C2A-BF43-6A20BCA60DE8}" type="presParOf" srcId="{E8AF2C45-5296-42D0-A952-357FD5A164BD}" destId="{86E713E6-FF66-4996-9822-6205A65BF6C0}" srcOrd="0" destOrd="0" presId="urn:microsoft.com/office/officeart/2005/8/layout/cycle7"/>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511BDE8-2452-460F-A800-AB0314A0124B}">
      <dsp:nvSpPr>
        <dsp:cNvPr id="0" name=""/>
        <dsp:cNvSpPr/>
      </dsp:nvSpPr>
      <dsp:spPr>
        <a:xfrm>
          <a:off x="823285" y="118110"/>
          <a:ext cx="863203" cy="27473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AU" sz="900" kern="1200"/>
            <a:t>public servants</a:t>
          </a:r>
        </a:p>
      </dsp:txBody>
      <dsp:txXfrm>
        <a:off x="831332" y="126157"/>
        <a:ext cx="847109" cy="258641"/>
      </dsp:txXfrm>
    </dsp:sp>
    <dsp:sp modelId="{80144230-F5A4-4E0C-8537-DE1FFCAB0042}">
      <dsp:nvSpPr>
        <dsp:cNvPr id="0" name=""/>
        <dsp:cNvSpPr/>
      </dsp:nvSpPr>
      <dsp:spPr>
        <a:xfrm rot="3378449">
          <a:off x="1281329" y="583406"/>
          <a:ext cx="1075197" cy="502756"/>
        </a:xfrm>
        <a:prstGeom prst="leftRightArrow">
          <a:avLst/>
        </a:prstGeom>
        <a:no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l" defTabSz="400050">
            <a:lnSpc>
              <a:spcPct val="90000"/>
            </a:lnSpc>
            <a:spcBef>
              <a:spcPct val="0"/>
            </a:spcBef>
            <a:spcAft>
              <a:spcPct val="35000"/>
            </a:spcAft>
          </a:pPr>
          <a:endParaRPr lang="en-US" sz="900" kern="1200"/>
        </a:p>
        <a:p>
          <a:pPr lvl="0" algn="l" defTabSz="400050">
            <a:lnSpc>
              <a:spcPct val="90000"/>
            </a:lnSpc>
            <a:spcBef>
              <a:spcPct val="0"/>
            </a:spcBef>
            <a:spcAft>
              <a:spcPct val="35000"/>
            </a:spcAft>
          </a:pPr>
          <a:r>
            <a:rPr lang="en-US" sz="900" kern="1200">
              <a:solidFill>
                <a:sysClr val="windowText" lastClr="000000"/>
              </a:solidFill>
              <a:sym typeface="Wingdings"/>
            </a:rPr>
            <a:t></a:t>
          </a:r>
          <a:r>
            <a:rPr lang="en-AU" sz="900" kern="1200">
              <a:solidFill>
                <a:sysClr val="windowText" lastClr="000000"/>
              </a:solidFill>
            </a:rPr>
            <a:t>demand</a:t>
          </a:r>
        </a:p>
        <a:p>
          <a:pPr lvl="0" algn="r" defTabSz="400050">
            <a:lnSpc>
              <a:spcPct val="90000"/>
            </a:lnSpc>
            <a:spcBef>
              <a:spcPct val="0"/>
            </a:spcBef>
            <a:spcAft>
              <a:spcPct val="35000"/>
            </a:spcAft>
          </a:pPr>
          <a:r>
            <a:rPr lang="en-AU" sz="900" kern="1200">
              <a:solidFill>
                <a:sysClr val="windowText" lastClr="000000"/>
              </a:solidFill>
            </a:rPr>
            <a:t>implement</a:t>
          </a:r>
          <a:r>
            <a:rPr lang="en-US" sz="900" kern="1200">
              <a:solidFill>
                <a:sysClr val="windowText" lastClr="000000"/>
              </a:solidFill>
              <a:sym typeface="Wingdings"/>
            </a:rPr>
            <a:t></a:t>
          </a:r>
          <a:endParaRPr lang="en-AU" sz="900" kern="1200">
            <a:solidFill>
              <a:sysClr val="windowText" lastClr="000000"/>
            </a:solidFill>
          </a:endParaRPr>
        </a:p>
      </dsp:txBody>
      <dsp:txXfrm>
        <a:off x="1407018" y="709095"/>
        <a:ext cx="823819" cy="251378"/>
      </dsp:txXfrm>
    </dsp:sp>
    <dsp:sp modelId="{818E4FC6-4D25-4F86-AA73-06EAC455D89B}">
      <dsp:nvSpPr>
        <dsp:cNvPr id="0" name=""/>
        <dsp:cNvSpPr/>
      </dsp:nvSpPr>
      <dsp:spPr>
        <a:xfrm>
          <a:off x="1717943" y="1352921"/>
          <a:ext cx="720455" cy="27473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AU" sz="900" kern="1200"/>
            <a:t>citizens</a:t>
          </a:r>
        </a:p>
      </dsp:txBody>
      <dsp:txXfrm>
        <a:off x="1725990" y="1360968"/>
        <a:ext cx="704361" cy="258641"/>
      </dsp:txXfrm>
    </dsp:sp>
    <dsp:sp modelId="{6887D766-F14D-4DD5-BE5D-0D1962513DFE}">
      <dsp:nvSpPr>
        <dsp:cNvPr id="0" name=""/>
        <dsp:cNvSpPr/>
      </dsp:nvSpPr>
      <dsp:spPr>
        <a:xfrm rot="10800011" flipV="1">
          <a:off x="809116" y="1340703"/>
          <a:ext cx="876810" cy="318225"/>
        </a:xfrm>
        <a:prstGeom prst="rightArrow">
          <a:avLst/>
        </a:prstGeom>
        <a:no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l" defTabSz="400050">
            <a:lnSpc>
              <a:spcPct val="90000"/>
            </a:lnSpc>
            <a:spcBef>
              <a:spcPct val="0"/>
            </a:spcBef>
            <a:spcAft>
              <a:spcPct val="35000"/>
            </a:spcAft>
          </a:pPr>
          <a:r>
            <a:rPr lang="en-US" sz="900" kern="1200">
              <a:solidFill>
                <a:sysClr val="windowText" lastClr="000000"/>
              </a:solidFill>
              <a:sym typeface="Wingdings"/>
            </a:rPr>
            <a:t></a:t>
          </a:r>
          <a:r>
            <a:rPr lang="en-AU" sz="900" kern="1200">
              <a:solidFill>
                <a:sysClr val="windowText" lastClr="000000"/>
              </a:solidFill>
            </a:rPr>
            <a:t>indicate preferences</a:t>
          </a:r>
        </a:p>
      </dsp:txBody>
      <dsp:txXfrm rot="10800000">
        <a:off x="888672" y="1420259"/>
        <a:ext cx="797254" cy="159113"/>
      </dsp:txXfrm>
    </dsp:sp>
    <dsp:sp modelId="{4F3FCCB7-B617-4443-B579-664649329354}">
      <dsp:nvSpPr>
        <dsp:cNvPr id="0" name=""/>
        <dsp:cNvSpPr/>
      </dsp:nvSpPr>
      <dsp:spPr>
        <a:xfrm>
          <a:off x="38105" y="1352927"/>
          <a:ext cx="798713" cy="27473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AU" sz="900" kern="1200"/>
            <a:t>MPs</a:t>
          </a:r>
        </a:p>
      </dsp:txBody>
      <dsp:txXfrm>
        <a:off x="46152" y="1360974"/>
        <a:ext cx="782619" cy="258641"/>
      </dsp:txXfrm>
    </dsp:sp>
    <dsp:sp modelId="{E8AF2C45-5296-42D0-A952-357FD5A164BD}">
      <dsp:nvSpPr>
        <dsp:cNvPr id="0" name=""/>
        <dsp:cNvSpPr/>
      </dsp:nvSpPr>
      <dsp:spPr>
        <a:xfrm rot="18210227">
          <a:off x="336052" y="694962"/>
          <a:ext cx="1020243" cy="355848"/>
        </a:xfrm>
        <a:prstGeom prst="rightArrow">
          <a:avLst/>
        </a:prstGeom>
        <a:no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r" defTabSz="400050">
            <a:lnSpc>
              <a:spcPct val="90000"/>
            </a:lnSpc>
            <a:spcBef>
              <a:spcPct val="0"/>
            </a:spcBef>
            <a:spcAft>
              <a:spcPct val="35000"/>
            </a:spcAft>
          </a:pPr>
          <a:r>
            <a:rPr lang="en-AU" sz="900" kern="1200">
              <a:solidFill>
                <a:sysClr val="windowText" lastClr="000000"/>
              </a:solidFill>
            </a:rPr>
            <a:t>set policy</a:t>
          </a:r>
          <a:r>
            <a:rPr lang="en-US" sz="900" kern="1200">
              <a:solidFill>
                <a:sysClr val="windowText" lastClr="000000"/>
              </a:solidFill>
              <a:sym typeface="Wingdings"/>
            </a:rPr>
            <a:t></a:t>
          </a:r>
          <a:endParaRPr lang="en-AU" sz="900" kern="1200">
            <a:solidFill>
              <a:sysClr val="windowText" lastClr="000000"/>
            </a:solidFill>
          </a:endParaRPr>
        </a:p>
      </dsp:txBody>
      <dsp:txXfrm>
        <a:off x="442806" y="766132"/>
        <a:ext cx="806735" cy="213508"/>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511BDE8-2452-460F-A800-AB0314A0124B}">
      <dsp:nvSpPr>
        <dsp:cNvPr id="0" name=""/>
        <dsp:cNvSpPr/>
      </dsp:nvSpPr>
      <dsp:spPr>
        <a:xfrm>
          <a:off x="823285" y="119226"/>
          <a:ext cx="863203" cy="27324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AU" sz="900" kern="1200"/>
            <a:t>public servants</a:t>
          </a:r>
        </a:p>
      </dsp:txBody>
      <dsp:txXfrm>
        <a:off x="831288" y="127229"/>
        <a:ext cx="847197" cy="257240"/>
      </dsp:txXfrm>
    </dsp:sp>
    <dsp:sp modelId="{80144230-F5A4-4E0C-8537-DE1FFCAB0042}">
      <dsp:nvSpPr>
        <dsp:cNvPr id="0" name=""/>
        <dsp:cNvSpPr/>
      </dsp:nvSpPr>
      <dsp:spPr>
        <a:xfrm rot="3378449">
          <a:off x="1212503" y="612353"/>
          <a:ext cx="1022358" cy="502756"/>
        </a:xfrm>
        <a:prstGeom prst="rect">
          <a:avLst/>
        </a:prstGeom>
        <a:no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l" defTabSz="400050">
            <a:lnSpc>
              <a:spcPct val="90000"/>
            </a:lnSpc>
            <a:spcBef>
              <a:spcPct val="0"/>
            </a:spcBef>
            <a:spcAft>
              <a:spcPct val="35000"/>
            </a:spcAft>
          </a:pPr>
          <a:endParaRPr lang="en-AU" sz="900" kern="1200">
            <a:solidFill>
              <a:sysClr val="windowText" lastClr="000000"/>
            </a:solidFill>
          </a:endParaRPr>
        </a:p>
      </dsp:txBody>
      <dsp:txXfrm>
        <a:off x="1338192" y="738042"/>
        <a:ext cx="770980" cy="251378"/>
      </dsp:txXfrm>
    </dsp:sp>
    <dsp:sp modelId="{818E4FC6-4D25-4F86-AA73-06EAC455D89B}">
      <dsp:nvSpPr>
        <dsp:cNvPr id="0" name=""/>
        <dsp:cNvSpPr/>
      </dsp:nvSpPr>
      <dsp:spPr>
        <a:xfrm>
          <a:off x="1717943" y="1354038"/>
          <a:ext cx="720455" cy="27324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AU" sz="900" kern="1200"/>
            <a:t>citizens</a:t>
          </a:r>
        </a:p>
      </dsp:txBody>
      <dsp:txXfrm>
        <a:off x="1725946" y="1362041"/>
        <a:ext cx="704449" cy="257240"/>
      </dsp:txXfrm>
    </dsp:sp>
    <dsp:sp modelId="{6887D766-F14D-4DD5-BE5D-0D1962513DFE}">
      <dsp:nvSpPr>
        <dsp:cNvPr id="0" name=""/>
        <dsp:cNvSpPr/>
      </dsp:nvSpPr>
      <dsp:spPr>
        <a:xfrm rot="10800011" flipV="1">
          <a:off x="713863" y="1201642"/>
          <a:ext cx="1029209" cy="578043"/>
        </a:xfrm>
        <a:prstGeom prst="leftRightArrow">
          <a:avLst/>
        </a:prstGeom>
        <a:no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l" defTabSz="400050">
            <a:lnSpc>
              <a:spcPct val="90000"/>
            </a:lnSpc>
            <a:spcBef>
              <a:spcPct val="0"/>
            </a:spcBef>
            <a:spcAft>
              <a:spcPct val="35000"/>
            </a:spcAft>
          </a:pPr>
          <a:r>
            <a:rPr lang="en-US" sz="900" kern="1200">
              <a:solidFill>
                <a:sysClr val="windowText" lastClr="000000"/>
              </a:solidFill>
              <a:sym typeface="Wingdings"/>
            </a:rPr>
            <a:t></a:t>
          </a:r>
          <a:r>
            <a:rPr lang="en-AU" sz="900" kern="1200">
              <a:solidFill>
                <a:sysClr val="windowText" lastClr="000000"/>
              </a:solidFill>
            </a:rPr>
            <a:t>demand</a:t>
          </a:r>
        </a:p>
        <a:p>
          <a:pPr lvl="0" algn="r" defTabSz="400050">
            <a:lnSpc>
              <a:spcPct val="90000"/>
            </a:lnSpc>
            <a:spcBef>
              <a:spcPct val="0"/>
            </a:spcBef>
            <a:spcAft>
              <a:spcPct val="35000"/>
            </a:spcAft>
          </a:pPr>
          <a:r>
            <a:rPr lang="en-AU" sz="900" kern="1200">
              <a:solidFill>
                <a:sysClr val="windowText" lastClr="000000"/>
              </a:solidFill>
            </a:rPr>
            <a:t>implement</a:t>
          </a:r>
          <a:r>
            <a:rPr lang="en-US" sz="900" kern="1200">
              <a:solidFill>
                <a:sysClr val="windowText" lastClr="000000"/>
              </a:solidFill>
              <a:sym typeface="Wingdings"/>
            </a:rPr>
            <a:t></a:t>
          </a:r>
          <a:endParaRPr lang="en-AU" sz="900" kern="1200">
            <a:solidFill>
              <a:sysClr val="windowText" lastClr="000000"/>
            </a:solidFill>
          </a:endParaRPr>
        </a:p>
      </dsp:txBody>
      <dsp:txXfrm rot="10800000">
        <a:off x="858374" y="1346153"/>
        <a:ext cx="884698" cy="289021"/>
      </dsp:txXfrm>
    </dsp:sp>
    <dsp:sp modelId="{4F3FCCB7-B617-4443-B579-664649329354}">
      <dsp:nvSpPr>
        <dsp:cNvPr id="0" name=""/>
        <dsp:cNvSpPr/>
      </dsp:nvSpPr>
      <dsp:spPr>
        <a:xfrm>
          <a:off x="38105" y="1354043"/>
          <a:ext cx="798713" cy="27324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AU" sz="900" kern="1200"/>
            <a:t>MPs</a:t>
          </a:r>
        </a:p>
      </dsp:txBody>
      <dsp:txXfrm>
        <a:off x="46108" y="1362046"/>
        <a:ext cx="782707" cy="257240"/>
      </dsp:txXfrm>
    </dsp:sp>
    <dsp:sp modelId="{E8AF2C45-5296-42D0-A952-357FD5A164BD}">
      <dsp:nvSpPr>
        <dsp:cNvPr id="0" name=""/>
        <dsp:cNvSpPr/>
      </dsp:nvSpPr>
      <dsp:spPr>
        <a:xfrm rot="18210227">
          <a:off x="336052" y="645659"/>
          <a:ext cx="1020243" cy="455198"/>
        </a:xfrm>
        <a:prstGeom prst="rect">
          <a:avLst/>
        </a:prstGeom>
        <a:no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r" defTabSz="444500">
            <a:lnSpc>
              <a:spcPct val="90000"/>
            </a:lnSpc>
            <a:spcBef>
              <a:spcPct val="0"/>
            </a:spcBef>
            <a:spcAft>
              <a:spcPct val="35000"/>
            </a:spcAft>
          </a:pPr>
          <a:r>
            <a:rPr lang="en-AU" sz="1000" kern="1200">
              <a:solidFill>
                <a:sysClr val="windowText" lastClr="000000"/>
              </a:solidFill>
            </a:rPr>
            <a:t>set policy</a:t>
          </a:r>
          <a:r>
            <a:rPr lang="en-US" sz="1000" kern="1200">
              <a:solidFill>
                <a:sysClr val="windowText" lastClr="000000"/>
              </a:solidFill>
              <a:sym typeface="Wingdings"/>
            </a:rPr>
            <a:t></a:t>
          </a:r>
          <a:r>
            <a:rPr lang="en-AU" sz="1000" kern="1200">
              <a:solidFill>
                <a:sysClr val="windowText" lastClr="000000"/>
              </a:solidFill>
            </a:rPr>
            <a:t> </a:t>
          </a:r>
        </a:p>
        <a:p>
          <a:pPr lvl="0" algn="l" defTabSz="444500">
            <a:lnSpc>
              <a:spcPct val="90000"/>
            </a:lnSpc>
            <a:spcBef>
              <a:spcPct val="0"/>
            </a:spcBef>
            <a:spcAft>
              <a:spcPct val="35000"/>
            </a:spcAft>
          </a:pPr>
          <a:r>
            <a:rPr lang="en-US" sz="1000" kern="1200">
              <a:solidFill>
                <a:sysClr val="windowText" lastClr="000000"/>
              </a:solidFill>
              <a:sym typeface="Wingdings"/>
            </a:rPr>
            <a:t></a:t>
          </a:r>
          <a:r>
            <a:rPr lang="en-AU" sz="1000" kern="1200">
              <a:solidFill>
                <a:sysClr val="windowText" lastClr="000000"/>
              </a:solidFill>
            </a:rPr>
            <a:t>seek benefits</a:t>
          </a:r>
          <a:endParaRPr lang="en-AU" sz="900" kern="1200">
            <a:solidFill>
              <a:sysClr val="windowText" lastClr="000000"/>
            </a:solidFill>
          </a:endParaRPr>
        </a:p>
      </dsp:txBody>
      <dsp:txXfrm>
        <a:off x="336052" y="645659"/>
        <a:ext cx="1020243" cy="455198"/>
      </dsp:txXfrm>
    </dsp:sp>
  </dsp:spTree>
</dsp:drawing>
</file>

<file path=word/diagrams/layout1.xml><?xml version="1.0" encoding="utf-8"?>
<dgm:layoutDef xmlns:dgm="http://schemas.openxmlformats.org/drawingml/2006/diagram" xmlns:a="http://schemas.openxmlformats.org/drawingml/2006/main" uniqueId="urn:microsoft.com/office/officeart/2005/8/layout/cycle7">
  <dgm:title val=""/>
  <dgm:desc val=""/>
  <dgm:catLst>
    <dgm:cat type="cycle" pri="6000"/>
  </dgm:catLst>
  <dgm:sampData>
    <dgm:dataModel>
      <dgm:ptLst>
        <dgm:pt modelId="0" type="doc"/>
        <dgm:pt modelId="1">
          <dgm:prSet phldr="1"/>
        </dgm:pt>
        <dgm:pt modelId="2">
          <dgm:prSet phldr="1"/>
        </dgm:pt>
        <dgm:pt modelId="3">
          <dgm:prSet phldr="1"/>
        </dgm:pt>
      </dgm:ptLst>
      <dgm:cxnLst>
        <dgm:cxn modelId="6" srcId="0" destId="1" srcOrd="0" destOrd="0"/>
        <dgm:cxn modelId="7" srcId="0" destId="2" srcOrd="1" destOrd="0"/>
        <dgm:cxn modelId="8" srcId="0" destId="3" srcOrd="2"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val="exact"/>
    </dgm:varLst>
    <dgm:choose name="Name1">
      <dgm:if name="Name2" func="var" arg="dir" op="equ" val="norm">
        <dgm:alg type="cycle">
          <dgm:param type="stAng" val="0"/>
          <dgm:param type="spanAng" val="360"/>
        </dgm:alg>
      </dgm:if>
      <dgm:else name="Name3">
        <dgm:alg type="cycle">
          <dgm:param type="stAng" val="0"/>
          <dgm:param type="spanAng" val="-360"/>
        </dgm:alg>
      </dgm:else>
    </dgm:choose>
    <dgm:shape xmlns:r="http://schemas.openxmlformats.org/officeDocument/2006/relationships" r:blip="">
      <dgm:adjLst/>
    </dgm:shape>
    <dgm:presOf/>
    <dgm:constrLst>
      <dgm:constr type="diam" refType="w"/>
      <dgm:constr type="w" for="ch" ptType="node" refType="w"/>
      <dgm:constr type="primFontSz" for="ch" ptType="node" op="equ" val="65"/>
      <dgm:constr type="w" for="ch" forName="sibTrans" refType="w" refFor="ch" refPtType="node" op="equ" fact="0.35"/>
      <dgm:constr type="connDist" for="ch" forName="sibTrans" op="equ"/>
      <dgm:constr type="primFontSz" for="des" forName="connectorText" op="equ" val="55"/>
      <dgm:constr type="primFontSz" for="des" forName="connectorText" refType="primFontSz" refFor="ch" refPtType="node" op="lte" fact="0.8"/>
      <dgm:constr type="sibSp" refType="w" refFor="ch" refPtType="node" op="equ" fact="0.65"/>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4">
        <dgm:if name="Name5" axis="par ch" ptType="doc node" func="cnt" op="gt" val="1">
          <dgm:forEach name="sibTransForEach" axis="followSib" ptType="sibTrans" hideLastTrans="0" cnt="1">
            <dgm:layoutNode name="sibTrans">
              <dgm:choose name="Name6">
                <dgm:if name="Name7" axis="par ch" ptType="doc node" func="posEven" op="equ" val="1">
                  <dgm:alg type="conn">
                    <dgm:param type="begPts" val="radial"/>
                    <dgm:param type="endPts" val="radial"/>
                    <dgm:param type="begSty" val="arr"/>
                    <dgm:param type="endSty" val="arr"/>
                  </dgm:alg>
                </dgm:if>
                <dgm:else name="Name8">
                  <dgm:alg type="conn">
                    <dgm:param type="begPts" val="auto"/>
                    <dgm:param type="endPts" val="auto"/>
                    <dgm:param type="begSty" val="arr"/>
                    <dgm:param type="endSty" val="arr"/>
                  </dgm:alg>
                </dgm:else>
              </dgm:choose>
              <dgm:shape xmlns:r="http://schemas.openxmlformats.org/officeDocument/2006/relationships" type="conn" r:blip="">
                <dgm:adjLst/>
              </dgm:shape>
              <dgm:presOf axis="self"/>
              <dgm:constrLst>
                <dgm:constr type="h" refType="w" fact="0.5"/>
                <dgm:constr type="connDist"/>
                <dgm:constr type="begPad" refType="connDist" fact="0.1"/>
                <dgm:constr type="endPad" refType="connDist" fact="0.1"/>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9"/>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cycle7">
  <dgm:title val=""/>
  <dgm:desc val=""/>
  <dgm:catLst>
    <dgm:cat type="cycle" pri="6000"/>
  </dgm:catLst>
  <dgm:sampData>
    <dgm:dataModel>
      <dgm:ptLst>
        <dgm:pt modelId="0" type="doc"/>
        <dgm:pt modelId="1">
          <dgm:prSet phldr="1"/>
        </dgm:pt>
        <dgm:pt modelId="2">
          <dgm:prSet phldr="1"/>
        </dgm:pt>
        <dgm:pt modelId="3">
          <dgm:prSet phldr="1"/>
        </dgm:pt>
      </dgm:ptLst>
      <dgm:cxnLst>
        <dgm:cxn modelId="6" srcId="0" destId="1" srcOrd="0" destOrd="0"/>
        <dgm:cxn modelId="7" srcId="0" destId="2" srcOrd="1" destOrd="0"/>
        <dgm:cxn modelId="8" srcId="0" destId="3" srcOrd="2"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val="exact"/>
    </dgm:varLst>
    <dgm:choose name="Name1">
      <dgm:if name="Name2" func="var" arg="dir" op="equ" val="norm">
        <dgm:alg type="cycle">
          <dgm:param type="stAng" val="0"/>
          <dgm:param type="spanAng" val="360"/>
        </dgm:alg>
      </dgm:if>
      <dgm:else name="Name3">
        <dgm:alg type="cycle">
          <dgm:param type="stAng" val="0"/>
          <dgm:param type="spanAng" val="-360"/>
        </dgm:alg>
      </dgm:else>
    </dgm:choose>
    <dgm:shape xmlns:r="http://schemas.openxmlformats.org/officeDocument/2006/relationships" r:blip="">
      <dgm:adjLst/>
    </dgm:shape>
    <dgm:presOf/>
    <dgm:constrLst>
      <dgm:constr type="diam" refType="w"/>
      <dgm:constr type="w" for="ch" ptType="node" refType="w"/>
      <dgm:constr type="primFontSz" for="ch" ptType="node" op="equ" val="65"/>
      <dgm:constr type="w" for="ch" forName="sibTrans" refType="w" refFor="ch" refPtType="node" op="equ" fact="0.35"/>
      <dgm:constr type="connDist" for="ch" forName="sibTrans" op="equ"/>
      <dgm:constr type="primFontSz" for="des" forName="connectorText" op="equ" val="55"/>
      <dgm:constr type="primFontSz" for="des" forName="connectorText" refType="primFontSz" refFor="ch" refPtType="node" op="lte" fact="0.8"/>
      <dgm:constr type="sibSp" refType="w" refFor="ch" refPtType="node" op="equ" fact="0.65"/>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4">
        <dgm:if name="Name5" axis="par ch" ptType="doc node" func="cnt" op="gt" val="1">
          <dgm:forEach name="sibTransForEach" axis="followSib" ptType="sibTrans" hideLastTrans="0" cnt="1">
            <dgm:layoutNode name="sibTrans">
              <dgm:choose name="Name6">
                <dgm:if name="Name7" axis="par ch" ptType="doc node" func="posEven" op="equ" val="1">
                  <dgm:alg type="conn">
                    <dgm:param type="begPts" val="radial"/>
                    <dgm:param type="endPts" val="radial"/>
                    <dgm:param type="begSty" val="arr"/>
                    <dgm:param type="endSty" val="arr"/>
                  </dgm:alg>
                </dgm:if>
                <dgm:else name="Name8">
                  <dgm:alg type="conn">
                    <dgm:param type="begPts" val="auto"/>
                    <dgm:param type="endPts" val="auto"/>
                    <dgm:param type="begSty" val="arr"/>
                    <dgm:param type="endSty" val="arr"/>
                  </dgm:alg>
                </dgm:else>
              </dgm:choose>
              <dgm:shape xmlns:r="http://schemas.openxmlformats.org/officeDocument/2006/relationships" type="conn" r:blip="">
                <dgm:adjLst/>
              </dgm:shape>
              <dgm:presOf axis="self"/>
              <dgm:constrLst>
                <dgm:constr type="h" refType="w" fact="0.5"/>
                <dgm:constr type="connDist"/>
                <dgm:constr type="begPad" refType="connDist" fact="0.1"/>
                <dgm:constr type="endPad" refType="connDist" fact="0.1"/>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9"/>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A3D6170-7412-4F20-889E-C5644075C4D0}"/>
</file>

<file path=customXml/itemProps2.xml><?xml version="1.0" encoding="utf-8"?>
<ds:datastoreItem xmlns:ds="http://schemas.openxmlformats.org/officeDocument/2006/customXml" ds:itemID="{E7D53C3D-CE62-4471-839B-9112CCD547D1}"/>
</file>

<file path=customXml/itemProps3.xml><?xml version="1.0" encoding="utf-8"?>
<ds:datastoreItem xmlns:ds="http://schemas.openxmlformats.org/officeDocument/2006/customXml" ds:itemID="{87E0D4E5-0327-46A2-9B63-57B1EFD5C349}"/>
</file>

<file path=customXml/itemProps4.xml><?xml version="1.0" encoding="utf-8"?>
<ds:datastoreItem xmlns:ds="http://schemas.openxmlformats.org/officeDocument/2006/customXml" ds:itemID="{0E9F26F7-B769-4D72-ACFC-41424DC528A6}"/>
</file>

<file path=docProps/app.xml><?xml version="1.0" encoding="utf-8"?>
<Properties xmlns="http://schemas.openxmlformats.org/officeDocument/2006/extended-properties" xmlns:vt="http://schemas.openxmlformats.org/officeDocument/2006/docPropsVTypes">
  <Template>CDCDBF32</Template>
  <TotalTime>0</TotalTime>
  <Pages>53</Pages>
  <Words>45546</Words>
  <Characters>260982</Characters>
  <Application>Microsoft Office Word</Application>
  <DocSecurity>0</DocSecurity>
  <Lines>5219</Lines>
  <Paragraphs>1857</Paragraphs>
  <ScaleCrop>false</ScaleCrop>
  <Company/>
  <LinksUpToDate>false</LinksUpToDate>
  <CharactersWithSpaces>304671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2016-08-02T00:55:00Z</dcterms:created>
  <dcterms:modified xsi:type="dcterms:W3CDTF">2016-08-02T00:55:00Z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6e319baa-9ca1-4306-841a-a542f2d9b4f9</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0x01010050F19AC2165D2E47A5E6B7F563E4CF00</vt:lpwstr>
  </property>
  <property fmtid="{D5CDD505-2E9C-101B-9397-08002B2CF9AE}" pid="6" name="Order">
    <vt:r8>1047900</vt:r8>
  </property>
  <property fmtid="{D5CDD505-2E9C-101B-9397-08002B2CF9AE}" pid="7" name="TemplateUrl">
    <vt:lpwstr/>
  </property>
  <property fmtid="{D5CDD505-2E9C-101B-9397-08002B2CF9AE}" pid="8" name="xd_Signature">
    <vt:bool>false</vt:bool>
  </property>
  <property fmtid="{D5CDD505-2E9C-101B-9397-08002B2CF9AE}" pid="9" name="xd_ProgID">
    <vt:lpwstr/>
  </property>
  <property fmtid="{D5CDD505-2E9C-101B-9397-08002B2CF9AE}" pid="10" name="_SourceUrl">
    <vt:lpwstr/>
  </property>
  <property fmtid="{D5CDD505-2E9C-101B-9397-08002B2CF9AE}" pid="11" name="_SharedFileIndex">
    <vt:lpwstr/>
  </property>
</Properties>
</file>