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DFATTable1"/>
        <w:tblW w:w="13892"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5762"/>
        <w:gridCol w:w="1092"/>
        <w:gridCol w:w="3919"/>
        <w:gridCol w:w="3119"/>
      </w:tblGrid>
      <w:tr w:rsidR="00AA79C7" w:rsidTr="004017F8">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5762" w:type="dxa"/>
            <w:hideMark/>
          </w:tcPr>
          <w:p w:rsidR="005A1593" w:rsidRPr="008A0512" w:rsidRDefault="005A1593" w:rsidP="004017F8">
            <w:pPr>
              <w:pStyle w:val="TableHeaderRow"/>
              <w:spacing w:after="0"/>
            </w:pPr>
            <w:bookmarkStart w:id="0" w:name="_GoBack"/>
            <w:bookmarkEnd w:id="0"/>
            <w:r w:rsidRPr="008A0512">
              <w:t>Recommendation</w:t>
            </w:r>
          </w:p>
        </w:tc>
        <w:tc>
          <w:tcPr>
            <w:tcW w:w="1092" w:type="dxa"/>
            <w:hideMark/>
          </w:tcPr>
          <w:p w:rsidR="005A1593" w:rsidRPr="008A0512" w:rsidRDefault="005A1593" w:rsidP="006C67A7">
            <w:pPr>
              <w:pStyle w:val="TableHeaderRow"/>
              <w:cnfStyle w:val="100000000000" w:firstRow="1" w:lastRow="0" w:firstColumn="0" w:lastColumn="0" w:oddVBand="0" w:evenVBand="0" w:oddHBand="0" w:evenHBand="0" w:firstRowFirstColumn="0" w:firstRowLastColumn="0" w:lastRowFirstColumn="0" w:lastRowLastColumn="0"/>
            </w:pPr>
            <w:r>
              <w:t>Response</w:t>
            </w:r>
          </w:p>
        </w:tc>
        <w:tc>
          <w:tcPr>
            <w:tcW w:w="3919" w:type="dxa"/>
            <w:hideMark/>
          </w:tcPr>
          <w:p w:rsidR="005A1593" w:rsidRPr="008A0512" w:rsidRDefault="005A1593" w:rsidP="006C67A7">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Explanation </w:t>
            </w:r>
          </w:p>
        </w:tc>
        <w:tc>
          <w:tcPr>
            <w:tcW w:w="3119" w:type="dxa"/>
            <w:hideMark/>
          </w:tcPr>
          <w:p w:rsidR="005A1593" w:rsidRPr="008A0512" w:rsidRDefault="005A1593" w:rsidP="006C67A7">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Action plan </w:t>
            </w:r>
          </w:p>
        </w:tc>
      </w:tr>
      <w:tr w:rsidR="00AA79C7" w:rsidTr="0040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2" w:type="dxa"/>
          </w:tcPr>
          <w:p w:rsidR="00C73B23" w:rsidRDefault="005A1593" w:rsidP="00AD277B">
            <w:pPr>
              <w:pStyle w:val="Heading3"/>
              <w:outlineLvl w:val="2"/>
              <w:rPr>
                <w:sz w:val="24"/>
                <w:szCs w:val="24"/>
              </w:rPr>
            </w:pPr>
            <w:r w:rsidRPr="008A0512">
              <w:rPr>
                <w:sz w:val="24"/>
                <w:szCs w:val="24"/>
              </w:rPr>
              <w:t>Recommendation 1</w:t>
            </w:r>
            <w:r w:rsidR="00645A74">
              <w:rPr>
                <w:sz w:val="24"/>
                <w:szCs w:val="24"/>
              </w:rPr>
              <w:t>:</w:t>
            </w:r>
            <w:r>
              <w:rPr>
                <w:sz w:val="24"/>
                <w:szCs w:val="24"/>
              </w:rPr>
              <w:t xml:space="preserve"> </w:t>
            </w:r>
            <w:r w:rsidR="00920CA3" w:rsidRPr="00920CA3">
              <w:rPr>
                <w:sz w:val="24"/>
                <w:szCs w:val="24"/>
              </w:rPr>
              <w:t>The current delivery approach which includes direct budget support and parallel support should continue into the next phase of the program. MEHRD should</w:t>
            </w:r>
            <w:r w:rsidR="00C73B23">
              <w:rPr>
                <w:sz w:val="24"/>
                <w:szCs w:val="24"/>
              </w:rPr>
              <w:t xml:space="preserve"> be helped with spend through:</w:t>
            </w:r>
          </w:p>
          <w:p w:rsidR="00C73B23" w:rsidRDefault="00920CA3" w:rsidP="00AD277B">
            <w:pPr>
              <w:pStyle w:val="Heading3"/>
              <w:outlineLvl w:val="2"/>
              <w:rPr>
                <w:sz w:val="24"/>
                <w:szCs w:val="24"/>
              </w:rPr>
            </w:pPr>
            <w:r w:rsidRPr="00920CA3">
              <w:rPr>
                <w:sz w:val="24"/>
                <w:szCs w:val="24"/>
              </w:rPr>
              <w:t xml:space="preserve">1) </w:t>
            </w:r>
            <w:proofErr w:type="gramStart"/>
            <w:r w:rsidRPr="00920CA3">
              <w:rPr>
                <w:sz w:val="24"/>
                <w:szCs w:val="24"/>
              </w:rPr>
              <w:t>provision</w:t>
            </w:r>
            <w:proofErr w:type="gramEnd"/>
            <w:r w:rsidRPr="00920CA3">
              <w:rPr>
                <w:sz w:val="24"/>
                <w:szCs w:val="24"/>
              </w:rPr>
              <w:t xml:space="preserve"> of TA specific to capacity building in procurement and PFM</w:t>
            </w:r>
            <w:r w:rsidR="00C73B23">
              <w:rPr>
                <w:sz w:val="24"/>
                <w:szCs w:val="24"/>
              </w:rPr>
              <w:t>,</w:t>
            </w:r>
          </w:p>
          <w:p w:rsidR="00C73B23" w:rsidRDefault="00920CA3" w:rsidP="00AD277B">
            <w:pPr>
              <w:pStyle w:val="Heading3"/>
              <w:outlineLvl w:val="2"/>
              <w:rPr>
                <w:sz w:val="24"/>
                <w:szCs w:val="24"/>
              </w:rPr>
            </w:pPr>
            <w:r w:rsidRPr="00920CA3">
              <w:rPr>
                <w:sz w:val="24"/>
                <w:szCs w:val="24"/>
              </w:rPr>
              <w:t xml:space="preserve">2) </w:t>
            </w:r>
            <w:proofErr w:type="gramStart"/>
            <w:r w:rsidRPr="00920CA3">
              <w:rPr>
                <w:sz w:val="24"/>
                <w:szCs w:val="24"/>
              </w:rPr>
              <w:t>outsourcing</w:t>
            </w:r>
            <w:proofErr w:type="gramEnd"/>
            <w:r w:rsidRPr="00920CA3">
              <w:rPr>
                <w:sz w:val="24"/>
                <w:szCs w:val="24"/>
              </w:rPr>
              <w:t xml:space="preserve"> where possible and increased use of larger contracts</w:t>
            </w:r>
          </w:p>
          <w:p w:rsidR="00AD277B" w:rsidRDefault="00920CA3" w:rsidP="00AD277B">
            <w:pPr>
              <w:pStyle w:val="Heading3"/>
              <w:outlineLvl w:val="2"/>
              <w:rPr>
                <w:sz w:val="24"/>
                <w:szCs w:val="24"/>
              </w:rPr>
            </w:pPr>
            <w:r w:rsidRPr="00920CA3">
              <w:rPr>
                <w:sz w:val="24"/>
                <w:szCs w:val="24"/>
              </w:rPr>
              <w:t xml:space="preserve">3) </w:t>
            </w:r>
            <w:proofErr w:type="gramStart"/>
            <w:r w:rsidRPr="00920CA3">
              <w:rPr>
                <w:sz w:val="24"/>
                <w:szCs w:val="24"/>
              </w:rPr>
              <w:t>provision</w:t>
            </w:r>
            <w:proofErr w:type="gramEnd"/>
            <w:r w:rsidRPr="00920CA3">
              <w:rPr>
                <w:sz w:val="24"/>
                <w:szCs w:val="24"/>
              </w:rPr>
              <w:t xml:space="preserve"> of a clear, easy to use operating manual for MEHRD  staff on procurement and PFM processes.</w:t>
            </w:r>
          </w:p>
          <w:p w:rsidR="00AD277B" w:rsidRPr="00AD277B" w:rsidRDefault="00AD277B" w:rsidP="00AD277B">
            <w:pPr>
              <w:rPr>
                <w:lang w:val="en-AU"/>
              </w:rPr>
            </w:pPr>
          </w:p>
        </w:tc>
        <w:tc>
          <w:tcPr>
            <w:tcW w:w="1092" w:type="dxa"/>
            <w:shd w:val="clear" w:color="auto" w:fill="C9C9C9" w:themeFill="accent3" w:themeFillTint="99"/>
            <w:hideMark/>
          </w:tcPr>
          <w:p w:rsidR="005A1593" w:rsidRPr="008A0512" w:rsidRDefault="005A1593" w:rsidP="006C67A7">
            <w:pPr>
              <w:pStyle w:val="Heading3"/>
              <w:outlineLvl w:val="2"/>
              <w:cnfStyle w:val="000000100000" w:firstRow="0" w:lastRow="0" w:firstColumn="0" w:lastColumn="0" w:oddVBand="0" w:evenVBand="0" w:oddHBand="1" w:evenHBand="0" w:firstRowFirstColumn="0" w:firstRowLastColumn="0" w:lastRowFirstColumn="0" w:lastRowLastColumn="0"/>
              <w:rPr>
                <w:sz w:val="24"/>
                <w:szCs w:val="24"/>
              </w:rPr>
            </w:pPr>
            <w:r w:rsidRPr="008A0512">
              <w:rPr>
                <w:sz w:val="24"/>
                <w:szCs w:val="24"/>
              </w:rPr>
              <w:t>Agree</w:t>
            </w:r>
            <w:r w:rsidR="00920CA3">
              <w:rPr>
                <w:sz w:val="24"/>
                <w:szCs w:val="24"/>
              </w:rPr>
              <w:t>d</w:t>
            </w:r>
            <w:r w:rsidR="007B6728">
              <w:rPr>
                <w:sz w:val="24"/>
                <w:szCs w:val="24"/>
              </w:rPr>
              <w:t xml:space="preserve"> in principle</w:t>
            </w:r>
            <w:r w:rsidRPr="008A0512">
              <w:rPr>
                <w:sz w:val="24"/>
                <w:szCs w:val="24"/>
              </w:rPr>
              <w:t xml:space="preserve"> </w:t>
            </w:r>
          </w:p>
        </w:tc>
        <w:tc>
          <w:tcPr>
            <w:tcW w:w="3919" w:type="dxa"/>
            <w:shd w:val="clear" w:color="auto" w:fill="BDD6EE" w:themeFill="accent1" w:themeFillTint="66"/>
          </w:tcPr>
          <w:p w:rsidR="005A1593" w:rsidRPr="005A1593" w:rsidRDefault="00920CA3" w:rsidP="00D826C2">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 xml:space="preserve">DFAT </w:t>
            </w:r>
            <w:r w:rsidR="007B6728">
              <w:rPr>
                <w:rFonts w:asciiTheme="majorHAnsi" w:hAnsiTheme="majorHAnsi"/>
                <w:sz w:val="24"/>
                <w:szCs w:val="24"/>
              </w:rPr>
              <w:t xml:space="preserve">will further consider the balance between budget support and parallel support during the design of the next phase of the program. </w:t>
            </w:r>
            <w:r w:rsidR="00C35FE3">
              <w:rPr>
                <w:rFonts w:asciiTheme="majorHAnsi" w:hAnsiTheme="majorHAnsi"/>
                <w:sz w:val="24"/>
                <w:szCs w:val="24"/>
              </w:rPr>
              <w:t xml:space="preserve">DFAT </w:t>
            </w:r>
            <w:r>
              <w:rPr>
                <w:rFonts w:asciiTheme="majorHAnsi" w:hAnsiTheme="majorHAnsi"/>
                <w:sz w:val="24"/>
                <w:szCs w:val="24"/>
              </w:rPr>
              <w:t xml:space="preserve">will work with MEHRD </w:t>
            </w:r>
            <w:r w:rsidR="00C35FE3">
              <w:rPr>
                <w:rFonts w:asciiTheme="majorHAnsi" w:hAnsiTheme="majorHAnsi"/>
                <w:sz w:val="24"/>
                <w:szCs w:val="24"/>
              </w:rPr>
              <w:t xml:space="preserve">and </w:t>
            </w:r>
            <w:r w:rsidR="00D826C2">
              <w:rPr>
                <w:rFonts w:asciiTheme="majorHAnsi" w:hAnsiTheme="majorHAnsi"/>
                <w:sz w:val="24"/>
                <w:szCs w:val="24"/>
              </w:rPr>
              <w:t xml:space="preserve">New Zealand </w:t>
            </w:r>
            <w:r w:rsidR="00C35FE3">
              <w:rPr>
                <w:rFonts w:asciiTheme="majorHAnsi" w:hAnsiTheme="majorHAnsi"/>
                <w:sz w:val="24"/>
                <w:szCs w:val="24"/>
              </w:rPr>
              <w:t xml:space="preserve">MFAT </w:t>
            </w:r>
            <w:r w:rsidR="00D826C2">
              <w:rPr>
                <w:rFonts w:asciiTheme="majorHAnsi" w:hAnsiTheme="majorHAnsi"/>
                <w:sz w:val="24"/>
                <w:szCs w:val="24"/>
              </w:rPr>
              <w:t xml:space="preserve">(the other main budget support donor) </w:t>
            </w:r>
            <w:r>
              <w:rPr>
                <w:rFonts w:asciiTheme="majorHAnsi" w:hAnsiTheme="majorHAnsi"/>
                <w:sz w:val="24"/>
                <w:szCs w:val="24"/>
              </w:rPr>
              <w:t>on the three points outlined, noting that the nature of any PFM and procurement manual developed would be dependent on advice from the TA referenced in point 1.</w:t>
            </w:r>
          </w:p>
        </w:tc>
        <w:tc>
          <w:tcPr>
            <w:tcW w:w="3119" w:type="dxa"/>
            <w:shd w:val="clear" w:color="auto" w:fill="9CC2E5" w:themeFill="accent1" w:themeFillTint="99"/>
          </w:tcPr>
          <w:p w:rsidR="005A1593" w:rsidRPr="00AA79C7" w:rsidRDefault="00C35FE3" w:rsidP="00C35FE3">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To be factored into the design of the next phase of the program.</w:t>
            </w:r>
          </w:p>
        </w:tc>
      </w:tr>
      <w:tr w:rsidR="00AA79C7" w:rsidTr="004017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2" w:type="dxa"/>
            <w:hideMark/>
          </w:tcPr>
          <w:p w:rsidR="005A1593" w:rsidRDefault="005A1593" w:rsidP="00D714B2">
            <w:pPr>
              <w:pStyle w:val="Heading3"/>
              <w:spacing w:before="240"/>
              <w:outlineLvl w:val="2"/>
              <w:rPr>
                <w:sz w:val="24"/>
                <w:szCs w:val="24"/>
                <w:lang w:val="en-US"/>
              </w:rPr>
            </w:pPr>
            <w:r w:rsidRPr="008F4A4D">
              <w:rPr>
                <w:sz w:val="24"/>
                <w:szCs w:val="24"/>
              </w:rPr>
              <w:t>Recommendation 2</w:t>
            </w:r>
            <w:r w:rsidR="00645A74">
              <w:rPr>
                <w:sz w:val="24"/>
                <w:szCs w:val="24"/>
              </w:rPr>
              <w:t>:</w:t>
            </w:r>
            <w:r>
              <w:rPr>
                <w:sz w:val="24"/>
                <w:szCs w:val="24"/>
              </w:rPr>
              <w:t xml:space="preserve"> </w:t>
            </w:r>
            <w:r w:rsidR="00920CA3" w:rsidRPr="00920CA3">
              <w:rPr>
                <w:sz w:val="24"/>
                <w:szCs w:val="24"/>
                <w:lang w:val="en-US"/>
              </w:rPr>
              <w:t xml:space="preserve">Linked to the above recommendation, partners should continue with current PFM and Procurement Advisers and consider supplementing these with an advisor/s whose sole purpose is to strengthen capacity in a facilitative rather than compliance </w:t>
            </w:r>
            <w:r w:rsidR="004B26B2">
              <w:rPr>
                <w:sz w:val="24"/>
                <w:szCs w:val="24"/>
                <w:lang w:val="en-US"/>
              </w:rPr>
              <w:t xml:space="preserve">role. </w:t>
            </w:r>
            <w:r w:rsidR="00920CA3" w:rsidRPr="00920CA3">
              <w:rPr>
                <w:sz w:val="24"/>
                <w:szCs w:val="24"/>
                <w:lang w:val="en-US"/>
              </w:rPr>
              <w:t>In the future, advisors should also work closely with corporate services to help develop the appropriate sections of its planned standard operating manual so that the procedures contained in the manual are clearly understood and owned by MEHRD staff.</w:t>
            </w:r>
          </w:p>
          <w:p w:rsidR="00C35FE3" w:rsidRPr="00C35FE3" w:rsidRDefault="00C35FE3" w:rsidP="00C35FE3">
            <w:pPr>
              <w:rPr>
                <w:lang w:val="en-US"/>
              </w:rPr>
            </w:pPr>
          </w:p>
        </w:tc>
        <w:tc>
          <w:tcPr>
            <w:tcW w:w="1092" w:type="dxa"/>
            <w:shd w:val="clear" w:color="auto" w:fill="C9C9C9" w:themeFill="accent3" w:themeFillTint="99"/>
            <w:hideMark/>
          </w:tcPr>
          <w:p w:rsidR="005A1593" w:rsidRPr="008F4A4D" w:rsidRDefault="00C73B23" w:rsidP="00AA79C7">
            <w:pPr>
              <w:pStyle w:val="Heading3"/>
              <w:outlineLvl w:val="2"/>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Agreed</w:t>
            </w:r>
            <w:r w:rsidR="005A1593" w:rsidRPr="008F4A4D">
              <w:rPr>
                <w:sz w:val="24"/>
                <w:szCs w:val="24"/>
              </w:rPr>
              <w:t xml:space="preserve"> </w:t>
            </w:r>
          </w:p>
        </w:tc>
        <w:tc>
          <w:tcPr>
            <w:tcW w:w="3919" w:type="dxa"/>
          </w:tcPr>
          <w:p w:rsidR="005A1593" w:rsidRPr="005A1593" w:rsidRDefault="00AA79C7" w:rsidP="004B26B2">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Pr>
                <w:rFonts w:asciiTheme="majorHAnsi" w:hAnsiTheme="majorHAnsi"/>
                <w:sz w:val="24"/>
                <w:szCs w:val="24"/>
              </w:rPr>
              <w:t>DFAT</w:t>
            </w:r>
            <w:r w:rsidR="002565F0">
              <w:rPr>
                <w:rFonts w:asciiTheme="majorHAnsi" w:hAnsiTheme="majorHAnsi"/>
                <w:sz w:val="24"/>
                <w:szCs w:val="24"/>
              </w:rPr>
              <w:t xml:space="preserve"> </w:t>
            </w:r>
            <w:r>
              <w:rPr>
                <w:rFonts w:asciiTheme="majorHAnsi" w:hAnsiTheme="majorHAnsi"/>
                <w:sz w:val="24"/>
                <w:szCs w:val="24"/>
              </w:rPr>
              <w:t>agrees</w:t>
            </w:r>
            <w:r w:rsidR="00C73B23">
              <w:rPr>
                <w:rFonts w:asciiTheme="majorHAnsi" w:hAnsiTheme="majorHAnsi"/>
                <w:sz w:val="24"/>
                <w:szCs w:val="24"/>
              </w:rPr>
              <w:t xml:space="preserve"> that partners (including MFAT) should work with MEHRD to provide PFM/</w:t>
            </w:r>
            <w:r w:rsidR="004B26B2">
              <w:rPr>
                <w:rFonts w:asciiTheme="majorHAnsi" w:hAnsiTheme="majorHAnsi"/>
                <w:sz w:val="24"/>
                <w:szCs w:val="24"/>
              </w:rPr>
              <w:t xml:space="preserve"> </w:t>
            </w:r>
            <w:r w:rsidR="00C73B23">
              <w:rPr>
                <w:rFonts w:asciiTheme="majorHAnsi" w:hAnsiTheme="majorHAnsi"/>
                <w:sz w:val="24"/>
                <w:szCs w:val="24"/>
              </w:rPr>
              <w:t>procurement TA</w:t>
            </w:r>
            <w:r w:rsidR="004B26B2">
              <w:rPr>
                <w:rFonts w:asciiTheme="majorHAnsi" w:hAnsiTheme="majorHAnsi"/>
                <w:sz w:val="24"/>
                <w:szCs w:val="24"/>
              </w:rPr>
              <w:t xml:space="preserve"> focused on capacity development</w:t>
            </w:r>
            <w:r>
              <w:rPr>
                <w:rFonts w:asciiTheme="majorHAnsi" w:hAnsiTheme="majorHAnsi"/>
                <w:sz w:val="24"/>
                <w:szCs w:val="24"/>
              </w:rPr>
              <w:t>.</w:t>
            </w:r>
            <w:r w:rsidR="004B26B2">
              <w:rPr>
                <w:rFonts w:asciiTheme="majorHAnsi" w:hAnsiTheme="majorHAnsi"/>
                <w:sz w:val="24"/>
                <w:szCs w:val="24"/>
              </w:rPr>
              <w:t xml:space="preserve"> DFAT notes that</w:t>
            </w:r>
            <w:r w:rsidR="00C73B23">
              <w:rPr>
                <w:rFonts w:asciiTheme="majorHAnsi" w:hAnsiTheme="majorHAnsi"/>
                <w:sz w:val="24"/>
                <w:szCs w:val="24"/>
              </w:rPr>
              <w:t xml:space="preserve"> the nature of any TA support for an operating manual will be considered in the development of that TA position</w:t>
            </w:r>
            <w:r w:rsidR="004B26B2">
              <w:rPr>
                <w:rFonts w:asciiTheme="majorHAnsi" w:hAnsiTheme="majorHAnsi"/>
                <w:sz w:val="24"/>
                <w:szCs w:val="24"/>
              </w:rPr>
              <w:t>’s</w:t>
            </w:r>
            <w:r w:rsidR="00C73B23">
              <w:rPr>
                <w:rFonts w:asciiTheme="majorHAnsi" w:hAnsiTheme="majorHAnsi"/>
                <w:sz w:val="24"/>
                <w:szCs w:val="24"/>
              </w:rPr>
              <w:t xml:space="preserve"> Terms of Reference.</w:t>
            </w:r>
          </w:p>
        </w:tc>
        <w:tc>
          <w:tcPr>
            <w:tcW w:w="3119" w:type="dxa"/>
            <w:shd w:val="clear" w:color="auto" w:fill="9CC2E5" w:themeFill="accent1" w:themeFillTint="99"/>
          </w:tcPr>
          <w:p w:rsidR="005A1593" w:rsidRPr="008F4A4D" w:rsidRDefault="004B26B2" w:rsidP="00D714B2">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Pr>
                <w:rFonts w:asciiTheme="majorHAnsi" w:hAnsiTheme="majorHAnsi"/>
                <w:sz w:val="24"/>
                <w:szCs w:val="24"/>
              </w:rPr>
              <w:t>To be factored into the design of the next phase of the program.</w:t>
            </w:r>
          </w:p>
        </w:tc>
      </w:tr>
      <w:tr w:rsidR="00920CA3" w:rsidTr="0040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2" w:type="dxa"/>
          </w:tcPr>
          <w:p w:rsidR="00920CA3" w:rsidRDefault="00920CA3" w:rsidP="00994EB5">
            <w:pPr>
              <w:pStyle w:val="Heading3"/>
              <w:spacing w:before="240"/>
              <w:outlineLvl w:val="2"/>
              <w:rPr>
                <w:sz w:val="24"/>
                <w:szCs w:val="24"/>
              </w:rPr>
            </w:pPr>
            <w:r w:rsidRPr="008A0512">
              <w:rPr>
                <w:sz w:val="24"/>
                <w:szCs w:val="24"/>
              </w:rPr>
              <w:lastRenderedPageBreak/>
              <w:t>Recommendation</w:t>
            </w:r>
            <w:r>
              <w:rPr>
                <w:sz w:val="24"/>
                <w:szCs w:val="24"/>
              </w:rPr>
              <w:t xml:space="preserve"> 3:</w:t>
            </w:r>
            <w:r w:rsidRPr="00920CA3">
              <w:rPr>
                <w:rFonts w:eastAsiaTheme="minorHAnsi" w:cstheme="minorBidi"/>
                <w:bCs w:val="0"/>
                <w:color w:val="auto"/>
                <w:sz w:val="22"/>
                <w:szCs w:val="22"/>
                <w:lang w:val="en-US"/>
              </w:rPr>
              <w:t xml:space="preserve"> </w:t>
            </w:r>
            <w:r w:rsidRPr="00920CA3">
              <w:rPr>
                <w:sz w:val="24"/>
                <w:szCs w:val="24"/>
                <w:lang w:val="en-US"/>
              </w:rPr>
              <w:t xml:space="preserve">AHC maintains its use of parallel support mechanisms into the next phase and considers expanding support through this modality to high poverty regions (Honiara, Makira, </w:t>
            </w:r>
            <w:proofErr w:type="gramStart"/>
            <w:r w:rsidRPr="00920CA3">
              <w:rPr>
                <w:sz w:val="24"/>
                <w:szCs w:val="24"/>
                <w:lang w:val="en-US"/>
              </w:rPr>
              <w:t>Guadalcanal</w:t>
            </w:r>
            <w:proofErr w:type="gramEnd"/>
            <w:r w:rsidRPr="00920CA3">
              <w:rPr>
                <w:sz w:val="24"/>
                <w:szCs w:val="24"/>
                <w:lang w:val="en-US"/>
              </w:rPr>
              <w:t>) identified in the 2012 – 2013 Household Income and Expenditure Survey as areas of greatest vulnerability and poverty.</w:t>
            </w:r>
          </w:p>
          <w:p w:rsidR="00920CA3" w:rsidRPr="00920CA3" w:rsidRDefault="00920CA3" w:rsidP="00920CA3">
            <w:pPr>
              <w:rPr>
                <w:lang w:val="en-AU"/>
              </w:rPr>
            </w:pPr>
          </w:p>
        </w:tc>
        <w:tc>
          <w:tcPr>
            <w:tcW w:w="1092" w:type="dxa"/>
            <w:shd w:val="clear" w:color="auto" w:fill="C9C9C9" w:themeFill="accent3" w:themeFillTint="99"/>
          </w:tcPr>
          <w:p w:rsidR="00920CA3" w:rsidRDefault="004B26B2" w:rsidP="00994EB5">
            <w:pPr>
              <w:pStyle w:val="Heading3"/>
              <w:outlineLvl w:val="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Agreed</w:t>
            </w:r>
            <w:r w:rsidR="00D826C2">
              <w:rPr>
                <w:sz w:val="24"/>
                <w:szCs w:val="24"/>
              </w:rPr>
              <w:t xml:space="preserve"> in principle</w:t>
            </w:r>
          </w:p>
        </w:tc>
        <w:tc>
          <w:tcPr>
            <w:tcW w:w="3919" w:type="dxa"/>
          </w:tcPr>
          <w:p w:rsidR="00920CA3" w:rsidRDefault="004B26B2" w:rsidP="00D826C2">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 xml:space="preserve">DFAT </w:t>
            </w:r>
            <w:r w:rsidR="00D826C2">
              <w:rPr>
                <w:rFonts w:asciiTheme="majorHAnsi" w:hAnsiTheme="majorHAnsi"/>
                <w:sz w:val="24"/>
                <w:szCs w:val="24"/>
              </w:rPr>
              <w:t xml:space="preserve">will consider </w:t>
            </w:r>
            <w:r>
              <w:rPr>
                <w:rFonts w:asciiTheme="majorHAnsi" w:hAnsiTheme="majorHAnsi"/>
                <w:sz w:val="24"/>
                <w:szCs w:val="24"/>
              </w:rPr>
              <w:t>maintain</w:t>
            </w:r>
            <w:r w:rsidR="00D826C2">
              <w:rPr>
                <w:rFonts w:asciiTheme="majorHAnsi" w:hAnsiTheme="majorHAnsi"/>
                <w:sz w:val="24"/>
                <w:szCs w:val="24"/>
              </w:rPr>
              <w:t>ing</w:t>
            </w:r>
            <w:r>
              <w:rPr>
                <w:rFonts w:asciiTheme="majorHAnsi" w:hAnsiTheme="majorHAnsi"/>
                <w:sz w:val="24"/>
                <w:szCs w:val="24"/>
              </w:rPr>
              <w:t xml:space="preserve"> parallel support mechanisms and increase targeting (through these mechanisms) to high poverty regions.</w:t>
            </w:r>
          </w:p>
        </w:tc>
        <w:tc>
          <w:tcPr>
            <w:tcW w:w="3119" w:type="dxa"/>
            <w:shd w:val="clear" w:color="auto" w:fill="9CC2E5" w:themeFill="accent1" w:themeFillTint="99"/>
          </w:tcPr>
          <w:p w:rsidR="00920CA3" w:rsidRDefault="004B26B2" w:rsidP="00994EB5">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To be factored into the design of the next phase of the program.</w:t>
            </w:r>
          </w:p>
        </w:tc>
      </w:tr>
      <w:tr w:rsidR="00920CA3" w:rsidTr="004017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2" w:type="dxa"/>
          </w:tcPr>
          <w:p w:rsidR="00920CA3" w:rsidRDefault="00920CA3" w:rsidP="00920CA3">
            <w:pPr>
              <w:pStyle w:val="Heading3"/>
              <w:spacing w:before="240"/>
              <w:outlineLvl w:val="2"/>
              <w:rPr>
                <w:sz w:val="24"/>
                <w:szCs w:val="24"/>
              </w:rPr>
            </w:pPr>
            <w:r w:rsidRPr="008A0512">
              <w:rPr>
                <w:sz w:val="24"/>
                <w:szCs w:val="24"/>
              </w:rPr>
              <w:t>Recommendation</w:t>
            </w:r>
            <w:r>
              <w:rPr>
                <w:sz w:val="24"/>
                <w:szCs w:val="24"/>
              </w:rPr>
              <w:t xml:space="preserve"> 4: </w:t>
            </w:r>
            <w:r w:rsidRPr="00920CA3">
              <w:rPr>
                <w:sz w:val="24"/>
                <w:szCs w:val="24"/>
                <w:lang w:val="en-US"/>
              </w:rPr>
              <w:t>MEHRD should continue with its outsourcing especially in the area of larger contracts and pilots.</w:t>
            </w:r>
          </w:p>
          <w:p w:rsidR="00920CA3" w:rsidRPr="00920CA3" w:rsidRDefault="00920CA3" w:rsidP="00920CA3">
            <w:pPr>
              <w:rPr>
                <w:lang w:val="en-AU"/>
              </w:rPr>
            </w:pPr>
          </w:p>
        </w:tc>
        <w:tc>
          <w:tcPr>
            <w:tcW w:w="1092" w:type="dxa"/>
            <w:shd w:val="clear" w:color="auto" w:fill="C9C9C9" w:themeFill="accent3" w:themeFillTint="99"/>
          </w:tcPr>
          <w:p w:rsidR="00920CA3" w:rsidRDefault="004B26B2" w:rsidP="00994EB5">
            <w:pPr>
              <w:pStyle w:val="Heading3"/>
              <w:outlineLvl w:val="2"/>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Agreed</w:t>
            </w:r>
          </w:p>
        </w:tc>
        <w:tc>
          <w:tcPr>
            <w:tcW w:w="3919" w:type="dxa"/>
          </w:tcPr>
          <w:p w:rsidR="00920CA3" w:rsidRDefault="004B26B2" w:rsidP="00994EB5">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Pr>
                <w:rFonts w:asciiTheme="majorHAnsi" w:hAnsiTheme="majorHAnsi"/>
                <w:sz w:val="24"/>
                <w:szCs w:val="24"/>
              </w:rPr>
              <w:t>DFAT agrees that MEHRD should outsource activities where possible to increase efficiency</w:t>
            </w:r>
            <w:r w:rsidR="008D7323">
              <w:rPr>
                <w:rFonts w:asciiTheme="majorHAnsi" w:hAnsiTheme="majorHAnsi"/>
                <w:sz w:val="24"/>
                <w:szCs w:val="24"/>
              </w:rPr>
              <w:t>.</w:t>
            </w:r>
          </w:p>
        </w:tc>
        <w:tc>
          <w:tcPr>
            <w:tcW w:w="3119" w:type="dxa"/>
            <w:shd w:val="clear" w:color="auto" w:fill="9CC2E5" w:themeFill="accent1" w:themeFillTint="99"/>
          </w:tcPr>
          <w:p w:rsidR="00920CA3" w:rsidRDefault="004B26B2" w:rsidP="00D826C2">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Pr>
                <w:rFonts w:asciiTheme="majorHAnsi" w:hAnsiTheme="majorHAnsi"/>
                <w:sz w:val="24"/>
                <w:szCs w:val="24"/>
              </w:rPr>
              <w:t xml:space="preserve">DFAT to advocate </w:t>
            </w:r>
            <w:r w:rsidR="008D7323">
              <w:rPr>
                <w:rFonts w:asciiTheme="majorHAnsi" w:hAnsiTheme="majorHAnsi"/>
                <w:sz w:val="24"/>
                <w:szCs w:val="24"/>
              </w:rPr>
              <w:t xml:space="preserve">for </w:t>
            </w:r>
            <w:r>
              <w:rPr>
                <w:rFonts w:asciiTheme="majorHAnsi" w:hAnsiTheme="majorHAnsi"/>
                <w:sz w:val="24"/>
                <w:szCs w:val="24"/>
              </w:rPr>
              <w:t>this approach</w:t>
            </w:r>
            <w:r w:rsidR="008D7323">
              <w:rPr>
                <w:rFonts w:asciiTheme="majorHAnsi" w:hAnsiTheme="majorHAnsi"/>
                <w:sz w:val="24"/>
                <w:szCs w:val="24"/>
              </w:rPr>
              <w:t xml:space="preserve"> with MEHRD</w:t>
            </w:r>
            <w:r>
              <w:rPr>
                <w:rFonts w:asciiTheme="majorHAnsi" w:hAnsiTheme="majorHAnsi"/>
                <w:sz w:val="24"/>
                <w:szCs w:val="24"/>
              </w:rPr>
              <w:t>, including through the design of the next phase of the program.</w:t>
            </w:r>
          </w:p>
        </w:tc>
      </w:tr>
      <w:tr w:rsidR="00920CA3" w:rsidTr="0040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2" w:type="dxa"/>
          </w:tcPr>
          <w:p w:rsidR="00920CA3" w:rsidRDefault="00920CA3" w:rsidP="00994EB5">
            <w:pPr>
              <w:pStyle w:val="Heading3"/>
              <w:spacing w:before="240"/>
              <w:outlineLvl w:val="2"/>
              <w:rPr>
                <w:sz w:val="24"/>
                <w:szCs w:val="24"/>
              </w:rPr>
            </w:pPr>
            <w:r w:rsidRPr="008A0512">
              <w:rPr>
                <w:sz w:val="24"/>
                <w:szCs w:val="24"/>
              </w:rPr>
              <w:t>Recommendation</w:t>
            </w:r>
            <w:r>
              <w:rPr>
                <w:sz w:val="24"/>
                <w:szCs w:val="24"/>
              </w:rPr>
              <w:t xml:space="preserve"> 5: </w:t>
            </w:r>
            <w:r w:rsidRPr="00920CA3">
              <w:rPr>
                <w:sz w:val="24"/>
                <w:szCs w:val="24"/>
                <w:lang w:val="en-US"/>
              </w:rPr>
              <w:t>It is recommended that for the next phase of design, AHC consider amending the DFA to reflect AHC funded components of the NEAP as reflected in MEHRDs Annual Work Plan.</w:t>
            </w:r>
          </w:p>
          <w:p w:rsidR="00920CA3" w:rsidRPr="00920CA3" w:rsidRDefault="00920CA3" w:rsidP="00920CA3">
            <w:pPr>
              <w:rPr>
                <w:lang w:val="en-AU"/>
              </w:rPr>
            </w:pPr>
          </w:p>
        </w:tc>
        <w:tc>
          <w:tcPr>
            <w:tcW w:w="1092" w:type="dxa"/>
            <w:shd w:val="clear" w:color="auto" w:fill="C9C9C9" w:themeFill="accent3" w:themeFillTint="99"/>
          </w:tcPr>
          <w:p w:rsidR="00920CA3" w:rsidRDefault="004B26B2" w:rsidP="00994EB5">
            <w:pPr>
              <w:pStyle w:val="Heading3"/>
              <w:outlineLvl w:val="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Agreed in principle</w:t>
            </w:r>
          </w:p>
        </w:tc>
        <w:tc>
          <w:tcPr>
            <w:tcW w:w="3919" w:type="dxa"/>
          </w:tcPr>
          <w:p w:rsidR="00920CA3" w:rsidRDefault="008D7323" w:rsidP="00D826C2">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 xml:space="preserve">DFAT </w:t>
            </w:r>
            <w:r w:rsidR="00D826C2">
              <w:rPr>
                <w:rFonts w:asciiTheme="majorHAnsi" w:hAnsiTheme="majorHAnsi"/>
                <w:sz w:val="24"/>
                <w:szCs w:val="24"/>
              </w:rPr>
              <w:t xml:space="preserve">will consider making </w:t>
            </w:r>
            <w:r>
              <w:rPr>
                <w:rFonts w:asciiTheme="majorHAnsi" w:hAnsiTheme="majorHAnsi"/>
                <w:sz w:val="24"/>
                <w:szCs w:val="24"/>
              </w:rPr>
              <w:t>the DFA for the next phase of the program clearer on what NEAP and/or MEHRD AWP activities are to be supported (and/or, to allow space for changing priorities, to include details on how DFAT and MEHRD will agree activities over time and document this).</w:t>
            </w:r>
          </w:p>
        </w:tc>
        <w:tc>
          <w:tcPr>
            <w:tcW w:w="3119" w:type="dxa"/>
            <w:shd w:val="clear" w:color="auto" w:fill="9CC2E5" w:themeFill="accent1" w:themeFillTint="99"/>
          </w:tcPr>
          <w:p w:rsidR="00920CA3" w:rsidRDefault="008D7323" w:rsidP="00994EB5">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To be factored into the design of the next phase of the program.</w:t>
            </w:r>
          </w:p>
        </w:tc>
      </w:tr>
      <w:tr w:rsidR="00920CA3" w:rsidTr="004017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2" w:type="dxa"/>
          </w:tcPr>
          <w:p w:rsidR="00920CA3" w:rsidRDefault="00920CA3" w:rsidP="00994EB5">
            <w:pPr>
              <w:pStyle w:val="Heading3"/>
              <w:spacing w:before="240"/>
              <w:outlineLvl w:val="2"/>
              <w:rPr>
                <w:sz w:val="24"/>
                <w:szCs w:val="24"/>
              </w:rPr>
            </w:pPr>
            <w:r w:rsidRPr="008A0512">
              <w:rPr>
                <w:sz w:val="24"/>
                <w:szCs w:val="24"/>
              </w:rPr>
              <w:lastRenderedPageBreak/>
              <w:t>Recommendation</w:t>
            </w:r>
            <w:r>
              <w:rPr>
                <w:sz w:val="24"/>
                <w:szCs w:val="24"/>
              </w:rPr>
              <w:t xml:space="preserve"> 6: </w:t>
            </w:r>
            <w:r w:rsidRPr="00920CA3">
              <w:rPr>
                <w:sz w:val="24"/>
                <w:szCs w:val="24"/>
                <w:lang w:val="en-US"/>
              </w:rPr>
              <w:t>DFA key governance arrangements, functions, responsibilities and expected frequency of meetings should if necessary be reviewed and adhered to.</w:t>
            </w:r>
          </w:p>
          <w:p w:rsidR="00920CA3" w:rsidRPr="00920CA3" w:rsidRDefault="00920CA3" w:rsidP="00920CA3">
            <w:pPr>
              <w:rPr>
                <w:lang w:val="en-AU"/>
              </w:rPr>
            </w:pPr>
          </w:p>
        </w:tc>
        <w:tc>
          <w:tcPr>
            <w:tcW w:w="1092" w:type="dxa"/>
            <w:shd w:val="clear" w:color="auto" w:fill="C9C9C9" w:themeFill="accent3" w:themeFillTint="99"/>
          </w:tcPr>
          <w:p w:rsidR="00920CA3" w:rsidRDefault="008D7323" w:rsidP="00994EB5">
            <w:pPr>
              <w:pStyle w:val="Heading3"/>
              <w:outlineLvl w:val="2"/>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Agreed</w:t>
            </w:r>
          </w:p>
        </w:tc>
        <w:tc>
          <w:tcPr>
            <w:tcW w:w="3919" w:type="dxa"/>
          </w:tcPr>
          <w:p w:rsidR="00920CA3" w:rsidRDefault="008D7323" w:rsidP="007B6728">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Pr>
                <w:rFonts w:asciiTheme="majorHAnsi" w:hAnsiTheme="majorHAnsi"/>
                <w:sz w:val="24"/>
                <w:szCs w:val="24"/>
              </w:rPr>
              <w:t>DFAT agrees that key governance arrangements under ESP2 need to be better adhered to</w:t>
            </w:r>
            <w:r w:rsidR="007B6728">
              <w:rPr>
                <w:rFonts w:asciiTheme="majorHAnsi" w:hAnsiTheme="majorHAnsi"/>
                <w:sz w:val="24"/>
                <w:szCs w:val="24"/>
              </w:rPr>
              <w:t xml:space="preserve"> in order to improve program oversight, particularly of spending rates</w:t>
            </w:r>
            <w:r>
              <w:rPr>
                <w:rFonts w:asciiTheme="majorHAnsi" w:hAnsiTheme="majorHAnsi"/>
                <w:sz w:val="24"/>
                <w:szCs w:val="24"/>
              </w:rPr>
              <w:t>.</w:t>
            </w:r>
          </w:p>
        </w:tc>
        <w:tc>
          <w:tcPr>
            <w:tcW w:w="3119" w:type="dxa"/>
            <w:shd w:val="clear" w:color="auto" w:fill="9CC2E5" w:themeFill="accent1" w:themeFillTint="99"/>
          </w:tcPr>
          <w:p w:rsidR="00920CA3" w:rsidRDefault="008D7323" w:rsidP="00D826C2">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Pr>
                <w:rFonts w:asciiTheme="majorHAnsi" w:hAnsiTheme="majorHAnsi"/>
                <w:sz w:val="24"/>
                <w:szCs w:val="24"/>
              </w:rPr>
              <w:t xml:space="preserve">DFAT, MFAT and MEHRD have reinstated quarterly management meetings. </w:t>
            </w:r>
            <w:r w:rsidR="007B6728">
              <w:rPr>
                <w:rFonts w:asciiTheme="majorHAnsi" w:hAnsiTheme="majorHAnsi"/>
                <w:sz w:val="24"/>
                <w:szCs w:val="24"/>
              </w:rPr>
              <w:t xml:space="preserve">The structure and nature of the </w:t>
            </w:r>
            <w:r>
              <w:rPr>
                <w:rFonts w:asciiTheme="majorHAnsi" w:hAnsiTheme="majorHAnsi"/>
                <w:sz w:val="24"/>
                <w:szCs w:val="24"/>
              </w:rPr>
              <w:t>governance arrangements will also be factored into the design of the next phase of the program.</w:t>
            </w:r>
          </w:p>
        </w:tc>
      </w:tr>
      <w:tr w:rsidR="00920CA3" w:rsidTr="0040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2" w:type="dxa"/>
          </w:tcPr>
          <w:p w:rsidR="00920CA3" w:rsidRDefault="00920CA3" w:rsidP="00994EB5">
            <w:pPr>
              <w:pStyle w:val="Heading3"/>
              <w:spacing w:before="240"/>
              <w:outlineLvl w:val="2"/>
              <w:rPr>
                <w:sz w:val="24"/>
                <w:szCs w:val="24"/>
              </w:rPr>
            </w:pPr>
            <w:r w:rsidRPr="008A0512">
              <w:rPr>
                <w:sz w:val="24"/>
                <w:szCs w:val="24"/>
              </w:rPr>
              <w:t>Recommendation</w:t>
            </w:r>
            <w:r>
              <w:rPr>
                <w:sz w:val="24"/>
                <w:szCs w:val="24"/>
              </w:rPr>
              <w:t xml:space="preserve"> 7: </w:t>
            </w:r>
            <w:r w:rsidRPr="00920CA3">
              <w:rPr>
                <w:sz w:val="24"/>
                <w:szCs w:val="24"/>
                <w:lang w:val="en-US"/>
              </w:rPr>
              <w:t>It is recommended that AHC in consultation with NZHC and MEHRD ensures that the design process reviews the current governance, management and evaluation arrangements for the continuation of the program with a view to transitioning it from separate Australian and New Zealand mechanisms (e.g. separate reviews, designs, reporting mechanisms) towards a broader based approach aligned around the NEAP to drive accountability and transparency.</w:t>
            </w:r>
          </w:p>
          <w:p w:rsidR="00920CA3" w:rsidRPr="00920CA3" w:rsidRDefault="00920CA3" w:rsidP="00920CA3">
            <w:pPr>
              <w:rPr>
                <w:lang w:val="en-AU"/>
              </w:rPr>
            </w:pPr>
          </w:p>
        </w:tc>
        <w:tc>
          <w:tcPr>
            <w:tcW w:w="1092" w:type="dxa"/>
            <w:shd w:val="clear" w:color="auto" w:fill="C9C9C9" w:themeFill="accent3" w:themeFillTint="99"/>
          </w:tcPr>
          <w:p w:rsidR="00920CA3" w:rsidRDefault="008D7323" w:rsidP="00994EB5">
            <w:pPr>
              <w:pStyle w:val="Heading3"/>
              <w:outlineLvl w:val="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Agreed</w:t>
            </w:r>
            <w:r w:rsidR="00D826C2">
              <w:rPr>
                <w:sz w:val="24"/>
                <w:szCs w:val="24"/>
              </w:rPr>
              <w:t xml:space="preserve"> in principle</w:t>
            </w:r>
          </w:p>
        </w:tc>
        <w:tc>
          <w:tcPr>
            <w:tcW w:w="3919" w:type="dxa"/>
          </w:tcPr>
          <w:p w:rsidR="00920CA3" w:rsidRDefault="008D7323" w:rsidP="00D826C2">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DFAT agree</w:t>
            </w:r>
            <w:r w:rsidR="00D826C2">
              <w:rPr>
                <w:rFonts w:asciiTheme="majorHAnsi" w:hAnsiTheme="majorHAnsi"/>
                <w:sz w:val="24"/>
                <w:szCs w:val="24"/>
              </w:rPr>
              <w:t>s</w:t>
            </w:r>
            <w:r>
              <w:rPr>
                <w:rFonts w:asciiTheme="majorHAnsi" w:hAnsiTheme="majorHAnsi"/>
                <w:sz w:val="24"/>
                <w:szCs w:val="24"/>
              </w:rPr>
              <w:t xml:space="preserve"> to </w:t>
            </w:r>
            <w:r w:rsidR="00D826C2">
              <w:rPr>
                <w:rFonts w:asciiTheme="majorHAnsi" w:hAnsiTheme="majorHAnsi"/>
                <w:sz w:val="24"/>
                <w:szCs w:val="24"/>
              </w:rPr>
              <w:t xml:space="preserve">work with MFAT to </w:t>
            </w:r>
            <w:r>
              <w:rPr>
                <w:rFonts w:asciiTheme="majorHAnsi" w:hAnsiTheme="majorHAnsi"/>
                <w:sz w:val="24"/>
                <w:szCs w:val="24"/>
              </w:rPr>
              <w:t xml:space="preserve">further </w:t>
            </w:r>
            <w:r w:rsidR="006F5E33">
              <w:rPr>
                <w:rFonts w:asciiTheme="majorHAnsi" w:hAnsiTheme="majorHAnsi"/>
                <w:sz w:val="24"/>
                <w:szCs w:val="24"/>
              </w:rPr>
              <w:t xml:space="preserve">align </w:t>
            </w:r>
            <w:r w:rsidR="006F5E33" w:rsidRPr="006F5E33">
              <w:rPr>
                <w:rFonts w:asciiTheme="majorHAnsi" w:hAnsiTheme="majorHAnsi"/>
                <w:sz w:val="24"/>
                <w:szCs w:val="24"/>
                <w:lang w:val="en-US"/>
              </w:rPr>
              <w:t xml:space="preserve">governance, management and evaluation </w:t>
            </w:r>
            <w:r w:rsidR="006F5E33">
              <w:rPr>
                <w:rFonts w:asciiTheme="majorHAnsi" w:hAnsiTheme="majorHAnsi"/>
                <w:sz w:val="24"/>
                <w:szCs w:val="24"/>
                <w:lang w:val="en-US"/>
              </w:rPr>
              <w:t>arrangements.</w:t>
            </w:r>
            <w:r w:rsidR="007B6728">
              <w:rPr>
                <w:rFonts w:asciiTheme="majorHAnsi" w:hAnsiTheme="majorHAnsi"/>
                <w:sz w:val="24"/>
                <w:szCs w:val="24"/>
                <w:lang w:val="en-US"/>
              </w:rPr>
              <w:t xml:space="preserve"> This has already been addressed to an extent with a planned joint design process which will facilitate more aligned governance, management and evaluation arrangements.</w:t>
            </w:r>
          </w:p>
        </w:tc>
        <w:tc>
          <w:tcPr>
            <w:tcW w:w="3119" w:type="dxa"/>
            <w:shd w:val="clear" w:color="auto" w:fill="9CC2E5" w:themeFill="accent1" w:themeFillTint="99"/>
          </w:tcPr>
          <w:p w:rsidR="00920CA3" w:rsidRDefault="006F5E33" w:rsidP="00D826C2">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To be factored into the design of the next phase of the program.</w:t>
            </w:r>
          </w:p>
        </w:tc>
      </w:tr>
      <w:tr w:rsidR="00920CA3" w:rsidTr="004017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2" w:type="dxa"/>
          </w:tcPr>
          <w:p w:rsidR="00920CA3" w:rsidRDefault="00920CA3" w:rsidP="00994EB5">
            <w:pPr>
              <w:pStyle w:val="Heading3"/>
              <w:spacing w:before="240"/>
              <w:outlineLvl w:val="2"/>
              <w:rPr>
                <w:sz w:val="24"/>
                <w:szCs w:val="24"/>
              </w:rPr>
            </w:pPr>
            <w:r w:rsidRPr="008A0512">
              <w:rPr>
                <w:sz w:val="24"/>
                <w:szCs w:val="24"/>
              </w:rPr>
              <w:lastRenderedPageBreak/>
              <w:t>Recommendation</w:t>
            </w:r>
            <w:r>
              <w:rPr>
                <w:sz w:val="24"/>
                <w:szCs w:val="24"/>
              </w:rPr>
              <w:t xml:space="preserve"> 8: </w:t>
            </w:r>
            <w:r w:rsidRPr="00920CA3">
              <w:rPr>
                <w:sz w:val="24"/>
                <w:szCs w:val="24"/>
                <w:lang w:val="en-US"/>
              </w:rPr>
              <w:t>In terms of technical focus, it is recommended that a) the next phase of the program should continue to focus on basic education and continue to pursue the key high level goals of the program.</w:t>
            </w:r>
          </w:p>
          <w:p w:rsidR="00920CA3" w:rsidRPr="00920CA3" w:rsidRDefault="00920CA3" w:rsidP="00920CA3">
            <w:pPr>
              <w:rPr>
                <w:lang w:val="en-AU"/>
              </w:rPr>
            </w:pPr>
          </w:p>
        </w:tc>
        <w:tc>
          <w:tcPr>
            <w:tcW w:w="1092" w:type="dxa"/>
            <w:shd w:val="clear" w:color="auto" w:fill="C9C9C9" w:themeFill="accent3" w:themeFillTint="99"/>
          </w:tcPr>
          <w:p w:rsidR="00920CA3" w:rsidRDefault="006F5E33" w:rsidP="00994EB5">
            <w:pPr>
              <w:pStyle w:val="Heading3"/>
              <w:outlineLvl w:val="2"/>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Agreed</w:t>
            </w:r>
            <w:r w:rsidR="00D826C2">
              <w:rPr>
                <w:sz w:val="24"/>
                <w:szCs w:val="24"/>
              </w:rPr>
              <w:t xml:space="preserve"> in principle</w:t>
            </w:r>
          </w:p>
        </w:tc>
        <w:tc>
          <w:tcPr>
            <w:tcW w:w="3919" w:type="dxa"/>
          </w:tcPr>
          <w:p w:rsidR="00920CA3" w:rsidRDefault="001043BF" w:rsidP="00D826C2">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Pr>
                <w:rFonts w:asciiTheme="majorHAnsi" w:hAnsiTheme="majorHAnsi"/>
                <w:sz w:val="24"/>
                <w:szCs w:val="24"/>
              </w:rPr>
              <w:t xml:space="preserve">DFAT </w:t>
            </w:r>
            <w:r w:rsidR="00D826C2">
              <w:rPr>
                <w:rFonts w:asciiTheme="majorHAnsi" w:hAnsiTheme="majorHAnsi"/>
                <w:sz w:val="24"/>
                <w:szCs w:val="24"/>
              </w:rPr>
              <w:t>will consider continuing a</w:t>
            </w:r>
            <w:r>
              <w:rPr>
                <w:rFonts w:asciiTheme="majorHAnsi" w:hAnsiTheme="majorHAnsi"/>
                <w:sz w:val="24"/>
                <w:szCs w:val="24"/>
              </w:rPr>
              <w:t xml:space="preserve"> focus on equitable access to quality basic education in the next phase of the program.</w:t>
            </w:r>
          </w:p>
        </w:tc>
        <w:tc>
          <w:tcPr>
            <w:tcW w:w="3119" w:type="dxa"/>
            <w:shd w:val="clear" w:color="auto" w:fill="9CC2E5" w:themeFill="accent1" w:themeFillTint="99"/>
          </w:tcPr>
          <w:p w:rsidR="00920CA3" w:rsidRDefault="001043BF" w:rsidP="00994EB5">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Pr>
                <w:rFonts w:asciiTheme="majorHAnsi" w:hAnsiTheme="majorHAnsi"/>
                <w:sz w:val="24"/>
                <w:szCs w:val="24"/>
              </w:rPr>
              <w:t>To be factored into the design of the next phase of the program.</w:t>
            </w:r>
          </w:p>
        </w:tc>
      </w:tr>
      <w:tr w:rsidR="00920CA3" w:rsidTr="0040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2" w:type="dxa"/>
          </w:tcPr>
          <w:p w:rsidR="001043BF" w:rsidRDefault="00920CA3" w:rsidP="00994EB5">
            <w:pPr>
              <w:pStyle w:val="Heading3"/>
              <w:spacing w:before="240"/>
              <w:outlineLvl w:val="2"/>
              <w:rPr>
                <w:sz w:val="24"/>
                <w:szCs w:val="24"/>
                <w:lang w:val="en-US"/>
              </w:rPr>
            </w:pPr>
            <w:r w:rsidRPr="008A0512">
              <w:rPr>
                <w:sz w:val="24"/>
                <w:szCs w:val="24"/>
              </w:rPr>
              <w:lastRenderedPageBreak/>
              <w:t>Recommendation</w:t>
            </w:r>
            <w:r>
              <w:rPr>
                <w:sz w:val="24"/>
                <w:szCs w:val="24"/>
              </w:rPr>
              <w:t xml:space="preserve"> 9: </w:t>
            </w:r>
            <w:r w:rsidRPr="00920CA3">
              <w:rPr>
                <w:sz w:val="24"/>
                <w:szCs w:val="24"/>
                <w:lang w:val="en-US"/>
              </w:rPr>
              <w:t xml:space="preserve">The next design team should consider continuing with a focus on literacy (in its broadest sense) and numeracy in basic education </w:t>
            </w:r>
            <w:r w:rsidR="001043BF">
              <w:rPr>
                <w:sz w:val="24"/>
                <w:szCs w:val="24"/>
                <w:lang w:val="en-US"/>
              </w:rPr>
              <w:t>and</w:t>
            </w:r>
          </w:p>
          <w:p w:rsidR="001043BF" w:rsidRDefault="00920CA3" w:rsidP="00994EB5">
            <w:pPr>
              <w:pStyle w:val="Heading3"/>
              <w:spacing w:before="240"/>
              <w:outlineLvl w:val="2"/>
              <w:rPr>
                <w:sz w:val="24"/>
                <w:szCs w:val="24"/>
                <w:lang w:val="en-US"/>
              </w:rPr>
            </w:pPr>
            <w:r w:rsidRPr="00920CA3">
              <w:rPr>
                <w:sz w:val="24"/>
                <w:szCs w:val="24"/>
                <w:lang w:val="en-US"/>
              </w:rPr>
              <w:t xml:space="preserve">b) </w:t>
            </w:r>
            <w:proofErr w:type="gramStart"/>
            <w:r w:rsidRPr="00920CA3">
              <w:rPr>
                <w:sz w:val="24"/>
                <w:szCs w:val="24"/>
                <w:lang w:val="en-US"/>
              </w:rPr>
              <w:t>gradually</w:t>
            </w:r>
            <w:proofErr w:type="gramEnd"/>
            <w:r w:rsidRPr="00920CA3">
              <w:rPr>
                <w:sz w:val="24"/>
                <w:szCs w:val="24"/>
                <w:lang w:val="en-US"/>
              </w:rPr>
              <w:t xml:space="preserve"> increase focus on the higher levels of bas</w:t>
            </w:r>
            <w:r w:rsidR="001043BF">
              <w:rPr>
                <w:sz w:val="24"/>
                <w:szCs w:val="24"/>
                <w:lang w:val="en-US"/>
              </w:rPr>
              <w:t>ic education (junior secondary)</w:t>
            </w:r>
          </w:p>
          <w:p w:rsidR="001043BF" w:rsidRDefault="00920CA3" w:rsidP="00994EB5">
            <w:pPr>
              <w:pStyle w:val="Heading3"/>
              <w:spacing w:before="240"/>
              <w:outlineLvl w:val="2"/>
              <w:rPr>
                <w:sz w:val="24"/>
                <w:szCs w:val="24"/>
                <w:lang w:val="en-US"/>
              </w:rPr>
            </w:pPr>
            <w:r w:rsidRPr="00920CA3">
              <w:rPr>
                <w:sz w:val="24"/>
                <w:szCs w:val="24"/>
                <w:lang w:val="en-US"/>
              </w:rPr>
              <w:t xml:space="preserve">c) ECE could be </w:t>
            </w:r>
            <w:r w:rsidR="001043BF">
              <w:rPr>
                <w:sz w:val="24"/>
                <w:szCs w:val="24"/>
                <w:lang w:val="en-US"/>
              </w:rPr>
              <w:t>addressed at the policy level</w:t>
            </w:r>
          </w:p>
          <w:p w:rsidR="001043BF" w:rsidRDefault="00920CA3" w:rsidP="00994EB5">
            <w:pPr>
              <w:pStyle w:val="Heading3"/>
              <w:spacing w:before="240"/>
              <w:outlineLvl w:val="2"/>
              <w:rPr>
                <w:sz w:val="24"/>
                <w:szCs w:val="24"/>
                <w:lang w:val="en-US"/>
              </w:rPr>
            </w:pPr>
            <w:r w:rsidRPr="00920CA3">
              <w:rPr>
                <w:sz w:val="24"/>
                <w:szCs w:val="24"/>
                <w:lang w:val="en-US"/>
              </w:rPr>
              <w:t xml:space="preserve">d) Consideration could also be given to focusing on integrating TVET with general provision in the sector at both junior secondary and senior </w:t>
            </w:r>
            <w:r w:rsidR="001043BF">
              <w:rPr>
                <w:sz w:val="24"/>
                <w:szCs w:val="24"/>
                <w:lang w:val="en-US"/>
              </w:rPr>
              <w:t>secondary level.</w:t>
            </w:r>
          </w:p>
          <w:p w:rsidR="001043BF" w:rsidRDefault="00920CA3" w:rsidP="00994EB5">
            <w:pPr>
              <w:pStyle w:val="Heading3"/>
              <w:spacing w:before="240"/>
              <w:outlineLvl w:val="2"/>
              <w:rPr>
                <w:sz w:val="24"/>
                <w:szCs w:val="24"/>
                <w:lang w:val="en-US"/>
              </w:rPr>
            </w:pPr>
            <w:r w:rsidRPr="00920CA3">
              <w:rPr>
                <w:sz w:val="24"/>
                <w:szCs w:val="24"/>
                <w:lang w:val="en-US"/>
              </w:rPr>
              <w:t xml:space="preserve">e)  The definition of literacy could be expanded to include </w:t>
            </w:r>
            <w:r w:rsidR="001043BF">
              <w:rPr>
                <w:sz w:val="24"/>
                <w:szCs w:val="24"/>
                <w:lang w:val="en-US"/>
              </w:rPr>
              <w:t>aspects of financial literacy.</w:t>
            </w:r>
          </w:p>
          <w:p w:rsidR="001043BF" w:rsidRDefault="00920CA3" w:rsidP="00994EB5">
            <w:pPr>
              <w:pStyle w:val="Heading3"/>
              <w:spacing w:before="240"/>
              <w:outlineLvl w:val="2"/>
              <w:rPr>
                <w:sz w:val="24"/>
                <w:szCs w:val="24"/>
                <w:lang w:val="en-US"/>
              </w:rPr>
            </w:pPr>
            <w:r w:rsidRPr="00920CA3">
              <w:rPr>
                <w:sz w:val="24"/>
                <w:szCs w:val="24"/>
                <w:lang w:val="en-US"/>
              </w:rPr>
              <w:t>f) The curriculum plan to 2025 should be followed to ensure that all materials including student materials a</w:t>
            </w:r>
            <w:r w:rsidR="001043BF">
              <w:rPr>
                <w:sz w:val="24"/>
                <w:szCs w:val="24"/>
                <w:lang w:val="en-US"/>
              </w:rPr>
              <w:t>nd teacher guides are completed</w:t>
            </w:r>
          </w:p>
          <w:p w:rsidR="00920CA3" w:rsidRDefault="00920CA3" w:rsidP="00994EB5">
            <w:pPr>
              <w:pStyle w:val="Heading3"/>
              <w:spacing w:before="240"/>
              <w:outlineLvl w:val="2"/>
              <w:rPr>
                <w:sz w:val="24"/>
                <w:szCs w:val="24"/>
              </w:rPr>
            </w:pPr>
            <w:r w:rsidRPr="00920CA3">
              <w:rPr>
                <w:sz w:val="24"/>
                <w:szCs w:val="24"/>
                <w:lang w:val="en-US"/>
              </w:rPr>
              <w:t>g) Greater support could be given to EAs to enable them</w:t>
            </w:r>
            <w:r w:rsidR="00C35FE3">
              <w:rPr>
                <w:sz w:val="24"/>
                <w:szCs w:val="24"/>
                <w:lang w:val="en-US"/>
              </w:rPr>
              <w:t>, in turn,</w:t>
            </w:r>
            <w:r w:rsidRPr="00920CA3">
              <w:rPr>
                <w:sz w:val="24"/>
                <w:szCs w:val="24"/>
                <w:lang w:val="en-US"/>
              </w:rPr>
              <w:t xml:space="preserve"> to support schools and children.</w:t>
            </w:r>
          </w:p>
          <w:p w:rsidR="00920CA3" w:rsidRPr="00920CA3" w:rsidRDefault="00920CA3" w:rsidP="00920CA3">
            <w:pPr>
              <w:rPr>
                <w:lang w:val="en-AU"/>
              </w:rPr>
            </w:pPr>
          </w:p>
        </w:tc>
        <w:tc>
          <w:tcPr>
            <w:tcW w:w="1092" w:type="dxa"/>
            <w:shd w:val="clear" w:color="auto" w:fill="C9C9C9" w:themeFill="accent3" w:themeFillTint="99"/>
          </w:tcPr>
          <w:p w:rsidR="00920CA3" w:rsidRDefault="007B6728" w:rsidP="00994EB5">
            <w:pPr>
              <w:pStyle w:val="Heading3"/>
              <w:outlineLvl w:val="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w:t>
            </w:r>
            <w:r w:rsidR="006F5E33">
              <w:rPr>
                <w:sz w:val="24"/>
                <w:szCs w:val="24"/>
              </w:rPr>
              <w:t>greed</w:t>
            </w:r>
            <w:r>
              <w:rPr>
                <w:sz w:val="24"/>
                <w:szCs w:val="24"/>
              </w:rPr>
              <w:t xml:space="preserve"> in principle</w:t>
            </w:r>
          </w:p>
        </w:tc>
        <w:tc>
          <w:tcPr>
            <w:tcW w:w="3919" w:type="dxa"/>
          </w:tcPr>
          <w:p w:rsidR="00920CA3" w:rsidRDefault="001043BF" w:rsidP="00994EB5">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DFAT agrees in principle to these clustered recommendations however notes that further consideration will be given to them through the design of the next phase of the program.</w:t>
            </w:r>
          </w:p>
        </w:tc>
        <w:tc>
          <w:tcPr>
            <w:tcW w:w="3119" w:type="dxa"/>
            <w:shd w:val="clear" w:color="auto" w:fill="9CC2E5" w:themeFill="accent1" w:themeFillTint="99"/>
          </w:tcPr>
          <w:p w:rsidR="00920CA3" w:rsidRDefault="00D826C2" w:rsidP="001043BF">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To be factored into the design of the next phase of the program.</w:t>
            </w:r>
          </w:p>
        </w:tc>
      </w:tr>
      <w:tr w:rsidR="00920CA3" w:rsidTr="004017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2" w:type="dxa"/>
          </w:tcPr>
          <w:p w:rsidR="00920CA3" w:rsidRDefault="00920CA3" w:rsidP="00994EB5">
            <w:pPr>
              <w:pStyle w:val="Heading3"/>
              <w:spacing w:before="240"/>
              <w:outlineLvl w:val="2"/>
              <w:rPr>
                <w:sz w:val="24"/>
                <w:szCs w:val="24"/>
              </w:rPr>
            </w:pPr>
            <w:r w:rsidRPr="008A0512">
              <w:rPr>
                <w:sz w:val="24"/>
                <w:szCs w:val="24"/>
              </w:rPr>
              <w:lastRenderedPageBreak/>
              <w:t>Recommendation</w:t>
            </w:r>
            <w:r>
              <w:rPr>
                <w:sz w:val="24"/>
                <w:szCs w:val="24"/>
              </w:rPr>
              <w:t xml:space="preserve"> 10: </w:t>
            </w:r>
            <w:r w:rsidRPr="00920CA3">
              <w:rPr>
                <w:sz w:val="24"/>
                <w:szCs w:val="24"/>
                <w:lang w:val="en-US"/>
              </w:rPr>
              <w:t>Linked to the recommendation above, it is recommended that during the next phase, the program consider including some of the areas which were planned for the original eight-year window of the program e.g. review of textbook delivery chain, some aspects of school grants, innovation grants to EAs. A detailed comparison of the original design with activities as tracked through MEHRD documentation is contained in Annex E</w:t>
            </w:r>
            <w:r w:rsidR="004B26B2">
              <w:rPr>
                <w:sz w:val="24"/>
                <w:szCs w:val="24"/>
                <w:lang w:val="en-US"/>
              </w:rPr>
              <w:t xml:space="preserve">. </w:t>
            </w:r>
            <w:r w:rsidRPr="00920CA3">
              <w:rPr>
                <w:sz w:val="24"/>
                <w:szCs w:val="24"/>
                <w:lang w:val="en-US"/>
              </w:rPr>
              <w:t>We have also highlighted activities which did not happen but which should be considered by the new design team.</w:t>
            </w:r>
          </w:p>
          <w:p w:rsidR="00920CA3" w:rsidRPr="00920CA3" w:rsidRDefault="00920CA3" w:rsidP="00920CA3">
            <w:pPr>
              <w:rPr>
                <w:lang w:val="en-AU"/>
              </w:rPr>
            </w:pPr>
          </w:p>
        </w:tc>
        <w:tc>
          <w:tcPr>
            <w:tcW w:w="1092" w:type="dxa"/>
            <w:shd w:val="clear" w:color="auto" w:fill="C9C9C9" w:themeFill="accent3" w:themeFillTint="99"/>
          </w:tcPr>
          <w:p w:rsidR="00920CA3" w:rsidRDefault="006F5E33" w:rsidP="00994EB5">
            <w:pPr>
              <w:pStyle w:val="Heading3"/>
              <w:outlineLvl w:val="2"/>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Agreed in principle</w:t>
            </w:r>
          </w:p>
        </w:tc>
        <w:tc>
          <w:tcPr>
            <w:tcW w:w="3919" w:type="dxa"/>
          </w:tcPr>
          <w:p w:rsidR="00920CA3" w:rsidRDefault="001043BF" w:rsidP="002A07F3">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Pr>
                <w:rFonts w:asciiTheme="majorHAnsi" w:hAnsiTheme="majorHAnsi"/>
                <w:sz w:val="24"/>
                <w:szCs w:val="24"/>
              </w:rPr>
              <w:t>DFAT agrees in principle however notes that further consideration will be given through the design of the next phase of the program.</w:t>
            </w:r>
          </w:p>
        </w:tc>
        <w:tc>
          <w:tcPr>
            <w:tcW w:w="3119" w:type="dxa"/>
            <w:shd w:val="clear" w:color="auto" w:fill="9CC2E5" w:themeFill="accent1" w:themeFillTint="99"/>
          </w:tcPr>
          <w:p w:rsidR="00920CA3" w:rsidRDefault="00D826C2" w:rsidP="00994EB5">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Pr>
                <w:rFonts w:asciiTheme="majorHAnsi" w:hAnsiTheme="majorHAnsi"/>
                <w:sz w:val="24"/>
                <w:szCs w:val="24"/>
              </w:rPr>
              <w:t>To be factored into the design of the next phase of the program.</w:t>
            </w:r>
          </w:p>
        </w:tc>
      </w:tr>
      <w:tr w:rsidR="00920CA3" w:rsidTr="0040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2" w:type="dxa"/>
          </w:tcPr>
          <w:p w:rsidR="00920CA3" w:rsidRDefault="00920CA3" w:rsidP="00994EB5">
            <w:pPr>
              <w:pStyle w:val="Heading3"/>
              <w:spacing w:before="240"/>
              <w:outlineLvl w:val="2"/>
              <w:rPr>
                <w:sz w:val="24"/>
                <w:szCs w:val="24"/>
              </w:rPr>
            </w:pPr>
            <w:r w:rsidRPr="008A0512">
              <w:rPr>
                <w:sz w:val="24"/>
                <w:szCs w:val="24"/>
              </w:rPr>
              <w:t>Recommendation</w:t>
            </w:r>
            <w:r>
              <w:rPr>
                <w:sz w:val="24"/>
                <w:szCs w:val="24"/>
              </w:rPr>
              <w:t xml:space="preserve"> 11: </w:t>
            </w:r>
            <w:r w:rsidRPr="00920CA3">
              <w:rPr>
                <w:sz w:val="24"/>
                <w:szCs w:val="24"/>
                <w:lang w:val="en-US"/>
              </w:rPr>
              <w:t>It is recommended that for the next phase of the program more focus is placed on the EA level using a range of strategies to be identified by the design team including by leveraging aspects of the AHC governance program.</w:t>
            </w:r>
          </w:p>
          <w:p w:rsidR="00920CA3" w:rsidRPr="00920CA3" w:rsidRDefault="00920CA3" w:rsidP="00920CA3">
            <w:pPr>
              <w:rPr>
                <w:lang w:val="en-AU"/>
              </w:rPr>
            </w:pPr>
          </w:p>
        </w:tc>
        <w:tc>
          <w:tcPr>
            <w:tcW w:w="1092" w:type="dxa"/>
            <w:shd w:val="clear" w:color="auto" w:fill="C9C9C9" w:themeFill="accent3" w:themeFillTint="99"/>
          </w:tcPr>
          <w:p w:rsidR="00920CA3" w:rsidRDefault="006F5E33" w:rsidP="00994EB5">
            <w:pPr>
              <w:pStyle w:val="Heading3"/>
              <w:outlineLvl w:val="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Agreed in principle</w:t>
            </w:r>
          </w:p>
        </w:tc>
        <w:tc>
          <w:tcPr>
            <w:tcW w:w="3919" w:type="dxa"/>
          </w:tcPr>
          <w:p w:rsidR="002A07F3" w:rsidRDefault="002A07F3" w:rsidP="00D826C2">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DFAT agrees in principle however notes that further consideration will be given through the design of the next phase of the program. DFAT also notes the limitations of the AHC governance program referenced (</w:t>
            </w:r>
            <w:r w:rsidR="007B6728">
              <w:rPr>
                <w:rFonts w:asciiTheme="majorHAnsi" w:hAnsiTheme="majorHAnsi"/>
                <w:sz w:val="24"/>
                <w:szCs w:val="24"/>
              </w:rPr>
              <w:t>the Community Governance program funded by the AHC’s Justice Program</w:t>
            </w:r>
            <w:r w:rsidR="007678AB">
              <w:rPr>
                <w:rFonts w:asciiTheme="majorHAnsi" w:hAnsiTheme="majorHAnsi"/>
                <w:sz w:val="24"/>
                <w:szCs w:val="24"/>
              </w:rPr>
              <w:t xml:space="preserve"> which supports community liaison officers</w:t>
            </w:r>
            <w:r w:rsidR="007B6728">
              <w:rPr>
                <w:rFonts w:asciiTheme="majorHAnsi" w:hAnsiTheme="majorHAnsi"/>
                <w:sz w:val="24"/>
                <w:szCs w:val="24"/>
              </w:rPr>
              <w:t>)</w:t>
            </w:r>
            <w:r w:rsidR="007678AB">
              <w:rPr>
                <w:rFonts w:asciiTheme="majorHAnsi" w:hAnsiTheme="majorHAnsi"/>
                <w:sz w:val="24"/>
                <w:szCs w:val="24"/>
              </w:rPr>
              <w:t xml:space="preserve"> </w:t>
            </w:r>
            <w:r>
              <w:rPr>
                <w:rFonts w:asciiTheme="majorHAnsi" w:hAnsiTheme="majorHAnsi"/>
                <w:sz w:val="24"/>
                <w:szCs w:val="24"/>
              </w:rPr>
              <w:t xml:space="preserve">which is modest and </w:t>
            </w:r>
            <w:r w:rsidR="00D826C2">
              <w:rPr>
                <w:rFonts w:asciiTheme="majorHAnsi" w:hAnsiTheme="majorHAnsi"/>
                <w:sz w:val="24"/>
                <w:szCs w:val="24"/>
              </w:rPr>
              <w:t>less relevant to the education sector</w:t>
            </w:r>
            <w:r>
              <w:rPr>
                <w:rFonts w:asciiTheme="majorHAnsi" w:hAnsiTheme="majorHAnsi"/>
                <w:sz w:val="24"/>
                <w:szCs w:val="24"/>
              </w:rPr>
              <w:t>.</w:t>
            </w:r>
          </w:p>
        </w:tc>
        <w:tc>
          <w:tcPr>
            <w:tcW w:w="3119" w:type="dxa"/>
            <w:shd w:val="clear" w:color="auto" w:fill="9CC2E5" w:themeFill="accent1" w:themeFillTint="99"/>
          </w:tcPr>
          <w:p w:rsidR="00920CA3" w:rsidRDefault="00D826C2" w:rsidP="00994EB5">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To be factored into the design of the next phase of the program.</w:t>
            </w:r>
          </w:p>
        </w:tc>
      </w:tr>
      <w:tr w:rsidR="00920CA3" w:rsidTr="004017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2" w:type="dxa"/>
          </w:tcPr>
          <w:p w:rsidR="00920CA3" w:rsidRDefault="00920CA3" w:rsidP="00994EB5">
            <w:pPr>
              <w:pStyle w:val="Heading3"/>
              <w:spacing w:before="240"/>
              <w:outlineLvl w:val="2"/>
              <w:rPr>
                <w:sz w:val="24"/>
                <w:szCs w:val="24"/>
              </w:rPr>
            </w:pPr>
            <w:r w:rsidRPr="008A0512">
              <w:rPr>
                <w:sz w:val="24"/>
                <w:szCs w:val="24"/>
              </w:rPr>
              <w:lastRenderedPageBreak/>
              <w:t>Recommendation</w:t>
            </w:r>
            <w:r>
              <w:rPr>
                <w:sz w:val="24"/>
                <w:szCs w:val="24"/>
              </w:rPr>
              <w:t xml:space="preserve"> 12: </w:t>
            </w:r>
            <w:r w:rsidRPr="00920CA3">
              <w:rPr>
                <w:sz w:val="24"/>
                <w:szCs w:val="24"/>
                <w:lang w:val="en-US"/>
              </w:rPr>
              <w:t>During the next phase of the program, ensure a focus on the basic opportunities to learn (OTL) exists as a prerequisite for other interventions.</w:t>
            </w:r>
          </w:p>
          <w:p w:rsidR="00920CA3" w:rsidRPr="00920CA3" w:rsidRDefault="00920CA3" w:rsidP="00920CA3">
            <w:pPr>
              <w:rPr>
                <w:lang w:val="en-AU"/>
              </w:rPr>
            </w:pPr>
          </w:p>
        </w:tc>
        <w:tc>
          <w:tcPr>
            <w:tcW w:w="1092" w:type="dxa"/>
            <w:shd w:val="clear" w:color="auto" w:fill="C9C9C9" w:themeFill="accent3" w:themeFillTint="99"/>
          </w:tcPr>
          <w:p w:rsidR="00920CA3" w:rsidRDefault="006F5E33" w:rsidP="00994EB5">
            <w:pPr>
              <w:pStyle w:val="Heading3"/>
              <w:outlineLvl w:val="2"/>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Agreed</w:t>
            </w:r>
            <w:r w:rsidR="00D826C2">
              <w:rPr>
                <w:sz w:val="24"/>
                <w:szCs w:val="24"/>
              </w:rPr>
              <w:t xml:space="preserve"> in principle</w:t>
            </w:r>
          </w:p>
        </w:tc>
        <w:tc>
          <w:tcPr>
            <w:tcW w:w="3919" w:type="dxa"/>
          </w:tcPr>
          <w:p w:rsidR="00920CA3" w:rsidRDefault="002A07F3" w:rsidP="00D826C2">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Pr>
                <w:rFonts w:asciiTheme="majorHAnsi" w:hAnsiTheme="majorHAnsi"/>
                <w:sz w:val="24"/>
                <w:szCs w:val="24"/>
              </w:rPr>
              <w:t xml:space="preserve">DFAT </w:t>
            </w:r>
            <w:r w:rsidR="00D826C2">
              <w:rPr>
                <w:rFonts w:asciiTheme="majorHAnsi" w:hAnsiTheme="majorHAnsi"/>
                <w:sz w:val="24"/>
                <w:szCs w:val="24"/>
              </w:rPr>
              <w:t>will consider including a focus on basic opportunities to learn in the next phase of the program</w:t>
            </w:r>
            <w:r>
              <w:rPr>
                <w:rFonts w:asciiTheme="majorHAnsi" w:hAnsiTheme="majorHAnsi"/>
                <w:sz w:val="24"/>
                <w:szCs w:val="24"/>
              </w:rPr>
              <w:t>.</w:t>
            </w:r>
          </w:p>
        </w:tc>
        <w:tc>
          <w:tcPr>
            <w:tcW w:w="3119" w:type="dxa"/>
            <w:shd w:val="clear" w:color="auto" w:fill="9CC2E5" w:themeFill="accent1" w:themeFillTint="99"/>
          </w:tcPr>
          <w:p w:rsidR="00920CA3" w:rsidRDefault="002A07F3" w:rsidP="00994EB5">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Pr>
                <w:rFonts w:asciiTheme="majorHAnsi" w:hAnsiTheme="majorHAnsi"/>
                <w:sz w:val="24"/>
                <w:szCs w:val="24"/>
              </w:rPr>
              <w:t>To be factored into the design of the next phase of the program.</w:t>
            </w:r>
          </w:p>
        </w:tc>
      </w:tr>
      <w:tr w:rsidR="00920CA3" w:rsidTr="0040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2" w:type="dxa"/>
          </w:tcPr>
          <w:p w:rsidR="00920CA3" w:rsidRDefault="00920CA3" w:rsidP="00D714B2">
            <w:pPr>
              <w:pStyle w:val="Heading3"/>
              <w:spacing w:before="240"/>
              <w:outlineLvl w:val="2"/>
              <w:rPr>
                <w:sz w:val="24"/>
                <w:szCs w:val="24"/>
              </w:rPr>
            </w:pPr>
            <w:r w:rsidRPr="008A0512">
              <w:rPr>
                <w:sz w:val="24"/>
                <w:szCs w:val="24"/>
              </w:rPr>
              <w:t>Recommendation</w:t>
            </w:r>
            <w:r>
              <w:rPr>
                <w:sz w:val="24"/>
                <w:szCs w:val="24"/>
              </w:rPr>
              <w:t xml:space="preserve"> 13: </w:t>
            </w:r>
            <w:r w:rsidRPr="00920CA3">
              <w:rPr>
                <w:sz w:val="24"/>
                <w:szCs w:val="24"/>
                <w:lang w:val="en-US"/>
              </w:rPr>
              <w:t>During the next phase of the program, it is recommended that partners consider balancing TA investments to areas that provide a direct line of sight to the classroom while at the same time retaining and embedding current system reforms within MEHRD</w:t>
            </w:r>
            <w:r w:rsidR="00D722DE">
              <w:rPr>
                <w:sz w:val="24"/>
                <w:szCs w:val="24"/>
                <w:lang w:val="en-US"/>
              </w:rPr>
              <w:t>.</w:t>
            </w:r>
          </w:p>
          <w:p w:rsidR="00920CA3" w:rsidRPr="00920CA3" w:rsidRDefault="00920CA3" w:rsidP="00920CA3">
            <w:pPr>
              <w:rPr>
                <w:lang w:val="en-AU"/>
              </w:rPr>
            </w:pPr>
          </w:p>
        </w:tc>
        <w:tc>
          <w:tcPr>
            <w:tcW w:w="1092" w:type="dxa"/>
            <w:shd w:val="clear" w:color="auto" w:fill="C9C9C9" w:themeFill="accent3" w:themeFillTint="99"/>
          </w:tcPr>
          <w:p w:rsidR="00920CA3" w:rsidRDefault="006F5E33" w:rsidP="00AA79C7">
            <w:pPr>
              <w:pStyle w:val="Heading3"/>
              <w:outlineLvl w:val="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Agreed</w:t>
            </w:r>
            <w:r w:rsidR="00D826C2">
              <w:rPr>
                <w:sz w:val="24"/>
                <w:szCs w:val="24"/>
              </w:rPr>
              <w:t xml:space="preserve"> in principle</w:t>
            </w:r>
          </w:p>
        </w:tc>
        <w:tc>
          <w:tcPr>
            <w:tcW w:w="3919" w:type="dxa"/>
          </w:tcPr>
          <w:p w:rsidR="00920CA3" w:rsidRDefault="00D722DE" w:rsidP="00D826C2">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 xml:space="preserve">DFAT </w:t>
            </w:r>
            <w:r w:rsidR="00D826C2">
              <w:rPr>
                <w:rFonts w:asciiTheme="majorHAnsi" w:hAnsiTheme="majorHAnsi"/>
                <w:sz w:val="24"/>
                <w:szCs w:val="24"/>
              </w:rPr>
              <w:t>willW</w:t>
            </w:r>
            <w:r>
              <w:rPr>
                <w:rFonts w:asciiTheme="majorHAnsi" w:hAnsiTheme="majorHAnsi"/>
                <w:sz w:val="24"/>
                <w:szCs w:val="24"/>
              </w:rPr>
              <w:t>consider the balance of TA focus between systems strengthening and classroom improvements.</w:t>
            </w:r>
          </w:p>
        </w:tc>
        <w:tc>
          <w:tcPr>
            <w:tcW w:w="3119" w:type="dxa"/>
            <w:shd w:val="clear" w:color="auto" w:fill="9CC2E5" w:themeFill="accent1" w:themeFillTint="99"/>
          </w:tcPr>
          <w:p w:rsidR="00920CA3" w:rsidRDefault="00D722DE" w:rsidP="00D714B2">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To be factored into the design of the next phase of the program.</w:t>
            </w:r>
          </w:p>
        </w:tc>
      </w:tr>
      <w:tr w:rsidR="00920CA3" w:rsidTr="004017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2" w:type="dxa"/>
          </w:tcPr>
          <w:p w:rsidR="00920CA3" w:rsidRDefault="00920CA3" w:rsidP="00994EB5">
            <w:pPr>
              <w:pStyle w:val="Heading3"/>
              <w:spacing w:before="240"/>
              <w:outlineLvl w:val="2"/>
              <w:rPr>
                <w:sz w:val="24"/>
                <w:szCs w:val="24"/>
              </w:rPr>
            </w:pPr>
            <w:r w:rsidRPr="008A0512">
              <w:rPr>
                <w:sz w:val="24"/>
                <w:szCs w:val="24"/>
              </w:rPr>
              <w:t>Recommendation</w:t>
            </w:r>
            <w:r>
              <w:rPr>
                <w:sz w:val="24"/>
                <w:szCs w:val="24"/>
              </w:rPr>
              <w:t xml:space="preserve"> 14: </w:t>
            </w:r>
            <w:r w:rsidRPr="00920CA3">
              <w:rPr>
                <w:sz w:val="24"/>
                <w:szCs w:val="24"/>
                <w:lang w:val="en-US"/>
              </w:rPr>
              <w:t>As soon as is feasible, AHC should assist MEHRD to ensure that it has copyright of materials produced on its behalf and is able to use these materials to adapt, modify or turn into digital content.</w:t>
            </w:r>
            <w:r w:rsidR="004B26B2">
              <w:rPr>
                <w:sz w:val="24"/>
                <w:szCs w:val="24"/>
                <w:lang w:val="en-US"/>
              </w:rPr>
              <w:t xml:space="preserve"> </w:t>
            </w:r>
            <w:r w:rsidRPr="00920CA3">
              <w:rPr>
                <w:sz w:val="24"/>
                <w:szCs w:val="24"/>
                <w:lang w:val="en-US"/>
              </w:rPr>
              <w:t>In the longer term, the AHC should also assist MEHRD with procurement and contract negotiations so they are not disadvantaged in the way they have been in relation to text books.</w:t>
            </w:r>
          </w:p>
          <w:p w:rsidR="00920CA3" w:rsidRPr="00920CA3" w:rsidRDefault="00920CA3" w:rsidP="00920CA3">
            <w:pPr>
              <w:rPr>
                <w:lang w:val="en-AU"/>
              </w:rPr>
            </w:pPr>
          </w:p>
        </w:tc>
        <w:tc>
          <w:tcPr>
            <w:tcW w:w="1092" w:type="dxa"/>
            <w:shd w:val="clear" w:color="auto" w:fill="C9C9C9" w:themeFill="accent3" w:themeFillTint="99"/>
          </w:tcPr>
          <w:p w:rsidR="00920CA3" w:rsidRDefault="006F5E33" w:rsidP="00994EB5">
            <w:pPr>
              <w:pStyle w:val="Heading3"/>
              <w:outlineLvl w:val="2"/>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Agreed in principle</w:t>
            </w:r>
          </w:p>
        </w:tc>
        <w:tc>
          <w:tcPr>
            <w:tcW w:w="3919" w:type="dxa"/>
          </w:tcPr>
          <w:p w:rsidR="00920CA3" w:rsidRDefault="00D722DE" w:rsidP="007678AB">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Pr>
                <w:rFonts w:asciiTheme="majorHAnsi" w:hAnsiTheme="majorHAnsi"/>
                <w:sz w:val="24"/>
                <w:szCs w:val="24"/>
              </w:rPr>
              <w:t xml:space="preserve">DFAT agrees in principle with this recommendation and will support (within reason) MEHRD to gain copyright of relevant learning materials. However we note </w:t>
            </w:r>
            <w:r w:rsidR="007678AB">
              <w:rPr>
                <w:rFonts w:asciiTheme="majorHAnsi" w:hAnsiTheme="majorHAnsi"/>
                <w:sz w:val="24"/>
                <w:szCs w:val="24"/>
              </w:rPr>
              <w:t>that investigations already conducted into obtaining retrospective copyright on certain learning materials has shown the purchase to be prohibitively expensive.</w:t>
            </w:r>
          </w:p>
        </w:tc>
        <w:tc>
          <w:tcPr>
            <w:tcW w:w="3119" w:type="dxa"/>
            <w:shd w:val="clear" w:color="auto" w:fill="9CC2E5" w:themeFill="accent1" w:themeFillTint="99"/>
          </w:tcPr>
          <w:p w:rsidR="00920CA3" w:rsidRDefault="002D3E66" w:rsidP="00994EB5">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Pr>
                <w:rFonts w:asciiTheme="majorHAnsi" w:hAnsiTheme="majorHAnsi"/>
                <w:sz w:val="24"/>
                <w:szCs w:val="24"/>
              </w:rPr>
              <w:t>To be supported by the DFAT-funded MEHRD Procurement Adviser.</w:t>
            </w:r>
          </w:p>
        </w:tc>
      </w:tr>
      <w:tr w:rsidR="00920CA3" w:rsidTr="0040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2" w:type="dxa"/>
          </w:tcPr>
          <w:p w:rsidR="00920CA3" w:rsidRDefault="00920CA3" w:rsidP="00994EB5">
            <w:pPr>
              <w:pStyle w:val="Heading3"/>
              <w:spacing w:before="240"/>
              <w:outlineLvl w:val="2"/>
              <w:rPr>
                <w:sz w:val="24"/>
                <w:szCs w:val="24"/>
              </w:rPr>
            </w:pPr>
            <w:r w:rsidRPr="008A0512">
              <w:rPr>
                <w:sz w:val="24"/>
                <w:szCs w:val="24"/>
              </w:rPr>
              <w:lastRenderedPageBreak/>
              <w:t>Recommendation</w:t>
            </w:r>
            <w:r>
              <w:rPr>
                <w:sz w:val="24"/>
                <w:szCs w:val="24"/>
              </w:rPr>
              <w:t xml:space="preserve"> 15: </w:t>
            </w:r>
            <w:r w:rsidRPr="00920CA3">
              <w:rPr>
                <w:sz w:val="24"/>
                <w:szCs w:val="24"/>
                <w:lang w:val="en-US"/>
              </w:rPr>
              <w:t>Linked to the above, development partners should consider assisting SIEMIS staff to review whether the current platform of PINEAPPLE is the most appropriate to their needs.</w:t>
            </w:r>
          </w:p>
          <w:p w:rsidR="00920CA3" w:rsidRPr="00920CA3" w:rsidRDefault="00920CA3" w:rsidP="00920CA3">
            <w:pPr>
              <w:rPr>
                <w:lang w:val="en-AU"/>
              </w:rPr>
            </w:pPr>
          </w:p>
        </w:tc>
        <w:tc>
          <w:tcPr>
            <w:tcW w:w="1092" w:type="dxa"/>
            <w:shd w:val="clear" w:color="auto" w:fill="C9C9C9" w:themeFill="accent3" w:themeFillTint="99"/>
          </w:tcPr>
          <w:p w:rsidR="00920CA3" w:rsidRDefault="006F5E33" w:rsidP="00994EB5">
            <w:pPr>
              <w:pStyle w:val="Heading3"/>
              <w:outlineLvl w:val="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Agreed</w:t>
            </w:r>
          </w:p>
        </w:tc>
        <w:tc>
          <w:tcPr>
            <w:tcW w:w="3919" w:type="dxa"/>
          </w:tcPr>
          <w:p w:rsidR="00920CA3" w:rsidRDefault="002D3E66" w:rsidP="00D826C2">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DFAT agree</w:t>
            </w:r>
            <w:r w:rsidR="00D826C2">
              <w:rPr>
                <w:rFonts w:asciiTheme="majorHAnsi" w:hAnsiTheme="majorHAnsi"/>
                <w:sz w:val="24"/>
                <w:szCs w:val="24"/>
              </w:rPr>
              <w:t>s</w:t>
            </w:r>
            <w:r>
              <w:rPr>
                <w:rFonts w:asciiTheme="majorHAnsi" w:hAnsiTheme="majorHAnsi"/>
                <w:sz w:val="24"/>
                <w:szCs w:val="24"/>
              </w:rPr>
              <w:t xml:space="preserve"> to support MEHRD’s review of the current SIEMIS platform.</w:t>
            </w:r>
          </w:p>
        </w:tc>
        <w:tc>
          <w:tcPr>
            <w:tcW w:w="3119" w:type="dxa"/>
            <w:shd w:val="clear" w:color="auto" w:fill="9CC2E5" w:themeFill="accent1" w:themeFillTint="99"/>
          </w:tcPr>
          <w:p w:rsidR="00920CA3" w:rsidRDefault="002D3E66" w:rsidP="002D3E66">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 xml:space="preserve">An MFAT-funded volunteer (placed in MEHRD) and the DFAT-funded SPC Educational Quality and Assessment Programme are </w:t>
            </w:r>
            <w:r w:rsidR="007678AB">
              <w:rPr>
                <w:rFonts w:asciiTheme="majorHAnsi" w:hAnsiTheme="majorHAnsi"/>
                <w:sz w:val="24"/>
                <w:szCs w:val="24"/>
              </w:rPr>
              <w:t xml:space="preserve">currently </w:t>
            </w:r>
            <w:r>
              <w:rPr>
                <w:rFonts w:asciiTheme="majorHAnsi" w:hAnsiTheme="majorHAnsi"/>
                <w:sz w:val="24"/>
                <w:szCs w:val="24"/>
              </w:rPr>
              <w:t>supporting MEHRD in this review</w:t>
            </w:r>
            <w:r w:rsidR="007678AB">
              <w:rPr>
                <w:rFonts w:asciiTheme="majorHAnsi" w:hAnsiTheme="majorHAnsi"/>
                <w:sz w:val="24"/>
                <w:szCs w:val="24"/>
              </w:rPr>
              <w:t xml:space="preserve"> and a shift to a more user-friendly platform</w:t>
            </w:r>
            <w:r>
              <w:rPr>
                <w:rFonts w:asciiTheme="majorHAnsi" w:hAnsiTheme="majorHAnsi"/>
                <w:sz w:val="24"/>
                <w:szCs w:val="24"/>
              </w:rPr>
              <w:t>.</w:t>
            </w:r>
          </w:p>
        </w:tc>
      </w:tr>
      <w:tr w:rsidR="002D3E66" w:rsidTr="004017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2" w:type="dxa"/>
          </w:tcPr>
          <w:p w:rsidR="002D3E66" w:rsidRDefault="002D3E66" w:rsidP="002D3E66">
            <w:pPr>
              <w:pStyle w:val="Heading3"/>
              <w:spacing w:before="240"/>
              <w:outlineLvl w:val="2"/>
              <w:rPr>
                <w:sz w:val="24"/>
                <w:szCs w:val="24"/>
              </w:rPr>
            </w:pPr>
            <w:r w:rsidRPr="008A0512">
              <w:rPr>
                <w:sz w:val="24"/>
                <w:szCs w:val="24"/>
              </w:rPr>
              <w:t>Recommendation</w:t>
            </w:r>
            <w:r>
              <w:rPr>
                <w:sz w:val="24"/>
                <w:szCs w:val="24"/>
              </w:rPr>
              <w:t xml:space="preserve"> 16: </w:t>
            </w:r>
            <w:r w:rsidRPr="00920CA3">
              <w:rPr>
                <w:sz w:val="24"/>
                <w:szCs w:val="24"/>
                <w:lang w:val="en-US"/>
              </w:rPr>
              <w:t xml:space="preserve">AHC and NZHC should work together where possible, engage in joint meetings and should conduct joint reviews to ensure that the transactional cost on MEHRD is lessened. In particular, the upcoming MFAT review should build on the work of the current mid—term review. The upcoming design should involve both Australia and New Zealand to allow for a more </w:t>
            </w:r>
            <w:proofErr w:type="spellStart"/>
            <w:r w:rsidRPr="00920CA3">
              <w:rPr>
                <w:sz w:val="24"/>
                <w:szCs w:val="24"/>
                <w:lang w:val="en-US"/>
              </w:rPr>
              <w:t>harmonised</w:t>
            </w:r>
            <w:proofErr w:type="spellEnd"/>
            <w:r w:rsidRPr="00920CA3">
              <w:rPr>
                <w:sz w:val="24"/>
                <w:szCs w:val="24"/>
                <w:lang w:val="en-US"/>
              </w:rPr>
              <w:t xml:space="preserve"> approach.</w:t>
            </w:r>
          </w:p>
          <w:p w:rsidR="002D3E66" w:rsidRPr="00920CA3" w:rsidRDefault="002D3E66" w:rsidP="002D3E66">
            <w:pPr>
              <w:rPr>
                <w:lang w:val="en-AU"/>
              </w:rPr>
            </w:pPr>
          </w:p>
        </w:tc>
        <w:tc>
          <w:tcPr>
            <w:tcW w:w="1092" w:type="dxa"/>
            <w:shd w:val="clear" w:color="auto" w:fill="C9C9C9" w:themeFill="accent3" w:themeFillTint="99"/>
          </w:tcPr>
          <w:p w:rsidR="002D3E66" w:rsidRDefault="002D3E66" w:rsidP="002D3E66">
            <w:pPr>
              <w:pStyle w:val="Heading3"/>
              <w:outlineLvl w:val="2"/>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Agreed</w:t>
            </w:r>
          </w:p>
        </w:tc>
        <w:tc>
          <w:tcPr>
            <w:tcW w:w="3919" w:type="dxa"/>
          </w:tcPr>
          <w:p w:rsidR="002D3E66" w:rsidRDefault="002D3E66" w:rsidP="00D826C2">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Pr>
                <w:rFonts w:asciiTheme="majorHAnsi" w:hAnsiTheme="majorHAnsi"/>
                <w:sz w:val="24"/>
                <w:szCs w:val="24"/>
              </w:rPr>
              <w:t>DFAT agree</w:t>
            </w:r>
            <w:r w:rsidR="00D826C2">
              <w:rPr>
                <w:rFonts w:asciiTheme="majorHAnsi" w:hAnsiTheme="majorHAnsi"/>
                <w:sz w:val="24"/>
                <w:szCs w:val="24"/>
              </w:rPr>
              <w:t>s to working with MFAT</w:t>
            </w:r>
            <w:r>
              <w:rPr>
                <w:rFonts w:asciiTheme="majorHAnsi" w:hAnsiTheme="majorHAnsi"/>
                <w:sz w:val="24"/>
                <w:szCs w:val="24"/>
              </w:rPr>
              <w:t xml:space="preserve"> to further align their </w:t>
            </w:r>
            <w:r w:rsidRPr="006F5E33">
              <w:rPr>
                <w:rFonts w:asciiTheme="majorHAnsi" w:hAnsiTheme="majorHAnsi"/>
                <w:sz w:val="24"/>
                <w:szCs w:val="24"/>
                <w:lang w:val="en-US"/>
              </w:rPr>
              <w:t xml:space="preserve">governance, management and evaluation </w:t>
            </w:r>
            <w:r>
              <w:rPr>
                <w:rFonts w:asciiTheme="majorHAnsi" w:hAnsiTheme="majorHAnsi"/>
                <w:sz w:val="24"/>
                <w:szCs w:val="24"/>
                <w:lang w:val="en-US"/>
              </w:rPr>
              <w:t>arrangements.</w:t>
            </w:r>
          </w:p>
        </w:tc>
        <w:tc>
          <w:tcPr>
            <w:tcW w:w="3119" w:type="dxa"/>
            <w:shd w:val="clear" w:color="auto" w:fill="9CC2E5" w:themeFill="accent1" w:themeFillTint="99"/>
          </w:tcPr>
          <w:p w:rsidR="002D3E66" w:rsidRDefault="00D826C2" w:rsidP="002D3E66">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Pr>
                <w:rFonts w:asciiTheme="majorHAnsi" w:hAnsiTheme="majorHAnsi"/>
                <w:sz w:val="24"/>
                <w:szCs w:val="24"/>
              </w:rPr>
              <w:t>To be factored into the design of the next phase of the program.</w:t>
            </w:r>
          </w:p>
        </w:tc>
      </w:tr>
    </w:tbl>
    <w:p w:rsidR="002565F0" w:rsidRDefault="002565F0"/>
    <w:sectPr w:rsidR="002565F0" w:rsidSect="00094C37">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440" w:right="1440" w:bottom="851"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CA3" w:rsidRDefault="00920CA3" w:rsidP="00920CA3">
      <w:pPr>
        <w:spacing w:before="0" w:after="0" w:line="240" w:lineRule="auto"/>
      </w:pPr>
      <w:r>
        <w:separator/>
      </w:r>
    </w:p>
  </w:endnote>
  <w:endnote w:type="continuationSeparator" w:id="0">
    <w:p w:rsidR="00920CA3" w:rsidRDefault="00920CA3" w:rsidP="00920C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715" w:rsidRDefault="00382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715" w:rsidRDefault="003827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715" w:rsidRDefault="00382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CA3" w:rsidRDefault="00920CA3" w:rsidP="00920CA3">
      <w:pPr>
        <w:spacing w:before="0" w:after="0" w:line="240" w:lineRule="auto"/>
      </w:pPr>
      <w:r>
        <w:separator/>
      </w:r>
    </w:p>
  </w:footnote>
  <w:footnote w:type="continuationSeparator" w:id="0">
    <w:p w:rsidR="00920CA3" w:rsidRDefault="00920CA3" w:rsidP="00920CA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715" w:rsidRDefault="00382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715" w:rsidRDefault="003827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7F8" w:rsidRPr="00094C37" w:rsidRDefault="004017F8">
    <w:pPr>
      <w:pStyle w:val="Header"/>
      <w:rPr>
        <w:b/>
        <w:sz w:val="24"/>
        <w:szCs w:val="24"/>
      </w:rPr>
    </w:pPr>
    <w:r w:rsidRPr="00094C37">
      <w:rPr>
        <w:b/>
        <w:sz w:val="24"/>
        <w:szCs w:val="24"/>
      </w:rPr>
      <w:t>Solomon Islands Education Sector Program 2 Basic Education Component Independent Mid-Term Review – DFAT Management Response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975"/>
    <w:multiLevelType w:val="hybridMultilevel"/>
    <w:tmpl w:val="3CCCE2B4"/>
    <w:lvl w:ilvl="0" w:tplc="868405E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D56043A"/>
    <w:multiLevelType w:val="multilevel"/>
    <w:tmpl w:val="69AEB596"/>
    <w:numStyleLink w:val="BulletsList"/>
  </w:abstractNum>
  <w:abstractNum w:abstractNumId="2"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5B9BD5" w:themeColor="accent1"/>
      </w:rPr>
    </w:lvl>
    <w:lvl w:ilvl="1">
      <w:start w:val="1"/>
      <w:numFmt w:val="bullet"/>
      <w:pStyle w:val="Bullet2"/>
      <w:lvlText w:val="–"/>
      <w:lvlJc w:val="left"/>
      <w:pPr>
        <w:tabs>
          <w:tab w:val="num" w:pos="568"/>
        </w:tabs>
        <w:ind w:left="568" w:hanging="284"/>
      </w:pPr>
      <w:rPr>
        <w:rFonts w:ascii="Arial" w:hAnsi="Arial" w:hint="default"/>
        <w:color w:val="5B9BD5" w:themeColor="accent1"/>
      </w:rPr>
    </w:lvl>
    <w:lvl w:ilvl="2">
      <w:start w:val="1"/>
      <w:numFmt w:val="bullet"/>
      <w:pStyle w:val="Bullet3"/>
      <w:lvlText w:val="»"/>
      <w:lvlJc w:val="left"/>
      <w:pPr>
        <w:tabs>
          <w:tab w:val="num" w:pos="852"/>
        </w:tabs>
        <w:ind w:left="852" w:hanging="285"/>
      </w:pPr>
      <w:rPr>
        <w:rFonts w:ascii="Arial" w:hAnsi="Arial" w:hint="default"/>
        <w:color w:val="5B9BD5"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64D"/>
    <w:rsid w:val="00094C37"/>
    <w:rsid w:val="001043BF"/>
    <w:rsid w:val="002565F0"/>
    <w:rsid w:val="002A07F3"/>
    <w:rsid w:val="002B350A"/>
    <w:rsid w:val="002D3E66"/>
    <w:rsid w:val="00382715"/>
    <w:rsid w:val="004017F8"/>
    <w:rsid w:val="00486CF8"/>
    <w:rsid w:val="004B26B2"/>
    <w:rsid w:val="00571DA9"/>
    <w:rsid w:val="005A1593"/>
    <w:rsid w:val="00645A74"/>
    <w:rsid w:val="0069747F"/>
    <w:rsid w:val="006D4D40"/>
    <w:rsid w:val="006F5E33"/>
    <w:rsid w:val="007678AB"/>
    <w:rsid w:val="007B1BD1"/>
    <w:rsid w:val="007B6728"/>
    <w:rsid w:val="007C2C84"/>
    <w:rsid w:val="008D7323"/>
    <w:rsid w:val="008E6F10"/>
    <w:rsid w:val="00920CA3"/>
    <w:rsid w:val="00956492"/>
    <w:rsid w:val="00AA79C7"/>
    <w:rsid w:val="00AD277B"/>
    <w:rsid w:val="00AF594E"/>
    <w:rsid w:val="00B5064D"/>
    <w:rsid w:val="00B945E4"/>
    <w:rsid w:val="00C35FE3"/>
    <w:rsid w:val="00C67A91"/>
    <w:rsid w:val="00C73B23"/>
    <w:rsid w:val="00D714B2"/>
    <w:rsid w:val="00D722DE"/>
    <w:rsid w:val="00D826C2"/>
    <w:rsid w:val="00F75896"/>
    <w:rsid w:val="00FC33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64D"/>
    <w:pPr>
      <w:suppressAutoHyphens/>
      <w:spacing w:before="120" w:after="60" w:line="260" w:lineRule="atLeast"/>
    </w:pPr>
    <w:rPr>
      <w:color w:val="44546A" w:themeColor="text2"/>
      <w:lang w:val="en-GB"/>
    </w:rPr>
  </w:style>
  <w:style w:type="paragraph" w:styleId="Heading1">
    <w:name w:val="heading 1"/>
    <w:basedOn w:val="Normal"/>
    <w:next w:val="Normal"/>
    <w:link w:val="Heading1Char"/>
    <w:qFormat/>
    <w:rsid w:val="00B5064D"/>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Normal"/>
    <w:next w:val="Normal"/>
    <w:link w:val="Heading2Char"/>
    <w:uiPriority w:val="9"/>
    <w:semiHidden/>
    <w:unhideWhenUsed/>
    <w:qFormat/>
    <w:rsid w:val="00B506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B5064D"/>
    <w:pPr>
      <w:spacing w:before="480" w:after="120" w:line="360" w:lineRule="atLeast"/>
      <w:contextualSpacing/>
      <w:outlineLvl w:val="2"/>
    </w:pPr>
    <w:rPr>
      <w:bCs/>
      <w:color w:val="44546A" w:themeColor="text2"/>
      <w:sz w:val="3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064D"/>
    <w:rPr>
      <w:rFonts w:asciiTheme="majorHAnsi" w:eastAsiaTheme="majorEastAsia" w:hAnsiTheme="majorHAnsi" w:cstheme="majorBidi"/>
      <w:b/>
      <w:bCs/>
      <w:caps/>
      <w:color w:val="FFFFFF" w:themeColor="background1"/>
      <w:sz w:val="38"/>
      <w:szCs w:val="28"/>
      <w:lang w:val="en-GB"/>
    </w:rPr>
  </w:style>
  <w:style w:type="character" w:customStyle="1" w:styleId="Heading3Char">
    <w:name w:val="Heading 3 Char"/>
    <w:basedOn w:val="DefaultParagraphFont"/>
    <w:link w:val="Heading3"/>
    <w:rsid w:val="00B5064D"/>
    <w:rPr>
      <w:rFonts w:asciiTheme="majorHAnsi" w:eastAsiaTheme="majorEastAsia" w:hAnsiTheme="majorHAnsi" w:cstheme="majorBidi"/>
      <w:bCs/>
      <w:color w:val="44546A" w:themeColor="text2"/>
      <w:sz w:val="30"/>
      <w:szCs w:val="26"/>
    </w:rPr>
  </w:style>
  <w:style w:type="paragraph" w:customStyle="1" w:styleId="Bullet1">
    <w:name w:val="Bullet 1"/>
    <w:basedOn w:val="Normal"/>
    <w:qFormat/>
    <w:rsid w:val="00B5064D"/>
    <w:pPr>
      <w:numPr>
        <w:numId w:val="2"/>
      </w:numPr>
      <w:tabs>
        <w:tab w:val="left" w:pos="567"/>
      </w:tabs>
      <w:spacing w:before="60"/>
    </w:pPr>
  </w:style>
  <w:style w:type="paragraph" w:customStyle="1" w:styleId="Bullet2">
    <w:name w:val="Bullet 2"/>
    <w:basedOn w:val="Bullet1"/>
    <w:qFormat/>
    <w:rsid w:val="00B5064D"/>
    <w:pPr>
      <w:numPr>
        <w:ilvl w:val="1"/>
      </w:numPr>
      <w:tabs>
        <w:tab w:val="clear" w:pos="568"/>
        <w:tab w:val="left" w:pos="851"/>
      </w:tabs>
    </w:pPr>
  </w:style>
  <w:style w:type="paragraph" w:customStyle="1" w:styleId="Bullet3">
    <w:name w:val="Bullet 3"/>
    <w:basedOn w:val="Bullet2"/>
    <w:qFormat/>
    <w:rsid w:val="00B5064D"/>
    <w:pPr>
      <w:numPr>
        <w:ilvl w:val="2"/>
      </w:numPr>
      <w:tabs>
        <w:tab w:val="clear" w:pos="852"/>
        <w:tab w:val="left" w:pos="1134"/>
      </w:tabs>
    </w:pPr>
  </w:style>
  <w:style w:type="numbering" w:customStyle="1" w:styleId="BulletsList">
    <w:name w:val="Bullets List"/>
    <w:uiPriority w:val="99"/>
    <w:rsid w:val="00B5064D"/>
    <w:pPr>
      <w:numPr>
        <w:numId w:val="1"/>
      </w:numPr>
    </w:pPr>
  </w:style>
  <w:style w:type="paragraph" w:customStyle="1" w:styleId="TableHeaderRow">
    <w:name w:val="Table Header Row"/>
    <w:basedOn w:val="Normal"/>
    <w:qFormat/>
    <w:rsid w:val="00B5064D"/>
    <w:pPr>
      <w:spacing w:before="60"/>
    </w:pPr>
    <w:rPr>
      <w:rFonts w:ascii="Calibri" w:hAnsi="Calibri"/>
      <w:b/>
      <w:color w:val="FFFFFF" w:themeColor="background1"/>
      <w:szCs w:val="21"/>
    </w:rPr>
  </w:style>
  <w:style w:type="table" w:customStyle="1" w:styleId="DFATTable1">
    <w:name w:val="DFAT Table 1"/>
    <w:basedOn w:val="TableNormal"/>
    <w:uiPriority w:val="99"/>
    <w:rsid w:val="00B5064D"/>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BodyText">
    <w:name w:val="Body Text"/>
    <w:basedOn w:val="Normal"/>
    <w:link w:val="BodyTextChar"/>
    <w:uiPriority w:val="99"/>
    <w:unhideWhenUsed/>
    <w:qFormat/>
    <w:rsid w:val="00B5064D"/>
  </w:style>
  <w:style w:type="character" w:customStyle="1" w:styleId="BodyTextChar">
    <w:name w:val="Body Text Char"/>
    <w:basedOn w:val="DefaultParagraphFont"/>
    <w:link w:val="BodyText"/>
    <w:uiPriority w:val="99"/>
    <w:rsid w:val="00B5064D"/>
    <w:rPr>
      <w:color w:val="44546A" w:themeColor="text2"/>
      <w:lang w:val="en-GB"/>
    </w:rPr>
  </w:style>
  <w:style w:type="character" w:customStyle="1" w:styleId="Heading2Char">
    <w:name w:val="Heading 2 Char"/>
    <w:basedOn w:val="DefaultParagraphFont"/>
    <w:link w:val="Heading2"/>
    <w:uiPriority w:val="9"/>
    <w:semiHidden/>
    <w:rsid w:val="00B5064D"/>
    <w:rPr>
      <w:rFonts w:asciiTheme="majorHAnsi" w:eastAsiaTheme="majorEastAsia" w:hAnsiTheme="majorHAnsi" w:cstheme="majorBidi"/>
      <w:color w:val="2E74B5" w:themeColor="accent1" w:themeShade="BF"/>
      <w:sz w:val="26"/>
      <w:szCs w:val="26"/>
      <w:lang w:val="en-GB"/>
    </w:rPr>
  </w:style>
  <w:style w:type="paragraph" w:styleId="ListParagraph">
    <w:name w:val="List Paragraph"/>
    <w:basedOn w:val="Normal"/>
    <w:uiPriority w:val="34"/>
    <w:qFormat/>
    <w:rsid w:val="00FC3398"/>
    <w:pPr>
      <w:ind w:left="720"/>
      <w:contextualSpacing/>
    </w:pPr>
  </w:style>
  <w:style w:type="paragraph" w:customStyle="1" w:styleId="Default">
    <w:name w:val="Default"/>
    <w:rsid w:val="002565F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1BD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BD1"/>
    <w:rPr>
      <w:rFonts w:ascii="Segoe UI" w:hAnsi="Segoe UI" w:cs="Segoe UI"/>
      <w:color w:val="44546A" w:themeColor="text2"/>
      <w:sz w:val="18"/>
      <w:szCs w:val="18"/>
      <w:lang w:val="en-GB"/>
    </w:rPr>
  </w:style>
  <w:style w:type="paragraph" w:styleId="FootnoteText">
    <w:name w:val="footnote text"/>
    <w:basedOn w:val="Normal"/>
    <w:link w:val="FootnoteTextChar"/>
    <w:uiPriority w:val="99"/>
    <w:semiHidden/>
    <w:unhideWhenUsed/>
    <w:rsid w:val="00920CA3"/>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20CA3"/>
    <w:rPr>
      <w:color w:val="44546A" w:themeColor="text2"/>
      <w:sz w:val="20"/>
      <w:szCs w:val="20"/>
      <w:lang w:val="en-GB"/>
    </w:rPr>
  </w:style>
  <w:style w:type="character" w:styleId="FootnoteReference">
    <w:name w:val="footnote reference"/>
    <w:aliases w:val="Normal + Font:9 Point,Superscript 3 Point Times,ftref,(NECG) Footnote Reference,Ref,de nota al pie,FnR-ANZDEC,Fußnotenzeichen DISS,fr,16 Point,Superscript 6 Point,Footnote Ref in FtNote,SUPERS,BVI fnr,Footnote Reference1"/>
    <w:basedOn w:val="DefaultParagraphFont"/>
    <w:uiPriority w:val="99"/>
    <w:unhideWhenUsed/>
    <w:rsid w:val="00920CA3"/>
    <w:rPr>
      <w:vertAlign w:val="superscript"/>
    </w:rPr>
  </w:style>
  <w:style w:type="paragraph" w:styleId="Header">
    <w:name w:val="header"/>
    <w:basedOn w:val="Normal"/>
    <w:link w:val="HeaderChar"/>
    <w:uiPriority w:val="99"/>
    <w:unhideWhenUsed/>
    <w:rsid w:val="004017F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017F8"/>
    <w:rPr>
      <w:color w:val="44546A" w:themeColor="text2"/>
      <w:lang w:val="en-GB"/>
    </w:rPr>
  </w:style>
  <w:style w:type="paragraph" w:styleId="Footer">
    <w:name w:val="footer"/>
    <w:basedOn w:val="Normal"/>
    <w:link w:val="FooterChar"/>
    <w:uiPriority w:val="99"/>
    <w:unhideWhenUsed/>
    <w:rsid w:val="004017F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017F8"/>
    <w:rPr>
      <w:color w:val="44546A"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720861">
      <w:bodyDiv w:val="1"/>
      <w:marLeft w:val="0"/>
      <w:marRight w:val="0"/>
      <w:marTop w:val="0"/>
      <w:marBottom w:val="0"/>
      <w:divBdr>
        <w:top w:val="none" w:sz="0" w:space="0" w:color="auto"/>
        <w:left w:val="none" w:sz="0" w:space="0" w:color="auto"/>
        <w:bottom w:val="none" w:sz="0" w:space="0" w:color="auto"/>
        <w:right w:val="none" w:sz="0" w:space="0" w:color="auto"/>
      </w:divBdr>
    </w:div>
    <w:div w:id="172170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AE61DF-B0D8-43EE-BD63-2B5AA171F4E8}"/>
</file>

<file path=customXml/itemProps2.xml><?xml version="1.0" encoding="utf-8"?>
<ds:datastoreItem xmlns:ds="http://schemas.openxmlformats.org/officeDocument/2006/customXml" ds:itemID="{3DB28301-7D91-4705-8DF1-E1ED3472137B}"/>
</file>

<file path=customXml/itemProps3.xml><?xml version="1.0" encoding="utf-8"?>
<ds:datastoreItem xmlns:ds="http://schemas.openxmlformats.org/officeDocument/2006/customXml" ds:itemID="{E959DA1C-4A02-46A6-8FEE-C74E87AEF657}"/>
</file>

<file path=docProps/app.xml><?xml version="1.0" encoding="utf-8"?>
<Properties xmlns="http://schemas.openxmlformats.org/officeDocument/2006/extended-properties" xmlns:vt="http://schemas.openxmlformats.org/officeDocument/2006/docPropsVTypes">
  <Template>Normal.dotm</Template>
  <TotalTime>0</TotalTime>
  <Pages>8</Pages>
  <Words>1518</Words>
  <Characters>8657</Characters>
  <Application>Microsoft Office Word</Application>
  <DocSecurity>0</DocSecurity>
  <Lines>72</Lines>
  <Paragraphs>20</Paragraphs>
  <ScaleCrop>false</ScaleCrop>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2019-04-11T01:24:00Z</dcterms:created>
  <dcterms:modified xsi:type="dcterms:W3CDTF">2019-04-11T01:24:00Z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01c14586-3c0e-4806-bc0d-eb0e85e43153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1236700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