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3"/>
        <w:rPr>
          <w:rFonts w:ascii="Times New Roman"/>
          <w:sz w:val="27"/>
        </w:rPr>
      </w:pPr>
    </w:p>
    <w:p>
      <w:pPr>
        <w:pStyle w:val="Title"/>
        <w:spacing w:line="629" w:lineRule="exact"/>
        <w:rPr>
          <w:b w:val="0"/>
        </w:rPr>
      </w:pPr>
      <w:r>
        <w:rPr>
          <w:b w:val="0"/>
          <w:spacing w:val="-9"/>
        </w:rPr>
        <w:t>SOLOMON</w:t>
      </w:r>
      <w:r>
        <w:rPr>
          <w:b w:val="0"/>
          <w:spacing w:val="-19"/>
        </w:rPr>
        <w:t> </w:t>
      </w:r>
      <w:r>
        <w:rPr>
          <w:b w:val="0"/>
          <w:spacing w:val="-2"/>
        </w:rPr>
        <w:t>ISLANDS</w:t>
      </w:r>
    </w:p>
    <w:p>
      <w:pPr>
        <w:pStyle w:val="BodyText"/>
        <w:spacing w:before="2"/>
        <w:rPr>
          <w:rFonts w:ascii="Calibri Light"/>
          <w:b w:val="0"/>
          <w:sz w:val="52"/>
        </w:rPr>
      </w:pPr>
    </w:p>
    <w:p>
      <w:pPr>
        <w:pStyle w:val="Title"/>
        <w:spacing w:line="547" w:lineRule="auto"/>
        <w:rPr>
          <w:b w:val="0"/>
        </w:rPr>
      </w:pPr>
      <w:r>
        <w:rPr>
          <w:b w:val="0"/>
          <w:spacing w:val="-6"/>
        </w:rPr>
        <w:t>EDUCATION</w:t>
      </w:r>
      <w:r>
        <w:rPr>
          <w:b w:val="0"/>
          <w:spacing w:val="-29"/>
        </w:rPr>
        <w:t> </w:t>
      </w:r>
      <w:r>
        <w:rPr>
          <w:b w:val="0"/>
          <w:spacing w:val="-6"/>
        </w:rPr>
        <w:t>SECTOR</w:t>
      </w:r>
      <w:r>
        <w:rPr>
          <w:b w:val="0"/>
          <w:spacing w:val="-29"/>
        </w:rPr>
        <w:t> </w:t>
      </w:r>
      <w:r>
        <w:rPr>
          <w:b w:val="0"/>
          <w:spacing w:val="-6"/>
        </w:rPr>
        <w:t>SUPPORT</w:t>
      </w:r>
      <w:r>
        <w:rPr>
          <w:b w:val="0"/>
          <w:spacing w:val="-28"/>
        </w:rPr>
        <w:t> </w:t>
      </w:r>
      <w:r>
        <w:rPr>
          <w:b w:val="0"/>
          <w:spacing w:val="-6"/>
        </w:rPr>
        <w:t>PROGRAM </w:t>
      </w:r>
      <w:r>
        <w:rPr>
          <w:b w:val="0"/>
        </w:rPr>
        <w:t>INDEPENDENT</w:t>
      </w:r>
      <w:r>
        <w:rPr>
          <w:b w:val="0"/>
          <w:spacing w:val="-28"/>
        </w:rPr>
        <w:t> </w:t>
      </w:r>
      <w:r>
        <w:rPr>
          <w:b w:val="0"/>
        </w:rPr>
        <w:t>ASSESSMENT</w:t>
      </w:r>
      <w:r>
        <w:rPr>
          <w:b w:val="0"/>
          <w:spacing w:val="-28"/>
        </w:rPr>
        <w:t> </w:t>
      </w:r>
      <w:r>
        <w:rPr>
          <w:b w:val="0"/>
        </w:rPr>
        <w:t>REPORT</w:t>
      </w: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rPr>
          <w:rFonts w:ascii="Calibri Light"/>
          <w:b w:val="0"/>
          <w:sz w:val="52"/>
        </w:rPr>
      </w:pPr>
    </w:p>
    <w:p>
      <w:pPr>
        <w:pStyle w:val="BodyText"/>
        <w:spacing w:before="2"/>
        <w:rPr>
          <w:rFonts w:ascii="Calibri Light"/>
          <w:b w:val="0"/>
          <w:sz w:val="68"/>
        </w:rPr>
      </w:pPr>
    </w:p>
    <w:p>
      <w:pPr>
        <w:pStyle w:val="BodyText"/>
        <w:ind w:left="5150" w:right="5203"/>
        <w:jc w:val="center"/>
        <w:rPr>
          <w:rFonts w:ascii="Calibri Light"/>
          <w:b w:val="0"/>
        </w:rPr>
      </w:pPr>
      <w:r>
        <w:rPr>
          <w:rFonts w:ascii="Calibri Light"/>
          <w:b w:val="0"/>
        </w:rPr>
        <w:t>JUNE</w:t>
      </w:r>
      <w:r>
        <w:rPr>
          <w:rFonts w:ascii="Calibri Light"/>
          <w:b w:val="0"/>
          <w:spacing w:val="-11"/>
        </w:rPr>
        <w:t> </w:t>
      </w:r>
      <w:r>
        <w:rPr>
          <w:rFonts w:ascii="Calibri Light"/>
          <w:b w:val="0"/>
          <w:spacing w:val="-4"/>
        </w:rPr>
        <w:t>2017</w:t>
      </w:r>
    </w:p>
    <w:p>
      <w:pPr>
        <w:spacing w:after="0"/>
        <w:jc w:val="center"/>
        <w:rPr>
          <w:rFonts w:ascii="Calibri Light"/>
        </w:rPr>
        <w:sectPr>
          <w:type w:val="continuous"/>
          <w:pgSz w:w="11900" w:h="16840"/>
          <w:pgMar w:top="1920" w:bottom="280" w:left="320" w:right="260"/>
        </w:sectPr>
      </w:pPr>
    </w:p>
    <w:p>
      <w:pPr>
        <w:pStyle w:val="BodyText"/>
        <w:spacing w:before="46"/>
        <w:ind w:left="1120" w:right="1177"/>
        <w:jc w:val="both"/>
      </w:pPr>
      <w:r>
        <w:rPr/>
        <w:t>This report has been prepared by Dr Graham Dawson under the management of the Government of Australia’s (GoA) Department of Foreign Affairs and Trade (DFAT), through its consultancy arrangements with Cardno Australia. The Report was commissioned through the Solomon Islands Resource Facility, managed by Cardno.</w:t>
      </w:r>
    </w:p>
    <w:p>
      <w:pPr>
        <w:pStyle w:val="BodyText"/>
        <w:spacing w:before="121"/>
        <w:ind w:left="1119" w:right="1178"/>
        <w:jc w:val="both"/>
      </w:pPr>
      <w:r>
        <w:rPr/>
        <w:t>The views expressed in the report are those of the independent assessor and author and do not necessarily represent the views and opinions of the Government of Australia, the Solomon Islands Government (SIG) or their agencies and personnel.</w:t>
      </w:r>
    </w:p>
    <w:p>
      <w:pPr>
        <w:pStyle w:val="BodyText"/>
        <w:spacing w:before="120"/>
        <w:ind w:left="1119" w:right="1177"/>
        <w:jc w:val="both"/>
      </w:pPr>
      <w:r>
        <w:rPr/>
        <w:t>The support provided by DFAT personnel and personnel in the SIG Ministry of Education and Human Resource</w:t>
      </w:r>
      <w:r>
        <w:rPr>
          <w:spacing w:val="-3"/>
        </w:rPr>
        <w:t> </w:t>
      </w:r>
      <w:r>
        <w:rPr/>
        <w:t>Development</w:t>
      </w:r>
      <w:r>
        <w:rPr>
          <w:spacing w:val="-5"/>
        </w:rPr>
        <w:t> </w:t>
      </w:r>
      <w:r>
        <w:rPr/>
        <w:t>(MEHRD)</w:t>
      </w:r>
      <w:r>
        <w:rPr>
          <w:spacing w:val="-3"/>
        </w:rPr>
        <w:t> </w:t>
      </w:r>
      <w:r>
        <w:rPr/>
        <w:t>is</w:t>
      </w:r>
      <w:r>
        <w:rPr>
          <w:spacing w:val="-3"/>
        </w:rPr>
        <w:t> </w:t>
      </w:r>
      <w:r>
        <w:rPr/>
        <w:t>acknowledged.</w:t>
      </w:r>
      <w:r>
        <w:rPr>
          <w:spacing w:val="-1"/>
        </w:rPr>
        <w:t> </w:t>
      </w:r>
      <w:r>
        <w:rPr/>
        <w:t>The</w:t>
      </w:r>
      <w:r>
        <w:rPr>
          <w:spacing w:val="-3"/>
        </w:rPr>
        <w:t> </w:t>
      </w:r>
      <w:r>
        <w:rPr/>
        <w:t>support</w:t>
      </w:r>
      <w:r>
        <w:rPr>
          <w:spacing w:val="-5"/>
        </w:rPr>
        <w:t> </w:t>
      </w:r>
      <w:r>
        <w:rPr/>
        <w:t>of the</w:t>
      </w:r>
      <w:r>
        <w:rPr>
          <w:spacing w:val="-3"/>
        </w:rPr>
        <w:t> </w:t>
      </w:r>
      <w:r>
        <w:rPr/>
        <w:t>MEHRD</w:t>
      </w:r>
      <w:r>
        <w:rPr>
          <w:spacing w:val="-5"/>
        </w:rPr>
        <w:t> </w:t>
      </w:r>
      <w:r>
        <w:rPr/>
        <w:t>Strategic</w:t>
      </w:r>
      <w:r>
        <w:rPr>
          <w:spacing w:val="-5"/>
        </w:rPr>
        <w:t> </w:t>
      </w:r>
      <w:r>
        <w:rPr/>
        <w:t>Support</w:t>
      </w:r>
      <w:r>
        <w:rPr>
          <w:spacing w:val="-5"/>
        </w:rPr>
        <w:t> </w:t>
      </w:r>
      <w:r>
        <w:rPr/>
        <w:t>Unit in facilitating and managing the review process was particularly appreciated.</w:t>
      </w:r>
    </w:p>
    <w:p>
      <w:pPr>
        <w:spacing w:after="0"/>
        <w:jc w:val="both"/>
        <w:sectPr>
          <w:headerReference w:type="default" r:id="rId5"/>
          <w:footerReference w:type="default" r:id="rId6"/>
          <w:pgSz w:w="11900" w:h="16840"/>
          <w:pgMar w:header="751" w:footer="729" w:top="1640" w:bottom="920" w:left="320" w:right="260"/>
          <w:pgNumType w:start="1"/>
        </w:sectPr>
      </w:pPr>
    </w:p>
    <w:p>
      <w:pPr>
        <w:pStyle w:val="BodyText"/>
        <w:spacing w:before="41"/>
        <w:ind w:left="1120"/>
      </w:pPr>
      <w:bookmarkStart w:name="Table of Contents" w:id="1"/>
      <w:bookmarkEnd w:id="1"/>
      <w:r>
        <w:rPr/>
      </w:r>
      <w:bookmarkStart w:name="_bookmark0" w:id="2"/>
      <w:bookmarkEnd w:id="2"/>
      <w:r>
        <w:rPr/>
      </w:r>
      <w:r>
        <w:rPr>
          <w:sz w:val="28"/>
        </w:rPr>
        <w:t>T</w:t>
      </w:r>
      <w:r>
        <w:rPr/>
        <w:t>ABLE</w:t>
      </w:r>
      <w:r>
        <w:rPr>
          <w:spacing w:val="15"/>
        </w:rPr>
        <w:t> </w:t>
      </w:r>
      <w:r>
        <w:rPr/>
        <w:t>OF</w:t>
      </w:r>
      <w:r>
        <w:rPr>
          <w:spacing w:val="18"/>
        </w:rPr>
        <w:t> </w:t>
      </w:r>
      <w:r>
        <w:rPr>
          <w:spacing w:val="-2"/>
          <w:sz w:val="28"/>
        </w:rPr>
        <w:t>C</w:t>
      </w:r>
      <w:r>
        <w:rPr>
          <w:spacing w:val="-2"/>
        </w:rPr>
        <w:t>ONTENTS</w:t>
      </w:r>
    </w:p>
    <w:p>
      <w:pPr>
        <w:pStyle w:val="BodyText"/>
        <w:rPr>
          <w:sz w:val="28"/>
        </w:rPr>
      </w:pPr>
    </w:p>
    <w:p>
      <w:pPr>
        <w:pStyle w:val="BodyText"/>
        <w:rPr>
          <w:sz w:val="28"/>
        </w:rPr>
      </w:pPr>
    </w:p>
    <w:p>
      <w:pPr>
        <w:pStyle w:val="BodyText"/>
        <w:rPr>
          <w:sz w:val="30"/>
        </w:rPr>
      </w:pPr>
    </w:p>
    <w:sdt>
      <w:sdtPr>
        <w:docPartObj>
          <w:docPartGallery w:val="Table of Contents"/>
          <w:docPartUnique/>
        </w:docPartObj>
      </w:sdtPr>
      <w:sdtEndPr/>
      <w:sdtContent>
        <w:p>
          <w:pPr>
            <w:pStyle w:val="TOC1"/>
            <w:tabs>
              <w:tab w:pos="10014" w:val="left" w:leader="dot"/>
            </w:tabs>
            <w:spacing w:before="0"/>
            <w:ind w:left="1120" w:firstLine="0"/>
          </w:pPr>
          <w:hyperlink w:history="true" w:anchor="_bookmark0">
            <w:r>
              <w:rPr/>
              <w:t>TABLE</w:t>
            </w:r>
            <w:r>
              <w:rPr>
                <w:spacing w:val="-5"/>
              </w:rPr>
              <w:t> </w:t>
            </w:r>
            <w:r>
              <w:rPr/>
              <w:t>OF</w:t>
            </w:r>
            <w:r>
              <w:rPr>
                <w:spacing w:val="-4"/>
              </w:rPr>
              <w:t> </w:t>
            </w:r>
            <w:r>
              <w:rPr>
                <w:spacing w:val="-2"/>
              </w:rPr>
              <w:t>CONTENTS</w:t>
            </w:r>
            <w:r>
              <w:rPr/>
              <w:tab/>
            </w:r>
            <w:r>
              <w:rPr>
                <w:spacing w:val="-5"/>
              </w:rPr>
              <w:t>II</w:t>
            </w:r>
          </w:hyperlink>
        </w:p>
        <w:p>
          <w:pPr>
            <w:pStyle w:val="TOC1"/>
            <w:tabs>
              <w:tab w:pos="9951" w:val="left" w:leader="dot"/>
            </w:tabs>
            <w:spacing w:before="164"/>
            <w:ind w:left="1120" w:firstLine="0"/>
          </w:pPr>
          <w:hyperlink w:history="true" w:anchor="_bookmark1">
            <w:r>
              <w:rPr/>
              <w:t>ACRONYMS</w:t>
            </w:r>
            <w:r>
              <w:rPr>
                <w:spacing w:val="-6"/>
              </w:rPr>
              <w:t> </w:t>
            </w:r>
            <w:r>
              <w:rPr/>
              <w:t>AND</w:t>
            </w:r>
            <w:r>
              <w:rPr>
                <w:spacing w:val="-5"/>
              </w:rPr>
              <w:t> </w:t>
            </w:r>
            <w:r>
              <w:rPr>
                <w:spacing w:val="-2"/>
              </w:rPr>
              <w:t>ABBREVIATIONS</w:t>
            </w:r>
            <w:r>
              <w:rPr/>
              <w:tab/>
            </w:r>
            <w:r>
              <w:rPr>
                <w:spacing w:val="-5"/>
              </w:rPr>
              <w:t>III</w:t>
            </w:r>
          </w:hyperlink>
        </w:p>
        <w:p>
          <w:pPr>
            <w:pStyle w:val="TOC1"/>
            <w:numPr>
              <w:ilvl w:val="0"/>
              <w:numId w:val="1"/>
            </w:numPr>
            <w:tabs>
              <w:tab w:pos="1561" w:val="left" w:leader="none"/>
              <w:tab w:pos="1562" w:val="left" w:leader="none"/>
              <w:tab w:pos="10019" w:val="left" w:leader="dot"/>
            </w:tabs>
            <w:spacing w:line="240" w:lineRule="auto" w:before="159" w:after="0"/>
            <w:ind w:left="1561" w:right="0" w:hanging="442"/>
            <w:jc w:val="left"/>
          </w:pPr>
          <w:hyperlink w:history="true" w:anchor="_bookmark2">
            <w:r>
              <w:rPr>
                <w:spacing w:val="-2"/>
              </w:rPr>
              <w:t>INTRODUCTION</w:t>
            </w:r>
            <w:r>
              <w:rPr/>
              <w:tab/>
            </w:r>
            <w:r>
              <w:rPr>
                <w:spacing w:val="-10"/>
              </w:rPr>
              <w:t>1</w:t>
            </w:r>
          </w:hyperlink>
        </w:p>
        <w:p>
          <w:pPr>
            <w:pStyle w:val="TOC1"/>
            <w:numPr>
              <w:ilvl w:val="0"/>
              <w:numId w:val="1"/>
            </w:numPr>
            <w:tabs>
              <w:tab w:pos="1561" w:val="left" w:leader="none"/>
              <w:tab w:pos="1562" w:val="left" w:leader="none"/>
              <w:tab w:pos="10019" w:val="left" w:leader="dot"/>
            </w:tabs>
            <w:spacing w:line="240" w:lineRule="auto" w:before="158" w:after="0"/>
            <w:ind w:left="1561" w:right="0" w:hanging="443"/>
            <w:jc w:val="left"/>
          </w:pPr>
          <w:hyperlink w:history="true" w:anchor="_bookmark3">
            <w:r>
              <w:rPr/>
              <w:t>BACKGROUND</w:t>
            </w:r>
            <w:r>
              <w:rPr>
                <w:spacing w:val="-7"/>
              </w:rPr>
              <w:t> </w:t>
            </w:r>
            <w:r>
              <w:rPr/>
              <w:t>AND</w:t>
            </w:r>
            <w:r>
              <w:rPr>
                <w:spacing w:val="-7"/>
              </w:rPr>
              <w:t> </w:t>
            </w:r>
            <w:r>
              <w:rPr>
                <w:spacing w:val="-2"/>
              </w:rPr>
              <w:t>CONTEXT</w:t>
            </w:r>
            <w:r>
              <w:rPr/>
              <w:tab/>
            </w:r>
            <w:r>
              <w:rPr>
                <w:spacing w:val="-10"/>
              </w:rPr>
              <w:t>1</w:t>
            </w:r>
          </w:hyperlink>
        </w:p>
        <w:p>
          <w:pPr>
            <w:pStyle w:val="TOC1"/>
            <w:numPr>
              <w:ilvl w:val="0"/>
              <w:numId w:val="1"/>
            </w:numPr>
            <w:tabs>
              <w:tab w:pos="1561" w:val="left" w:leader="none"/>
              <w:tab w:pos="1562" w:val="left" w:leader="none"/>
              <w:tab w:pos="10019" w:val="left" w:leader="dot"/>
            </w:tabs>
            <w:spacing w:line="240" w:lineRule="auto" w:before="164" w:after="0"/>
            <w:ind w:left="1561" w:right="0" w:hanging="442"/>
            <w:jc w:val="left"/>
          </w:pPr>
          <w:hyperlink w:history="true" w:anchor="_bookmark4">
            <w:r>
              <w:rPr/>
              <w:t>THE</w:t>
            </w:r>
            <w:r>
              <w:rPr>
                <w:spacing w:val="-7"/>
              </w:rPr>
              <w:t> </w:t>
            </w:r>
            <w:r>
              <w:rPr/>
              <w:t>ASSESSMENT</w:t>
            </w:r>
            <w:r>
              <w:rPr>
                <w:spacing w:val="-3"/>
              </w:rPr>
              <w:t> </w:t>
            </w:r>
            <w:r>
              <w:rPr>
                <w:spacing w:val="-2"/>
              </w:rPr>
              <w:t>PROCESS</w:t>
            </w:r>
            <w:r>
              <w:rPr/>
              <w:tab/>
            </w:r>
            <w:r>
              <w:rPr>
                <w:spacing w:val="-10"/>
              </w:rPr>
              <w:t>1</w:t>
            </w:r>
          </w:hyperlink>
        </w:p>
        <w:p>
          <w:pPr>
            <w:pStyle w:val="TOC1"/>
            <w:numPr>
              <w:ilvl w:val="0"/>
              <w:numId w:val="1"/>
            </w:numPr>
            <w:tabs>
              <w:tab w:pos="1561" w:val="left" w:leader="none"/>
              <w:tab w:pos="1562" w:val="left" w:leader="none"/>
              <w:tab w:pos="10019" w:val="left" w:leader="dot"/>
            </w:tabs>
            <w:spacing w:line="240" w:lineRule="auto" w:before="159" w:after="0"/>
            <w:ind w:left="1561" w:right="0" w:hanging="442"/>
            <w:jc w:val="left"/>
          </w:pPr>
          <w:hyperlink w:history="true" w:anchor="_bookmark5">
            <w:r>
              <w:rPr/>
              <w:t>REVIEW</w:t>
            </w:r>
            <w:r>
              <w:rPr>
                <w:spacing w:val="-6"/>
              </w:rPr>
              <w:t> </w:t>
            </w:r>
            <w:r>
              <w:rPr/>
              <w:t>OF</w:t>
            </w:r>
            <w:r>
              <w:rPr>
                <w:spacing w:val="-8"/>
              </w:rPr>
              <w:t> </w:t>
            </w:r>
            <w:r>
              <w:rPr/>
              <w:t>PERFORMANCE</w:t>
            </w:r>
            <w:r>
              <w:rPr>
                <w:spacing w:val="-9"/>
              </w:rPr>
              <w:t> </w:t>
            </w:r>
            <w:r>
              <w:rPr/>
              <w:t>AGAINST</w:t>
            </w:r>
            <w:r>
              <w:rPr>
                <w:spacing w:val="-5"/>
              </w:rPr>
              <w:t> </w:t>
            </w:r>
            <w:r>
              <w:rPr/>
              <w:t>2016</w:t>
            </w:r>
            <w:r>
              <w:rPr>
                <w:spacing w:val="-4"/>
              </w:rPr>
              <w:t> </w:t>
            </w:r>
            <w:r>
              <w:rPr>
                <w:spacing w:val="-2"/>
              </w:rPr>
              <w:t>TARGETS</w:t>
            </w:r>
            <w:r>
              <w:rPr/>
              <w:tab/>
            </w:r>
            <w:r>
              <w:rPr>
                <w:spacing w:val="-10"/>
              </w:rPr>
              <w:t>4</w:t>
            </w:r>
          </w:hyperlink>
        </w:p>
        <w:p>
          <w:pPr>
            <w:pStyle w:val="TOC3"/>
            <w:numPr>
              <w:ilvl w:val="1"/>
              <w:numId w:val="1"/>
            </w:numPr>
            <w:tabs>
              <w:tab w:pos="1998" w:val="left" w:leader="none"/>
              <w:tab w:pos="1999" w:val="left" w:leader="none"/>
              <w:tab w:pos="10018" w:val="left" w:leader="dot"/>
            </w:tabs>
            <w:spacing w:line="240" w:lineRule="auto" w:before="38" w:after="0"/>
            <w:ind w:left="1998" w:right="0" w:hanging="658"/>
            <w:jc w:val="left"/>
          </w:pPr>
          <w:hyperlink w:history="true" w:anchor="_bookmark6">
            <w:r>
              <w:rPr>
                <w:smallCaps/>
              </w:rPr>
              <w:t>O</w:t>
            </w:r>
            <w:r>
              <w:rPr>
                <w:smallCaps/>
              </w:rPr>
              <w:t>v</w:t>
            </w:r>
            <w:r>
              <w:rPr>
                <w:smallCaps/>
              </w:rPr>
              <w:t>e</w:t>
            </w:r>
            <w:r>
              <w:rPr>
                <w:smallCaps/>
              </w:rPr>
              <w:t>r</w:t>
            </w:r>
            <w:r>
              <w:rPr>
                <w:smallCaps/>
              </w:rPr>
              <w:t>a</w:t>
            </w:r>
            <w:r>
              <w:rPr>
                <w:smallCaps/>
              </w:rPr>
              <w:t>r</w:t>
            </w:r>
            <w:r>
              <w:rPr>
                <w:smallCaps/>
              </w:rPr>
              <w:t>c</w:t>
            </w:r>
            <w:r>
              <w:rPr>
                <w:smallCaps/>
              </w:rPr>
              <w:t>h</w:t>
            </w:r>
            <w:r>
              <w:rPr>
                <w:smallCaps/>
              </w:rPr>
              <w:t>i</w:t>
            </w:r>
            <w:r>
              <w:rPr>
                <w:smallCaps/>
              </w:rPr>
              <w:t>n</w:t>
            </w:r>
            <w:r>
              <w:rPr>
                <w:smallCaps/>
              </w:rPr>
              <w:t>g</w:t>
            </w:r>
            <w:r>
              <w:rPr>
                <w:smallCaps/>
                <w:spacing w:val="-8"/>
              </w:rPr>
              <w:t> </w:t>
            </w:r>
            <w:r>
              <w:rPr>
                <w:smallCaps/>
              </w:rPr>
              <w:t>T</w:t>
            </w:r>
            <w:r>
              <w:rPr>
                <w:smallCaps/>
              </w:rPr>
              <w:t>a</w:t>
            </w:r>
            <w:r>
              <w:rPr>
                <w:smallCaps/>
              </w:rPr>
              <w:t>r</w:t>
            </w:r>
            <w:r>
              <w:rPr>
                <w:smallCaps/>
              </w:rPr>
              <w:t>g</w:t>
            </w:r>
            <w:r>
              <w:rPr>
                <w:smallCaps/>
              </w:rPr>
              <w:t>e</w:t>
            </w:r>
            <w:r>
              <w:rPr>
                <w:smallCaps/>
              </w:rPr>
              <w:t>t</w:t>
            </w:r>
            <w:r>
              <w:rPr>
                <w:smallCaps/>
                <w:spacing w:val="-5"/>
              </w:rPr>
              <w:t> </w:t>
            </w:r>
            <w:r>
              <w:rPr>
                <w:smallCaps/>
              </w:rPr>
              <w:t>–</w:t>
            </w:r>
            <w:r>
              <w:rPr>
                <w:smallCaps/>
                <w:spacing w:val="-10"/>
              </w:rPr>
              <w:t> </w:t>
            </w:r>
            <w:r>
              <w:rPr>
                <w:smallCaps/>
              </w:rPr>
              <w:t>P</w:t>
            </w:r>
            <w:r>
              <w:rPr>
                <w:smallCaps/>
              </w:rPr>
              <w:t>e</w:t>
            </w:r>
            <w:r>
              <w:rPr>
                <w:smallCaps/>
              </w:rPr>
              <w:t>r</w:t>
            </w:r>
            <w:r>
              <w:rPr>
                <w:smallCaps/>
              </w:rPr>
              <w:t>c</w:t>
            </w:r>
            <w:r>
              <w:rPr>
                <w:smallCaps/>
              </w:rPr>
              <w:t>e</w:t>
            </w:r>
            <w:r>
              <w:rPr>
                <w:smallCaps/>
              </w:rPr>
              <w:t>n</w:t>
            </w:r>
            <w:r>
              <w:rPr>
                <w:smallCaps/>
              </w:rPr>
              <w:t>t</w:t>
            </w:r>
            <w:r>
              <w:rPr>
                <w:smallCaps/>
              </w:rPr>
              <w:t>a</w:t>
            </w:r>
            <w:r>
              <w:rPr>
                <w:smallCaps/>
              </w:rPr>
              <w:t>ge</w:t>
            </w:r>
            <w:r>
              <w:rPr>
                <w:smallCaps/>
                <w:spacing w:val="-5"/>
              </w:rPr>
              <w:t> </w:t>
            </w:r>
            <w:r>
              <w:rPr>
                <w:smallCaps/>
              </w:rPr>
              <w:t>o</w:t>
            </w:r>
            <w:r>
              <w:rPr>
                <w:smallCaps/>
              </w:rPr>
              <w:t>f</w:t>
            </w:r>
            <w:r>
              <w:rPr>
                <w:smallCaps/>
                <w:spacing w:val="-4"/>
              </w:rPr>
              <w:t> </w:t>
            </w:r>
            <w:r>
              <w:rPr>
                <w:smallCaps/>
              </w:rPr>
              <w:t>S</w:t>
            </w:r>
            <w:r>
              <w:rPr>
                <w:smallCaps/>
              </w:rPr>
              <w:t>I</w:t>
            </w:r>
            <w:r>
              <w:rPr>
                <w:smallCaps/>
              </w:rPr>
              <w:t>G</w:t>
            </w:r>
            <w:r>
              <w:rPr>
                <w:smallCaps/>
                <w:spacing w:val="-10"/>
              </w:rPr>
              <w:t> </w:t>
            </w:r>
            <w:r>
              <w:rPr>
                <w:smallCaps/>
              </w:rPr>
              <w:t>B</w:t>
            </w:r>
            <w:r>
              <w:rPr>
                <w:smallCaps/>
              </w:rPr>
              <w:t>u</w:t>
            </w:r>
            <w:r>
              <w:rPr>
                <w:smallCaps/>
              </w:rPr>
              <w:t>d</w:t>
            </w:r>
            <w:r>
              <w:rPr>
                <w:smallCaps/>
              </w:rPr>
              <w:t>g</w:t>
            </w:r>
            <w:r>
              <w:rPr>
                <w:smallCaps/>
              </w:rPr>
              <w:t>e</w:t>
            </w:r>
            <w:r>
              <w:rPr>
                <w:smallCaps/>
              </w:rPr>
              <w:t>t</w:t>
            </w:r>
            <w:r>
              <w:rPr>
                <w:smallCaps/>
                <w:spacing w:val="-5"/>
              </w:rPr>
              <w:t> </w:t>
            </w:r>
            <w:r>
              <w:rPr>
                <w:smallCaps/>
              </w:rPr>
              <w:t>s</w:t>
            </w:r>
            <w:r>
              <w:rPr>
                <w:smallCaps/>
              </w:rPr>
              <w:t>p</w:t>
            </w:r>
            <w:r>
              <w:rPr>
                <w:smallCaps/>
              </w:rPr>
              <w:t>e</w:t>
            </w:r>
            <w:r>
              <w:rPr>
                <w:smallCaps/>
              </w:rPr>
              <w:t>n</w:t>
            </w:r>
            <w:r>
              <w:rPr>
                <w:smallCaps/>
              </w:rPr>
              <w:t>t</w:t>
            </w:r>
            <w:r>
              <w:rPr>
                <w:smallCaps/>
                <w:spacing w:val="-4"/>
              </w:rPr>
              <w:t> </w:t>
            </w:r>
            <w:r>
              <w:rPr>
                <w:smallCaps/>
              </w:rPr>
              <w:t>o</w:t>
            </w:r>
            <w:r>
              <w:rPr>
                <w:smallCaps/>
              </w:rPr>
              <w:t>n</w:t>
            </w:r>
            <w:r>
              <w:rPr>
                <w:smallCaps/>
                <w:spacing w:val="-5"/>
              </w:rPr>
              <w:t> </w:t>
            </w:r>
            <w:r>
              <w:rPr>
                <w:smallCaps/>
                <w:spacing w:val="-2"/>
              </w:rPr>
              <w:t>e</w:t>
            </w:r>
            <w:r>
              <w:rPr>
                <w:smallCaps/>
                <w:spacing w:val="-2"/>
              </w:rPr>
              <w:t>du</w:t>
            </w:r>
            <w:r>
              <w:rPr>
                <w:smallCaps/>
                <w:spacing w:val="-2"/>
              </w:rPr>
              <w:t>c</w:t>
            </w:r>
            <w:r>
              <w:rPr>
                <w:smallCaps/>
                <w:spacing w:val="-2"/>
              </w:rPr>
              <w:t>a</w:t>
            </w:r>
            <w:r>
              <w:rPr>
                <w:smallCaps/>
                <w:spacing w:val="-2"/>
              </w:rPr>
              <w:t>t</w:t>
            </w:r>
            <w:r>
              <w:rPr>
                <w:smallCaps/>
                <w:spacing w:val="-2"/>
              </w:rPr>
              <w:t>i</w:t>
            </w:r>
            <w:r>
              <w:rPr>
                <w:smallCaps/>
                <w:spacing w:val="-2"/>
              </w:rPr>
              <w:t>o</w:t>
            </w:r>
            <w:r>
              <w:rPr>
                <w:smallCaps/>
                <w:spacing w:val="-2"/>
              </w:rPr>
              <w:t>n</w:t>
            </w:r>
            <w:r>
              <w:rPr>
                <w:smallCaps/>
              </w:rPr>
              <w:tab/>
            </w:r>
            <w:r>
              <w:rPr>
                <w:smallCaps/>
                <w:spacing w:val="-10"/>
              </w:rPr>
              <w:t>4</w:t>
            </w:r>
          </w:hyperlink>
        </w:p>
        <w:p>
          <w:pPr>
            <w:pStyle w:val="TOC2"/>
            <w:numPr>
              <w:ilvl w:val="1"/>
              <w:numId w:val="1"/>
            </w:numPr>
            <w:tabs>
              <w:tab w:pos="1998" w:val="left" w:leader="none"/>
              <w:tab w:pos="1999" w:val="left" w:leader="none"/>
              <w:tab w:pos="10019" w:val="left" w:leader="dot"/>
            </w:tabs>
            <w:spacing w:line="240" w:lineRule="auto" w:before="43" w:after="0"/>
            <w:ind w:left="1998" w:right="0" w:hanging="659"/>
            <w:jc w:val="left"/>
          </w:pPr>
          <w:hyperlink w:history="true" w:anchor="_bookmark8">
            <w:r>
              <w:rPr>
                <w:smallCaps/>
              </w:rPr>
              <w:t>T</w:t>
            </w:r>
            <w:r>
              <w:rPr>
                <w:smallCaps/>
              </w:rPr>
              <w:t>a</w:t>
            </w:r>
            <w:r>
              <w:rPr>
                <w:smallCaps/>
              </w:rPr>
              <w:t>r</w:t>
            </w:r>
            <w:r>
              <w:rPr>
                <w:smallCaps/>
              </w:rPr>
              <w:t>g</w:t>
            </w:r>
            <w:r>
              <w:rPr>
                <w:smallCaps/>
              </w:rPr>
              <w:t>e</w:t>
            </w:r>
            <w:r>
              <w:rPr>
                <w:smallCaps/>
              </w:rPr>
              <w:t>t</w:t>
            </w:r>
            <w:r>
              <w:rPr>
                <w:smallCaps/>
                <w:spacing w:val="-7"/>
              </w:rPr>
              <w:t> </w:t>
            </w:r>
            <w:r>
              <w:rPr>
                <w:smallCaps/>
              </w:rPr>
              <w:t>1</w:t>
            </w:r>
            <w:r>
              <w:rPr>
                <w:smallCaps/>
              </w:rPr>
              <w:t>.</w:t>
            </w:r>
            <w:r>
              <w:rPr>
                <w:smallCaps/>
              </w:rPr>
              <w:t>1</w:t>
            </w:r>
            <w:r>
              <w:rPr>
                <w:smallCaps/>
                <w:spacing w:val="-13"/>
              </w:rPr>
              <w:t> </w:t>
            </w:r>
            <w:r>
              <w:rPr>
                <w:smallCaps/>
              </w:rPr>
              <w:t>–</w:t>
            </w:r>
            <w:r>
              <w:rPr>
                <w:smallCaps/>
                <w:spacing w:val="-9"/>
              </w:rPr>
              <w:t> </w:t>
            </w:r>
            <w:r>
              <w:rPr>
                <w:smallCaps/>
              </w:rPr>
              <w:t>T</w:t>
            </w:r>
            <w:r>
              <w:rPr>
                <w:smallCaps/>
              </w:rPr>
              <w:t>e</w:t>
            </w:r>
            <w:r>
              <w:rPr>
                <w:smallCaps/>
              </w:rPr>
              <w:t>a</w:t>
            </w:r>
            <w:r>
              <w:rPr>
                <w:smallCaps/>
              </w:rPr>
              <w:t>c</w:t>
            </w:r>
            <w:r>
              <w:rPr>
                <w:smallCaps/>
              </w:rPr>
              <w:t>h</w:t>
            </w:r>
            <w:r>
              <w:rPr>
                <w:smallCaps/>
              </w:rPr>
              <w:t>e</w:t>
            </w:r>
            <w:r>
              <w:rPr>
                <w:smallCaps/>
              </w:rPr>
              <w:t>r</w:t>
            </w:r>
            <w:r>
              <w:rPr>
                <w:smallCaps/>
                <w:spacing w:val="1"/>
              </w:rPr>
              <w:t> </w:t>
            </w:r>
            <w:r>
              <w:rPr>
                <w:smallCaps/>
              </w:rPr>
              <w:t>T</w:t>
            </w:r>
            <w:r>
              <w:rPr>
                <w:smallCaps/>
              </w:rPr>
              <w:t>r</w:t>
            </w:r>
            <w:r>
              <w:rPr>
                <w:smallCaps/>
              </w:rPr>
              <w:t>a</w:t>
            </w:r>
            <w:r>
              <w:rPr>
                <w:smallCaps/>
              </w:rPr>
              <w:t>ini</w:t>
            </w:r>
            <w:r>
              <w:rPr>
                <w:smallCaps/>
              </w:rPr>
              <w:t>n</w:t>
            </w:r>
            <w:r>
              <w:rPr>
                <w:smallCaps/>
              </w:rPr>
              <w:t>g</w:t>
            </w:r>
            <w:r>
              <w:rPr>
                <w:smallCaps/>
                <w:spacing w:val="-6"/>
              </w:rPr>
              <w:t> </w:t>
            </w:r>
            <w:r>
              <w:rPr>
                <w:smallCaps/>
                <w:spacing w:val="-2"/>
              </w:rPr>
              <w:t>Q</w:t>
            </w:r>
            <w:r>
              <w:rPr>
                <w:smallCaps/>
                <w:spacing w:val="-2"/>
              </w:rPr>
              <w:t>u</w:t>
            </w:r>
            <w:r>
              <w:rPr>
                <w:smallCaps/>
                <w:spacing w:val="-2"/>
              </w:rPr>
              <w:t>a</w:t>
            </w:r>
            <w:r>
              <w:rPr>
                <w:smallCaps/>
                <w:spacing w:val="-2"/>
              </w:rPr>
              <w:t>l</w:t>
            </w:r>
            <w:r>
              <w:rPr>
                <w:smallCaps/>
                <w:spacing w:val="-2"/>
              </w:rPr>
              <w:t>i</w:t>
            </w:r>
            <w:r>
              <w:rPr>
                <w:smallCaps/>
                <w:spacing w:val="-2"/>
              </w:rPr>
              <w:t>t</w:t>
            </w:r>
            <w:r>
              <w:rPr>
                <w:smallCaps/>
                <w:spacing w:val="-2"/>
              </w:rPr>
              <w:t>y</w:t>
            </w:r>
            <w:r>
              <w:rPr>
                <w:smallCaps/>
              </w:rPr>
              <w:tab/>
            </w:r>
            <w:r>
              <w:rPr>
                <w:smallCaps/>
                <w:spacing w:val="-10"/>
              </w:rPr>
              <w:t>5</w:t>
            </w:r>
          </w:hyperlink>
        </w:p>
        <w:p>
          <w:pPr>
            <w:pStyle w:val="TOC2"/>
            <w:numPr>
              <w:ilvl w:val="1"/>
              <w:numId w:val="1"/>
            </w:numPr>
            <w:tabs>
              <w:tab w:pos="1998" w:val="left" w:leader="none"/>
              <w:tab w:pos="1999" w:val="left" w:leader="none"/>
              <w:tab w:pos="10019" w:val="left" w:leader="dot"/>
            </w:tabs>
            <w:spacing w:line="240" w:lineRule="auto" w:before="39" w:after="0"/>
            <w:ind w:left="1998" w:right="0" w:hanging="659"/>
            <w:jc w:val="left"/>
          </w:pPr>
          <w:hyperlink w:history="true" w:anchor="_bookmark9">
            <w:r>
              <w:rPr>
                <w:smallCaps/>
              </w:rPr>
              <w:t>T</w:t>
            </w:r>
            <w:r>
              <w:rPr>
                <w:smallCaps/>
              </w:rPr>
              <w:t>a</w:t>
            </w:r>
            <w:r>
              <w:rPr>
                <w:smallCaps/>
              </w:rPr>
              <w:t>r</w:t>
            </w:r>
            <w:r>
              <w:rPr>
                <w:smallCaps/>
              </w:rPr>
              <w:t>g</w:t>
            </w:r>
            <w:r>
              <w:rPr>
                <w:smallCaps/>
              </w:rPr>
              <w:t>e</w:t>
            </w:r>
            <w:r>
              <w:rPr>
                <w:smallCaps/>
              </w:rPr>
              <w:t>t</w:t>
            </w:r>
            <w:r>
              <w:rPr>
                <w:smallCaps/>
                <w:spacing w:val="-6"/>
              </w:rPr>
              <w:t> </w:t>
            </w:r>
            <w:r>
              <w:rPr>
                <w:smallCaps/>
              </w:rPr>
              <w:t>2</w:t>
            </w:r>
            <w:r>
              <w:rPr>
                <w:smallCaps/>
              </w:rPr>
              <w:t>.</w:t>
            </w:r>
            <w:r>
              <w:rPr>
                <w:smallCaps/>
              </w:rPr>
              <w:t>1</w:t>
            </w:r>
            <w:r>
              <w:rPr>
                <w:smallCaps/>
                <w:spacing w:val="-13"/>
              </w:rPr>
              <w:t> </w:t>
            </w:r>
            <w:r>
              <w:rPr>
                <w:smallCaps/>
              </w:rPr>
              <w:t>–</w:t>
            </w:r>
            <w:r>
              <w:rPr>
                <w:smallCaps/>
                <w:spacing w:val="-9"/>
              </w:rPr>
              <w:t> </w:t>
            </w:r>
            <w:r>
              <w:rPr>
                <w:smallCaps/>
              </w:rPr>
              <w:t>R</w:t>
            </w:r>
            <w:r>
              <w:rPr>
                <w:smallCaps/>
              </w:rPr>
              <w:t>e</w:t>
            </w:r>
            <w:r>
              <w:rPr>
                <w:smallCaps/>
              </w:rPr>
              <w:t>c</w:t>
            </w:r>
            <w:r>
              <w:rPr>
                <w:smallCaps/>
              </w:rPr>
              <w:t>u</w:t>
            </w:r>
            <w:r>
              <w:rPr>
                <w:smallCaps/>
              </w:rPr>
              <w:t>r</w:t>
            </w:r>
            <w:r>
              <w:rPr>
                <w:smallCaps/>
              </w:rPr>
              <w:t>r</w:t>
            </w:r>
            <w:r>
              <w:rPr>
                <w:smallCaps/>
              </w:rPr>
              <w:t>e</w:t>
            </w:r>
            <w:r>
              <w:rPr>
                <w:smallCaps/>
              </w:rPr>
              <w:t>n</w:t>
            </w:r>
            <w:r>
              <w:rPr>
                <w:smallCaps/>
              </w:rPr>
              <w:t>t</w:t>
            </w:r>
            <w:r>
              <w:rPr>
                <w:smallCaps/>
                <w:spacing w:val="-3"/>
              </w:rPr>
              <w:t> </w:t>
            </w:r>
            <w:r>
              <w:rPr>
                <w:smallCaps/>
              </w:rPr>
              <w:t>A</w:t>
            </w:r>
            <w:r>
              <w:rPr>
                <w:smallCaps/>
              </w:rPr>
              <w:t>ll</w:t>
            </w:r>
            <w:r>
              <w:rPr>
                <w:smallCaps/>
              </w:rPr>
              <w:t>o</w:t>
            </w:r>
            <w:r>
              <w:rPr>
                <w:smallCaps/>
              </w:rPr>
              <w:t>c</w:t>
            </w:r>
            <w:r>
              <w:rPr>
                <w:smallCaps/>
              </w:rPr>
              <w:t>a</w:t>
            </w:r>
            <w:r>
              <w:rPr>
                <w:smallCaps/>
              </w:rPr>
              <w:t>t</w:t>
            </w:r>
            <w:r>
              <w:rPr>
                <w:smallCaps/>
              </w:rPr>
              <w:t>i</w:t>
            </w:r>
            <w:r>
              <w:rPr>
                <w:smallCaps/>
              </w:rPr>
              <w:t>o</w:t>
            </w:r>
            <w:r>
              <w:rPr>
                <w:smallCaps/>
              </w:rPr>
              <w:t>n</w:t>
            </w:r>
            <w:r>
              <w:rPr>
                <w:smallCaps/>
                <w:spacing w:val="-4"/>
              </w:rPr>
              <w:t> </w:t>
            </w:r>
            <w:r>
              <w:rPr>
                <w:smallCaps/>
              </w:rPr>
              <w:t>t</w:t>
            </w:r>
            <w:r>
              <w:rPr>
                <w:smallCaps/>
              </w:rPr>
              <w:t>o</w:t>
            </w:r>
            <w:r>
              <w:rPr>
                <w:smallCaps/>
                <w:spacing w:val="-6"/>
              </w:rPr>
              <w:t> </w:t>
            </w:r>
            <w:r>
              <w:rPr>
                <w:smallCaps/>
              </w:rPr>
              <w:t>P</w:t>
            </w:r>
            <w:r>
              <w:rPr>
                <w:smallCaps/>
              </w:rPr>
              <w:t>r</w:t>
            </w:r>
            <w:r>
              <w:rPr>
                <w:smallCaps/>
              </w:rPr>
              <w:t>i</w:t>
            </w:r>
            <w:r>
              <w:rPr>
                <w:smallCaps/>
              </w:rPr>
              <w:t>m</w:t>
            </w:r>
            <w:r>
              <w:rPr>
                <w:smallCaps/>
              </w:rPr>
              <w:t>a</w:t>
            </w:r>
            <w:r>
              <w:rPr>
                <w:smallCaps/>
              </w:rPr>
              <w:t>r</w:t>
            </w:r>
            <w:r>
              <w:rPr>
                <w:smallCaps/>
              </w:rPr>
              <w:t>y</w:t>
            </w:r>
            <w:r>
              <w:rPr>
                <w:smallCaps/>
                <w:spacing w:val="1"/>
              </w:rPr>
              <w:t> </w:t>
            </w:r>
            <w:r>
              <w:rPr>
                <w:smallCaps/>
              </w:rPr>
              <w:t>E</w:t>
            </w:r>
            <w:r>
              <w:rPr>
                <w:smallCaps/>
              </w:rPr>
              <w:t>duc</w:t>
            </w:r>
            <w:r>
              <w:rPr>
                <w:smallCaps/>
              </w:rPr>
              <w:t>a</w:t>
            </w:r>
            <w:r>
              <w:rPr>
                <w:smallCaps/>
              </w:rPr>
              <w:t>t</w:t>
            </w:r>
            <w:r>
              <w:rPr>
                <w:smallCaps/>
              </w:rPr>
              <w:t>i</w:t>
            </w:r>
            <w:r>
              <w:rPr>
                <w:smallCaps/>
              </w:rPr>
              <w:t>o</w:t>
            </w:r>
            <w:r>
              <w:rPr>
                <w:smallCaps/>
              </w:rPr>
              <w:t>n</w:t>
            </w:r>
            <w:r>
              <w:rPr>
                <w:smallCaps/>
                <w:spacing w:val="-3"/>
              </w:rPr>
              <w:t> </w:t>
            </w:r>
            <w:r>
              <w:rPr>
                <w:smallCaps/>
              </w:rPr>
              <w:t>i</w:t>
            </w:r>
            <w:r>
              <w:rPr>
                <w:smallCaps/>
              </w:rPr>
              <w:t>s</w:t>
            </w:r>
            <w:r>
              <w:rPr>
                <w:smallCaps/>
                <w:spacing w:val="-3"/>
              </w:rPr>
              <w:t> </w:t>
            </w:r>
            <w:r>
              <w:rPr>
                <w:smallCaps/>
                <w:spacing w:val="-2"/>
              </w:rPr>
              <w:t>P</w:t>
            </w:r>
            <w:r>
              <w:rPr>
                <w:smallCaps/>
                <w:spacing w:val="-2"/>
              </w:rPr>
              <w:t>r</w:t>
            </w:r>
            <w:r>
              <w:rPr>
                <w:smallCaps/>
                <w:spacing w:val="-2"/>
              </w:rPr>
              <w:t>o</w:t>
            </w:r>
            <w:r>
              <w:rPr>
                <w:smallCaps/>
                <w:spacing w:val="-2"/>
              </w:rPr>
              <w:t>t</w:t>
            </w:r>
            <w:r>
              <w:rPr>
                <w:smallCaps/>
                <w:spacing w:val="-2"/>
              </w:rPr>
              <w:t>e</w:t>
            </w:r>
            <w:r>
              <w:rPr>
                <w:smallCaps/>
                <w:spacing w:val="-2"/>
              </w:rPr>
              <w:t>c</w:t>
            </w:r>
            <w:r>
              <w:rPr>
                <w:smallCaps/>
                <w:spacing w:val="-2"/>
              </w:rPr>
              <w:t>t</w:t>
            </w:r>
            <w:r>
              <w:rPr>
                <w:smallCaps/>
                <w:spacing w:val="-2"/>
              </w:rPr>
              <w:t>e</w:t>
            </w:r>
            <w:r>
              <w:rPr>
                <w:smallCaps/>
                <w:spacing w:val="-2"/>
              </w:rPr>
              <w:t>d</w:t>
            </w:r>
            <w:r>
              <w:rPr>
                <w:smallCaps/>
              </w:rPr>
              <w:tab/>
            </w:r>
            <w:r>
              <w:rPr>
                <w:smallCaps/>
                <w:spacing w:val="-10"/>
              </w:rPr>
              <w:t>6</w:t>
            </w:r>
          </w:hyperlink>
        </w:p>
        <w:p>
          <w:pPr>
            <w:pStyle w:val="TOC2"/>
            <w:numPr>
              <w:ilvl w:val="1"/>
              <w:numId w:val="1"/>
            </w:numPr>
            <w:tabs>
              <w:tab w:pos="1998" w:val="left" w:leader="none"/>
              <w:tab w:pos="1999" w:val="left" w:leader="none"/>
              <w:tab w:pos="10019" w:val="left" w:leader="dot"/>
            </w:tabs>
            <w:spacing w:line="240" w:lineRule="auto" w:before="39" w:after="0"/>
            <w:ind w:left="1998" w:right="0" w:hanging="659"/>
            <w:jc w:val="left"/>
          </w:pPr>
          <w:hyperlink w:history="true" w:anchor="_bookmark10">
            <w:r>
              <w:rPr>
                <w:smallCaps/>
              </w:rPr>
              <w:t>T</w:t>
            </w:r>
            <w:r>
              <w:rPr>
                <w:smallCaps/>
              </w:rPr>
              <w:t>a</w:t>
            </w:r>
            <w:r>
              <w:rPr>
                <w:smallCaps/>
              </w:rPr>
              <w:t>r</w:t>
            </w:r>
            <w:r>
              <w:rPr>
                <w:smallCaps/>
              </w:rPr>
              <w:t>g</w:t>
            </w:r>
            <w:r>
              <w:rPr>
                <w:smallCaps/>
              </w:rPr>
              <w:t>e</w:t>
            </w:r>
            <w:r>
              <w:rPr>
                <w:smallCaps/>
              </w:rPr>
              <w:t>t</w:t>
            </w:r>
            <w:r>
              <w:rPr>
                <w:smallCaps/>
                <w:spacing w:val="-4"/>
              </w:rPr>
              <w:t> </w:t>
            </w:r>
            <w:r>
              <w:rPr>
                <w:smallCaps/>
              </w:rPr>
              <w:t>2</w:t>
            </w:r>
            <w:r>
              <w:rPr>
                <w:smallCaps/>
              </w:rPr>
              <w:t>.</w:t>
            </w:r>
            <w:r>
              <w:rPr>
                <w:smallCaps/>
              </w:rPr>
              <w:t>2</w:t>
            </w:r>
            <w:r>
              <w:rPr>
                <w:smallCaps/>
                <w:spacing w:val="-10"/>
              </w:rPr>
              <w:t> </w:t>
            </w:r>
            <w:r>
              <w:rPr>
                <w:smallCaps/>
              </w:rPr>
              <w:t>-</w:t>
            </w:r>
            <w:r>
              <w:rPr>
                <w:smallCaps/>
                <w:spacing w:val="-12"/>
              </w:rPr>
              <w:t> </w:t>
            </w:r>
            <w:r>
              <w:rPr>
                <w:smallCaps/>
              </w:rPr>
              <w:t>S</w:t>
            </w:r>
            <w:r>
              <w:rPr>
                <w:smallCaps/>
              </w:rPr>
              <w:t>c</w:t>
            </w:r>
            <w:r>
              <w:rPr>
                <w:smallCaps/>
              </w:rPr>
              <w:t>h</w:t>
            </w:r>
            <w:r>
              <w:rPr>
                <w:smallCaps/>
              </w:rPr>
              <w:t>oo</w:t>
            </w:r>
            <w:r>
              <w:rPr>
                <w:smallCaps/>
              </w:rPr>
              <w:t>l</w:t>
            </w:r>
            <w:r>
              <w:rPr>
                <w:smallCaps/>
                <w:spacing w:val="-4"/>
              </w:rPr>
              <w:t> </w:t>
            </w:r>
            <w:r>
              <w:rPr>
                <w:smallCaps/>
              </w:rPr>
              <w:t>F</w:t>
            </w:r>
            <w:r>
              <w:rPr>
                <w:smallCaps/>
              </w:rPr>
              <w:t>i</w:t>
            </w:r>
            <w:r>
              <w:rPr>
                <w:smallCaps/>
              </w:rPr>
              <w:t>n</w:t>
            </w:r>
            <w:r>
              <w:rPr>
                <w:smallCaps/>
              </w:rPr>
              <w:t>a</w:t>
            </w:r>
            <w:r>
              <w:rPr>
                <w:smallCaps/>
              </w:rPr>
              <w:t>n</w:t>
            </w:r>
            <w:r>
              <w:rPr>
                <w:smallCaps/>
              </w:rPr>
              <w:t>c</w:t>
            </w:r>
            <w:r>
              <w:rPr>
                <w:smallCaps/>
              </w:rPr>
              <w:t>e</w:t>
            </w:r>
            <w:r>
              <w:rPr>
                <w:smallCaps/>
                <w:spacing w:val="-2"/>
              </w:rPr>
              <w:t> </w:t>
            </w:r>
            <w:r>
              <w:rPr>
                <w:smallCaps/>
              </w:rPr>
              <w:t>a</w:t>
            </w:r>
            <w:r>
              <w:rPr>
                <w:smallCaps/>
              </w:rPr>
              <w:t>n</w:t>
            </w:r>
            <w:r>
              <w:rPr>
                <w:smallCaps/>
              </w:rPr>
              <w:t>d</w:t>
            </w:r>
            <w:r>
              <w:rPr>
                <w:smallCaps/>
                <w:spacing w:val="-6"/>
              </w:rPr>
              <w:t> </w:t>
            </w:r>
            <w:r>
              <w:rPr>
                <w:smallCaps/>
              </w:rPr>
              <w:t>M</w:t>
            </w:r>
            <w:r>
              <w:rPr>
                <w:smallCaps/>
              </w:rPr>
              <w:t>a</w:t>
            </w:r>
            <w:r>
              <w:rPr>
                <w:smallCaps/>
              </w:rPr>
              <w:t>n</w:t>
            </w:r>
            <w:r>
              <w:rPr>
                <w:smallCaps/>
              </w:rPr>
              <w:t>a</w:t>
            </w:r>
            <w:r>
              <w:rPr>
                <w:smallCaps/>
              </w:rPr>
              <w:t>g</w:t>
            </w:r>
            <w:r>
              <w:rPr>
                <w:smallCaps/>
              </w:rPr>
              <w:t>e</w:t>
            </w:r>
            <w:r>
              <w:rPr>
                <w:smallCaps/>
              </w:rPr>
              <w:t>m</w:t>
            </w:r>
            <w:r>
              <w:rPr>
                <w:smallCaps/>
              </w:rPr>
              <w:t>e</w:t>
            </w:r>
            <w:r>
              <w:rPr>
                <w:smallCaps/>
              </w:rPr>
              <w:t>n</w:t>
            </w:r>
            <w:r>
              <w:rPr>
                <w:smallCaps/>
              </w:rPr>
              <w:t>t</w:t>
            </w:r>
            <w:r>
              <w:rPr>
                <w:smallCaps/>
                <w:spacing w:val="-1"/>
              </w:rPr>
              <w:t> </w:t>
            </w:r>
            <w:r>
              <w:rPr>
                <w:smallCaps/>
              </w:rPr>
              <w:t>o</w:t>
            </w:r>
            <w:r>
              <w:rPr>
                <w:smallCaps/>
              </w:rPr>
              <w:t>f</w:t>
            </w:r>
            <w:r>
              <w:rPr>
                <w:smallCaps/>
                <w:spacing w:val="-2"/>
              </w:rPr>
              <w:t> </w:t>
            </w:r>
            <w:r>
              <w:rPr>
                <w:smallCaps/>
                <w:spacing w:val="-2"/>
              </w:rPr>
              <w:t>G</w:t>
            </w:r>
            <w:r>
              <w:rPr>
                <w:smallCaps/>
                <w:spacing w:val="-2"/>
              </w:rPr>
              <w:t>r</w:t>
            </w:r>
            <w:r>
              <w:rPr>
                <w:smallCaps/>
                <w:spacing w:val="-2"/>
              </w:rPr>
              <w:t>a</w:t>
            </w:r>
            <w:r>
              <w:rPr>
                <w:smallCaps/>
                <w:spacing w:val="-2"/>
              </w:rPr>
              <w:t>n</w:t>
            </w:r>
            <w:r>
              <w:rPr>
                <w:smallCaps/>
                <w:spacing w:val="-2"/>
              </w:rPr>
              <w:t>t</w:t>
            </w:r>
            <w:r>
              <w:rPr>
                <w:smallCaps/>
                <w:spacing w:val="-2"/>
              </w:rPr>
              <w:t>s</w:t>
            </w:r>
            <w:r>
              <w:rPr>
                <w:smallCaps/>
              </w:rPr>
              <w:tab/>
            </w:r>
            <w:r>
              <w:rPr>
                <w:smallCaps/>
                <w:spacing w:val="-10"/>
              </w:rPr>
              <w:t>6</w:t>
            </w:r>
          </w:hyperlink>
        </w:p>
        <w:p>
          <w:pPr>
            <w:pStyle w:val="TOC2"/>
            <w:numPr>
              <w:ilvl w:val="1"/>
              <w:numId w:val="1"/>
            </w:numPr>
            <w:tabs>
              <w:tab w:pos="1998" w:val="left" w:leader="none"/>
              <w:tab w:pos="1999" w:val="left" w:leader="none"/>
              <w:tab w:pos="10019" w:val="left" w:leader="dot"/>
            </w:tabs>
            <w:spacing w:line="240" w:lineRule="auto" w:before="43" w:after="0"/>
            <w:ind w:left="1998" w:right="0" w:hanging="659"/>
            <w:jc w:val="left"/>
          </w:pPr>
          <w:hyperlink w:history="true" w:anchor="_bookmark11">
            <w:r>
              <w:rPr>
                <w:smallCaps/>
              </w:rPr>
              <w:t>T</w:t>
            </w:r>
            <w:r>
              <w:rPr>
                <w:smallCaps/>
              </w:rPr>
              <w:t>a</w:t>
            </w:r>
            <w:r>
              <w:rPr>
                <w:smallCaps/>
              </w:rPr>
              <w:t>r</w:t>
            </w:r>
            <w:r>
              <w:rPr>
                <w:smallCaps/>
              </w:rPr>
              <w:t>g</w:t>
            </w:r>
            <w:r>
              <w:rPr>
                <w:smallCaps/>
              </w:rPr>
              <w:t>e</w:t>
            </w:r>
            <w:r>
              <w:rPr>
                <w:smallCaps/>
              </w:rPr>
              <w:t>t</w:t>
            </w:r>
            <w:r>
              <w:rPr>
                <w:smallCaps/>
                <w:spacing w:val="-10"/>
              </w:rPr>
              <w:t> </w:t>
            </w:r>
            <w:r>
              <w:rPr>
                <w:smallCaps/>
              </w:rPr>
              <w:t>3</w:t>
            </w:r>
            <w:r>
              <w:rPr>
                <w:smallCaps/>
              </w:rPr>
              <w:t>.</w:t>
            </w:r>
            <w:r>
              <w:rPr>
                <w:smallCaps/>
              </w:rPr>
              <w:t>1</w:t>
            </w:r>
            <w:r>
              <w:rPr>
                <w:smallCaps/>
                <w:spacing w:val="-13"/>
              </w:rPr>
              <w:t> </w:t>
            </w:r>
            <w:r>
              <w:rPr>
                <w:smallCaps/>
              </w:rPr>
              <w:t>–</w:t>
            </w:r>
            <w:r>
              <w:rPr>
                <w:smallCaps/>
                <w:spacing w:val="-10"/>
              </w:rPr>
              <w:t> </w:t>
            </w:r>
            <w:r>
              <w:rPr>
                <w:smallCaps/>
              </w:rPr>
              <w:t>P</w:t>
            </w:r>
            <w:r>
              <w:rPr>
                <w:smallCaps/>
              </w:rPr>
              <w:t>F</w:t>
            </w:r>
            <w:r>
              <w:rPr>
                <w:smallCaps/>
              </w:rPr>
              <w:t>M</w:t>
            </w:r>
            <w:r>
              <w:rPr>
                <w:smallCaps/>
                <w:spacing w:val="-13"/>
              </w:rPr>
              <w:t> </w:t>
            </w:r>
            <w:r>
              <w:rPr>
                <w:smallCaps/>
              </w:rPr>
              <w:t>A</w:t>
            </w:r>
            <w:r>
              <w:rPr>
                <w:smallCaps/>
              </w:rPr>
              <w:t>c</w:t>
            </w:r>
            <w:r>
              <w:rPr>
                <w:smallCaps/>
              </w:rPr>
              <w:t>t</w:t>
            </w:r>
            <w:r>
              <w:rPr>
                <w:smallCaps/>
              </w:rPr>
              <w:t>i</w:t>
            </w:r>
            <w:r>
              <w:rPr>
                <w:smallCaps/>
              </w:rPr>
              <w:t>o</w:t>
            </w:r>
            <w:r>
              <w:rPr>
                <w:smallCaps/>
              </w:rPr>
              <w:t>n</w:t>
            </w:r>
            <w:r>
              <w:rPr>
                <w:smallCaps/>
                <w:spacing w:val="-5"/>
              </w:rPr>
              <w:t> </w:t>
            </w:r>
            <w:r>
              <w:rPr>
                <w:smallCaps/>
              </w:rPr>
              <w:t>P</w:t>
            </w:r>
            <w:r>
              <w:rPr>
                <w:smallCaps/>
              </w:rPr>
              <w:t>l</w:t>
            </w:r>
            <w:r>
              <w:rPr>
                <w:smallCaps/>
              </w:rPr>
              <w:t>a</w:t>
            </w:r>
            <w:r>
              <w:rPr>
                <w:smallCaps/>
              </w:rPr>
              <w:t>n</w:t>
            </w:r>
            <w:r>
              <w:rPr>
                <w:smallCaps/>
                <w:spacing w:val="-4"/>
              </w:rPr>
              <w:t> </w:t>
            </w:r>
            <w:r>
              <w:rPr>
                <w:smallCaps/>
              </w:rPr>
              <w:t>I</w:t>
            </w:r>
            <w:r>
              <w:rPr>
                <w:smallCaps/>
              </w:rPr>
              <w:t>m</w:t>
            </w:r>
            <w:r>
              <w:rPr>
                <w:smallCaps/>
              </w:rPr>
              <w:t>p</w:t>
            </w:r>
            <w:r>
              <w:rPr>
                <w:smallCaps/>
              </w:rPr>
              <w:t>l</w:t>
            </w:r>
            <w:r>
              <w:rPr>
                <w:smallCaps/>
              </w:rPr>
              <w:t>e</w:t>
            </w:r>
            <w:r>
              <w:rPr>
                <w:smallCaps/>
              </w:rPr>
              <w:t>m</w:t>
            </w:r>
            <w:r>
              <w:rPr>
                <w:smallCaps/>
              </w:rPr>
              <w:t>e</w:t>
            </w:r>
            <w:r>
              <w:rPr>
                <w:smallCaps/>
              </w:rPr>
              <w:t>n</w:t>
            </w:r>
            <w:r>
              <w:rPr>
                <w:smallCaps/>
              </w:rPr>
              <w:t>t</w:t>
            </w:r>
            <w:r>
              <w:rPr>
                <w:smallCaps/>
              </w:rPr>
              <w:t>a</w:t>
            </w:r>
            <w:r>
              <w:rPr>
                <w:smallCaps/>
              </w:rPr>
              <w:t>t</w:t>
            </w:r>
            <w:r>
              <w:rPr>
                <w:smallCaps/>
              </w:rPr>
              <w:t>i</w:t>
            </w:r>
            <w:r>
              <w:rPr>
                <w:smallCaps/>
              </w:rPr>
              <w:t>o</w:t>
            </w:r>
            <w:r>
              <w:rPr>
                <w:smallCaps/>
              </w:rPr>
              <w:t>n</w:t>
            </w:r>
            <w:r>
              <w:rPr>
                <w:smallCaps/>
                <w:spacing w:val="-1"/>
              </w:rPr>
              <w:t> </w:t>
            </w:r>
            <w:r>
              <w:rPr>
                <w:smallCaps/>
              </w:rPr>
              <w:t>O</w:t>
            </w:r>
            <w:r>
              <w:rPr>
                <w:smallCaps/>
              </w:rPr>
              <w:t>n</w:t>
            </w:r>
            <w:r>
              <w:rPr>
                <w:smallCaps/>
              </w:rPr>
              <w:t>-</w:t>
            </w:r>
            <w:r>
              <w:rPr>
                <w:smallCaps/>
                <w:spacing w:val="-4"/>
              </w:rPr>
              <w:t>g</w:t>
            </w:r>
            <w:r>
              <w:rPr>
                <w:smallCaps/>
                <w:spacing w:val="-4"/>
              </w:rPr>
              <w:t>o</w:t>
            </w:r>
            <w:r>
              <w:rPr>
                <w:smallCaps/>
                <w:spacing w:val="-4"/>
              </w:rPr>
              <w:t>i</w:t>
            </w:r>
            <w:r>
              <w:rPr>
                <w:smallCaps/>
                <w:spacing w:val="-4"/>
              </w:rPr>
              <w:t>n</w:t>
            </w:r>
            <w:r>
              <w:rPr>
                <w:smallCaps/>
                <w:spacing w:val="-4"/>
              </w:rPr>
              <w:t>g</w:t>
            </w:r>
            <w:r>
              <w:rPr>
                <w:smallCaps/>
              </w:rPr>
              <w:tab/>
            </w:r>
            <w:r>
              <w:rPr>
                <w:smallCaps/>
                <w:spacing w:val="-10"/>
              </w:rPr>
              <w:t>9</w:t>
            </w:r>
          </w:hyperlink>
        </w:p>
        <w:p>
          <w:pPr>
            <w:pStyle w:val="TOC2"/>
            <w:numPr>
              <w:ilvl w:val="1"/>
              <w:numId w:val="1"/>
            </w:numPr>
            <w:tabs>
              <w:tab w:pos="1998" w:val="left" w:leader="none"/>
              <w:tab w:pos="1999" w:val="left" w:leader="none"/>
              <w:tab w:pos="10018" w:val="left" w:leader="dot"/>
            </w:tabs>
            <w:spacing w:line="240" w:lineRule="auto" w:before="39" w:after="0"/>
            <w:ind w:left="1998" w:right="0" w:hanging="659"/>
            <w:jc w:val="left"/>
          </w:pPr>
          <w:hyperlink w:history="true" w:anchor="_bookmark12">
            <w:r>
              <w:rPr>
                <w:smallCaps/>
              </w:rPr>
              <w:t>T</w:t>
            </w:r>
            <w:r>
              <w:rPr>
                <w:smallCaps/>
              </w:rPr>
              <w:t>a</w:t>
            </w:r>
            <w:r>
              <w:rPr>
                <w:smallCaps/>
              </w:rPr>
              <w:t>r</w:t>
            </w:r>
            <w:r>
              <w:rPr>
                <w:smallCaps/>
              </w:rPr>
              <w:t>g</w:t>
            </w:r>
            <w:r>
              <w:rPr>
                <w:smallCaps/>
              </w:rPr>
              <w:t>e</w:t>
            </w:r>
            <w:r>
              <w:rPr>
                <w:smallCaps/>
              </w:rPr>
              <w:t>t</w:t>
            </w:r>
            <w:r>
              <w:rPr>
                <w:smallCaps/>
                <w:spacing w:val="-10"/>
              </w:rPr>
              <w:t> </w:t>
            </w:r>
            <w:r>
              <w:rPr>
                <w:smallCaps/>
              </w:rPr>
              <w:t>3</w:t>
            </w:r>
            <w:r>
              <w:rPr>
                <w:smallCaps/>
              </w:rPr>
              <w:t>.</w:t>
            </w:r>
            <w:r>
              <w:rPr>
                <w:smallCaps/>
              </w:rPr>
              <w:t>2</w:t>
            </w:r>
            <w:r>
              <w:rPr>
                <w:smallCaps/>
                <w:spacing w:val="-13"/>
              </w:rPr>
              <w:t> </w:t>
            </w:r>
            <w:r>
              <w:rPr>
                <w:smallCaps/>
              </w:rPr>
              <w:t>–</w:t>
            </w:r>
            <w:r>
              <w:rPr>
                <w:smallCaps/>
                <w:spacing w:val="-10"/>
              </w:rPr>
              <w:t> </w:t>
            </w:r>
            <w:r>
              <w:rPr>
                <w:smallCaps/>
              </w:rPr>
              <w:t>M</w:t>
            </w:r>
            <w:r>
              <w:rPr>
                <w:smallCaps/>
              </w:rPr>
              <w:t>E</w:t>
            </w:r>
            <w:r>
              <w:rPr>
                <w:smallCaps/>
              </w:rPr>
              <w:t>H</w:t>
            </w:r>
            <w:r>
              <w:rPr>
                <w:smallCaps/>
              </w:rPr>
              <w:t>RD</w:t>
            </w:r>
            <w:r>
              <w:rPr>
                <w:smallCaps/>
                <w:spacing w:val="-13"/>
              </w:rPr>
              <w:t> </w:t>
            </w:r>
            <w:r>
              <w:rPr>
                <w:smallCaps/>
              </w:rPr>
              <w:t>C</w:t>
            </w:r>
            <w:r>
              <w:rPr>
                <w:smallCaps/>
              </w:rPr>
              <w:t>o</w:t>
            </w:r>
            <w:r>
              <w:rPr>
                <w:smallCaps/>
              </w:rPr>
              <w:t>m</w:t>
            </w:r>
            <w:r>
              <w:rPr>
                <w:smallCaps/>
              </w:rPr>
              <w:t>m</w:t>
            </w:r>
            <w:r>
              <w:rPr>
                <w:smallCaps/>
              </w:rPr>
              <w:t>it</w:t>
            </w:r>
            <w:r>
              <w:rPr>
                <w:smallCaps/>
              </w:rPr>
              <w:t>m</w:t>
            </w:r>
            <w:r>
              <w:rPr>
                <w:smallCaps/>
              </w:rPr>
              <w:t>e</w:t>
            </w:r>
            <w:r>
              <w:rPr>
                <w:smallCaps/>
              </w:rPr>
              <w:t>n</w:t>
            </w:r>
            <w:r>
              <w:rPr>
                <w:smallCaps/>
              </w:rPr>
              <w:t>t</w:t>
            </w:r>
            <w:r>
              <w:rPr>
                <w:smallCaps/>
                <w:spacing w:val="-4"/>
              </w:rPr>
              <w:t> </w:t>
            </w:r>
            <w:r>
              <w:rPr>
                <w:smallCaps/>
              </w:rPr>
              <w:t>t</w:t>
            </w:r>
            <w:r>
              <w:rPr>
                <w:smallCaps/>
              </w:rPr>
              <w:t>o</w:t>
            </w:r>
            <w:r>
              <w:rPr>
                <w:smallCaps/>
                <w:spacing w:val="-7"/>
              </w:rPr>
              <w:t> </w:t>
            </w:r>
            <w:r>
              <w:rPr>
                <w:smallCaps/>
              </w:rPr>
              <w:t>a</w:t>
            </w:r>
            <w:r>
              <w:rPr>
                <w:smallCaps/>
              </w:rPr>
              <w:t>n</w:t>
            </w:r>
            <w:r>
              <w:rPr>
                <w:smallCaps/>
                <w:spacing w:val="1"/>
              </w:rPr>
              <w:t> </w:t>
            </w:r>
            <w:r>
              <w:rPr>
                <w:smallCaps/>
              </w:rPr>
              <w:t>E</w:t>
            </w:r>
            <w:r>
              <w:rPr>
                <w:smallCaps/>
              </w:rPr>
              <w:t>f</w:t>
            </w:r>
            <w:r>
              <w:rPr>
                <w:smallCaps/>
              </w:rPr>
              <w:t>f</w:t>
            </w:r>
            <w:r>
              <w:rPr>
                <w:smallCaps/>
              </w:rPr>
              <w:t>i</w:t>
            </w:r>
            <w:r>
              <w:rPr>
                <w:smallCaps/>
              </w:rPr>
              <w:t>c</w:t>
            </w:r>
            <w:r>
              <w:rPr>
                <w:smallCaps/>
              </w:rPr>
              <w:t>ie</w:t>
            </w:r>
            <w:r>
              <w:rPr>
                <w:smallCaps/>
              </w:rPr>
              <w:t>n</w:t>
            </w:r>
            <w:r>
              <w:rPr>
                <w:smallCaps/>
              </w:rPr>
              <w:t>t</w:t>
            </w:r>
            <w:r>
              <w:rPr>
                <w:smallCaps/>
                <w:spacing w:val="-5"/>
              </w:rPr>
              <w:t> </w:t>
            </w:r>
            <w:r>
              <w:rPr>
                <w:smallCaps/>
              </w:rPr>
              <w:t>A</w:t>
            </w:r>
            <w:r>
              <w:rPr>
                <w:smallCaps/>
              </w:rPr>
              <w:t>ll</w:t>
            </w:r>
            <w:r>
              <w:rPr>
                <w:smallCaps/>
              </w:rPr>
              <w:t>o</w:t>
            </w:r>
            <w:r>
              <w:rPr>
                <w:smallCaps/>
              </w:rPr>
              <w:t>c</w:t>
            </w:r>
            <w:r>
              <w:rPr>
                <w:smallCaps/>
              </w:rPr>
              <w:t>a</w:t>
            </w:r>
            <w:r>
              <w:rPr>
                <w:smallCaps/>
              </w:rPr>
              <w:t>t</w:t>
            </w:r>
            <w:r>
              <w:rPr>
                <w:smallCaps/>
              </w:rPr>
              <w:t>i</w:t>
            </w:r>
            <w:r>
              <w:rPr>
                <w:smallCaps/>
              </w:rPr>
              <w:t>o</w:t>
            </w:r>
            <w:r>
              <w:rPr>
                <w:smallCaps/>
              </w:rPr>
              <w:t>n</w:t>
            </w:r>
            <w:r>
              <w:rPr>
                <w:smallCaps/>
                <w:spacing w:val="-3"/>
              </w:rPr>
              <w:t> </w:t>
            </w:r>
            <w:r>
              <w:rPr>
                <w:smallCaps/>
              </w:rPr>
              <w:t>o</w:t>
            </w:r>
            <w:r>
              <w:rPr>
                <w:smallCaps/>
              </w:rPr>
              <w:t>f</w:t>
            </w:r>
            <w:r>
              <w:rPr>
                <w:smallCaps/>
                <w:spacing w:val="-4"/>
              </w:rPr>
              <w:t> </w:t>
            </w:r>
            <w:r>
              <w:rPr>
                <w:smallCaps/>
              </w:rPr>
              <w:t>T</w:t>
            </w:r>
            <w:r>
              <w:rPr>
                <w:smallCaps/>
              </w:rPr>
              <w:t>e</w:t>
            </w:r>
            <w:r>
              <w:rPr>
                <w:smallCaps/>
              </w:rPr>
              <w:t>r</w:t>
            </w:r>
            <w:r>
              <w:rPr>
                <w:smallCaps/>
              </w:rPr>
              <w:t>t</w:t>
            </w:r>
            <w:r>
              <w:rPr>
                <w:smallCaps/>
              </w:rPr>
              <w:t>i</w:t>
            </w:r>
            <w:r>
              <w:rPr>
                <w:smallCaps/>
              </w:rPr>
              <w:t>a</w:t>
            </w:r>
            <w:r>
              <w:rPr>
                <w:smallCaps/>
              </w:rPr>
              <w:t>r</w:t>
            </w:r>
            <w:r>
              <w:rPr>
                <w:smallCaps/>
              </w:rPr>
              <w:t>y</w:t>
            </w:r>
            <w:r>
              <w:rPr>
                <w:smallCaps/>
                <w:spacing w:val="-3"/>
              </w:rPr>
              <w:t> </w:t>
            </w:r>
            <w:r>
              <w:rPr>
                <w:smallCaps/>
                <w:spacing w:val="-2"/>
              </w:rPr>
              <w:t>B</w:t>
            </w:r>
            <w:r>
              <w:rPr>
                <w:smallCaps/>
                <w:spacing w:val="-2"/>
              </w:rPr>
              <w:t>ud</w:t>
            </w:r>
            <w:r>
              <w:rPr>
                <w:smallCaps/>
                <w:spacing w:val="-2"/>
              </w:rPr>
              <w:t>g</w:t>
            </w:r>
            <w:r>
              <w:rPr>
                <w:smallCaps/>
                <w:spacing w:val="-2"/>
              </w:rPr>
              <w:t>e</w:t>
            </w:r>
            <w:r>
              <w:rPr>
                <w:smallCaps/>
                <w:spacing w:val="-2"/>
              </w:rPr>
              <w:t>t</w:t>
            </w:r>
            <w:r>
              <w:rPr>
                <w:smallCaps/>
                <w:spacing w:val="-2"/>
              </w:rPr>
              <w:t>s</w:t>
            </w:r>
            <w:r>
              <w:rPr>
                <w:smallCaps/>
              </w:rPr>
              <w:tab/>
            </w:r>
            <w:r>
              <w:rPr>
                <w:smallCaps/>
                <w:spacing w:val="-10"/>
              </w:rPr>
              <w:t>9</w:t>
            </w:r>
          </w:hyperlink>
        </w:p>
        <w:p>
          <w:pPr>
            <w:pStyle w:val="TOC3"/>
            <w:numPr>
              <w:ilvl w:val="1"/>
              <w:numId w:val="2"/>
            </w:numPr>
            <w:tabs>
              <w:tab w:pos="1998" w:val="left" w:leader="none"/>
              <w:tab w:pos="1999" w:val="left" w:leader="none"/>
              <w:tab w:pos="9908" w:val="left" w:leader="dot"/>
            </w:tabs>
            <w:spacing w:line="278" w:lineRule="auto" w:before="38" w:after="0"/>
            <w:ind w:left="1998" w:right="1180" w:hanging="658"/>
            <w:jc w:val="left"/>
          </w:pPr>
          <w:hyperlink w:history="true" w:anchor="_bookmark13">
            <w:r>
              <w:rPr>
                <w:smallCaps/>
              </w:rPr>
              <w:t>T</w:t>
            </w:r>
            <w:r>
              <w:rPr>
                <w:smallCaps/>
              </w:rPr>
              <w:t>a</w:t>
            </w:r>
            <w:r>
              <w:rPr>
                <w:smallCaps/>
              </w:rPr>
              <w:t>r</w:t>
            </w:r>
            <w:r>
              <w:rPr>
                <w:smallCaps/>
              </w:rPr>
              <w:t>g</w:t>
            </w:r>
            <w:r>
              <w:rPr>
                <w:smallCaps/>
              </w:rPr>
              <w:t>e</w:t>
            </w:r>
            <w:r>
              <w:rPr>
                <w:smallCaps/>
              </w:rPr>
              <w:t>t</w:t>
            </w:r>
            <w:r>
              <w:rPr>
                <w:smallCaps/>
              </w:rPr>
              <w:t> </w:t>
            </w:r>
            <w:r>
              <w:rPr>
                <w:smallCaps/>
              </w:rPr>
              <w:t>3</w:t>
            </w:r>
            <w:r>
              <w:rPr>
                <w:smallCaps/>
              </w:rPr>
              <w:t>.</w:t>
            </w:r>
            <w:r>
              <w:rPr>
                <w:smallCaps/>
              </w:rPr>
              <w:t>3</w:t>
            </w:r>
            <w:r>
              <w:rPr>
                <w:smallCaps/>
                <w:spacing w:val="-12"/>
              </w:rPr>
              <w:t> </w:t>
            </w:r>
            <w:r>
              <w:rPr>
                <w:smallCaps/>
              </w:rPr>
              <w:t>–</w:t>
            </w:r>
            <w:r>
              <w:rPr>
                <w:smallCaps/>
                <w:spacing w:val="-6"/>
              </w:rPr>
              <w:t> </w:t>
            </w:r>
            <w:r>
              <w:rPr>
                <w:smallCaps/>
              </w:rPr>
              <w:t>P</w:t>
            </w:r>
            <w:r>
              <w:rPr>
                <w:smallCaps/>
              </w:rPr>
              <w:t>a</w:t>
            </w:r>
            <w:r>
              <w:rPr>
                <w:smallCaps/>
              </w:rPr>
              <w:t>r</w:t>
            </w:r>
            <w:r>
              <w:rPr>
                <w:smallCaps/>
              </w:rPr>
              <w:t>tn</w:t>
            </w:r>
            <w:r>
              <w:rPr>
                <w:smallCaps/>
              </w:rPr>
              <w:t>e</w:t>
            </w:r>
            <w:r>
              <w:rPr>
                <w:smallCaps/>
              </w:rPr>
              <w:t>r</w:t>
            </w:r>
            <w:r>
              <w:rPr>
                <w:smallCaps/>
              </w:rPr>
              <w:t>s</w:t>
            </w:r>
            <w:r>
              <w:rPr>
                <w:smallCaps/>
              </w:rPr>
              <w:t>h</w:t>
            </w:r>
            <w:r>
              <w:rPr>
                <w:smallCaps/>
              </w:rPr>
              <w:t>i</w:t>
            </w:r>
            <w:r>
              <w:rPr>
                <w:smallCaps/>
              </w:rPr>
              <w:t>p</w:t>
            </w:r>
            <w:r>
              <w:rPr>
                <w:smallCaps/>
              </w:rPr>
              <w:t> </w:t>
            </w:r>
            <w:r>
              <w:rPr>
                <w:smallCaps/>
              </w:rPr>
              <w:t>b</w:t>
            </w:r>
            <w:r>
              <w:rPr>
                <w:smallCaps/>
              </w:rPr>
              <w:t>e</w:t>
            </w:r>
            <w:r>
              <w:rPr>
                <w:smallCaps/>
              </w:rPr>
              <w:t>t</w:t>
            </w:r>
            <w:r>
              <w:rPr>
                <w:smallCaps/>
              </w:rPr>
              <w:t>w</w:t>
            </w:r>
            <w:r>
              <w:rPr>
                <w:smallCaps/>
              </w:rPr>
              <w:t>e</w:t>
            </w:r>
            <w:r>
              <w:rPr>
                <w:smallCaps/>
              </w:rPr>
              <w:t>e</w:t>
            </w:r>
            <w:r>
              <w:rPr>
                <w:smallCaps/>
              </w:rPr>
              <w:t>n</w:t>
            </w:r>
            <w:r>
              <w:rPr>
                <w:smallCaps/>
              </w:rPr>
              <w:t> </w:t>
            </w:r>
            <w:r>
              <w:rPr>
                <w:smallCaps/>
              </w:rPr>
              <w:t>M</w:t>
            </w:r>
            <w:r>
              <w:rPr>
                <w:smallCaps/>
              </w:rPr>
              <w:t>E</w:t>
            </w:r>
            <w:r>
              <w:rPr>
                <w:smallCaps/>
              </w:rPr>
              <w:t>H</w:t>
            </w:r>
            <w:r>
              <w:rPr>
                <w:smallCaps/>
              </w:rPr>
              <w:t>RD</w:t>
            </w:r>
            <w:r>
              <w:rPr>
                <w:smallCaps/>
                <w:spacing w:val="-7"/>
              </w:rPr>
              <w:t> </w:t>
            </w:r>
            <w:r>
              <w:rPr>
                <w:smallCaps/>
              </w:rPr>
              <w:t>a</w:t>
            </w:r>
            <w:r>
              <w:rPr>
                <w:smallCaps/>
              </w:rPr>
              <w:t>n</w:t>
            </w:r>
            <w:r>
              <w:rPr>
                <w:smallCaps/>
              </w:rPr>
              <w:t>d</w:t>
            </w:r>
            <w:r>
              <w:rPr>
                <w:smallCaps/>
                <w:spacing w:val="-4"/>
              </w:rPr>
              <w:t> </w:t>
            </w:r>
            <w:r>
              <w:rPr>
                <w:smallCaps/>
              </w:rPr>
              <w:t>E</w:t>
            </w:r>
            <w:r>
              <w:rPr>
                <w:smallCaps/>
              </w:rPr>
              <w:t>A</w:t>
            </w:r>
            <w:r>
              <w:rPr>
                <w:smallCaps/>
              </w:rPr>
              <w:t>s</w:t>
            </w:r>
            <w:r>
              <w:rPr>
                <w:smallCaps/>
              </w:rPr>
              <w:t> </w:t>
            </w:r>
            <w:r>
              <w:rPr>
                <w:smallCaps/>
              </w:rPr>
              <w:t>a</w:t>
            </w:r>
            <w:r>
              <w:rPr>
                <w:smallCaps/>
              </w:rPr>
              <w:t>n</w:t>
            </w:r>
            <w:r>
              <w:rPr>
                <w:smallCaps/>
              </w:rPr>
              <w:t>d</w:t>
            </w:r>
            <w:r>
              <w:rPr>
                <w:smallCaps/>
                <w:spacing w:val="-4"/>
              </w:rPr>
              <w:t> </w:t>
            </w:r>
            <w:r>
              <w:rPr>
                <w:smallCaps/>
              </w:rPr>
              <w:t>I</w:t>
            </w:r>
            <w:r>
              <w:rPr>
                <w:smallCaps/>
              </w:rPr>
              <w:t>n</w:t>
            </w:r>
            <w:r>
              <w:rPr>
                <w:smallCaps/>
              </w:rPr>
              <w:t>c</w:t>
            </w:r>
            <w:r>
              <w:rPr>
                <w:smallCaps/>
              </w:rPr>
              <w:t>r</w:t>
            </w:r>
            <w:r>
              <w:rPr>
                <w:smallCaps/>
              </w:rPr>
              <w:t>e</w:t>
            </w:r>
            <w:r>
              <w:rPr>
                <w:smallCaps/>
              </w:rPr>
              <w:t>a</w:t>
            </w:r>
            <w:r>
              <w:rPr>
                <w:smallCaps/>
              </w:rPr>
              <w:t>s</w:t>
            </w:r>
            <w:r>
              <w:rPr>
                <w:smallCaps/>
              </w:rPr>
              <w:t>i</w:t>
            </w:r>
            <w:r>
              <w:rPr>
                <w:smallCaps/>
              </w:rPr>
              <w:t>n</w:t>
            </w:r>
            <w:r>
              <w:rPr>
                <w:smallCaps/>
              </w:rPr>
              <w:t>g</w:t>
            </w:r>
            <w:r>
              <w:rPr>
                <w:smallCaps/>
                <w:spacing w:val="-2"/>
              </w:rPr>
              <w:t> </w:t>
            </w:r>
            <w:r>
              <w:rPr>
                <w:smallCaps/>
              </w:rPr>
              <w:t>t</w:t>
            </w:r>
            <w:r>
              <w:rPr>
                <w:smallCaps/>
              </w:rPr>
              <w:t>h</w:t>
            </w:r>
            <w:r>
              <w:rPr>
                <w:smallCaps/>
              </w:rPr>
              <w:t>e</w:t>
            </w:r>
            <w:r>
              <w:rPr>
                <w:smallCaps/>
                <w:spacing w:val="-4"/>
              </w:rPr>
              <w:t> </w:t>
            </w:r>
            <w:r>
              <w:rPr>
                <w:smallCaps/>
              </w:rPr>
              <w:t>C</w:t>
            </w:r>
            <w:r>
              <w:rPr>
                <w:smallCaps/>
              </w:rPr>
              <w:t>a</w:t>
            </w:r>
            <w:r>
              <w:rPr>
                <w:smallCaps/>
              </w:rPr>
              <w:t>p</w:t>
            </w:r>
            <w:r>
              <w:rPr>
                <w:smallCaps/>
              </w:rPr>
              <w:t>a</w:t>
            </w:r>
            <w:r>
              <w:rPr>
                <w:smallCaps/>
              </w:rPr>
              <w:t>c</w:t>
            </w:r>
            <w:r>
              <w:rPr>
                <w:smallCaps/>
              </w:rPr>
              <w:t>i</w:t>
            </w:r>
            <w:r>
              <w:rPr>
                <w:smallCaps/>
              </w:rPr>
              <w:t>t</w:t>
            </w:r>
            <w:r>
              <w:rPr>
                <w:smallCaps/>
              </w:rPr>
              <w:t>y</w:t>
            </w:r>
            <w:r>
              <w:rPr>
                <w:smallCaps/>
              </w:rPr>
              <w:t> </w:t>
            </w:r>
            <w:r>
              <w:rPr>
                <w:smallCaps/>
              </w:rPr>
              <w:t>o</w:t>
            </w:r>
            <w:r>
              <w:rPr>
                <w:smallCaps/>
              </w:rPr>
              <w:t>f</w:t>
            </w:r>
            <w:r>
              <w:rPr>
                <w:smallCaps/>
              </w:rPr>
              <w:t> </w:t>
            </w:r>
            <w:r>
              <w:rPr>
                <w:smallCaps/>
              </w:rPr>
              <w:t>E</w:t>
            </w:r>
            <w:r>
              <w:rPr>
                <w:smallCaps/>
              </w:rPr>
              <w:t>A</w:t>
            </w:r>
            <w:r>
              <w:rPr>
                <w:smallCaps/>
              </w:rPr>
              <w:t>s</w:t>
            </w:r>
            <w:r>
              <w:rPr>
                <w:smallCaps/>
                <w:spacing w:val="-4"/>
              </w:rPr>
              <w:t> </w:t>
            </w:r>
            <w:r>
              <w:rPr>
                <w:smallCaps/>
              </w:rPr>
              <w:t>t</w:t>
            </w:r>
            <w:r>
              <w:rPr>
                <w:smallCaps/>
              </w:rPr>
              <w:t>o</w:t>
            </w:r>
            <w:r>
              <w:rPr>
                <w:smallCaps/>
                <w:spacing w:val="-3"/>
              </w:rPr>
              <w:t> </w:t>
            </w:r>
            <w:r>
              <w:rPr>
                <w:smallCaps/>
              </w:rPr>
              <w:t>H</w:t>
            </w:r>
            <w:r>
              <w:rPr>
                <w:smallCaps/>
              </w:rPr>
              <w:t>o</w:t>
            </w:r>
            <w:r>
              <w:rPr>
                <w:smallCaps/>
              </w:rPr>
              <w:t>ld</w:t>
            </w:r>
          </w:hyperlink>
          <w:r>
            <w:rPr>
              <w:smallCaps/>
            </w:rPr>
            <w:t> </w:t>
          </w:r>
          <w:hyperlink w:history="true" w:anchor="_bookmark13">
            <w:r>
              <w:rPr>
                <w:smallCaps/>
              </w:rPr>
              <w:t>M</w:t>
            </w:r>
            <w:r>
              <w:rPr>
                <w:smallCaps/>
              </w:rPr>
              <w:t>E</w:t>
            </w:r>
            <w:r>
              <w:rPr>
                <w:smallCaps/>
              </w:rPr>
              <w:t>R</w:t>
            </w:r>
            <w:r>
              <w:rPr>
                <w:smallCaps/>
              </w:rPr>
              <w:t>H</w:t>
            </w:r>
            <w:r>
              <w:rPr>
                <w:smallCaps/>
              </w:rPr>
              <w:t>D</w:t>
            </w:r>
            <w:r>
              <w:rPr>
                <w:smallCaps/>
              </w:rPr>
              <w:t> </w:t>
            </w:r>
            <w:r>
              <w:rPr>
                <w:smallCaps/>
              </w:rPr>
              <w:t>t</w:t>
            </w:r>
            <w:r>
              <w:rPr>
                <w:smallCaps/>
              </w:rPr>
              <w:t>o</w:t>
            </w:r>
            <w:r>
              <w:rPr>
                <w:smallCaps/>
              </w:rPr>
              <w:t> </w:t>
            </w:r>
            <w:r>
              <w:rPr>
                <w:smallCaps/>
              </w:rPr>
              <w:t>A</w:t>
            </w:r>
            <w:r>
              <w:rPr>
                <w:smallCaps/>
              </w:rPr>
              <w:t>cc</w:t>
            </w:r>
            <w:r>
              <w:rPr>
                <w:smallCaps/>
              </w:rPr>
              <w:t>o</w:t>
            </w:r>
            <w:r>
              <w:rPr>
                <w:smallCaps/>
              </w:rPr>
              <w:t>u</w:t>
            </w:r>
            <w:r>
              <w:rPr>
                <w:smallCaps/>
              </w:rPr>
              <w:t>n</w:t>
            </w:r>
            <w:r>
              <w:rPr>
                <w:smallCaps/>
              </w:rPr>
              <w:t>t</w:t>
            </w:r>
            <w:r>
              <w:rPr>
                <w:smallCaps/>
              </w:rPr>
              <w:tab/>
            </w:r>
            <w:r>
              <w:rPr>
                <w:smallCaps/>
                <w:spacing w:val="-6"/>
              </w:rPr>
              <w:t>11</w:t>
            </w:r>
          </w:hyperlink>
        </w:p>
        <w:p>
          <w:pPr>
            <w:pStyle w:val="TOC2"/>
            <w:numPr>
              <w:ilvl w:val="1"/>
              <w:numId w:val="2"/>
            </w:numPr>
            <w:tabs>
              <w:tab w:pos="1998" w:val="left" w:leader="none"/>
              <w:tab w:pos="1999" w:val="left" w:leader="none"/>
              <w:tab w:pos="9908" w:val="left" w:leader="dot"/>
            </w:tabs>
            <w:spacing w:line="265" w:lineRule="exact" w:before="0" w:after="0"/>
            <w:ind w:left="1998" w:right="0" w:hanging="659"/>
            <w:jc w:val="left"/>
          </w:pPr>
          <w:hyperlink w:history="true" w:anchor="_bookmark14">
            <w:r>
              <w:rPr>
                <w:smallCaps/>
              </w:rPr>
              <w:t>T</w:t>
            </w:r>
            <w:r>
              <w:rPr>
                <w:smallCaps/>
              </w:rPr>
              <w:t>a</w:t>
            </w:r>
            <w:r>
              <w:rPr>
                <w:smallCaps/>
              </w:rPr>
              <w:t>r</w:t>
            </w:r>
            <w:r>
              <w:rPr>
                <w:smallCaps/>
              </w:rPr>
              <w:t>g</w:t>
            </w:r>
            <w:r>
              <w:rPr>
                <w:smallCaps/>
              </w:rPr>
              <w:t>e</w:t>
            </w:r>
            <w:r>
              <w:rPr>
                <w:smallCaps/>
              </w:rPr>
              <w:t>t</w:t>
            </w:r>
            <w:r>
              <w:rPr>
                <w:smallCaps/>
                <w:spacing w:val="-5"/>
              </w:rPr>
              <w:t> </w:t>
            </w:r>
            <w:r>
              <w:rPr>
                <w:smallCaps/>
              </w:rPr>
              <w:t>4</w:t>
            </w:r>
            <w:r>
              <w:rPr>
                <w:smallCaps/>
                <w:spacing w:val="-10"/>
              </w:rPr>
              <w:t> </w:t>
            </w:r>
            <w:r>
              <w:rPr>
                <w:smallCaps/>
              </w:rPr>
              <w:t>–</w:t>
            </w:r>
            <w:r>
              <w:rPr>
                <w:smallCaps/>
                <w:spacing w:val="-11"/>
              </w:rPr>
              <w:t> </w:t>
            </w:r>
            <w:r>
              <w:rPr>
                <w:smallCaps/>
              </w:rPr>
              <w:t>C</w:t>
            </w:r>
            <w:r>
              <w:rPr>
                <w:smallCaps/>
              </w:rPr>
              <w:t>r</w:t>
            </w:r>
            <w:r>
              <w:rPr>
                <w:smallCaps/>
              </w:rPr>
              <w:t>e</w:t>
            </w:r>
            <w:r>
              <w:rPr>
                <w:smallCaps/>
              </w:rPr>
              <w:t>a</w:t>
            </w:r>
            <w:r>
              <w:rPr>
                <w:smallCaps/>
              </w:rPr>
              <w:t>t</w:t>
            </w:r>
            <w:r>
              <w:rPr>
                <w:smallCaps/>
              </w:rPr>
              <w:t>e</w:t>
            </w:r>
            <w:r>
              <w:rPr>
                <w:smallCaps/>
                <w:spacing w:val="2"/>
              </w:rPr>
              <w:t> </w:t>
            </w:r>
            <w:r>
              <w:rPr>
                <w:smallCaps/>
              </w:rPr>
              <w:t>a</w:t>
            </w:r>
            <w:r>
              <w:rPr>
                <w:smallCaps/>
                <w:spacing w:val="-5"/>
              </w:rPr>
              <w:t> </w:t>
            </w:r>
            <w:r>
              <w:rPr>
                <w:smallCaps/>
              </w:rPr>
              <w:t>D</w:t>
            </w:r>
            <w:r>
              <w:rPr>
                <w:smallCaps/>
              </w:rPr>
              <w:t>i</w:t>
            </w:r>
            <w:r>
              <w:rPr>
                <w:smallCaps/>
              </w:rPr>
              <w:t>s</w:t>
            </w:r>
            <w:r>
              <w:rPr>
                <w:smallCaps/>
              </w:rPr>
              <w:t>a</w:t>
            </w:r>
            <w:r>
              <w:rPr>
                <w:smallCaps/>
              </w:rPr>
              <w:t>b</w:t>
            </w:r>
            <w:r>
              <w:rPr>
                <w:smallCaps/>
              </w:rPr>
              <w:t>i</w:t>
            </w:r>
            <w:r>
              <w:rPr>
                <w:smallCaps/>
              </w:rPr>
              <w:t>l</w:t>
            </w:r>
            <w:r>
              <w:rPr>
                <w:smallCaps/>
              </w:rPr>
              <w:t>it</w:t>
            </w:r>
            <w:r>
              <w:rPr>
                <w:smallCaps/>
              </w:rPr>
              <w:t>y</w:t>
            </w:r>
            <w:r>
              <w:rPr>
                <w:smallCaps/>
                <w:spacing w:val="-2"/>
              </w:rPr>
              <w:t> </w:t>
            </w:r>
            <w:r>
              <w:rPr>
                <w:smallCaps/>
              </w:rPr>
              <w:t>I</w:t>
            </w:r>
            <w:r>
              <w:rPr>
                <w:smallCaps/>
              </w:rPr>
              <w:t>n</w:t>
            </w:r>
            <w:r>
              <w:rPr>
                <w:smallCaps/>
              </w:rPr>
              <w:t>c</w:t>
            </w:r>
            <w:r>
              <w:rPr>
                <w:smallCaps/>
              </w:rPr>
              <w:t>l</w:t>
            </w:r>
            <w:r>
              <w:rPr>
                <w:smallCaps/>
              </w:rPr>
              <w:t>u</w:t>
            </w:r>
            <w:r>
              <w:rPr>
                <w:smallCaps/>
              </w:rPr>
              <w:t>si</w:t>
            </w:r>
            <w:r>
              <w:rPr>
                <w:smallCaps/>
              </w:rPr>
              <w:t>v</w:t>
            </w:r>
            <w:r>
              <w:rPr>
                <w:smallCaps/>
              </w:rPr>
              <w:t>e</w:t>
            </w:r>
            <w:r>
              <w:rPr>
                <w:smallCaps/>
                <w:spacing w:val="-8"/>
              </w:rPr>
              <w:t> </w:t>
            </w:r>
            <w:r>
              <w:rPr>
                <w:smallCaps/>
              </w:rPr>
              <w:t>C</w:t>
            </w:r>
            <w:r>
              <w:rPr>
                <w:smallCaps/>
              </w:rPr>
              <w:t>u</w:t>
            </w:r>
            <w:r>
              <w:rPr>
                <w:smallCaps/>
              </w:rPr>
              <w:t>l</w:t>
            </w:r>
            <w:r>
              <w:rPr>
                <w:smallCaps/>
              </w:rPr>
              <w:t>t</w:t>
            </w:r>
            <w:r>
              <w:rPr>
                <w:smallCaps/>
              </w:rPr>
              <w:t>u</w:t>
            </w:r>
            <w:r>
              <w:rPr>
                <w:smallCaps/>
              </w:rPr>
              <w:t>r</w:t>
            </w:r>
            <w:r>
              <w:rPr>
                <w:smallCaps/>
              </w:rPr>
              <w:t>e</w:t>
            </w:r>
            <w:r>
              <w:rPr>
                <w:smallCaps/>
                <w:spacing w:val="-2"/>
              </w:rPr>
              <w:t> </w:t>
            </w:r>
            <w:r>
              <w:rPr>
                <w:smallCaps/>
              </w:rPr>
              <w:t>a</w:t>
            </w:r>
            <w:r>
              <w:rPr>
                <w:smallCaps/>
              </w:rPr>
              <w:t>n</w:t>
            </w:r>
            <w:r>
              <w:rPr>
                <w:smallCaps/>
              </w:rPr>
              <w:t>d</w:t>
            </w:r>
            <w:r>
              <w:rPr>
                <w:smallCaps/>
                <w:spacing w:val="-6"/>
              </w:rPr>
              <w:t> </w:t>
            </w:r>
            <w:r>
              <w:rPr>
                <w:smallCaps/>
              </w:rPr>
              <w:t>G</w:t>
            </w:r>
            <w:r>
              <w:rPr>
                <w:smallCaps/>
              </w:rPr>
              <w:t>e</w:t>
            </w:r>
            <w:r>
              <w:rPr>
                <w:smallCaps/>
              </w:rPr>
              <w:t>n</w:t>
            </w:r>
            <w:r>
              <w:rPr>
                <w:smallCaps/>
              </w:rPr>
              <w:t>d</w:t>
            </w:r>
            <w:r>
              <w:rPr>
                <w:smallCaps/>
              </w:rPr>
              <w:t>e</w:t>
            </w:r>
            <w:r>
              <w:rPr>
                <w:smallCaps/>
              </w:rPr>
              <w:t>r</w:t>
            </w:r>
            <w:r>
              <w:rPr>
                <w:smallCaps/>
                <w:spacing w:val="-3"/>
              </w:rPr>
              <w:t> </w:t>
            </w:r>
            <w:r>
              <w:rPr>
                <w:smallCaps/>
                <w:spacing w:val="-2"/>
              </w:rPr>
              <w:t>I</w:t>
            </w:r>
            <w:r>
              <w:rPr>
                <w:smallCaps/>
                <w:spacing w:val="-2"/>
              </w:rPr>
              <w:t>n</w:t>
            </w:r>
            <w:r>
              <w:rPr>
                <w:smallCaps/>
                <w:spacing w:val="-2"/>
              </w:rPr>
              <w:t>c</w:t>
            </w:r>
            <w:r>
              <w:rPr>
                <w:smallCaps/>
                <w:spacing w:val="-2"/>
              </w:rPr>
              <w:t>l</w:t>
            </w:r>
            <w:r>
              <w:rPr>
                <w:smallCaps/>
                <w:spacing w:val="-2"/>
              </w:rPr>
              <w:t>u</w:t>
            </w:r>
            <w:r>
              <w:rPr>
                <w:smallCaps/>
                <w:spacing w:val="-2"/>
              </w:rPr>
              <w:t>s</w:t>
            </w:r>
            <w:r>
              <w:rPr>
                <w:smallCaps/>
                <w:spacing w:val="-2"/>
              </w:rPr>
              <w:t>i</w:t>
            </w:r>
            <w:r>
              <w:rPr>
                <w:smallCaps/>
                <w:spacing w:val="-2"/>
              </w:rPr>
              <w:t>o</w:t>
            </w:r>
            <w:r>
              <w:rPr>
                <w:smallCaps/>
                <w:spacing w:val="-2"/>
              </w:rPr>
              <w:t>n</w:t>
            </w:r>
            <w:r>
              <w:rPr>
                <w:smallCaps/>
              </w:rPr>
              <w:tab/>
            </w:r>
            <w:r>
              <w:rPr>
                <w:smallCaps/>
                <w:spacing w:val="-5"/>
              </w:rPr>
              <w:t>12</w:t>
            </w:r>
          </w:hyperlink>
        </w:p>
        <w:p>
          <w:pPr>
            <w:pStyle w:val="TOC1"/>
            <w:numPr>
              <w:ilvl w:val="0"/>
              <w:numId w:val="1"/>
            </w:numPr>
            <w:tabs>
              <w:tab w:pos="1561" w:val="left" w:leader="none"/>
              <w:tab w:pos="1562" w:val="left" w:leader="none"/>
              <w:tab w:pos="9908" w:val="left" w:leader="dot"/>
            </w:tabs>
            <w:spacing w:line="240" w:lineRule="auto" w:before="159" w:after="0"/>
            <w:ind w:left="1561" w:right="0" w:hanging="442"/>
            <w:jc w:val="left"/>
          </w:pPr>
          <w:hyperlink w:history="true" w:anchor="_bookmark15">
            <w:r>
              <w:rPr/>
              <w:t>PAYMENT</w:t>
            </w:r>
            <w:r>
              <w:rPr>
                <w:spacing w:val="-10"/>
              </w:rPr>
              <w:t> </w:t>
            </w:r>
            <w:r>
              <w:rPr>
                <w:spacing w:val="-2"/>
              </w:rPr>
              <w:t>RECOMMENDATION</w:t>
            </w:r>
            <w:r>
              <w:rPr/>
              <w:tab/>
            </w:r>
            <w:r>
              <w:rPr>
                <w:spacing w:val="-5"/>
              </w:rPr>
              <w:t>13</w:t>
            </w:r>
          </w:hyperlink>
        </w:p>
        <w:p>
          <w:pPr>
            <w:pStyle w:val="TOC1"/>
            <w:numPr>
              <w:ilvl w:val="0"/>
              <w:numId w:val="1"/>
            </w:numPr>
            <w:tabs>
              <w:tab w:pos="1561" w:val="left" w:leader="none"/>
              <w:tab w:pos="1562" w:val="left" w:leader="none"/>
              <w:tab w:pos="9908" w:val="left" w:leader="dot"/>
            </w:tabs>
            <w:spacing w:line="240" w:lineRule="auto" w:before="164" w:after="0"/>
            <w:ind w:left="1561" w:right="0" w:hanging="443"/>
            <w:jc w:val="left"/>
          </w:pPr>
          <w:hyperlink w:history="true" w:anchor="_bookmark16">
            <w:r>
              <w:rPr/>
              <w:t>STRENGTHS</w:t>
            </w:r>
            <w:r>
              <w:rPr>
                <w:spacing w:val="-9"/>
              </w:rPr>
              <w:t> </w:t>
            </w:r>
            <w:r>
              <w:rPr/>
              <w:t>AND</w:t>
            </w:r>
            <w:r>
              <w:rPr>
                <w:spacing w:val="-7"/>
              </w:rPr>
              <w:t> </w:t>
            </w:r>
            <w:r>
              <w:rPr/>
              <w:t>WEAKNESSES</w:t>
            </w:r>
            <w:r>
              <w:rPr>
                <w:spacing w:val="-6"/>
              </w:rPr>
              <w:t> </w:t>
            </w:r>
            <w:r>
              <w:rPr/>
              <w:t>OF</w:t>
            </w:r>
            <w:r>
              <w:rPr>
                <w:spacing w:val="-7"/>
              </w:rPr>
              <w:t> </w:t>
            </w:r>
            <w:r>
              <w:rPr/>
              <w:t>2016</w:t>
            </w:r>
            <w:r>
              <w:rPr>
                <w:spacing w:val="-5"/>
              </w:rPr>
              <w:t> </w:t>
            </w:r>
            <w:r>
              <w:rPr/>
              <w:t>PERFORMANCE</w:t>
            </w:r>
            <w:r>
              <w:rPr>
                <w:spacing w:val="-8"/>
              </w:rPr>
              <w:t> </w:t>
            </w:r>
            <w:r>
              <w:rPr>
                <w:spacing w:val="-2"/>
              </w:rPr>
              <w:t>INDICATORS</w:t>
            </w:r>
            <w:r>
              <w:rPr/>
              <w:tab/>
            </w:r>
            <w:r>
              <w:rPr>
                <w:spacing w:val="-5"/>
              </w:rPr>
              <w:t>14</w:t>
            </w:r>
          </w:hyperlink>
        </w:p>
        <w:p>
          <w:pPr>
            <w:pStyle w:val="TOC1"/>
            <w:numPr>
              <w:ilvl w:val="0"/>
              <w:numId w:val="1"/>
            </w:numPr>
            <w:tabs>
              <w:tab w:pos="1561" w:val="left" w:leader="none"/>
              <w:tab w:pos="1562" w:val="left" w:leader="none"/>
              <w:tab w:pos="9909" w:val="left" w:leader="dot"/>
            </w:tabs>
            <w:spacing w:line="240" w:lineRule="auto" w:before="158" w:after="0"/>
            <w:ind w:left="1561" w:right="0" w:hanging="442"/>
            <w:jc w:val="left"/>
          </w:pPr>
          <w:hyperlink w:history="true" w:anchor="_bookmark17">
            <w:r>
              <w:rPr/>
              <w:t>PROPOSED</w:t>
            </w:r>
            <w:r>
              <w:rPr>
                <w:spacing w:val="-7"/>
              </w:rPr>
              <w:t> </w:t>
            </w:r>
            <w:r>
              <w:rPr/>
              <w:t>EDUCATION</w:t>
            </w:r>
            <w:r>
              <w:rPr>
                <w:spacing w:val="-9"/>
              </w:rPr>
              <w:t> </w:t>
            </w:r>
            <w:r>
              <w:rPr/>
              <w:t>TARGETS</w:t>
            </w:r>
            <w:r>
              <w:rPr>
                <w:spacing w:val="-5"/>
              </w:rPr>
              <w:t> </w:t>
            </w:r>
            <w:r>
              <w:rPr/>
              <w:t>AND</w:t>
            </w:r>
            <w:r>
              <w:rPr>
                <w:spacing w:val="-7"/>
              </w:rPr>
              <w:t> </w:t>
            </w:r>
            <w:r>
              <w:rPr/>
              <w:t>INDICATORS</w:t>
            </w:r>
            <w:r>
              <w:rPr>
                <w:spacing w:val="-6"/>
              </w:rPr>
              <w:t> </w:t>
            </w:r>
            <w:r>
              <w:rPr/>
              <w:t>FOR</w:t>
            </w:r>
            <w:r>
              <w:rPr>
                <w:spacing w:val="-6"/>
              </w:rPr>
              <w:t> </w:t>
            </w:r>
            <w:r>
              <w:rPr>
                <w:spacing w:val="-4"/>
              </w:rPr>
              <w:t>2017</w:t>
            </w:r>
            <w:r>
              <w:rPr/>
              <w:tab/>
            </w:r>
            <w:r>
              <w:rPr>
                <w:spacing w:val="-5"/>
              </w:rPr>
              <w:t>14</w:t>
            </w:r>
          </w:hyperlink>
        </w:p>
        <w:p>
          <w:pPr>
            <w:pStyle w:val="TOC1"/>
            <w:tabs>
              <w:tab w:pos="9909" w:val="left" w:leader="dot"/>
            </w:tabs>
            <w:ind w:left="1120" w:firstLine="0"/>
          </w:pPr>
          <w:hyperlink w:history="true" w:anchor="_bookmark18">
            <w:r>
              <w:rPr>
                <w:spacing w:val="-2"/>
              </w:rPr>
              <w:t>APPENDICES</w:t>
            </w:r>
            <w:r>
              <w:rPr/>
              <w:tab/>
            </w:r>
            <w:r>
              <w:rPr>
                <w:spacing w:val="-5"/>
              </w:rPr>
              <w:t>20</w:t>
            </w:r>
          </w:hyperlink>
        </w:p>
        <w:p>
          <w:pPr>
            <w:pStyle w:val="TOC3"/>
            <w:tabs>
              <w:tab w:pos="9908" w:val="left" w:leader="dot"/>
            </w:tabs>
            <w:spacing w:before="43"/>
            <w:ind w:left="1341"/>
          </w:pPr>
          <w:hyperlink w:history="true" w:anchor="_bookmark19">
            <w:r>
              <w:rPr>
                <w:smallCaps/>
              </w:rPr>
              <w:t>Appendix</w:t>
            </w:r>
            <w:r>
              <w:rPr>
                <w:smallCaps/>
                <w:spacing w:val="-10"/>
              </w:rPr>
              <w:t> </w:t>
            </w:r>
            <w:r>
              <w:rPr>
                <w:smallCaps/>
              </w:rPr>
              <w:t>1</w:t>
            </w:r>
            <w:r>
              <w:rPr>
                <w:smallCaps/>
                <w:spacing w:val="-10"/>
              </w:rPr>
              <w:t> </w:t>
            </w:r>
            <w:r>
              <w:rPr>
                <w:smallCaps/>
              </w:rPr>
              <w:t>Education</w:t>
            </w:r>
            <w:r>
              <w:rPr>
                <w:smallCaps/>
                <w:spacing w:val="-6"/>
              </w:rPr>
              <w:t> </w:t>
            </w:r>
            <w:r>
              <w:rPr>
                <w:smallCaps/>
              </w:rPr>
              <w:t>Performance</w:t>
            </w:r>
            <w:r>
              <w:rPr>
                <w:smallCaps/>
                <w:spacing w:val="-2"/>
              </w:rPr>
              <w:t> </w:t>
            </w:r>
            <w:r>
              <w:rPr>
                <w:smallCaps/>
              </w:rPr>
              <w:t>Matrix</w:t>
            </w:r>
            <w:r>
              <w:rPr>
                <w:smallCaps/>
                <w:spacing w:val="-3"/>
              </w:rPr>
              <w:t> </w:t>
            </w:r>
            <w:r>
              <w:rPr>
                <w:smallCaps/>
                <w:spacing w:val="-4"/>
              </w:rPr>
              <w:t>2016</w:t>
            </w:r>
            <w:r>
              <w:rPr>
                <w:smallCaps/>
              </w:rPr>
              <w:tab/>
            </w:r>
            <w:r>
              <w:rPr>
                <w:smallCaps/>
                <w:spacing w:val="-5"/>
              </w:rPr>
              <w:t>21</w:t>
            </w:r>
          </w:hyperlink>
        </w:p>
        <w:p>
          <w:pPr>
            <w:pStyle w:val="TOC3"/>
            <w:tabs>
              <w:tab w:pos="9908" w:val="left" w:leader="dot"/>
            </w:tabs>
            <w:spacing w:before="39"/>
          </w:pPr>
          <w:hyperlink w:history="true" w:anchor="_bookmark20">
            <w:r>
              <w:rPr>
                <w:smallCaps/>
              </w:rPr>
              <w:t>Appendix</w:t>
            </w:r>
            <w:r>
              <w:rPr>
                <w:smallCaps/>
                <w:spacing w:val="-2"/>
              </w:rPr>
              <w:t> </w:t>
            </w:r>
            <w:r>
              <w:rPr>
                <w:smallCaps/>
              </w:rPr>
              <w:t>2</w:t>
            </w:r>
            <w:r>
              <w:rPr>
                <w:smallCaps/>
                <w:spacing w:val="-10"/>
              </w:rPr>
              <w:t> </w:t>
            </w:r>
            <w:r>
              <w:rPr>
                <w:smallCaps/>
              </w:rPr>
              <w:t>Terms</w:t>
            </w:r>
            <w:r>
              <w:rPr>
                <w:smallCaps/>
                <w:spacing w:val="-1"/>
              </w:rPr>
              <w:t> </w:t>
            </w:r>
            <w:r>
              <w:rPr>
                <w:smallCaps/>
              </w:rPr>
              <w:t>of</w:t>
            </w:r>
            <w:r>
              <w:rPr>
                <w:smallCaps/>
                <w:spacing w:val="-6"/>
              </w:rPr>
              <w:t> </w:t>
            </w:r>
            <w:r>
              <w:rPr>
                <w:smallCaps/>
                <w:spacing w:val="-2"/>
              </w:rPr>
              <w:t>Reference</w:t>
            </w:r>
            <w:r>
              <w:rPr>
                <w:smallCaps/>
              </w:rPr>
              <w:tab/>
            </w:r>
            <w:r>
              <w:rPr>
                <w:smallCaps/>
                <w:spacing w:val="-5"/>
              </w:rPr>
              <w:t>25</w:t>
            </w:r>
          </w:hyperlink>
        </w:p>
        <w:p>
          <w:pPr>
            <w:pStyle w:val="TOC3"/>
            <w:tabs>
              <w:tab w:pos="9908" w:val="left" w:leader="dot"/>
            </w:tabs>
          </w:pPr>
          <w:hyperlink w:history="true" w:anchor="_bookmark21">
            <w:r>
              <w:rPr>
                <w:smallCaps/>
              </w:rPr>
              <w:t>Appendix</w:t>
            </w:r>
            <w:r>
              <w:rPr>
                <w:smallCaps/>
                <w:spacing w:val="-10"/>
              </w:rPr>
              <w:t> </w:t>
            </w:r>
            <w:r>
              <w:rPr>
                <w:smallCaps/>
              </w:rPr>
              <w:t>3</w:t>
            </w:r>
            <w:r>
              <w:rPr>
                <w:smallCaps/>
                <w:spacing w:val="-10"/>
              </w:rPr>
              <w:t> </w:t>
            </w:r>
            <w:r>
              <w:rPr>
                <w:smallCaps/>
              </w:rPr>
              <w:t>Mid-Year</w:t>
            </w:r>
            <w:r>
              <w:rPr>
                <w:smallCaps/>
                <w:spacing w:val="-1"/>
              </w:rPr>
              <w:t> </w:t>
            </w:r>
            <w:r>
              <w:rPr>
                <w:smallCaps/>
              </w:rPr>
              <w:t>Review</w:t>
            </w:r>
            <w:r>
              <w:rPr>
                <w:smallCaps/>
                <w:spacing w:val="-1"/>
              </w:rPr>
              <w:t> </w:t>
            </w:r>
            <w:r>
              <w:rPr>
                <w:smallCaps/>
              </w:rPr>
              <w:t>-</w:t>
            </w:r>
            <w:r>
              <w:rPr>
                <w:smallCaps/>
                <w:spacing w:val="-12"/>
              </w:rPr>
              <w:t> </w:t>
            </w:r>
            <w:r>
              <w:rPr>
                <w:smallCaps/>
              </w:rPr>
              <w:t>Workshop</w:t>
            </w:r>
            <w:r>
              <w:rPr>
                <w:smallCaps/>
                <w:spacing w:val="-5"/>
              </w:rPr>
              <w:t> </w:t>
            </w:r>
            <w:r>
              <w:rPr>
                <w:smallCaps/>
                <w:spacing w:val="-2"/>
              </w:rPr>
              <w:t>Agenda</w:t>
            </w:r>
            <w:r>
              <w:rPr>
                <w:smallCaps/>
              </w:rPr>
              <w:tab/>
            </w:r>
            <w:r>
              <w:rPr>
                <w:smallCaps/>
                <w:spacing w:val="-5"/>
              </w:rPr>
              <w:t>28</w:t>
            </w:r>
          </w:hyperlink>
        </w:p>
        <w:p>
          <w:pPr>
            <w:pStyle w:val="TOC3"/>
            <w:tabs>
              <w:tab w:pos="9908" w:val="left" w:leader="dot"/>
            </w:tabs>
            <w:spacing w:before="44"/>
          </w:pPr>
          <w:hyperlink w:history="true" w:anchor="_bookmark22">
            <w:r>
              <w:rPr>
                <w:smallCaps/>
              </w:rPr>
              <w:t>Appendix</w:t>
            </w:r>
            <w:r>
              <w:rPr>
                <w:smallCaps/>
                <w:spacing w:val="-11"/>
              </w:rPr>
              <w:t> </w:t>
            </w:r>
            <w:r>
              <w:rPr>
                <w:smallCaps/>
              </w:rPr>
              <w:t>4</w:t>
            </w:r>
            <w:r>
              <w:rPr>
                <w:smallCaps/>
                <w:spacing w:val="-10"/>
              </w:rPr>
              <w:t> </w:t>
            </w:r>
            <w:r>
              <w:rPr>
                <w:smallCaps/>
              </w:rPr>
              <w:t>Budget</w:t>
            </w:r>
            <w:r>
              <w:rPr>
                <w:smallCaps/>
                <w:spacing w:val="-6"/>
              </w:rPr>
              <w:t> </w:t>
            </w:r>
            <w:r>
              <w:rPr>
                <w:smallCaps/>
              </w:rPr>
              <w:t>Allocation</w:t>
            </w:r>
            <w:r>
              <w:rPr>
                <w:smallCaps/>
                <w:spacing w:val="-4"/>
              </w:rPr>
              <w:t> </w:t>
            </w:r>
            <w:r>
              <w:rPr>
                <w:smallCaps/>
              </w:rPr>
              <w:t>for</w:t>
            </w:r>
            <w:r>
              <w:rPr>
                <w:smallCaps/>
                <w:spacing w:val="-5"/>
              </w:rPr>
              <w:t> </w:t>
            </w:r>
            <w:r>
              <w:rPr>
                <w:smallCaps/>
              </w:rPr>
              <w:t>Education 2015</w:t>
            </w:r>
            <w:r>
              <w:rPr>
                <w:smallCaps/>
                <w:spacing w:val="-10"/>
              </w:rPr>
              <w:t> </w:t>
            </w:r>
            <w:r>
              <w:rPr>
                <w:smallCaps/>
              </w:rPr>
              <w:t>&amp;</w:t>
            </w:r>
            <w:r>
              <w:rPr>
                <w:smallCaps/>
                <w:spacing w:val="-11"/>
              </w:rPr>
              <w:t> </w:t>
            </w:r>
            <w:r>
              <w:rPr>
                <w:smallCaps/>
                <w:spacing w:val="-4"/>
              </w:rPr>
              <w:t>2016</w:t>
            </w:r>
            <w:r>
              <w:rPr>
                <w:smallCaps/>
              </w:rPr>
              <w:tab/>
            </w:r>
            <w:r>
              <w:rPr>
                <w:smallCaps/>
                <w:spacing w:val="-5"/>
              </w:rPr>
              <w:t>30</w:t>
            </w:r>
          </w:hyperlink>
        </w:p>
        <w:p>
          <w:pPr>
            <w:pStyle w:val="TOC3"/>
            <w:tabs>
              <w:tab w:pos="9908" w:val="left" w:leader="dot"/>
            </w:tabs>
            <w:spacing w:before="39"/>
          </w:pPr>
          <w:hyperlink w:history="true" w:anchor="_bookmark23">
            <w:r>
              <w:rPr>
                <w:smallCaps/>
              </w:rPr>
              <w:t>Appendix</w:t>
            </w:r>
            <w:r>
              <w:rPr>
                <w:smallCaps/>
                <w:spacing w:val="-11"/>
              </w:rPr>
              <w:t> </w:t>
            </w:r>
            <w:r>
              <w:rPr>
                <w:smallCaps/>
              </w:rPr>
              <w:t>5</w:t>
            </w:r>
            <w:r>
              <w:rPr>
                <w:smallCaps/>
                <w:spacing w:val="-10"/>
              </w:rPr>
              <w:t> </w:t>
            </w:r>
            <w:r>
              <w:rPr>
                <w:smallCaps/>
              </w:rPr>
              <w:t>Scholarships</w:t>
            </w:r>
            <w:r>
              <w:rPr>
                <w:smallCaps/>
                <w:spacing w:val="-8"/>
              </w:rPr>
              <w:t> </w:t>
            </w:r>
            <w:r>
              <w:rPr>
                <w:smallCaps/>
              </w:rPr>
              <w:t>Allocations</w:t>
            </w:r>
            <w:r>
              <w:rPr>
                <w:smallCaps/>
                <w:spacing w:val="-4"/>
              </w:rPr>
              <w:t> </w:t>
            </w:r>
            <w:r>
              <w:rPr>
                <w:smallCaps/>
              </w:rPr>
              <w:t>–</w:t>
            </w:r>
            <w:r>
              <w:rPr>
                <w:smallCaps/>
                <w:spacing w:val="-11"/>
              </w:rPr>
              <w:t> </w:t>
            </w:r>
            <w:r>
              <w:rPr>
                <w:smallCaps/>
              </w:rPr>
              <w:t>2015</w:t>
            </w:r>
            <w:r>
              <w:rPr>
                <w:smallCaps/>
                <w:spacing w:val="-10"/>
              </w:rPr>
              <w:t> </w:t>
            </w:r>
            <w:r>
              <w:rPr>
                <w:smallCaps/>
              </w:rPr>
              <w:t>&amp;</w:t>
            </w:r>
            <w:r>
              <w:rPr>
                <w:smallCaps/>
                <w:spacing w:val="-11"/>
              </w:rPr>
              <w:t> </w:t>
            </w:r>
            <w:r>
              <w:rPr>
                <w:smallCaps/>
                <w:spacing w:val="-4"/>
              </w:rPr>
              <w:t>2016</w:t>
            </w:r>
            <w:r>
              <w:rPr>
                <w:smallCaps/>
              </w:rPr>
              <w:tab/>
            </w:r>
            <w:r>
              <w:rPr>
                <w:smallCaps/>
                <w:spacing w:val="-5"/>
              </w:rPr>
              <w:t>32</w:t>
            </w:r>
          </w:hyperlink>
        </w:p>
        <w:p>
          <w:pPr>
            <w:pStyle w:val="TOC3"/>
            <w:tabs>
              <w:tab w:pos="9908" w:val="left" w:leader="dot"/>
            </w:tabs>
          </w:pPr>
          <w:hyperlink w:history="true" w:anchor="_bookmark24">
            <w:r>
              <w:rPr>
                <w:smallCaps/>
              </w:rPr>
              <w:t>Appendix</w:t>
            </w:r>
            <w:r>
              <w:rPr>
                <w:smallCaps/>
                <w:spacing w:val="-9"/>
              </w:rPr>
              <w:t> </w:t>
            </w:r>
            <w:r>
              <w:rPr>
                <w:smallCaps/>
              </w:rPr>
              <w:t>6</w:t>
            </w:r>
            <w:r>
              <w:rPr>
                <w:smallCaps/>
                <w:spacing w:val="-11"/>
              </w:rPr>
              <w:t> </w:t>
            </w:r>
            <w:r>
              <w:rPr>
                <w:smallCaps/>
              </w:rPr>
              <w:t>Transition</w:t>
            </w:r>
            <w:r>
              <w:rPr>
                <w:smallCaps/>
                <w:spacing w:val="-2"/>
              </w:rPr>
              <w:t> </w:t>
            </w:r>
            <w:r>
              <w:rPr>
                <w:smallCaps/>
              </w:rPr>
              <w:t>rates</w:t>
            </w:r>
            <w:r>
              <w:rPr>
                <w:smallCaps/>
                <w:spacing w:val="-3"/>
              </w:rPr>
              <w:t> </w:t>
            </w:r>
            <w:r>
              <w:rPr>
                <w:smallCaps/>
              </w:rPr>
              <w:t>-</w:t>
            </w:r>
            <w:r>
              <w:rPr>
                <w:smallCaps/>
                <w:spacing w:val="-12"/>
              </w:rPr>
              <w:t> </w:t>
            </w:r>
            <w:r>
              <w:rPr>
                <w:smallCaps/>
              </w:rPr>
              <w:t>Boys</w:t>
            </w:r>
            <w:r>
              <w:rPr>
                <w:smallCaps/>
                <w:spacing w:val="-2"/>
              </w:rPr>
              <w:t> </w:t>
            </w:r>
            <w:r>
              <w:rPr>
                <w:smallCaps/>
              </w:rPr>
              <w:t>&amp;</w:t>
            </w:r>
            <w:r>
              <w:rPr>
                <w:smallCaps/>
                <w:spacing w:val="-11"/>
              </w:rPr>
              <w:t> </w:t>
            </w:r>
            <w:r>
              <w:rPr>
                <w:smallCaps/>
              </w:rPr>
              <w:t>Girls:</w:t>
            </w:r>
            <w:r>
              <w:rPr>
                <w:smallCaps/>
                <w:spacing w:val="-10"/>
              </w:rPr>
              <w:t> </w:t>
            </w:r>
            <w:r>
              <w:rPr>
                <w:smallCaps/>
              </w:rPr>
              <w:t>2012</w:t>
            </w:r>
            <w:r>
              <w:rPr>
                <w:smallCaps/>
                <w:spacing w:val="-10"/>
              </w:rPr>
              <w:t> </w:t>
            </w:r>
            <w:r>
              <w:rPr>
                <w:smallCaps/>
              </w:rPr>
              <w:t>to</w:t>
            </w:r>
            <w:r>
              <w:rPr>
                <w:smallCaps/>
                <w:spacing w:val="-6"/>
              </w:rPr>
              <w:t> </w:t>
            </w:r>
            <w:r>
              <w:rPr>
                <w:smallCaps/>
                <w:spacing w:val="-4"/>
              </w:rPr>
              <w:t>2016</w:t>
            </w:r>
            <w:r>
              <w:rPr>
                <w:smallCaps/>
              </w:rPr>
              <w:tab/>
            </w:r>
            <w:r>
              <w:rPr>
                <w:smallCaps/>
                <w:spacing w:val="-5"/>
              </w:rPr>
              <w:t>34</w:t>
            </w:r>
          </w:hyperlink>
        </w:p>
      </w:sdtContent>
    </w:sdt>
    <w:p>
      <w:pPr>
        <w:spacing w:after="0"/>
        <w:sectPr>
          <w:pgSz w:w="11900" w:h="16840"/>
          <w:pgMar w:header="751" w:footer="729" w:top="1640" w:bottom="920" w:left="320" w:right="260"/>
        </w:sectPr>
      </w:pPr>
    </w:p>
    <w:p>
      <w:pPr>
        <w:pStyle w:val="BodyText"/>
        <w:spacing w:before="46"/>
        <w:ind w:left="1120"/>
      </w:pPr>
      <w:bookmarkStart w:name="Acronyms and abbreviations" w:id="3"/>
      <w:bookmarkEnd w:id="3"/>
      <w:r>
        <w:rPr/>
      </w:r>
      <w:bookmarkStart w:name="_bookmark1" w:id="4"/>
      <w:bookmarkEnd w:id="4"/>
      <w:r>
        <w:rPr/>
      </w:r>
      <w:r>
        <w:rPr>
          <w:sz w:val="28"/>
        </w:rPr>
        <w:t>A</w:t>
      </w:r>
      <w:r>
        <w:rPr/>
        <w:t>CRONYMS</w:t>
      </w:r>
      <w:r>
        <w:rPr>
          <w:spacing w:val="27"/>
        </w:rPr>
        <w:t> </w:t>
      </w:r>
      <w:r>
        <w:rPr/>
        <w:t>AND</w:t>
      </w:r>
      <w:r>
        <w:rPr>
          <w:spacing w:val="26"/>
        </w:rPr>
        <w:t> </w:t>
      </w:r>
      <w:r>
        <w:rPr>
          <w:spacing w:val="-2"/>
        </w:rPr>
        <w:t>ABBREVIATIONS</w:t>
      </w:r>
    </w:p>
    <w:p>
      <w:pPr>
        <w:pStyle w:val="BodyText"/>
        <w:rPr>
          <w:sz w:val="20"/>
        </w:rPr>
      </w:pPr>
    </w:p>
    <w:p>
      <w:pPr>
        <w:pStyle w:val="BodyText"/>
        <w:spacing w:before="11"/>
        <w:rPr>
          <w:sz w:val="28"/>
        </w:rPr>
      </w:pPr>
    </w:p>
    <w:tbl>
      <w:tblPr>
        <w:tblW w:w="0" w:type="auto"/>
        <w:jc w:val="left"/>
        <w:tblInd w:w="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0"/>
        <w:gridCol w:w="5642"/>
      </w:tblGrid>
      <w:tr>
        <w:trPr>
          <w:trHeight w:val="235" w:hRule="atLeast"/>
        </w:trPr>
        <w:tc>
          <w:tcPr>
            <w:tcW w:w="1440" w:type="dxa"/>
          </w:tcPr>
          <w:p>
            <w:pPr>
              <w:pStyle w:val="TableParagraph"/>
              <w:spacing w:line="215" w:lineRule="exact"/>
              <w:ind w:left="50"/>
              <w:rPr>
                <w:rFonts w:ascii="Calibri Light"/>
                <w:b w:val="0"/>
                <w:sz w:val="21"/>
              </w:rPr>
            </w:pPr>
            <w:r>
              <w:rPr>
                <w:rFonts w:ascii="Calibri Light"/>
                <w:b w:val="0"/>
                <w:spacing w:val="-5"/>
                <w:sz w:val="21"/>
              </w:rPr>
              <w:t>AWP</w:t>
            </w:r>
          </w:p>
        </w:tc>
        <w:tc>
          <w:tcPr>
            <w:tcW w:w="5642" w:type="dxa"/>
          </w:tcPr>
          <w:p>
            <w:pPr>
              <w:pStyle w:val="TableParagraph"/>
              <w:spacing w:line="215" w:lineRule="exact"/>
              <w:ind w:left="741"/>
              <w:rPr>
                <w:rFonts w:ascii="Calibri Light"/>
                <w:b w:val="0"/>
                <w:sz w:val="21"/>
              </w:rPr>
            </w:pPr>
            <w:r>
              <w:rPr>
                <w:rFonts w:ascii="Calibri Light"/>
                <w:b w:val="0"/>
                <w:sz w:val="21"/>
              </w:rPr>
              <w:t>Annual</w:t>
            </w:r>
            <w:r>
              <w:rPr>
                <w:rFonts w:ascii="Calibri Light"/>
                <w:b w:val="0"/>
                <w:spacing w:val="-7"/>
                <w:sz w:val="21"/>
              </w:rPr>
              <w:t> </w:t>
            </w:r>
            <w:r>
              <w:rPr>
                <w:rFonts w:ascii="Calibri Light"/>
                <w:b w:val="0"/>
                <w:sz w:val="21"/>
              </w:rPr>
              <w:t>Work</w:t>
            </w:r>
            <w:r>
              <w:rPr>
                <w:rFonts w:ascii="Calibri Light"/>
                <w:b w:val="0"/>
                <w:spacing w:val="-3"/>
                <w:sz w:val="21"/>
              </w:rPr>
              <w:t> </w:t>
            </w:r>
            <w:r>
              <w:rPr>
                <w:rFonts w:ascii="Calibri Light"/>
                <w:b w:val="0"/>
                <w:spacing w:val="-4"/>
                <w:sz w:val="21"/>
              </w:rPr>
              <w:t>Plan</w:t>
            </w:r>
          </w:p>
        </w:tc>
      </w:tr>
      <w:tr>
        <w:trPr>
          <w:trHeight w:val="256" w:hRule="atLeast"/>
        </w:trPr>
        <w:tc>
          <w:tcPr>
            <w:tcW w:w="1440" w:type="dxa"/>
          </w:tcPr>
          <w:p>
            <w:pPr>
              <w:pStyle w:val="TableParagraph"/>
              <w:spacing w:line="237" w:lineRule="exact"/>
              <w:ind w:left="50"/>
              <w:rPr>
                <w:rFonts w:ascii="Calibri Light"/>
                <w:b w:val="0"/>
                <w:sz w:val="21"/>
              </w:rPr>
            </w:pPr>
            <w:r>
              <w:rPr>
                <w:rFonts w:ascii="Calibri Light"/>
                <w:b w:val="0"/>
                <w:spacing w:val="-4"/>
                <w:sz w:val="21"/>
              </w:rPr>
              <w:t>DFAT</w:t>
            </w:r>
          </w:p>
        </w:tc>
        <w:tc>
          <w:tcPr>
            <w:tcW w:w="5642" w:type="dxa"/>
          </w:tcPr>
          <w:p>
            <w:pPr>
              <w:pStyle w:val="TableParagraph"/>
              <w:spacing w:line="237" w:lineRule="exact"/>
              <w:ind w:left="741"/>
              <w:rPr>
                <w:rFonts w:ascii="Calibri Light"/>
                <w:b w:val="0"/>
                <w:sz w:val="21"/>
              </w:rPr>
            </w:pPr>
            <w:r>
              <w:rPr>
                <w:rFonts w:ascii="Calibri Light"/>
                <w:b w:val="0"/>
                <w:sz w:val="21"/>
              </w:rPr>
              <w:t>Department</w:t>
            </w:r>
            <w:r>
              <w:rPr>
                <w:rFonts w:ascii="Calibri Light"/>
                <w:b w:val="0"/>
                <w:spacing w:val="-7"/>
                <w:sz w:val="21"/>
              </w:rPr>
              <w:t> </w:t>
            </w:r>
            <w:r>
              <w:rPr>
                <w:rFonts w:ascii="Calibri Light"/>
                <w:b w:val="0"/>
                <w:sz w:val="21"/>
              </w:rPr>
              <w:t>of</w:t>
            </w:r>
            <w:r>
              <w:rPr>
                <w:rFonts w:ascii="Calibri Light"/>
                <w:b w:val="0"/>
                <w:spacing w:val="-6"/>
                <w:sz w:val="21"/>
              </w:rPr>
              <w:t> </w:t>
            </w:r>
            <w:r>
              <w:rPr>
                <w:rFonts w:ascii="Calibri Light"/>
                <w:b w:val="0"/>
                <w:sz w:val="21"/>
              </w:rPr>
              <w:t>Foreign</w:t>
            </w:r>
            <w:r>
              <w:rPr>
                <w:rFonts w:ascii="Calibri Light"/>
                <w:b w:val="0"/>
                <w:spacing w:val="-4"/>
                <w:sz w:val="21"/>
              </w:rPr>
              <w:t> </w:t>
            </w:r>
            <w:r>
              <w:rPr>
                <w:rFonts w:ascii="Calibri Light"/>
                <w:b w:val="0"/>
                <w:sz w:val="21"/>
              </w:rPr>
              <w:t>Affairs</w:t>
            </w:r>
            <w:r>
              <w:rPr>
                <w:rFonts w:ascii="Calibri Light"/>
                <w:b w:val="0"/>
                <w:spacing w:val="-5"/>
                <w:sz w:val="21"/>
              </w:rPr>
              <w:t> </w:t>
            </w:r>
            <w:r>
              <w:rPr>
                <w:rFonts w:ascii="Calibri Light"/>
                <w:b w:val="0"/>
                <w:sz w:val="21"/>
              </w:rPr>
              <w:t>and</w:t>
            </w:r>
            <w:r>
              <w:rPr>
                <w:rFonts w:ascii="Calibri Light"/>
                <w:b w:val="0"/>
                <w:spacing w:val="-4"/>
                <w:sz w:val="21"/>
              </w:rPr>
              <w:t> </w:t>
            </w:r>
            <w:r>
              <w:rPr>
                <w:rFonts w:ascii="Calibri Light"/>
                <w:b w:val="0"/>
                <w:sz w:val="21"/>
              </w:rPr>
              <w:t>Trade</w:t>
            </w:r>
            <w:r>
              <w:rPr>
                <w:rFonts w:ascii="Calibri Light"/>
                <w:b w:val="0"/>
                <w:spacing w:val="-4"/>
                <w:sz w:val="21"/>
              </w:rPr>
              <w:t> (GoA)</w:t>
            </w:r>
          </w:p>
        </w:tc>
      </w:tr>
      <w:tr>
        <w:trPr>
          <w:trHeight w:val="256" w:hRule="atLeast"/>
        </w:trPr>
        <w:tc>
          <w:tcPr>
            <w:tcW w:w="1440" w:type="dxa"/>
          </w:tcPr>
          <w:p>
            <w:pPr>
              <w:pStyle w:val="TableParagraph"/>
              <w:spacing w:line="236" w:lineRule="exact"/>
              <w:ind w:left="50"/>
              <w:rPr>
                <w:rFonts w:ascii="Calibri Light"/>
                <w:b w:val="0"/>
                <w:sz w:val="21"/>
              </w:rPr>
            </w:pPr>
            <w:r>
              <w:rPr>
                <w:rFonts w:ascii="Calibri Light"/>
                <w:b w:val="0"/>
                <w:spacing w:val="-5"/>
                <w:sz w:val="21"/>
              </w:rPr>
              <w:t>EA</w:t>
            </w:r>
          </w:p>
        </w:tc>
        <w:tc>
          <w:tcPr>
            <w:tcW w:w="5642" w:type="dxa"/>
          </w:tcPr>
          <w:p>
            <w:pPr>
              <w:pStyle w:val="TableParagraph"/>
              <w:spacing w:line="236" w:lineRule="exact"/>
              <w:ind w:left="741"/>
              <w:rPr>
                <w:rFonts w:ascii="Calibri Light"/>
                <w:b w:val="0"/>
                <w:sz w:val="21"/>
              </w:rPr>
            </w:pPr>
            <w:r>
              <w:rPr>
                <w:rFonts w:ascii="Calibri Light"/>
                <w:b w:val="0"/>
                <w:sz w:val="21"/>
              </w:rPr>
              <w:t>Education</w:t>
            </w:r>
            <w:r>
              <w:rPr>
                <w:rFonts w:ascii="Calibri Light"/>
                <w:b w:val="0"/>
                <w:spacing w:val="-7"/>
                <w:sz w:val="21"/>
              </w:rPr>
              <w:t> </w:t>
            </w:r>
            <w:r>
              <w:rPr>
                <w:rFonts w:ascii="Calibri Light"/>
                <w:b w:val="0"/>
                <w:spacing w:val="-2"/>
                <w:sz w:val="21"/>
              </w:rPr>
              <w:t>Authority</w:t>
            </w:r>
          </w:p>
        </w:tc>
      </w:tr>
      <w:tr>
        <w:trPr>
          <w:trHeight w:val="275" w:hRule="atLeast"/>
        </w:trPr>
        <w:tc>
          <w:tcPr>
            <w:tcW w:w="1440" w:type="dxa"/>
          </w:tcPr>
          <w:p>
            <w:pPr>
              <w:pStyle w:val="TableParagraph"/>
              <w:spacing w:line="239" w:lineRule="exact"/>
              <w:ind w:left="50"/>
              <w:rPr>
                <w:rFonts w:ascii="Calibri Light"/>
                <w:b w:val="0"/>
                <w:sz w:val="21"/>
              </w:rPr>
            </w:pPr>
            <w:r>
              <w:rPr>
                <w:rFonts w:ascii="Calibri Light"/>
                <w:b w:val="0"/>
                <w:spacing w:val="-5"/>
                <w:sz w:val="21"/>
              </w:rPr>
              <w:t>EPM</w:t>
            </w:r>
          </w:p>
        </w:tc>
        <w:tc>
          <w:tcPr>
            <w:tcW w:w="5642" w:type="dxa"/>
          </w:tcPr>
          <w:p>
            <w:pPr>
              <w:pStyle w:val="TableParagraph"/>
              <w:spacing w:line="239" w:lineRule="exact"/>
              <w:ind w:left="741"/>
              <w:rPr>
                <w:rFonts w:ascii="Calibri Light"/>
                <w:b w:val="0"/>
                <w:sz w:val="21"/>
              </w:rPr>
            </w:pPr>
            <w:r>
              <w:rPr>
                <w:rFonts w:ascii="Calibri Light"/>
                <w:b w:val="0"/>
                <w:sz w:val="21"/>
              </w:rPr>
              <w:t>Education</w:t>
            </w:r>
            <w:r>
              <w:rPr>
                <w:rFonts w:ascii="Calibri Light"/>
                <w:b w:val="0"/>
                <w:spacing w:val="-12"/>
                <w:sz w:val="21"/>
              </w:rPr>
              <w:t> </w:t>
            </w:r>
            <w:r>
              <w:rPr>
                <w:rFonts w:ascii="Calibri Light"/>
                <w:b w:val="0"/>
                <w:sz w:val="21"/>
              </w:rPr>
              <w:t>Performance</w:t>
            </w:r>
            <w:r>
              <w:rPr>
                <w:rFonts w:ascii="Calibri Light"/>
                <w:b w:val="0"/>
                <w:spacing w:val="-6"/>
                <w:sz w:val="21"/>
              </w:rPr>
              <w:t> </w:t>
            </w:r>
            <w:r>
              <w:rPr>
                <w:rFonts w:ascii="Calibri Light"/>
                <w:b w:val="0"/>
                <w:spacing w:val="-2"/>
                <w:sz w:val="21"/>
              </w:rPr>
              <w:t>Matrix</w:t>
            </w:r>
          </w:p>
        </w:tc>
      </w:tr>
      <w:tr>
        <w:trPr>
          <w:trHeight w:val="273" w:hRule="atLeast"/>
        </w:trPr>
        <w:tc>
          <w:tcPr>
            <w:tcW w:w="1440" w:type="dxa"/>
          </w:tcPr>
          <w:p>
            <w:pPr>
              <w:pStyle w:val="TableParagraph"/>
              <w:spacing w:line="254" w:lineRule="exact"/>
              <w:ind w:left="50"/>
              <w:rPr>
                <w:rFonts w:ascii="Calibri Light"/>
                <w:b w:val="0"/>
                <w:sz w:val="21"/>
              </w:rPr>
            </w:pPr>
            <w:r>
              <w:rPr>
                <w:rFonts w:ascii="Calibri Light"/>
                <w:b w:val="0"/>
                <w:spacing w:val="-5"/>
                <w:sz w:val="21"/>
              </w:rPr>
              <w:t>GoA</w:t>
            </w:r>
          </w:p>
        </w:tc>
        <w:tc>
          <w:tcPr>
            <w:tcW w:w="5642" w:type="dxa"/>
          </w:tcPr>
          <w:p>
            <w:pPr>
              <w:pStyle w:val="TableParagraph"/>
              <w:spacing w:line="254" w:lineRule="exact"/>
              <w:ind w:left="741"/>
              <w:rPr>
                <w:rFonts w:ascii="Calibri Light"/>
                <w:b w:val="0"/>
                <w:sz w:val="21"/>
              </w:rPr>
            </w:pPr>
            <w:r>
              <w:rPr>
                <w:rFonts w:ascii="Calibri Light"/>
                <w:b w:val="0"/>
                <w:sz w:val="21"/>
              </w:rPr>
              <w:t>Government</w:t>
            </w:r>
            <w:r>
              <w:rPr>
                <w:rFonts w:ascii="Calibri Light"/>
                <w:b w:val="0"/>
                <w:spacing w:val="-4"/>
                <w:sz w:val="21"/>
              </w:rPr>
              <w:t> </w:t>
            </w:r>
            <w:r>
              <w:rPr>
                <w:rFonts w:ascii="Calibri Light"/>
                <w:b w:val="0"/>
                <w:sz w:val="21"/>
              </w:rPr>
              <w:t>of</w:t>
            </w:r>
            <w:r>
              <w:rPr>
                <w:rFonts w:ascii="Calibri Light"/>
                <w:b w:val="0"/>
                <w:spacing w:val="-3"/>
                <w:sz w:val="21"/>
              </w:rPr>
              <w:t> </w:t>
            </w:r>
            <w:r>
              <w:rPr>
                <w:rFonts w:ascii="Calibri Light"/>
                <w:b w:val="0"/>
                <w:spacing w:val="-2"/>
                <w:sz w:val="21"/>
              </w:rPr>
              <w:t>Australia</w:t>
            </w:r>
          </w:p>
        </w:tc>
      </w:tr>
      <w:tr>
        <w:trPr>
          <w:trHeight w:val="254" w:hRule="atLeast"/>
        </w:trPr>
        <w:tc>
          <w:tcPr>
            <w:tcW w:w="1440" w:type="dxa"/>
          </w:tcPr>
          <w:p>
            <w:pPr>
              <w:pStyle w:val="TableParagraph"/>
              <w:spacing w:line="234" w:lineRule="exact"/>
              <w:ind w:left="50"/>
              <w:rPr>
                <w:rFonts w:ascii="Calibri Light"/>
                <w:b w:val="0"/>
                <w:sz w:val="21"/>
              </w:rPr>
            </w:pPr>
            <w:r>
              <w:rPr>
                <w:rFonts w:ascii="Calibri Light"/>
                <w:b w:val="0"/>
                <w:spacing w:val="-5"/>
                <w:sz w:val="21"/>
              </w:rPr>
              <w:t>GPI</w:t>
            </w:r>
          </w:p>
        </w:tc>
        <w:tc>
          <w:tcPr>
            <w:tcW w:w="5642" w:type="dxa"/>
          </w:tcPr>
          <w:p>
            <w:pPr>
              <w:pStyle w:val="TableParagraph"/>
              <w:spacing w:line="234" w:lineRule="exact"/>
              <w:ind w:left="741"/>
              <w:rPr>
                <w:rFonts w:ascii="Calibri Light"/>
                <w:b w:val="0"/>
                <w:sz w:val="21"/>
              </w:rPr>
            </w:pPr>
            <w:r>
              <w:rPr>
                <w:rFonts w:ascii="Calibri Light"/>
                <w:b w:val="0"/>
                <w:sz w:val="21"/>
              </w:rPr>
              <w:t>Gender</w:t>
            </w:r>
            <w:r>
              <w:rPr>
                <w:rFonts w:ascii="Calibri Light"/>
                <w:b w:val="0"/>
                <w:spacing w:val="-5"/>
                <w:sz w:val="21"/>
              </w:rPr>
              <w:t> </w:t>
            </w:r>
            <w:r>
              <w:rPr>
                <w:rFonts w:ascii="Calibri Light"/>
                <w:b w:val="0"/>
                <w:sz w:val="21"/>
              </w:rPr>
              <w:t>Parity</w:t>
            </w:r>
            <w:r>
              <w:rPr>
                <w:rFonts w:ascii="Calibri Light"/>
                <w:b w:val="0"/>
                <w:spacing w:val="-4"/>
                <w:sz w:val="21"/>
              </w:rPr>
              <w:t> </w:t>
            </w:r>
            <w:r>
              <w:rPr>
                <w:rFonts w:ascii="Calibri Light"/>
                <w:b w:val="0"/>
                <w:spacing w:val="-2"/>
                <w:sz w:val="21"/>
              </w:rPr>
              <w:t>Index</w:t>
            </w:r>
          </w:p>
        </w:tc>
      </w:tr>
      <w:tr>
        <w:trPr>
          <w:trHeight w:val="256" w:hRule="atLeast"/>
        </w:trPr>
        <w:tc>
          <w:tcPr>
            <w:tcW w:w="1440" w:type="dxa"/>
          </w:tcPr>
          <w:p>
            <w:pPr>
              <w:pStyle w:val="TableParagraph"/>
              <w:spacing w:line="236" w:lineRule="exact"/>
              <w:ind w:left="50"/>
              <w:rPr>
                <w:rFonts w:ascii="Calibri Light"/>
                <w:b w:val="0"/>
                <w:sz w:val="21"/>
              </w:rPr>
            </w:pPr>
            <w:r>
              <w:rPr>
                <w:rFonts w:ascii="Calibri Light"/>
                <w:b w:val="0"/>
                <w:spacing w:val="-4"/>
                <w:sz w:val="21"/>
              </w:rPr>
              <w:t>LEAP</w:t>
            </w:r>
          </w:p>
        </w:tc>
        <w:tc>
          <w:tcPr>
            <w:tcW w:w="5642" w:type="dxa"/>
          </w:tcPr>
          <w:p>
            <w:pPr>
              <w:pStyle w:val="TableParagraph"/>
              <w:spacing w:line="236" w:lineRule="exact"/>
              <w:ind w:left="741"/>
              <w:rPr>
                <w:rFonts w:ascii="Calibri Light"/>
                <w:b w:val="0"/>
                <w:sz w:val="21"/>
              </w:rPr>
            </w:pPr>
            <w:r>
              <w:rPr>
                <w:rFonts w:ascii="Calibri Light"/>
                <w:b w:val="0"/>
                <w:sz w:val="21"/>
              </w:rPr>
              <w:t>Leadership</w:t>
            </w:r>
            <w:r>
              <w:rPr>
                <w:rFonts w:ascii="Calibri Light"/>
                <w:b w:val="0"/>
                <w:spacing w:val="-5"/>
                <w:sz w:val="21"/>
              </w:rPr>
              <w:t> </w:t>
            </w:r>
            <w:r>
              <w:rPr>
                <w:rFonts w:ascii="Calibri Light"/>
                <w:b w:val="0"/>
                <w:sz w:val="21"/>
              </w:rPr>
              <w:t>for</w:t>
            </w:r>
            <w:r>
              <w:rPr>
                <w:rFonts w:ascii="Calibri Light"/>
                <w:b w:val="0"/>
                <w:spacing w:val="-12"/>
                <w:sz w:val="21"/>
              </w:rPr>
              <w:t> </w:t>
            </w:r>
            <w:r>
              <w:rPr>
                <w:rFonts w:ascii="Calibri Light"/>
                <w:b w:val="0"/>
                <w:sz w:val="21"/>
              </w:rPr>
              <w:t>Education</w:t>
            </w:r>
            <w:r>
              <w:rPr>
                <w:rFonts w:ascii="Calibri Light"/>
                <w:b w:val="0"/>
                <w:spacing w:val="-5"/>
                <w:sz w:val="21"/>
              </w:rPr>
              <w:t> </w:t>
            </w:r>
            <w:r>
              <w:rPr>
                <w:rFonts w:ascii="Calibri Light"/>
                <w:b w:val="0"/>
                <w:sz w:val="21"/>
              </w:rPr>
              <w:t>Authorities</w:t>
            </w:r>
            <w:r>
              <w:rPr>
                <w:rFonts w:ascii="Calibri Light"/>
                <w:b w:val="0"/>
                <w:spacing w:val="-5"/>
                <w:sz w:val="21"/>
              </w:rPr>
              <w:t> </w:t>
            </w:r>
            <w:r>
              <w:rPr>
                <w:rFonts w:ascii="Calibri Light"/>
                <w:b w:val="0"/>
                <w:spacing w:val="-2"/>
                <w:sz w:val="21"/>
              </w:rPr>
              <w:t>Program</w:t>
            </w:r>
          </w:p>
        </w:tc>
      </w:tr>
      <w:tr>
        <w:trPr>
          <w:trHeight w:val="268" w:hRule="atLeast"/>
        </w:trPr>
        <w:tc>
          <w:tcPr>
            <w:tcW w:w="1440" w:type="dxa"/>
          </w:tcPr>
          <w:p>
            <w:pPr>
              <w:pStyle w:val="TableParagraph"/>
              <w:spacing w:line="239" w:lineRule="exact"/>
              <w:ind w:left="50"/>
              <w:rPr>
                <w:rFonts w:ascii="Calibri Light"/>
                <w:b w:val="0"/>
                <w:sz w:val="21"/>
              </w:rPr>
            </w:pPr>
            <w:r>
              <w:rPr>
                <w:rFonts w:ascii="Calibri Light"/>
                <w:b w:val="0"/>
                <w:spacing w:val="-5"/>
                <w:sz w:val="21"/>
              </w:rPr>
              <w:t>M&amp;E</w:t>
            </w:r>
          </w:p>
        </w:tc>
        <w:tc>
          <w:tcPr>
            <w:tcW w:w="5642" w:type="dxa"/>
          </w:tcPr>
          <w:p>
            <w:pPr>
              <w:pStyle w:val="TableParagraph"/>
              <w:spacing w:line="239" w:lineRule="exact"/>
              <w:ind w:left="741"/>
              <w:rPr>
                <w:rFonts w:ascii="Calibri Light"/>
                <w:b w:val="0"/>
                <w:sz w:val="21"/>
              </w:rPr>
            </w:pPr>
            <w:r>
              <w:rPr>
                <w:rFonts w:ascii="Calibri Light"/>
                <w:b w:val="0"/>
                <w:sz w:val="21"/>
              </w:rPr>
              <w:t>Monitoring</w:t>
            </w:r>
            <w:r>
              <w:rPr>
                <w:rFonts w:ascii="Calibri Light"/>
                <w:b w:val="0"/>
                <w:spacing w:val="-5"/>
                <w:sz w:val="21"/>
              </w:rPr>
              <w:t> </w:t>
            </w:r>
            <w:r>
              <w:rPr>
                <w:rFonts w:ascii="Calibri Light"/>
                <w:b w:val="0"/>
                <w:sz w:val="21"/>
              </w:rPr>
              <w:t>and</w:t>
            </w:r>
            <w:r>
              <w:rPr>
                <w:rFonts w:ascii="Calibri Light"/>
                <w:b w:val="0"/>
                <w:spacing w:val="-9"/>
                <w:sz w:val="21"/>
              </w:rPr>
              <w:t> </w:t>
            </w:r>
            <w:r>
              <w:rPr>
                <w:rFonts w:ascii="Calibri Light"/>
                <w:b w:val="0"/>
                <w:spacing w:val="-2"/>
                <w:sz w:val="21"/>
              </w:rPr>
              <w:t>Evaluation</w:t>
            </w:r>
          </w:p>
        </w:tc>
      </w:tr>
      <w:tr>
        <w:trPr>
          <w:trHeight w:val="278" w:hRule="atLeast"/>
        </w:trPr>
        <w:tc>
          <w:tcPr>
            <w:tcW w:w="1440" w:type="dxa"/>
          </w:tcPr>
          <w:p>
            <w:pPr>
              <w:pStyle w:val="TableParagraph"/>
              <w:spacing w:line="248" w:lineRule="exact"/>
              <w:ind w:left="50"/>
              <w:rPr>
                <w:rFonts w:ascii="Calibri Light"/>
                <w:b w:val="0"/>
                <w:sz w:val="21"/>
              </w:rPr>
            </w:pPr>
            <w:r>
              <w:rPr>
                <w:rFonts w:ascii="Calibri Light"/>
                <w:b w:val="0"/>
                <w:spacing w:val="-4"/>
                <w:sz w:val="21"/>
              </w:rPr>
              <w:t>MEHRD</w:t>
            </w:r>
          </w:p>
        </w:tc>
        <w:tc>
          <w:tcPr>
            <w:tcW w:w="5642" w:type="dxa"/>
          </w:tcPr>
          <w:p>
            <w:pPr>
              <w:pStyle w:val="TableParagraph"/>
              <w:spacing w:line="248" w:lineRule="exact"/>
              <w:ind w:left="741"/>
              <w:rPr>
                <w:rFonts w:ascii="Calibri Light"/>
                <w:b w:val="0"/>
                <w:sz w:val="21"/>
              </w:rPr>
            </w:pPr>
            <w:r>
              <w:rPr>
                <w:rFonts w:ascii="Calibri Light"/>
                <w:b w:val="0"/>
                <w:sz w:val="21"/>
              </w:rPr>
              <w:t>Ministry</w:t>
            </w:r>
            <w:r>
              <w:rPr>
                <w:rFonts w:ascii="Calibri Light"/>
                <w:b w:val="0"/>
                <w:spacing w:val="-7"/>
                <w:sz w:val="21"/>
              </w:rPr>
              <w:t> </w:t>
            </w:r>
            <w:r>
              <w:rPr>
                <w:rFonts w:ascii="Calibri Light"/>
                <w:b w:val="0"/>
                <w:sz w:val="21"/>
              </w:rPr>
              <w:t>of</w:t>
            </w:r>
            <w:r>
              <w:rPr>
                <w:rFonts w:ascii="Calibri Light"/>
                <w:b w:val="0"/>
                <w:spacing w:val="-6"/>
                <w:sz w:val="21"/>
              </w:rPr>
              <w:t> </w:t>
            </w:r>
            <w:r>
              <w:rPr>
                <w:rFonts w:ascii="Calibri Light"/>
                <w:b w:val="0"/>
                <w:sz w:val="21"/>
              </w:rPr>
              <w:t>Education</w:t>
            </w:r>
            <w:r>
              <w:rPr>
                <w:rFonts w:ascii="Calibri Light"/>
                <w:b w:val="0"/>
                <w:spacing w:val="-9"/>
                <w:sz w:val="21"/>
              </w:rPr>
              <w:t> </w:t>
            </w:r>
            <w:r>
              <w:rPr>
                <w:rFonts w:ascii="Calibri Light"/>
                <w:b w:val="0"/>
                <w:sz w:val="21"/>
              </w:rPr>
              <w:t>and</w:t>
            </w:r>
            <w:r>
              <w:rPr>
                <w:rFonts w:ascii="Calibri Light"/>
                <w:b w:val="0"/>
                <w:spacing w:val="-4"/>
                <w:sz w:val="21"/>
              </w:rPr>
              <w:t> </w:t>
            </w:r>
            <w:r>
              <w:rPr>
                <w:rFonts w:ascii="Calibri Light"/>
                <w:b w:val="0"/>
                <w:sz w:val="21"/>
              </w:rPr>
              <w:t>Human</w:t>
            </w:r>
            <w:r>
              <w:rPr>
                <w:rFonts w:ascii="Calibri Light"/>
                <w:b w:val="0"/>
                <w:spacing w:val="-5"/>
                <w:sz w:val="21"/>
              </w:rPr>
              <w:t> </w:t>
            </w:r>
            <w:r>
              <w:rPr>
                <w:rFonts w:ascii="Calibri Light"/>
                <w:b w:val="0"/>
                <w:sz w:val="21"/>
              </w:rPr>
              <w:t>Resource</w:t>
            </w:r>
            <w:r>
              <w:rPr>
                <w:rFonts w:ascii="Calibri Light"/>
                <w:b w:val="0"/>
                <w:spacing w:val="-8"/>
                <w:sz w:val="21"/>
              </w:rPr>
              <w:t> </w:t>
            </w:r>
            <w:r>
              <w:rPr>
                <w:rFonts w:ascii="Calibri Light"/>
                <w:b w:val="0"/>
                <w:spacing w:val="-2"/>
                <w:sz w:val="21"/>
              </w:rPr>
              <w:t>Development</w:t>
            </w:r>
          </w:p>
        </w:tc>
      </w:tr>
      <w:tr>
        <w:trPr>
          <w:trHeight w:val="266" w:hRule="atLeast"/>
        </w:trPr>
        <w:tc>
          <w:tcPr>
            <w:tcW w:w="1440" w:type="dxa"/>
          </w:tcPr>
          <w:p>
            <w:pPr>
              <w:pStyle w:val="TableParagraph"/>
              <w:spacing w:line="246" w:lineRule="exact"/>
              <w:ind w:left="50"/>
              <w:rPr>
                <w:rFonts w:ascii="Calibri Light"/>
                <w:b w:val="0"/>
                <w:sz w:val="21"/>
              </w:rPr>
            </w:pPr>
            <w:r>
              <w:rPr>
                <w:rFonts w:ascii="Calibri Light"/>
                <w:b w:val="0"/>
                <w:spacing w:val="-5"/>
                <w:sz w:val="21"/>
              </w:rPr>
              <w:t>NER</w:t>
            </w:r>
          </w:p>
        </w:tc>
        <w:tc>
          <w:tcPr>
            <w:tcW w:w="5642" w:type="dxa"/>
          </w:tcPr>
          <w:p>
            <w:pPr>
              <w:pStyle w:val="TableParagraph"/>
              <w:spacing w:line="246" w:lineRule="exact"/>
              <w:ind w:left="741"/>
              <w:rPr>
                <w:rFonts w:ascii="Calibri Light"/>
                <w:b w:val="0"/>
                <w:sz w:val="21"/>
              </w:rPr>
            </w:pPr>
            <w:r>
              <w:rPr>
                <w:rFonts w:ascii="Calibri Light"/>
                <w:b w:val="0"/>
                <w:sz w:val="21"/>
              </w:rPr>
              <w:t>Net</w:t>
            </w:r>
            <w:r>
              <w:rPr>
                <w:rFonts w:ascii="Calibri Light"/>
                <w:b w:val="0"/>
                <w:spacing w:val="-8"/>
                <w:sz w:val="21"/>
              </w:rPr>
              <w:t> </w:t>
            </w:r>
            <w:r>
              <w:rPr>
                <w:rFonts w:ascii="Calibri Light"/>
                <w:b w:val="0"/>
                <w:sz w:val="21"/>
              </w:rPr>
              <w:t>Enrolment</w:t>
            </w:r>
            <w:r>
              <w:rPr>
                <w:rFonts w:ascii="Calibri Light"/>
                <w:b w:val="0"/>
                <w:spacing w:val="-5"/>
                <w:sz w:val="21"/>
              </w:rPr>
              <w:t> </w:t>
            </w:r>
            <w:r>
              <w:rPr>
                <w:rFonts w:ascii="Calibri Light"/>
                <w:b w:val="0"/>
                <w:spacing w:val="-4"/>
                <w:sz w:val="21"/>
              </w:rPr>
              <w:t>Rate</w:t>
            </w:r>
          </w:p>
        </w:tc>
      </w:tr>
      <w:tr>
        <w:trPr>
          <w:trHeight w:val="256" w:hRule="atLeast"/>
        </w:trPr>
        <w:tc>
          <w:tcPr>
            <w:tcW w:w="1440" w:type="dxa"/>
          </w:tcPr>
          <w:p>
            <w:pPr>
              <w:pStyle w:val="TableParagraph"/>
              <w:spacing w:line="236" w:lineRule="exact"/>
              <w:ind w:left="50"/>
              <w:rPr>
                <w:rFonts w:ascii="Calibri Light"/>
                <w:b w:val="0"/>
                <w:sz w:val="21"/>
              </w:rPr>
            </w:pPr>
            <w:r>
              <w:rPr>
                <w:rFonts w:ascii="Calibri Light"/>
                <w:b w:val="0"/>
                <w:spacing w:val="-4"/>
                <w:sz w:val="21"/>
              </w:rPr>
              <w:t>NEAP</w:t>
            </w:r>
          </w:p>
        </w:tc>
        <w:tc>
          <w:tcPr>
            <w:tcW w:w="5642" w:type="dxa"/>
          </w:tcPr>
          <w:p>
            <w:pPr>
              <w:pStyle w:val="TableParagraph"/>
              <w:spacing w:line="236" w:lineRule="exact"/>
              <w:ind w:left="741"/>
              <w:rPr>
                <w:rFonts w:ascii="Calibri Light"/>
                <w:b w:val="0"/>
                <w:sz w:val="21"/>
              </w:rPr>
            </w:pPr>
            <w:r>
              <w:rPr>
                <w:rFonts w:ascii="Calibri Light"/>
                <w:b w:val="0"/>
                <w:sz w:val="21"/>
              </w:rPr>
              <w:t>National</w:t>
            </w:r>
            <w:r>
              <w:rPr>
                <w:rFonts w:ascii="Calibri Light"/>
                <w:b w:val="0"/>
                <w:spacing w:val="-7"/>
                <w:sz w:val="21"/>
              </w:rPr>
              <w:t> </w:t>
            </w:r>
            <w:r>
              <w:rPr>
                <w:rFonts w:ascii="Calibri Light"/>
                <w:b w:val="0"/>
                <w:sz w:val="21"/>
              </w:rPr>
              <w:t>Education</w:t>
            </w:r>
            <w:r>
              <w:rPr>
                <w:rFonts w:ascii="Calibri Light"/>
                <w:b w:val="0"/>
                <w:spacing w:val="-8"/>
                <w:sz w:val="21"/>
              </w:rPr>
              <w:t> </w:t>
            </w:r>
            <w:r>
              <w:rPr>
                <w:rFonts w:ascii="Calibri Light"/>
                <w:b w:val="0"/>
                <w:sz w:val="21"/>
              </w:rPr>
              <w:t>Action</w:t>
            </w:r>
            <w:r>
              <w:rPr>
                <w:rFonts w:ascii="Calibri Light"/>
                <w:b w:val="0"/>
                <w:spacing w:val="-8"/>
                <w:sz w:val="21"/>
              </w:rPr>
              <w:t> </w:t>
            </w:r>
            <w:r>
              <w:rPr>
                <w:rFonts w:ascii="Calibri Light"/>
                <w:b w:val="0"/>
                <w:spacing w:val="-4"/>
                <w:sz w:val="21"/>
              </w:rPr>
              <w:t>Plan</w:t>
            </w:r>
          </w:p>
        </w:tc>
      </w:tr>
      <w:tr>
        <w:trPr>
          <w:trHeight w:val="256" w:hRule="atLeast"/>
        </w:trPr>
        <w:tc>
          <w:tcPr>
            <w:tcW w:w="1440" w:type="dxa"/>
          </w:tcPr>
          <w:p>
            <w:pPr>
              <w:pStyle w:val="TableParagraph"/>
              <w:spacing w:line="237" w:lineRule="exact"/>
              <w:ind w:left="50"/>
              <w:rPr>
                <w:rFonts w:ascii="Calibri Light"/>
                <w:b w:val="0"/>
                <w:sz w:val="21"/>
              </w:rPr>
            </w:pPr>
            <w:r>
              <w:rPr>
                <w:rFonts w:ascii="Calibri Light"/>
                <w:b w:val="0"/>
                <w:spacing w:val="-5"/>
                <w:sz w:val="21"/>
              </w:rPr>
              <w:t>PAR</w:t>
            </w:r>
          </w:p>
        </w:tc>
        <w:tc>
          <w:tcPr>
            <w:tcW w:w="5642" w:type="dxa"/>
          </w:tcPr>
          <w:p>
            <w:pPr>
              <w:pStyle w:val="TableParagraph"/>
              <w:spacing w:line="237" w:lineRule="exact"/>
              <w:ind w:left="741"/>
              <w:rPr>
                <w:rFonts w:ascii="Calibri Light"/>
                <w:b w:val="0"/>
                <w:sz w:val="21"/>
              </w:rPr>
            </w:pPr>
            <w:r>
              <w:rPr>
                <w:rFonts w:ascii="Calibri Light"/>
                <w:b w:val="0"/>
                <w:sz w:val="21"/>
              </w:rPr>
              <w:t>Performance</w:t>
            </w:r>
            <w:r>
              <w:rPr>
                <w:rFonts w:ascii="Calibri Light"/>
                <w:b w:val="0"/>
                <w:spacing w:val="-8"/>
                <w:sz w:val="21"/>
              </w:rPr>
              <w:t> </w:t>
            </w:r>
            <w:r>
              <w:rPr>
                <w:rFonts w:ascii="Calibri Light"/>
                <w:b w:val="0"/>
                <w:sz w:val="21"/>
              </w:rPr>
              <w:t>Assessment</w:t>
            </w:r>
            <w:r>
              <w:rPr>
                <w:rFonts w:ascii="Calibri Light"/>
                <w:b w:val="0"/>
                <w:spacing w:val="-10"/>
                <w:sz w:val="21"/>
              </w:rPr>
              <w:t> </w:t>
            </w:r>
            <w:r>
              <w:rPr>
                <w:rFonts w:ascii="Calibri Light"/>
                <w:b w:val="0"/>
                <w:spacing w:val="-2"/>
                <w:sz w:val="21"/>
              </w:rPr>
              <w:t>Report</w:t>
            </w:r>
          </w:p>
        </w:tc>
      </w:tr>
      <w:tr>
        <w:trPr>
          <w:trHeight w:val="254" w:hRule="atLeast"/>
        </w:trPr>
        <w:tc>
          <w:tcPr>
            <w:tcW w:w="1440" w:type="dxa"/>
          </w:tcPr>
          <w:p>
            <w:pPr>
              <w:pStyle w:val="TableParagraph"/>
              <w:spacing w:line="234" w:lineRule="exact"/>
              <w:ind w:left="50"/>
              <w:rPr>
                <w:rFonts w:ascii="Calibri Light"/>
                <w:b w:val="0"/>
                <w:sz w:val="21"/>
              </w:rPr>
            </w:pPr>
            <w:r>
              <w:rPr>
                <w:rFonts w:ascii="Calibri Light"/>
                <w:b w:val="0"/>
                <w:spacing w:val="-5"/>
                <w:sz w:val="21"/>
              </w:rPr>
              <w:t>PEA</w:t>
            </w:r>
          </w:p>
        </w:tc>
        <w:tc>
          <w:tcPr>
            <w:tcW w:w="5642" w:type="dxa"/>
          </w:tcPr>
          <w:p>
            <w:pPr>
              <w:pStyle w:val="TableParagraph"/>
              <w:spacing w:line="234" w:lineRule="exact"/>
              <w:ind w:left="741"/>
              <w:rPr>
                <w:rFonts w:ascii="Calibri Light"/>
                <w:b w:val="0"/>
                <w:sz w:val="21"/>
              </w:rPr>
            </w:pPr>
            <w:r>
              <w:rPr>
                <w:rFonts w:ascii="Calibri Light"/>
                <w:b w:val="0"/>
                <w:sz w:val="21"/>
              </w:rPr>
              <w:t>Provincial</w:t>
            </w:r>
            <w:r>
              <w:rPr>
                <w:rFonts w:ascii="Calibri Light"/>
                <w:b w:val="0"/>
                <w:spacing w:val="-7"/>
                <w:sz w:val="21"/>
              </w:rPr>
              <w:t> </w:t>
            </w:r>
            <w:r>
              <w:rPr>
                <w:rFonts w:ascii="Calibri Light"/>
                <w:b w:val="0"/>
                <w:sz w:val="21"/>
              </w:rPr>
              <w:t>Education</w:t>
            </w:r>
            <w:r>
              <w:rPr>
                <w:rFonts w:ascii="Calibri Light"/>
                <w:b w:val="0"/>
                <w:spacing w:val="-10"/>
                <w:sz w:val="21"/>
              </w:rPr>
              <w:t> </w:t>
            </w:r>
            <w:r>
              <w:rPr>
                <w:rFonts w:ascii="Calibri Light"/>
                <w:b w:val="0"/>
                <w:spacing w:val="-2"/>
                <w:sz w:val="21"/>
              </w:rPr>
              <w:t>Authority</w:t>
            </w:r>
          </w:p>
        </w:tc>
      </w:tr>
      <w:tr>
        <w:trPr>
          <w:trHeight w:val="256" w:hRule="atLeast"/>
        </w:trPr>
        <w:tc>
          <w:tcPr>
            <w:tcW w:w="1440" w:type="dxa"/>
          </w:tcPr>
          <w:p>
            <w:pPr>
              <w:pStyle w:val="TableParagraph"/>
              <w:spacing w:line="236" w:lineRule="exact"/>
              <w:ind w:left="50"/>
              <w:rPr>
                <w:rFonts w:ascii="Calibri Light"/>
                <w:b w:val="0"/>
                <w:sz w:val="21"/>
              </w:rPr>
            </w:pPr>
            <w:r>
              <w:rPr>
                <w:rFonts w:ascii="Calibri Light"/>
                <w:b w:val="0"/>
                <w:spacing w:val="-5"/>
                <w:sz w:val="21"/>
              </w:rPr>
              <w:t>PFM</w:t>
            </w:r>
          </w:p>
        </w:tc>
        <w:tc>
          <w:tcPr>
            <w:tcW w:w="5642" w:type="dxa"/>
          </w:tcPr>
          <w:p>
            <w:pPr>
              <w:pStyle w:val="TableParagraph"/>
              <w:spacing w:line="236" w:lineRule="exact"/>
              <w:ind w:left="741"/>
              <w:rPr>
                <w:rFonts w:ascii="Calibri Light"/>
                <w:b w:val="0"/>
                <w:sz w:val="21"/>
              </w:rPr>
            </w:pPr>
            <w:r>
              <w:rPr>
                <w:rFonts w:ascii="Calibri Light"/>
                <w:b w:val="0"/>
                <w:sz w:val="21"/>
              </w:rPr>
              <w:t>Public</w:t>
            </w:r>
            <w:r>
              <w:rPr>
                <w:rFonts w:ascii="Calibri Light"/>
                <w:b w:val="0"/>
                <w:spacing w:val="-6"/>
                <w:sz w:val="21"/>
              </w:rPr>
              <w:t> </w:t>
            </w:r>
            <w:r>
              <w:rPr>
                <w:rFonts w:ascii="Calibri Light"/>
                <w:b w:val="0"/>
                <w:sz w:val="21"/>
              </w:rPr>
              <w:t>Finance</w:t>
            </w:r>
            <w:r>
              <w:rPr>
                <w:rFonts w:ascii="Calibri Light"/>
                <w:b w:val="0"/>
                <w:spacing w:val="-5"/>
                <w:sz w:val="21"/>
              </w:rPr>
              <w:t> </w:t>
            </w:r>
            <w:r>
              <w:rPr>
                <w:rFonts w:ascii="Calibri Light"/>
                <w:b w:val="0"/>
                <w:spacing w:val="-2"/>
                <w:sz w:val="21"/>
              </w:rPr>
              <w:t>Management</w:t>
            </w:r>
          </w:p>
        </w:tc>
      </w:tr>
      <w:tr>
        <w:trPr>
          <w:trHeight w:val="256" w:hRule="atLeast"/>
        </w:trPr>
        <w:tc>
          <w:tcPr>
            <w:tcW w:w="1440" w:type="dxa"/>
          </w:tcPr>
          <w:p>
            <w:pPr>
              <w:pStyle w:val="TableParagraph"/>
              <w:spacing w:line="237" w:lineRule="exact"/>
              <w:ind w:left="50"/>
              <w:rPr>
                <w:rFonts w:ascii="Calibri Light"/>
                <w:b w:val="0"/>
                <w:sz w:val="21"/>
              </w:rPr>
            </w:pPr>
            <w:r>
              <w:rPr>
                <w:rFonts w:ascii="Calibri Light"/>
                <w:b w:val="0"/>
                <w:spacing w:val="-5"/>
                <w:sz w:val="21"/>
              </w:rPr>
              <w:t>SIG</w:t>
            </w:r>
          </w:p>
        </w:tc>
        <w:tc>
          <w:tcPr>
            <w:tcW w:w="5642" w:type="dxa"/>
          </w:tcPr>
          <w:p>
            <w:pPr>
              <w:pStyle w:val="TableParagraph"/>
              <w:spacing w:line="237" w:lineRule="exact"/>
              <w:ind w:left="741"/>
              <w:rPr>
                <w:rFonts w:ascii="Calibri Light"/>
                <w:b w:val="0"/>
                <w:sz w:val="21"/>
              </w:rPr>
            </w:pPr>
            <w:r>
              <w:rPr>
                <w:rFonts w:ascii="Calibri Light"/>
                <w:b w:val="0"/>
                <w:sz w:val="21"/>
              </w:rPr>
              <w:t>Solomon</w:t>
            </w:r>
            <w:r>
              <w:rPr>
                <w:rFonts w:ascii="Calibri Light"/>
                <w:b w:val="0"/>
                <w:spacing w:val="-5"/>
                <w:sz w:val="21"/>
              </w:rPr>
              <w:t> </w:t>
            </w:r>
            <w:r>
              <w:rPr>
                <w:rFonts w:ascii="Calibri Light"/>
                <w:b w:val="0"/>
                <w:sz w:val="21"/>
              </w:rPr>
              <w:t>Islands</w:t>
            </w:r>
            <w:r>
              <w:rPr>
                <w:rFonts w:ascii="Calibri Light"/>
                <w:b w:val="0"/>
                <w:spacing w:val="-4"/>
                <w:sz w:val="21"/>
              </w:rPr>
              <w:t> </w:t>
            </w:r>
            <w:r>
              <w:rPr>
                <w:rFonts w:ascii="Calibri Light"/>
                <w:b w:val="0"/>
                <w:spacing w:val="-2"/>
                <w:sz w:val="21"/>
              </w:rPr>
              <w:t>Government</w:t>
            </w:r>
          </w:p>
        </w:tc>
      </w:tr>
      <w:tr>
        <w:trPr>
          <w:trHeight w:val="256" w:hRule="atLeast"/>
        </w:trPr>
        <w:tc>
          <w:tcPr>
            <w:tcW w:w="1440" w:type="dxa"/>
          </w:tcPr>
          <w:p>
            <w:pPr>
              <w:pStyle w:val="TableParagraph"/>
              <w:spacing w:line="236" w:lineRule="exact"/>
              <w:ind w:left="50"/>
              <w:rPr>
                <w:rFonts w:ascii="Calibri Light"/>
                <w:b w:val="0"/>
                <w:sz w:val="21"/>
              </w:rPr>
            </w:pPr>
            <w:r>
              <w:rPr>
                <w:rFonts w:ascii="Calibri Light"/>
                <w:b w:val="0"/>
                <w:spacing w:val="-2"/>
                <w:sz w:val="21"/>
              </w:rPr>
              <w:t>SITESA</w:t>
            </w:r>
          </w:p>
        </w:tc>
        <w:tc>
          <w:tcPr>
            <w:tcW w:w="5642" w:type="dxa"/>
          </w:tcPr>
          <w:p>
            <w:pPr>
              <w:pStyle w:val="TableParagraph"/>
              <w:spacing w:line="236" w:lineRule="exact"/>
              <w:ind w:left="741"/>
              <w:rPr>
                <w:rFonts w:ascii="Calibri Light"/>
                <w:b w:val="0"/>
                <w:sz w:val="21"/>
              </w:rPr>
            </w:pPr>
            <w:r>
              <w:rPr>
                <w:rFonts w:ascii="Calibri Light"/>
                <w:b w:val="0"/>
                <w:sz w:val="21"/>
              </w:rPr>
              <w:t>Solomon</w:t>
            </w:r>
            <w:r>
              <w:rPr>
                <w:rFonts w:ascii="Calibri Light"/>
                <w:b w:val="0"/>
                <w:spacing w:val="-4"/>
                <w:sz w:val="21"/>
              </w:rPr>
              <w:t> </w:t>
            </w:r>
            <w:r>
              <w:rPr>
                <w:rFonts w:ascii="Calibri Light"/>
                <w:b w:val="0"/>
                <w:sz w:val="21"/>
              </w:rPr>
              <w:t>Islands</w:t>
            </w:r>
            <w:r>
              <w:rPr>
                <w:rFonts w:ascii="Calibri Light"/>
                <w:b w:val="0"/>
                <w:spacing w:val="-4"/>
                <w:sz w:val="21"/>
              </w:rPr>
              <w:t> </w:t>
            </w:r>
            <w:r>
              <w:rPr>
                <w:rFonts w:ascii="Calibri Light"/>
                <w:b w:val="0"/>
                <w:sz w:val="21"/>
              </w:rPr>
              <w:t>Tertiary</w:t>
            </w:r>
            <w:r>
              <w:rPr>
                <w:rFonts w:ascii="Calibri Light"/>
                <w:b w:val="0"/>
                <w:spacing w:val="-11"/>
                <w:sz w:val="21"/>
              </w:rPr>
              <w:t> </w:t>
            </w:r>
            <w:r>
              <w:rPr>
                <w:rFonts w:ascii="Calibri Light"/>
                <w:b w:val="0"/>
                <w:sz w:val="21"/>
              </w:rPr>
              <w:t>Education</w:t>
            </w:r>
            <w:r>
              <w:rPr>
                <w:rFonts w:ascii="Calibri Light"/>
                <w:b w:val="0"/>
                <w:spacing w:val="-8"/>
                <w:sz w:val="21"/>
              </w:rPr>
              <w:t> </w:t>
            </w:r>
            <w:r>
              <w:rPr>
                <w:rFonts w:ascii="Calibri Light"/>
                <w:b w:val="0"/>
                <w:sz w:val="21"/>
              </w:rPr>
              <w:t>and</w:t>
            </w:r>
            <w:r>
              <w:rPr>
                <w:rFonts w:ascii="Calibri Light"/>
                <w:b w:val="0"/>
                <w:spacing w:val="-3"/>
                <w:sz w:val="21"/>
              </w:rPr>
              <w:t> </w:t>
            </w:r>
            <w:r>
              <w:rPr>
                <w:rFonts w:ascii="Calibri Light"/>
                <w:b w:val="0"/>
                <w:sz w:val="21"/>
              </w:rPr>
              <w:t>Skills</w:t>
            </w:r>
            <w:r>
              <w:rPr>
                <w:rFonts w:ascii="Calibri Light"/>
                <w:b w:val="0"/>
                <w:spacing w:val="-4"/>
                <w:sz w:val="21"/>
              </w:rPr>
              <w:t> </w:t>
            </w:r>
            <w:r>
              <w:rPr>
                <w:rFonts w:ascii="Calibri Light"/>
                <w:b w:val="0"/>
                <w:spacing w:val="-2"/>
                <w:sz w:val="21"/>
              </w:rPr>
              <w:t>Authority</w:t>
            </w:r>
          </w:p>
        </w:tc>
      </w:tr>
      <w:tr>
        <w:trPr>
          <w:trHeight w:val="235" w:hRule="atLeast"/>
        </w:trPr>
        <w:tc>
          <w:tcPr>
            <w:tcW w:w="1440" w:type="dxa"/>
          </w:tcPr>
          <w:p>
            <w:pPr>
              <w:pStyle w:val="TableParagraph"/>
              <w:spacing w:line="215" w:lineRule="exact"/>
              <w:ind w:left="50"/>
              <w:rPr>
                <w:rFonts w:ascii="Calibri Light"/>
                <w:b w:val="0"/>
                <w:sz w:val="21"/>
              </w:rPr>
            </w:pPr>
            <w:r>
              <w:rPr>
                <w:rFonts w:ascii="Calibri Light"/>
                <w:b w:val="0"/>
                <w:spacing w:val="-5"/>
                <w:sz w:val="21"/>
              </w:rPr>
              <w:t>SSU</w:t>
            </w:r>
          </w:p>
        </w:tc>
        <w:tc>
          <w:tcPr>
            <w:tcW w:w="5642" w:type="dxa"/>
          </w:tcPr>
          <w:p>
            <w:pPr>
              <w:pStyle w:val="TableParagraph"/>
              <w:spacing w:line="215" w:lineRule="exact"/>
              <w:ind w:left="741"/>
              <w:rPr>
                <w:rFonts w:ascii="Calibri Light"/>
                <w:b w:val="0"/>
                <w:sz w:val="21"/>
              </w:rPr>
            </w:pPr>
            <w:r>
              <w:rPr>
                <w:rFonts w:ascii="Calibri Light"/>
                <w:b w:val="0"/>
                <w:sz w:val="21"/>
              </w:rPr>
              <w:t>Strategic</w:t>
            </w:r>
            <w:r>
              <w:rPr>
                <w:rFonts w:ascii="Calibri Light"/>
                <w:b w:val="0"/>
                <w:spacing w:val="-5"/>
                <w:sz w:val="21"/>
              </w:rPr>
              <w:t> </w:t>
            </w:r>
            <w:r>
              <w:rPr>
                <w:rFonts w:ascii="Calibri Light"/>
                <w:b w:val="0"/>
                <w:sz w:val="21"/>
              </w:rPr>
              <w:t>Support</w:t>
            </w:r>
            <w:r>
              <w:rPr>
                <w:rFonts w:ascii="Calibri Light"/>
                <w:b w:val="0"/>
                <w:spacing w:val="-4"/>
                <w:sz w:val="21"/>
              </w:rPr>
              <w:t> </w:t>
            </w:r>
            <w:r>
              <w:rPr>
                <w:rFonts w:ascii="Calibri Light"/>
                <w:b w:val="0"/>
                <w:sz w:val="21"/>
              </w:rPr>
              <w:t>Unit</w:t>
            </w:r>
            <w:r>
              <w:rPr>
                <w:rFonts w:ascii="Calibri Light"/>
                <w:b w:val="0"/>
                <w:spacing w:val="-4"/>
                <w:sz w:val="21"/>
              </w:rPr>
              <w:t> </w:t>
            </w:r>
            <w:r>
              <w:rPr>
                <w:rFonts w:ascii="Calibri Light"/>
                <w:b w:val="0"/>
                <w:sz w:val="21"/>
              </w:rPr>
              <w:t>-</w:t>
            </w:r>
            <w:r>
              <w:rPr>
                <w:rFonts w:ascii="Calibri Light"/>
                <w:b w:val="0"/>
                <w:spacing w:val="-4"/>
                <w:sz w:val="21"/>
              </w:rPr>
              <w:t> </w:t>
            </w:r>
            <w:r>
              <w:rPr>
                <w:rFonts w:ascii="Calibri Light"/>
                <w:b w:val="0"/>
                <w:spacing w:val="-2"/>
                <w:sz w:val="21"/>
              </w:rPr>
              <w:t>MEHRD</w:t>
            </w:r>
          </w:p>
        </w:tc>
      </w:tr>
    </w:tbl>
    <w:p>
      <w:pPr>
        <w:spacing w:after="0" w:line="215" w:lineRule="exact"/>
        <w:rPr>
          <w:rFonts w:ascii="Calibri Light"/>
          <w:sz w:val="21"/>
        </w:rPr>
        <w:sectPr>
          <w:pgSz w:w="11900" w:h="16840"/>
          <w:pgMar w:header="751" w:footer="729" w:top="1640" w:bottom="920" w:left="320" w:right="260"/>
        </w:sectPr>
      </w:pPr>
    </w:p>
    <w:p>
      <w:pPr>
        <w:pStyle w:val="BodyText"/>
        <w:spacing w:before="2"/>
        <w:rPr>
          <w:sz w:val="23"/>
        </w:rPr>
      </w:pPr>
    </w:p>
    <w:p>
      <w:pPr>
        <w:pStyle w:val="ListParagraph"/>
        <w:numPr>
          <w:ilvl w:val="0"/>
          <w:numId w:val="3"/>
        </w:numPr>
        <w:tabs>
          <w:tab w:pos="1840" w:val="left" w:leader="none"/>
        </w:tabs>
        <w:spacing w:line="240" w:lineRule="auto" w:before="42" w:after="0"/>
        <w:ind w:left="1839" w:right="0" w:hanging="360"/>
        <w:jc w:val="left"/>
        <w:rPr>
          <w:sz w:val="28"/>
        </w:rPr>
      </w:pPr>
      <w:bookmarkStart w:name="1. Introduction" w:id="5"/>
      <w:bookmarkEnd w:id="5"/>
      <w:r>
        <w:rPr/>
      </w:r>
      <w:bookmarkStart w:name="_bookmark2" w:id="6"/>
      <w:bookmarkEnd w:id="6"/>
      <w:r>
        <w:rPr>
          <w:spacing w:val="-2"/>
          <w:sz w:val="28"/>
        </w:rPr>
        <w:t>I</w:t>
      </w:r>
      <w:r>
        <w:rPr>
          <w:spacing w:val="-2"/>
          <w:sz w:val="22"/>
        </w:rPr>
        <w:t>NTRODUCTION</w:t>
      </w:r>
    </w:p>
    <w:p>
      <w:pPr>
        <w:pStyle w:val="BodyText"/>
        <w:spacing w:before="176"/>
        <w:ind w:left="1120" w:right="1180"/>
        <w:jc w:val="both"/>
      </w:pPr>
      <w:r>
        <w:rPr/>
        <w:t>This report presents the findings and recommendations of an independent, external assessment of the extent to which the MERHD has achieved the targets and objectives articulated in the 2016 Education Performance Matrix (EPM - see Appendix 1).</w:t>
      </w:r>
    </w:p>
    <w:p>
      <w:pPr>
        <w:pStyle w:val="BodyText"/>
        <w:spacing w:before="121"/>
        <w:ind w:left="1120" w:right="1178"/>
        <w:jc w:val="both"/>
      </w:pPr>
      <w:r>
        <w:rPr/>
        <w:t>The</w:t>
      </w:r>
      <w:r>
        <w:rPr>
          <w:spacing w:val="-3"/>
        </w:rPr>
        <w:t> </w:t>
      </w:r>
      <w:r>
        <w:rPr/>
        <w:t>purposes</w:t>
      </w:r>
      <w:r>
        <w:rPr>
          <w:spacing w:val="-3"/>
        </w:rPr>
        <w:t> </w:t>
      </w:r>
      <w:r>
        <w:rPr/>
        <w:t>of the independent</w:t>
      </w:r>
      <w:r>
        <w:rPr>
          <w:spacing w:val="-5"/>
        </w:rPr>
        <w:t> </w:t>
      </w:r>
      <w:r>
        <w:rPr/>
        <w:t>review,</w:t>
      </w:r>
      <w:r>
        <w:rPr>
          <w:spacing w:val="-6"/>
        </w:rPr>
        <w:t> </w:t>
      </w:r>
      <w:r>
        <w:rPr/>
        <w:t>detailed</w:t>
      </w:r>
      <w:r>
        <w:rPr>
          <w:spacing w:val="-4"/>
        </w:rPr>
        <w:t> </w:t>
      </w:r>
      <w:r>
        <w:rPr/>
        <w:t>in</w:t>
      </w:r>
      <w:r>
        <w:rPr>
          <w:spacing w:val="-4"/>
        </w:rPr>
        <w:t> </w:t>
      </w:r>
      <w:r>
        <w:rPr/>
        <w:t>the</w:t>
      </w:r>
      <w:r>
        <w:rPr>
          <w:spacing w:val="-3"/>
        </w:rPr>
        <w:t> </w:t>
      </w:r>
      <w:r>
        <w:rPr/>
        <w:t>assessor’s</w:t>
      </w:r>
      <w:r>
        <w:rPr>
          <w:spacing w:val="-3"/>
        </w:rPr>
        <w:t> </w:t>
      </w:r>
      <w:r>
        <w:rPr/>
        <w:t>terms</w:t>
      </w:r>
      <w:r>
        <w:rPr>
          <w:spacing w:val="-3"/>
        </w:rPr>
        <w:t> </w:t>
      </w:r>
      <w:r>
        <w:rPr/>
        <w:t>of reference</w:t>
      </w:r>
      <w:r>
        <w:rPr>
          <w:spacing w:val="-3"/>
        </w:rPr>
        <w:t> </w:t>
      </w:r>
      <w:r>
        <w:rPr/>
        <w:t>(see</w:t>
      </w:r>
      <w:r>
        <w:rPr>
          <w:spacing w:val="-3"/>
        </w:rPr>
        <w:t> </w:t>
      </w:r>
      <w:r>
        <w:rPr/>
        <w:t>Appendix 2), were to:</w:t>
      </w:r>
    </w:p>
    <w:p>
      <w:pPr>
        <w:pStyle w:val="ListParagraph"/>
        <w:numPr>
          <w:ilvl w:val="0"/>
          <w:numId w:val="4"/>
        </w:numPr>
        <w:tabs>
          <w:tab w:pos="1836" w:val="left" w:leader="none"/>
        </w:tabs>
        <w:spacing w:line="240" w:lineRule="auto" w:before="115" w:after="0"/>
        <w:ind w:left="1835" w:right="1181" w:hanging="361"/>
        <w:jc w:val="left"/>
        <w:rPr>
          <w:sz w:val="22"/>
        </w:rPr>
      </w:pPr>
      <w:r>
        <w:rPr>
          <w:sz w:val="22"/>
        </w:rPr>
        <w:t>Review</w:t>
      </w:r>
      <w:r>
        <w:rPr>
          <w:spacing w:val="-7"/>
          <w:sz w:val="22"/>
        </w:rPr>
        <w:t> </w:t>
      </w:r>
      <w:r>
        <w:rPr>
          <w:sz w:val="22"/>
        </w:rPr>
        <w:t>SIG</w:t>
      </w:r>
      <w:r>
        <w:rPr>
          <w:spacing w:val="-8"/>
          <w:sz w:val="22"/>
        </w:rPr>
        <w:t> </w:t>
      </w:r>
      <w:r>
        <w:rPr>
          <w:sz w:val="22"/>
        </w:rPr>
        <w:t>performance</w:t>
      </w:r>
      <w:r>
        <w:rPr>
          <w:spacing w:val="-7"/>
          <w:sz w:val="22"/>
        </w:rPr>
        <w:t> </w:t>
      </w:r>
      <w:r>
        <w:rPr>
          <w:sz w:val="22"/>
        </w:rPr>
        <w:t>against</w:t>
      </w:r>
      <w:r>
        <w:rPr>
          <w:spacing w:val="-10"/>
          <w:sz w:val="22"/>
        </w:rPr>
        <w:t> </w:t>
      </w:r>
      <w:r>
        <w:rPr>
          <w:sz w:val="22"/>
        </w:rPr>
        <w:t>the</w:t>
      </w:r>
      <w:r>
        <w:rPr>
          <w:spacing w:val="-7"/>
          <w:sz w:val="22"/>
        </w:rPr>
        <w:t> </w:t>
      </w:r>
      <w:r>
        <w:rPr>
          <w:sz w:val="22"/>
        </w:rPr>
        <w:t>agreed</w:t>
      </w:r>
      <w:r>
        <w:rPr>
          <w:spacing w:val="-9"/>
          <w:sz w:val="22"/>
        </w:rPr>
        <w:t> </w:t>
      </w:r>
      <w:r>
        <w:rPr>
          <w:sz w:val="22"/>
        </w:rPr>
        <w:t>milestones</w:t>
      </w:r>
      <w:r>
        <w:rPr>
          <w:spacing w:val="-13"/>
          <w:sz w:val="22"/>
        </w:rPr>
        <w:t> </w:t>
      </w:r>
      <w:r>
        <w:rPr>
          <w:sz w:val="22"/>
        </w:rPr>
        <w:t>for</w:t>
      </w:r>
      <w:r>
        <w:rPr>
          <w:spacing w:val="-8"/>
          <w:sz w:val="22"/>
        </w:rPr>
        <w:t> </w:t>
      </w:r>
      <w:r>
        <w:rPr>
          <w:sz w:val="22"/>
        </w:rPr>
        <w:t>2016</w:t>
      </w:r>
      <w:r>
        <w:rPr>
          <w:spacing w:val="-5"/>
          <w:sz w:val="22"/>
        </w:rPr>
        <w:t> </w:t>
      </w:r>
      <w:r>
        <w:rPr>
          <w:sz w:val="22"/>
        </w:rPr>
        <w:t>in</w:t>
      </w:r>
      <w:r>
        <w:rPr>
          <w:spacing w:val="-9"/>
          <w:sz w:val="22"/>
        </w:rPr>
        <w:t> </w:t>
      </w:r>
      <w:r>
        <w:rPr>
          <w:sz w:val="22"/>
        </w:rPr>
        <w:t>the</w:t>
      </w:r>
      <w:r>
        <w:rPr>
          <w:spacing w:val="-3"/>
          <w:sz w:val="22"/>
        </w:rPr>
        <w:t> </w:t>
      </w:r>
      <w:r>
        <w:rPr>
          <w:sz w:val="22"/>
        </w:rPr>
        <w:t>attached</w:t>
      </w:r>
      <w:r>
        <w:rPr>
          <w:spacing w:val="-9"/>
          <w:sz w:val="22"/>
        </w:rPr>
        <w:t> </w:t>
      </w:r>
      <w:r>
        <w:rPr>
          <w:sz w:val="22"/>
        </w:rPr>
        <w:t>performance </w:t>
      </w:r>
      <w:r>
        <w:rPr>
          <w:spacing w:val="-2"/>
          <w:sz w:val="22"/>
        </w:rPr>
        <w:t>matrix.</w:t>
      </w:r>
    </w:p>
    <w:p>
      <w:pPr>
        <w:pStyle w:val="ListParagraph"/>
        <w:numPr>
          <w:ilvl w:val="0"/>
          <w:numId w:val="4"/>
        </w:numPr>
        <w:tabs>
          <w:tab w:pos="1836" w:val="left" w:leader="none"/>
        </w:tabs>
        <w:spacing w:line="240" w:lineRule="auto" w:before="121" w:after="0"/>
        <w:ind w:left="1835" w:right="1172" w:hanging="361"/>
        <w:jc w:val="left"/>
        <w:rPr>
          <w:sz w:val="22"/>
        </w:rPr>
      </w:pPr>
      <w:r>
        <w:rPr>
          <w:sz w:val="22"/>
        </w:rPr>
        <w:t>Provide a recommendation of what</w:t>
      </w:r>
      <w:r>
        <w:rPr>
          <w:spacing w:val="-1"/>
          <w:sz w:val="22"/>
        </w:rPr>
        <w:t> </w:t>
      </w:r>
      <w:r>
        <w:rPr>
          <w:sz w:val="22"/>
        </w:rPr>
        <w:t>performance payment</w:t>
      </w:r>
      <w:r>
        <w:rPr>
          <w:spacing w:val="-1"/>
          <w:sz w:val="22"/>
        </w:rPr>
        <w:t> </w:t>
      </w:r>
      <w:r>
        <w:rPr>
          <w:sz w:val="22"/>
        </w:rPr>
        <w:t>should be made based on the SIG </w:t>
      </w:r>
      <w:r>
        <w:rPr>
          <w:spacing w:val="-2"/>
          <w:sz w:val="22"/>
        </w:rPr>
        <w:t>performance.</w:t>
      </w:r>
    </w:p>
    <w:p>
      <w:pPr>
        <w:pStyle w:val="ListParagraph"/>
        <w:numPr>
          <w:ilvl w:val="0"/>
          <w:numId w:val="4"/>
        </w:numPr>
        <w:tabs>
          <w:tab w:pos="1836" w:val="left" w:leader="none"/>
        </w:tabs>
        <w:spacing w:line="240" w:lineRule="auto" w:before="120" w:after="0"/>
        <w:ind w:left="1835" w:right="0" w:hanging="361"/>
        <w:jc w:val="left"/>
        <w:rPr>
          <w:sz w:val="22"/>
        </w:rPr>
      </w:pPr>
      <w:r>
        <w:rPr>
          <w:sz w:val="22"/>
        </w:rPr>
        <w:t>Provide</w:t>
      </w:r>
      <w:r>
        <w:rPr>
          <w:spacing w:val="-7"/>
          <w:sz w:val="22"/>
        </w:rPr>
        <w:t> </w:t>
      </w:r>
      <w:r>
        <w:rPr>
          <w:sz w:val="22"/>
        </w:rPr>
        <w:t>advice</w:t>
      </w:r>
      <w:r>
        <w:rPr>
          <w:spacing w:val="-5"/>
          <w:sz w:val="22"/>
        </w:rPr>
        <w:t> </w:t>
      </w:r>
      <w:r>
        <w:rPr>
          <w:sz w:val="22"/>
        </w:rPr>
        <w:t>on</w:t>
      </w:r>
      <w:r>
        <w:rPr>
          <w:spacing w:val="-6"/>
          <w:sz w:val="22"/>
        </w:rPr>
        <w:t> </w:t>
      </w:r>
      <w:r>
        <w:rPr>
          <w:sz w:val="22"/>
        </w:rPr>
        <w:t>the</w:t>
      </w:r>
      <w:r>
        <w:rPr>
          <w:spacing w:val="-5"/>
          <w:sz w:val="22"/>
        </w:rPr>
        <w:t> </w:t>
      </w:r>
      <w:r>
        <w:rPr>
          <w:sz w:val="22"/>
        </w:rPr>
        <w:t>strengths</w:t>
      </w:r>
      <w:r>
        <w:rPr>
          <w:spacing w:val="-5"/>
          <w:sz w:val="22"/>
        </w:rPr>
        <w:t> </w:t>
      </w:r>
      <w:r>
        <w:rPr>
          <w:sz w:val="22"/>
        </w:rPr>
        <w:t>and</w:t>
      </w:r>
      <w:r>
        <w:rPr>
          <w:spacing w:val="-6"/>
          <w:sz w:val="22"/>
        </w:rPr>
        <w:t> </w:t>
      </w:r>
      <w:r>
        <w:rPr>
          <w:sz w:val="22"/>
        </w:rPr>
        <w:t>weaknesses</w:t>
      </w:r>
      <w:r>
        <w:rPr>
          <w:spacing w:val="-5"/>
          <w:sz w:val="22"/>
        </w:rPr>
        <w:t> </w:t>
      </w:r>
      <w:r>
        <w:rPr>
          <w:sz w:val="22"/>
        </w:rPr>
        <w:t>of</w:t>
      </w:r>
      <w:r>
        <w:rPr>
          <w:spacing w:val="-6"/>
          <w:sz w:val="22"/>
        </w:rPr>
        <w:t> </w:t>
      </w:r>
      <w:r>
        <w:rPr>
          <w:sz w:val="22"/>
        </w:rPr>
        <w:t>2016</w:t>
      </w:r>
      <w:r>
        <w:rPr>
          <w:spacing w:val="-7"/>
          <w:sz w:val="22"/>
        </w:rPr>
        <w:t> </w:t>
      </w:r>
      <w:r>
        <w:rPr>
          <w:sz w:val="22"/>
        </w:rPr>
        <w:t>performance</w:t>
      </w:r>
      <w:r>
        <w:rPr>
          <w:spacing w:val="-4"/>
          <w:sz w:val="22"/>
        </w:rPr>
        <w:t> </w:t>
      </w:r>
      <w:r>
        <w:rPr>
          <w:spacing w:val="-2"/>
          <w:sz w:val="22"/>
        </w:rPr>
        <w:t>indicators.</w:t>
      </w:r>
    </w:p>
    <w:p>
      <w:pPr>
        <w:pStyle w:val="ListParagraph"/>
        <w:numPr>
          <w:ilvl w:val="0"/>
          <w:numId w:val="4"/>
        </w:numPr>
        <w:tabs>
          <w:tab w:pos="1836" w:val="left" w:leader="none"/>
        </w:tabs>
        <w:spacing w:line="240" w:lineRule="auto" w:before="120" w:after="0"/>
        <w:ind w:left="1120" w:right="0" w:firstLine="355"/>
        <w:jc w:val="left"/>
        <w:rPr>
          <w:sz w:val="22"/>
        </w:rPr>
      </w:pPr>
      <w:r>
        <w:rPr>
          <w:sz w:val="22"/>
        </w:rPr>
        <w:t>Provide</w:t>
      </w:r>
      <w:r>
        <w:rPr>
          <w:spacing w:val="-11"/>
          <w:sz w:val="22"/>
        </w:rPr>
        <w:t> </w:t>
      </w:r>
      <w:r>
        <w:rPr>
          <w:sz w:val="22"/>
        </w:rPr>
        <w:t>advice</w:t>
      </w:r>
      <w:r>
        <w:rPr>
          <w:spacing w:val="-8"/>
          <w:sz w:val="22"/>
        </w:rPr>
        <w:t> </w:t>
      </w:r>
      <w:r>
        <w:rPr>
          <w:sz w:val="22"/>
        </w:rPr>
        <w:t>on</w:t>
      </w:r>
      <w:r>
        <w:rPr>
          <w:spacing w:val="-10"/>
          <w:sz w:val="22"/>
        </w:rPr>
        <w:t> </w:t>
      </w:r>
      <w:r>
        <w:rPr>
          <w:sz w:val="22"/>
        </w:rPr>
        <w:t>indicators</w:t>
      </w:r>
      <w:r>
        <w:rPr>
          <w:spacing w:val="-9"/>
          <w:sz w:val="22"/>
        </w:rPr>
        <w:t> </w:t>
      </w:r>
      <w:r>
        <w:rPr>
          <w:sz w:val="22"/>
        </w:rPr>
        <w:t>for</w:t>
      </w:r>
      <w:r>
        <w:rPr>
          <w:spacing w:val="-9"/>
          <w:sz w:val="22"/>
        </w:rPr>
        <w:t> </w:t>
      </w:r>
      <w:r>
        <w:rPr>
          <w:sz w:val="22"/>
        </w:rPr>
        <w:t>the</w:t>
      </w:r>
      <w:r>
        <w:rPr>
          <w:spacing w:val="-8"/>
          <w:sz w:val="22"/>
        </w:rPr>
        <w:t> </w:t>
      </w:r>
      <w:r>
        <w:rPr>
          <w:sz w:val="22"/>
        </w:rPr>
        <w:t>next</w:t>
      </w:r>
      <w:r>
        <w:rPr>
          <w:spacing w:val="-7"/>
          <w:sz w:val="22"/>
        </w:rPr>
        <w:t> </w:t>
      </w:r>
      <w:r>
        <w:rPr>
          <w:sz w:val="22"/>
        </w:rPr>
        <w:t>year</w:t>
      </w:r>
      <w:r>
        <w:rPr>
          <w:spacing w:val="-9"/>
          <w:sz w:val="22"/>
        </w:rPr>
        <w:t> </w:t>
      </w:r>
      <w:r>
        <w:rPr>
          <w:sz w:val="22"/>
        </w:rPr>
        <w:t>2017,</w:t>
      </w:r>
      <w:r>
        <w:rPr>
          <w:spacing w:val="-11"/>
          <w:sz w:val="22"/>
        </w:rPr>
        <w:t> </w:t>
      </w:r>
      <w:r>
        <w:rPr>
          <w:sz w:val="22"/>
        </w:rPr>
        <w:t>based</w:t>
      </w:r>
      <w:r>
        <w:rPr>
          <w:spacing w:val="-10"/>
          <w:sz w:val="22"/>
        </w:rPr>
        <w:t> </w:t>
      </w:r>
      <w:r>
        <w:rPr>
          <w:sz w:val="22"/>
        </w:rPr>
        <w:t>on</w:t>
      </w:r>
      <w:r>
        <w:rPr>
          <w:spacing w:val="-10"/>
          <w:sz w:val="22"/>
        </w:rPr>
        <w:t> </w:t>
      </w:r>
      <w:r>
        <w:rPr>
          <w:sz w:val="22"/>
        </w:rPr>
        <w:t>MEHRD’s</w:t>
      </w:r>
      <w:r>
        <w:rPr>
          <w:spacing w:val="-4"/>
          <w:sz w:val="22"/>
        </w:rPr>
        <w:t> </w:t>
      </w:r>
      <w:r>
        <w:rPr>
          <w:sz w:val="22"/>
        </w:rPr>
        <w:t>new</w:t>
      </w:r>
      <w:r>
        <w:rPr>
          <w:spacing w:val="-8"/>
          <w:sz w:val="22"/>
        </w:rPr>
        <w:t> </w:t>
      </w:r>
      <w:r>
        <w:rPr>
          <w:sz w:val="22"/>
        </w:rPr>
        <w:t>M&amp;E</w:t>
      </w:r>
      <w:r>
        <w:rPr>
          <w:spacing w:val="-11"/>
          <w:sz w:val="22"/>
        </w:rPr>
        <w:t> </w:t>
      </w:r>
      <w:r>
        <w:rPr>
          <w:spacing w:val="-2"/>
          <w:sz w:val="22"/>
        </w:rPr>
        <w:t>framework.</w:t>
      </w:r>
    </w:p>
    <w:p>
      <w:pPr>
        <w:pStyle w:val="BodyText"/>
        <w:spacing w:before="121"/>
        <w:ind w:left="1120" w:right="752"/>
      </w:pPr>
      <w:r>
        <w:rPr/>
        <w:t>The</w:t>
      </w:r>
      <w:r>
        <w:rPr>
          <w:spacing w:val="40"/>
        </w:rPr>
        <w:t> </w:t>
      </w:r>
      <w:r>
        <w:rPr/>
        <w:t>findings</w:t>
      </w:r>
      <w:r>
        <w:rPr>
          <w:spacing w:val="40"/>
        </w:rPr>
        <w:t> </w:t>
      </w:r>
      <w:r>
        <w:rPr/>
        <w:t>from</w:t>
      </w:r>
      <w:r>
        <w:rPr>
          <w:spacing w:val="40"/>
        </w:rPr>
        <w:t> </w:t>
      </w:r>
      <w:r>
        <w:rPr/>
        <w:t>the</w:t>
      </w:r>
      <w:r>
        <w:rPr>
          <w:spacing w:val="40"/>
        </w:rPr>
        <w:t> </w:t>
      </w:r>
      <w:r>
        <w:rPr/>
        <w:t>review</w:t>
      </w:r>
      <w:r>
        <w:rPr>
          <w:spacing w:val="40"/>
        </w:rPr>
        <w:t> </w:t>
      </w:r>
      <w:r>
        <w:rPr/>
        <w:t>process</w:t>
      </w:r>
      <w:r>
        <w:rPr>
          <w:spacing w:val="40"/>
        </w:rPr>
        <w:t> </w:t>
      </w:r>
      <w:r>
        <w:rPr/>
        <w:t>were</w:t>
      </w:r>
      <w:r>
        <w:rPr>
          <w:spacing w:val="40"/>
        </w:rPr>
        <w:t> </w:t>
      </w:r>
      <w:r>
        <w:rPr/>
        <w:t>reported</w:t>
      </w:r>
      <w:r>
        <w:rPr>
          <w:spacing w:val="40"/>
        </w:rPr>
        <w:t> </w:t>
      </w:r>
      <w:r>
        <w:rPr/>
        <w:t>at</w:t>
      </w:r>
      <w:r>
        <w:rPr>
          <w:spacing w:val="40"/>
        </w:rPr>
        <w:t> </w:t>
      </w:r>
      <w:r>
        <w:rPr/>
        <w:t>the</w:t>
      </w:r>
      <w:r>
        <w:rPr>
          <w:spacing w:val="40"/>
        </w:rPr>
        <w:t> </w:t>
      </w:r>
      <w:r>
        <w:rPr/>
        <w:t>Education</w:t>
      </w:r>
      <w:r>
        <w:rPr>
          <w:spacing w:val="40"/>
        </w:rPr>
        <w:t> </w:t>
      </w:r>
      <w:r>
        <w:rPr/>
        <w:t>Sector</w:t>
      </w:r>
      <w:r>
        <w:rPr>
          <w:spacing w:val="40"/>
        </w:rPr>
        <w:t> </w:t>
      </w:r>
      <w:r>
        <w:rPr/>
        <w:t>Mid-Year</w:t>
      </w:r>
      <w:r>
        <w:rPr>
          <w:spacing w:val="40"/>
        </w:rPr>
        <w:t> </w:t>
      </w:r>
      <w:r>
        <w:rPr/>
        <w:t>Review conducted in Honiara on 8</w:t>
      </w:r>
      <w:r>
        <w:rPr>
          <w:vertAlign w:val="superscript"/>
        </w:rPr>
        <w:t>th</w:t>
      </w:r>
      <w:r>
        <w:rPr>
          <w:vertAlign w:val="baseline"/>
        </w:rPr>
        <w:t> June 2017 (see Appendix 3).</w:t>
      </w:r>
    </w:p>
    <w:p>
      <w:pPr>
        <w:pStyle w:val="BodyText"/>
        <w:rPr>
          <w:sz w:val="24"/>
        </w:rPr>
      </w:pPr>
    </w:p>
    <w:p>
      <w:pPr>
        <w:pStyle w:val="ListParagraph"/>
        <w:numPr>
          <w:ilvl w:val="0"/>
          <w:numId w:val="3"/>
        </w:numPr>
        <w:tabs>
          <w:tab w:pos="1840" w:val="left" w:leader="none"/>
        </w:tabs>
        <w:spacing w:line="240" w:lineRule="auto" w:before="183" w:after="0"/>
        <w:ind w:left="1839" w:right="0" w:hanging="360"/>
        <w:jc w:val="left"/>
        <w:rPr>
          <w:sz w:val="28"/>
        </w:rPr>
      </w:pPr>
      <w:bookmarkStart w:name="2. Background and Context" w:id="7"/>
      <w:bookmarkEnd w:id="7"/>
      <w:r>
        <w:rPr/>
      </w:r>
      <w:bookmarkStart w:name="_bookmark3" w:id="8"/>
      <w:bookmarkEnd w:id="8"/>
      <w:r>
        <w:rPr>
          <w:sz w:val="28"/>
        </w:rPr>
        <w:t>B</w:t>
      </w:r>
      <w:r>
        <w:rPr>
          <w:sz w:val="22"/>
        </w:rPr>
        <w:t>ACKGROUND</w:t>
      </w:r>
      <w:r>
        <w:rPr>
          <w:spacing w:val="32"/>
          <w:sz w:val="22"/>
        </w:rPr>
        <w:t> </w:t>
      </w:r>
      <w:r>
        <w:rPr>
          <w:sz w:val="22"/>
        </w:rPr>
        <w:t>AND</w:t>
      </w:r>
      <w:r>
        <w:rPr>
          <w:spacing w:val="33"/>
          <w:sz w:val="22"/>
        </w:rPr>
        <w:t> </w:t>
      </w:r>
      <w:r>
        <w:rPr>
          <w:spacing w:val="-2"/>
          <w:sz w:val="28"/>
        </w:rPr>
        <w:t>C</w:t>
      </w:r>
      <w:r>
        <w:rPr>
          <w:spacing w:val="-2"/>
          <w:sz w:val="22"/>
        </w:rPr>
        <w:t>ONTEXT</w:t>
      </w:r>
    </w:p>
    <w:p>
      <w:pPr>
        <w:pStyle w:val="BodyText"/>
        <w:spacing w:before="176"/>
        <w:ind w:left="1120" w:right="1171"/>
        <w:jc w:val="both"/>
      </w:pPr>
      <w:r>
        <w:rPr/>
        <w:t>The GoA and SIG signed a four-year Direct Funding Agreement in 2015 which gave effect to the implementation of the Education Sector Program 2. The Agreement, and the related Principles of Partnership</w:t>
      </w:r>
      <w:r>
        <w:rPr>
          <w:spacing w:val="-9"/>
        </w:rPr>
        <w:t> </w:t>
      </w:r>
      <w:r>
        <w:rPr/>
        <w:t>and</w:t>
      </w:r>
      <w:r>
        <w:rPr>
          <w:spacing w:val="-9"/>
        </w:rPr>
        <w:t> </w:t>
      </w:r>
      <w:r>
        <w:rPr/>
        <w:t>Letter</w:t>
      </w:r>
      <w:r>
        <w:rPr>
          <w:spacing w:val="-8"/>
        </w:rPr>
        <w:t> </w:t>
      </w:r>
      <w:r>
        <w:rPr/>
        <w:t>of</w:t>
      </w:r>
      <w:r>
        <w:rPr>
          <w:spacing w:val="-3"/>
        </w:rPr>
        <w:t> </w:t>
      </w:r>
      <w:r>
        <w:rPr/>
        <w:t>Arrangement,</w:t>
      </w:r>
      <w:r>
        <w:rPr>
          <w:spacing w:val="-10"/>
        </w:rPr>
        <w:t> </w:t>
      </w:r>
      <w:r>
        <w:rPr/>
        <w:t>established</w:t>
      </w:r>
      <w:r>
        <w:rPr>
          <w:spacing w:val="-9"/>
        </w:rPr>
        <w:t> </w:t>
      </w:r>
      <w:r>
        <w:rPr/>
        <w:t>the</w:t>
      </w:r>
      <w:r>
        <w:rPr>
          <w:spacing w:val="-7"/>
        </w:rPr>
        <w:t> </w:t>
      </w:r>
      <w:r>
        <w:rPr/>
        <w:t>conditions</w:t>
      </w:r>
      <w:r>
        <w:rPr>
          <w:spacing w:val="-8"/>
        </w:rPr>
        <w:t> </w:t>
      </w:r>
      <w:r>
        <w:rPr/>
        <w:t>for</w:t>
      </w:r>
      <w:r>
        <w:rPr>
          <w:spacing w:val="-3"/>
        </w:rPr>
        <w:t> </w:t>
      </w:r>
      <w:r>
        <w:rPr/>
        <w:t>the</w:t>
      </w:r>
      <w:r>
        <w:rPr>
          <w:spacing w:val="-7"/>
        </w:rPr>
        <w:t> </w:t>
      </w:r>
      <w:r>
        <w:rPr/>
        <w:t>provision</w:t>
      </w:r>
      <w:r>
        <w:rPr>
          <w:spacing w:val="-9"/>
        </w:rPr>
        <w:t> </w:t>
      </w:r>
      <w:r>
        <w:rPr/>
        <w:t>of</w:t>
      </w:r>
      <w:r>
        <w:rPr>
          <w:spacing w:val="-8"/>
        </w:rPr>
        <w:t> </w:t>
      </w:r>
      <w:r>
        <w:rPr/>
        <w:t>AUD</w:t>
      </w:r>
      <w:r>
        <w:rPr>
          <w:spacing w:val="-9"/>
        </w:rPr>
        <w:t> </w:t>
      </w:r>
      <w:r>
        <w:rPr/>
        <w:t>32</w:t>
      </w:r>
      <w:r>
        <w:rPr>
          <w:spacing w:val="-9"/>
        </w:rPr>
        <w:t> </w:t>
      </w:r>
      <w:r>
        <w:rPr/>
        <w:t>million over</w:t>
      </w:r>
      <w:r>
        <w:rPr>
          <w:spacing w:val="-3"/>
        </w:rPr>
        <w:t> </w:t>
      </w:r>
      <w:r>
        <w:rPr/>
        <w:t>four</w:t>
      </w:r>
      <w:r>
        <w:rPr>
          <w:spacing w:val="-3"/>
        </w:rPr>
        <w:t> </w:t>
      </w:r>
      <w:r>
        <w:rPr/>
        <w:t>years</w:t>
      </w:r>
      <w:r>
        <w:rPr>
          <w:spacing w:val="-3"/>
        </w:rPr>
        <w:t> </w:t>
      </w:r>
      <w:r>
        <w:rPr/>
        <w:t>through</w:t>
      </w:r>
      <w:r>
        <w:rPr>
          <w:spacing w:val="-4"/>
        </w:rPr>
        <w:t> </w:t>
      </w:r>
      <w:r>
        <w:rPr/>
        <w:t>direct</w:t>
      </w:r>
      <w:r>
        <w:rPr>
          <w:spacing w:val="-5"/>
        </w:rPr>
        <w:t> </w:t>
      </w:r>
      <w:r>
        <w:rPr/>
        <w:t>budget</w:t>
      </w:r>
      <w:r>
        <w:rPr>
          <w:spacing w:val="-5"/>
        </w:rPr>
        <w:t> </w:t>
      </w:r>
      <w:r>
        <w:rPr/>
        <w:t>support</w:t>
      </w:r>
      <w:r>
        <w:rPr>
          <w:spacing w:val="-5"/>
        </w:rPr>
        <w:t> </w:t>
      </w:r>
      <w:r>
        <w:rPr/>
        <w:t>for</w:t>
      </w:r>
      <w:r>
        <w:rPr>
          <w:spacing w:val="-3"/>
        </w:rPr>
        <w:t> </w:t>
      </w:r>
      <w:r>
        <w:rPr/>
        <w:t>basic</w:t>
      </w:r>
      <w:r>
        <w:rPr>
          <w:spacing w:val="-5"/>
        </w:rPr>
        <w:t> </w:t>
      </w:r>
      <w:r>
        <w:rPr/>
        <w:t>education,</w:t>
      </w:r>
      <w:r>
        <w:rPr>
          <w:spacing w:val="-1"/>
        </w:rPr>
        <w:t> </w:t>
      </w:r>
      <w:r>
        <w:rPr/>
        <w:t>skills</w:t>
      </w:r>
      <w:r>
        <w:rPr>
          <w:spacing w:val="-3"/>
        </w:rPr>
        <w:t> </w:t>
      </w:r>
      <w:r>
        <w:rPr/>
        <w:t>and</w:t>
      </w:r>
      <w:r>
        <w:rPr>
          <w:spacing w:val="-4"/>
        </w:rPr>
        <w:t> </w:t>
      </w:r>
      <w:r>
        <w:rPr/>
        <w:t>education</w:t>
      </w:r>
      <w:r>
        <w:rPr>
          <w:spacing w:val="-4"/>
        </w:rPr>
        <w:t> </w:t>
      </w:r>
      <w:r>
        <w:rPr/>
        <w:t>management. An additional AUD 32 million was to be provided for resource and technical assistance through Australian managed activities.</w:t>
      </w:r>
    </w:p>
    <w:p>
      <w:pPr>
        <w:pStyle w:val="BodyText"/>
        <w:spacing w:before="121"/>
        <w:ind w:left="1120" w:right="1182"/>
        <w:jc w:val="both"/>
      </w:pPr>
      <w:r>
        <w:rPr/>
        <w:t>Of the AUD 32 million in direct budget assistance, 20 per cent was to be provided as annual bonus payments, subject to the MEHRD meeting the targets detailed in the annual EPM.</w:t>
      </w:r>
    </w:p>
    <w:p>
      <w:pPr>
        <w:pStyle w:val="BodyText"/>
        <w:spacing w:before="116"/>
        <w:ind w:left="1120" w:right="1177"/>
        <w:jc w:val="both"/>
      </w:pPr>
      <w:r>
        <w:rPr/>
        <w:t>The targets in the 2016 EPM and the</w:t>
      </w:r>
      <w:r>
        <w:rPr>
          <w:spacing w:val="40"/>
        </w:rPr>
        <w:t> </w:t>
      </w:r>
      <w:r>
        <w:rPr/>
        <w:t>targets in the 2017 EPM are derived from the SIG Education Strategic Framework 2016-2030 and the MEHRD National Education Action Plans (NEAP) 2013-2015 and 2016-2020.</w:t>
      </w:r>
    </w:p>
    <w:p>
      <w:pPr>
        <w:pStyle w:val="BodyText"/>
        <w:spacing w:before="121"/>
        <w:ind w:left="1120"/>
        <w:jc w:val="both"/>
      </w:pPr>
      <w:r>
        <w:rPr/>
        <w:t>The</w:t>
      </w:r>
      <w:r>
        <w:rPr>
          <w:spacing w:val="-5"/>
        </w:rPr>
        <w:t> </w:t>
      </w:r>
      <w:r>
        <w:rPr/>
        <w:t>core</w:t>
      </w:r>
      <w:r>
        <w:rPr>
          <w:spacing w:val="-5"/>
        </w:rPr>
        <w:t> </w:t>
      </w:r>
      <w:r>
        <w:rPr/>
        <w:t>goals</w:t>
      </w:r>
      <w:r>
        <w:rPr>
          <w:spacing w:val="-5"/>
        </w:rPr>
        <w:t> </w:t>
      </w:r>
      <w:r>
        <w:rPr/>
        <w:t>of</w:t>
      </w:r>
      <w:r>
        <w:rPr>
          <w:spacing w:val="-2"/>
        </w:rPr>
        <w:t> </w:t>
      </w:r>
      <w:r>
        <w:rPr/>
        <w:t>these</w:t>
      </w:r>
      <w:r>
        <w:rPr>
          <w:spacing w:val="-4"/>
        </w:rPr>
        <w:t> </w:t>
      </w:r>
      <w:r>
        <w:rPr/>
        <w:t>documents</w:t>
      </w:r>
      <w:r>
        <w:rPr>
          <w:spacing w:val="-1"/>
        </w:rPr>
        <w:t> </w:t>
      </w:r>
      <w:r>
        <w:rPr/>
        <w:t>can</w:t>
      </w:r>
      <w:r>
        <w:rPr>
          <w:spacing w:val="-6"/>
        </w:rPr>
        <w:t> </w:t>
      </w:r>
      <w:r>
        <w:rPr/>
        <w:t>be</w:t>
      </w:r>
      <w:r>
        <w:rPr>
          <w:spacing w:val="-5"/>
        </w:rPr>
        <w:t> </w:t>
      </w:r>
      <w:r>
        <w:rPr/>
        <w:t>summarised</w:t>
      </w:r>
      <w:r>
        <w:rPr>
          <w:spacing w:val="-5"/>
        </w:rPr>
        <w:t> as:</w:t>
      </w:r>
    </w:p>
    <w:p>
      <w:pPr>
        <w:pStyle w:val="ListParagraph"/>
        <w:numPr>
          <w:ilvl w:val="0"/>
          <w:numId w:val="5"/>
        </w:numPr>
        <w:tabs>
          <w:tab w:pos="1839" w:val="left" w:leader="none"/>
          <w:tab w:pos="1841" w:val="left" w:leader="none"/>
        </w:tabs>
        <w:spacing w:line="240" w:lineRule="auto" w:before="118" w:after="0"/>
        <w:ind w:left="1840" w:right="0" w:hanging="362"/>
        <w:jc w:val="left"/>
        <w:rPr>
          <w:i/>
          <w:sz w:val="22"/>
        </w:rPr>
      </w:pPr>
      <w:r>
        <w:rPr>
          <w:i/>
          <w:sz w:val="22"/>
        </w:rPr>
        <w:t>Education</w:t>
      </w:r>
      <w:r>
        <w:rPr>
          <w:i/>
          <w:spacing w:val="-5"/>
          <w:sz w:val="22"/>
        </w:rPr>
        <w:t> </w:t>
      </w:r>
      <w:r>
        <w:rPr>
          <w:i/>
          <w:spacing w:val="-2"/>
          <w:sz w:val="22"/>
        </w:rPr>
        <w:t>quality</w:t>
      </w:r>
    </w:p>
    <w:p>
      <w:pPr>
        <w:pStyle w:val="ListParagraph"/>
        <w:numPr>
          <w:ilvl w:val="0"/>
          <w:numId w:val="5"/>
        </w:numPr>
        <w:tabs>
          <w:tab w:pos="1840" w:val="left" w:leader="none"/>
          <w:tab w:pos="1841" w:val="left" w:leader="none"/>
        </w:tabs>
        <w:spacing w:line="240" w:lineRule="auto" w:before="123" w:after="0"/>
        <w:ind w:left="1840" w:right="0" w:hanging="361"/>
        <w:jc w:val="left"/>
        <w:rPr>
          <w:i/>
          <w:sz w:val="22"/>
        </w:rPr>
      </w:pPr>
      <w:r>
        <w:rPr>
          <w:i/>
          <w:sz w:val="22"/>
        </w:rPr>
        <w:t>Equitable</w:t>
      </w:r>
      <w:r>
        <w:rPr>
          <w:i/>
          <w:spacing w:val="-4"/>
          <w:sz w:val="22"/>
        </w:rPr>
        <w:t> </w:t>
      </w:r>
      <w:r>
        <w:rPr>
          <w:i/>
          <w:sz w:val="22"/>
        </w:rPr>
        <w:t>access</w:t>
      </w:r>
      <w:r>
        <w:rPr>
          <w:i/>
          <w:spacing w:val="-3"/>
          <w:sz w:val="22"/>
        </w:rPr>
        <w:t> </w:t>
      </w:r>
      <w:r>
        <w:rPr>
          <w:i/>
          <w:sz w:val="22"/>
        </w:rPr>
        <w:t>at</w:t>
      </w:r>
      <w:r>
        <w:rPr>
          <w:i/>
          <w:spacing w:val="-5"/>
          <w:sz w:val="22"/>
        </w:rPr>
        <w:t> </w:t>
      </w:r>
      <w:r>
        <w:rPr>
          <w:i/>
          <w:sz w:val="22"/>
        </w:rPr>
        <w:t>all</w:t>
      </w:r>
      <w:r>
        <w:rPr>
          <w:i/>
          <w:spacing w:val="-1"/>
          <w:sz w:val="22"/>
        </w:rPr>
        <w:t> </w:t>
      </w:r>
      <w:r>
        <w:rPr>
          <w:i/>
          <w:sz w:val="22"/>
        </w:rPr>
        <w:t>levels</w:t>
      </w:r>
      <w:r>
        <w:rPr>
          <w:i/>
          <w:spacing w:val="-3"/>
          <w:sz w:val="22"/>
        </w:rPr>
        <w:t> </w:t>
      </w:r>
      <w:r>
        <w:rPr>
          <w:i/>
          <w:sz w:val="22"/>
        </w:rPr>
        <w:t>of</w:t>
      </w:r>
      <w:r>
        <w:rPr>
          <w:i/>
          <w:spacing w:val="-3"/>
          <w:sz w:val="22"/>
        </w:rPr>
        <w:t> </w:t>
      </w:r>
      <w:r>
        <w:rPr>
          <w:i/>
          <w:sz w:val="22"/>
        </w:rPr>
        <w:t>the</w:t>
      </w:r>
      <w:r>
        <w:rPr>
          <w:i/>
          <w:spacing w:val="-3"/>
          <w:sz w:val="22"/>
        </w:rPr>
        <w:t> </w:t>
      </w:r>
      <w:r>
        <w:rPr>
          <w:i/>
          <w:spacing w:val="-2"/>
          <w:sz w:val="22"/>
        </w:rPr>
        <w:t>system</w:t>
      </w:r>
    </w:p>
    <w:p>
      <w:pPr>
        <w:pStyle w:val="ListParagraph"/>
        <w:numPr>
          <w:ilvl w:val="0"/>
          <w:numId w:val="5"/>
        </w:numPr>
        <w:tabs>
          <w:tab w:pos="1840" w:val="left" w:leader="none"/>
          <w:tab w:pos="1841" w:val="left" w:leader="none"/>
        </w:tabs>
        <w:spacing w:line="240" w:lineRule="auto" w:before="118" w:after="0"/>
        <w:ind w:left="1840" w:right="0" w:hanging="361"/>
        <w:jc w:val="left"/>
        <w:rPr>
          <w:i/>
          <w:sz w:val="22"/>
        </w:rPr>
      </w:pPr>
      <w:r>
        <w:rPr>
          <w:i/>
          <w:sz w:val="22"/>
        </w:rPr>
        <w:t>Improved</w:t>
      </w:r>
      <w:r>
        <w:rPr>
          <w:i/>
          <w:spacing w:val="-7"/>
          <w:sz w:val="22"/>
        </w:rPr>
        <w:t> </w:t>
      </w:r>
      <w:r>
        <w:rPr>
          <w:i/>
          <w:sz w:val="22"/>
        </w:rPr>
        <w:t>functions</w:t>
      </w:r>
      <w:r>
        <w:rPr>
          <w:i/>
          <w:spacing w:val="-6"/>
          <w:sz w:val="22"/>
        </w:rPr>
        <w:t> </w:t>
      </w:r>
      <w:r>
        <w:rPr>
          <w:i/>
          <w:sz w:val="22"/>
        </w:rPr>
        <w:t>and</w:t>
      </w:r>
      <w:r>
        <w:rPr>
          <w:i/>
          <w:spacing w:val="-5"/>
          <w:sz w:val="22"/>
        </w:rPr>
        <w:t> </w:t>
      </w:r>
      <w:r>
        <w:rPr>
          <w:i/>
          <w:sz w:val="22"/>
        </w:rPr>
        <w:t>practices</w:t>
      </w:r>
      <w:r>
        <w:rPr>
          <w:i/>
          <w:spacing w:val="-5"/>
          <w:sz w:val="22"/>
        </w:rPr>
        <w:t> </w:t>
      </w:r>
      <w:r>
        <w:rPr>
          <w:i/>
          <w:sz w:val="22"/>
        </w:rPr>
        <w:t>to</w:t>
      </w:r>
      <w:r>
        <w:rPr>
          <w:i/>
          <w:spacing w:val="-4"/>
          <w:sz w:val="22"/>
        </w:rPr>
        <w:t> </w:t>
      </w:r>
      <w:r>
        <w:rPr>
          <w:i/>
          <w:sz w:val="22"/>
        </w:rPr>
        <w:t>ensure</w:t>
      </w:r>
      <w:r>
        <w:rPr>
          <w:i/>
          <w:spacing w:val="-6"/>
          <w:sz w:val="22"/>
        </w:rPr>
        <w:t> </w:t>
      </w:r>
      <w:r>
        <w:rPr>
          <w:i/>
          <w:sz w:val="22"/>
        </w:rPr>
        <w:t>efficiency</w:t>
      </w:r>
      <w:r>
        <w:rPr>
          <w:i/>
          <w:spacing w:val="-4"/>
          <w:sz w:val="22"/>
        </w:rPr>
        <w:t> </w:t>
      </w:r>
      <w:r>
        <w:rPr>
          <w:i/>
          <w:sz w:val="22"/>
        </w:rPr>
        <w:t>and</w:t>
      </w:r>
      <w:r>
        <w:rPr>
          <w:i/>
          <w:spacing w:val="-4"/>
          <w:sz w:val="22"/>
        </w:rPr>
        <w:t> </w:t>
      </w:r>
      <w:r>
        <w:rPr>
          <w:i/>
          <w:spacing w:val="-2"/>
          <w:sz w:val="22"/>
        </w:rPr>
        <w:t>effectiveness.</w:t>
      </w:r>
    </w:p>
    <w:p>
      <w:pPr>
        <w:pStyle w:val="BodyText"/>
        <w:spacing w:before="120"/>
        <w:ind w:left="1120" w:right="752"/>
      </w:pPr>
      <w:r>
        <w:rPr/>
        <w:t>This</w:t>
      </w:r>
      <w:r>
        <w:rPr>
          <w:spacing w:val="35"/>
        </w:rPr>
        <w:t> </w:t>
      </w:r>
      <w:r>
        <w:rPr/>
        <w:t>is</w:t>
      </w:r>
      <w:r>
        <w:rPr>
          <w:spacing w:val="35"/>
        </w:rPr>
        <w:t> </w:t>
      </w:r>
      <w:r>
        <w:rPr/>
        <w:t>the</w:t>
      </w:r>
      <w:r>
        <w:rPr>
          <w:spacing w:val="36"/>
        </w:rPr>
        <w:t> </w:t>
      </w:r>
      <w:r>
        <w:rPr/>
        <w:t>fifth</w:t>
      </w:r>
      <w:r>
        <w:rPr>
          <w:spacing w:val="35"/>
        </w:rPr>
        <w:t> </w:t>
      </w:r>
      <w:r>
        <w:rPr/>
        <w:t>year</w:t>
      </w:r>
      <w:r>
        <w:rPr>
          <w:spacing w:val="35"/>
        </w:rPr>
        <w:t> </w:t>
      </w:r>
      <w:r>
        <w:rPr/>
        <w:t>that</w:t>
      </w:r>
      <w:r>
        <w:rPr>
          <w:spacing w:val="38"/>
        </w:rPr>
        <w:t> </w:t>
      </w:r>
      <w:r>
        <w:rPr/>
        <w:t>the</w:t>
      </w:r>
      <w:r>
        <w:rPr>
          <w:spacing w:val="36"/>
        </w:rPr>
        <w:t> </w:t>
      </w:r>
      <w:r>
        <w:rPr/>
        <w:t>independent</w:t>
      </w:r>
      <w:r>
        <w:rPr>
          <w:spacing w:val="33"/>
        </w:rPr>
        <w:t> </w:t>
      </w:r>
      <w:r>
        <w:rPr/>
        <w:t>assessment</w:t>
      </w:r>
      <w:r>
        <w:rPr>
          <w:spacing w:val="33"/>
        </w:rPr>
        <w:t> </w:t>
      </w:r>
      <w:r>
        <w:rPr/>
        <w:t>against</w:t>
      </w:r>
      <w:r>
        <w:rPr>
          <w:spacing w:val="33"/>
        </w:rPr>
        <w:t> </w:t>
      </w:r>
      <w:r>
        <w:rPr/>
        <w:t>the</w:t>
      </w:r>
      <w:r>
        <w:rPr>
          <w:spacing w:val="36"/>
        </w:rPr>
        <w:t> </w:t>
      </w:r>
      <w:r>
        <w:rPr/>
        <w:t>targets</w:t>
      </w:r>
      <w:r>
        <w:rPr>
          <w:spacing w:val="35"/>
        </w:rPr>
        <w:t> </w:t>
      </w:r>
      <w:r>
        <w:rPr/>
        <w:t>in</w:t>
      </w:r>
      <w:r>
        <w:rPr>
          <w:spacing w:val="39"/>
        </w:rPr>
        <w:t> </w:t>
      </w:r>
      <w:r>
        <w:rPr/>
        <w:t>the</w:t>
      </w:r>
      <w:r>
        <w:rPr>
          <w:spacing w:val="36"/>
        </w:rPr>
        <w:t> </w:t>
      </w:r>
      <w:r>
        <w:rPr/>
        <w:t>EPM</w:t>
      </w:r>
      <w:r>
        <w:rPr>
          <w:spacing w:val="39"/>
        </w:rPr>
        <w:t> </w:t>
      </w:r>
      <w:r>
        <w:rPr/>
        <w:t>has</w:t>
      </w:r>
      <w:r>
        <w:rPr>
          <w:spacing w:val="35"/>
        </w:rPr>
        <w:t> </w:t>
      </w:r>
      <w:r>
        <w:rPr/>
        <w:t>been </w:t>
      </w:r>
      <w:r>
        <w:rPr>
          <w:spacing w:val="-2"/>
        </w:rPr>
        <w:t>conducted.</w:t>
      </w:r>
    </w:p>
    <w:p>
      <w:pPr>
        <w:pStyle w:val="BodyText"/>
      </w:pPr>
    </w:p>
    <w:p>
      <w:pPr>
        <w:pStyle w:val="BodyText"/>
        <w:spacing w:before="1"/>
        <w:rPr>
          <w:sz w:val="17"/>
        </w:rPr>
      </w:pPr>
    </w:p>
    <w:p>
      <w:pPr>
        <w:pStyle w:val="ListParagraph"/>
        <w:numPr>
          <w:ilvl w:val="0"/>
          <w:numId w:val="3"/>
        </w:numPr>
        <w:tabs>
          <w:tab w:pos="1840" w:val="left" w:leader="none"/>
        </w:tabs>
        <w:spacing w:line="240" w:lineRule="auto" w:before="0" w:after="0"/>
        <w:ind w:left="1839" w:right="0" w:hanging="360"/>
        <w:jc w:val="left"/>
        <w:rPr>
          <w:sz w:val="28"/>
        </w:rPr>
      </w:pPr>
      <w:bookmarkStart w:name="3. The Assessment Process" w:id="9"/>
      <w:bookmarkEnd w:id="9"/>
      <w:r>
        <w:rPr/>
      </w:r>
      <w:bookmarkStart w:name="_bookmark4" w:id="10"/>
      <w:bookmarkEnd w:id="10"/>
      <w:r>
        <w:rPr>
          <w:sz w:val="28"/>
        </w:rPr>
        <w:t>T</w:t>
      </w:r>
      <w:r>
        <w:rPr>
          <w:sz w:val="22"/>
        </w:rPr>
        <w:t>HE</w:t>
      </w:r>
      <w:r>
        <w:rPr>
          <w:spacing w:val="26"/>
          <w:sz w:val="22"/>
        </w:rPr>
        <w:t> </w:t>
      </w:r>
      <w:r>
        <w:rPr>
          <w:sz w:val="28"/>
        </w:rPr>
        <w:t>A</w:t>
      </w:r>
      <w:r>
        <w:rPr>
          <w:sz w:val="22"/>
        </w:rPr>
        <w:t>SSESSMENT</w:t>
      </w:r>
      <w:r>
        <w:rPr>
          <w:spacing w:val="34"/>
          <w:sz w:val="22"/>
        </w:rPr>
        <w:t> </w:t>
      </w:r>
      <w:r>
        <w:rPr>
          <w:spacing w:val="-2"/>
          <w:sz w:val="28"/>
        </w:rPr>
        <w:t>P</w:t>
      </w:r>
      <w:r>
        <w:rPr>
          <w:spacing w:val="-2"/>
          <w:sz w:val="22"/>
        </w:rPr>
        <w:t>ROCESS</w:t>
      </w:r>
    </w:p>
    <w:p>
      <w:pPr>
        <w:pStyle w:val="BodyText"/>
        <w:spacing w:before="176"/>
        <w:ind w:left="1120" w:right="752"/>
      </w:pPr>
      <w:r>
        <w:rPr/>
        <w:t>The assessment process, including the preparation of this report, was conducted over a three-week period from 2 June 2017.</w:t>
      </w:r>
    </w:p>
    <w:p>
      <w:pPr>
        <w:spacing w:after="0"/>
        <w:sectPr>
          <w:headerReference w:type="default" r:id="rId7"/>
          <w:footerReference w:type="default" r:id="rId8"/>
          <w:pgSz w:w="11900" w:h="16840"/>
          <w:pgMar w:header="751" w:footer="1206" w:top="1640" w:bottom="1400" w:left="320" w:right="260"/>
          <w:pgNumType w:start="1"/>
        </w:sectPr>
      </w:pPr>
    </w:p>
    <w:p>
      <w:pPr>
        <w:pStyle w:val="BodyText"/>
        <w:spacing w:before="46"/>
        <w:ind w:left="1119" w:right="1178"/>
        <w:jc w:val="both"/>
      </w:pPr>
      <w:r>
        <w:rPr/>
        <w:t>Background and contextual information was collected through the review of key documents, the preparation of</w:t>
      </w:r>
      <w:r>
        <w:rPr>
          <w:spacing w:val="40"/>
        </w:rPr>
        <w:t> </w:t>
      </w:r>
      <w:r>
        <w:rPr/>
        <w:t>review questions and the identification of key personnel for interviews. The assessment was undertaken in Honiara from 4 – 9 June. The assessment process involved:</w:t>
      </w:r>
    </w:p>
    <w:p>
      <w:pPr>
        <w:pStyle w:val="ListParagraph"/>
        <w:numPr>
          <w:ilvl w:val="0"/>
          <w:numId w:val="6"/>
        </w:numPr>
        <w:tabs>
          <w:tab w:pos="1892" w:val="left" w:leader="none"/>
          <w:tab w:pos="1893" w:val="left" w:leader="none"/>
        </w:tabs>
        <w:spacing w:line="273" w:lineRule="auto" w:before="123" w:after="0"/>
        <w:ind w:left="1892" w:right="1468" w:hanging="361"/>
        <w:jc w:val="left"/>
        <w:rPr>
          <w:sz w:val="22"/>
        </w:rPr>
      </w:pPr>
      <w:r>
        <w:rPr>
          <w:sz w:val="22"/>
        </w:rPr>
        <w:t>The</w:t>
      </w:r>
      <w:r>
        <w:rPr>
          <w:spacing w:val="-4"/>
          <w:sz w:val="22"/>
        </w:rPr>
        <w:t> </w:t>
      </w:r>
      <w:r>
        <w:rPr>
          <w:sz w:val="22"/>
        </w:rPr>
        <w:t>conduct</w:t>
      </w:r>
      <w:r>
        <w:rPr>
          <w:spacing w:val="-1"/>
          <w:sz w:val="22"/>
        </w:rPr>
        <w:t> </w:t>
      </w:r>
      <w:r>
        <w:rPr>
          <w:sz w:val="22"/>
        </w:rPr>
        <w:t>of</w:t>
      </w:r>
      <w:r>
        <w:rPr>
          <w:spacing w:val="-4"/>
          <w:sz w:val="22"/>
        </w:rPr>
        <w:t> </w:t>
      </w:r>
      <w:r>
        <w:rPr>
          <w:sz w:val="22"/>
        </w:rPr>
        <w:t>key</w:t>
      </w:r>
      <w:r>
        <w:rPr>
          <w:spacing w:val="-3"/>
          <w:sz w:val="22"/>
        </w:rPr>
        <w:t> </w:t>
      </w:r>
      <w:r>
        <w:rPr>
          <w:sz w:val="22"/>
        </w:rPr>
        <w:t>informant</w:t>
      </w:r>
      <w:r>
        <w:rPr>
          <w:spacing w:val="-6"/>
          <w:sz w:val="22"/>
        </w:rPr>
        <w:t> </w:t>
      </w:r>
      <w:r>
        <w:rPr>
          <w:sz w:val="22"/>
        </w:rPr>
        <w:t>interviews</w:t>
      </w:r>
      <w:r>
        <w:rPr>
          <w:spacing w:val="-4"/>
          <w:sz w:val="22"/>
        </w:rPr>
        <w:t> </w:t>
      </w:r>
      <w:r>
        <w:rPr>
          <w:sz w:val="22"/>
        </w:rPr>
        <w:t>with</w:t>
      </w:r>
      <w:r>
        <w:rPr>
          <w:spacing w:val="-5"/>
          <w:sz w:val="22"/>
        </w:rPr>
        <w:t> </w:t>
      </w:r>
      <w:r>
        <w:rPr>
          <w:sz w:val="22"/>
        </w:rPr>
        <w:t>DFAT</w:t>
      </w:r>
      <w:r>
        <w:rPr>
          <w:spacing w:val="-6"/>
          <w:sz w:val="22"/>
        </w:rPr>
        <w:t> </w:t>
      </w:r>
      <w:r>
        <w:rPr>
          <w:sz w:val="22"/>
        </w:rPr>
        <w:t>and</w:t>
      </w:r>
      <w:r>
        <w:rPr>
          <w:spacing w:val="-5"/>
          <w:sz w:val="22"/>
        </w:rPr>
        <w:t> </w:t>
      </w:r>
      <w:r>
        <w:rPr>
          <w:sz w:val="22"/>
        </w:rPr>
        <w:t>MEHRD</w:t>
      </w:r>
      <w:r>
        <w:rPr>
          <w:spacing w:val="-6"/>
          <w:sz w:val="22"/>
        </w:rPr>
        <w:t> </w:t>
      </w:r>
      <w:r>
        <w:rPr>
          <w:sz w:val="22"/>
        </w:rPr>
        <w:t>personnel,</w:t>
      </w:r>
      <w:r>
        <w:rPr>
          <w:spacing w:val="-7"/>
          <w:sz w:val="22"/>
        </w:rPr>
        <w:t> </w:t>
      </w:r>
      <w:r>
        <w:rPr>
          <w:sz w:val="22"/>
        </w:rPr>
        <w:t>and the team leader of the GoA funded Skills for Economic Growth Program.</w:t>
      </w:r>
    </w:p>
    <w:p>
      <w:pPr>
        <w:pStyle w:val="ListParagraph"/>
        <w:numPr>
          <w:ilvl w:val="0"/>
          <w:numId w:val="6"/>
        </w:numPr>
        <w:tabs>
          <w:tab w:pos="1892" w:val="left" w:leader="none"/>
          <w:tab w:pos="1893" w:val="left" w:leader="none"/>
        </w:tabs>
        <w:spacing w:line="240" w:lineRule="auto" w:before="5" w:after="0"/>
        <w:ind w:left="1892" w:right="0" w:hanging="361"/>
        <w:jc w:val="left"/>
        <w:rPr>
          <w:sz w:val="22"/>
        </w:rPr>
      </w:pPr>
      <w:r>
        <w:rPr>
          <w:sz w:val="22"/>
        </w:rPr>
        <w:t>The</w:t>
      </w:r>
      <w:r>
        <w:rPr>
          <w:spacing w:val="-6"/>
          <w:sz w:val="22"/>
        </w:rPr>
        <w:t> </w:t>
      </w:r>
      <w:r>
        <w:rPr>
          <w:sz w:val="22"/>
        </w:rPr>
        <w:t>review</w:t>
      </w:r>
      <w:r>
        <w:rPr>
          <w:spacing w:val="-4"/>
          <w:sz w:val="22"/>
        </w:rPr>
        <w:t> </w:t>
      </w:r>
      <w:r>
        <w:rPr>
          <w:sz w:val="22"/>
        </w:rPr>
        <w:t>and</w:t>
      </w:r>
      <w:r>
        <w:rPr>
          <w:spacing w:val="-5"/>
          <w:sz w:val="22"/>
        </w:rPr>
        <w:t> </w:t>
      </w:r>
      <w:r>
        <w:rPr>
          <w:sz w:val="22"/>
        </w:rPr>
        <w:t>analysis</w:t>
      </w:r>
      <w:r>
        <w:rPr>
          <w:spacing w:val="-4"/>
          <w:sz w:val="22"/>
        </w:rPr>
        <w:t> </w:t>
      </w:r>
      <w:r>
        <w:rPr>
          <w:sz w:val="22"/>
        </w:rPr>
        <w:t>of</w:t>
      </w:r>
      <w:r>
        <w:rPr>
          <w:spacing w:val="-4"/>
          <w:sz w:val="22"/>
        </w:rPr>
        <w:t> </w:t>
      </w:r>
      <w:r>
        <w:rPr>
          <w:sz w:val="22"/>
        </w:rPr>
        <w:t>data</w:t>
      </w:r>
      <w:r>
        <w:rPr>
          <w:spacing w:val="-3"/>
          <w:sz w:val="22"/>
        </w:rPr>
        <w:t> </w:t>
      </w:r>
      <w:r>
        <w:rPr>
          <w:sz w:val="22"/>
        </w:rPr>
        <w:t>and</w:t>
      </w:r>
      <w:r>
        <w:rPr>
          <w:spacing w:val="-5"/>
          <w:sz w:val="22"/>
        </w:rPr>
        <w:t> </w:t>
      </w:r>
      <w:r>
        <w:rPr>
          <w:sz w:val="22"/>
        </w:rPr>
        <w:t>information</w:t>
      </w:r>
      <w:r>
        <w:rPr>
          <w:spacing w:val="-5"/>
          <w:sz w:val="22"/>
        </w:rPr>
        <w:t> </w:t>
      </w:r>
      <w:r>
        <w:rPr>
          <w:sz w:val="22"/>
        </w:rPr>
        <w:t>provided</w:t>
      </w:r>
      <w:r>
        <w:rPr>
          <w:spacing w:val="-5"/>
          <w:sz w:val="22"/>
        </w:rPr>
        <w:t> </w:t>
      </w:r>
      <w:r>
        <w:rPr>
          <w:sz w:val="22"/>
        </w:rPr>
        <w:t>by</w:t>
      </w:r>
      <w:r>
        <w:rPr>
          <w:spacing w:val="-2"/>
          <w:sz w:val="22"/>
        </w:rPr>
        <w:t> MEHRD.</w:t>
      </w:r>
    </w:p>
    <w:p>
      <w:pPr>
        <w:pStyle w:val="ListParagraph"/>
        <w:numPr>
          <w:ilvl w:val="0"/>
          <w:numId w:val="6"/>
        </w:numPr>
        <w:tabs>
          <w:tab w:pos="1892" w:val="left" w:leader="none"/>
          <w:tab w:pos="1893" w:val="left" w:leader="none"/>
        </w:tabs>
        <w:spacing w:line="240" w:lineRule="auto" w:before="36" w:after="0"/>
        <w:ind w:left="1892" w:right="0" w:hanging="361"/>
        <w:jc w:val="left"/>
        <w:rPr>
          <w:sz w:val="22"/>
        </w:rPr>
      </w:pPr>
      <w:r>
        <w:rPr>
          <w:sz w:val="22"/>
        </w:rPr>
        <w:t>Presentation</w:t>
      </w:r>
      <w:r>
        <w:rPr>
          <w:spacing w:val="-7"/>
          <w:sz w:val="22"/>
        </w:rPr>
        <w:t> </w:t>
      </w:r>
      <w:r>
        <w:rPr>
          <w:sz w:val="22"/>
        </w:rPr>
        <w:t>to</w:t>
      </w:r>
      <w:r>
        <w:rPr>
          <w:spacing w:val="-6"/>
          <w:sz w:val="22"/>
        </w:rPr>
        <w:t> </w:t>
      </w:r>
      <w:r>
        <w:rPr>
          <w:sz w:val="22"/>
        </w:rPr>
        <w:t>and</w:t>
      </w:r>
      <w:r>
        <w:rPr>
          <w:spacing w:val="-5"/>
          <w:sz w:val="22"/>
        </w:rPr>
        <w:t> </w:t>
      </w:r>
      <w:r>
        <w:rPr>
          <w:sz w:val="22"/>
        </w:rPr>
        <w:t>participation</w:t>
      </w:r>
      <w:r>
        <w:rPr>
          <w:spacing w:val="-5"/>
          <w:sz w:val="22"/>
        </w:rPr>
        <w:t> </w:t>
      </w:r>
      <w:r>
        <w:rPr>
          <w:sz w:val="22"/>
        </w:rPr>
        <w:t>in</w:t>
      </w:r>
      <w:r>
        <w:rPr>
          <w:spacing w:val="-5"/>
          <w:sz w:val="22"/>
        </w:rPr>
        <w:t> </w:t>
      </w:r>
      <w:r>
        <w:rPr>
          <w:sz w:val="22"/>
        </w:rPr>
        <w:t>the</w:t>
      </w:r>
      <w:r>
        <w:rPr>
          <w:spacing w:val="-4"/>
          <w:sz w:val="22"/>
        </w:rPr>
        <w:t> </w:t>
      </w:r>
      <w:r>
        <w:rPr>
          <w:sz w:val="22"/>
        </w:rPr>
        <w:t>Mid-Year</w:t>
      </w:r>
      <w:r>
        <w:rPr>
          <w:spacing w:val="-4"/>
          <w:sz w:val="22"/>
        </w:rPr>
        <w:t> </w:t>
      </w:r>
      <w:r>
        <w:rPr>
          <w:sz w:val="22"/>
        </w:rPr>
        <w:t>Review</w:t>
      </w:r>
      <w:r>
        <w:rPr>
          <w:spacing w:val="-4"/>
          <w:sz w:val="22"/>
        </w:rPr>
        <w:t> </w:t>
      </w:r>
      <w:r>
        <w:rPr>
          <w:spacing w:val="-2"/>
          <w:sz w:val="22"/>
        </w:rPr>
        <w:t>Workshop.</w:t>
      </w:r>
    </w:p>
    <w:p>
      <w:pPr>
        <w:pStyle w:val="BodyText"/>
        <w:spacing w:before="245"/>
        <w:ind w:left="1119"/>
        <w:jc w:val="both"/>
      </w:pPr>
      <w:r>
        <w:rPr/>
        <w:t>Details</w:t>
      </w:r>
      <w:r>
        <w:rPr>
          <w:spacing w:val="-7"/>
        </w:rPr>
        <w:t> </w:t>
      </w:r>
      <w:r>
        <w:rPr/>
        <w:t>of</w:t>
      </w:r>
      <w:r>
        <w:rPr>
          <w:spacing w:val="-4"/>
        </w:rPr>
        <w:t> </w:t>
      </w:r>
      <w:r>
        <w:rPr/>
        <w:t>documents</w:t>
      </w:r>
      <w:r>
        <w:rPr>
          <w:spacing w:val="-4"/>
        </w:rPr>
        <w:t> </w:t>
      </w:r>
      <w:r>
        <w:rPr/>
        <w:t>reviewed</w:t>
      </w:r>
      <w:r>
        <w:rPr>
          <w:spacing w:val="-5"/>
        </w:rPr>
        <w:t> </w:t>
      </w:r>
      <w:r>
        <w:rPr/>
        <w:t>and</w:t>
      </w:r>
      <w:r>
        <w:rPr>
          <w:spacing w:val="-5"/>
        </w:rPr>
        <w:t> </w:t>
      </w:r>
      <w:r>
        <w:rPr/>
        <w:t>personnel</w:t>
      </w:r>
      <w:r>
        <w:rPr>
          <w:spacing w:val="-3"/>
        </w:rPr>
        <w:t> </w:t>
      </w:r>
      <w:r>
        <w:rPr/>
        <w:t>interviewed</w:t>
      </w:r>
      <w:r>
        <w:rPr>
          <w:spacing w:val="-5"/>
        </w:rPr>
        <w:t> </w:t>
      </w:r>
      <w:r>
        <w:rPr/>
        <w:t>are</w:t>
      </w:r>
      <w:r>
        <w:rPr>
          <w:spacing w:val="-4"/>
        </w:rPr>
        <w:t> </w:t>
      </w:r>
      <w:r>
        <w:rPr/>
        <w:t>provided</w:t>
      </w:r>
      <w:r>
        <w:rPr>
          <w:spacing w:val="-5"/>
        </w:rPr>
        <w:t> </w:t>
      </w:r>
      <w:r>
        <w:rPr/>
        <w:t>in</w:t>
      </w:r>
      <w:r>
        <w:rPr>
          <w:spacing w:val="-5"/>
        </w:rPr>
        <w:t> </w:t>
      </w:r>
      <w:r>
        <w:rPr/>
        <w:t>Tables</w:t>
      </w:r>
      <w:r>
        <w:rPr>
          <w:spacing w:val="-4"/>
        </w:rPr>
        <w:t> </w:t>
      </w:r>
      <w:r>
        <w:rPr/>
        <w:t>1</w:t>
      </w:r>
      <w:r>
        <w:rPr>
          <w:spacing w:val="-6"/>
        </w:rPr>
        <w:t> </w:t>
      </w:r>
      <w:r>
        <w:rPr/>
        <w:t>and</w:t>
      </w:r>
      <w:r>
        <w:rPr>
          <w:spacing w:val="-5"/>
        </w:rPr>
        <w:t> 2.</w:t>
      </w:r>
    </w:p>
    <w:p>
      <w:pPr>
        <w:pStyle w:val="BodyText"/>
        <w:spacing w:before="8"/>
        <w:rPr>
          <w:sz w:val="19"/>
        </w:rPr>
      </w:pPr>
    </w:p>
    <w:p>
      <w:pPr>
        <w:spacing w:before="1"/>
        <w:ind w:left="1119" w:right="0" w:firstLine="0"/>
        <w:jc w:val="both"/>
        <w:rPr>
          <w:i/>
          <w:sz w:val="22"/>
        </w:rPr>
      </w:pPr>
      <w:r>
        <w:rPr>
          <w:i/>
          <w:sz w:val="22"/>
        </w:rPr>
        <w:t>Table</w:t>
      </w:r>
      <w:r>
        <w:rPr>
          <w:i/>
          <w:spacing w:val="-3"/>
          <w:sz w:val="22"/>
        </w:rPr>
        <w:t> </w:t>
      </w:r>
      <w:r>
        <w:rPr>
          <w:i/>
          <w:sz w:val="22"/>
        </w:rPr>
        <w:t>1:</w:t>
      </w:r>
      <w:r>
        <w:rPr>
          <w:i/>
          <w:spacing w:val="-5"/>
          <w:sz w:val="22"/>
        </w:rPr>
        <w:t> </w:t>
      </w:r>
      <w:r>
        <w:rPr>
          <w:i/>
          <w:sz w:val="22"/>
        </w:rPr>
        <w:t>Key</w:t>
      </w:r>
      <w:r>
        <w:rPr>
          <w:i/>
          <w:spacing w:val="-1"/>
          <w:sz w:val="22"/>
        </w:rPr>
        <w:t> </w:t>
      </w:r>
      <w:r>
        <w:rPr>
          <w:i/>
          <w:sz w:val="22"/>
        </w:rPr>
        <w:t>Documents</w:t>
      </w:r>
      <w:r>
        <w:rPr>
          <w:i/>
          <w:spacing w:val="-3"/>
          <w:sz w:val="22"/>
        </w:rPr>
        <w:t> </w:t>
      </w:r>
      <w:r>
        <w:rPr>
          <w:i/>
          <w:spacing w:val="-2"/>
          <w:sz w:val="22"/>
        </w:rPr>
        <w:t>reviewed</w:t>
      </w:r>
    </w:p>
    <w:p>
      <w:pPr>
        <w:pStyle w:val="BodyText"/>
        <w:spacing w:before="8"/>
        <w:rPr>
          <w:i/>
          <w:sz w:val="9"/>
        </w:rPr>
      </w:pPr>
    </w:p>
    <w:tbl>
      <w:tblPr>
        <w:tblW w:w="0" w:type="auto"/>
        <w:jc w:val="lef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24"/>
        <w:gridCol w:w="1786"/>
      </w:tblGrid>
      <w:tr>
        <w:trPr>
          <w:trHeight w:val="508" w:hRule="atLeast"/>
        </w:trPr>
        <w:tc>
          <w:tcPr>
            <w:tcW w:w="7224" w:type="dxa"/>
            <w:shd w:val="clear" w:color="auto" w:fill="B4C6E7"/>
          </w:tcPr>
          <w:p>
            <w:pPr>
              <w:pStyle w:val="TableParagraph"/>
              <w:spacing w:before="121"/>
              <w:ind w:left="3128" w:right="3110"/>
              <w:jc w:val="center"/>
              <w:rPr>
                <w:b/>
                <w:sz w:val="22"/>
              </w:rPr>
            </w:pPr>
            <w:r>
              <w:rPr>
                <w:b/>
                <w:spacing w:val="-2"/>
                <w:sz w:val="22"/>
              </w:rPr>
              <w:t>Document</w:t>
            </w:r>
          </w:p>
        </w:tc>
        <w:tc>
          <w:tcPr>
            <w:tcW w:w="1786" w:type="dxa"/>
            <w:shd w:val="clear" w:color="auto" w:fill="B4C6E7"/>
          </w:tcPr>
          <w:p>
            <w:pPr>
              <w:pStyle w:val="TableParagraph"/>
              <w:spacing w:before="121"/>
              <w:ind w:left="585"/>
              <w:rPr>
                <w:b/>
                <w:sz w:val="22"/>
              </w:rPr>
            </w:pPr>
            <w:r>
              <w:rPr>
                <w:b/>
                <w:spacing w:val="-2"/>
                <w:sz w:val="22"/>
              </w:rPr>
              <w:t>Source</w:t>
            </w:r>
          </w:p>
        </w:tc>
      </w:tr>
      <w:tr>
        <w:trPr>
          <w:trHeight w:val="604" w:hRule="atLeast"/>
        </w:trPr>
        <w:tc>
          <w:tcPr>
            <w:tcW w:w="7224" w:type="dxa"/>
          </w:tcPr>
          <w:p>
            <w:pPr>
              <w:pStyle w:val="TableParagraph"/>
              <w:spacing w:line="235" w:lineRule="auto" w:before="62"/>
              <w:ind w:left="110" w:right="12"/>
              <w:rPr>
                <w:sz w:val="20"/>
              </w:rPr>
            </w:pPr>
            <w:r>
              <w:rPr>
                <w:sz w:val="20"/>
              </w:rPr>
              <w:t>Direct</w:t>
            </w:r>
            <w:r>
              <w:rPr>
                <w:spacing w:val="-6"/>
                <w:sz w:val="20"/>
              </w:rPr>
              <w:t> </w:t>
            </w:r>
            <w:r>
              <w:rPr>
                <w:sz w:val="20"/>
              </w:rPr>
              <w:t>Funding Agreement</w:t>
            </w:r>
            <w:r>
              <w:rPr>
                <w:spacing w:val="-1"/>
                <w:sz w:val="20"/>
              </w:rPr>
              <w:t> </w:t>
            </w:r>
            <w:r>
              <w:rPr>
                <w:sz w:val="20"/>
              </w:rPr>
              <w:t>between</w:t>
            </w:r>
            <w:r>
              <w:rPr>
                <w:spacing w:val="-1"/>
                <w:sz w:val="20"/>
              </w:rPr>
              <w:t> </w:t>
            </w:r>
            <w:r>
              <w:rPr>
                <w:sz w:val="20"/>
              </w:rPr>
              <w:t>the</w:t>
            </w:r>
            <w:r>
              <w:rPr>
                <w:spacing w:val="-5"/>
                <w:sz w:val="20"/>
              </w:rPr>
              <w:t> </w:t>
            </w:r>
            <w:r>
              <w:rPr>
                <w:sz w:val="20"/>
              </w:rPr>
              <w:t>Government</w:t>
            </w:r>
            <w:r>
              <w:rPr>
                <w:spacing w:val="-6"/>
                <w:sz w:val="20"/>
              </w:rPr>
              <w:t> </w:t>
            </w:r>
            <w:r>
              <w:rPr>
                <w:sz w:val="20"/>
              </w:rPr>
              <w:t>of</w:t>
            </w:r>
            <w:r>
              <w:rPr>
                <w:spacing w:val="-5"/>
                <w:sz w:val="20"/>
              </w:rPr>
              <w:t> </w:t>
            </w:r>
            <w:r>
              <w:rPr>
                <w:sz w:val="20"/>
              </w:rPr>
              <w:t>Australia</w:t>
            </w:r>
            <w:r>
              <w:rPr>
                <w:spacing w:val="-6"/>
                <w:sz w:val="20"/>
              </w:rPr>
              <w:t> </w:t>
            </w:r>
            <w:r>
              <w:rPr>
                <w:sz w:val="20"/>
              </w:rPr>
              <w:t>and</w:t>
            </w:r>
            <w:r>
              <w:rPr>
                <w:spacing w:val="-6"/>
                <w:sz w:val="20"/>
              </w:rPr>
              <w:t> </w:t>
            </w:r>
            <w:r>
              <w:rPr>
                <w:sz w:val="20"/>
              </w:rPr>
              <w:t>Solomon</w:t>
            </w:r>
            <w:r>
              <w:rPr>
                <w:spacing w:val="-6"/>
                <w:sz w:val="20"/>
              </w:rPr>
              <w:t> </w:t>
            </w:r>
            <w:r>
              <w:rPr>
                <w:sz w:val="20"/>
              </w:rPr>
              <w:t>Islands </w:t>
            </w:r>
            <w:r>
              <w:rPr>
                <w:spacing w:val="-2"/>
                <w:sz w:val="20"/>
              </w:rPr>
              <w:t>Government</w:t>
            </w:r>
          </w:p>
        </w:tc>
        <w:tc>
          <w:tcPr>
            <w:tcW w:w="1786" w:type="dxa"/>
          </w:tcPr>
          <w:p>
            <w:pPr>
              <w:pStyle w:val="TableParagraph"/>
              <w:spacing w:before="59"/>
              <w:ind w:left="110"/>
              <w:rPr>
                <w:sz w:val="20"/>
              </w:rPr>
            </w:pPr>
            <w:r>
              <w:rPr>
                <w:spacing w:val="-4"/>
                <w:sz w:val="20"/>
              </w:rPr>
              <w:t>DFAT</w:t>
            </w:r>
          </w:p>
        </w:tc>
      </w:tr>
      <w:tr>
        <w:trPr>
          <w:trHeight w:val="609" w:hRule="atLeast"/>
        </w:trPr>
        <w:tc>
          <w:tcPr>
            <w:tcW w:w="7224" w:type="dxa"/>
          </w:tcPr>
          <w:p>
            <w:pPr>
              <w:pStyle w:val="TableParagraph"/>
              <w:spacing w:line="235" w:lineRule="auto" w:before="67"/>
              <w:ind w:left="110" w:right="12"/>
              <w:rPr>
                <w:sz w:val="20"/>
              </w:rPr>
            </w:pPr>
            <w:r>
              <w:rPr>
                <w:sz w:val="20"/>
              </w:rPr>
              <w:t>Solomon</w:t>
            </w:r>
            <w:r>
              <w:rPr>
                <w:spacing w:val="-5"/>
                <w:sz w:val="20"/>
              </w:rPr>
              <w:t> </w:t>
            </w:r>
            <w:r>
              <w:rPr>
                <w:sz w:val="20"/>
              </w:rPr>
              <w:t>Islands</w:t>
            </w:r>
            <w:r>
              <w:rPr>
                <w:spacing w:val="-7"/>
                <w:sz w:val="20"/>
              </w:rPr>
              <w:t> </w:t>
            </w:r>
            <w:r>
              <w:rPr>
                <w:sz w:val="20"/>
              </w:rPr>
              <w:t>Education</w:t>
            </w:r>
            <w:r>
              <w:rPr>
                <w:spacing w:val="-5"/>
                <w:sz w:val="20"/>
              </w:rPr>
              <w:t> </w:t>
            </w:r>
            <w:r>
              <w:rPr>
                <w:sz w:val="20"/>
              </w:rPr>
              <w:t>Sector Statement of</w:t>
            </w:r>
            <w:r>
              <w:rPr>
                <w:spacing w:val="-8"/>
                <w:sz w:val="20"/>
              </w:rPr>
              <w:t> </w:t>
            </w:r>
            <w:r>
              <w:rPr>
                <w:sz w:val="20"/>
              </w:rPr>
              <w:t>Partnership</w:t>
            </w:r>
            <w:r>
              <w:rPr>
                <w:spacing w:val="-10"/>
                <w:sz w:val="20"/>
              </w:rPr>
              <w:t> </w:t>
            </w:r>
            <w:r>
              <w:rPr>
                <w:sz w:val="20"/>
              </w:rPr>
              <w:t>Principles</w:t>
            </w:r>
            <w:r>
              <w:rPr>
                <w:spacing w:val="-7"/>
                <w:sz w:val="20"/>
              </w:rPr>
              <w:t> </w:t>
            </w:r>
            <w:r>
              <w:rPr>
                <w:sz w:val="20"/>
              </w:rPr>
              <w:t>between Solomon Islands Government and Development Partners 2016 – 2020</w:t>
            </w:r>
          </w:p>
        </w:tc>
        <w:tc>
          <w:tcPr>
            <w:tcW w:w="1786" w:type="dxa"/>
          </w:tcPr>
          <w:p>
            <w:pPr>
              <w:pStyle w:val="TableParagraph"/>
              <w:spacing w:before="63"/>
              <w:ind w:left="110"/>
              <w:rPr>
                <w:sz w:val="20"/>
              </w:rPr>
            </w:pPr>
            <w:r>
              <w:rPr>
                <w:spacing w:val="-4"/>
                <w:sz w:val="20"/>
              </w:rPr>
              <w:t>DFAT</w:t>
            </w:r>
          </w:p>
        </w:tc>
      </w:tr>
      <w:tr>
        <w:trPr>
          <w:trHeight w:val="609" w:hRule="atLeast"/>
        </w:trPr>
        <w:tc>
          <w:tcPr>
            <w:tcW w:w="7224" w:type="dxa"/>
          </w:tcPr>
          <w:p>
            <w:pPr>
              <w:pStyle w:val="TableParagraph"/>
              <w:spacing w:before="59"/>
              <w:ind w:left="110" w:right="12"/>
              <w:rPr>
                <w:sz w:val="20"/>
              </w:rPr>
            </w:pPr>
            <w:r>
              <w:rPr>
                <w:sz w:val="20"/>
              </w:rPr>
              <w:t>Solomon</w:t>
            </w:r>
            <w:r>
              <w:rPr>
                <w:spacing w:val="-7"/>
                <w:sz w:val="20"/>
              </w:rPr>
              <w:t> </w:t>
            </w:r>
            <w:r>
              <w:rPr>
                <w:sz w:val="20"/>
              </w:rPr>
              <w:t>Islands</w:t>
            </w:r>
            <w:r>
              <w:rPr>
                <w:spacing w:val="-8"/>
                <w:sz w:val="20"/>
              </w:rPr>
              <w:t> </w:t>
            </w:r>
            <w:r>
              <w:rPr>
                <w:sz w:val="20"/>
              </w:rPr>
              <w:t>Education</w:t>
            </w:r>
            <w:r>
              <w:rPr>
                <w:spacing w:val="-7"/>
                <w:sz w:val="20"/>
              </w:rPr>
              <w:t> </w:t>
            </w:r>
            <w:r>
              <w:rPr>
                <w:sz w:val="20"/>
              </w:rPr>
              <w:t>Sector Support</w:t>
            </w:r>
            <w:r>
              <w:rPr>
                <w:spacing w:val="-7"/>
                <w:sz w:val="20"/>
              </w:rPr>
              <w:t> </w:t>
            </w:r>
            <w:r>
              <w:rPr>
                <w:sz w:val="20"/>
              </w:rPr>
              <w:t>Program</w:t>
            </w:r>
            <w:r>
              <w:rPr>
                <w:spacing w:val="-4"/>
                <w:sz w:val="20"/>
              </w:rPr>
              <w:t> </w:t>
            </w:r>
            <w:r>
              <w:rPr>
                <w:sz w:val="20"/>
              </w:rPr>
              <w:t>Independent</w:t>
            </w:r>
            <w:r>
              <w:rPr>
                <w:spacing w:val="-7"/>
                <w:sz w:val="20"/>
              </w:rPr>
              <w:t> </w:t>
            </w:r>
            <w:r>
              <w:rPr>
                <w:sz w:val="20"/>
              </w:rPr>
              <w:t>Performance Assessment 2015</w:t>
            </w:r>
          </w:p>
        </w:tc>
        <w:tc>
          <w:tcPr>
            <w:tcW w:w="1786" w:type="dxa"/>
          </w:tcPr>
          <w:p>
            <w:pPr>
              <w:pStyle w:val="TableParagraph"/>
              <w:spacing w:before="59"/>
              <w:ind w:left="110"/>
              <w:rPr>
                <w:sz w:val="20"/>
              </w:rPr>
            </w:pPr>
            <w:r>
              <w:rPr>
                <w:spacing w:val="-4"/>
                <w:sz w:val="20"/>
              </w:rPr>
              <w:t>DFAT</w:t>
            </w:r>
          </w:p>
        </w:tc>
      </w:tr>
      <w:tr>
        <w:trPr>
          <w:trHeight w:val="609" w:hRule="atLeast"/>
        </w:trPr>
        <w:tc>
          <w:tcPr>
            <w:tcW w:w="7224" w:type="dxa"/>
          </w:tcPr>
          <w:p>
            <w:pPr>
              <w:pStyle w:val="TableParagraph"/>
              <w:spacing w:line="235" w:lineRule="auto" w:before="62"/>
              <w:ind w:left="110" w:right="12"/>
              <w:rPr>
                <w:sz w:val="20"/>
              </w:rPr>
            </w:pPr>
            <w:r>
              <w:rPr>
                <w:sz w:val="20"/>
              </w:rPr>
              <w:t>Solomon</w:t>
            </w:r>
            <w:r>
              <w:rPr>
                <w:spacing w:val="-6"/>
                <w:sz w:val="20"/>
              </w:rPr>
              <w:t> </w:t>
            </w:r>
            <w:r>
              <w:rPr>
                <w:sz w:val="20"/>
              </w:rPr>
              <w:t>Islands</w:t>
            </w:r>
            <w:r>
              <w:rPr>
                <w:spacing w:val="-8"/>
                <w:sz w:val="20"/>
              </w:rPr>
              <w:t> </w:t>
            </w:r>
            <w:r>
              <w:rPr>
                <w:sz w:val="20"/>
              </w:rPr>
              <w:t>Education</w:t>
            </w:r>
            <w:r>
              <w:rPr>
                <w:spacing w:val="-6"/>
                <w:sz w:val="20"/>
              </w:rPr>
              <w:t> </w:t>
            </w:r>
            <w:r>
              <w:rPr>
                <w:sz w:val="20"/>
              </w:rPr>
              <w:t>Sector Support</w:t>
            </w:r>
            <w:r>
              <w:rPr>
                <w:spacing w:val="-6"/>
                <w:sz w:val="20"/>
              </w:rPr>
              <w:t> </w:t>
            </w:r>
            <w:r>
              <w:rPr>
                <w:sz w:val="20"/>
              </w:rPr>
              <w:t>Program</w:t>
            </w:r>
            <w:r>
              <w:rPr>
                <w:spacing w:val="-4"/>
                <w:sz w:val="20"/>
              </w:rPr>
              <w:t> </w:t>
            </w:r>
            <w:r>
              <w:rPr>
                <w:sz w:val="20"/>
              </w:rPr>
              <w:t>Independent</w:t>
            </w:r>
            <w:r>
              <w:rPr>
                <w:spacing w:val="-2"/>
                <w:sz w:val="20"/>
              </w:rPr>
              <w:t> </w:t>
            </w:r>
            <w:r>
              <w:rPr>
                <w:sz w:val="20"/>
              </w:rPr>
              <w:t>Annual</w:t>
            </w:r>
            <w:r>
              <w:rPr>
                <w:spacing w:val="-5"/>
                <w:sz w:val="20"/>
              </w:rPr>
              <w:t> </w:t>
            </w:r>
            <w:r>
              <w:rPr>
                <w:sz w:val="20"/>
              </w:rPr>
              <w:t>Performance Assessment 2016</w:t>
            </w:r>
          </w:p>
        </w:tc>
        <w:tc>
          <w:tcPr>
            <w:tcW w:w="1786" w:type="dxa"/>
          </w:tcPr>
          <w:p>
            <w:pPr>
              <w:pStyle w:val="TableParagraph"/>
              <w:spacing w:before="59"/>
              <w:ind w:left="110"/>
              <w:rPr>
                <w:sz w:val="20"/>
              </w:rPr>
            </w:pPr>
            <w:r>
              <w:rPr>
                <w:spacing w:val="-4"/>
                <w:sz w:val="20"/>
              </w:rPr>
              <w:t>DFAT</w:t>
            </w:r>
          </w:p>
        </w:tc>
      </w:tr>
      <w:tr>
        <w:trPr>
          <w:trHeight w:val="364" w:hRule="atLeast"/>
        </w:trPr>
        <w:tc>
          <w:tcPr>
            <w:tcW w:w="7224" w:type="dxa"/>
          </w:tcPr>
          <w:p>
            <w:pPr>
              <w:pStyle w:val="TableParagraph"/>
              <w:spacing w:before="59"/>
              <w:ind w:left="110"/>
              <w:rPr>
                <w:sz w:val="20"/>
              </w:rPr>
            </w:pPr>
            <w:r>
              <w:rPr>
                <w:sz w:val="20"/>
              </w:rPr>
              <w:t>National</w:t>
            </w:r>
            <w:r>
              <w:rPr>
                <w:spacing w:val="-14"/>
                <w:sz w:val="20"/>
              </w:rPr>
              <w:t> </w:t>
            </w:r>
            <w:r>
              <w:rPr>
                <w:sz w:val="20"/>
              </w:rPr>
              <w:t>Education</w:t>
            </w:r>
            <w:r>
              <w:rPr>
                <w:spacing w:val="-7"/>
                <w:sz w:val="20"/>
              </w:rPr>
              <w:t> </w:t>
            </w:r>
            <w:r>
              <w:rPr>
                <w:sz w:val="20"/>
              </w:rPr>
              <w:t>Action</w:t>
            </w:r>
            <w:r>
              <w:rPr>
                <w:spacing w:val="-10"/>
                <w:sz w:val="20"/>
              </w:rPr>
              <w:t> </w:t>
            </w:r>
            <w:r>
              <w:rPr>
                <w:sz w:val="20"/>
              </w:rPr>
              <w:t>Plan</w:t>
            </w:r>
            <w:r>
              <w:rPr>
                <w:spacing w:val="-10"/>
                <w:sz w:val="20"/>
              </w:rPr>
              <w:t> </w:t>
            </w:r>
            <w:r>
              <w:rPr>
                <w:sz w:val="20"/>
              </w:rPr>
              <w:t>2016-</w:t>
            </w:r>
            <w:r>
              <w:rPr>
                <w:spacing w:val="-4"/>
                <w:sz w:val="20"/>
              </w:rPr>
              <w:t>2020</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National</w:t>
            </w:r>
            <w:r>
              <w:rPr>
                <w:spacing w:val="-14"/>
                <w:sz w:val="20"/>
              </w:rPr>
              <w:t> </w:t>
            </w:r>
            <w:r>
              <w:rPr>
                <w:sz w:val="20"/>
              </w:rPr>
              <w:t>Education</w:t>
            </w:r>
            <w:r>
              <w:rPr>
                <w:spacing w:val="-11"/>
                <w:sz w:val="20"/>
              </w:rPr>
              <w:t> </w:t>
            </w:r>
            <w:r>
              <w:rPr>
                <w:sz w:val="20"/>
              </w:rPr>
              <w:t>Action</w:t>
            </w:r>
            <w:r>
              <w:rPr>
                <w:spacing w:val="-11"/>
                <w:sz w:val="20"/>
              </w:rPr>
              <w:t> </w:t>
            </w:r>
            <w:r>
              <w:rPr>
                <w:sz w:val="20"/>
              </w:rPr>
              <w:t>Plan</w:t>
            </w:r>
            <w:r>
              <w:rPr>
                <w:spacing w:val="-12"/>
                <w:sz w:val="20"/>
              </w:rPr>
              <w:t> </w:t>
            </w:r>
            <w:r>
              <w:rPr>
                <w:sz w:val="20"/>
              </w:rPr>
              <w:t>2016-2020</w:t>
            </w:r>
            <w:r>
              <w:rPr>
                <w:spacing w:val="-8"/>
                <w:sz w:val="20"/>
              </w:rPr>
              <w:t> </w:t>
            </w:r>
            <w:r>
              <w:rPr>
                <w:sz w:val="20"/>
              </w:rPr>
              <w:t>Implementation</w:t>
            </w:r>
            <w:r>
              <w:rPr>
                <w:spacing w:val="-11"/>
                <w:sz w:val="20"/>
              </w:rPr>
              <w:t> </w:t>
            </w:r>
            <w:r>
              <w:rPr>
                <w:spacing w:val="-2"/>
                <w:sz w:val="20"/>
              </w:rPr>
              <w:t>Framework</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Performance</w:t>
            </w:r>
            <w:r>
              <w:rPr>
                <w:spacing w:val="-5"/>
                <w:sz w:val="20"/>
              </w:rPr>
              <w:t> </w:t>
            </w:r>
            <w:r>
              <w:rPr>
                <w:sz w:val="20"/>
              </w:rPr>
              <w:t>Assessment</w:t>
            </w:r>
            <w:r>
              <w:rPr>
                <w:spacing w:val="-10"/>
                <w:sz w:val="20"/>
              </w:rPr>
              <w:t> </w:t>
            </w:r>
            <w:r>
              <w:rPr>
                <w:sz w:val="20"/>
              </w:rPr>
              <w:t>Report</w:t>
            </w:r>
            <w:r>
              <w:rPr>
                <w:spacing w:val="-10"/>
                <w:sz w:val="20"/>
              </w:rPr>
              <w:t> </w:t>
            </w:r>
            <w:r>
              <w:rPr>
                <w:sz w:val="20"/>
              </w:rPr>
              <w:t>2015</w:t>
            </w:r>
            <w:r>
              <w:rPr>
                <w:spacing w:val="-6"/>
                <w:sz w:val="20"/>
              </w:rPr>
              <w:t> </w:t>
            </w:r>
            <w:r>
              <w:rPr>
                <w:sz w:val="20"/>
              </w:rPr>
              <w:t>&amp;</w:t>
            </w:r>
            <w:r>
              <w:rPr>
                <w:spacing w:val="-8"/>
                <w:sz w:val="20"/>
              </w:rPr>
              <w:t> </w:t>
            </w:r>
            <w:r>
              <w:rPr>
                <w:spacing w:val="-4"/>
                <w:sz w:val="20"/>
              </w:rPr>
              <w:t>2016</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MEHRD</w:t>
            </w:r>
            <w:r>
              <w:rPr>
                <w:spacing w:val="-2"/>
                <w:sz w:val="20"/>
              </w:rPr>
              <w:t> </w:t>
            </w:r>
            <w:r>
              <w:rPr>
                <w:sz w:val="20"/>
              </w:rPr>
              <w:t>2017</w:t>
            </w:r>
            <w:r>
              <w:rPr>
                <w:spacing w:val="-8"/>
                <w:sz w:val="20"/>
              </w:rPr>
              <w:t> </w:t>
            </w:r>
            <w:r>
              <w:rPr>
                <w:sz w:val="20"/>
              </w:rPr>
              <w:t>Quarter</w:t>
            </w:r>
            <w:r>
              <w:rPr>
                <w:spacing w:val="-6"/>
                <w:sz w:val="20"/>
              </w:rPr>
              <w:t> </w:t>
            </w:r>
            <w:r>
              <w:rPr>
                <w:sz w:val="20"/>
              </w:rPr>
              <w:t>1</w:t>
            </w:r>
            <w:r>
              <w:rPr>
                <w:spacing w:val="-3"/>
                <w:sz w:val="20"/>
              </w:rPr>
              <w:t> </w:t>
            </w:r>
            <w:r>
              <w:rPr>
                <w:spacing w:val="-2"/>
                <w:sz w:val="20"/>
              </w:rPr>
              <w:t>Report</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MERHD</w:t>
            </w:r>
            <w:r>
              <w:rPr>
                <w:spacing w:val="-4"/>
                <w:sz w:val="20"/>
              </w:rPr>
              <w:t> </w:t>
            </w:r>
            <w:r>
              <w:rPr>
                <w:sz w:val="20"/>
              </w:rPr>
              <w:t>Annual</w:t>
            </w:r>
            <w:r>
              <w:rPr>
                <w:spacing w:val="-6"/>
                <w:sz w:val="20"/>
              </w:rPr>
              <w:t> </w:t>
            </w:r>
            <w:r>
              <w:rPr>
                <w:sz w:val="20"/>
              </w:rPr>
              <w:t>Work</w:t>
            </w:r>
            <w:r>
              <w:rPr>
                <w:spacing w:val="-8"/>
                <w:sz w:val="20"/>
              </w:rPr>
              <w:t> </w:t>
            </w:r>
            <w:r>
              <w:rPr>
                <w:spacing w:val="-4"/>
                <w:sz w:val="20"/>
              </w:rPr>
              <w:t>Plan</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Public</w:t>
            </w:r>
            <w:r>
              <w:rPr>
                <w:spacing w:val="-11"/>
                <w:sz w:val="20"/>
              </w:rPr>
              <w:t> </w:t>
            </w:r>
            <w:r>
              <w:rPr>
                <w:sz w:val="20"/>
              </w:rPr>
              <w:t>Finance</w:t>
            </w:r>
            <w:r>
              <w:rPr>
                <w:spacing w:val="-10"/>
                <w:sz w:val="20"/>
              </w:rPr>
              <w:t> </w:t>
            </w:r>
            <w:r>
              <w:rPr>
                <w:sz w:val="20"/>
              </w:rPr>
              <w:t>Management</w:t>
            </w:r>
            <w:r>
              <w:rPr>
                <w:spacing w:val="-10"/>
                <w:sz w:val="20"/>
              </w:rPr>
              <w:t> </w:t>
            </w:r>
            <w:r>
              <w:rPr>
                <w:spacing w:val="-4"/>
                <w:sz w:val="20"/>
              </w:rPr>
              <w:t>Plan</w:t>
            </w:r>
          </w:p>
        </w:tc>
        <w:tc>
          <w:tcPr>
            <w:tcW w:w="1786" w:type="dxa"/>
          </w:tcPr>
          <w:p>
            <w:pPr>
              <w:pStyle w:val="TableParagraph"/>
              <w:spacing w:before="59"/>
              <w:ind w:left="110"/>
              <w:rPr>
                <w:sz w:val="20"/>
              </w:rPr>
            </w:pPr>
            <w:r>
              <w:rPr>
                <w:spacing w:val="-4"/>
                <w:sz w:val="20"/>
              </w:rPr>
              <w:t>MEHRD</w:t>
            </w:r>
          </w:p>
        </w:tc>
      </w:tr>
      <w:tr>
        <w:trPr>
          <w:trHeight w:val="359" w:hRule="atLeast"/>
        </w:trPr>
        <w:tc>
          <w:tcPr>
            <w:tcW w:w="7224" w:type="dxa"/>
          </w:tcPr>
          <w:p>
            <w:pPr>
              <w:pStyle w:val="TableParagraph"/>
              <w:spacing w:before="59"/>
              <w:ind w:left="110"/>
              <w:rPr>
                <w:sz w:val="20"/>
              </w:rPr>
            </w:pPr>
            <w:r>
              <w:rPr>
                <w:sz w:val="20"/>
              </w:rPr>
              <w:t>Revenue</w:t>
            </w:r>
            <w:r>
              <w:rPr>
                <w:spacing w:val="-9"/>
                <w:sz w:val="20"/>
              </w:rPr>
              <w:t> </w:t>
            </w:r>
            <w:r>
              <w:rPr>
                <w:sz w:val="20"/>
              </w:rPr>
              <w:t>and</w:t>
            </w:r>
            <w:r>
              <w:rPr>
                <w:spacing w:val="-11"/>
                <w:sz w:val="20"/>
              </w:rPr>
              <w:t> </w:t>
            </w:r>
            <w:r>
              <w:rPr>
                <w:sz w:val="20"/>
              </w:rPr>
              <w:t>Expenditure</w:t>
            </w:r>
            <w:r>
              <w:rPr>
                <w:spacing w:val="-6"/>
                <w:sz w:val="20"/>
              </w:rPr>
              <w:t> </w:t>
            </w:r>
            <w:r>
              <w:rPr>
                <w:sz w:val="20"/>
              </w:rPr>
              <w:t>Statement</w:t>
            </w:r>
            <w:r>
              <w:rPr>
                <w:spacing w:val="-6"/>
                <w:sz w:val="20"/>
              </w:rPr>
              <w:t> </w:t>
            </w:r>
            <w:r>
              <w:rPr>
                <w:sz w:val="20"/>
              </w:rPr>
              <w:t>–</w:t>
            </w:r>
            <w:r>
              <w:rPr>
                <w:spacing w:val="-10"/>
                <w:sz w:val="20"/>
              </w:rPr>
              <w:t> </w:t>
            </w:r>
            <w:r>
              <w:rPr>
                <w:sz w:val="20"/>
              </w:rPr>
              <w:t>December</w:t>
            </w:r>
            <w:r>
              <w:rPr>
                <w:spacing w:val="-4"/>
                <w:sz w:val="20"/>
              </w:rPr>
              <w:t> 2016</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63"/>
              <w:ind w:left="110"/>
              <w:rPr>
                <w:sz w:val="20"/>
              </w:rPr>
            </w:pPr>
            <w:r>
              <w:rPr>
                <w:sz w:val="20"/>
              </w:rPr>
              <w:t>School</w:t>
            </w:r>
            <w:r>
              <w:rPr>
                <w:spacing w:val="-9"/>
                <w:sz w:val="20"/>
              </w:rPr>
              <w:t> </w:t>
            </w:r>
            <w:r>
              <w:rPr>
                <w:sz w:val="20"/>
              </w:rPr>
              <w:t>Financial</w:t>
            </w:r>
            <w:r>
              <w:rPr>
                <w:spacing w:val="-10"/>
                <w:sz w:val="20"/>
              </w:rPr>
              <w:t> </w:t>
            </w:r>
            <w:r>
              <w:rPr>
                <w:sz w:val="20"/>
              </w:rPr>
              <w:t>Management</w:t>
            </w:r>
            <w:r>
              <w:rPr>
                <w:spacing w:val="-11"/>
                <w:sz w:val="20"/>
              </w:rPr>
              <w:t> </w:t>
            </w:r>
            <w:r>
              <w:rPr>
                <w:spacing w:val="-2"/>
                <w:sz w:val="20"/>
              </w:rPr>
              <w:t>Handbook</w:t>
            </w:r>
          </w:p>
        </w:tc>
        <w:tc>
          <w:tcPr>
            <w:tcW w:w="1786" w:type="dxa"/>
          </w:tcPr>
          <w:p>
            <w:pPr>
              <w:pStyle w:val="TableParagraph"/>
              <w:spacing w:before="63"/>
              <w:ind w:left="110"/>
              <w:rPr>
                <w:sz w:val="20"/>
              </w:rPr>
            </w:pPr>
            <w:r>
              <w:rPr>
                <w:spacing w:val="-4"/>
                <w:sz w:val="20"/>
              </w:rPr>
              <w:t>MEHRD</w:t>
            </w:r>
          </w:p>
        </w:tc>
      </w:tr>
      <w:tr>
        <w:trPr>
          <w:trHeight w:val="364" w:hRule="atLeast"/>
        </w:trPr>
        <w:tc>
          <w:tcPr>
            <w:tcW w:w="7224" w:type="dxa"/>
          </w:tcPr>
          <w:p>
            <w:pPr>
              <w:pStyle w:val="TableParagraph"/>
              <w:spacing w:before="63"/>
              <w:ind w:left="110"/>
              <w:rPr>
                <w:sz w:val="20"/>
              </w:rPr>
            </w:pPr>
            <w:r>
              <w:rPr>
                <w:sz w:val="20"/>
              </w:rPr>
              <w:t>Solomon</w:t>
            </w:r>
            <w:r>
              <w:rPr>
                <w:spacing w:val="-12"/>
                <w:sz w:val="20"/>
              </w:rPr>
              <w:t> </w:t>
            </w:r>
            <w:r>
              <w:rPr>
                <w:sz w:val="20"/>
              </w:rPr>
              <w:t>Islands</w:t>
            </w:r>
            <w:r>
              <w:rPr>
                <w:spacing w:val="-11"/>
                <w:sz w:val="20"/>
              </w:rPr>
              <w:t> </w:t>
            </w:r>
            <w:r>
              <w:rPr>
                <w:sz w:val="20"/>
              </w:rPr>
              <w:t>National</w:t>
            </w:r>
            <w:r>
              <w:rPr>
                <w:spacing w:val="-11"/>
                <w:sz w:val="20"/>
              </w:rPr>
              <w:t> </w:t>
            </w:r>
            <w:r>
              <w:rPr>
                <w:sz w:val="20"/>
              </w:rPr>
              <w:t>Disability</w:t>
            </w:r>
            <w:r>
              <w:rPr>
                <w:spacing w:val="-12"/>
                <w:sz w:val="20"/>
              </w:rPr>
              <w:t> </w:t>
            </w:r>
            <w:r>
              <w:rPr>
                <w:sz w:val="20"/>
              </w:rPr>
              <w:t>Inclusive</w:t>
            </w:r>
            <w:r>
              <w:rPr>
                <w:spacing w:val="-11"/>
                <w:sz w:val="20"/>
              </w:rPr>
              <w:t> </w:t>
            </w:r>
            <w:r>
              <w:rPr>
                <w:sz w:val="20"/>
              </w:rPr>
              <w:t>Education</w:t>
            </w:r>
            <w:r>
              <w:rPr>
                <w:spacing w:val="-11"/>
                <w:sz w:val="20"/>
              </w:rPr>
              <w:t> </w:t>
            </w:r>
            <w:r>
              <w:rPr>
                <w:sz w:val="20"/>
              </w:rPr>
              <w:t>Policy</w:t>
            </w:r>
            <w:r>
              <w:rPr>
                <w:spacing w:val="-10"/>
                <w:sz w:val="20"/>
              </w:rPr>
              <w:t> </w:t>
            </w:r>
            <w:r>
              <w:rPr>
                <w:sz w:val="20"/>
              </w:rPr>
              <w:t>2016-</w:t>
            </w:r>
            <w:r>
              <w:rPr>
                <w:spacing w:val="-4"/>
                <w:sz w:val="20"/>
              </w:rPr>
              <w:t>2020</w:t>
            </w:r>
          </w:p>
        </w:tc>
        <w:tc>
          <w:tcPr>
            <w:tcW w:w="1786" w:type="dxa"/>
          </w:tcPr>
          <w:p>
            <w:pPr>
              <w:pStyle w:val="TableParagraph"/>
              <w:spacing w:before="63"/>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Whole-School</w:t>
            </w:r>
            <w:r>
              <w:rPr>
                <w:spacing w:val="-10"/>
                <w:sz w:val="20"/>
              </w:rPr>
              <w:t> </w:t>
            </w:r>
            <w:r>
              <w:rPr>
                <w:sz w:val="20"/>
              </w:rPr>
              <w:t>Inspection</w:t>
            </w:r>
            <w:r>
              <w:rPr>
                <w:spacing w:val="-11"/>
                <w:sz w:val="20"/>
              </w:rPr>
              <w:t> </w:t>
            </w:r>
            <w:r>
              <w:rPr>
                <w:sz w:val="20"/>
              </w:rPr>
              <w:t>Guidelines</w:t>
            </w:r>
            <w:r>
              <w:rPr>
                <w:spacing w:val="-7"/>
                <w:sz w:val="20"/>
              </w:rPr>
              <w:t> </w:t>
            </w:r>
            <w:r>
              <w:rPr>
                <w:sz w:val="20"/>
              </w:rPr>
              <w:t>for</w:t>
            </w:r>
            <w:r>
              <w:rPr>
                <w:spacing w:val="-9"/>
                <w:sz w:val="20"/>
              </w:rPr>
              <w:t> </w:t>
            </w:r>
            <w:r>
              <w:rPr>
                <w:sz w:val="20"/>
              </w:rPr>
              <w:t>Inspectors</w:t>
            </w:r>
            <w:r>
              <w:rPr>
                <w:spacing w:val="-11"/>
                <w:sz w:val="20"/>
              </w:rPr>
              <w:t> </w:t>
            </w:r>
            <w:r>
              <w:rPr>
                <w:sz w:val="20"/>
              </w:rPr>
              <w:t>in</w:t>
            </w:r>
            <w:r>
              <w:rPr>
                <w:spacing w:val="-7"/>
                <w:sz w:val="20"/>
              </w:rPr>
              <w:t> </w:t>
            </w:r>
            <w:r>
              <w:rPr>
                <w:sz w:val="20"/>
              </w:rPr>
              <w:t>the</w:t>
            </w:r>
            <w:r>
              <w:rPr>
                <w:spacing w:val="-5"/>
                <w:sz w:val="20"/>
              </w:rPr>
              <w:t> </w:t>
            </w:r>
            <w:r>
              <w:rPr>
                <w:sz w:val="20"/>
              </w:rPr>
              <w:t>Solomon</w:t>
            </w:r>
            <w:r>
              <w:rPr>
                <w:spacing w:val="-10"/>
                <w:sz w:val="20"/>
              </w:rPr>
              <w:t> </w:t>
            </w:r>
            <w:r>
              <w:rPr>
                <w:sz w:val="20"/>
              </w:rPr>
              <w:t>Islands</w:t>
            </w:r>
            <w:r>
              <w:rPr>
                <w:spacing w:val="-11"/>
                <w:sz w:val="20"/>
              </w:rPr>
              <w:t> </w:t>
            </w:r>
            <w:r>
              <w:rPr>
                <w:spacing w:val="-4"/>
                <w:sz w:val="20"/>
              </w:rPr>
              <w:t>2017</w:t>
            </w:r>
          </w:p>
        </w:tc>
        <w:tc>
          <w:tcPr>
            <w:tcW w:w="1786" w:type="dxa"/>
          </w:tcPr>
          <w:p>
            <w:pPr>
              <w:pStyle w:val="TableParagraph"/>
              <w:spacing w:before="59"/>
              <w:ind w:left="110"/>
              <w:rPr>
                <w:sz w:val="20"/>
              </w:rPr>
            </w:pPr>
            <w:r>
              <w:rPr>
                <w:spacing w:val="-4"/>
                <w:sz w:val="20"/>
              </w:rPr>
              <w:t>MEHRD</w:t>
            </w:r>
          </w:p>
        </w:tc>
      </w:tr>
      <w:tr>
        <w:trPr>
          <w:trHeight w:val="364" w:hRule="atLeast"/>
        </w:trPr>
        <w:tc>
          <w:tcPr>
            <w:tcW w:w="7224" w:type="dxa"/>
          </w:tcPr>
          <w:p>
            <w:pPr>
              <w:pStyle w:val="TableParagraph"/>
              <w:spacing w:before="59"/>
              <w:ind w:left="110"/>
              <w:rPr>
                <w:sz w:val="20"/>
              </w:rPr>
            </w:pPr>
            <w:r>
              <w:rPr>
                <w:sz w:val="20"/>
              </w:rPr>
              <w:t>Accounting</w:t>
            </w:r>
            <w:r>
              <w:rPr>
                <w:spacing w:val="-7"/>
                <w:sz w:val="20"/>
              </w:rPr>
              <w:t> </w:t>
            </w:r>
            <w:r>
              <w:rPr>
                <w:sz w:val="20"/>
              </w:rPr>
              <w:t>for</w:t>
            </w:r>
            <w:r>
              <w:rPr>
                <w:spacing w:val="-7"/>
                <w:sz w:val="20"/>
              </w:rPr>
              <w:t> </w:t>
            </w:r>
            <w:r>
              <w:rPr>
                <w:sz w:val="20"/>
              </w:rPr>
              <w:t>School</w:t>
            </w:r>
            <w:r>
              <w:rPr>
                <w:spacing w:val="-2"/>
                <w:sz w:val="20"/>
              </w:rPr>
              <w:t> </w:t>
            </w:r>
            <w:r>
              <w:rPr>
                <w:sz w:val="20"/>
              </w:rPr>
              <w:t>Funds</w:t>
            </w:r>
            <w:r>
              <w:rPr>
                <w:spacing w:val="-10"/>
                <w:sz w:val="20"/>
              </w:rPr>
              <w:t> </w:t>
            </w:r>
            <w:r>
              <w:rPr>
                <w:spacing w:val="-2"/>
                <w:sz w:val="20"/>
              </w:rPr>
              <w:t>Handbook</w:t>
            </w:r>
          </w:p>
        </w:tc>
        <w:tc>
          <w:tcPr>
            <w:tcW w:w="1786" w:type="dxa"/>
          </w:tcPr>
          <w:p>
            <w:pPr>
              <w:pStyle w:val="TableParagraph"/>
              <w:spacing w:before="59"/>
              <w:ind w:left="110"/>
              <w:rPr>
                <w:sz w:val="20"/>
              </w:rPr>
            </w:pPr>
            <w:r>
              <w:rPr>
                <w:spacing w:val="-4"/>
                <w:sz w:val="20"/>
              </w:rPr>
              <w:t>MEHRD</w:t>
            </w:r>
          </w:p>
        </w:tc>
      </w:tr>
    </w:tbl>
    <w:p>
      <w:pPr>
        <w:spacing w:after="0"/>
        <w:rPr>
          <w:sz w:val="20"/>
        </w:rPr>
        <w:sectPr>
          <w:pgSz w:w="11900" w:h="16840"/>
          <w:pgMar w:header="751" w:footer="1206" w:top="1640" w:bottom="1420" w:left="320" w:right="260"/>
        </w:sectPr>
      </w:pPr>
    </w:p>
    <w:p>
      <w:pPr>
        <w:spacing w:before="51"/>
        <w:ind w:left="1120" w:right="0" w:firstLine="0"/>
        <w:jc w:val="both"/>
        <w:rPr>
          <w:i/>
          <w:sz w:val="22"/>
        </w:rPr>
      </w:pPr>
      <w:r>
        <w:rPr>
          <w:i/>
          <w:sz w:val="22"/>
        </w:rPr>
        <w:t>Table</w:t>
      </w:r>
      <w:r>
        <w:rPr>
          <w:i/>
          <w:spacing w:val="-4"/>
          <w:sz w:val="22"/>
        </w:rPr>
        <w:t> </w:t>
      </w:r>
      <w:r>
        <w:rPr>
          <w:i/>
          <w:sz w:val="22"/>
        </w:rPr>
        <w:t>2:</w:t>
      </w:r>
      <w:r>
        <w:rPr>
          <w:i/>
          <w:spacing w:val="-5"/>
          <w:sz w:val="22"/>
        </w:rPr>
        <w:t> </w:t>
      </w:r>
      <w:r>
        <w:rPr>
          <w:i/>
          <w:sz w:val="22"/>
        </w:rPr>
        <w:t>Key</w:t>
      </w:r>
      <w:r>
        <w:rPr>
          <w:i/>
          <w:spacing w:val="-2"/>
          <w:sz w:val="22"/>
        </w:rPr>
        <w:t> </w:t>
      </w:r>
      <w:r>
        <w:rPr>
          <w:i/>
          <w:sz w:val="22"/>
        </w:rPr>
        <w:t>Informant</w:t>
      </w:r>
      <w:r>
        <w:rPr>
          <w:i/>
          <w:spacing w:val="-5"/>
          <w:sz w:val="22"/>
        </w:rPr>
        <w:t> </w:t>
      </w:r>
      <w:r>
        <w:rPr>
          <w:i/>
          <w:spacing w:val="-2"/>
          <w:sz w:val="22"/>
        </w:rPr>
        <w:t>Interviews</w:t>
      </w:r>
    </w:p>
    <w:p>
      <w:pPr>
        <w:pStyle w:val="BodyText"/>
        <w:spacing w:before="3"/>
        <w:rPr>
          <w:i/>
          <w:sz w:val="9"/>
        </w:rPr>
      </w:pPr>
    </w:p>
    <w:tbl>
      <w:tblPr>
        <w:tblW w:w="0" w:type="auto"/>
        <w:jc w:val="left"/>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4"/>
        <w:gridCol w:w="3513"/>
        <w:gridCol w:w="1843"/>
        <w:gridCol w:w="1358"/>
      </w:tblGrid>
      <w:tr>
        <w:trPr>
          <w:trHeight w:val="657" w:hRule="atLeast"/>
        </w:trPr>
        <w:tc>
          <w:tcPr>
            <w:tcW w:w="2294" w:type="dxa"/>
            <w:shd w:val="clear" w:color="auto" w:fill="B4C6E7"/>
          </w:tcPr>
          <w:p>
            <w:pPr>
              <w:pStyle w:val="TableParagraph"/>
              <w:spacing w:before="64"/>
              <w:ind w:left="864" w:right="851"/>
              <w:jc w:val="center"/>
              <w:rPr>
                <w:b/>
                <w:sz w:val="22"/>
              </w:rPr>
            </w:pPr>
            <w:r>
              <w:rPr>
                <w:b/>
                <w:spacing w:val="-4"/>
                <w:sz w:val="22"/>
              </w:rPr>
              <w:t>Name</w:t>
            </w:r>
          </w:p>
        </w:tc>
        <w:tc>
          <w:tcPr>
            <w:tcW w:w="3513" w:type="dxa"/>
            <w:shd w:val="clear" w:color="auto" w:fill="B4C6E7"/>
          </w:tcPr>
          <w:p>
            <w:pPr>
              <w:pStyle w:val="TableParagraph"/>
              <w:spacing w:before="64"/>
              <w:ind w:left="1369" w:right="1365"/>
              <w:jc w:val="center"/>
              <w:rPr>
                <w:b/>
                <w:sz w:val="22"/>
              </w:rPr>
            </w:pPr>
            <w:r>
              <w:rPr>
                <w:b/>
                <w:spacing w:val="-2"/>
                <w:sz w:val="22"/>
              </w:rPr>
              <w:t>Position</w:t>
            </w:r>
          </w:p>
        </w:tc>
        <w:tc>
          <w:tcPr>
            <w:tcW w:w="1843" w:type="dxa"/>
            <w:shd w:val="clear" w:color="auto" w:fill="B4C6E7"/>
          </w:tcPr>
          <w:p>
            <w:pPr>
              <w:pStyle w:val="TableParagraph"/>
              <w:spacing w:before="64"/>
              <w:ind w:left="332"/>
              <w:rPr>
                <w:b/>
                <w:sz w:val="22"/>
              </w:rPr>
            </w:pPr>
            <w:r>
              <w:rPr>
                <w:b/>
                <w:spacing w:val="-2"/>
                <w:sz w:val="22"/>
              </w:rPr>
              <w:t>Organisation</w:t>
            </w:r>
          </w:p>
        </w:tc>
        <w:tc>
          <w:tcPr>
            <w:tcW w:w="1358" w:type="dxa"/>
            <w:shd w:val="clear" w:color="auto" w:fill="B4C6E7"/>
          </w:tcPr>
          <w:p>
            <w:pPr>
              <w:pStyle w:val="TableParagraph"/>
              <w:spacing w:line="235" w:lineRule="auto" w:before="68"/>
              <w:ind w:left="241" w:firstLine="96"/>
              <w:rPr>
                <w:b/>
                <w:sz w:val="22"/>
              </w:rPr>
            </w:pPr>
            <w:r>
              <w:rPr>
                <w:b/>
                <w:sz w:val="22"/>
              </w:rPr>
              <w:t>Date of </w:t>
            </w:r>
            <w:r>
              <w:rPr>
                <w:b/>
                <w:spacing w:val="-2"/>
                <w:sz w:val="22"/>
              </w:rPr>
              <w:t>Interview</w:t>
            </w:r>
          </w:p>
        </w:tc>
      </w:tr>
      <w:tr>
        <w:trPr>
          <w:trHeight w:val="609" w:hRule="atLeast"/>
        </w:trPr>
        <w:tc>
          <w:tcPr>
            <w:tcW w:w="2294" w:type="dxa"/>
          </w:tcPr>
          <w:p>
            <w:pPr>
              <w:pStyle w:val="TableParagraph"/>
              <w:spacing w:before="63"/>
              <w:ind w:left="110"/>
              <w:rPr>
                <w:sz w:val="20"/>
              </w:rPr>
            </w:pPr>
            <w:r>
              <w:rPr>
                <w:sz w:val="20"/>
              </w:rPr>
              <w:t>Jane</w:t>
            </w:r>
            <w:r>
              <w:rPr>
                <w:spacing w:val="-11"/>
                <w:sz w:val="20"/>
              </w:rPr>
              <w:t> </w:t>
            </w:r>
            <w:r>
              <w:rPr>
                <w:sz w:val="20"/>
              </w:rPr>
              <w:t>Bastin-</w:t>
            </w:r>
            <w:r>
              <w:rPr>
                <w:spacing w:val="-2"/>
                <w:sz w:val="20"/>
              </w:rPr>
              <w:t>Sikimeti</w:t>
            </w:r>
          </w:p>
        </w:tc>
        <w:tc>
          <w:tcPr>
            <w:tcW w:w="3513" w:type="dxa"/>
          </w:tcPr>
          <w:p>
            <w:pPr>
              <w:pStyle w:val="TableParagraph"/>
              <w:spacing w:line="235" w:lineRule="auto" w:before="67"/>
              <w:ind w:left="110" w:right="175"/>
              <w:rPr>
                <w:sz w:val="20"/>
              </w:rPr>
            </w:pPr>
            <w:r>
              <w:rPr>
                <w:sz w:val="20"/>
              </w:rPr>
              <w:t>First</w:t>
            </w:r>
            <w:r>
              <w:rPr>
                <w:spacing w:val="-12"/>
                <w:sz w:val="20"/>
              </w:rPr>
              <w:t> </w:t>
            </w:r>
            <w:r>
              <w:rPr>
                <w:sz w:val="20"/>
              </w:rPr>
              <w:t>Secretary</w:t>
            </w:r>
            <w:r>
              <w:rPr>
                <w:spacing w:val="-11"/>
                <w:sz w:val="20"/>
              </w:rPr>
              <w:t> </w:t>
            </w:r>
            <w:r>
              <w:rPr>
                <w:sz w:val="20"/>
              </w:rPr>
              <w:t>Development </w:t>
            </w:r>
            <w:r>
              <w:rPr>
                <w:spacing w:val="-2"/>
                <w:sz w:val="20"/>
              </w:rPr>
              <w:t>Cooperation</w:t>
            </w:r>
          </w:p>
        </w:tc>
        <w:tc>
          <w:tcPr>
            <w:tcW w:w="1843" w:type="dxa"/>
          </w:tcPr>
          <w:p>
            <w:pPr>
              <w:pStyle w:val="TableParagraph"/>
              <w:spacing w:before="63"/>
              <w:ind w:left="106"/>
              <w:rPr>
                <w:sz w:val="20"/>
              </w:rPr>
            </w:pPr>
            <w:r>
              <w:rPr>
                <w:spacing w:val="-4"/>
                <w:sz w:val="20"/>
              </w:rPr>
              <w:t>DFAT</w:t>
            </w:r>
          </w:p>
        </w:tc>
        <w:tc>
          <w:tcPr>
            <w:tcW w:w="1358" w:type="dxa"/>
          </w:tcPr>
          <w:p>
            <w:pPr>
              <w:pStyle w:val="TableParagraph"/>
              <w:spacing w:before="63"/>
              <w:ind w:left="106"/>
              <w:rPr>
                <w:sz w:val="20"/>
              </w:rPr>
            </w:pPr>
            <w:r>
              <w:rPr>
                <w:sz w:val="20"/>
              </w:rPr>
              <w:t>5</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Helen</w:t>
            </w:r>
            <w:r>
              <w:rPr>
                <w:spacing w:val="-3"/>
                <w:sz w:val="20"/>
              </w:rPr>
              <w:t> </w:t>
            </w:r>
            <w:r>
              <w:rPr>
                <w:spacing w:val="-4"/>
                <w:sz w:val="20"/>
              </w:rPr>
              <w:t>Rose</w:t>
            </w:r>
          </w:p>
        </w:tc>
        <w:tc>
          <w:tcPr>
            <w:tcW w:w="3513" w:type="dxa"/>
          </w:tcPr>
          <w:p>
            <w:pPr>
              <w:pStyle w:val="TableParagraph"/>
              <w:spacing w:before="59"/>
              <w:ind w:left="110"/>
              <w:rPr>
                <w:sz w:val="20"/>
              </w:rPr>
            </w:pPr>
            <w:r>
              <w:rPr>
                <w:sz w:val="20"/>
              </w:rPr>
              <w:t>Technical</w:t>
            </w:r>
            <w:r>
              <w:rPr>
                <w:spacing w:val="-4"/>
                <w:sz w:val="20"/>
              </w:rPr>
              <w:t> </w:t>
            </w:r>
            <w:r>
              <w:rPr>
                <w:spacing w:val="-2"/>
                <w:sz w:val="20"/>
              </w:rPr>
              <w:t>Adviser</w:t>
            </w:r>
          </w:p>
        </w:tc>
        <w:tc>
          <w:tcPr>
            <w:tcW w:w="1843" w:type="dxa"/>
          </w:tcPr>
          <w:p>
            <w:pPr>
              <w:pStyle w:val="TableParagraph"/>
              <w:spacing w:before="59"/>
              <w:ind w:left="106"/>
              <w:rPr>
                <w:sz w:val="20"/>
              </w:rPr>
            </w:pPr>
            <w:r>
              <w:rPr>
                <w:sz w:val="20"/>
              </w:rPr>
              <w:t>MEHRD</w:t>
            </w:r>
            <w:r>
              <w:rPr>
                <w:spacing w:val="-4"/>
                <w:sz w:val="20"/>
              </w:rPr>
              <w:t> </w:t>
            </w:r>
            <w:r>
              <w:rPr>
                <w:sz w:val="20"/>
              </w:rPr>
              <w:t>–</w:t>
            </w:r>
            <w:r>
              <w:rPr>
                <w:spacing w:val="2"/>
                <w:sz w:val="20"/>
              </w:rPr>
              <w:t> </w:t>
            </w:r>
            <w:r>
              <w:rPr>
                <w:spacing w:val="-5"/>
                <w:sz w:val="20"/>
              </w:rPr>
              <w:t>SSU</w:t>
            </w:r>
          </w:p>
        </w:tc>
        <w:tc>
          <w:tcPr>
            <w:tcW w:w="1358" w:type="dxa"/>
          </w:tcPr>
          <w:p>
            <w:pPr>
              <w:pStyle w:val="TableParagraph"/>
              <w:spacing w:before="59"/>
              <w:ind w:left="106"/>
              <w:rPr>
                <w:sz w:val="20"/>
              </w:rPr>
            </w:pPr>
            <w:r>
              <w:rPr>
                <w:sz w:val="20"/>
              </w:rPr>
              <w:t>5</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Joe</w:t>
            </w:r>
            <w:r>
              <w:rPr>
                <w:spacing w:val="-2"/>
                <w:sz w:val="20"/>
              </w:rPr>
              <w:t> Ririmae</w:t>
            </w:r>
          </w:p>
        </w:tc>
        <w:tc>
          <w:tcPr>
            <w:tcW w:w="3513" w:type="dxa"/>
          </w:tcPr>
          <w:p>
            <w:pPr>
              <w:pStyle w:val="TableParagraph"/>
              <w:spacing w:before="59"/>
              <w:ind w:left="110" w:right="175"/>
              <w:rPr>
                <w:sz w:val="20"/>
              </w:rPr>
            </w:pPr>
            <w:r>
              <w:rPr>
                <w:sz w:val="20"/>
              </w:rPr>
              <w:t>Manager,</w:t>
            </w:r>
            <w:r>
              <w:rPr>
                <w:spacing w:val="-12"/>
                <w:sz w:val="20"/>
              </w:rPr>
              <w:t> </w:t>
            </w:r>
            <w:r>
              <w:rPr>
                <w:sz w:val="20"/>
              </w:rPr>
              <w:t>Monitoring</w:t>
            </w:r>
            <w:r>
              <w:rPr>
                <w:spacing w:val="-11"/>
                <w:sz w:val="20"/>
              </w:rPr>
              <w:t> </w:t>
            </w:r>
            <w:r>
              <w:rPr>
                <w:sz w:val="20"/>
              </w:rPr>
              <w:t>and</w:t>
            </w:r>
            <w:r>
              <w:rPr>
                <w:spacing w:val="-11"/>
                <w:sz w:val="20"/>
              </w:rPr>
              <w:t> </w:t>
            </w:r>
            <w:r>
              <w:rPr>
                <w:sz w:val="20"/>
              </w:rPr>
              <w:t>Evaluation </w:t>
            </w:r>
            <w:r>
              <w:rPr>
                <w:spacing w:val="-2"/>
                <w:sz w:val="20"/>
              </w:rPr>
              <w:t>Manager</w:t>
            </w:r>
          </w:p>
        </w:tc>
        <w:tc>
          <w:tcPr>
            <w:tcW w:w="1843" w:type="dxa"/>
          </w:tcPr>
          <w:p>
            <w:pPr>
              <w:pStyle w:val="TableParagraph"/>
              <w:spacing w:before="59"/>
              <w:ind w:left="106"/>
              <w:rPr>
                <w:sz w:val="20"/>
              </w:rPr>
            </w:pPr>
            <w:r>
              <w:rPr>
                <w:sz w:val="20"/>
              </w:rPr>
              <w:t>MEHRD</w:t>
            </w:r>
            <w:r>
              <w:rPr>
                <w:spacing w:val="-7"/>
                <w:sz w:val="20"/>
              </w:rPr>
              <w:t> </w:t>
            </w:r>
            <w:r>
              <w:rPr>
                <w:spacing w:val="-4"/>
                <w:sz w:val="20"/>
              </w:rPr>
              <w:t>–SSU</w:t>
            </w:r>
          </w:p>
        </w:tc>
        <w:tc>
          <w:tcPr>
            <w:tcW w:w="1358" w:type="dxa"/>
          </w:tcPr>
          <w:p>
            <w:pPr>
              <w:pStyle w:val="TableParagraph"/>
              <w:spacing w:before="59"/>
              <w:ind w:left="106"/>
              <w:rPr>
                <w:sz w:val="20"/>
              </w:rPr>
            </w:pPr>
            <w:r>
              <w:rPr>
                <w:sz w:val="20"/>
              </w:rPr>
              <w:t>6</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Richard</w:t>
            </w:r>
            <w:r>
              <w:rPr>
                <w:spacing w:val="-7"/>
                <w:sz w:val="20"/>
              </w:rPr>
              <w:t> </w:t>
            </w:r>
            <w:r>
              <w:rPr>
                <w:spacing w:val="-2"/>
                <w:sz w:val="20"/>
              </w:rPr>
              <w:t>Ardomana</w:t>
            </w:r>
          </w:p>
        </w:tc>
        <w:tc>
          <w:tcPr>
            <w:tcW w:w="3513" w:type="dxa"/>
          </w:tcPr>
          <w:p>
            <w:pPr>
              <w:pStyle w:val="TableParagraph"/>
              <w:spacing w:before="59"/>
              <w:ind w:left="110"/>
              <w:rPr>
                <w:sz w:val="20"/>
              </w:rPr>
            </w:pPr>
            <w:r>
              <w:rPr>
                <w:sz w:val="20"/>
              </w:rPr>
              <w:t>Manager,</w:t>
            </w:r>
            <w:r>
              <w:rPr>
                <w:spacing w:val="-6"/>
                <w:sz w:val="20"/>
              </w:rPr>
              <w:t> </w:t>
            </w:r>
            <w:r>
              <w:rPr>
                <w:spacing w:val="-2"/>
                <w:sz w:val="20"/>
              </w:rPr>
              <w:t>Planning</w:t>
            </w:r>
          </w:p>
        </w:tc>
        <w:tc>
          <w:tcPr>
            <w:tcW w:w="1843" w:type="dxa"/>
          </w:tcPr>
          <w:p>
            <w:pPr>
              <w:pStyle w:val="TableParagraph"/>
              <w:spacing w:before="59"/>
              <w:ind w:left="106"/>
              <w:rPr>
                <w:sz w:val="20"/>
              </w:rPr>
            </w:pPr>
            <w:r>
              <w:rPr>
                <w:sz w:val="20"/>
              </w:rPr>
              <w:t>MEHRD</w:t>
            </w:r>
            <w:r>
              <w:rPr>
                <w:spacing w:val="-4"/>
                <w:sz w:val="20"/>
              </w:rPr>
              <w:t> </w:t>
            </w:r>
            <w:r>
              <w:rPr>
                <w:sz w:val="20"/>
              </w:rPr>
              <w:t>–</w:t>
            </w:r>
            <w:r>
              <w:rPr>
                <w:spacing w:val="2"/>
                <w:sz w:val="20"/>
              </w:rPr>
              <w:t> </w:t>
            </w:r>
            <w:r>
              <w:rPr>
                <w:spacing w:val="-5"/>
                <w:sz w:val="20"/>
              </w:rPr>
              <w:t>SSU</w:t>
            </w:r>
          </w:p>
        </w:tc>
        <w:tc>
          <w:tcPr>
            <w:tcW w:w="1358" w:type="dxa"/>
          </w:tcPr>
          <w:p>
            <w:pPr>
              <w:pStyle w:val="TableParagraph"/>
              <w:spacing w:before="59"/>
              <w:ind w:left="106"/>
              <w:rPr>
                <w:sz w:val="20"/>
              </w:rPr>
            </w:pPr>
            <w:r>
              <w:rPr>
                <w:sz w:val="20"/>
              </w:rPr>
              <w:t>6</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Matthew</w:t>
            </w:r>
            <w:r>
              <w:rPr>
                <w:spacing w:val="-9"/>
                <w:sz w:val="20"/>
              </w:rPr>
              <w:t> </w:t>
            </w:r>
            <w:r>
              <w:rPr>
                <w:spacing w:val="-2"/>
                <w:sz w:val="20"/>
              </w:rPr>
              <w:t>Prowse</w:t>
            </w:r>
          </w:p>
        </w:tc>
        <w:tc>
          <w:tcPr>
            <w:tcW w:w="3513" w:type="dxa"/>
          </w:tcPr>
          <w:p>
            <w:pPr>
              <w:pStyle w:val="TableParagraph"/>
              <w:spacing w:line="235" w:lineRule="auto" w:before="62"/>
              <w:ind w:left="110" w:right="175"/>
              <w:rPr>
                <w:sz w:val="20"/>
              </w:rPr>
            </w:pPr>
            <w:r>
              <w:rPr>
                <w:sz w:val="20"/>
              </w:rPr>
              <w:t>Technical</w:t>
            </w:r>
            <w:r>
              <w:rPr>
                <w:spacing w:val="-10"/>
                <w:sz w:val="20"/>
              </w:rPr>
              <w:t> </w:t>
            </w:r>
            <w:r>
              <w:rPr>
                <w:sz w:val="20"/>
              </w:rPr>
              <w:t>Adviser,</w:t>
            </w:r>
            <w:r>
              <w:rPr>
                <w:spacing w:val="-11"/>
                <w:sz w:val="20"/>
              </w:rPr>
              <w:t> </w:t>
            </w:r>
            <w:r>
              <w:rPr>
                <w:sz w:val="20"/>
              </w:rPr>
              <w:t>Payments</w:t>
            </w:r>
            <w:r>
              <w:rPr>
                <w:spacing w:val="-12"/>
                <w:sz w:val="20"/>
              </w:rPr>
              <w:t> </w:t>
            </w:r>
            <w:r>
              <w:rPr>
                <w:sz w:val="20"/>
              </w:rPr>
              <w:t>and </w:t>
            </w:r>
            <w:r>
              <w:rPr>
                <w:spacing w:val="-2"/>
                <w:sz w:val="20"/>
              </w:rPr>
              <w:t>Finance</w:t>
            </w:r>
          </w:p>
        </w:tc>
        <w:tc>
          <w:tcPr>
            <w:tcW w:w="1843" w:type="dxa"/>
          </w:tcPr>
          <w:p>
            <w:pPr>
              <w:pStyle w:val="TableParagraph"/>
              <w:spacing w:before="59"/>
              <w:ind w:left="106"/>
              <w:rPr>
                <w:sz w:val="20"/>
              </w:rPr>
            </w:pPr>
            <w:r>
              <w:rPr>
                <w:sz w:val="20"/>
              </w:rPr>
              <w:t>MEHRD</w:t>
            </w:r>
            <w:r>
              <w:rPr>
                <w:spacing w:val="-4"/>
                <w:sz w:val="20"/>
              </w:rPr>
              <w:t> </w:t>
            </w:r>
            <w:r>
              <w:rPr>
                <w:sz w:val="20"/>
              </w:rPr>
              <w:t>–</w:t>
            </w:r>
            <w:r>
              <w:rPr>
                <w:spacing w:val="2"/>
                <w:sz w:val="20"/>
              </w:rPr>
              <w:t> </w:t>
            </w:r>
            <w:r>
              <w:rPr>
                <w:spacing w:val="-2"/>
                <w:sz w:val="20"/>
              </w:rPr>
              <w:t>Finance</w:t>
            </w:r>
          </w:p>
        </w:tc>
        <w:tc>
          <w:tcPr>
            <w:tcW w:w="1358" w:type="dxa"/>
          </w:tcPr>
          <w:p>
            <w:pPr>
              <w:pStyle w:val="TableParagraph"/>
              <w:spacing w:before="59"/>
              <w:ind w:left="106"/>
              <w:rPr>
                <w:sz w:val="20"/>
              </w:rPr>
            </w:pPr>
            <w:r>
              <w:rPr>
                <w:sz w:val="20"/>
              </w:rPr>
              <w:t>6</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Martin</w:t>
            </w:r>
            <w:r>
              <w:rPr>
                <w:spacing w:val="-5"/>
                <w:sz w:val="20"/>
              </w:rPr>
              <w:t> </w:t>
            </w:r>
            <w:r>
              <w:rPr>
                <w:spacing w:val="-2"/>
                <w:sz w:val="20"/>
              </w:rPr>
              <w:t>Marairi</w:t>
            </w:r>
          </w:p>
        </w:tc>
        <w:tc>
          <w:tcPr>
            <w:tcW w:w="3513" w:type="dxa"/>
          </w:tcPr>
          <w:p>
            <w:pPr>
              <w:pStyle w:val="TableParagraph"/>
              <w:spacing w:before="59"/>
              <w:ind w:left="110"/>
              <w:rPr>
                <w:sz w:val="20"/>
              </w:rPr>
            </w:pPr>
            <w:r>
              <w:rPr>
                <w:sz w:val="20"/>
              </w:rPr>
              <w:t>Chief</w:t>
            </w:r>
            <w:r>
              <w:rPr>
                <w:spacing w:val="1"/>
                <w:sz w:val="20"/>
              </w:rPr>
              <w:t> </w:t>
            </w:r>
            <w:r>
              <w:rPr>
                <w:spacing w:val="-2"/>
                <w:sz w:val="20"/>
              </w:rPr>
              <w:t>Accountant</w:t>
            </w:r>
          </w:p>
        </w:tc>
        <w:tc>
          <w:tcPr>
            <w:tcW w:w="1843" w:type="dxa"/>
          </w:tcPr>
          <w:p>
            <w:pPr>
              <w:pStyle w:val="TableParagraph"/>
              <w:spacing w:before="59"/>
              <w:ind w:left="106"/>
              <w:rPr>
                <w:sz w:val="20"/>
              </w:rPr>
            </w:pPr>
            <w:r>
              <w:rPr>
                <w:sz w:val="20"/>
              </w:rPr>
              <w:t>MEHRD</w:t>
            </w:r>
            <w:r>
              <w:rPr>
                <w:spacing w:val="-4"/>
                <w:sz w:val="20"/>
              </w:rPr>
              <w:t> </w:t>
            </w:r>
            <w:r>
              <w:rPr>
                <w:sz w:val="20"/>
              </w:rPr>
              <w:t>–</w:t>
            </w:r>
            <w:r>
              <w:rPr>
                <w:spacing w:val="2"/>
                <w:sz w:val="20"/>
              </w:rPr>
              <w:t> </w:t>
            </w:r>
            <w:r>
              <w:rPr>
                <w:spacing w:val="-2"/>
                <w:sz w:val="20"/>
              </w:rPr>
              <w:t>Finance</w:t>
            </w:r>
          </w:p>
        </w:tc>
        <w:tc>
          <w:tcPr>
            <w:tcW w:w="1358" w:type="dxa"/>
          </w:tcPr>
          <w:p>
            <w:pPr>
              <w:pStyle w:val="TableParagraph"/>
              <w:spacing w:before="59"/>
              <w:ind w:left="106"/>
              <w:rPr>
                <w:sz w:val="20"/>
              </w:rPr>
            </w:pPr>
            <w:r>
              <w:rPr>
                <w:sz w:val="20"/>
              </w:rPr>
              <w:t>6</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Moses</w:t>
            </w:r>
            <w:r>
              <w:rPr>
                <w:spacing w:val="-6"/>
                <w:sz w:val="20"/>
              </w:rPr>
              <w:t> </w:t>
            </w:r>
            <w:r>
              <w:rPr>
                <w:spacing w:val="-4"/>
                <w:sz w:val="20"/>
              </w:rPr>
              <w:t>Maru</w:t>
            </w:r>
          </w:p>
        </w:tc>
        <w:tc>
          <w:tcPr>
            <w:tcW w:w="3513" w:type="dxa"/>
          </w:tcPr>
          <w:p>
            <w:pPr>
              <w:pStyle w:val="TableParagraph"/>
              <w:spacing w:before="59"/>
              <w:ind w:left="110"/>
              <w:rPr>
                <w:sz w:val="20"/>
              </w:rPr>
            </w:pPr>
            <w:r>
              <w:rPr>
                <w:sz w:val="20"/>
              </w:rPr>
              <w:t>Manager,</w:t>
            </w:r>
            <w:r>
              <w:rPr>
                <w:spacing w:val="-11"/>
                <w:sz w:val="20"/>
              </w:rPr>
              <w:t> </w:t>
            </w:r>
            <w:r>
              <w:rPr>
                <w:spacing w:val="-2"/>
                <w:sz w:val="20"/>
              </w:rPr>
              <w:t>Grants</w:t>
            </w:r>
          </w:p>
        </w:tc>
        <w:tc>
          <w:tcPr>
            <w:tcW w:w="1843" w:type="dxa"/>
          </w:tcPr>
          <w:p>
            <w:pPr>
              <w:pStyle w:val="TableParagraph"/>
              <w:spacing w:before="59"/>
              <w:ind w:left="106"/>
              <w:rPr>
                <w:sz w:val="20"/>
              </w:rPr>
            </w:pPr>
            <w:r>
              <w:rPr>
                <w:sz w:val="20"/>
              </w:rPr>
              <w:t>MEHRD</w:t>
            </w:r>
            <w:r>
              <w:rPr>
                <w:spacing w:val="-6"/>
                <w:sz w:val="20"/>
              </w:rPr>
              <w:t> </w:t>
            </w:r>
            <w:r>
              <w:rPr>
                <w:sz w:val="20"/>
              </w:rPr>
              <w:t>–</w:t>
            </w:r>
            <w:r>
              <w:rPr>
                <w:spacing w:val="-3"/>
                <w:sz w:val="20"/>
              </w:rPr>
              <w:t> </w:t>
            </w:r>
            <w:r>
              <w:rPr>
                <w:spacing w:val="-2"/>
                <w:sz w:val="20"/>
              </w:rPr>
              <w:t>Grants</w:t>
            </w:r>
          </w:p>
        </w:tc>
        <w:tc>
          <w:tcPr>
            <w:tcW w:w="1358" w:type="dxa"/>
          </w:tcPr>
          <w:p>
            <w:pPr>
              <w:pStyle w:val="TableParagraph"/>
              <w:spacing w:before="59"/>
              <w:ind w:left="106"/>
              <w:rPr>
                <w:sz w:val="20"/>
              </w:rPr>
            </w:pPr>
            <w:r>
              <w:rPr>
                <w:sz w:val="20"/>
              </w:rPr>
              <w:t>6</w:t>
            </w:r>
            <w:r>
              <w:rPr>
                <w:spacing w:val="1"/>
                <w:sz w:val="20"/>
              </w:rPr>
              <w:t> </w:t>
            </w:r>
            <w:r>
              <w:rPr>
                <w:spacing w:val="-4"/>
                <w:sz w:val="20"/>
              </w:rPr>
              <w:t>June</w:t>
            </w:r>
          </w:p>
        </w:tc>
      </w:tr>
      <w:tr>
        <w:trPr>
          <w:trHeight w:val="604" w:hRule="atLeast"/>
        </w:trPr>
        <w:tc>
          <w:tcPr>
            <w:tcW w:w="2294" w:type="dxa"/>
          </w:tcPr>
          <w:p>
            <w:pPr>
              <w:pStyle w:val="TableParagraph"/>
              <w:spacing w:before="59"/>
              <w:ind w:left="110"/>
              <w:rPr>
                <w:sz w:val="20"/>
              </w:rPr>
            </w:pPr>
            <w:r>
              <w:rPr>
                <w:sz w:val="20"/>
              </w:rPr>
              <w:t>Gladys</w:t>
            </w:r>
            <w:r>
              <w:rPr>
                <w:spacing w:val="-5"/>
                <w:sz w:val="20"/>
              </w:rPr>
              <w:t> </w:t>
            </w:r>
            <w:r>
              <w:rPr>
                <w:spacing w:val="-2"/>
                <w:sz w:val="20"/>
              </w:rPr>
              <w:t>Siale</w:t>
            </w:r>
          </w:p>
        </w:tc>
        <w:tc>
          <w:tcPr>
            <w:tcW w:w="3513" w:type="dxa"/>
          </w:tcPr>
          <w:p>
            <w:pPr>
              <w:pStyle w:val="TableParagraph"/>
              <w:spacing w:line="235" w:lineRule="auto" w:before="62"/>
              <w:ind w:left="110" w:right="175"/>
              <w:rPr>
                <w:sz w:val="20"/>
              </w:rPr>
            </w:pPr>
            <w:r>
              <w:rPr>
                <w:sz w:val="20"/>
              </w:rPr>
              <w:t>Manager,</w:t>
            </w:r>
            <w:r>
              <w:rPr>
                <w:spacing w:val="-12"/>
                <w:sz w:val="20"/>
              </w:rPr>
              <w:t> </w:t>
            </w:r>
            <w:r>
              <w:rPr>
                <w:sz w:val="20"/>
              </w:rPr>
              <w:t>Education</w:t>
            </w:r>
            <w:r>
              <w:rPr>
                <w:spacing w:val="-11"/>
                <w:sz w:val="20"/>
              </w:rPr>
              <w:t> </w:t>
            </w:r>
            <w:r>
              <w:rPr>
                <w:sz w:val="20"/>
              </w:rPr>
              <w:t>Authorities</w:t>
            </w:r>
            <w:r>
              <w:rPr>
                <w:spacing w:val="-11"/>
                <w:sz w:val="20"/>
              </w:rPr>
              <w:t> </w:t>
            </w:r>
            <w:r>
              <w:rPr>
                <w:sz w:val="20"/>
              </w:rPr>
              <w:t>(EA) Performance &amp; Evaluation</w:t>
            </w:r>
          </w:p>
        </w:tc>
        <w:tc>
          <w:tcPr>
            <w:tcW w:w="1843" w:type="dxa"/>
          </w:tcPr>
          <w:p>
            <w:pPr>
              <w:pStyle w:val="TableParagraph"/>
              <w:spacing w:line="242" w:lineRule="exact" w:before="59"/>
              <w:ind w:left="106"/>
              <w:rPr>
                <w:sz w:val="20"/>
              </w:rPr>
            </w:pPr>
            <w:r>
              <w:rPr>
                <w:sz w:val="20"/>
              </w:rPr>
              <w:t>MEHRD</w:t>
            </w:r>
            <w:r>
              <w:rPr>
                <w:spacing w:val="-4"/>
                <w:sz w:val="20"/>
              </w:rPr>
              <w:t> </w:t>
            </w:r>
            <w:r>
              <w:rPr>
                <w:sz w:val="20"/>
              </w:rPr>
              <w:t>–</w:t>
            </w:r>
            <w:r>
              <w:rPr>
                <w:spacing w:val="-3"/>
                <w:sz w:val="20"/>
              </w:rPr>
              <w:t> </w:t>
            </w:r>
            <w:r>
              <w:rPr>
                <w:spacing w:val="-5"/>
                <w:sz w:val="20"/>
              </w:rPr>
              <w:t>EA</w:t>
            </w:r>
          </w:p>
          <w:p>
            <w:pPr>
              <w:pStyle w:val="TableParagraph"/>
              <w:spacing w:line="242" w:lineRule="exact"/>
              <w:ind w:left="106"/>
              <w:rPr>
                <w:sz w:val="20"/>
              </w:rPr>
            </w:pPr>
            <w:r>
              <w:rPr>
                <w:spacing w:val="-2"/>
                <w:sz w:val="20"/>
              </w:rPr>
              <w:t>Services</w:t>
            </w:r>
          </w:p>
        </w:tc>
        <w:tc>
          <w:tcPr>
            <w:tcW w:w="1358" w:type="dxa"/>
          </w:tcPr>
          <w:p>
            <w:pPr>
              <w:pStyle w:val="TableParagraph"/>
              <w:spacing w:before="59"/>
              <w:ind w:left="106"/>
              <w:rPr>
                <w:sz w:val="20"/>
              </w:rPr>
            </w:pPr>
            <w:r>
              <w:rPr>
                <w:sz w:val="20"/>
              </w:rPr>
              <w:t>6</w:t>
            </w:r>
            <w:r>
              <w:rPr>
                <w:spacing w:val="1"/>
                <w:sz w:val="20"/>
              </w:rPr>
              <w:t> </w:t>
            </w:r>
            <w:r>
              <w:rPr>
                <w:spacing w:val="-4"/>
                <w:sz w:val="20"/>
              </w:rPr>
              <w:t>June</w:t>
            </w:r>
          </w:p>
        </w:tc>
      </w:tr>
      <w:tr>
        <w:trPr>
          <w:trHeight w:val="609" w:hRule="atLeast"/>
        </w:trPr>
        <w:tc>
          <w:tcPr>
            <w:tcW w:w="2294" w:type="dxa"/>
          </w:tcPr>
          <w:p>
            <w:pPr>
              <w:pStyle w:val="TableParagraph"/>
              <w:spacing w:before="63"/>
              <w:ind w:left="110"/>
              <w:rPr>
                <w:sz w:val="20"/>
              </w:rPr>
            </w:pPr>
            <w:r>
              <w:rPr>
                <w:sz w:val="20"/>
              </w:rPr>
              <w:t>Cooper</w:t>
            </w:r>
            <w:r>
              <w:rPr>
                <w:spacing w:val="-6"/>
                <w:sz w:val="20"/>
              </w:rPr>
              <w:t> </w:t>
            </w:r>
            <w:r>
              <w:rPr>
                <w:spacing w:val="-2"/>
                <w:sz w:val="20"/>
              </w:rPr>
              <w:t>Muaki</w:t>
            </w:r>
          </w:p>
        </w:tc>
        <w:tc>
          <w:tcPr>
            <w:tcW w:w="3513" w:type="dxa"/>
          </w:tcPr>
          <w:p>
            <w:pPr>
              <w:pStyle w:val="TableParagraph"/>
              <w:spacing w:line="235" w:lineRule="auto" w:before="67"/>
              <w:ind w:left="110" w:right="175"/>
              <w:rPr>
                <w:sz w:val="20"/>
              </w:rPr>
            </w:pPr>
            <w:r>
              <w:rPr>
                <w:sz w:val="20"/>
              </w:rPr>
              <w:t>Principal</w:t>
            </w:r>
            <w:r>
              <w:rPr>
                <w:spacing w:val="-12"/>
                <w:sz w:val="20"/>
              </w:rPr>
              <w:t> </w:t>
            </w:r>
            <w:r>
              <w:rPr>
                <w:sz w:val="20"/>
              </w:rPr>
              <w:t>Education</w:t>
            </w:r>
            <w:r>
              <w:rPr>
                <w:spacing w:val="-11"/>
                <w:sz w:val="20"/>
              </w:rPr>
              <w:t> </w:t>
            </w:r>
            <w:r>
              <w:rPr>
                <w:sz w:val="20"/>
              </w:rPr>
              <w:t>Officer, Performance &amp; Evaluation</w:t>
            </w:r>
          </w:p>
        </w:tc>
        <w:tc>
          <w:tcPr>
            <w:tcW w:w="1843" w:type="dxa"/>
          </w:tcPr>
          <w:p>
            <w:pPr>
              <w:pStyle w:val="TableParagraph"/>
              <w:spacing w:line="242" w:lineRule="exact" w:before="63"/>
              <w:ind w:left="106"/>
              <w:rPr>
                <w:sz w:val="20"/>
              </w:rPr>
            </w:pPr>
            <w:r>
              <w:rPr>
                <w:sz w:val="20"/>
              </w:rPr>
              <w:t>MEHRD</w:t>
            </w:r>
            <w:r>
              <w:rPr>
                <w:spacing w:val="-4"/>
                <w:sz w:val="20"/>
              </w:rPr>
              <w:t> </w:t>
            </w:r>
            <w:r>
              <w:rPr>
                <w:sz w:val="20"/>
              </w:rPr>
              <w:t>–</w:t>
            </w:r>
            <w:r>
              <w:rPr>
                <w:spacing w:val="-3"/>
                <w:sz w:val="20"/>
              </w:rPr>
              <w:t> </w:t>
            </w:r>
            <w:r>
              <w:rPr>
                <w:spacing w:val="-5"/>
                <w:sz w:val="20"/>
              </w:rPr>
              <w:t>EA</w:t>
            </w:r>
          </w:p>
          <w:p>
            <w:pPr>
              <w:pStyle w:val="TableParagraph"/>
              <w:spacing w:line="242" w:lineRule="exact"/>
              <w:ind w:left="106"/>
              <w:rPr>
                <w:sz w:val="20"/>
              </w:rPr>
            </w:pPr>
            <w:r>
              <w:rPr>
                <w:spacing w:val="-2"/>
                <w:sz w:val="20"/>
              </w:rPr>
              <w:t>Services</w:t>
            </w:r>
          </w:p>
        </w:tc>
        <w:tc>
          <w:tcPr>
            <w:tcW w:w="1358" w:type="dxa"/>
          </w:tcPr>
          <w:p>
            <w:pPr>
              <w:pStyle w:val="TableParagraph"/>
              <w:spacing w:before="63"/>
              <w:ind w:left="106"/>
              <w:rPr>
                <w:sz w:val="20"/>
              </w:rPr>
            </w:pPr>
            <w:r>
              <w:rPr>
                <w:sz w:val="20"/>
              </w:rPr>
              <w:t>6</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Charles</w:t>
            </w:r>
            <w:r>
              <w:rPr>
                <w:spacing w:val="-7"/>
                <w:sz w:val="20"/>
              </w:rPr>
              <w:t> </w:t>
            </w:r>
            <w:r>
              <w:rPr>
                <w:spacing w:val="-2"/>
                <w:sz w:val="20"/>
              </w:rPr>
              <w:t>Roukera</w:t>
            </w:r>
          </w:p>
        </w:tc>
        <w:tc>
          <w:tcPr>
            <w:tcW w:w="3513" w:type="dxa"/>
          </w:tcPr>
          <w:p>
            <w:pPr>
              <w:pStyle w:val="TableParagraph"/>
              <w:spacing w:before="59"/>
              <w:ind w:left="110" w:right="175"/>
              <w:rPr>
                <w:sz w:val="20"/>
              </w:rPr>
            </w:pPr>
            <w:r>
              <w:rPr>
                <w:sz w:val="20"/>
              </w:rPr>
              <w:t>Manager,</w:t>
            </w:r>
            <w:r>
              <w:rPr>
                <w:spacing w:val="-12"/>
                <w:sz w:val="20"/>
              </w:rPr>
              <w:t> </w:t>
            </w:r>
            <w:r>
              <w:rPr>
                <w:sz w:val="20"/>
              </w:rPr>
              <w:t>Teacher</w:t>
            </w:r>
            <w:r>
              <w:rPr>
                <w:spacing w:val="-11"/>
                <w:sz w:val="20"/>
              </w:rPr>
              <w:t> </w:t>
            </w:r>
            <w:r>
              <w:rPr>
                <w:sz w:val="20"/>
              </w:rPr>
              <w:t>Professional </w:t>
            </w:r>
            <w:r>
              <w:rPr>
                <w:spacing w:val="-2"/>
                <w:sz w:val="20"/>
              </w:rPr>
              <w:t>Development</w:t>
            </w:r>
          </w:p>
        </w:tc>
        <w:tc>
          <w:tcPr>
            <w:tcW w:w="1843" w:type="dxa"/>
          </w:tcPr>
          <w:p>
            <w:pPr>
              <w:pStyle w:val="TableParagraph"/>
              <w:spacing w:before="59"/>
              <w:ind w:left="106"/>
              <w:rPr>
                <w:sz w:val="20"/>
              </w:rPr>
            </w:pPr>
            <w:r>
              <w:rPr>
                <w:sz w:val="20"/>
              </w:rPr>
              <w:t>MEHRD</w:t>
            </w:r>
            <w:r>
              <w:rPr>
                <w:spacing w:val="-12"/>
                <w:sz w:val="20"/>
              </w:rPr>
              <w:t> </w:t>
            </w:r>
            <w:r>
              <w:rPr>
                <w:sz w:val="20"/>
              </w:rPr>
              <w:t>–</w:t>
            </w:r>
            <w:r>
              <w:rPr>
                <w:spacing w:val="-8"/>
                <w:sz w:val="20"/>
              </w:rPr>
              <w:t> </w:t>
            </w:r>
            <w:r>
              <w:rPr>
                <w:sz w:val="20"/>
              </w:rPr>
              <w:t>National Education</w:t>
            </w:r>
            <w:r>
              <w:rPr>
                <w:spacing w:val="-9"/>
                <w:sz w:val="20"/>
              </w:rPr>
              <w:t> </w:t>
            </w:r>
            <w:r>
              <w:rPr>
                <w:spacing w:val="-2"/>
                <w:sz w:val="20"/>
              </w:rPr>
              <w:t>Services</w:t>
            </w:r>
          </w:p>
        </w:tc>
        <w:tc>
          <w:tcPr>
            <w:tcW w:w="1358" w:type="dxa"/>
          </w:tcPr>
          <w:p>
            <w:pPr>
              <w:pStyle w:val="TableParagraph"/>
              <w:spacing w:before="59"/>
              <w:ind w:left="106"/>
              <w:rPr>
                <w:sz w:val="20"/>
              </w:rPr>
            </w:pPr>
            <w:r>
              <w:rPr>
                <w:sz w:val="20"/>
              </w:rPr>
              <w:t>7</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Emily</w:t>
            </w:r>
            <w:r>
              <w:rPr>
                <w:spacing w:val="-4"/>
                <w:sz w:val="20"/>
              </w:rPr>
              <w:t> </w:t>
            </w:r>
            <w:r>
              <w:rPr>
                <w:spacing w:val="-2"/>
                <w:sz w:val="20"/>
              </w:rPr>
              <w:t>Siriki</w:t>
            </w:r>
          </w:p>
        </w:tc>
        <w:tc>
          <w:tcPr>
            <w:tcW w:w="3513" w:type="dxa"/>
          </w:tcPr>
          <w:p>
            <w:pPr>
              <w:pStyle w:val="TableParagraph"/>
              <w:spacing w:before="59"/>
              <w:ind w:left="110"/>
              <w:rPr>
                <w:sz w:val="20"/>
              </w:rPr>
            </w:pPr>
            <w:r>
              <w:rPr>
                <w:sz w:val="20"/>
              </w:rPr>
              <w:t>Manager,</w:t>
            </w:r>
            <w:r>
              <w:rPr>
                <w:spacing w:val="-6"/>
                <w:sz w:val="20"/>
              </w:rPr>
              <w:t> </w:t>
            </w:r>
            <w:r>
              <w:rPr>
                <w:spacing w:val="-2"/>
                <w:sz w:val="20"/>
              </w:rPr>
              <w:t>Inspectorate</w:t>
            </w:r>
          </w:p>
        </w:tc>
        <w:tc>
          <w:tcPr>
            <w:tcW w:w="1843" w:type="dxa"/>
          </w:tcPr>
          <w:p>
            <w:pPr>
              <w:pStyle w:val="TableParagraph"/>
              <w:spacing w:before="59"/>
              <w:ind w:left="106"/>
              <w:rPr>
                <w:sz w:val="20"/>
              </w:rPr>
            </w:pPr>
            <w:r>
              <w:rPr>
                <w:sz w:val="20"/>
              </w:rPr>
              <w:t>MEHRD</w:t>
            </w:r>
            <w:r>
              <w:rPr>
                <w:spacing w:val="-12"/>
                <w:sz w:val="20"/>
              </w:rPr>
              <w:t> </w:t>
            </w:r>
            <w:r>
              <w:rPr>
                <w:sz w:val="20"/>
              </w:rPr>
              <w:t>–</w:t>
            </w:r>
            <w:r>
              <w:rPr>
                <w:spacing w:val="-8"/>
                <w:sz w:val="20"/>
              </w:rPr>
              <w:t> </w:t>
            </w:r>
            <w:r>
              <w:rPr>
                <w:sz w:val="20"/>
              </w:rPr>
              <w:t>National Education</w:t>
            </w:r>
            <w:r>
              <w:rPr>
                <w:spacing w:val="-9"/>
                <w:sz w:val="20"/>
              </w:rPr>
              <w:t> </w:t>
            </w:r>
            <w:r>
              <w:rPr>
                <w:spacing w:val="-2"/>
                <w:sz w:val="20"/>
              </w:rPr>
              <w:t>Services</w:t>
            </w:r>
          </w:p>
        </w:tc>
        <w:tc>
          <w:tcPr>
            <w:tcW w:w="1358" w:type="dxa"/>
          </w:tcPr>
          <w:p>
            <w:pPr>
              <w:pStyle w:val="TableParagraph"/>
              <w:spacing w:before="59"/>
              <w:ind w:left="106"/>
              <w:rPr>
                <w:sz w:val="20"/>
              </w:rPr>
            </w:pPr>
            <w:r>
              <w:rPr>
                <w:sz w:val="20"/>
              </w:rPr>
              <w:t>7</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Clement</w:t>
            </w:r>
            <w:r>
              <w:rPr>
                <w:spacing w:val="-3"/>
                <w:sz w:val="20"/>
              </w:rPr>
              <w:t> </w:t>
            </w:r>
            <w:r>
              <w:rPr>
                <w:spacing w:val="-2"/>
                <w:sz w:val="20"/>
              </w:rPr>
              <w:t>Aitorea</w:t>
            </w:r>
          </w:p>
        </w:tc>
        <w:tc>
          <w:tcPr>
            <w:tcW w:w="3513" w:type="dxa"/>
          </w:tcPr>
          <w:p>
            <w:pPr>
              <w:pStyle w:val="TableParagraph"/>
              <w:spacing w:before="59"/>
              <w:ind w:left="110"/>
              <w:rPr>
                <w:sz w:val="20"/>
              </w:rPr>
            </w:pPr>
            <w:r>
              <w:rPr>
                <w:spacing w:val="-2"/>
                <w:sz w:val="20"/>
              </w:rPr>
              <w:t>Inspectorate</w:t>
            </w:r>
          </w:p>
        </w:tc>
        <w:tc>
          <w:tcPr>
            <w:tcW w:w="1843" w:type="dxa"/>
          </w:tcPr>
          <w:p>
            <w:pPr>
              <w:pStyle w:val="TableParagraph"/>
              <w:spacing w:line="235" w:lineRule="auto" w:before="62"/>
              <w:ind w:left="106"/>
              <w:rPr>
                <w:sz w:val="20"/>
              </w:rPr>
            </w:pPr>
            <w:r>
              <w:rPr>
                <w:sz w:val="20"/>
              </w:rPr>
              <w:t>MEHRD</w:t>
            </w:r>
            <w:r>
              <w:rPr>
                <w:spacing w:val="-12"/>
                <w:sz w:val="20"/>
              </w:rPr>
              <w:t> </w:t>
            </w:r>
            <w:r>
              <w:rPr>
                <w:sz w:val="20"/>
              </w:rPr>
              <w:t>–</w:t>
            </w:r>
            <w:r>
              <w:rPr>
                <w:spacing w:val="-8"/>
                <w:sz w:val="20"/>
              </w:rPr>
              <w:t> </w:t>
            </w:r>
            <w:r>
              <w:rPr>
                <w:sz w:val="20"/>
              </w:rPr>
              <w:t>National Education</w:t>
            </w:r>
            <w:r>
              <w:rPr>
                <w:spacing w:val="-9"/>
                <w:sz w:val="20"/>
              </w:rPr>
              <w:t> </w:t>
            </w:r>
            <w:r>
              <w:rPr>
                <w:spacing w:val="-2"/>
                <w:sz w:val="20"/>
              </w:rPr>
              <w:t>Services</w:t>
            </w:r>
          </w:p>
        </w:tc>
        <w:tc>
          <w:tcPr>
            <w:tcW w:w="1358" w:type="dxa"/>
          </w:tcPr>
          <w:p>
            <w:pPr>
              <w:pStyle w:val="TableParagraph"/>
              <w:spacing w:before="59"/>
              <w:ind w:left="106"/>
              <w:rPr>
                <w:sz w:val="20"/>
              </w:rPr>
            </w:pPr>
            <w:r>
              <w:rPr>
                <w:sz w:val="20"/>
              </w:rPr>
              <w:t>7</w:t>
            </w:r>
            <w:r>
              <w:rPr>
                <w:spacing w:val="1"/>
                <w:sz w:val="20"/>
              </w:rPr>
              <w:t> </w:t>
            </w:r>
            <w:r>
              <w:rPr>
                <w:spacing w:val="-4"/>
                <w:sz w:val="20"/>
              </w:rPr>
              <w:t>June</w:t>
            </w:r>
          </w:p>
        </w:tc>
      </w:tr>
      <w:tr>
        <w:trPr>
          <w:trHeight w:val="604" w:hRule="atLeast"/>
        </w:trPr>
        <w:tc>
          <w:tcPr>
            <w:tcW w:w="2294" w:type="dxa"/>
          </w:tcPr>
          <w:p>
            <w:pPr>
              <w:pStyle w:val="TableParagraph"/>
              <w:spacing w:before="59"/>
              <w:ind w:left="110"/>
              <w:rPr>
                <w:sz w:val="20"/>
              </w:rPr>
            </w:pPr>
            <w:r>
              <w:rPr>
                <w:sz w:val="20"/>
              </w:rPr>
              <w:t>Henson</w:t>
            </w:r>
            <w:r>
              <w:rPr>
                <w:spacing w:val="-4"/>
                <w:sz w:val="20"/>
              </w:rPr>
              <w:t> </w:t>
            </w:r>
            <w:r>
              <w:rPr>
                <w:spacing w:val="-2"/>
                <w:sz w:val="20"/>
              </w:rPr>
              <w:t>Makoani</w:t>
            </w:r>
          </w:p>
        </w:tc>
        <w:tc>
          <w:tcPr>
            <w:tcW w:w="3513" w:type="dxa"/>
          </w:tcPr>
          <w:p>
            <w:pPr>
              <w:pStyle w:val="TableParagraph"/>
              <w:spacing w:before="59"/>
              <w:ind w:left="110"/>
              <w:rPr>
                <w:sz w:val="20"/>
              </w:rPr>
            </w:pPr>
            <w:r>
              <w:rPr>
                <w:sz w:val="20"/>
              </w:rPr>
              <w:t>Manager,</w:t>
            </w:r>
            <w:r>
              <w:rPr>
                <w:spacing w:val="-6"/>
                <w:sz w:val="20"/>
              </w:rPr>
              <w:t> </w:t>
            </w:r>
            <w:r>
              <w:rPr>
                <w:spacing w:val="-2"/>
                <w:sz w:val="20"/>
              </w:rPr>
              <w:t>Assets</w:t>
            </w:r>
          </w:p>
        </w:tc>
        <w:tc>
          <w:tcPr>
            <w:tcW w:w="1843" w:type="dxa"/>
          </w:tcPr>
          <w:p>
            <w:pPr>
              <w:pStyle w:val="TableParagraph"/>
              <w:spacing w:line="242" w:lineRule="exact" w:before="59"/>
              <w:ind w:left="106"/>
              <w:rPr>
                <w:sz w:val="20"/>
              </w:rPr>
            </w:pPr>
            <w:r>
              <w:rPr>
                <w:sz w:val="20"/>
              </w:rPr>
              <w:t>MEHRD</w:t>
            </w:r>
            <w:r>
              <w:rPr>
                <w:spacing w:val="-4"/>
                <w:sz w:val="20"/>
              </w:rPr>
              <w:t> </w:t>
            </w:r>
            <w:r>
              <w:rPr>
                <w:sz w:val="20"/>
              </w:rPr>
              <w:t>–</w:t>
            </w:r>
            <w:r>
              <w:rPr>
                <w:spacing w:val="-3"/>
                <w:sz w:val="20"/>
              </w:rPr>
              <w:t> </w:t>
            </w:r>
            <w:r>
              <w:rPr>
                <w:spacing w:val="-5"/>
                <w:sz w:val="20"/>
              </w:rPr>
              <w:t>EA</w:t>
            </w:r>
          </w:p>
          <w:p>
            <w:pPr>
              <w:pStyle w:val="TableParagraph"/>
              <w:spacing w:line="242" w:lineRule="exact"/>
              <w:ind w:left="106"/>
              <w:rPr>
                <w:sz w:val="20"/>
              </w:rPr>
            </w:pPr>
            <w:r>
              <w:rPr>
                <w:spacing w:val="-2"/>
                <w:sz w:val="20"/>
              </w:rPr>
              <w:t>Services</w:t>
            </w:r>
          </w:p>
        </w:tc>
        <w:tc>
          <w:tcPr>
            <w:tcW w:w="1358" w:type="dxa"/>
          </w:tcPr>
          <w:p>
            <w:pPr>
              <w:pStyle w:val="TableParagraph"/>
              <w:spacing w:before="59"/>
              <w:ind w:left="106"/>
              <w:rPr>
                <w:sz w:val="20"/>
              </w:rPr>
            </w:pPr>
            <w:r>
              <w:rPr>
                <w:sz w:val="20"/>
              </w:rPr>
              <w:t>7</w:t>
            </w:r>
            <w:r>
              <w:rPr>
                <w:spacing w:val="1"/>
                <w:sz w:val="20"/>
              </w:rPr>
              <w:t> </w:t>
            </w:r>
            <w:r>
              <w:rPr>
                <w:spacing w:val="-4"/>
                <w:sz w:val="20"/>
              </w:rPr>
              <w:t>June</w:t>
            </w:r>
          </w:p>
        </w:tc>
      </w:tr>
      <w:tr>
        <w:trPr>
          <w:trHeight w:val="609" w:hRule="atLeast"/>
        </w:trPr>
        <w:tc>
          <w:tcPr>
            <w:tcW w:w="2294" w:type="dxa"/>
          </w:tcPr>
          <w:p>
            <w:pPr>
              <w:pStyle w:val="TableParagraph"/>
              <w:spacing w:before="63"/>
              <w:ind w:left="110"/>
              <w:rPr>
                <w:sz w:val="20"/>
              </w:rPr>
            </w:pPr>
            <w:r>
              <w:rPr>
                <w:sz w:val="20"/>
              </w:rPr>
              <w:t>Barry</w:t>
            </w:r>
            <w:r>
              <w:rPr>
                <w:spacing w:val="-8"/>
                <w:sz w:val="20"/>
              </w:rPr>
              <w:t> </w:t>
            </w:r>
            <w:r>
              <w:rPr>
                <w:spacing w:val="-2"/>
                <w:sz w:val="20"/>
              </w:rPr>
              <w:t>Peddle</w:t>
            </w:r>
          </w:p>
        </w:tc>
        <w:tc>
          <w:tcPr>
            <w:tcW w:w="3513" w:type="dxa"/>
          </w:tcPr>
          <w:p>
            <w:pPr>
              <w:pStyle w:val="TableParagraph"/>
              <w:spacing w:before="63"/>
              <w:ind w:left="110"/>
              <w:rPr>
                <w:sz w:val="20"/>
              </w:rPr>
            </w:pPr>
            <w:r>
              <w:rPr>
                <w:sz w:val="20"/>
              </w:rPr>
              <w:t>Team</w:t>
            </w:r>
            <w:r>
              <w:rPr>
                <w:spacing w:val="-6"/>
                <w:sz w:val="20"/>
              </w:rPr>
              <w:t> </w:t>
            </w:r>
            <w:r>
              <w:rPr>
                <w:spacing w:val="-2"/>
                <w:sz w:val="20"/>
              </w:rPr>
              <w:t>Leader</w:t>
            </w:r>
          </w:p>
        </w:tc>
        <w:tc>
          <w:tcPr>
            <w:tcW w:w="1843" w:type="dxa"/>
          </w:tcPr>
          <w:p>
            <w:pPr>
              <w:pStyle w:val="TableParagraph"/>
              <w:spacing w:line="235" w:lineRule="auto" w:before="67"/>
              <w:ind w:left="106"/>
              <w:rPr>
                <w:sz w:val="20"/>
              </w:rPr>
            </w:pPr>
            <w:r>
              <w:rPr>
                <w:sz w:val="20"/>
              </w:rPr>
              <w:t>Skills</w:t>
            </w:r>
            <w:r>
              <w:rPr>
                <w:spacing w:val="-12"/>
                <w:sz w:val="20"/>
              </w:rPr>
              <w:t> </w:t>
            </w:r>
            <w:r>
              <w:rPr>
                <w:sz w:val="20"/>
              </w:rPr>
              <w:t>for</w:t>
            </w:r>
            <w:r>
              <w:rPr>
                <w:spacing w:val="-11"/>
                <w:sz w:val="20"/>
              </w:rPr>
              <w:t> </w:t>
            </w:r>
            <w:r>
              <w:rPr>
                <w:sz w:val="20"/>
              </w:rPr>
              <w:t>Economic Growth</w:t>
            </w:r>
            <w:r>
              <w:rPr>
                <w:spacing w:val="-1"/>
                <w:sz w:val="20"/>
              </w:rPr>
              <w:t> </w:t>
            </w:r>
            <w:r>
              <w:rPr>
                <w:sz w:val="20"/>
              </w:rPr>
              <w:t>Program</w:t>
            </w:r>
          </w:p>
        </w:tc>
        <w:tc>
          <w:tcPr>
            <w:tcW w:w="1358" w:type="dxa"/>
          </w:tcPr>
          <w:p>
            <w:pPr>
              <w:pStyle w:val="TableParagraph"/>
              <w:spacing w:before="63"/>
              <w:ind w:left="106"/>
              <w:rPr>
                <w:sz w:val="20"/>
              </w:rPr>
            </w:pPr>
            <w:r>
              <w:rPr>
                <w:sz w:val="20"/>
              </w:rPr>
              <w:t>8</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Steve</w:t>
            </w:r>
            <w:r>
              <w:rPr>
                <w:spacing w:val="-7"/>
                <w:sz w:val="20"/>
              </w:rPr>
              <w:t> </w:t>
            </w:r>
            <w:r>
              <w:rPr>
                <w:spacing w:val="-4"/>
                <w:sz w:val="20"/>
              </w:rPr>
              <w:t>Rose</w:t>
            </w:r>
          </w:p>
        </w:tc>
        <w:tc>
          <w:tcPr>
            <w:tcW w:w="3513" w:type="dxa"/>
          </w:tcPr>
          <w:p>
            <w:pPr>
              <w:pStyle w:val="TableParagraph"/>
              <w:spacing w:before="59"/>
              <w:ind w:left="110"/>
              <w:rPr>
                <w:sz w:val="20"/>
              </w:rPr>
            </w:pPr>
            <w:r>
              <w:rPr>
                <w:sz w:val="20"/>
              </w:rPr>
              <w:t>Technical</w:t>
            </w:r>
            <w:r>
              <w:rPr>
                <w:spacing w:val="-7"/>
                <w:sz w:val="20"/>
              </w:rPr>
              <w:t> </w:t>
            </w:r>
            <w:r>
              <w:rPr>
                <w:sz w:val="20"/>
              </w:rPr>
              <w:t>Adviser,</w:t>
            </w:r>
            <w:r>
              <w:rPr>
                <w:spacing w:val="-10"/>
                <w:sz w:val="20"/>
              </w:rPr>
              <w:t> </w:t>
            </w:r>
            <w:r>
              <w:rPr>
                <w:spacing w:val="-5"/>
                <w:sz w:val="20"/>
              </w:rPr>
              <w:t>M&amp;E</w:t>
            </w:r>
          </w:p>
        </w:tc>
        <w:tc>
          <w:tcPr>
            <w:tcW w:w="1843" w:type="dxa"/>
          </w:tcPr>
          <w:p>
            <w:pPr>
              <w:pStyle w:val="TableParagraph"/>
              <w:spacing w:before="59"/>
              <w:ind w:left="106"/>
              <w:rPr>
                <w:sz w:val="20"/>
              </w:rPr>
            </w:pPr>
            <w:r>
              <w:rPr>
                <w:sz w:val="20"/>
              </w:rPr>
              <w:t>MEHRD</w:t>
            </w:r>
            <w:r>
              <w:rPr>
                <w:spacing w:val="-4"/>
                <w:sz w:val="20"/>
              </w:rPr>
              <w:t> </w:t>
            </w:r>
            <w:r>
              <w:rPr>
                <w:sz w:val="20"/>
              </w:rPr>
              <w:t>–</w:t>
            </w:r>
            <w:r>
              <w:rPr>
                <w:spacing w:val="2"/>
                <w:sz w:val="20"/>
              </w:rPr>
              <w:t> </w:t>
            </w:r>
            <w:r>
              <w:rPr>
                <w:spacing w:val="-5"/>
                <w:sz w:val="20"/>
              </w:rPr>
              <w:t>SSU</w:t>
            </w:r>
          </w:p>
        </w:tc>
        <w:tc>
          <w:tcPr>
            <w:tcW w:w="1358" w:type="dxa"/>
          </w:tcPr>
          <w:p>
            <w:pPr>
              <w:pStyle w:val="TableParagraph"/>
              <w:spacing w:before="59"/>
              <w:ind w:left="106"/>
              <w:rPr>
                <w:sz w:val="20"/>
              </w:rPr>
            </w:pPr>
            <w:r>
              <w:rPr>
                <w:sz w:val="20"/>
              </w:rPr>
              <w:t>7</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Dr</w:t>
            </w:r>
            <w:r>
              <w:rPr>
                <w:spacing w:val="-2"/>
                <w:sz w:val="20"/>
              </w:rPr>
              <w:t> </w:t>
            </w:r>
            <w:r>
              <w:rPr>
                <w:sz w:val="20"/>
              </w:rPr>
              <w:t>Franco</w:t>
            </w:r>
            <w:r>
              <w:rPr>
                <w:spacing w:val="-6"/>
                <w:sz w:val="20"/>
              </w:rPr>
              <w:t> </w:t>
            </w:r>
            <w:r>
              <w:rPr>
                <w:spacing w:val="-4"/>
                <w:sz w:val="20"/>
              </w:rPr>
              <w:t>Rodie</w:t>
            </w:r>
          </w:p>
        </w:tc>
        <w:tc>
          <w:tcPr>
            <w:tcW w:w="3513" w:type="dxa"/>
          </w:tcPr>
          <w:p>
            <w:pPr>
              <w:pStyle w:val="TableParagraph"/>
              <w:spacing w:before="59"/>
              <w:ind w:left="110"/>
              <w:rPr>
                <w:sz w:val="20"/>
              </w:rPr>
            </w:pPr>
            <w:r>
              <w:rPr>
                <w:sz w:val="20"/>
              </w:rPr>
              <w:t>Permanent</w:t>
            </w:r>
            <w:r>
              <w:rPr>
                <w:spacing w:val="-7"/>
                <w:sz w:val="20"/>
              </w:rPr>
              <w:t> </w:t>
            </w:r>
            <w:r>
              <w:rPr>
                <w:spacing w:val="-2"/>
                <w:sz w:val="20"/>
              </w:rPr>
              <w:t>Secretary</w:t>
            </w:r>
          </w:p>
        </w:tc>
        <w:tc>
          <w:tcPr>
            <w:tcW w:w="1843" w:type="dxa"/>
          </w:tcPr>
          <w:p>
            <w:pPr>
              <w:pStyle w:val="TableParagraph"/>
              <w:spacing w:before="59"/>
              <w:ind w:left="106"/>
              <w:rPr>
                <w:sz w:val="20"/>
              </w:rPr>
            </w:pPr>
            <w:r>
              <w:rPr>
                <w:spacing w:val="-4"/>
                <w:sz w:val="20"/>
              </w:rPr>
              <w:t>MEHRD</w:t>
            </w:r>
          </w:p>
        </w:tc>
        <w:tc>
          <w:tcPr>
            <w:tcW w:w="1358" w:type="dxa"/>
          </w:tcPr>
          <w:p>
            <w:pPr>
              <w:pStyle w:val="TableParagraph"/>
              <w:spacing w:before="59"/>
              <w:ind w:left="106"/>
              <w:rPr>
                <w:sz w:val="20"/>
              </w:rPr>
            </w:pPr>
            <w:r>
              <w:rPr>
                <w:sz w:val="20"/>
              </w:rPr>
              <w:t>9</w:t>
            </w:r>
            <w:r>
              <w:rPr>
                <w:spacing w:val="1"/>
                <w:sz w:val="20"/>
              </w:rPr>
              <w:t> </w:t>
            </w:r>
            <w:r>
              <w:rPr>
                <w:spacing w:val="-4"/>
                <w:sz w:val="20"/>
              </w:rPr>
              <w:t>June</w:t>
            </w:r>
          </w:p>
        </w:tc>
      </w:tr>
      <w:tr>
        <w:trPr>
          <w:trHeight w:val="364" w:hRule="atLeast"/>
        </w:trPr>
        <w:tc>
          <w:tcPr>
            <w:tcW w:w="2294" w:type="dxa"/>
          </w:tcPr>
          <w:p>
            <w:pPr>
              <w:pStyle w:val="TableParagraph"/>
              <w:spacing w:before="59"/>
              <w:ind w:left="110"/>
              <w:rPr>
                <w:sz w:val="20"/>
              </w:rPr>
            </w:pPr>
            <w:r>
              <w:rPr>
                <w:sz w:val="20"/>
              </w:rPr>
              <w:t>James</w:t>
            </w:r>
            <w:r>
              <w:rPr>
                <w:spacing w:val="-1"/>
                <w:sz w:val="20"/>
              </w:rPr>
              <w:t> </w:t>
            </w:r>
            <w:r>
              <w:rPr>
                <w:spacing w:val="-2"/>
                <w:sz w:val="20"/>
              </w:rPr>
              <w:t>Bosamata</w:t>
            </w:r>
          </w:p>
        </w:tc>
        <w:tc>
          <w:tcPr>
            <w:tcW w:w="3513" w:type="dxa"/>
          </w:tcPr>
          <w:p>
            <w:pPr>
              <w:pStyle w:val="TableParagraph"/>
              <w:spacing w:before="59"/>
              <w:ind w:left="110"/>
              <w:rPr>
                <w:sz w:val="20"/>
              </w:rPr>
            </w:pPr>
            <w:r>
              <w:rPr>
                <w:sz w:val="20"/>
              </w:rPr>
              <w:t>Deputy</w:t>
            </w:r>
            <w:r>
              <w:rPr>
                <w:spacing w:val="-6"/>
                <w:sz w:val="20"/>
              </w:rPr>
              <w:t> </w:t>
            </w:r>
            <w:r>
              <w:rPr>
                <w:spacing w:val="-2"/>
                <w:sz w:val="20"/>
              </w:rPr>
              <w:t>Secretary</w:t>
            </w:r>
          </w:p>
        </w:tc>
        <w:tc>
          <w:tcPr>
            <w:tcW w:w="1843" w:type="dxa"/>
          </w:tcPr>
          <w:p>
            <w:pPr>
              <w:pStyle w:val="TableParagraph"/>
              <w:spacing w:before="59"/>
              <w:ind w:left="106"/>
              <w:rPr>
                <w:sz w:val="20"/>
              </w:rPr>
            </w:pPr>
            <w:r>
              <w:rPr>
                <w:spacing w:val="-4"/>
                <w:sz w:val="20"/>
              </w:rPr>
              <w:t>MEHRD</w:t>
            </w:r>
          </w:p>
        </w:tc>
        <w:tc>
          <w:tcPr>
            <w:tcW w:w="1358" w:type="dxa"/>
          </w:tcPr>
          <w:p>
            <w:pPr>
              <w:pStyle w:val="TableParagraph"/>
              <w:spacing w:before="59"/>
              <w:ind w:left="106"/>
              <w:rPr>
                <w:sz w:val="20"/>
              </w:rPr>
            </w:pPr>
            <w:r>
              <w:rPr>
                <w:sz w:val="20"/>
              </w:rPr>
              <w:t>9</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Joe </w:t>
            </w:r>
            <w:r>
              <w:rPr>
                <w:spacing w:val="-2"/>
                <w:sz w:val="20"/>
              </w:rPr>
              <w:t>Takeli</w:t>
            </w:r>
          </w:p>
        </w:tc>
        <w:tc>
          <w:tcPr>
            <w:tcW w:w="3513" w:type="dxa"/>
          </w:tcPr>
          <w:p>
            <w:pPr>
              <w:pStyle w:val="TableParagraph"/>
              <w:spacing w:before="59"/>
              <w:ind w:left="110" w:right="175"/>
              <w:rPr>
                <w:sz w:val="20"/>
              </w:rPr>
            </w:pPr>
            <w:r>
              <w:rPr>
                <w:sz w:val="20"/>
              </w:rPr>
              <w:t>Team</w:t>
            </w:r>
            <w:r>
              <w:rPr>
                <w:spacing w:val="-6"/>
                <w:sz w:val="20"/>
              </w:rPr>
              <w:t> </w:t>
            </w:r>
            <w:r>
              <w:rPr>
                <w:sz w:val="20"/>
              </w:rPr>
              <w:t>Leader,</w:t>
            </w:r>
            <w:r>
              <w:rPr>
                <w:spacing w:val="-11"/>
                <w:sz w:val="20"/>
              </w:rPr>
              <w:t> </w:t>
            </w:r>
            <w:r>
              <w:rPr>
                <w:sz w:val="20"/>
              </w:rPr>
              <w:t>Literacy</w:t>
            </w:r>
            <w:r>
              <w:rPr>
                <w:spacing w:val="-9"/>
                <w:sz w:val="20"/>
              </w:rPr>
              <w:t> </w:t>
            </w:r>
            <w:r>
              <w:rPr>
                <w:sz w:val="20"/>
              </w:rPr>
              <w:t>and</w:t>
            </w:r>
            <w:r>
              <w:rPr>
                <w:spacing w:val="-9"/>
                <w:sz w:val="20"/>
              </w:rPr>
              <w:t> </w:t>
            </w:r>
            <w:r>
              <w:rPr>
                <w:sz w:val="20"/>
              </w:rPr>
              <w:t>Numeracy </w:t>
            </w:r>
            <w:r>
              <w:rPr>
                <w:spacing w:val="-4"/>
                <w:sz w:val="20"/>
              </w:rPr>
              <w:t>Unit</w:t>
            </w:r>
          </w:p>
        </w:tc>
        <w:tc>
          <w:tcPr>
            <w:tcW w:w="1843" w:type="dxa"/>
          </w:tcPr>
          <w:p>
            <w:pPr>
              <w:pStyle w:val="TableParagraph"/>
              <w:spacing w:before="59"/>
              <w:ind w:left="106"/>
              <w:rPr>
                <w:sz w:val="20"/>
              </w:rPr>
            </w:pPr>
            <w:r>
              <w:rPr>
                <w:sz w:val="20"/>
              </w:rPr>
              <w:t>MEHRD</w:t>
            </w:r>
            <w:r>
              <w:rPr>
                <w:spacing w:val="-12"/>
                <w:sz w:val="20"/>
              </w:rPr>
              <w:t> </w:t>
            </w:r>
            <w:r>
              <w:rPr>
                <w:sz w:val="20"/>
              </w:rPr>
              <w:t>–</w:t>
            </w:r>
            <w:r>
              <w:rPr>
                <w:spacing w:val="-8"/>
                <w:sz w:val="20"/>
              </w:rPr>
              <w:t> </w:t>
            </w:r>
            <w:r>
              <w:rPr>
                <w:sz w:val="20"/>
              </w:rPr>
              <w:t>National Education</w:t>
            </w:r>
            <w:r>
              <w:rPr>
                <w:spacing w:val="-9"/>
                <w:sz w:val="20"/>
              </w:rPr>
              <w:t> </w:t>
            </w:r>
            <w:r>
              <w:rPr>
                <w:spacing w:val="-2"/>
                <w:sz w:val="20"/>
              </w:rPr>
              <w:t>Services</w:t>
            </w:r>
          </w:p>
        </w:tc>
        <w:tc>
          <w:tcPr>
            <w:tcW w:w="1358" w:type="dxa"/>
          </w:tcPr>
          <w:p>
            <w:pPr>
              <w:pStyle w:val="TableParagraph"/>
              <w:spacing w:before="59"/>
              <w:ind w:left="106"/>
              <w:rPr>
                <w:sz w:val="20"/>
              </w:rPr>
            </w:pPr>
            <w:r>
              <w:rPr>
                <w:sz w:val="20"/>
              </w:rPr>
              <w:t>9</w:t>
            </w:r>
            <w:r>
              <w:rPr>
                <w:spacing w:val="1"/>
                <w:sz w:val="20"/>
              </w:rPr>
              <w:t> </w:t>
            </w:r>
            <w:r>
              <w:rPr>
                <w:spacing w:val="-4"/>
                <w:sz w:val="20"/>
              </w:rPr>
              <w:t>June</w:t>
            </w:r>
          </w:p>
        </w:tc>
      </w:tr>
      <w:tr>
        <w:trPr>
          <w:trHeight w:val="609" w:hRule="atLeast"/>
        </w:trPr>
        <w:tc>
          <w:tcPr>
            <w:tcW w:w="2294" w:type="dxa"/>
          </w:tcPr>
          <w:p>
            <w:pPr>
              <w:pStyle w:val="TableParagraph"/>
              <w:spacing w:before="59"/>
              <w:ind w:left="110"/>
              <w:rPr>
                <w:sz w:val="20"/>
              </w:rPr>
            </w:pPr>
            <w:r>
              <w:rPr>
                <w:sz w:val="20"/>
              </w:rPr>
              <w:t>Paul</w:t>
            </w:r>
            <w:r>
              <w:rPr>
                <w:spacing w:val="-2"/>
                <w:sz w:val="20"/>
              </w:rPr>
              <w:t> Sukulu</w:t>
            </w:r>
          </w:p>
        </w:tc>
        <w:tc>
          <w:tcPr>
            <w:tcW w:w="3513" w:type="dxa"/>
          </w:tcPr>
          <w:p>
            <w:pPr>
              <w:pStyle w:val="TableParagraph"/>
              <w:spacing w:before="59"/>
              <w:ind w:left="110"/>
              <w:rPr>
                <w:sz w:val="20"/>
              </w:rPr>
            </w:pPr>
            <w:r>
              <w:rPr>
                <w:sz w:val="20"/>
              </w:rPr>
              <w:t>Literacy</w:t>
            </w:r>
            <w:r>
              <w:rPr>
                <w:spacing w:val="-9"/>
                <w:sz w:val="20"/>
              </w:rPr>
              <w:t> </w:t>
            </w:r>
            <w:r>
              <w:rPr>
                <w:sz w:val="20"/>
              </w:rPr>
              <w:t>Program</w:t>
            </w:r>
            <w:r>
              <w:rPr>
                <w:spacing w:val="-5"/>
                <w:sz w:val="20"/>
              </w:rPr>
              <w:t> </w:t>
            </w:r>
            <w:r>
              <w:rPr>
                <w:spacing w:val="-2"/>
                <w:sz w:val="20"/>
              </w:rPr>
              <w:t>Officer</w:t>
            </w:r>
          </w:p>
        </w:tc>
        <w:tc>
          <w:tcPr>
            <w:tcW w:w="1843" w:type="dxa"/>
          </w:tcPr>
          <w:p>
            <w:pPr>
              <w:pStyle w:val="TableParagraph"/>
              <w:spacing w:line="235" w:lineRule="auto" w:before="62"/>
              <w:ind w:left="106"/>
              <w:rPr>
                <w:sz w:val="20"/>
              </w:rPr>
            </w:pPr>
            <w:r>
              <w:rPr>
                <w:sz w:val="20"/>
              </w:rPr>
              <w:t>MEHRD</w:t>
            </w:r>
            <w:r>
              <w:rPr>
                <w:spacing w:val="-12"/>
                <w:sz w:val="20"/>
              </w:rPr>
              <w:t> </w:t>
            </w:r>
            <w:r>
              <w:rPr>
                <w:sz w:val="20"/>
              </w:rPr>
              <w:t>–</w:t>
            </w:r>
            <w:r>
              <w:rPr>
                <w:spacing w:val="-8"/>
                <w:sz w:val="20"/>
              </w:rPr>
              <w:t> </w:t>
            </w:r>
            <w:r>
              <w:rPr>
                <w:sz w:val="20"/>
              </w:rPr>
              <w:t>National Education</w:t>
            </w:r>
            <w:r>
              <w:rPr>
                <w:spacing w:val="-9"/>
                <w:sz w:val="20"/>
              </w:rPr>
              <w:t> </w:t>
            </w:r>
            <w:r>
              <w:rPr>
                <w:spacing w:val="-2"/>
                <w:sz w:val="20"/>
              </w:rPr>
              <w:t>Services</w:t>
            </w:r>
          </w:p>
        </w:tc>
        <w:tc>
          <w:tcPr>
            <w:tcW w:w="1358" w:type="dxa"/>
          </w:tcPr>
          <w:p>
            <w:pPr>
              <w:pStyle w:val="TableParagraph"/>
              <w:spacing w:before="59"/>
              <w:ind w:left="106"/>
              <w:rPr>
                <w:sz w:val="20"/>
              </w:rPr>
            </w:pPr>
            <w:r>
              <w:rPr>
                <w:sz w:val="20"/>
              </w:rPr>
              <w:t>9</w:t>
            </w:r>
            <w:r>
              <w:rPr>
                <w:spacing w:val="1"/>
                <w:sz w:val="20"/>
              </w:rPr>
              <w:t> </w:t>
            </w:r>
            <w:r>
              <w:rPr>
                <w:spacing w:val="-4"/>
                <w:sz w:val="20"/>
              </w:rPr>
              <w:t>June</w:t>
            </w:r>
          </w:p>
        </w:tc>
      </w:tr>
    </w:tbl>
    <w:p>
      <w:pPr>
        <w:pStyle w:val="BodyText"/>
        <w:rPr>
          <w:i/>
        </w:rPr>
      </w:pPr>
    </w:p>
    <w:p>
      <w:pPr>
        <w:pStyle w:val="BodyText"/>
        <w:spacing w:before="3"/>
        <w:rPr>
          <w:i/>
          <w:sz w:val="20"/>
        </w:rPr>
      </w:pPr>
    </w:p>
    <w:p>
      <w:pPr>
        <w:pStyle w:val="BodyText"/>
        <w:ind w:left="1119" w:right="1173"/>
        <w:jc w:val="both"/>
      </w:pPr>
      <w:r>
        <w:rPr/>
        <w:t>The Mid-Year Review Workshop, held on 8</w:t>
      </w:r>
      <w:r>
        <w:rPr>
          <w:vertAlign w:val="superscript"/>
        </w:rPr>
        <w:t>th</w:t>
      </w:r>
      <w:r>
        <w:rPr>
          <w:vertAlign w:val="baseline"/>
        </w:rPr>
        <w:t> June 2017, was chaired jointly by Dr Franco Rodie and James Bosamata. The workshop received the</w:t>
      </w:r>
      <w:r>
        <w:rPr>
          <w:spacing w:val="40"/>
          <w:vertAlign w:val="baseline"/>
        </w:rPr>
        <w:t> </w:t>
      </w:r>
      <w:r>
        <w:rPr>
          <w:vertAlign w:val="baseline"/>
        </w:rPr>
        <w:t>findings of the independent assessment, and received progress</w:t>
      </w:r>
      <w:r>
        <w:rPr>
          <w:spacing w:val="-4"/>
          <w:vertAlign w:val="baseline"/>
        </w:rPr>
        <w:t> </w:t>
      </w:r>
      <w:r>
        <w:rPr>
          <w:vertAlign w:val="baseline"/>
        </w:rPr>
        <w:t>reports</w:t>
      </w:r>
      <w:r>
        <w:rPr>
          <w:spacing w:val="-4"/>
          <w:vertAlign w:val="baseline"/>
        </w:rPr>
        <w:t> </w:t>
      </w:r>
      <w:r>
        <w:rPr>
          <w:vertAlign w:val="baseline"/>
        </w:rPr>
        <w:t>and</w:t>
      </w:r>
      <w:r>
        <w:rPr>
          <w:spacing w:val="-5"/>
          <w:vertAlign w:val="baseline"/>
        </w:rPr>
        <w:t> </w:t>
      </w:r>
      <w:r>
        <w:rPr>
          <w:vertAlign w:val="baseline"/>
        </w:rPr>
        <w:t>inputs</w:t>
      </w:r>
      <w:r>
        <w:rPr>
          <w:spacing w:val="-4"/>
          <w:vertAlign w:val="baseline"/>
        </w:rPr>
        <w:t> </w:t>
      </w:r>
      <w:r>
        <w:rPr>
          <w:vertAlign w:val="baseline"/>
        </w:rPr>
        <w:t>from</w:t>
      </w:r>
      <w:r>
        <w:rPr>
          <w:spacing w:val="-3"/>
          <w:vertAlign w:val="baseline"/>
        </w:rPr>
        <w:t> </w:t>
      </w:r>
      <w:r>
        <w:rPr>
          <w:vertAlign w:val="baseline"/>
        </w:rPr>
        <w:t>personnel</w:t>
      </w:r>
      <w:r>
        <w:rPr>
          <w:spacing w:val="-2"/>
          <w:vertAlign w:val="baseline"/>
        </w:rPr>
        <w:t> </w:t>
      </w:r>
      <w:r>
        <w:rPr>
          <w:vertAlign w:val="baseline"/>
        </w:rPr>
        <w:t>from</w:t>
      </w:r>
      <w:r>
        <w:rPr>
          <w:spacing w:val="-3"/>
          <w:vertAlign w:val="baseline"/>
        </w:rPr>
        <w:t> </w:t>
      </w:r>
      <w:r>
        <w:rPr>
          <w:vertAlign w:val="baseline"/>
        </w:rPr>
        <w:t>DFAT,</w:t>
      </w:r>
      <w:r>
        <w:rPr>
          <w:spacing w:val="-7"/>
          <w:vertAlign w:val="baseline"/>
        </w:rPr>
        <w:t> </w:t>
      </w:r>
      <w:r>
        <w:rPr>
          <w:vertAlign w:val="baseline"/>
        </w:rPr>
        <w:t>New</w:t>
      </w:r>
      <w:r>
        <w:rPr>
          <w:spacing w:val="-4"/>
          <w:vertAlign w:val="baseline"/>
        </w:rPr>
        <w:t> </w:t>
      </w:r>
      <w:r>
        <w:rPr>
          <w:vertAlign w:val="baseline"/>
        </w:rPr>
        <w:t>Zealand</w:t>
      </w:r>
      <w:r>
        <w:rPr>
          <w:spacing w:val="-5"/>
          <w:vertAlign w:val="baseline"/>
        </w:rPr>
        <w:t> </w:t>
      </w:r>
      <w:r>
        <w:rPr>
          <w:vertAlign w:val="baseline"/>
        </w:rPr>
        <w:t>Aid</w:t>
      </w:r>
      <w:r>
        <w:rPr>
          <w:spacing w:val="-5"/>
          <w:vertAlign w:val="baseline"/>
        </w:rPr>
        <w:t> </w:t>
      </w:r>
      <w:r>
        <w:rPr>
          <w:vertAlign w:val="baseline"/>
        </w:rPr>
        <w:t>Program</w:t>
      </w:r>
      <w:r>
        <w:rPr>
          <w:spacing w:val="-3"/>
          <w:vertAlign w:val="baseline"/>
        </w:rPr>
        <w:t> </w:t>
      </w:r>
      <w:r>
        <w:rPr>
          <w:vertAlign w:val="baseline"/>
        </w:rPr>
        <w:t>and</w:t>
      </w:r>
      <w:r>
        <w:rPr>
          <w:spacing w:val="-5"/>
          <w:vertAlign w:val="baseline"/>
        </w:rPr>
        <w:t> </w:t>
      </w:r>
      <w:r>
        <w:rPr>
          <w:vertAlign w:val="baseline"/>
        </w:rPr>
        <w:t>MEHRD.</w:t>
      </w:r>
      <w:r>
        <w:rPr>
          <w:spacing w:val="-2"/>
          <w:vertAlign w:val="baseline"/>
        </w:rPr>
        <w:t> </w:t>
      </w:r>
      <w:r>
        <w:rPr>
          <w:vertAlign w:val="baseline"/>
        </w:rPr>
        <w:t>Barry Peddle,</w:t>
      </w:r>
      <w:r>
        <w:rPr>
          <w:spacing w:val="-7"/>
          <w:vertAlign w:val="baseline"/>
        </w:rPr>
        <w:t> </w:t>
      </w:r>
      <w:r>
        <w:rPr>
          <w:vertAlign w:val="baseline"/>
        </w:rPr>
        <w:t>Team</w:t>
      </w:r>
      <w:r>
        <w:rPr>
          <w:spacing w:val="-3"/>
          <w:vertAlign w:val="baseline"/>
        </w:rPr>
        <w:t> </w:t>
      </w:r>
      <w:r>
        <w:rPr>
          <w:vertAlign w:val="baseline"/>
        </w:rPr>
        <w:t>Leader</w:t>
      </w:r>
      <w:r>
        <w:rPr>
          <w:spacing w:val="-4"/>
          <w:vertAlign w:val="baseline"/>
        </w:rPr>
        <w:t> </w:t>
      </w:r>
      <w:r>
        <w:rPr>
          <w:vertAlign w:val="baseline"/>
        </w:rPr>
        <w:t>of</w:t>
      </w:r>
      <w:r>
        <w:rPr>
          <w:spacing w:val="-5"/>
          <w:vertAlign w:val="baseline"/>
        </w:rPr>
        <w:t> </w:t>
      </w:r>
      <w:r>
        <w:rPr>
          <w:vertAlign w:val="baseline"/>
        </w:rPr>
        <w:t>the</w:t>
      </w:r>
      <w:r>
        <w:rPr>
          <w:spacing w:val="-4"/>
          <w:vertAlign w:val="baseline"/>
        </w:rPr>
        <w:t> </w:t>
      </w:r>
      <w:r>
        <w:rPr>
          <w:vertAlign w:val="baseline"/>
        </w:rPr>
        <w:t>Skills</w:t>
      </w:r>
      <w:r>
        <w:rPr>
          <w:spacing w:val="-4"/>
          <w:vertAlign w:val="baseline"/>
        </w:rPr>
        <w:t> </w:t>
      </w:r>
      <w:r>
        <w:rPr>
          <w:vertAlign w:val="baseline"/>
        </w:rPr>
        <w:t>for</w:t>
      </w:r>
      <w:r>
        <w:rPr>
          <w:spacing w:val="-4"/>
          <w:vertAlign w:val="baseline"/>
        </w:rPr>
        <w:t> </w:t>
      </w:r>
      <w:r>
        <w:rPr>
          <w:vertAlign w:val="baseline"/>
        </w:rPr>
        <w:t>Economic</w:t>
      </w:r>
      <w:r>
        <w:rPr>
          <w:spacing w:val="-6"/>
          <w:vertAlign w:val="baseline"/>
        </w:rPr>
        <w:t> </w:t>
      </w:r>
      <w:r>
        <w:rPr>
          <w:vertAlign w:val="baseline"/>
        </w:rPr>
        <w:t>Growth</w:t>
      </w:r>
      <w:r>
        <w:rPr>
          <w:spacing w:val="-5"/>
          <w:vertAlign w:val="baseline"/>
        </w:rPr>
        <w:t> </w:t>
      </w:r>
      <w:r>
        <w:rPr>
          <w:vertAlign w:val="baseline"/>
        </w:rPr>
        <w:t>Program</w:t>
      </w:r>
      <w:r>
        <w:rPr>
          <w:spacing w:val="-3"/>
          <w:vertAlign w:val="baseline"/>
        </w:rPr>
        <w:t> </w:t>
      </w:r>
      <w:r>
        <w:rPr>
          <w:vertAlign w:val="baseline"/>
        </w:rPr>
        <w:t>provide</w:t>
      </w:r>
      <w:r>
        <w:rPr>
          <w:spacing w:val="-4"/>
          <w:vertAlign w:val="baseline"/>
        </w:rPr>
        <w:t> </w:t>
      </w:r>
      <w:r>
        <w:rPr>
          <w:vertAlign w:val="baseline"/>
        </w:rPr>
        <w:t>a</w:t>
      </w:r>
      <w:r>
        <w:rPr>
          <w:spacing w:val="-5"/>
          <w:vertAlign w:val="baseline"/>
        </w:rPr>
        <w:t> </w:t>
      </w:r>
      <w:r>
        <w:rPr>
          <w:vertAlign w:val="baseline"/>
        </w:rPr>
        <w:t>detailed</w:t>
      </w:r>
      <w:r>
        <w:rPr>
          <w:spacing w:val="-5"/>
          <w:vertAlign w:val="baseline"/>
        </w:rPr>
        <w:t> </w:t>
      </w:r>
      <w:r>
        <w:rPr>
          <w:vertAlign w:val="baseline"/>
        </w:rPr>
        <w:t>report</w:t>
      </w:r>
      <w:r>
        <w:rPr>
          <w:spacing w:val="-6"/>
          <w:vertAlign w:val="baseline"/>
        </w:rPr>
        <w:t> </w:t>
      </w:r>
      <w:r>
        <w:rPr>
          <w:vertAlign w:val="baseline"/>
        </w:rPr>
        <w:t>of</w:t>
      </w:r>
      <w:r>
        <w:rPr>
          <w:spacing w:val="-5"/>
          <w:vertAlign w:val="baseline"/>
        </w:rPr>
        <w:t> </w:t>
      </w:r>
      <w:r>
        <w:rPr>
          <w:vertAlign w:val="baseline"/>
        </w:rPr>
        <w:t>progress on the establishment of the Solomon Islands Tertiary Education and Skills Authority (SITESA).</w:t>
      </w:r>
    </w:p>
    <w:p>
      <w:pPr>
        <w:spacing w:after="0"/>
        <w:jc w:val="both"/>
        <w:sectPr>
          <w:pgSz w:w="11900" w:h="16840"/>
          <w:pgMar w:header="751" w:footer="1206" w:top="1640" w:bottom="1420" w:left="320" w:right="260"/>
        </w:sectPr>
      </w:pPr>
    </w:p>
    <w:p>
      <w:pPr>
        <w:pStyle w:val="BodyText"/>
        <w:spacing w:before="46"/>
        <w:ind w:left="1120" w:right="1179"/>
        <w:jc w:val="both"/>
      </w:pPr>
      <w:r>
        <w:rPr/>
        <w:t>The workshop also considered future priorities for the education sector and donor partner support. These recommendations provided important input for the development of the 2017 targets and indicators. The agenda for the Mid-Year Review Workshop is provided in Appendix 3.</w:t>
      </w:r>
    </w:p>
    <w:p>
      <w:pPr>
        <w:pStyle w:val="BodyText"/>
      </w:pPr>
    </w:p>
    <w:p>
      <w:pPr>
        <w:pStyle w:val="BodyText"/>
        <w:rPr>
          <w:sz w:val="17"/>
        </w:rPr>
      </w:pPr>
    </w:p>
    <w:p>
      <w:pPr>
        <w:pStyle w:val="ListParagraph"/>
        <w:numPr>
          <w:ilvl w:val="0"/>
          <w:numId w:val="3"/>
        </w:numPr>
        <w:tabs>
          <w:tab w:pos="1839" w:val="left" w:leader="none"/>
          <w:tab w:pos="1840" w:val="left" w:leader="none"/>
        </w:tabs>
        <w:spacing w:line="240" w:lineRule="auto" w:before="0" w:after="0"/>
        <w:ind w:left="1839" w:right="0" w:hanging="720"/>
        <w:jc w:val="left"/>
        <w:rPr>
          <w:b/>
          <w:sz w:val="28"/>
        </w:rPr>
      </w:pPr>
      <w:bookmarkStart w:name="4. Review of Performance Against 2016 Ta" w:id="11"/>
      <w:bookmarkEnd w:id="11"/>
      <w:r>
        <w:rPr/>
      </w:r>
      <w:bookmarkStart w:name="_bookmark5" w:id="12"/>
      <w:bookmarkEnd w:id="12"/>
      <w:r>
        <w:rPr>
          <w:b/>
          <w:sz w:val="28"/>
        </w:rPr>
        <w:t>R</w:t>
      </w:r>
      <w:r>
        <w:rPr>
          <w:b/>
          <w:sz w:val="22"/>
        </w:rPr>
        <w:t>EVIEW</w:t>
      </w:r>
      <w:r>
        <w:rPr>
          <w:b/>
          <w:spacing w:val="28"/>
          <w:sz w:val="22"/>
        </w:rPr>
        <w:t> </w:t>
      </w:r>
      <w:r>
        <w:rPr>
          <w:b/>
          <w:sz w:val="22"/>
        </w:rPr>
        <w:t>OF</w:t>
      </w:r>
      <w:r>
        <w:rPr>
          <w:b/>
          <w:spacing w:val="31"/>
          <w:sz w:val="22"/>
        </w:rPr>
        <w:t> </w:t>
      </w:r>
      <w:r>
        <w:rPr>
          <w:b/>
          <w:sz w:val="28"/>
        </w:rPr>
        <w:t>P</w:t>
      </w:r>
      <w:r>
        <w:rPr>
          <w:b/>
          <w:sz w:val="22"/>
        </w:rPr>
        <w:t>ERFORMANCE</w:t>
      </w:r>
      <w:r>
        <w:rPr>
          <w:b/>
          <w:spacing w:val="23"/>
          <w:sz w:val="22"/>
        </w:rPr>
        <w:t> </w:t>
      </w:r>
      <w:r>
        <w:rPr>
          <w:b/>
          <w:sz w:val="28"/>
        </w:rPr>
        <w:t>A</w:t>
      </w:r>
      <w:r>
        <w:rPr>
          <w:b/>
          <w:sz w:val="22"/>
        </w:rPr>
        <w:t>GAINST</w:t>
      </w:r>
      <w:r>
        <w:rPr>
          <w:b/>
          <w:spacing w:val="28"/>
          <w:sz w:val="22"/>
        </w:rPr>
        <w:t> </w:t>
      </w:r>
      <w:r>
        <w:rPr>
          <w:b/>
          <w:sz w:val="28"/>
        </w:rPr>
        <w:t>2016</w:t>
      </w:r>
      <w:r>
        <w:rPr>
          <w:b/>
          <w:spacing w:val="17"/>
          <w:sz w:val="28"/>
        </w:rPr>
        <w:t> </w:t>
      </w:r>
      <w:r>
        <w:rPr>
          <w:b/>
          <w:spacing w:val="-2"/>
          <w:sz w:val="28"/>
        </w:rPr>
        <w:t>T</w:t>
      </w:r>
      <w:r>
        <w:rPr>
          <w:b/>
          <w:spacing w:val="-2"/>
          <w:sz w:val="22"/>
        </w:rPr>
        <w:t>ARGETS</w:t>
      </w:r>
    </w:p>
    <w:p>
      <w:pPr>
        <w:pStyle w:val="BodyText"/>
        <w:spacing w:before="176"/>
        <w:ind w:left="1120" w:right="1178"/>
        <w:jc w:val="both"/>
      </w:pPr>
      <w:r>
        <w:rPr/>
        <w:t>This</w:t>
      </w:r>
      <w:r>
        <w:rPr>
          <w:spacing w:val="-4"/>
        </w:rPr>
        <w:t> </w:t>
      </w:r>
      <w:r>
        <w:rPr/>
        <w:t>section</w:t>
      </w:r>
      <w:r>
        <w:rPr>
          <w:spacing w:val="-5"/>
        </w:rPr>
        <w:t> </w:t>
      </w:r>
      <w:r>
        <w:rPr/>
        <w:t>of the</w:t>
      </w:r>
      <w:r>
        <w:rPr>
          <w:spacing w:val="-4"/>
        </w:rPr>
        <w:t> </w:t>
      </w:r>
      <w:r>
        <w:rPr/>
        <w:t>report</w:t>
      </w:r>
      <w:r>
        <w:rPr>
          <w:spacing w:val="-1"/>
        </w:rPr>
        <w:t> </w:t>
      </w:r>
      <w:r>
        <w:rPr/>
        <w:t>provides</w:t>
      </w:r>
      <w:r>
        <w:rPr>
          <w:spacing w:val="-4"/>
        </w:rPr>
        <w:t> </w:t>
      </w:r>
      <w:r>
        <w:rPr/>
        <w:t>information</w:t>
      </w:r>
      <w:r>
        <w:rPr>
          <w:spacing w:val="-5"/>
        </w:rPr>
        <w:t> </w:t>
      </w:r>
      <w:r>
        <w:rPr/>
        <w:t>about</w:t>
      </w:r>
      <w:r>
        <w:rPr>
          <w:spacing w:val="-1"/>
        </w:rPr>
        <w:t> </w:t>
      </w:r>
      <w:r>
        <w:rPr/>
        <w:t>the</w:t>
      </w:r>
      <w:r>
        <w:rPr>
          <w:spacing w:val="-4"/>
        </w:rPr>
        <w:t> </w:t>
      </w:r>
      <w:r>
        <w:rPr/>
        <w:t>extent</w:t>
      </w:r>
      <w:r>
        <w:rPr>
          <w:spacing w:val="-6"/>
        </w:rPr>
        <w:t> </w:t>
      </w:r>
      <w:r>
        <w:rPr/>
        <w:t>to</w:t>
      </w:r>
      <w:r>
        <w:rPr>
          <w:spacing w:val="-1"/>
        </w:rPr>
        <w:t> </w:t>
      </w:r>
      <w:r>
        <w:rPr/>
        <w:t>which</w:t>
      </w:r>
      <w:r>
        <w:rPr>
          <w:spacing w:val="-5"/>
        </w:rPr>
        <w:t> </w:t>
      </w:r>
      <w:r>
        <w:rPr/>
        <w:t>the 2016</w:t>
      </w:r>
      <w:r>
        <w:rPr>
          <w:spacing w:val="-6"/>
        </w:rPr>
        <w:t> </w:t>
      </w:r>
      <w:r>
        <w:rPr/>
        <w:t>EPM</w:t>
      </w:r>
      <w:r>
        <w:rPr>
          <w:spacing w:val="-1"/>
        </w:rPr>
        <w:t> </w:t>
      </w:r>
      <w:r>
        <w:rPr/>
        <w:t>targets</w:t>
      </w:r>
      <w:r>
        <w:rPr>
          <w:spacing w:val="-4"/>
        </w:rPr>
        <w:t> </w:t>
      </w:r>
      <w:r>
        <w:rPr/>
        <w:t>have been achieved. It also provides comment and suggestions about how MEHRD could improve, where necessary, the processes and procedures it uses to collect data or achieve targets.</w:t>
      </w:r>
    </w:p>
    <w:p>
      <w:pPr>
        <w:pStyle w:val="BodyText"/>
        <w:spacing w:before="121"/>
        <w:ind w:left="1119" w:right="1174"/>
        <w:jc w:val="both"/>
      </w:pPr>
      <w:r>
        <w:rPr/>
        <w:t>It was pleasing to note that during the review process that Ministry personnel had prepared well for the review and that they were committed to using data and evidence to guide decisions and future programs. The Ministry appears to be building a culture of evidence-based decision making. The development and implementation of the Results Framework and M&amp;E Framework for the NEAP will greatly assist in this process.</w:t>
      </w:r>
    </w:p>
    <w:p>
      <w:pPr>
        <w:pStyle w:val="BodyText"/>
      </w:pPr>
    </w:p>
    <w:p>
      <w:pPr>
        <w:pStyle w:val="BodyText"/>
      </w:pPr>
    </w:p>
    <w:p>
      <w:pPr>
        <w:pStyle w:val="ListParagraph"/>
        <w:numPr>
          <w:ilvl w:val="1"/>
          <w:numId w:val="3"/>
        </w:numPr>
        <w:tabs>
          <w:tab w:pos="1839" w:val="left" w:leader="none"/>
          <w:tab w:pos="1840" w:val="left" w:leader="none"/>
        </w:tabs>
        <w:spacing w:line="240" w:lineRule="auto" w:before="194" w:after="0"/>
        <w:ind w:left="1840" w:right="0" w:hanging="720"/>
        <w:jc w:val="left"/>
        <w:rPr>
          <w:rFonts w:ascii="Calibri Light" w:hAnsi="Calibri Light"/>
          <w:b w:val="0"/>
          <w:sz w:val="19"/>
        </w:rPr>
      </w:pPr>
      <w:bookmarkStart w:name="4.1 Overarching Target – Percentage of S" w:id="13"/>
      <w:bookmarkEnd w:id="13"/>
      <w:r>
        <w:rPr/>
      </w:r>
      <w:bookmarkStart w:name="_bookmark6" w:id="14"/>
      <w:bookmarkEnd w:id="14"/>
      <w:r>
        <w:rPr>
          <w:rFonts w:ascii="Calibri Light" w:hAnsi="Calibri Light"/>
          <w:b w:val="0"/>
          <w:spacing w:val="-2"/>
          <w:sz w:val="24"/>
        </w:rPr>
        <w:t>O</w:t>
      </w:r>
      <w:r>
        <w:rPr>
          <w:rFonts w:ascii="Calibri Light" w:hAnsi="Calibri Light"/>
          <w:b w:val="0"/>
          <w:spacing w:val="-2"/>
          <w:sz w:val="19"/>
        </w:rPr>
        <w:t>VERARCHING</w:t>
      </w:r>
      <w:r>
        <w:rPr>
          <w:rFonts w:ascii="Calibri Light" w:hAnsi="Calibri Light"/>
          <w:b w:val="0"/>
          <w:spacing w:val="1"/>
          <w:sz w:val="19"/>
        </w:rPr>
        <w:t> </w:t>
      </w:r>
      <w:r>
        <w:rPr>
          <w:rFonts w:ascii="Calibri Light" w:hAnsi="Calibri Light"/>
          <w:b w:val="0"/>
          <w:spacing w:val="-2"/>
          <w:sz w:val="24"/>
        </w:rPr>
        <w:t>T</w:t>
      </w:r>
      <w:r>
        <w:rPr>
          <w:rFonts w:ascii="Calibri Light" w:hAnsi="Calibri Light"/>
          <w:b w:val="0"/>
          <w:spacing w:val="-2"/>
          <w:sz w:val="19"/>
        </w:rPr>
        <w:t>ARGET</w:t>
      </w:r>
      <w:r>
        <w:rPr>
          <w:rFonts w:ascii="Calibri Light" w:hAnsi="Calibri Light"/>
          <w:b w:val="0"/>
          <w:spacing w:val="-5"/>
          <w:sz w:val="19"/>
        </w:rPr>
        <w:t> </w:t>
      </w:r>
      <w:r>
        <w:rPr>
          <w:rFonts w:ascii="Calibri Light" w:hAnsi="Calibri Light"/>
          <w:b w:val="0"/>
          <w:spacing w:val="-2"/>
          <w:sz w:val="24"/>
        </w:rPr>
        <w:t>–</w:t>
      </w:r>
      <w:r>
        <w:rPr>
          <w:rFonts w:ascii="Calibri Light" w:hAnsi="Calibri Light"/>
          <w:b w:val="0"/>
          <w:spacing w:val="-14"/>
          <w:sz w:val="24"/>
        </w:rPr>
        <w:t> </w:t>
      </w:r>
      <w:r>
        <w:rPr>
          <w:rFonts w:ascii="Calibri Light" w:hAnsi="Calibri Light"/>
          <w:b w:val="0"/>
          <w:spacing w:val="-2"/>
          <w:sz w:val="24"/>
        </w:rPr>
        <w:t>P</w:t>
      </w:r>
      <w:r>
        <w:rPr>
          <w:rFonts w:ascii="Calibri Light" w:hAnsi="Calibri Light"/>
          <w:b w:val="0"/>
          <w:spacing w:val="-2"/>
          <w:sz w:val="19"/>
        </w:rPr>
        <w:t>ERCENTAGE</w:t>
      </w:r>
      <w:r>
        <w:rPr>
          <w:rFonts w:ascii="Calibri Light" w:hAnsi="Calibri Light"/>
          <w:b w:val="0"/>
          <w:spacing w:val="-1"/>
          <w:sz w:val="19"/>
        </w:rPr>
        <w:t> </w:t>
      </w:r>
      <w:r>
        <w:rPr>
          <w:rFonts w:ascii="Calibri Light" w:hAnsi="Calibri Light"/>
          <w:b w:val="0"/>
          <w:spacing w:val="-2"/>
          <w:sz w:val="19"/>
        </w:rPr>
        <w:t>OF</w:t>
      </w:r>
      <w:r>
        <w:rPr>
          <w:rFonts w:ascii="Calibri Light" w:hAnsi="Calibri Light"/>
          <w:b w:val="0"/>
          <w:spacing w:val="-5"/>
          <w:sz w:val="19"/>
        </w:rPr>
        <w:t> </w:t>
      </w:r>
      <w:r>
        <w:rPr>
          <w:rFonts w:ascii="Calibri Light" w:hAnsi="Calibri Light"/>
          <w:b w:val="0"/>
          <w:spacing w:val="-2"/>
          <w:sz w:val="24"/>
        </w:rPr>
        <w:t>SIG</w:t>
      </w:r>
      <w:r>
        <w:rPr>
          <w:rFonts w:ascii="Calibri Light" w:hAnsi="Calibri Light"/>
          <w:b w:val="0"/>
          <w:spacing w:val="-16"/>
          <w:sz w:val="24"/>
        </w:rPr>
        <w:t> </w:t>
      </w:r>
      <w:r>
        <w:rPr>
          <w:rFonts w:ascii="Calibri Light" w:hAnsi="Calibri Light"/>
          <w:b w:val="0"/>
          <w:spacing w:val="-2"/>
          <w:sz w:val="24"/>
        </w:rPr>
        <w:t>B</w:t>
      </w:r>
      <w:r>
        <w:rPr>
          <w:rFonts w:ascii="Calibri Light" w:hAnsi="Calibri Light"/>
          <w:b w:val="0"/>
          <w:spacing w:val="-2"/>
          <w:sz w:val="19"/>
        </w:rPr>
        <w:t>UDGET</w:t>
      </w:r>
      <w:r>
        <w:rPr>
          <w:rFonts w:ascii="Calibri Light" w:hAnsi="Calibri Light"/>
          <w:b w:val="0"/>
          <w:spacing w:val="-5"/>
          <w:sz w:val="19"/>
        </w:rPr>
        <w:t> </w:t>
      </w:r>
      <w:r>
        <w:rPr>
          <w:rFonts w:ascii="Calibri Light" w:hAnsi="Calibri Light"/>
          <w:b w:val="0"/>
          <w:spacing w:val="-2"/>
          <w:sz w:val="19"/>
        </w:rPr>
        <w:t>SPENT</w:t>
      </w:r>
      <w:r>
        <w:rPr>
          <w:rFonts w:ascii="Calibri Light" w:hAnsi="Calibri Light"/>
          <w:b w:val="0"/>
          <w:spacing w:val="-10"/>
          <w:sz w:val="19"/>
        </w:rPr>
        <w:t> </w:t>
      </w:r>
      <w:r>
        <w:rPr>
          <w:rFonts w:ascii="Calibri Light" w:hAnsi="Calibri Light"/>
          <w:b w:val="0"/>
          <w:spacing w:val="-2"/>
          <w:sz w:val="19"/>
        </w:rPr>
        <w:t>ON</w:t>
      </w:r>
      <w:r>
        <w:rPr>
          <w:rFonts w:ascii="Calibri Light" w:hAnsi="Calibri Light"/>
          <w:b w:val="0"/>
          <w:spacing w:val="-1"/>
          <w:sz w:val="19"/>
        </w:rPr>
        <w:t> </w:t>
      </w:r>
      <w:r>
        <w:rPr>
          <w:rFonts w:ascii="Calibri Light" w:hAnsi="Calibri Light"/>
          <w:b w:val="0"/>
          <w:spacing w:val="-2"/>
          <w:sz w:val="19"/>
        </w:rPr>
        <w:t>EDUCATION</w:t>
      </w:r>
    </w:p>
    <w:p>
      <w:pPr>
        <w:pStyle w:val="BodyText"/>
        <w:spacing w:before="8"/>
        <w:rPr>
          <w:rFonts w:ascii="Calibri Light"/>
          <w:b w:val="0"/>
          <w:sz w:val="18"/>
        </w:rPr>
      </w:pPr>
      <w:r>
        <w:rPr/>
        <w:pict>
          <v:shape style="position:absolute;margin-left:74.300003pt;margin-top:13.027461pt;width:362.65pt;height:90.2pt;mso-position-horizontal-relative:page;mso-position-vertical-relative:paragraph;z-index:-15728640;mso-wrap-distance-left:0;mso-wrap-distance-right:0" type="#_x0000_t202" id="docshape5" filled="true" fillcolor="#4472c4" stroked="true" strokeweight=".75pt" strokecolor="#4472c4">
            <v:textbox inset="0,0,0,0">
              <w:txbxContent>
                <w:p>
                  <w:pPr>
                    <w:spacing w:line="273" w:lineRule="auto" w:before="68"/>
                    <w:ind w:left="138" w:right="0" w:firstLine="0"/>
                    <w:jc w:val="left"/>
                    <w:rPr>
                      <w:i/>
                      <w:color w:val="000000"/>
                      <w:sz w:val="22"/>
                    </w:rPr>
                  </w:pPr>
                  <w:r>
                    <w:rPr>
                      <w:b/>
                      <w:i/>
                      <w:color w:val="000000"/>
                      <w:sz w:val="22"/>
                    </w:rPr>
                    <w:t>Target:</w:t>
                  </w:r>
                  <w:r>
                    <w:rPr>
                      <w:b/>
                      <w:i/>
                      <w:color w:val="000000"/>
                      <w:spacing w:val="-2"/>
                      <w:sz w:val="22"/>
                    </w:rPr>
                    <w:t> </w:t>
                  </w:r>
                  <w:r>
                    <w:rPr>
                      <w:i/>
                      <w:color w:val="000000"/>
                      <w:sz w:val="22"/>
                    </w:rPr>
                    <w:t>Twenty-three</w:t>
                  </w:r>
                  <w:r>
                    <w:rPr>
                      <w:i/>
                      <w:color w:val="000000"/>
                      <w:spacing w:val="-3"/>
                      <w:sz w:val="22"/>
                    </w:rPr>
                    <w:t> </w:t>
                  </w:r>
                  <w:r>
                    <w:rPr>
                      <w:i/>
                      <w:color w:val="000000"/>
                      <w:sz w:val="22"/>
                    </w:rPr>
                    <w:t>per</w:t>
                  </w:r>
                  <w:r>
                    <w:rPr>
                      <w:i/>
                      <w:color w:val="000000"/>
                      <w:spacing w:val="-2"/>
                      <w:sz w:val="22"/>
                    </w:rPr>
                    <w:t> </w:t>
                  </w:r>
                  <w:r>
                    <w:rPr>
                      <w:i/>
                      <w:color w:val="000000"/>
                      <w:sz w:val="22"/>
                    </w:rPr>
                    <w:t>cent</w:t>
                  </w:r>
                  <w:r>
                    <w:rPr>
                      <w:i/>
                      <w:color w:val="000000"/>
                      <w:spacing w:val="-5"/>
                      <w:sz w:val="22"/>
                    </w:rPr>
                    <w:t> </w:t>
                  </w:r>
                  <w:r>
                    <w:rPr>
                      <w:i/>
                      <w:color w:val="000000"/>
                      <w:sz w:val="22"/>
                    </w:rPr>
                    <w:t>(23%)</w:t>
                  </w:r>
                  <w:r>
                    <w:rPr>
                      <w:i/>
                      <w:color w:val="000000"/>
                      <w:spacing w:val="-3"/>
                      <w:sz w:val="22"/>
                    </w:rPr>
                    <w:t> </w:t>
                  </w:r>
                  <w:r>
                    <w:rPr>
                      <w:i/>
                      <w:color w:val="000000"/>
                      <w:sz w:val="22"/>
                    </w:rPr>
                    <w:t>of</w:t>
                  </w:r>
                  <w:r>
                    <w:rPr>
                      <w:i/>
                      <w:color w:val="000000"/>
                      <w:spacing w:val="-4"/>
                      <w:sz w:val="22"/>
                    </w:rPr>
                    <w:t> </w:t>
                  </w:r>
                  <w:r>
                    <w:rPr>
                      <w:i/>
                      <w:color w:val="000000"/>
                      <w:sz w:val="22"/>
                    </w:rPr>
                    <w:t>the</w:t>
                  </w:r>
                  <w:r>
                    <w:rPr>
                      <w:i/>
                      <w:color w:val="000000"/>
                      <w:spacing w:val="-3"/>
                      <w:sz w:val="22"/>
                    </w:rPr>
                    <w:t> </w:t>
                  </w:r>
                  <w:r>
                    <w:rPr>
                      <w:i/>
                      <w:color w:val="000000"/>
                      <w:sz w:val="22"/>
                    </w:rPr>
                    <w:t>SIG</w:t>
                  </w:r>
                  <w:r>
                    <w:rPr>
                      <w:i/>
                      <w:color w:val="000000"/>
                      <w:spacing w:val="-3"/>
                      <w:sz w:val="22"/>
                    </w:rPr>
                    <w:t> </w:t>
                  </w:r>
                  <w:r>
                    <w:rPr>
                      <w:i/>
                      <w:color w:val="000000"/>
                      <w:sz w:val="22"/>
                    </w:rPr>
                    <w:t>national</w:t>
                  </w:r>
                  <w:r>
                    <w:rPr>
                      <w:i/>
                      <w:color w:val="000000"/>
                      <w:spacing w:val="-1"/>
                      <w:sz w:val="22"/>
                    </w:rPr>
                    <w:t> </w:t>
                  </w:r>
                  <w:r>
                    <w:rPr>
                      <w:i/>
                      <w:color w:val="000000"/>
                      <w:sz w:val="22"/>
                    </w:rPr>
                    <w:t>recurrent</w:t>
                  </w:r>
                  <w:r>
                    <w:rPr>
                      <w:i/>
                      <w:color w:val="000000"/>
                      <w:spacing w:val="-5"/>
                      <w:sz w:val="22"/>
                    </w:rPr>
                    <w:t> </w:t>
                  </w:r>
                  <w:r>
                    <w:rPr>
                      <w:i/>
                      <w:color w:val="000000"/>
                      <w:sz w:val="22"/>
                    </w:rPr>
                    <w:t>budget</w:t>
                  </w:r>
                  <w:r>
                    <w:rPr>
                      <w:i/>
                      <w:color w:val="000000"/>
                      <w:spacing w:val="-5"/>
                      <w:sz w:val="22"/>
                    </w:rPr>
                    <w:t> </w:t>
                  </w:r>
                  <w:r>
                    <w:rPr>
                      <w:i/>
                      <w:color w:val="000000"/>
                      <w:sz w:val="22"/>
                    </w:rPr>
                    <w:t>was</w:t>
                  </w:r>
                  <w:r>
                    <w:rPr>
                      <w:i/>
                      <w:color w:val="000000"/>
                      <w:sz w:val="22"/>
                    </w:rPr>
                    <w:t> spent on education in 2016.</w:t>
                  </w:r>
                </w:p>
                <w:p>
                  <w:pPr>
                    <w:pStyle w:val="BodyText"/>
                    <w:spacing w:before="8"/>
                    <w:rPr>
                      <w:i/>
                      <w:color w:val="000000"/>
                      <w:sz w:val="16"/>
                    </w:rPr>
                  </w:pPr>
                </w:p>
                <w:p>
                  <w:pPr>
                    <w:spacing w:before="0"/>
                    <w:ind w:left="138" w:right="0" w:firstLine="0"/>
                    <w:jc w:val="left"/>
                    <w:rPr>
                      <w:i/>
                      <w:color w:val="000000"/>
                      <w:sz w:val="22"/>
                    </w:rPr>
                  </w:pPr>
                  <w:r>
                    <w:rPr>
                      <w:b/>
                      <w:i/>
                      <w:color w:val="000000"/>
                      <w:sz w:val="22"/>
                    </w:rPr>
                    <w:t>Evidence</w:t>
                  </w:r>
                  <w:r>
                    <w:rPr>
                      <w:b/>
                      <w:i/>
                      <w:color w:val="000000"/>
                      <w:spacing w:val="-6"/>
                      <w:sz w:val="22"/>
                    </w:rPr>
                    <w:t> </w:t>
                  </w:r>
                  <w:r>
                    <w:rPr>
                      <w:b/>
                      <w:i/>
                      <w:color w:val="000000"/>
                      <w:sz w:val="22"/>
                    </w:rPr>
                    <w:t>Source</w:t>
                  </w:r>
                  <w:r>
                    <w:rPr>
                      <w:i/>
                      <w:color w:val="000000"/>
                      <w:sz w:val="22"/>
                    </w:rPr>
                    <w:t>:</w:t>
                  </w:r>
                  <w:r>
                    <w:rPr>
                      <w:i/>
                      <w:color w:val="000000"/>
                      <w:spacing w:val="-7"/>
                      <w:sz w:val="22"/>
                    </w:rPr>
                    <w:t> </w:t>
                  </w:r>
                  <w:r>
                    <w:rPr>
                      <w:i/>
                      <w:color w:val="000000"/>
                      <w:sz w:val="22"/>
                    </w:rPr>
                    <w:t>MEHRD</w:t>
                  </w:r>
                  <w:r>
                    <w:rPr>
                      <w:i/>
                      <w:color w:val="000000"/>
                      <w:spacing w:val="-7"/>
                      <w:sz w:val="22"/>
                    </w:rPr>
                    <w:t> </w:t>
                  </w:r>
                  <w:r>
                    <w:rPr>
                      <w:i/>
                      <w:color w:val="000000"/>
                      <w:sz w:val="22"/>
                    </w:rPr>
                    <w:t>Budget</w:t>
                  </w:r>
                  <w:r>
                    <w:rPr>
                      <w:i/>
                      <w:color w:val="000000"/>
                      <w:spacing w:val="-6"/>
                      <w:sz w:val="22"/>
                    </w:rPr>
                    <w:t> </w:t>
                  </w:r>
                  <w:r>
                    <w:rPr>
                      <w:i/>
                      <w:color w:val="000000"/>
                      <w:sz w:val="22"/>
                    </w:rPr>
                    <w:t>Analysis</w:t>
                  </w:r>
                  <w:r>
                    <w:rPr>
                      <w:i/>
                      <w:color w:val="000000"/>
                      <w:spacing w:val="-5"/>
                      <w:sz w:val="22"/>
                    </w:rPr>
                    <w:t> </w:t>
                  </w:r>
                  <w:r>
                    <w:rPr>
                      <w:i/>
                      <w:color w:val="000000"/>
                      <w:spacing w:val="-4"/>
                      <w:sz w:val="22"/>
                    </w:rPr>
                    <w:t>2016</w:t>
                  </w:r>
                </w:p>
                <w:p>
                  <w:pPr>
                    <w:spacing w:before="120"/>
                    <w:ind w:left="138" w:right="0" w:firstLine="0"/>
                    <w:jc w:val="left"/>
                    <w:rPr>
                      <w:i/>
                      <w:color w:val="000000"/>
                      <w:sz w:val="22"/>
                    </w:rPr>
                  </w:pPr>
                  <w:r>
                    <w:rPr>
                      <w:b/>
                      <w:i/>
                      <w:color w:val="000000"/>
                      <w:sz w:val="22"/>
                    </w:rPr>
                    <w:t>Assessment</w:t>
                  </w:r>
                  <w:r>
                    <w:rPr>
                      <w:i/>
                      <w:color w:val="000000"/>
                      <w:sz w:val="22"/>
                    </w:rPr>
                    <w:t>:</w:t>
                  </w:r>
                  <w:r>
                    <w:rPr>
                      <w:i/>
                      <w:color w:val="000000"/>
                      <w:spacing w:val="-6"/>
                      <w:sz w:val="22"/>
                    </w:rPr>
                    <w:t> </w:t>
                  </w:r>
                  <w:r>
                    <w:rPr>
                      <w:i/>
                      <w:color w:val="000000"/>
                      <w:sz w:val="22"/>
                    </w:rPr>
                    <w:t>Target</w:t>
                  </w:r>
                  <w:r>
                    <w:rPr>
                      <w:i/>
                      <w:color w:val="000000"/>
                      <w:spacing w:val="-5"/>
                      <w:sz w:val="22"/>
                    </w:rPr>
                    <w:t> </w:t>
                  </w:r>
                  <w:r>
                    <w:rPr>
                      <w:i/>
                      <w:color w:val="000000"/>
                      <w:spacing w:val="-2"/>
                      <w:sz w:val="22"/>
                    </w:rPr>
                    <w:t>Achieved</w:t>
                  </w:r>
                </w:p>
              </w:txbxContent>
            </v:textbox>
            <v:fill opacity="7195f" type="solid"/>
            <v:stroke dashstyle="solid"/>
            <w10:wrap type="topAndBottom"/>
          </v:shape>
        </w:pict>
      </w:r>
    </w:p>
    <w:p>
      <w:pPr>
        <w:pStyle w:val="BodyText"/>
        <w:spacing w:before="11"/>
        <w:rPr>
          <w:rFonts w:ascii="Calibri Light"/>
          <w:b w:val="0"/>
          <w:sz w:val="34"/>
        </w:rPr>
      </w:pPr>
    </w:p>
    <w:p>
      <w:pPr>
        <w:pStyle w:val="BodyText"/>
        <w:ind w:left="1119" w:right="1172"/>
        <w:jc w:val="both"/>
      </w:pPr>
      <w:r>
        <w:rPr/>
        <w:t>Evidence presented to</w:t>
      </w:r>
      <w:r>
        <w:rPr>
          <w:spacing w:val="-1"/>
        </w:rPr>
        <w:t> </w:t>
      </w:r>
      <w:r>
        <w:rPr/>
        <w:t>the assessor by the Technical Adviser,</w:t>
      </w:r>
      <w:r>
        <w:rPr>
          <w:spacing w:val="-2"/>
        </w:rPr>
        <w:t> </w:t>
      </w:r>
      <w:r>
        <w:rPr/>
        <w:t>Finance,</w:t>
      </w:r>
      <w:r>
        <w:rPr>
          <w:spacing w:val="-2"/>
        </w:rPr>
        <w:t> </w:t>
      </w:r>
      <w:r>
        <w:rPr/>
        <w:t>(see Table 3</w:t>
      </w:r>
      <w:r>
        <w:rPr>
          <w:spacing w:val="-1"/>
        </w:rPr>
        <w:t> </w:t>
      </w:r>
      <w:r>
        <w:rPr/>
        <w:t>below) confirmed that</w:t>
      </w:r>
      <w:r>
        <w:rPr>
          <w:spacing w:val="-10"/>
        </w:rPr>
        <w:t> </w:t>
      </w:r>
      <w:r>
        <w:rPr/>
        <w:t>the</w:t>
      </w:r>
      <w:r>
        <w:rPr>
          <w:spacing w:val="-3"/>
        </w:rPr>
        <w:t> </w:t>
      </w:r>
      <w:r>
        <w:rPr/>
        <w:t>education</w:t>
      </w:r>
      <w:r>
        <w:rPr>
          <w:spacing w:val="-9"/>
        </w:rPr>
        <w:t> </w:t>
      </w:r>
      <w:r>
        <w:rPr/>
        <w:t>budget</w:t>
      </w:r>
      <w:r>
        <w:rPr>
          <w:spacing w:val="-10"/>
        </w:rPr>
        <w:t> </w:t>
      </w:r>
      <w:r>
        <w:rPr/>
        <w:t>allocation</w:t>
      </w:r>
      <w:r>
        <w:rPr>
          <w:spacing w:val="-9"/>
        </w:rPr>
        <w:t> </w:t>
      </w:r>
      <w:r>
        <w:rPr/>
        <w:t>for</w:t>
      </w:r>
      <w:r>
        <w:rPr>
          <w:spacing w:val="-3"/>
        </w:rPr>
        <w:t> </w:t>
      </w:r>
      <w:r>
        <w:rPr/>
        <w:t>2016</w:t>
      </w:r>
      <w:r>
        <w:rPr>
          <w:spacing w:val="-9"/>
        </w:rPr>
        <w:t> </w:t>
      </w:r>
      <w:r>
        <w:rPr/>
        <w:t>was</w:t>
      </w:r>
      <w:r>
        <w:rPr>
          <w:spacing w:val="-8"/>
        </w:rPr>
        <w:t> </w:t>
      </w:r>
      <w:r>
        <w:rPr/>
        <w:t>$1,038,552,570</w:t>
      </w:r>
      <w:hyperlink w:history="true" w:anchor="_bookmark7">
        <w:r>
          <w:rPr>
            <w:vertAlign w:val="superscript"/>
          </w:rPr>
          <w:t>1</w:t>
        </w:r>
      </w:hyperlink>
      <w:r>
        <w:rPr>
          <w:vertAlign w:val="baseline"/>
        </w:rPr>
        <w:t>.</w:t>
      </w:r>
      <w:r>
        <w:rPr>
          <w:spacing w:val="-6"/>
          <w:vertAlign w:val="baseline"/>
        </w:rPr>
        <w:t> </w:t>
      </w:r>
      <w:r>
        <w:rPr>
          <w:vertAlign w:val="baseline"/>
        </w:rPr>
        <w:t>This</w:t>
      </w:r>
      <w:r>
        <w:rPr>
          <w:spacing w:val="-8"/>
          <w:vertAlign w:val="baseline"/>
        </w:rPr>
        <w:t> </w:t>
      </w:r>
      <w:r>
        <w:rPr>
          <w:vertAlign w:val="baseline"/>
        </w:rPr>
        <w:t>represented</w:t>
      </w:r>
      <w:r>
        <w:rPr>
          <w:spacing w:val="-9"/>
          <w:vertAlign w:val="baseline"/>
        </w:rPr>
        <w:t> </w:t>
      </w:r>
      <w:r>
        <w:rPr>
          <w:vertAlign w:val="baseline"/>
        </w:rPr>
        <w:t>twenty-four</w:t>
      </w:r>
      <w:r>
        <w:rPr>
          <w:spacing w:val="-8"/>
          <w:vertAlign w:val="baseline"/>
        </w:rPr>
        <w:t> </w:t>
      </w:r>
      <w:r>
        <w:rPr>
          <w:vertAlign w:val="baseline"/>
        </w:rPr>
        <w:t>per cent (24%) of the total 2016 SIG budget of $4,301,152,572.</w:t>
      </w:r>
    </w:p>
    <w:p>
      <w:pPr>
        <w:pStyle w:val="BodyText"/>
        <w:spacing w:before="116"/>
        <w:ind w:left="1119" w:right="1178"/>
        <w:jc w:val="both"/>
      </w:pPr>
      <w:r>
        <w:rPr/>
        <w:t>However, it should be noted be noted that $100,000,000 of that total was supplementation for scholarships and was not requested by MEHRD. While the additional allocation for scholarships is correctly included in the analysis of the SIG budget allocation, it should be noted that, without this supplementation, the total percentage allocation to education would have fallen to twenty-two per cent (22%).</w:t>
      </w:r>
    </w:p>
    <w:p>
      <w:pPr>
        <w:pStyle w:val="BodyText"/>
        <w:spacing w:before="121"/>
        <w:ind w:left="1119" w:right="1177"/>
        <w:jc w:val="both"/>
      </w:pPr>
      <w:r>
        <w:rPr/>
        <w:t>During the independent review, some people expressed concern about the effectiveness of the scholarship program. However, information was not available to test this concern as, to date, no detailed studies of the cost effectiveness of the scholarships program have been implemented. For this reason, the</w:t>
      </w:r>
      <w:r>
        <w:rPr>
          <w:spacing w:val="40"/>
        </w:rPr>
        <w:t> </w:t>
      </w:r>
      <w:r>
        <w:rPr/>
        <w:t>targets for 2017 include provision for the design and implementation of a study to assess the cost effectiveness of the scholarship program.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r>
        <w:rPr/>
        <w:pict>
          <v:rect style="position:absolute;margin-left:72pt;margin-top:14.158281pt;width:144pt;height:.72pt;mso-position-horizontal-relative:page;mso-position-vertical-relative:paragraph;z-index:-15728128;mso-wrap-distance-left:0;mso-wrap-distance-right:0" id="docshape6" filled="true" fillcolor="#000000" stroked="false">
            <v:fill type="solid"/>
            <w10:wrap type="topAndBottom"/>
          </v:rect>
        </w:pict>
      </w:r>
    </w:p>
    <w:p>
      <w:pPr>
        <w:spacing w:before="102"/>
        <w:ind w:left="1120" w:right="0" w:firstLine="0"/>
        <w:jc w:val="left"/>
        <w:rPr>
          <w:rFonts w:ascii="Calibri Light"/>
          <w:b w:val="0"/>
          <w:sz w:val="20"/>
        </w:rPr>
      </w:pPr>
      <w:bookmarkStart w:name="_bookmark7" w:id="15"/>
      <w:bookmarkEnd w:id="15"/>
      <w:r>
        <w:rPr/>
      </w:r>
      <w:r>
        <w:rPr>
          <w:rFonts w:ascii="Calibri Light"/>
          <w:b w:val="0"/>
          <w:sz w:val="20"/>
          <w:vertAlign w:val="superscript"/>
        </w:rPr>
        <w:t>1</w:t>
      </w:r>
      <w:r>
        <w:rPr>
          <w:rFonts w:ascii="Calibri Light"/>
          <w:b w:val="0"/>
          <w:spacing w:val="-4"/>
          <w:sz w:val="20"/>
          <w:vertAlign w:val="baseline"/>
        </w:rPr>
        <w:t> </w:t>
      </w:r>
      <w:r>
        <w:rPr>
          <w:rFonts w:ascii="Calibri Light"/>
          <w:b w:val="0"/>
          <w:sz w:val="20"/>
          <w:vertAlign w:val="baseline"/>
        </w:rPr>
        <w:t>Unless</w:t>
      </w:r>
      <w:r>
        <w:rPr>
          <w:rFonts w:ascii="Calibri Light"/>
          <w:b w:val="0"/>
          <w:spacing w:val="-5"/>
          <w:sz w:val="20"/>
          <w:vertAlign w:val="baseline"/>
        </w:rPr>
        <w:t> </w:t>
      </w:r>
      <w:r>
        <w:rPr>
          <w:rFonts w:ascii="Calibri Light"/>
          <w:b w:val="0"/>
          <w:sz w:val="20"/>
          <w:vertAlign w:val="baseline"/>
        </w:rPr>
        <w:t>otherwise</w:t>
      </w:r>
      <w:r>
        <w:rPr>
          <w:rFonts w:ascii="Calibri Light"/>
          <w:b w:val="0"/>
          <w:spacing w:val="-7"/>
          <w:sz w:val="20"/>
          <w:vertAlign w:val="baseline"/>
        </w:rPr>
        <w:t> </w:t>
      </w:r>
      <w:r>
        <w:rPr>
          <w:rFonts w:ascii="Calibri Light"/>
          <w:b w:val="0"/>
          <w:sz w:val="20"/>
          <w:vertAlign w:val="baseline"/>
        </w:rPr>
        <w:t>indicated</w:t>
      </w:r>
      <w:r>
        <w:rPr>
          <w:rFonts w:ascii="Calibri Light"/>
          <w:b w:val="0"/>
          <w:spacing w:val="-9"/>
          <w:sz w:val="20"/>
          <w:vertAlign w:val="baseline"/>
        </w:rPr>
        <w:t> </w:t>
      </w:r>
      <w:r>
        <w:rPr>
          <w:rFonts w:ascii="Calibri Light"/>
          <w:b w:val="0"/>
          <w:sz w:val="20"/>
          <w:vertAlign w:val="baseline"/>
        </w:rPr>
        <w:t>all</w:t>
      </w:r>
      <w:r>
        <w:rPr>
          <w:rFonts w:ascii="Calibri Light"/>
          <w:b w:val="0"/>
          <w:spacing w:val="-5"/>
          <w:sz w:val="20"/>
          <w:vertAlign w:val="baseline"/>
        </w:rPr>
        <w:t> </w:t>
      </w:r>
      <w:r>
        <w:rPr>
          <w:rFonts w:ascii="Calibri Light"/>
          <w:b w:val="0"/>
          <w:sz w:val="20"/>
          <w:vertAlign w:val="baseline"/>
        </w:rPr>
        <w:t>amounts</w:t>
      </w:r>
      <w:r>
        <w:rPr>
          <w:rFonts w:ascii="Calibri Light"/>
          <w:b w:val="0"/>
          <w:spacing w:val="-6"/>
          <w:sz w:val="20"/>
          <w:vertAlign w:val="baseline"/>
        </w:rPr>
        <w:t> </w:t>
      </w:r>
      <w:r>
        <w:rPr>
          <w:rFonts w:ascii="Calibri Light"/>
          <w:b w:val="0"/>
          <w:sz w:val="20"/>
          <w:vertAlign w:val="baseline"/>
        </w:rPr>
        <w:t>are</w:t>
      </w:r>
      <w:r>
        <w:rPr>
          <w:rFonts w:ascii="Calibri Light"/>
          <w:b w:val="0"/>
          <w:spacing w:val="-7"/>
          <w:sz w:val="20"/>
          <w:vertAlign w:val="baseline"/>
        </w:rPr>
        <w:t> </w:t>
      </w:r>
      <w:r>
        <w:rPr>
          <w:rFonts w:ascii="Calibri Light"/>
          <w:b w:val="0"/>
          <w:sz w:val="20"/>
          <w:vertAlign w:val="baseline"/>
        </w:rPr>
        <w:t>in</w:t>
      </w:r>
      <w:r>
        <w:rPr>
          <w:rFonts w:ascii="Calibri Light"/>
          <w:b w:val="0"/>
          <w:spacing w:val="-8"/>
          <w:sz w:val="20"/>
          <w:vertAlign w:val="baseline"/>
        </w:rPr>
        <w:t> </w:t>
      </w:r>
      <w:r>
        <w:rPr>
          <w:rFonts w:ascii="Calibri Light"/>
          <w:b w:val="0"/>
          <w:sz w:val="20"/>
          <w:vertAlign w:val="baseline"/>
        </w:rPr>
        <w:t>Solomon</w:t>
      </w:r>
      <w:r>
        <w:rPr>
          <w:rFonts w:ascii="Calibri Light"/>
          <w:b w:val="0"/>
          <w:spacing w:val="-9"/>
          <w:sz w:val="20"/>
          <w:vertAlign w:val="baseline"/>
        </w:rPr>
        <w:t> </w:t>
      </w:r>
      <w:r>
        <w:rPr>
          <w:rFonts w:ascii="Calibri Light"/>
          <w:b w:val="0"/>
          <w:sz w:val="20"/>
          <w:vertAlign w:val="baseline"/>
        </w:rPr>
        <w:t>Islands</w:t>
      </w:r>
      <w:r>
        <w:rPr>
          <w:rFonts w:ascii="Calibri Light"/>
          <w:b w:val="0"/>
          <w:spacing w:val="-5"/>
          <w:sz w:val="20"/>
          <w:vertAlign w:val="baseline"/>
        </w:rPr>
        <w:t> </w:t>
      </w:r>
      <w:r>
        <w:rPr>
          <w:rFonts w:ascii="Calibri Light"/>
          <w:b w:val="0"/>
          <w:spacing w:val="-2"/>
          <w:sz w:val="20"/>
          <w:vertAlign w:val="baseline"/>
        </w:rPr>
        <w:t>dollars</w:t>
      </w:r>
    </w:p>
    <w:p>
      <w:pPr>
        <w:spacing w:after="0"/>
        <w:jc w:val="left"/>
        <w:rPr>
          <w:rFonts w:ascii="Calibri Light"/>
          <w:sz w:val="20"/>
        </w:rPr>
        <w:sectPr>
          <w:pgSz w:w="11900" w:h="16840"/>
          <w:pgMar w:header="751" w:footer="1206" w:top="1640" w:bottom="1400" w:left="320" w:right="260"/>
        </w:sectPr>
      </w:pPr>
    </w:p>
    <w:p>
      <w:pPr>
        <w:spacing w:before="46"/>
        <w:ind w:left="1120" w:right="0" w:firstLine="0"/>
        <w:jc w:val="left"/>
        <w:rPr>
          <w:i/>
          <w:sz w:val="22"/>
        </w:rPr>
      </w:pPr>
      <w:r>
        <w:rPr>
          <w:i/>
          <w:sz w:val="22"/>
        </w:rPr>
        <w:t>Table</w:t>
      </w:r>
      <w:r>
        <w:rPr>
          <w:i/>
          <w:spacing w:val="-6"/>
          <w:sz w:val="22"/>
        </w:rPr>
        <w:t> </w:t>
      </w:r>
      <w:r>
        <w:rPr>
          <w:i/>
          <w:sz w:val="22"/>
        </w:rPr>
        <w:t>3:</w:t>
      </w:r>
      <w:r>
        <w:rPr>
          <w:i/>
          <w:spacing w:val="-5"/>
          <w:sz w:val="22"/>
        </w:rPr>
        <w:t> </w:t>
      </w:r>
      <w:r>
        <w:rPr>
          <w:i/>
          <w:sz w:val="22"/>
        </w:rPr>
        <w:t>SIG</w:t>
      </w:r>
      <w:r>
        <w:rPr>
          <w:i/>
          <w:spacing w:val="-4"/>
          <w:sz w:val="22"/>
        </w:rPr>
        <w:t> </w:t>
      </w:r>
      <w:r>
        <w:rPr>
          <w:i/>
          <w:sz w:val="22"/>
        </w:rPr>
        <w:t>Budget</w:t>
      </w:r>
      <w:r>
        <w:rPr>
          <w:i/>
          <w:spacing w:val="-5"/>
          <w:sz w:val="22"/>
        </w:rPr>
        <w:t> </w:t>
      </w:r>
      <w:r>
        <w:rPr>
          <w:i/>
          <w:sz w:val="22"/>
        </w:rPr>
        <w:t>Allocations</w:t>
      </w:r>
      <w:r>
        <w:rPr>
          <w:i/>
          <w:spacing w:val="-3"/>
          <w:sz w:val="22"/>
        </w:rPr>
        <w:t> </w:t>
      </w:r>
      <w:r>
        <w:rPr>
          <w:i/>
          <w:sz w:val="22"/>
        </w:rPr>
        <w:t>-</w:t>
      </w:r>
      <w:r>
        <w:rPr>
          <w:i/>
          <w:spacing w:val="-4"/>
          <w:sz w:val="22"/>
        </w:rPr>
        <w:t> 2016</w:t>
      </w:r>
    </w:p>
    <w:p>
      <w:pPr>
        <w:pStyle w:val="BodyText"/>
        <w:spacing w:before="8"/>
        <w:rPr>
          <w:i/>
          <w:sz w:val="9"/>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18"/>
        <w:gridCol w:w="3144"/>
        <w:gridCol w:w="2760"/>
        <w:gridCol w:w="2040"/>
        <w:gridCol w:w="1632"/>
      </w:tblGrid>
      <w:tr>
        <w:trPr>
          <w:trHeight w:val="1271" w:hRule="atLeast"/>
        </w:trPr>
        <w:tc>
          <w:tcPr>
            <w:tcW w:w="1018" w:type="dxa"/>
            <w:tcBorders>
              <w:top w:val="nil"/>
              <w:left w:val="nil"/>
            </w:tcBorders>
          </w:tcPr>
          <w:p>
            <w:pPr>
              <w:pStyle w:val="TableParagraph"/>
              <w:rPr>
                <w:rFonts w:ascii="Times New Roman"/>
                <w:sz w:val="20"/>
              </w:rPr>
            </w:pPr>
          </w:p>
        </w:tc>
        <w:tc>
          <w:tcPr>
            <w:tcW w:w="3144" w:type="dxa"/>
          </w:tcPr>
          <w:p>
            <w:pPr>
              <w:pStyle w:val="TableParagraph"/>
              <w:spacing w:before="1"/>
              <w:ind w:left="30"/>
              <w:rPr>
                <w:sz w:val="18"/>
              </w:rPr>
            </w:pPr>
            <w:r>
              <w:rPr>
                <w:sz w:val="18"/>
              </w:rPr>
              <w:t>272 Education and Human Resource Development</w:t>
            </w:r>
            <w:r>
              <w:rPr>
                <w:spacing w:val="-11"/>
                <w:sz w:val="18"/>
              </w:rPr>
              <w:t> </w:t>
            </w:r>
            <w:r>
              <w:rPr>
                <w:sz w:val="18"/>
              </w:rPr>
              <w:t>Appropriated</w:t>
            </w:r>
            <w:r>
              <w:rPr>
                <w:spacing w:val="-10"/>
                <w:sz w:val="18"/>
              </w:rPr>
              <w:t> </w:t>
            </w:r>
            <w:r>
              <w:rPr>
                <w:sz w:val="18"/>
              </w:rPr>
              <w:t>Funds</w:t>
            </w:r>
            <w:r>
              <w:rPr>
                <w:spacing w:val="-10"/>
                <w:sz w:val="18"/>
              </w:rPr>
              <w:t> </w:t>
            </w:r>
            <w:r>
              <w:rPr>
                <w:sz w:val="18"/>
              </w:rPr>
              <w:t>(2016)</w:t>
            </w:r>
          </w:p>
        </w:tc>
        <w:tc>
          <w:tcPr>
            <w:tcW w:w="2760" w:type="dxa"/>
          </w:tcPr>
          <w:p>
            <w:pPr>
              <w:pStyle w:val="TableParagraph"/>
              <w:spacing w:before="1"/>
              <w:ind w:left="30" w:right="68"/>
              <w:jc w:val="both"/>
              <w:rPr>
                <w:sz w:val="18"/>
              </w:rPr>
            </w:pPr>
            <w:r>
              <w:rPr>
                <w:sz w:val="18"/>
              </w:rPr>
              <w:t>272 Education and Health Resource Development</w:t>
            </w:r>
            <w:r>
              <w:rPr>
                <w:spacing w:val="-11"/>
                <w:sz w:val="18"/>
              </w:rPr>
              <w:t> </w:t>
            </w:r>
            <w:r>
              <w:rPr>
                <w:sz w:val="18"/>
              </w:rPr>
              <w:t>Statutory</w:t>
            </w:r>
            <w:r>
              <w:rPr>
                <w:spacing w:val="-10"/>
                <w:sz w:val="18"/>
              </w:rPr>
              <w:t> </w:t>
            </w:r>
            <w:r>
              <w:rPr>
                <w:sz w:val="18"/>
              </w:rPr>
              <w:t>Expenditure </w:t>
            </w:r>
            <w:r>
              <w:rPr>
                <w:spacing w:val="-2"/>
                <w:sz w:val="18"/>
              </w:rPr>
              <w:t>(2016)</w:t>
            </w:r>
          </w:p>
        </w:tc>
        <w:tc>
          <w:tcPr>
            <w:tcW w:w="2040" w:type="dxa"/>
          </w:tcPr>
          <w:p>
            <w:pPr>
              <w:pStyle w:val="TableParagraph"/>
              <w:spacing w:before="1"/>
              <w:ind w:left="35"/>
              <w:rPr>
                <w:sz w:val="18"/>
              </w:rPr>
            </w:pPr>
            <w:r>
              <w:rPr>
                <w:sz w:val="18"/>
              </w:rPr>
              <w:t>272</w:t>
            </w:r>
            <w:r>
              <w:rPr>
                <w:spacing w:val="-11"/>
                <w:sz w:val="18"/>
              </w:rPr>
              <w:t> </w:t>
            </w:r>
            <w:r>
              <w:rPr>
                <w:sz w:val="18"/>
              </w:rPr>
              <w:t>Education</w:t>
            </w:r>
            <w:r>
              <w:rPr>
                <w:spacing w:val="-10"/>
                <w:sz w:val="18"/>
              </w:rPr>
              <w:t> </w:t>
            </w:r>
            <w:r>
              <w:rPr>
                <w:sz w:val="18"/>
              </w:rPr>
              <w:t>and</w:t>
            </w:r>
            <w:r>
              <w:rPr>
                <w:spacing w:val="-10"/>
                <w:sz w:val="18"/>
              </w:rPr>
              <w:t> </w:t>
            </w:r>
            <w:r>
              <w:rPr>
                <w:sz w:val="18"/>
              </w:rPr>
              <w:t>Human</w:t>
            </w:r>
            <w:r>
              <w:rPr>
                <w:sz w:val="18"/>
              </w:rPr>
              <w:t> Resource</w:t>
            </w:r>
            <w:r>
              <w:rPr>
                <w:spacing w:val="-4"/>
                <w:sz w:val="18"/>
              </w:rPr>
              <w:t> </w:t>
            </w:r>
            <w:r>
              <w:rPr>
                <w:sz w:val="18"/>
              </w:rPr>
              <w:t>Development Funds</w:t>
            </w:r>
            <w:r>
              <w:rPr>
                <w:spacing w:val="-4"/>
                <w:sz w:val="18"/>
              </w:rPr>
              <w:t> </w:t>
            </w:r>
            <w:r>
              <w:rPr>
                <w:sz w:val="18"/>
              </w:rPr>
              <w:t>Appropriated through Development Budget</w:t>
            </w:r>
            <w:r>
              <w:rPr>
                <w:spacing w:val="-2"/>
                <w:sz w:val="18"/>
              </w:rPr>
              <w:t> </w:t>
            </w:r>
            <w:r>
              <w:rPr>
                <w:sz w:val="18"/>
              </w:rPr>
              <w:t>(2016)</w:t>
            </w:r>
          </w:p>
        </w:tc>
        <w:tc>
          <w:tcPr>
            <w:tcW w:w="1632" w:type="dxa"/>
          </w:tcPr>
          <w:p>
            <w:pPr>
              <w:pStyle w:val="TableParagraph"/>
              <w:spacing w:before="1"/>
              <w:ind w:left="30"/>
              <w:rPr>
                <w:sz w:val="18"/>
              </w:rPr>
            </w:pPr>
            <w:r>
              <w:rPr>
                <w:sz w:val="18"/>
              </w:rPr>
              <w:t>Total MEHRD</w:t>
            </w:r>
            <w:r>
              <w:rPr>
                <w:spacing w:val="-6"/>
                <w:sz w:val="18"/>
              </w:rPr>
              <w:t> </w:t>
            </w:r>
            <w:r>
              <w:rPr>
                <w:spacing w:val="-2"/>
                <w:sz w:val="18"/>
              </w:rPr>
              <w:t>(2016)</w:t>
            </w:r>
          </w:p>
        </w:tc>
      </w:tr>
      <w:tr>
        <w:trPr>
          <w:trHeight w:val="287" w:hRule="atLeast"/>
        </w:trPr>
        <w:tc>
          <w:tcPr>
            <w:tcW w:w="1018" w:type="dxa"/>
          </w:tcPr>
          <w:p>
            <w:pPr>
              <w:pStyle w:val="TableParagraph"/>
              <w:spacing w:before="1"/>
              <w:ind w:left="306" w:right="292"/>
              <w:jc w:val="center"/>
              <w:rPr>
                <w:sz w:val="18"/>
              </w:rPr>
            </w:pPr>
            <w:r>
              <w:rPr>
                <w:spacing w:val="-5"/>
                <w:sz w:val="18"/>
              </w:rPr>
              <w:t>272</w:t>
            </w:r>
          </w:p>
        </w:tc>
        <w:tc>
          <w:tcPr>
            <w:tcW w:w="3144" w:type="dxa"/>
          </w:tcPr>
          <w:p>
            <w:pPr>
              <w:pStyle w:val="TableParagraph"/>
              <w:spacing w:before="1"/>
              <w:ind w:right="10"/>
              <w:jc w:val="right"/>
              <w:rPr>
                <w:sz w:val="18"/>
              </w:rPr>
            </w:pPr>
            <w:r>
              <w:rPr>
                <w:spacing w:val="-2"/>
                <w:sz w:val="18"/>
              </w:rPr>
              <w:t>871,552,570.00</w:t>
            </w:r>
          </w:p>
        </w:tc>
        <w:tc>
          <w:tcPr>
            <w:tcW w:w="2760" w:type="dxa"/>
          </w:tcPr>
          <w:p>
            <w:pPr>
              <w:pStyle w:val="TableParagraph"/>
              <w:rPr>
                <w:rFonts w:ascii="Times New Roman"/>
                <w:sz w:val="20"/>
              </w:rPr>
            </w:pPr>
          </w:p>
        </w:tc>
        <w:tc>
          <w:tcPr>
            <w:tcW w:w="2040" w:type="dxa"/>
          </w:tcPr>
          <w:p>
            <w:pPr>
              <w:pStyle w:val="TableParagraph"/>
              <w:spacing w:before="1"/>
              <w:ind w:right="10"/>
              <w:jc w:val="right"/>
              <w:rPr>
                <w:sz w:val="18"/>
              </w:rPr>
            </w:pPr>
            <w:r>
              <w:rPr>
                <w:spacing w:val="-2"/>
                <w:sz w:val="18"/>
              </w:rPr>
              <w:t>77,000,000.00</w:t>
            </w:r>
          </w:p>
        </w:tc>
        <w:tc>
          <w:tcPr>
            <w:tcW w:w="1632" w:type="dxa"/>
          </w:tcPr>
          <w:p>
            <w:pPr>
              <w:pStyle w:val="TableParagraph"/>
              <w:spacing w:before="1"/>
              <w:ind w:right="10"/>
              <w:jc w:val="right"/>
              <w:rPr>
                <w:sz w:val="18"/>
              </w:rPr>
            </w:pPr>
            <w:r>
              <w:rPr>
                <w:spacing w:val="-2"/>
                <w:sz w:val="18"/>
              </w:rPr>
              <w:t>948,552,570.00</w:t>
            </w:r>
          </w:p>
        </w:tc>
      </w:tr>
      <w:tr>
        <w:trPr>
          <w:trHeight w:val="287" w:hRule="atLeast"/>
        </w:trPr>
        <w:tc>
          <w:tcPr>
            <w:tcW w:w="1018" w:type="dxa"/>
          </w:tcPr>
          <w:p>
            <w:pPr>
              <w:pStyle w:val="TableParagraph"/>
              <w:spacing w:before="1"/>
              <w:ind w:left="306" w:right="292"/>
              <w:jc w:val="center"/>
              <w:rPr>
                <w:sz w:val="18"/>
              </w:rPr>
            </w:pPr>
            <w:r>
              <w:rPr>
                <w:spacing w:val="-5"/>
                <w:sz w:val="18"/>
              </w:rPr>
              <w:t>372</w:t>
            </w:r>
          </w:p>
        </w:tc>
        <w:tc>
          <w:tcPr>
            <w:tcW w:w="3144" w:type="dxa"/>
          </w:tcPr>
          <w:p>
            <w:pPr>
              <w:pStyle w:val="TableParagraph"/>
              <w:spacing w:before="1"/>
              <w:ind w:right="10"/>
              <w:jc w:val="right"/>
              <w:rPr>
                <w:sz w:val="18"/>
              </w:rPr>
            </w:pPr>
            <w:r>
              <w:rPr>
                <w:spacing w:val="-2"/>
                <w:sz w:val="18"/>
              </w:rPr>
              <w:t>90,000,000.00</w:t>
            </w:r>
          </w:p>
        </w:tc>
        <w:tc>
          <w:tcPr>
            <w:tcW w:w="2760" w:type="dxa"/>
          </w:tcPr>
          <w:p>
            <w:pPr>
              <w:pStyle w:val="TableParagraph"/>
              <w:rPr>
                <w:rFonts w:ascii="Times New Roman"/>
                <w:sz w:val="20"/>
              </w:rPr>
            </w:pPr>
          </w:p>
        </w:tc>
        <w:tc>
          <w:tcPr>
            <w:tcW w:w="2040" w:type="dxa"/>
          </w:tcPr>
          <w:p>
            <w:pPr>
              <w:pStyle w:val="TableParagraph"/>
              <w:rPr>
                <w:rFonts w:ascii="Times New Roman"/>
                <w:sz w:val="20"/>
              </w:rPr>
            </w:pPr>
          </w:p>
        </w:tc>
        <w:tc>
          <w:tcPr>
            <w:tcW w:w="1632" w:type="dxa"/>
          </w:tcPr>
          <w:p>
            <w:pPr>
              <w:pStyle w:val="TableParagraph"/>
              <w:spacing w:before="1"/>
              <w:ind w:right="10"/>
              <w:jc w:val="right"/>
              <w:rPr>
                <w:sz w:val="18"/>
              </w:rPr>
            </w:pPr>
            <w:r>
              <w:rPr>
                <w:spacing w:val="-2"/>
                <w:sz w:val="18"/>
              </w:rPr>
              <w:t>90,000,000.00</w:t>
            </w:r>
          </w:p>
        </w:tc>
      </w:tr>
      <w:tr>
        <w:trPr>
          <w:trHeight w:val="287" w:hRule="atLeast"/>
        </w:trPr>
        <w:tc>
          <w:tcPr>
            <w:tcW w:w="1018" w:type="dxa"/>
          </w:tcPr>
          <w:p>
            <w:pPr>
              <w:pStyle w:val="TableParagraph"/>
              <w:spacing w:before="1"/>
              <w:ind w:left="306" w:right="295"/>
              <w:jc w:val="center"/>
              <w:rPr>
                <w:sz w:val="18"/>
              </w:rPr>
            </w:pPr>
            <w:r>
              <w:rPr>
                <w:spacing w:val="-2"/>
                <w:sz w:val="18"/>
              </w:rPr>
              <w:t>Total</w:t>
            </w:r>
          </w:p>
        </w:tc>
        <w:tc>
          <w:tcPr>
            <w:tcW w:w="3144" w:type="dxa"/>
          </w:tcPr>
          <w:p>
            <w:pPr>
              <w:pStyle w:val="TableParagraph"/>
              <w:spacing w:before="1"/>
              <w:ind w:right="10"/>
              <w:jc w:val="right"/>
              <w:rPr>
                <w:sz w:val="18"/>
              </w:rPr>
            </w:pPr>
            <w:r>
              <w:rPr>
                <w:spacing w:val="-2"/>
                <w:sz w:val="18"/>
              </w:rPr>
              <w:t>961,552,570.00</w:t>
            </w:r>
          </w:p>
        </w:tc>
        <w:tc>
          <w:tcPr>
            <w:tcW w:w="2760" w:type="dxa"/>
          </w:tcPr>
          <w:p>
            <w:pPr>
              <w:pStyle w:val="TableParagraph"/>
              <w:spacing w:before="1"/>
              <w:ind w:right="7"/>
              <w:jc w:val="right"/>
              <w:rPr>
                <w:sz w:val="18"/>
              </w:rPr>
            </w:pPr>
            <w:r>
              <w:rPr>
                <w:w w:val="101"/>
                <w:sz w:val="18"/>
              </w:rPr>
              <w:t>-</w:t>
            </w:r>
          </w:p>
        </w:tc>
        <w:tc>
          <w:tcPr>
            <w:tcW w:w="2040" w:type="dxa"/>
          </w:tcPr>
          <w:p>
            <w:pPr>
              <w:pStyle w:val="TableParagraph"/>
              <w:spacing w:before="1"/>
              <w:ind w:right="10"/>
              <w:jc w:val="right"/>
              <w:rPr>
                <w:sz w:val="18"/>
              </w:rPr>
            </w:pPr>
            <w:r>
              <w:rPr>
                <w:spacing w:val="-2"/>
                <w:sz w:val="18"/>
              </w:rPr>
              <w:t>77,000,000.00</w:t>
            </w:r>
          </w:p>
        </w:tc>
        <w:tc>
          <w:tcPr>
            <w:tcW w:w="1632" w:type="dxa"/>
          </w:tcPr>
          <w:p>
            <w:pPr>
              <w:pStyle w:val="TableParagraph"/>
              <w:spacing w:before="1"/>
              <w:ind w:right="10"/>
              <w:jc w:val="right"/>
              <w:rPr>
                <w:sz w:val="18"/>
              </w:rPr>
            </w:pPr>
            <w:r>
              <w:rPr>
                <w:spacing w:val="-2"/>
                <w:sz w:val="18"/>
              </w:rPr>
              <w:t>1,038,552,570.00</w:t>
            </w:r>
          </w:p>
        </w:tc>
      </w:tr>
    </w:tbl>
    <w:p>
      <w:pPr>
        <w:pStyle w:val="BodyText"/>
        <w:spacing w:before="8"/>
        <w:rPr>
          <w:i/>
          <w:sz w:val="23"/>
        </w:rPr>
      </w:pPr>
    </w:p>
    <w:tbl>
      <w:tblPr>
        <w:tblW w:w="0" w:type="auto"/>
        <w:jc w:val="left"/>
        <w:tblInd w:w="1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4"/>
        <w:gridCol w:w="2760"/>
        <w:gridCol w:w="2040"/>
        <w:gridCol w:w="1632"/>
      </w:tblGrid>
      <w:tr>
        <w:trPr>
          <w:trHeight w:val="964" w:hRule="atLeast"/>
        </w:trPr>
        <w:tc>
          <w:tcPr>
            <w:tcW w:w="3144" w:type="dxa"/>
          </w:tcPr>
          <w:p>
            <w:pPr>
              <w:pStyle w:val="TableParagraph"/>
              <w:spacing w:before="1"/>
              <w:ind w:left="30"/>
              <w:rPr>
                <w:sz w:val="18"/>
              </w:rPr>
            </w:pPr>
            <w:r>
              <w:rPr>
                <w:sz w:val="18"/>
              </w:rPr>
              <w:t>Total SIG</w:t>
            </w:r>
            <w:r>
              <w:rPr>
                <w:spacing w:val="-5"/>
                <w:sz w:val="18"/>
              </w:rPr>
              <w:t> </w:t>
            </w:r>
            <w:r>
              <w:rPr>
                <w:sz w:val="18"/>
              </w:rPr>
              <w:t>Appropriated</w:t>
            </w:r>
            <w:r>
              <w:rPr>
                <w:spacing w:val="-6"/>
                <w:sz w:val="18"/>
              </w:rPr>
              <w:t> </w:t>
            </w:r>
            <w:r>
              <w:rPr>
                <w:spacing w:val="-4"/>
                <w:sz w:val="18"/>
              </w:rPr>
              <w:t>Funds</w:t>
            </w:r>
          </w:p>
        </w:tc>
        <w:tc>
          <w:tcPr>
            <w:tcW w:w="2760" w:type="dxa"/>
          </w:tcPr>
          <w:p>
            <w:pPr>
              <w:pStyle w:val="TableParagraph"/>
              <w:spacing w:before="1"/>
              <w:ind w:left="30"/>
              <w:rPr>
                <w:sz w:val="18"/>
              </w:rPr>
            </w:pPr>
            <w:r>
              <w:rPr>
                <w:sz w:val="18"/>
              </w:rPr>
              <w:t>Total</w:t>
            </w:r>
            <w:r>
              <w:rPr>
                <w:spacing w:val="-5"/>
                <w:sz w:val="18"/>
              </w:rPr>
              <w:t> </w:t>
            </w:r>
            <w:r>
              <w:rPr>
                <w:sz w:val="18"/>
              </w:rPr>
              <w:t>SIG</w:t>
            </w:r>
            <w:r>
              <w:rPr>
                <w:spacing w:val="-10"/>
                <w:sz w:val="18"/>
              </w:rPr>
              <w:t> </w:t>
            </w:r>
            <w:r>
              <w:rPr>
                <w:sz w:val="18"/>
              </w:rPr>
              <w:t>Recurrent</w:t>
            </w:r>
            <w:r>
              <w:rPr>
                <w:spacing w:val="-9"/>
                <w:sz w:val="18"/>
              </w:rPr>
              <w:t> </w:t>
            </w:r>
            <w:r>
              <w:rPr>
                <w:sz w:val="18"/>
              </w:rPr>
              <w:t>Budget</w:t>
            </w:r>
            <w:r>
              <w:rPr>
                <w:spacing w:val="-9"/>
                <w:sz w:val="18"/>
              </w:rPr>
              <w:t> </w:t>
            </w:r>
            <w:r>
              <w:rPr>
                <w:sz w:val="18"/>
              </w:rPr>
              <w:t>including Statutory</w:t>
            </w:r>
            <w:r>
              <w:rPr>
                <w:spacing w:val="-8"/>
                <w:sz w:val="18"/>
              </w:rPr>
              <w:t> </w:t>
            </w:r>
            <w:r>
              <w:rPr>
                <w:sz w:val="18"/>
              </w:rPr>
              <w:t>Expenditure</w:t>
            </w:r>
          </w:p>
        </w:tc>
        <w:tc>
          <w:tcPr>
            <w:tcW w:w="2040" w:type="dxa"/>
          </w:tcPr>
          <w:p>
            <w:pPr>
              <w:pStyle w:val="TableParagraph"/>
              <w:spacing w:before="1"/>
              <w:ind w:left="35" w:right="83"/>
              <w:jc w:val="both"/>
              <w:rPr>
                <w:sz w:val="18"/>
              </w:rPr>
            </w:pPr>
            <w:r>
              <w:rPr>
                <w:sz w:val="18"/>
              </w:rPr>
              <w:t>Total Funds</w:t>
            </w:r>
            <w:r>
              <w:rPr>
                <w:spacing w:val="-4"/>
                <w:sz w:val="18"/>
              </w:rPr>
              <w:t> </w:t>
            </w:r>
            <w:r>
              <w:rPr>
                <w:sz w:val="18"/>
              </w:rPr>
              <w:t>Appropriated through</w:t>
            </w:r>
            <w:r>
              <w:rPr>
                <w:spacing w:val="-11"/>
                <w:sz w:val="18"/>
              </w:rPr>
              <w:t> </w:t>
            </w:r>
            <w:r>
              <w:rPr>
                <w:sz w:val="18"/>
              </w:rPr>
              <w:t>the</w:t>
            </w:r>
            <w:r>
              <w:rPr>
                <w:spacing w:val="-10"/>
                <w:sz w:val="18"/>
              </w:rPr>
              <w:t> </w:t>
            </w:r>
            <w:r>
              <w:rPr>
                <w:sz w:val="18"/>
              </w:rPr>
              <w:t>Development budget</w:t>
            </w:r>
            <w:r>
              <w:rPr>
                <w:spacing w:val="-2"/>
                <w:sz w:val="18"/>
              </w:rPr>
              <w:t> </w:t>
            </w:r>
            <w:r>
              <w:rPr>
                <w:sz w:val="18"/>
              </w:rPr>
              <w:t>(2016)</w:t>
            </w:r>
          </w:p>
        </w:tc>
        <w:tc>
          <w:tcPr>
            <w:tcW w:w="1632" w:type="dxa"/>
          </w:tcPr>
          <w:p>
            <w:pPr>
              <w:pStyle w:val="TableParagraph"/>
              <w:spacing w:before="1"/>
              <w:ind w:left="30"/>
              <w:rPr>
                <w:sz w:val="18"/>
              </w:rPr>
            </w:pPr>
            <w:r>
              <w:rPr>
                <w:sz w:val="18"/>
              </w:rPr>
              <w:t>Total SIG</w:t>
            </w:r>
            <w:r>
              <w:rPr>
                <w:spacing w:val="-4"/>
                <w:sz w:val="18"/>
              </w:rPr>
              <w:t> </w:t>
            </w:r>
            <w:r>
              <w:rPr>
                <w:spacing w:val="-2"/>
                <w:sz w:val="18"/>
              </w:rPr>
              <w:t>(2016)</w:t>
            </w:r>
          </w:p>
        </w:tc>
      </w:tr>
      <w:tr>
        <w:trPr>
          <w:trHeight w:val="287" w:hRule="atLeast"/>
        </w:trPr>
        <w:tc>
          <w:tcPr>
            <w:tcW w:w="3144" w:type="dxa"/>
          </w:tcPr>
          <w:p>
            <w:pPr>
              <w:pStyle w:val="TableParagraph"/>
              <w:spacing w:line="216" w:lineRule="exact"/>
              <w:ind w:left="1845"/>
              <w:rPr>
                <w:sz w:val="18"/>
              </w:rPr>
            </w:pPr>
            <w:r>
              <w:rPr>
                <w:spacing w:val="-2"/>
                <w:sz w:val="18"/>
              </w:rPr>
              <w:t>3,039,054,521.00</w:t>
            </w:r>
          </w:p>
        </w:tc>
        <w:tc>
          <w:tcPr>
            <w:tcW w:w="2760" w:type="dxa"/>
          </w:tcPr>
          <w:p>
            <w:pPr>
              <w:pStyle w:val="TableParagraph"/>
              <w:spacing w:line="216" w:lineRule="exact"/>
              <w:ind w:left="1461"/>
              <w:rPr>
                <w:sz w:val="18"/>
              </w:rPr>
            </w:pPr>
            <w:r>
              <w:rPr>
                <w:spacing w:val="-2"/>
                <w:sz w:val="18"/>
              </w:rPr>
              <w:t>3,123,285,435.00</w:t>
            </w:r>
          </w:p>
        </w:tc>
        <w:tc>
          <w:tcPr>
            <w:tcW w:w="2040" w:type="dxa"/>
          </w:tcPr>
          <w:p>
            <w:pPr>
              <w:pStyle w:val="TableParagraph"/>
              <w:spacing w:line="216" w:lineRule="exact"/>
              <w:ind w:left="741"/>
              <w:rPr>
                <w:sz w:val="18"/>
              </w:rPr>
            </w:pPr>
            <w:r>
              <w:rPr>
                <w:spacing w:val="-2"/>
                <w:sz w:val="18"/>
              </w:rPr>
              <w:t>1,177,867,137.00</w:t>
            </w:r>
          </w:p>
        </w:tc>
        <w:tc>
          <w:tcPr>
            <w:tcW w:w="1632" w:type="dxa"/>
          </w:tcPr>
          <w:p>
            <w:pPr>
              <w:pStyle w:val="TableParagraph"/>
              <w:spacing w:line="216" w:lineRule="exact"/>
              <w:ind w:left="333"/>
              <w:rPr>
                <w:sz w:val="18"/>
              </w:rPr>
            </w:pPr>
            <w:r>
              <w:rPr>
                <w:spacing w:val="-2"/>
                <w:sz w:val="18"/>
              </w:rPr>
              <w:t>4,301,152,572.00</w:t>
            </w:r>
          </w:p>
        </w:tc>
      </w:tr>
    </w:tbl>
    <w:p>
      <w:pPr>
        <w:pStyle w:val="BodyText"/>
        <w:spacing w:before="8"/>
        <w:rPr>
          <w:i/>
          <w:sz w:val="23"/>
        </w:rPr>
      </w:pPr>
    </w:p>
    <w:p>
      <w:pPr>
        <w:spacing w:before="0"/>
        <w:ind w:left="155" w:right="0" w:firstLine="0"/>
        <w:jc w:val="left"/>
        <w:rPr>
          <w:sz w:val="18"/>
        </w:rPr>
      </w:pPr>
      <w:r>
        <w:rPr>
          <w:sz w:val="18"/>
        </w:rPr>
        <w:t>%</w:t>
      </w:r>
      <w:r>
        <w:rPr>
          <w:spacing w:val="-1"/>
          <w:sz w:val="18"/>
        </w:rPr>
        <w:t> </w:t>
      </w:r>
      <w:r>
        <w:rPr>
          <w:sz w:val="18"/>
        </w:rPr>
        <w:t>MEHRD</w:t>
      </w:r>
      <w:r>
        <w:rPr>
          <w:spacing w:val="-1"/>
          <w:sz w:val="18"/>
        </w:rPr>
        <w:t> </w:t>
      </w:r>
      <w:r>
        <w:rPr>
          <w:sz w:val="18"/>
        </w:rPr>
        <w:t>272</w:t>
      </w:r>
      <w:r>
        <w:rPr>
          <w:spacing w:val="-5"/>
          <w:sz w:val="18"/>
        </w:rPr>
        <w:t> </w:t>
      </w:r>
      <w:r>
        <w:rPr>
          <w:sz w:val="18"/>
        </w:rPr>
        <w:t>+ 372</w:t>
      </w:r>
      <w:r>
        <w:rPr>
          <w:spacing w:val="-5"/>
          <w:sz w:val="18"/>
        </w:rPr>
        <w:t> </w:t>
      </w:r>
      <w:r>
        <w:rPr>
          <w:sz w:val="18"/>
        </w:rPr>
        <w:t>of</w:t>
      </w:r>
      <w:r>
        <w:rPr>
          <w:spacing w:val="-2"/>
          <w:sz w:val="18"/>
        </w:rPr>
        <w:t> </w:t>
      </w:r>
      <w:r>
        <w:rPr>
          <w:sz w:val="18"/>
        </w:rPr>
        <w:t>total</w:t>
      </w:r>
      <w:r>
        <w:rPr>
          <w:spacing w:val="2"/>
          <w:sz w:val="18"/>
        </w:rPr>
        <w:t> </w:t>
      </w:r>
      <w:r>
        <w:rPr>
          <w:spacing w:val="-5"/>
          <w:sz w:val="18"/>
        </w:rPr>
        <w:t>SIG</w:t>
      </w:r>
    </w:p>
    <w:p>
      <w:pPr>
        <w:pStyle w:val="BodyText"/>
        <w:spacing w:before="6"/>
        <w:rPr>
          <w:sz w:val="5"/>
        </w:rPr>
      </w:pPr>
    </w:p>
    <w:tbl>
      <w:tblPr>
        <w:tblW w:w="0" w:type="auto"/>
        <w:jc w:val="left"/>
        <w:tblInd w:w="1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44"/>
        <w:gridCol w:w="2760"/>
        <w:gridCol w:w="2040"/>
        <w:gridCol w:w="1632"/>
      </w:tblGrid>
      <w:tr>
        <w:trPr>
          <w:trHeight w:val="287" w:hRule="atLeast"/>
        </w:trPr>
        <w:tc>
          <w:tcPr>
            <w:tcW w:w="3144" w:type="dxa"/>
          </w:tcPr>
          <w:p>
            <w:pPr>
              <w:pStyle w:val="TableParagraph"/>
              <w:spacing w:before="1"/>
              <w:ind w:right="5"/>
              <w:jc w:val="right"/>
              <w:rPr>
                <w:sz w:val="18"/>
              </w:rPr>
            </w:pPr>
            <w:r>
              <w:rPr>
                <w:spacing w:val="-2"/>
                <w:sz w:val="18"/>
              </w:rPr>
              <w:t>31.64%</w:t>
            </w:r>
          </w:p>
        </w:tc>
        <w:tc>
          <w:tcPr>
            <w:tcW w:w="2760" w:type="dxa"/>
          </w:tcPr>
          <w:p>
            <w:pPr>
              <w:pStyle w:val="TableParagraph"/>
              <w:spacing w:before="1"/>
              <w:ind w:right="5"/>
              <w:jc w:val="right"/>
              <w:rPr>
                <w:sz w:val="18"/>
              </w:rPr>
            </w:pPr>
            <w:r>
              <w:rPr>
                <w:spacing w:val="-2"/>
                <w:sz w:val="18"/>
              </w:rPr>
              <w:t>0.00%</w:t>
            </w:r>
          </w:p>
        </w:tc>
        <w:tc>
          <w:tcPr>
            <w:tcW w:w="2040" w:type="dxa"/>
          </w:tcPr>
          <w:p>
            <w:pPr>
              <w:pStyle w:val="TableParagraph"/>
              <w:spacing w:before="1"/>
              <w:ind w:right="5"/>
              <w:jc w:val="right"/>
              <w:rPr>
                <w:sz w:val="18"/>
              </w:rPr>
            </w:pPr>
            <w:r>
              <w:rPr>
                <w:spacing w:val="-2"/>
                <w:sz w:val="18"/>
              </w:rPr>
              <w:t>6.54%</w:t>
            </w:r>
          </w:p>
        </w:tc>
        <w:tc>
          <w:tcPr>
            <w:tcW w:w="1632" w:type="dxa"/>
          </w:tcPr>
          <w:p>
            <w:pPr>
              <w:pStyle w:val="TableParagraph"/>
              <w:spacing w:before="1"/>
              <w:ind w:left="1067"/>
              <w:rPr>
                <w:sz w:val="18"/>
              </w:rPr>
            </w:pPr>
            <w:r>
              <w:rPr>
                <w:spacing w:val="-2"/>
                <w:sz w:val="18"/>
              </w:rPr>
              <w:t>24.15%</w:t>
            </w:r>
          </w:p>
        </w:tc>
      </w:tr>
    </w:tbl>
    <w:p>
      <w:pPr>
        <w:spacing w:before="1"/>
        <w:ind w:left="155" w:right="0" w:firstLine="0"/>
        <w:jc w:val="left"/>
        <w:rPr>
          <w:sz w:val="18"/>
        </w:rPr>
      </w:pPr>
      <w:r>
        <w:rPr>
          <w:sz w:val="18"/>
        </w:rPr>
        <w:t>Source:</w:t>
      </w:r>
      <w:r>
        <w:rPr>
          <w:spacing w:val="-3"/>
          <w:sz w:val="18"/>
        </w:rPr>
        <w:t> </w:t>
      </w:r>
      <w:r>
        <w:rPr>
          <w:sz w:val="18"/>
        </w:rPr>
        <w:t>SOLOMON</w:t>
      </w:r>
      <w:r>
        <w:rPr>
          <w:spacing w:val="-8"/>
          <w:sz w:val="18"/>
        </w:rPr>
        <w:t> </w:t>
      </w:r>
      <w:r>
        <w:rPr>
          <w:sz w:val="18"/>
        </w:rPr>
        <w:t>ISLANDS</w:t>
      </w:r>
      <w:r>
        <w:rPr>
          <w:spacing w:val="-3"/>
          <w:sz w:val="18"/>
        </w:rPr>
        <w:t> </w:t>
      </w:r>
      <w:r>
        <w:rPr>
          <w:sz w:val="18"/>
        </w:rPr>
        <w:t>GOVERNMENT,</w:t>
      </w:r>
      <w:r>
        <w:rPr>
          <w:spacing w:val="-8"/>
          <w:sz w:val="18"/>
        </w:rPr>
        <w:t> </w:t>
      </w:r>
      <w:r>
        <w:rPr>
          <w:sz w:val="18"/>
        </w:rPr>
        <w:t>YEAR</w:t>
      </w:r>
      <w:r>
        <w:rPr>
          <w:spacing w:val="-4"/>
          <w:sz w:val="18"/>
        </w:rPr>
        <w:t> </w:t>
      </w:r>
      <w:r>
        <w:rPr>
          <w:sz w:val="18"/>
        </w:rPr>
        <w:t>2016,</w:t>
      </w:r>
      <w:r>
        <w:rPr>
          <w:spacing w:val="-3"/>
          <w:sz w:val="18"/>
        </w:rPr>
        <w:t> </w:t>
      </w:r>
      <w:r>
        <w:rPr>
          <w:sz w:val="18"/>
        </w:rPr>
        <w:t>APPROVED</w:t>
      </w:r>
      <w:r>
        <w:rPr>
          <w:spacing w:val="-4"/>
          <w:sz w:val="18"/>
        </w:rPr>
        <w:t> </w:t>
      </w:r>
      <w:r>
        <w:rPr>
          <w:sz w:val="18"/>
        </w:rPr>
        <w:t>RECURRENT</w:t>
      </w:r>
      <w:r>
        <w:rPr>
          <w:spacing w:val="-3"/>
          <w:sz w:val="18"/>
        </w:rPr>
        <w:t> </w:t>
      </w:r>
      <w:r>
        <w:rPr>
          <w:sz w:val="18"/>
        </w:rPr>
        <w:t>ESTIMATES</w:t>
      </w:r>
      <w:r>
        <w:rPr>
          <w:spacing w:val="-8"/>
          <w:sz w:val="18"/>
        </w:rPr>
        <w:t> </w:t>
      </w:r>
      <w:r>
        <w:rPr>
          <w:sz w:val="18"/>
        </w:rPr>
        <w:t>Budget</w:t>
      </w:r>
      <w:r>
        <w:rPr>
          <w:spacing w:val="-4"/>
          <w:sz w:val="18"/>
        </w:rPr>
        <w:t> </w:t>
      </w:r>
      <w:r>
        <w:rPr>
          <w:sz w:val="18"/>
        </w:rPr>
        <w:t>Paper:</w:t>
      </w:r>
      <w:r>
        <w:rPr>
          <w:spacing w:val="-7"/>
          <w:sz w:val="18"/>
        </w:rPr>
        <w:t> </w:t>
      </w:r>
      <w:r>
        <w:rPr>
          <w:sz w:val="18"/>
        </w:rPr>
        <w:t>Volume</w:t>
      </w:r>
      <w:r>
        <w:rPr>
          <w:spacing w:val="-5"/>
          <w:sz w:val="18"/>
        </w:rPr>
        <w:t> </w:t>
      </w:r>
      <w:r>
        <w:rPr>
          <w:spacing w:val="-10"/>
          <w:sz w:val="18"/>
        </w:rPr>
        <w:t>2</w:t>
      </w:r>
    </w:p>
    <w:p>
      <w:pPr>
        <w:spacing w:before="1"/>
        <w:ind w:left="155" w:right="0" w:firstLine="0"/>
        <w:jc w:val="left"/>
        <w:rPr>
          <w:sz w:val="18"/>
        </w:rPr>
      </w:pPr>
      <w:r>
        <w:rPr>
          <w:sz w:val="18"/>
        </w:rPr>
        <w:t>(Page</w:t>
      </w:r>
      <w:r>
        <w:rPr>
          <w:spacing w:val="-1"/>
          <w:sz w:val="18"/>
        </w:rPr>
        <w:t> </w:t>
      </w:r>
      <w:r>
        <w:rPr>
          <w:spacing w:val="-5"/>
          <w:sz w:val="18"/>
        </w:rPr>
        <w:t>14)</w:t>
      </w:r>
    </w:p>
    <w:p>
      <w:pPr>
        <w:pStyle w:val="BodyText"/>
        <w:rPr>
          <w:sz w:val="20"/>
        </w:rPr>
      </w:pPr>
    </w:p>
    <w:p>
      <w:pPr>
        <w:pStyle w:val="BodyText"/>
        <w:spacing w:before="4"/>
        <w:rPr>
          <w:sz w:val="24"/>
        </w:rPr>
      </w:pPr>
    </w:p>
    <w:p>
      <w:pPr>
        <w:pStyle w:val="ListParagraph"/>
        <w:numPr>
          <w:ilvl w:val="1"/>
          <w:numId w:val="3"/>
        </w:numPr>
        <w:tabs>
          <w:tab w:pos="1839" w:val="left" w:leader="none"/>
          <w:tab w:pos="1840" w:val="left" w:leader="none"/>
        </w:tabs>
        <w:spacing w:line="240" w:lineRule="auto" w:before="51" w:after="0"/>
        <w:ind w:left="1840" w:right="0" w:hanging="720"/>
        <w:jc w:val="left"/>
        <w:rPr>
          <w:rFonts w:ascii="Calibri Light" w:hAnsi="Calibri Light"/>
          <w:b w:val="0"/>
          <w:sz w:val="19"/>
        </w:rPr>
      </w:pPr>
      <w:bookmarkStart w:name="4.2 Target 1.1 – Teacher Training Qualit" w:id="16"/>
      <w:bookmarkEnd w:id="16"/>
      <w:r>
        <w:rPr/>
      </w:r>
      <w:bookmarkStart w:name="_bookmark8" w:id="17"/>
      <w:bookmarkEnd w:id="17"/>
      <w:r>
        <w:rPr>
          <w:rFonts w:ascii="Calibri Light" w:hAnsi="Calibri Light"/>
          <w:b w:val="0"/>
          <w:spacing w:val="-2"/>
          <w:sz w:val="24"/>
        </w:rPr>
        <w:t>T</w:t>
      </w:r>
      <w:r>
        <w:rPr>
          <w:rFonts w:ascii="Calibri Light" w:hAnsi="Calibri Light"/>
          <w:b w:val="0"/>
          <w:spacing w:val="-2"/>
          <w:sz w:val="19"/>
        </w:rPr>
        <w:t>ARGET </w:t>
      </w:r>
      <w:r>
        <w:rPr>
          <w:rFonts w:ascii="Calibri Light" w:hAnsi="Calibri Light"/>
          <w:b w:val="0"/>
          <w:spacing w:val="-2"/>
          <w:sz w:val="24"/>
        </w:rPr>
        <w:t>1.1</w:t>
      </w:r>
      <w:r>
        <w:rPr>
          <w:rFonts w:ascii="Calibri Light" w:hAnsi="Calibri Light"/>
          <w:b w:val="0"/>
          <w:spacing w:val="-17"/>
          <w:sz w:val="24"/>
        </w:rPr>
        <w:t> </w:t>
      </w:r>
      <w:r>
        <w:rPr>
          <w:rFonts w:ascii="Calibri Light" w:hAnsi="Calibri Light"/>
          <w:b w:val="0"/>
          <w:spacing w:val="-2"/>
          <w:sz w:val="24"/>
        </w:rPr>
        <w:t>–</w:t>
      </w:r>
      <w:r>
        <w:rPr>
          <w:rFonts w:ascii="Calibri Light" w:hAnsi="Calibri Light"/>
          <w:b w:val="0"/>
          <w:spacing w:val="-11"/>
          <w:sz w:val="24"/>
        </w:rPr>
        <w:t> </w:t>
      </w:r>
      <w:r>
        <w:rPr>
          <w:rFonts w:ascii="Calibri Light" w:hAnsi="Calibri Light"/>
          <w:b w:val="0"/>
          <w:spacing w:val="-2"/>
          <w:sz w:val="24"/>
        </w:rPr>
        <w:t>T</w:t>
      </w:r>
      <w:r>
        <w:rPr>
          <w:rFonts w:ascii="Calibri Light" w:hAnsi="Calibri Light"/>
          <w:b w:val="0"/>
          <w:spacing w:val="-2"/>
          <w:sz w:val="19"/>
        </w:rPr>
        <w:t>EACHER</w:t>
      </w:r>
      <w:r>
        <w:rPr>
          <w:rFonts w:ascii="Calibri Light" w:hAnsi="Calibri Light"/>
          <w:b w:val="0"/>
          <w:spacing w:val="-1"/>
          <w:sz w:val="19"/>
        </w:rPr>
        <w:t> </w:t>
      </w:r>
      <w:r>
        <w:rPr>
          <w:rFonts w:ascii="Calibri Light" w:hAnsi="Calibri Light"/>
          <w:b w:val="0"/>
          <w:spacing w:val="-2"/>
          <w:sz w:val="24"/>
        </w:rPr>
        <w:t>T</w:t>
      </w:r>
      <w:r>
        <w:rPr>
          <w:rFonts w:ascii="Calibri Light" w:hAnsi="Calibri Light"/>
          <w:b w:val="0"/>
          <w:spacing w:val="-2"/>
          <w:sz w:val="19"/>
        </w:rPr>
        <w:t>RAINING</w:t>
      </w:r>
      <w:r>
        <w:rPr>
          <w:rFonts w:ascii="Calibri Light" w:hAnsi="Calibri Light"/>
          <w:b w:val="0"/>
          <w:spacing w:val="-6"/>
          <w:sz w:val="19"/>
        </w:rPr>
        <w:t> </w:t>
      </w:r>
      <w:r>
        <w:rPr>
          <w:rFonts w:ascii="Calibri Light" w:hAnsi="Calibri Light"/>
          <w:b w:val="0"/>
          <w:spacing w:val="-2"/>
          <w:sz w:val="24"/>
        </w:rPr>
        <w:t>Q</w:t>
      </w:r>
      <w:r>
        <w:rPr>
          <w:rFonts w:ascii="Calibri Light" w:hAnsi="Calibri Light"/>
          <w:b w:val="0"/>
          <w:spacing w:val="-2"/>
          <w:sz w:val="19"/>
        </w:rPr>
        <w:t>UALITY</w:t>
      </w:r>
    </w:p>
    <w:p>
      <w:pPr>
        <w:pStyle w:val="BodyText"/>
        <w:spacing w:before="10"/>
        <w:rPr>
          <w:rFonts w:ascii="Calibri Light"/>
          <w:b w:val="0"/>
          <w:sz w:val="16"/>
        </w:rPr>
      </w:pPr>
      <w:r>
        <w:rPr/>
        <w:pict>
          <v:shape style="position:absolute;margin-left:73.949997pt;margin-top:11.895266pt;width:362.65pt;height:90.2pt;mso-position-horizontal-relative:page;mso-position-vertical-relative:paragraph;z-index:-15727616;mso-wrap-distance-left:0;mso-wrap-distance-right:0" type="#_x0000_t202" id="docshape7" filled="true" fillcolor="#4472c4" stroked="true" strokeweight=".75pt" strokecolor="#4472c4">
            <v:textbox inset="0,0,0,0">
              <w:txbxContent>
                <w:p>
                  <w:pPr>
                    <w:spacing w:line="273" w:lineRule="auto" w:before="67"/>
                    <w:ind w:left="135" w:right="0" w:firstLine="0"/>
                    <w:jc w:val="left"/>
                    <w:rPr>
                      <w:i/>
                      <w:color w:val="000000"/>
                      <w:sz w:val="22"/>
                    </w:rPr>
                  </w:pPr>
                  <w:r>
                    <w:rPr>
                      <w:b/>
                      <w:i/>
                      <w:color w:val="000000"/>
                      <w:sz w:val="22"/>
                    </w:rPr>
                    <w:t>Target:</w:t>
                  </w:r>
                  <w:r>
                    <w:rPr>
                      <w:b/>
                      <w:i/>
                      <w:color w:val="000000"/>
                      <w:spacing w:val="-3"/>
                      <w:sz w:val="22"/>
                    </w:rPr>
                    <w:t> </w:t>
                  </w:r>
                  <w:r>
                    <w:rPr>
                      <w:i/>
                      <w:color w:val="000000"/>
                      <w:sz w:val="22"/>
                    </w:rPr>
                    <w:t>Ten</w:t>
                  </w:r>
                  <w:r>
                    <w:rPr>
                      <w:i/>
                      <w:color w:val="000000"/>
                      <w:spacing w:val="-3"/>
                      <w:sz w:val="22"/>
                    </w:rPr>
                    <w:t> </w:t>
                  </w:r>
                  <w:r>
                    <w:rPr>
                      <w:i/>
                      <w:color w:val="000000"/>
                      <w:sz w:val="22"/>
                    </w:rPr>
                    <w:t>per</w:t>
                  </w:r>
                  <w:r>
                    <w:rPr>
                      <w:i/>
                      <w:color w:val="000000"/>
                      <w:spacing w:val="-3"/>
                      <w:sz w:val="22"/>
                    </w:rPr>
                    <w:t> </w:t>
                  </w:r>
                  <w:r>
                    <w:rPr>
                      <w:i/>
                      <w:color w:val="000000"/>
                      <w:sz w:val="22"/>
                    </w:rPr>
                    <w:t>cent</w:t>
                  </w:r>
                  <w:r>
                    <w:rPr>
                      <w:i/>
                      <w:color w:val="000000"/>
                      <w:spacing w:val="-6"/>
                      <w:sz w:val="22"/>
                    </w:rPr>
                    <w:t> </w:t>
                  </w:r>
                  <w:r>
                    <w:rPr>
                      <w:i/>
                      <w:color w:val="000000"/>
                      <w:sz w:val="22"/>
                    </w:rPr>
                    <w:t>(10%)</w:t>
                  </w:r>
                  <w:r>
                    <w:rPr>
                      <w:i/>
                      <w:color w:val="000000"/>
                      <w:spacing w:val="-4"/>
                      <w:sz w:val="22"/>
                    </w:rPr>
                    <w:t> </w:t>
                  </w:r>
                  <w:r>
                    <w:rPr>
                      <w:i/>
                      <w:color w:val="000000"/>
                      <w:sz w:val="22"/>
                    </w:rPr>
                    <w:t>additional</w:t>
                  </w:r>
                  <w:r>
                    <w:rPr>
                      <w:i/>
                      <w:color w:val="000000"/>
                      <w:spacing w:val="-2"/>
                      <w:sz w:val="22"/>
                    </w:rPr>
                    <w:t> </w:t>
                  </w:r>
                  <w:r>
                    <w:rPr>
                      <w:i/>
                      <w:color w:val="000000"/>
                      <w:sz w:val="22"/>
                    </w:rPr>
                    <w:t>teachers</w:t>
                  </w:r>
                  <w:r>
                    <w:rPr>
                      <w:i/>
                      <w:color w:val="000000"/>
                      <w:spacing w:val="-4"/>
                      <w:sz w:val="22"/>
                    </w:rPr>
                    <w:t> </w:t>
                  </w:r>
                  <w:r>
                    <w:rPr>
                      <w:i/>
                      <w:color w:val="000000"/>
                      <w:sz w:val="22"/>
                    </w:rPr>
                    <w:t>are</w:t>
                  </w:r>
                  <w:r>
                    <w:rPr>
                      <w:i/>
                      <w:color w:val="000000"/>
                      <w:spacing w:val="-4"/>
                      <w:sz w:val="22"/>
                    </w:rPr>
                    <w:t> </w:t>
                  </w:r>
                  <w:r>
                    <w:rPr>
                      <w:i/>
                      <w:color w:val="000000"/>
                      <w:sz w:val="22"/>
                    </w:rPr>
                    <w:t>assessed</w:t>
                  </w:r>
                  <w:r>
                    <w:rPr>
                      <w:i/>
                      <w:color w:val="000000"/>
                      <w:spacing w:val="-3"/>
                      <w:sz w:val="22"/>
                    </w:rPr>
                    <w:t> </w:t>
                  </w:r>
                  <w:r>
                    <w:rPr>
                      <w:i/>
                      <w:color w:val="000000"/>
                      <w:sz w:val="22"/>
                    </w:rPr>
                    <w:t>and</w:t>
                  </w:r>
                  <w:r>
                    <w:rPr>
                      <w:i/>
                      <w:color w:val="000000"/>
                      <w:spacing w:val="-3"/>
                      <w:sz w:val="22"/>
                    </w:rPr>
                    <w:t> </w:t>
                  </w:r>
                  <w:r>
                    <w:rPr>
                      <w:i/>
                      <w:color w:val="000000"/>
                      <w:sz w:val="22"/>
                    </w:rPr>
                    <w:t>appraised</w:t>
                  </w:r>
                  <w:r>
                    <w:rPr>
                      <w:i/>
                      <w:color w:val="000000"/>
                      <w:spacing w:val="-3"/>
                      <w:sz w:val="22"/>
                    </w:rPr>
                    <w:t> </w:t>
                  </w:r>
                  <w:r>
                    <w:rPr>
                      <w:i/>
                      <w:color w:val="000000"/>
                      <w:sz w:val="22"/>
                    </w:rPr>
                    <w:t>as</w:t>
                  </w:r>
                  <w:r>
                    <w:rPr>
                      <w:i/>
                      <w:color w:val="000000"/>
                      <w:sz w:val="22"/>
                    </w:rPr>
                    <w:t> meeting the standards by the inspectorate.</w:t>
                  </w:r>
                </w:p>
                <w:p>
                  <w:pPr>
                    <w:pStyle w:val="BodyText"/>
                    <w:spacing w:before="8"/>
                    <w:rPr>
                      <w:i/>
                      <w:color w:val="000000"/>
                      <w:sz w:val="16"/>
                    </w:rPr>
                  </w:pPr>
                </w:p>
                <w:p>
                  <w:pPr>
                    <w:spacing w:before="0"/>
                    <w:ind w:left="135" w:right="0" w:firstLine="0"/>
                    <w:jc w:val="left"/>
                    <w:rPr>
                      <w:i/>
                      <w:color w:val="000000"/>
                      <w:sz w:val="22"/>
                    </w:rPr>
                  </w:pPr>
                  <w:r>
                    <w:rPr>
                      <w:b/>
                      <w:i/>
                      <w:color w:val="000000"/>
                      <w:sz w:val="22"/>
                    </w:rPr>
                    <w:t>Evidence</w:t>
                  </w:r>
                  <w:r>
                    <w:rPr>
                      <w:b/>
                      <w:i/>
                      <w:color w:val="000000"/>
                      <w:spacing w:val="-5"/>
                      <w:sz w:val="22"/>
                    </w:rPr>
                    <w:t> </w:t>
                  </w:r>
                  <w:r>
                    <w:rPr>
                      <w:b/>
                      <w:i/>
                      <w:color w:val="000000"/>
                      <w:sz w:val="22"/>
                    </w:rPr>
                    <w:t>Source</w:t>
                  </w:r>
                  <w:r>
                    <w:rPr>
                      <w:i/>
                      <w:color w:val="000000"/>
                      <w:sz w:val="22"/>
                    </w:rPr>
                    <w:t>:</w:t>
                  </w:r>
                  <w:r>
                    <w:rPr>
                      <w:i/>
                      <w:color w:val="000000"/>
                      <w:spacing w:val="-7"/>
                      <w:sz w:val="22"/>
                    </w:rPr>
                    <w:t> </w:t>
                  </w:r>
                  <w:r>
                    <w:rPr>
                      <w:i/>
                      <w:color w:val="000000"/>
                      <w:sz w:val="22"/>
                    </w:rPr>
                    <w:t>Inspectorate</w:t>
                  </w:r>
                  <w:r>
                    <w:rPr>
                      <w:i/>
                      <w:color w:val="000000"/>
                      <w:spacing w:val="-6"/>
                      <w:sz w:val="22"/>
                    </w:rPr>
                    <w:t> </w:t>
                  </w:r>
                  <w:r>
                    <w:rPr>
                      <w:i/>
                      <w:color w:val="000000"/>
                      <w:sz w:val="22"/>
                    </w:rPr>
                    <w:t>appraisal</w:t>
                  </w:r>
                  <w:r>
                    <w:rPr>
                      <w:i/>
                      <w:color w:val="000000"/>
                      <w:spacing w:val="-5"/>
                      <w:sz w:val="22"/>
                    </w:rPr>
                    <w:t> </w:t>
                  </w:r>
                  <w:r>
                    <w:rPr>
                      <w:i/>
                      <w:color w:val="000000"/>
                      <w:sz w:val="22"/>
                    </w:rPr>
                    <w:t>records</w:t>
                  </w:r>
                  <w:r>
                    <w:rPr>
                      <w:i/>
                      <w:color w:val="000000"/>
                      <w:spacing w:val="-6"/>
                      <w:sz w:val="22"/>
                    </w:rPr>
                    <w:t> </w:t>
                  </w:r>
                  <w:r>
                    <w:rPr>
                      <w:i/>
                      <w:color w:val="000000"/>
                      <w:sz w:val="22"/>
                    </w:rPr>
                    <w:t>for</w:t>
                  </w:r>
                  <w:r>
                    <w:rPr>
                      <w:i/>
                      <w:color w:val="000000"/>
                      <w:spacing w:val="-5"/>
                      <w:sz w:val="22"/>
                    </w:rPr>
                    <w:t> </w:t>
                  </w:r>
                  <w:r>
                    <w:rPr>
                      <w:i/>
                      <w:color w:val="000000"/>
                      <w:sz w:val="22"/>
                    </w:rPr>
                    <w:t>2015</w:t>
                  </w:r>
                  <w:r>
                    <w:rPr>
                      <w:i/>
                      <w:color w:val="000000"/>
                      <w:spacing w:val="-7"/>
                      <w:sz w:val="22"/>
                    </w:rPr>
                    <w:t> </w:t>
                  </w:r>
                  <w:r>
                    <w:rPr>
                      <w:i/>
                      <w:color w:val="000000"/>
                      <w:sz w:val="22"/>
                    </w:rPr>
                    <w:t>and</w:t>
                  </w:r>
                  <w:r>
                    <w:rPr>
                      <w:i/>
                      <w:color w:val="000000"/>
                      <w:spacing w:val="-5"/>
                      <w:sz w:val="22"/>
                    </w:rPr>
                    <w:t> </w:t>
                  </w:r>
                  <w:r>
                    <w:rPr>
                      <w:i/>
                      <w:color w:val="000000"/>
                      <w:spacing w:val="-4"/>
                      <w:sz w:val="22"/>
                    </w:rPr>
                    <w:t>2016</w:t>
                  </w:r>
                </w:p>
                <w:p>
                  <w:pPr>
                    <w:spacing w:before="120"/>
                    <w:ind w:left="135" w:right="0" w:firstLine="0"/>
                    <w:jc w:val="left"/>
                    <w:rPr>
                      <w:i/>
                      <w:color w:val="000000"/>
                      <w:sz w:val="22"/>
                    </w:rPr>
                  </w:pPr>
                  <w:r>
                    <w:rPr>
                      <w:b/>
                      <w:i/>
                      <w:color w:val="000000"/>
                      <w:sz w:val="22"/>
                    </w:rPr>
                    <w:t>Assessment</w:t>
                  </w:r>
                  <w:r>
                    <w:rPr>
                      <w:i/>
                      <w:color w:val="000000"/>
                      <w:sz w:val="22"/>
                    </w:rPr>
                    <w:t>:</w:t>
                  </w:r>
                  <w:r>
                    <w:rPr>
                      <w:i/>
                      <w:color w:val="000000"/>
                      <w:spacing w:val="-6"/>
                      <w:sz w:val="22"/>
                    </w:rPr>
                    <w:t> </w:t>
                  </w:r>
                  <w:r>
                    <w:rPr>
                      <w:i/>
                      <w:color w:val="000000"/>
                      <w:sz w:val="22"/>
                    </w:rPr>
                    <w:t>Target</w:t>
                  </w:r>
                  <w:r>
                    <w:rPr>
                      <w:i/>
                      <w:color w:val="000000"/>
                      <w:spacing w:val="-5"/>
                      <w:sz w:val="22"/>
                    </w:rPr>
                    <w:t> </w:t>
                  </w:r>
                  <w:r>
                    <w:rPr>
                      <w:i/>
                      <w:color w:val="000000"/>
                      <w:spacing w:val="-2"/>
                      <w:sz w:val="22"/>
                    </w:rPr>
                    <w:t>Achieved</w:t>
                  </w:r>
                </w:p>
              </w:txbxContent>
            </v:textbox>
            <v:fill opacity="7195f" type="solid"/>
            <v:stroke dashstyle="solid"/>
            <w10:wrap type="topAndBottom"/>
          </v:shape>
        </w:pict>
      </w:r>
    </w:p>
    <w:p>
      <w:pPr>
        <w:pStyle w:val="BodyText"/>
        <w:rPr>
          <w:rFonts w:ascii="Calibri Light"/>
          <w:b w:val="0"/>
          <w:sz w:val="24"/>
        </w:rPr>
      </w:pPr>
    </w:p>
    <w:p>
      <w:pPr>
        <w:pStyle w:val="BodyText"/>
        <w:spacing w:before="10"/>
        <w:rPr>
          <w:rFonts w:ascii="Calibri Light"/>
          <w:b w:val="0"/>
          <w:sz w:val="19"/>
        </w:rPr>
      </w:pPr>
    </w:p>
    <w:p>
      <w:pPr>
        <w:pStyle w:val="BodyText"/>
        <w:ind w:left="1119" w:right="1182"/>
        <w:jc w:val="both"/>
      </w:pPr>
      <w:r>
        <w:rPr/>
        <w:t>In 2015, 143 probationary teachers were assessed as meeting the teacher standard. In 2016, this number had increased to 216 teachers. This represents an increase of fifty-one per cent (51%) of assessed teachers meeting the standard.</w:t>
      </w:r>
    </w:p>
    <w:p>
      <w:pPr>
        <w:pStyle w:val="BodyText"/>
        <w:spacing w:before="121"/>
        <w:ind w:left="1119" w:right="1174"/>
        <w:jc w:val="both"/>
      </w:pPr>
      <w:r>
        <w:rPr/>
        <w:t>It should be noted, however, that only probationary teachers are assessed against the standard by inspectors.</w:t>
      </w:r>
      <w:r>
        <w:rPr>
          <w:spacing w:val="-1"/>
        </w:rPr>
        <w:t> </w:t>
      </w:r>
      <w:r>
        <w:rPr/>
        <w:t>All</w:t>
      </w:r>
      <w:r>
        <w:rPr>
          <w:spacing w:val="-1"/>
        </w:rPr>
        <w:t> </w:t>
      </w:r>
      <w:r>
        <w:rPr/>
        <w:t>other</w:t>
      </w:r>
      <w:r>
        <w:rPr>
          <w:spacing w:val="-3"/>
        </w:rPr>
        <w:t> </w:t>
      </w:r>
      <w:r>
        <w:rPr/>
        <w:t>teachers are</w:t>
      </w:r>
      <w:r>
        <w:rPr>
          <w:spacing w:val="-3"/>
        </w:rPr>
        <w:t> </w:t>
      </w:r>
      <w:r>
        <w:rPr/>
        <w:t>required</w:t>
      </w:r>
      <w:r>
        <w:rPr>
          <w:spacing w:val="-4"/>
        </w:rPr>
        <w:t> </w:t>
      </w:r>
      <w:r>
        <w:rPr/>
        <w:t>to undergo annual</w:t>
      </w:r>
      <w:r>
        <w:rPr>
          <w:spacing w:val="-1"/>
        </w:rPr>
        <w:t> </w:t>
      </w:r>
      <w:r>
        <w:rPr/>
        <w:t>appraisal</w:t>
      </w:r>
      <w:r>
        <w:rPr>
          <w:spacing w:val="-1"/>
        </w:rPr>
        <w:t> </w:t>
      </w:r>
      <w:r>
        <w:rPr/>
        <w:t>by</w:t>
      </w:r>
      <w:r>
        <w:rPr>
          <w:spacing w:val="-2"/>
        </w:rPr>
        <w:t> </w:t>
      </w:r>
      <w:r>
        <w:rPr/>
        <w:t>principals</w:t>
      </w:r>
      <w:r>
        <w:rPr>
          <w:spacing w:val="-3"/>
        </w:rPr>
        <w:t> </w:t>
      </w:r>
      <w:r>
        <w:rPr/>
        <w:t>and</w:t>
      </w:r>
      <w:r>
        <w:rPr>
          <w:spacing w:val="-4"/>
        </w:rPr>
        <w:t> </w:t>
      </w:r>
      <w:r>
        <w:rPr/>
        <w:t>the findings from</w:t>
      </w:r>
      <w:r>
        <w:rPr>
          <w:spacing w:val="-7"/>
        </w:rPr>
        <w:t> </w:t>
      </w:r>
      <w:r>
        <w:rPr/>
        <w:t>this</w:t>
      </w:r>
      <w:r>
        <w:rPr>
          <w:spacing w:val="-8"/>
        </w:rPr>
        <w:t> </w:t>
      </w:r>
      <w:r>
        <w:rPr/>
        <w:t>process</w:t>
      </w:r>
      <w:r>
        <w:rPr>
          <w:spacing w:val="-8"/>
        </w:rPr>
        <w:t> </w:t>
      </w:r>
      <w:r>
        <w:rPr/>
        <w:t>are</w:t>
      </w:r>
      <w:r>
        <w:rPr>
          <w:spacing w:val="-7"/>
        </w:rPr>
        <w:t> </w:t>
      </w:r>
      <w:r>
        <w:rPr/>
        <w:t>held</w:t>
      </w:r>
      <w:r>
        <w:rPr>
          <w:spacing w:val="-9"/>
        </w:rPr>
        <w:t> </w:t>
      </w:r>
      <w:r>
        <w:rPr/>
        <w:t>by</w:t>
      </w:r>
      <w:r>
        <w:rPr>
          <w:spacing w:val="-7"/>
        </w:rPr>
        <w:t> </w:t>
      </w:r>
      <w:r>
        <w:rPr/>
        <w:t>Education</w:t>
      </w:r>
      <w:r>
        <w:rPr>
          <w:spacing w:val="-9"/>
        </w:rPr>
        <w:t> </w:t>
      </w:r>
      <w:r>
        <w:rPr/>
        <w:t>Authorities</w:t>
      </w:r>
      <w:r>
        <w:rPr>
          <w:spacing w:val="-8"/>
        </w:rPr>
        <w:t> </w:t>
      </w:r>
      <w:r>
        <w:rPr/>
        <w:t>(EA).</w:t>
      </w:r>
      <w:r>
        <w:rPr>
          <w:spacing w:val="-6"/>
        </w:rPr>
        <w:t> </w:t>
      </w:r>
      <w:r>
        <w:rPr/>
        <w:t>This</w:t>
      </w:r>
      <w:r>
        <w:rPr>
          <w:spacing w:val="-8"/>
        </w:rPr>
        <w:t> </w:t>
      </w:r>
      <w:r>
        <w:rPr/>
        <w:t>is</w:t>
      </w:r>
      <w:r>
        <w:rPr>
          <w:spacing w:val="-8"/>
        </w:rPr>
        <w:t> </w:t>
      </w:r>
      <w:r>
        <w:rPr/>
        <w:t>a</w:t>
      </w:r>
      <w:r>
        <w:rPr>
          <w:spacing w:val="-8"/>
        </w:rPr>
        <w:t> </w:t>
      </w:r>
      <w:r>
        <w:rPr/>
        <w:t>potentially</w:t>
      </w:r>
      <w:r>
        <w:rPr>
          <w:spacing w:val="-7"/>
        </w:rPr>
        <w:t> </w:t>
      </w:r>
      <w:r>
        <w:rPr/>
        <w:t>rich</w:t>
      </w:r>
      <w:r>
        <w:rPr>
          <w:spacing w:val="-9"/>
        </w:rPr>
        <w:t> </w:t>
      </w:r>
      <w:r>
        <w:rPr/>
        <w:t>source</w:t>
      </w:r>
      <w:r>
        <w:rPr>
          <w:spacing w:val="-7"/>
        </w:rPr>
        <w:t> </w:t>
      </w:r>
      <w:r>
        <w:rPr/>
        <w:t>of</w:t>
      </w:r>
      <w:r>
        <w:rPr>
          <w:spacing w:val="-8"/>
        </w:rPr>
        <w:t> </w:t>
      </w:r>
      <w:r>
        <w:rPr/>
        <w:t>data</w:t>
      </w:r>
      <w:r>
        <w:rPr>
          <w:spacing w:val="-3"/>
        </w:rPr>
        <w:t> </w:t>
      </w:r>
      <w:r>
        <w:rPr/>
        <w:t>about teacher quality but</w:t>
      </w:r>
      <w:r>
        <w:rPr>
          <w:spacing w:val="-1"/>
        </w:rPr>
        <w:t> </w:t>
      </w:r>
      <w:r>
        <w:rPr/>
        <w:t>is not</w:t>
      </w:r>
      <w:r>
        <w:rPr>
          <w:spacing w:val="-1"/>
        </w:rPr>
        <w:t> </w:t>
      </w:r>
      <w:r>
        <w:rPr/>
        <w:t>collected or analysed by MEHRD. Also,</w:t>
      </w:r>
      <w:r>
        <w:rPr>
          <w:spacing w:val="-2"/>
        </w:rPr>
        <w:t> </w:t>
      </w:r>
      <w:r>
        <w:rPr/>
        <w:t>there appears to</w:t>
      </w:r>
      <w:r>
        <w:rPr>
          <w:spacing w:val="-1"/>
        </w:rPr>
        <w:t> </w:t>
      </w:r>
      <w:r>
        <w:rPr/>
        <w:t>be minimal quality assurance of the appraisal process conducted by principals.</w:t>
      </w:r>
    </w:p>
    <w:p>
      <w:pPr>
        <w:pStyle w:val="BodyText"/>
        <w:spacing w:before="121"/>
        <w:ind w:left="1119" w:right="1174"/>
        <w:jc w:val="both"/>
      </w:pPr>
      <w:r>
        <w:rPr/>
        <w:t>If these two issues, national data collection and quality assurance of the appraisal process, could be addressed by MEHRD in partnership with EAs it would provide the education system with valuable data about teacher quality in respect of each component of the standard. This information could be used to target professional support to areas of high need. Given that the quality of teachers and teaching are crucial for improving educational outcomes this should be considered by MEHRD in its planning for 2017 and beyond.</w:t>
      </w:r>
    </w:p>
    <w:p>
      <w:pPr>
        <w:spacing w:after="0"/>
        <w:jc w:val="both"/>
        <w:sectPr>
          <w:pgSz w:w="11900" w:h="16840"/>
          <w:pgMar w:header="751" w:footer="1206" w:top="1640" w:bottom="1420" w:left="320" w:right="260"/>
        </w:sectPr>
      </w:pPr>
    </w:p>
    <w:p>
      <w:pPr>
        <w:pStyle w:val="ListParagraph"/>
        <w:numPr>
          <w:ilvl w:val="1"/>
          <w:numId w:val="3"/>
        </w:numPr>
        <w:tabs>
          <w:tab w:pos="1839" w:val="left" w:leader="none"/>
          <w:tab w:pos="1840" w:val="left" w:leader="none"/>
        </w:tabs>
        <w:spacing w:line="240" w:lineRule="auto" w:before="51" w:after="0"/>
        <w:ind w:left="1840" w:right="0" w:hanging="720"/>
        <w:jc w:val="left"/>
        <w:rPr>
          <w:rFonts w:ascii="Calibri Light" w:hAnsi="Calibri Light"/>
          <w:b w:val="0"/>
          <w:sz w:val="19"/>
        </w:rPr>
      </w:pPr>
      <w:bookmarkStart w:name="4.3 Target 2.1 – Recurrent Allocation to" w:id="18"/>
      <w:bookmarkEnd w:id="18"/>
      <w:r>
        <w:rPr/>
      </w:r>
      <w:bookmarkStart w:name="_bookmark9" w:id="19"/>
      <w:bookmarkEnd w:id="19"/>
      <w:r>
        <w:rPr>
          <w:rFonts w:ascii="Calibri Light" w:hAnsi="Calibri Light"/>
          <w:b w:val="0"/>
          <w:spacing w:val="-2"/>
          <w:sz w:val="24"/>
        </w:rPr>
        <w:t>T</w:t>
      </w:r>
      <w:r>
        <w:rPr>
          <w:rFonts w:ascii="Calibri Light" w:hAnsi="Calibri Light"/>
          <w:b w:val="0"/>
          <w:spacing w:val="-2"/>
          <w:sz w:val="19"/>
        </w:rPr>
        <w:t>ARGET</w:t>
      </w:r>
      <w:r>
        <w:rPr>
          <w:rFonts w:ascii="Calibri Light" w:hAnsi="Calibri Light"/>
          <w:b w:val="0"/>
          <w:spacing w:val="-4"/>
          <w:sz w:val="19"/>
        </w:rPr>
        <w:t> </w:t>
      </w:r>
      <w:r>
        <w:rPr>
          <w:rFonts w:ascii="Calibri Light" w:hAnsi="Calibri Light"/>
          <w:b w:val="0"/>
          <w:spacing w:val="-2"/>
          <w:sz w:val="24"/>
        </w:rPr>
        <w:t>2.1</w:t>
      </w:r>
      <w:r>
        <w:rPr>
          <w:rFonts w:ascii="Calibri Light" w:hAnsi="Calibri Light"/>
          <w:b w:val="0"/>
          <w:spacing w:val="-18"/>
          <w:sz w:val="24"/>
        </w:rPr>
        <w:t> </w:t>
      </w:r>
      <w:r>
        <w:rPr>
          <w:rFonts w:ascii="Calibri Light" w:hAnsi="Calibri Light"/>
          <w:b w:val="0"/>
          <w:spacing w:val="-2"/>
          <w:sz w:val="24"/>
        </w:rPr>
        <w:t>–</w:t>
      </w:r>
      <w:r>
        <w:rPr>
          <w:rFonts w:ascii="Calibri Light" w:hAnsi="Calibri Light"/>
          <w:b w:val="0"/>
          <w:spacing w:val="-16"/>
          <w:sz w:val="24"/>
        </w:rPr>
        <w:t> </w:t>
      </w:r>
      <w:r>
        <w:rPr>
          <w:rFonts w:ascii="Calibri Light" w:hAnsi="Calibri Light"/>
          <w:b w:val="0"/>
          <w:spacing w:val="-2"/>
          <w:sz w:val="24"/>
        </w:rPr>
        <w:t>R</w:t>
      </w:r>
      <w:r>
        <w:rPr>
          <w:rFonts w:ascii="Calibri Light" w:hAnsi="Calibri Light"/>
          <w:b w:val="0"/>
          <w:spacing w:val="-2"/>
          <w:sz w:val="19"/>
        </w:rPr>
        <w:t>ECURRENT</w:t>
      </w:r>
      <w:r>
        <w:rPr>
          <w:rFonts w:ascii="Calibri Light" w:hAnsi="Calibri Light"/>
          <w:b w:val="0"/>
          <w:spacing w:val="-3"/>
          <w:sz w:val="19"/>
        </w:rPr>
        <w:t> </w:t>
      </w:r>
      <w:r>
        <w:rPr>
          <w:rFonts w:ascii="Calibri Light" w:hAnsi="Calibri Light"/>
          <w:b w:val="0"/>
          <w:spacing w:val="-2"/>
          <w:sz w:val="24"/>
        </w:rPr>
        <w:t>A</w:t>
      </w:r>
      <w:r>
        <w:rPr>
          <w:rFonts w:ascii="Calibri Light" w:hAnsi="Calibri Light"/>
          <w:b w:val="0"/>
          <w:spacing w:val="-2"/>
          <w:sz w:val="19"/>
        </w:rPr>
        <w:t>LLOCATION</w:t>
      </w:r>
      <w:r>
        <w:rPr>
          <w:rFonts w:ascii="Calibri Light" w:hAnsi="Calibri Light"/>
          <w:b w:val="0"/>
          <w:spacing w:val="1"/>
          <w:sz w:val="19"/>
        </w:rPr>
        <w:t> </w:t>
      </w:r>
      <w:r>
        <w:rPr>
          <w:rFonts w:ascii="Calibri Light" w:hAnsi="Calibri Light"/>
          <w:b w:val="0"/>
          <w:spacing w:val="-2"/>
          <w:sz w:val="19"/>
        </w:rPr>
        <w:t>TO</w:t>
      </w:r>
      <w:r>
        <w:rPr>
          <w:rFonts w:ascii="Calibri Light" w:hAnsi="Calibri Light"/>
          <w:b w:val="0"/>
          <w:spacing w:val="-1"/>
          <w:sz w:val="19"/>
        </w:rPr>
        <w:t> </w:t>
      </w:r>
      <w:r>
        <w:rPr>
          <w:rFonts w:ascii="Calibri Light" w:hAnsi="Calibri Light"/>
          <w:b w:val="0"/>
          <w:spacing w:val="-2"/>
          <w:sz w:val="24"/>
        </w:rPr>
        <w:t>P</w:t>
      </w:r>
      <w:r>
        <w:rPr>
          <w:rFonts w:ascii="Calibri Light" w:hAnsi="Calibri Light"/>
          <w:b w:val="0"/>
          <w:spacing w:val="-2"/>
          <w:sz w:val="19"/>
        </w:rPr>
        <w:t>RIMARY</w:t>
      </w:r>
      <w:r>
        <w:rPr>
          <w:rFonts w:ascii="Calibri Light" w:hAnsi="Calibri Light"/>
          <w:b w:val="0"/>
          <w:sz w:val="19"/>
        </w:rPr>
        <w:t> </w:t>
      </w:r>
      <w:r>
        <w:rPr>
          <w:rFonts w:ascii="Calibri Light" w:hAnsi="Calibri Light"/>
          <w:b w:val="0"/>
          <w:spacing w:val="-2"/>
          <w:sz w:val="24"/>
        </w:rPr>
        <w:t>E</w:t>
      </w:r>
      <w:r>
        <w:rPr>
          <w:rFonts w:ascii="Calibri Light" w:hAnsi="Calibri Light"/>
          <w:b w:val="0"/>
          <w:spacing w:val="-2"/>
          <w:sz w:val="19"/>
        </w:rPr>
        <w:t>DUCATION</w:t>
      </w:r>
      <w:r>
        <w:rPr>
          <w:rFonts w:ascii="Calibri Light" w:hAnsi="Calibri Light"/>
          <w:b w:val="0"/>
          <w:spacing w:val="-4"/>
          <w:sz w:val="19"/>
        </w:rPr>
        <w:t> </w:t>
      </w:r>
      <w:r>
        <w:rPr>
          <w:rFonts w:ascii="Calibri Light" w:hAnsi="Calibri Light"/>
          <w:b w:val="0"/>
          <w:spacing w:val="-2"/>
          <w:sz w:val="19"/>
        </w:rPr>
        <w:t>IS </w:t>
      </w:r>
      <w:r>
        <w:rPr>
          <w:rFonts w:ascii="Calibri Light" w:hAnsi="Calibri Light"/>
          <w:b w:val="0"/>
          <w:spacing w:val="-2"/>
          <w:sz w:val="24"/>
        </w:rPr>
        <w:t>P</w:t>
      </w:r>
      <w:r>
        <w:rPr>
          <w:rFonts w:ascii="Calibri Light" w:hAnsi="Calibri Light"/>
          <w:b w:val="0"/>
          <w:spacing w:val="-2"/>
          <w:sz w:val="19"/>
        </w:rPr>
        <w:t>ROTECTED</w:t>
      </w:r>
    </w:p>
    <w:p>
      <w:pPr>
        <w:pStyle w:val="BodyText"/>
        <w:spacing w:before="11"/>
        <w:rPr>
          <w:rFonts w:ascii="Calibri Light"/>
          <w:b w:val="0"/>
          <w:sz w:val="19"/>
        </w:rPr>
      </w:pPr>
      <w:r>
        <w:rPr/>
        <w:pict>
          <v:shape style="position:absolute;margin-left:73.949997pt;margin-top:13.782562pt;width:362.65pt;height:90.2pt;mso-position-horizontal-relative:page;mso-position-vertical-relative:paragraph;z-index:-15727104;mso-wrap-distance-left:0;mso-wrap-distance-right:0" type="#_x0000_t202" id="docshape8" filled="true" fillcolor="#4472c4" stroked="true" strokeweight=".75pt" strokecolor="#4472c4">
            <v:textbox inset="0,0,0,0">
              <w:txbxContent>
                <w:p>
                  <w:pPr>
                    <w:spacing w:line="273" w:lineRule="auto" w:before="67"/>
                    <w:ind w:left="135" w:right="66" w:firstLine="0"/>
                    <w:jc w:val="left"/>
                    <w:rPr>
                      <w:i/>
                      <w:color w:val="000000"/>
                      <w:sz w:val="22"/>
                    </w:rPr>
                  </w:pPr>
                  <w:r>
                    <w:rPr>
                      <w:b/>
                      <w:i/>
                      <w:color w:val="000000"/>
                      <w:sz w:val="22"/>
                    </w:rPr>
                    <w:t>Target:</w:t>
                  </w:r>
                  <w:r>
                    <w:rPr>
                      <w:b/>
                      <w:i/>
                      <w:color w:val="000000"/>
                      <w:spacing w:val="-2"/>
                      <w:sz w:val="22"/>
                    </w:rPr>
                    <w:t> </w:t>
                  </w:r>
                  <w:r>
                    <w:rPr>
                      <w:i/>
                      <w:color w:val="000000"/>
                      <w:sz w:val="22"/>
                    </w:rPr>
                    <w:t>2016</w:t>
                  </w:r>
                  <w:r>
                    <w:rPr>
                      <w:i/>
                      <w:color w:val="000000"/>
                      <w:spacing w:val="-5"/>
                      <w:sz w:val="22"/>
                    </w:rPr>
                    <w:t> </w:t>
                  </w:r>
                  <w:r>
                    <w:rPr>
                      <w:i/>
                      <w:color w:val="000000"/>
                      <w:sz w:val="22"/>
                    </w:rPr>
                    <w:t>per</w:t>
                  </w:r>
                  <w:r>
                    <w:rPr>
                      <w:i/>
                      <w:color w:val="000000"/>
                      <w:spacing w:val="-2"/>
                      <w:sz w:val="22"/>
                    </w:rPr>
                    <w:t> </w:t>
                  </w:r>
                  <w:r>
                    <w:rPr>
                      <w:i/>
                      <w:color w:val="000000"/>
                      <w:sz w:val="22"/>
                    </w:rPr>
                    <w:t>unit</w:t>
                  </w:r>
                  <w:r>
                    <w:rPr>
                      <w:i/>
                      <w:color w:val="000000"/>
                      <w:spacing w:val="-5"/>
                      <w:sz w:val="22"/>
                    </w:rPr>
                    <w:t> </w:t>
                  </w:r>
                  <w:r>
                    <w:rPr>
                      <w:i/>
                      <w:color w:val="000000"/>
                      <w:sz w:val="22"/>
                    </w:rPr>
                    <w:t>cost</w:t>
                  </w:r>
                  <w:r>
                    <w:rPr>
                      <w:i/>
                      <w:color w:val="000000"/>
                      <w:spacing w:val="-5"/>
                      <w:sz w:val="22"/>
                    </w:rPr>
                    <w:t> </w:t>
                  </w:r>
                  <w:r>
                    <w:rPr>
                      <w:i/>
                      <w:color w:val="000000"/>
                      <w:sz w:val="22"/>
                    </w:rPr>
                    <w:t>of</w:t>
                  </w:r>
                  <w:r>
                    <w:rPr>
                      <w:i/>
                      <w:color w:val="000000"/>
                      <w:spacing w:val="-4"/>
                      <w:sz w:val="22"/>
                    </w:rPr>
                    <w:t> </w:t>
                  </w:r>
                  <w:r>
                    <w:rPr>
                      <w:i/>
                      <w:color w:val="000000"/>
                      <w:sz w:val="22"/>
                    </w:rPr>
                    <w:t>primary</w:t>
                  </w:r>
                  <w:r>
                    <w:rPr>
                      <w:i/>
                      <w:color w:val="000000"/>
                      <w:spacing w:val="-1"/>
                      <w:sz w:val="22"/>
                    </w:rPr>
                    <w:t> </w:t>
                  </w:r>
                  <w:r>
                    <w:rPr>
                      <w:i/>
                      <w:color w:val="000000"/>
                      <w:sz w:val="22"/>
                    </w:rPr>
                    <w:t>education</w:t>
                  </w:r>
                  <w:r>
                    <w:rPr>
                      <w:i/>
                      <w:color w:val="000000"/>
                      <w:spacing w:val="-2"/>
                      <w:sz w:val="22"/>
                    </w:rPr>
                    <w:t> </w:t>
                  </w:r>
                  <w:r>
                    <w:rPr>
                      <w:i/>
                      <w:color w:val="000000"/>
                      <w:sz w:val="22"/>
                    </w:rPr>
                    <w:t>is</w:t>
                  </w:r>
                  <w:r>
                    <w:rPr>
                      <w:i/>
                      <w:color w:val="000000"/>
                      <w:spacing w:val="-3"/>
                      <w:sz w:val="22"/>
                    </w:rPr>
                    <w:t> </w:t>
                  </w:r>
                  <w:r>
                    <w:rPr>
                      <w:i/>
                      <w:color w:val="000000"/>
                      <w:sz w:val="22"/>
                    </w:rPr>
                    <w:t>at</w:t>
                  </w:r>
                  <w:r>
                    <w:rPr>
                      <w:i/>
                      <w:color w:val="000000"/>
                      <w:spacing w:val="-5"/>
                      <w:sz w:val="22"/>
                    </w:rPr>
                    <w:t> </w:t>
                  </w:r>
                  <w:r>
                    <w:rPr>
                      <w:i/>
                      <w:color w:val="000000"/>
                      <w:sz w:val="22"/>
                    </w:rPr>
                    <w:t>least</w:t>
                  </w:r>
                  <w:r>
                    <w:rPr>
                      <w:i/>
                      <w:color w:val="000000"/>
                      <w:spacing w:val="-5"/>
                      <w:sz w:val="22"/>
                    </w:rPr>
                    <w:t> </w:t>
                  </w:r>
                  <w:r>
                    <w:rPr>
                      <w:i/>
                      <w:color w:val="000000"/>
                      <w:sz w:val="22"/>
                    </w:rPr>
                    <w:t>equal</w:t>
                  </w:r>
                  <w:r>
                    <w:rPr>
                      <w:i/>
                      <w:color w:val="000000"/>
                      <w:spacing w:val="-1"/>
                      <w:sz w:val="22"/>
                    </w:rPr>
                    <w:t> </w:t>
                  </w:r>
                  <w:r>
                    <w:rPr>
                      <w:i/>
                      <w:color w:val="000000"/>
                      <w:sz w:val="22"/>
                    </w:rPr>
                    <w:t>to</w:t>
                  </w:r>
                  <w:r>
                    <w:rPr>
                      <w:i/>
                      <w:color w:val="000000"/>
                      <w:spacing w:val="-1"/>
                      <w:sz w:val="22"/>
                    </w:rPr>
                    <w:t> </w:t>
                  </w:r>
                  <w:r>
                    <w:rPr>
                      <w:i/>
                      <w:color w:val="000000"/>
                      <w:sz w:val="22"/>
                    </w:rPr>
                    <w:t>2015</w:t>
                  </w:r>
                  <w:r>
                    <w:rPr>
                      <w:i/>
                      <w:color w:val="000000"/>
                      <w:spacing w:val="-5"/>
                      <w:sz w:val="22"/>
                    </w:rPr>
                    <w:t> </w:t>
                  </w:r>
                  <w:r>
                    <w:rPr>
                      <w:i/>
                      <w:color w:val="000000"/>
                      <w:sz w:val="22"/>
                    </w:rPr>
                    <w:t>per</w:t>
                  </w:r>
                  <w:r>
                    <w:rPr>
                      <w:i/>
                      <w:color w:val="000000"/>
                      <w:sz w:val="22"/>
                    </w:rPr>
                    <w:t> unit cost of primary education, indexed to inflation.</w:t>
                  </w:r>
                </w:p>
                <w:p>
                  <w:pPr>
                    <w:pStyle w:val="BodyText"/>
                    <w:spacing w:before="8"/>
                    <w:rPr>
                      <w:i/>
                      <w:color w:val="000000"/>
                      <w:sz w:val="16"/>
                    </w:rPr>
                  </w:pPr>
                </w:p>
                <w:p>
                  <w:pPr>
                    <w:spacing w:before="0"/>
                    <w:ind w:left="135" w:right="0" w:firstLine="0"/>
                    <w:jc w:val="left"/>
                    <w:rPr>
                      <w:i/>
                      <w:color w:val="000000"/>
                      <w:sz w:val="22"/>
                    </w:rPr>
                  </w:pPr>
                  <w:r>
                    <w:rPr>
                      <w:b/>
                      <w:i/>
                      <w:color w:val="000000"/>
                      <w:sz w:val="22"/>
                    </w:rPr>
                    <w:t>Evidence</w:t>
                  </w:r>
                  <w:r>
                    <w:rPr>
                      <w:b/>
                      <w:i/>
                      <w:color w:val="000000"/>
                      <w:spacing w:val="-3"/>
                      <w:sz w:val="22"/>
                    </w:rPr>
                    <w:t> </w:t>
                  </w:r>
                  <w:r>
                    <w:rPr>
                      <w:b/>
                      <w:i/>
                      <w:color w:val="000000"/>
                      <w:sz w:val="22"/>
                    </w:rPr>
                    <w:t>Source</w:t>
                  </w:r>
                  <w:r>
                    <w:rPr>
                      <w:i/>
                      <w:color w:val="000000"/>
                      <w:sz w:val="22"/>
                    </w:rPr>
                    <w:t>:</w:t>
                  </w:r>
                  <w:r>
                    <w:rPr>
                      <w:i/>
                      <w:color w:val="000000"/>
                      <w:spacing w:val="-7"/>
                      <w:sz w:val="22"/>
                    </w:rPr>
                    <w:t> </w:t>
                  </w:r>
                  <w:r>
                    <w:rPr>
                      <w:i/>
                      <w:color w:val="000000"/>
                      <w:sz w:val="22"/>
                    </w:rPr>
                    <w:t>MEHRD</w:t>
                  </w:r>
                  <w:r>
                    <w:rPr>
                      <w:i/>
                      <w:color w:val="000000"/>
                      <w:spacing w:val="-7"/>
                      <w:sz w:val="22"/>
                    </w:rPr>
                    <w:t> </w:t>
                  </w:r>
                  <w:r>
                    <w:rPr>
                      <w:i/>
                      <w:color w:val="000000"/>
                      <w:sz w:val="22"/>
                    </w:rPr>
                    <w:t>Budget</w:t>
                  </w:r>
                  <w:r>
                    <w:rPr>
                      <w:i/>
                      <w:color w:val="000000"/>
                      <w:spacing w:val="-6"/>
                      <w:sz w:val="22"/>
                    </w:rPr>
                    <w:t> </w:t>
                  </w:r>
                  <w:r>
                    <w:rPr>
                      <w:i/>
                      <w:color w:val="000000"/>
                      <w:sz w:val="22"/>
                    </w:rPr>
                    <w:t>Analysis</w:t>
                  </w:r>
                  <w:r>
                    <w:rPr>
                      <w:i/>
                      <w:color w:val="000000"/>
                      <w:spacing w:val="-5"/>
                      <w:sz w:val="22"/>
                    </w:rPr>
                    <w:t> </w:t>
                  </w:r>
                  <w:r>
                    <w:rPr>
                      <w:i/>
                      <w:color w:val="000000"/>
                      <w:sz w:val="22"/>
                    </w:rPr>
                    <w:t>2015</w:t>
                  </w:r>
                  <w:r>
                    <w:rPr>
                      <w:i/>
                      <w:color w:val="000000"/>
                      <w:spacing w:val="-7"/>
                      <w:sz w:val="22"/>
                    </w:rPr>
                    <w:t> </w:t>
                  </w:r>
                  <w:r>
                    <w:rPr>
                      <w:i/>
                      <w:color w:val="000000"/>
                      <w:sz w:val="22"/>
                    </w:rPr>
                    <w:t>and</w:t>
                  </w:r>
                  <w:r>
                    <w:rPr>
                      <w:i/>
                      <w:color w:val="000000"/>
                      <w:spacing w:val="-3"/>
                      <w:sz w:val="22"/>
                    </w:rPr>
                    <w:t> </w:t>
                  </w:r>
                  <w:r>
                    <w:rPr>
                      <w:i/>
                      <w:color w:val="000000"/>
                      <w:spacing w:val="-4"/>
                      <w:sz w:val="22"/>
                    </w:rPr>
                    <w:t>2016</w:t>
                  </w:r>
                </w:p>
                <w:p>
                  <w:pPr>
                    <w:spacing w:before="120"/>
                    <w:ind w:left="135" w:right="0" w:firstLine="0"/>
                    <w:jc w:val="left"/>
                    <w:rPr>
                      <w:i/>
                      <w:color w:val="000000"/>
                      <w:sz w:val="22"/>
                    </w:rPr>
                  </w:pPr>
                  <w:r>
                    <w:rPr>
                      <w:b/>
                      <w:i/>
                      <w:color w:val="000000"/>
                      <w:sz w:val="22"/>
                    </w:rPr>
                    <w:t>Assessment</w:t>
                  </w:r>
                  <w:r>
                    <w:rPr>
                      <w:i/>
                      <w:color w:val="000000"/>
                      <w:sz w:val="22"/>
                    </w:rPr>
                    <w:t>:</w:t>
                  </w:r>
                  <w:r>
                    <w:rPr>
                      <w:i/>
                      <w:color w:val="000000"/>
                      <w:spacing w:val="-6"/>
                      <w:sz w:val="22"/>
                    </w:rPr>
                    <w:t> </w:t>
                  </w:r>
                  <w:r>
                    <w:rPr>
                      <w:i/>
                      <w:color w:val="000000"/>
                      <w:sz w:val="22"/>
                    </w:rPr>
                    <w:t>Target</w:t>
                  </w:r>
                  <w:r>
                    <w:rPr>
                      <w:i/>
                      <w:color w:val="000000"/>
                      <w:spacing w:val="-5"/>
                      <w:sz w:val="22"/>
                    </w:rPr>
                    <w:t> </w:t>
                  </w:r>
                  <w:r>
                    <w:rPr>
                      <w:i/>
                      <w:color w:val="000000"/>
                      <w:spacing w:val="-2"/>
                      <w:sz w:val="22"/>
                    </w:rPr>
                    <w:t>Achieved</w:t>
                  </w:r>
                </w:p>
              </w:txbxContent>
            </v:textbox>
            <v:fill opacity="7195f" type="solid"/>
            <v:stroke dashstyle="solid"/>
            <w10:wrap type="topAndBottom"/>
          </v:shape>
        </w:pict>
      </w:r>
    </w:p>
    <w:p>
      <w:pPr>
        <w:pStyle w:val="BodyText"/>
        <w:rPr>
          <w:rFonts w:ascii="Calibri Light"/>
          <w:b w:val="0"/>
          <w:sz w:val="24"/>
        </w:rPr>
      </w:pPr>
    </w:p>
    <w:p>
      <w:pPr>
        <w:pStyle w:val="BodyText"/>
        <w:spacing w:before="204"/>
        <w:ind w:left="1119"/>
        <w:jc w:val="both"/>
      </w:pPr>
      <w:r>
        <w:rPr/>
        <w:t>The</w:t>
      </w:r>
      <w:r>
        <w:rPr>
          <w:spacing w:val="-1"/>
        </w:rPr>
        <w:t> </w:t>
      </w:r>
      <w:r>
        <w:rPr/>
        <w:t>total</w:t>
      </w:r>
      <w:r>
        <w:rPr>
          <w:spacing w:val="2"/>
        </w:rPr>
        <w:t> </w:t>
      </w:r>
      <w:r>
        <w:rPr/>
        <w:t>primary budget</w:t>
      </w:r>
      <w:r>
        <w:rPr>
          <w:spacing w:val="-2"/>
        </w:rPr>
        <w:t> </w:t>
      </w:r>
      <w:r>
        <w:rPr/>
        <w:t>allocation</w:t>
      </w:r>
      <w:r>
        <w:rPr>
          <w:spacing w:val="-1"/>
        </w:rPr>
        <w:t> </w:t>
      </w:r>
      <w:r>
        <w:rPr/>
        <w:t>for</w:t>
      </w:r>
      <w:r>
        <w:rPr>
          <w:spacing w:val="-1"/>
        </w:rPr>
        <w:t> </w:t>
      </w:r>
      <w:r>
        <w:rPr/>
        <w:t>2016</w:t>
      </w:r>
      <w:r>
        <w:rPr>
          <w:spacing w:val="-1"/>
        </w:rPr>
        <w:t> </w:t>
      </w:r>
      <w:r>
        <w:rPr/>
        <w:t>was $353,633,710</w:t>
      </w:r>
      <w:r>
        <w:rPr>
          <w:spacing w:val="-2"/>
        </w:rPr>
        <w:t> </w:t>
      </w:r>
      <w:r>
        <w:rPr/>
        <w:t>which</w:t>
      </w:r>
      <w:r>
        <w:rPr>
          <w:spacing w:val="3"/>
        </w:rPr>
        <w:t> </w:t>
      </w:r>
      <w:r>
        <w:rPr/>
        <w:t>translates to</w:t>
      </w:r>
      <w:r>
        <w:rPr>
          <w:spacing w:val="-2"/>
        </w:rPr>
        <w:t> </w:t>
      </w:r>
      <w:r>
        <w:rPr/>
        <w:t>a per</w:t>
      </w:r>
      <w:r>
        <w:rPr>
          <w:spacing w:val="-1"/>
        </w:rPr>
        <w:t> </w:t>
      </w:r>
      <w:r>
        <w:rPr/>
        <w:t>unit</w:t>
      </w:r>
      <w:r>
        <w:rPr>
          <w:spacing w:val="-2"/>
        </w:rPr>
        <w:t> </w:t>
      </w:r>
      <w:r>
        <w:rPr/>
        <w:t>cost</w:t>
      </w:r>
      <w:r>
        <w:rPr>
          <w:spacing w:val="2"/>
        </w:rPr>
        <w:t> </w:t>
      </w:r>
      <w:r>
        <w:rPr>
          <w:spacing w:val="-5"/>
        </w:rPr>
        <w:t>of</w:t>
      </w:r>
    </w:p>
    <w:p>
      <w:pPr>
        <w:pStyle w:val="BodyText"/>
        <w:ind w:left="1119" w:right="1178"/>
        <w:jc w:val="both"/>
      </w:pPr>
      <w:r>
        <w:rPr/>
        <w:t>$2,671. This represented a 2.4% increase on 2015</w:t>
      </w:r>
      <w:r>
        <w:rPr>
          <w:spacing w:val="-1"/>
        </w:rPr>
        <w:t> </w:t>
      </w:r>
      <w:r>
        <w:rPr/>
        <w:t>per unit</w:t>
      </w:r>
      <w:r>
        <w:rPr>
          <w:spacing w:val="-1"/>
        </w:rPr>
        <w:t> </w:t>
      </w:r>
      <w:r>
        <w:rPr/>
        <w:t>allocation of $2,610. The inflation rate for 2016 was deemed to be 2.3%.</w:t>
      </w:r>
    </w:p>
    <w:p>
      <w:pPr>
        <w:pStyle w:val="BodyText"/>
        <w:spacing w:before="121"/>
        <w:ind w:left="1119" w:right="1178"/>
        <w:jc w:val="both"/>
      </w:pPr>
      <w:r>
        <w:rPr/>
        <w:t>While</w:t>
      </w:r>
      <w:r>
        <w:rPr>
          <w:spacing w:val="-7"/>
        </w:rPr>
        <w:t> </w:t>
      </w:r>
      <w:r>
        <w:rPr/>
        <w:t>per</w:t>
      </w:r>
      <w:r>
        <w:rPr>
          <w:spacing w:val="-8"/>
        </w:rPr>
        <w:t> </w:t>
      </w:r>
      <w:r>
        <w:rPr/>
        <w:t>unit</w:t>
      </w:r>
      <w:r>
        <w:rPr>
          <w:spacing w:val="-10"/>
        </w:rPr>
        <w:t> </w:t>
      </w:r>
      <w:r>
        <w:rPr/>
        <w:t>allocations</w:t>
      </w:r>
      <w:r>
        <w:rPr>
          <w:spacing w:val="-8"/>
        </w:rPr>
        <w:t> </w:t>
      </w:r>
      <w:r>
        <w:rPr/>
        <w:t>increased</w:t>
      </w:r>
      <w:r>
        <w:rPr>
          <w:spacing w:val="-9"/>
        </w:rPr>
        <w:t> </w:t>
      </w:r>
      <w:r>
        <w:rPr/>
        <w:t>in</w:t>
      </w:r>
      <w:r>
        <w:rPr>
          <w:spacing w:val="-9"/>
        </w:rPr>
        <w:t> </w:t>
      </w:r>
      <w:r>
        <w:rPr/>
        <w:t>2016,</w:t>
      </w:r>
      <w:r>
        <w:rPr>
          <w:spacing w:val="-10"/>
        </w:rPr>
        <w:t> </w:t>
      </w:r>
      <w:r>
        <w:rPr/>
        <w:t>per</w:t>
      </w:r>
      <w:r>
        <w:rPr>
          <w:spacing w:val="-8"/>
        </w:rPr>
        <w:t> </w:t>
      </w:r>
      <w:r>
        <w:rPr/>
        <w:t>unit</w:t>
      </w:r>
      <w:r>
        <w:rPr>
          <w:spacing w:val="-10"/>
        </w:rPr>
        <w:t> </w:t>
      </w:r>
      <w:r>
        <w:rPr/>
        <w:t>expenditure</w:t>
      </w:r>
      <w:r>
        <w:rPr>
          <w:spacing w:val="-7"/>
        </w:rPr>
        <w:t> </w:t>
      </w:r>
      <w:r>
        <w:rPr/>
        <w:t>for</w:t>
      </w:r>
      <w:r>
        <w:rPr>
          <w:spacing w:val="-8"/>
        </w:rPr>
        <w:t> </w:t>
      </w:r>
      <w:r>
        <w:rPr/>
        <w:t>primary</w:t>
      </w:r>
      <w:r>
        <w:rPr>
          <w:spacing w:val="-7"/>
        </w:rPr>
        <w:t> </w:t>
      </w:r>
      <w:r>
        <w:rPr/>
        <w:t>education</w:t>
      </w:r>
      <w:r>
        <w:rPr>
          <w:spacing w:val="-9"/>
        </w:rPr>
        <w:t> </w:t>
      </w:r>
      <w:r>
        <w:rPr/>
        <w:t>fell</w:t>
      </w:r>
      <w:r>
        <w:rPr>
          <w:spacing w:val="-6"/>
        </w:rPr>
        <w:t> </w:t>
      </w:r>
      <w:r>
        <w:rPr/>
        <w:t>to</w:t>
      </w:r>
      <w:r>
        <w:rPr>
          <w:spacing w:val="-9"/>
        </w:rPr>
        <w:t> </w:t>
      </w:r>
      <w:r>
        <w:rPr/>
        <w:t>$2,458 per</w:t>
      </w:r>
      <w:r>
        <w:rPr>
          <w:spacing w:val="-8"/>
        </w:rPr>
        <w:t> </w:t>
      </w:r>
      <w:r>
        <w:rPr/>
        <w:t>student.</w:t>
      </w:r>
      <w:r>
        <w:rPr>
          <w:spacing w:val="-1"/>
        </w:rPr>
        <w:t> </w:t>
      </w:r>
      <w:r>
        <w:rPr/>
        <w:t>This</w:t>
      </w:r>
      <w:r>
        <w:rPr>
          <w:spacing w:val="-8"/>
        </w:rPr>
        <w:t> </w:t>
      </w:r>
      <w:r>
        <w:rPr/>
        <w:t>was</w:t>
      </w:r>
      <w:r>
        <w:rPr>
          <w:spacing w:val="-3"/>
        </w:rPr>
        <w:t> </w:t>
      </w:r>
      <w:r>
        <w:rPr/>
        <w:t>caused</w:t>
      </w:r>
      <w:r>
        <w:rPr>
          <w:spacing w:val="-4"/>
        </w:rPr>
        <w:t> </w:t>
      </w:r>
      <w:r>
        <w:rPr/>
        <w:t>by</w:t>
      </w:r>
      <w:r>
        <w:rPr>
          <w:spacing w:val="-2"/>
        </w:rPr>
        <w:t> </w:t>
      </w:r>
      <w:r>
        <w:rPr/>
        <w:t>the</w:t>
      </w:r>
      <w:r>
        <w:rPr>
          <w:spacing w:val="-3"/>
        </w:rPr>
        <w:t> </w:t>
      </w:r>
      <w:r>
        <w:rPr/>
        <w:t>recoding</w:t>
      </w:r>
      <w:r>
        <w:rPr>
          <w:spacing w:val="-6"/>
        </w:rPr>
        <w:t> </w:t>
      </w:r>
      <w:r>
        <w:rPr/>
        <w:t>of</w:t>
      </w:r>
      <w:r>
        <w:rPr>
          <w:spacing w:val="-3"/>
        </w:rPr>
        <w:t> </w:t>
      </w:r>
      <w:r>
        <w:rPr/>
        <w:t>significant</w:t>
      </w:r>
      <w:r>
        <w:rPr>
          <w:spacing w:val="-10"/>
        </w:rPr>
        <w:t> </w:t>
      </w:r>
      <w:r>
        <w:rPr/>
        <w:t>number</w:t>
      </w:r>
      <w:r>
        <w:rPr>
          <w:spacing w:val="-3"/>
        </w:rPr>
        <w:t> </w:t>
      </w:r>
      <w:r>
        <w:rPr/>
        <w:t>of</w:t>
      </w:r>
      <w:r>
        <w:rPr>
          <w:spacing w:val="-3"/>
        </w:rPr>
        <w:t> </w:t>
      </w:r>
      <w:r>
        <w:rPr/>
        <w:t>miscoded</w:t>
      </w:r>
      <w:r>
        <w:rPr>
          <w:spacing w:val="-9"/>
        </w:rPr>
        <w:t> </w:t>
      </w:r>
      <w:r>
        <w:rPr/>
        <w:t>teacher</w:t>
      </w:r>
      <w:r>
        <w:rPr>
          <w:spacing w:val="-8"/>
        </w:rPr>
        <w:t> </w:t>
      </w:r>
      <w:r>
        <w:rPr/>
        <w:t>salaries</w:t>
      </w:r>
      <w:r>
        <w:rPr>
          <w:spacing w:val="-8"/>
        </w:rPr>
        <w:t> </w:t>
      </w:r>
      <w:r>
        <w:rPr/>
        <w:t>from primary to junior secondary ($32,000,000) and under-expenditure of donor agency grants by Curriculum Division, the Inspectorate and Examination Unit.</w:t>
      </w:r>
    </w:p>
    <w:p>
      <w:pPr>
        <w:pStyle w:val="BodyText"/>
        <w:spacing w:before="120"/>
        <w:ind w:left="1119" w:right="1178"/>
        <w:jc w:val="both"/>
      </w:pPr>
      <w:r>
        <w:rPr/>
        <w:t>The unexpended funds where reallocated to the 2017 budget and will not be lost. However, the underspend in curriculum is a concern as the provision of teacher support for curriculum implementation is an important strategy for improving the quality of teaching and learning. For this reason, the</w:t>
      </w:r>
      <w:r>
        <w:rPr>
          <w:spacing w:val="40"/>
        </w:rPr>
        <w:t> </w:t>
      </w:r>
      <w:r>
        <w:rPr/>
        <w:t>2017 targets include an indicator relating to curriculum and curriculum support.</w:t>
      </w:r>
    </w:p>
    <w:p>
      <w:pPr>
        <w:pStyle w:val="BodyText"/>
        <w:spacing w:before="121"/>
        <w:ind w:left="1119" w:right="1182"/>
        <w:jc w:val="both"/>
      </w:pPr>
      <w:r>
        <w:rPr/>
        <w:t>The recoding of teacher salaries will need to be taken into account if per unit budget allocation for primary education is included as an indicator for the 2017 EPM.</w:t>
      </w:r>
    </w:p>
    <w:p>
      <w:pPr>
        <w:pStyle w:val="BodyText"/>
        <w:spacing w:before="121"/>
        <w:ind w:left="1119"/>
        <w:jc w:val="both"/>
      </w:pPr>
      <w:r>
        <w:rPr/>
        <w:t>Details</w:t>
      </w:r>
      <w:r>
        <w:rPr>
          <w:spacing w:val="-7"/>
        </w:rPr>
        <w:t> </w:t>
      </w:r>
      <w:r>
        <w:rPr/>
        <w:t>of</w:t>
      </w:r>
      <w:r>
        <w:rPr>
          <w:spacing w:val="-5"/>
        </w:rPr>
        <w:t> </w:t>
      </w:r>
      <w:r>
        <w:rPr/>
        <w:t>the</w:t>
      </w:r>
      <w:r>
        <w:rPr>
          <w:spacing w:val="-4"/>
        </w:rPr>
        <w:t> </w:t>
      </w:r>
      <w:r>
        <w:rPr/>
        <w:t>2015</w:t>
      </w:r>
      <w:r>
        <w:rPr>
          <w:spacing w:val="-7"/>
        </w:rPr>
        <w:t> </w:t>
      </w:r>
      <w:r>
        <w:rPr/>
        <w:t>and 2016</w:t>
      </w:r>
      <w:r>
        <w:rPr>
          <w:spacing w:val="-1"/>
        </w:rPr>
        <w:t> </w:t>
      </w:r>
      <w:r>
        <w:rPr/>
        <w:t>budget</w:t>
      </w:r>
      <w:r>
        <w:rPr>
          <w:spacing w:val="-7"/>
        </w:rPr>
        <w:t> </w:t>
      </w:r>
      <w:r>
        <w:rPr/>
        <w:t>allocations</w:t>
      </w:r>
      <w:r>
        <w:rPr>
          <w:spacing w:val="-4"/>
        </w:rPr>
        <w:t> </w:t>
      </w:r>
      <w:r>
        <w:rPr/>
        <w:t>for</w:t>
      </w:r>
      <w:r>
        <w:rPr>
          <w:spacing w:val="-4"/>
        </w:rPr>
        <w:t> </w:t>
      </w:r>
      <w:r>
        <w:rPr/>
        <w:t>education</w:t>
      </w:r>
      <w:r>
        <w:rPr>
          <w:spacing w:val="-5"/>
        </w:rPr>
        <w:t> </w:t>
      </w:r>
      <w:r>
        <w:rPr/>
        <w:t>are</w:t>
      </w:r>
      <w:r>
        <w:rPr>
          <w:spacing w:val="-5"/>
        </w:rPr>
        <w:t> </w:t>
      </w:r>
      <w:r>
        <w:rPr/>
        <w:t>provided</w:t>
      </w:r>
      <w:r>
        <w:rPr>
          <w:spacing w:val="-5"/>
        </w:rPr>
        <w:t> </w:t>
      </w:r>
      <w:r>
        <w:rPr/>
        <w:t>in</w:t>
      </w:r>
      <w:r>
        <w:rPr>
          <w:spacing w:val="-5"/>
        </w:rPr>
        <w:t> </w:t>
      </w:r>
      <w:r>
        <w:rPr/>
        <w:t>Appendix</w:t>
      </w:r>
      <w:r>
        <w:rPr>
          <w:spacing w:val="-4"/>
        </w:rPr>
        <w:t> </w:t>
      </w:r>
      <w:r>
        <w:rPr>
          <w:spacing w:val="-5"/>
        </w:rPr>
        <w:t>4.</w:t>
      </w:r>
    </w:p>
    <w:p>
      <w:pPr>
        <w:pStyle w:val="BodyText"/>
      </w:pPr>
    </w:p>
    <w:p>
      <w:pPr>
        <w:pStyle w:val="BodyText"/>
      </w:pPr>
    </w:p>
    <w:p>
      <w:pPr>
        <w:pStyle w:val="ListParagraph"/>
        <w:numPr>
          <w:ilvl w:val="1"/>
          <w:numId w:val="3"/>
        </w:numPr>
        <w:tabs>
          <w:tab w:pos="1839" w:val="left" w:leader="none"/>
          <w:tab w:pos="1840" w:val="left" w:leader="none"/>
        </w:tabs>
        <w:spacing w:line="240" w:lineRule="auto" w:before="194" w:after="0"/>
        <w:ind w:left="1840" w:right="0" w:hanging="720"/>
        <w:jc w:val="left"/>
        <w:rPr>
          <w:rFonts w:ascii="Calibri Light"/>
          <w:b w:val="0"/>
          <w:sz w:val="19"/>
        </w:rPr>
      </w:pPr>
      <w:bookmarkStart w:name="4.4 Target 2.2 - School Finance and Mana" w:id="20"/>
      <w:bookmarkEnd w:id="20"/>
      <w:r>
        <w:rPr/>
      </w:r>
      <w:bookmarkStart w:name="_bookmark10" w:id="21"/>
      <w:bookmarkEnd w:id="21"/>
      <w:r>
        <w:rPr>
          <w:rFonts w:ascii="Calibri Light"/>
          <w:b w:val="0"/>
          <w:spacing w:val="-2"/>
          <w:sz w:val="24"/>
        </w:rPr>
        <w:t>T</w:t>
      </w:r>
      <w:r>
        <w:rPr>
          <w:rFonts w:ascii="Calibri Light"/>
          <w:b w:val="0"/>
          <w:spacing w:val="-2"/>
          <w:sz w:val="19"/>
        </w:rPr>
        <w:t>ARGET</w:t>
      </w:r>
      <w:r>
        <w:rPr>
          <w:rFonts w:ascii="Calibri Light"/>
          <w:b w:val="0"/>
          <w:spacing w:val="-1"/>
          <w:sz w:val="19"/>
        </w:rPr>
        <w:t> </w:t>
      </w:r>
      <w:r>
        <w:rPr>
          <w:rFonts w:ascii="Calibri Light"/>
          <w:b w:val="0"/>
          <w:spacing w:val="-2"/>
          <w:sz w:val="24"/>
        </w:rPr>
        <w:t>2.2</w:t>
      </w:r>
      <w:r>
        <w:rPr>
          <w:rFonts w:ascii="Calibri Light"/>
          <w:b w:val="0"/>
          <w:spacing w:val="-12"/>
          <w:sz w:val="24"/>
        </w:rPr>
        <w:t> </w:t>
      </w:r>
      <w:r>
        <w:rPr>
          <w:rFonts w:ascii="Calibri Light"/>
          <w:b w:val="0"/>
          <w:spacing w:val="-2"/>
          <w:sz w:val="24"/>
        </w:rPr>
        <w:t>-</w:t>
      </w:r>
      <w:r>
        <w:rPr>
          <w:rFonts w:ascii="Calibri Light"/>
          <w:b w:val="0"/>
          <w:spacing w:val="-16"/>
          <w:sz w:val="24"/>
        </w:rPr>
        <w:t> </w:t>
      </w:r>
      <w:r>
        <w:rPr>
          <w:rFonts w:ascii="Calibri Light"/>
          <w:b w:val="0"/>
          <w:spacing w:val="-2"/>
          <w:sz w:val="24"/>
        </w:rPr>
        <w:t>S</w:t>
      </w:r>
      <w:r>
        <w:rPr>
          <w:rFonts w:ascii="Calibri Light"/>
          <w:b w:val="0"/>
          <w:spacing w:val="-2"/>
          <w:sz w:val="19"/>
        </w:rPr>
        <w:t>CHOOL</w:t>
      </w:r>
      <w:r>
        <w:rPr>
          <w:rFonts w:ascii="Calibri Light"/>
          <w:b w:val="0"/>
          <w:spacing w:val="-3"/>
          <w:sz w:val="19"/>
        </w:rPr>
        <w:t> </w:t>
      </w:r>
      <w:r>
        <w:rPr>
          <w:rFonts w:ascii="Calibri Light"/>
          <w:b w:val="0"/>
          <w:spacing w:val="-2"/>
          <w:sz w:val="24"/>
        </w:rPr>
        <w:t>F</w:t>
      </w:r>
      <w:r>
        <w:rPr>
          <w:rFonts w:ascii="Calibri Light"/>
          <w:b w:val="0"/>
          <w:spacing w:val="-2"/>
          <w:sz w:val="19"/>
        </w:rPr>
        <w:t>INANCE</w:t>
      </w:r>
      <w:r>
        <w:rPr>
          <w:rFonts w:ascii="Calibri Light"/>
          <w:b w:val="0"/>
          <w:spacing w:val="-1"/>
          <w:sz w:val="19"/>
        </w:rPr>
        <w:t> </w:t>
      </w:r>
      <w:r>
        <w:rPr>
          <w:rFonts w:ascii="Calibri Light"/>
          <w:b w:val="0"/>
          <w:spacing w:val="-2"/>
          <w:sz w:val="19"/>
        </w:rPr>
        <w:t>AND</w:t>
      </w:r>
      <w:r>
        <w:rPr>
          <w:rFonts w:ascii="Calibri Light"/>
          <w:b w:val="0"/>
          <w:spacing w:val="-5"/>
          <w:sz w:val="19"/>
        </w:rPr>
        <w:t> </w:t>
      </w:r>
      <w:r>
        <w:rPr>
          <w:rFonts w:ascii="Calibri Light"/>
          <w:b w:val="0"/>
          <w:spacing w:val="-2"/>
          <w:sz w:val="24"/>
        </w:rPr>
        <w:t>M</w:t>
      </w:r>
      <w:r>
        <w:rPr>
          <w:rFonts w:ascii="Calibri Light"/>
          <w:b w:val="0"/>
          <w:spacing w:val="-2"/>
          <w:sz w:val="19"/>
        </w:rPr>
        <w:t>ANAGEMENT</w:t>
      </w:r>
      <w:r>
        <w:rPr>
          <w:rFonts w:ascii="Calibri Light"/>
          <w:b w:val="0"/>
          <w:spacing w:val="-6"/>
          <w:sz w:val="19"/>
        </w:rPr>
        <w:t> </w:t>
      </w:r>
      <w:r>
        <w:rPr>
          <w:rFonts w:ascii="Calibri Light"/>
          <w:b w:val="0"/>
          <w:spacing w:val="-2"/>
          <w:sz w:val="19"/>
        </w:rPr>
        <w:t>OF</w:t>
      </w:r>
      <w:r>
        <w:rPr>
          <w:rFonts w:ascii="Calibri Light"/>
          <w:b w:val="0"/>
          <w:sz w:val="19"/>
        </w:rPr>
        <w:t> </w:t>
      </w:r>
      <w:r>
        <w:rPr>
          <w:rFonts w:ascii="Calibri Light"/>
          <w:b w:val="0"/>
          <w:spacing w:val="-2"/>
          <w:sz w:val="24"/>
        </w:rPr>
        <w:t>G</w:t>
      </w:r>
      <w:r>
        <w:rPr>
          <w:rFonts w:ascii="Calibri Light"/>
          <w:b w:val="0"/>
          <w:spacing w:val="-2"/>
          <w:sz w:val="19"/>
        </w:rPr>
        <w:t>RANTS</w:t>
      </w:r>
    </w:p>
    <w:p>
      <w:pPr>
        <w:pStyle w:val="BodyText"/>
        <w:rPr>
          <w:rFonts w:ascii="Calibri Light"/>
          <w:b w:val="0"/>
          <w:sz w:val="20"/>
        </w:rPr>
      </w:pPr>
    </w:p>
    <w:p>
      <w:pPr>
        <w:pStyle w:val="BodyText"/>
        <w:spacing w:before="3"/>
        <w:rPr>
          <w:rFonts w:ascii="Calibri Light"/>
          <w:b w:val="0"/>
          <w:sz w:val="12"/>
        </w:rPr>
      </w:pPr>
      <w:r>
        <w:rPr/>
        <w:pict>
          <v:shape style="position:absolute;margin-left:73.75pt;margin-top:9.080344pt;width:373.8pt;height:81.2pt;mso-position-horizontal-relative:page;mso-position-vertical-relative:paragraph;z-index:-15726592;mso-wrap-distance-left:0;mso-wrap-distance-right:0" type="#_x0000_t202" id="docshape9" filled="true" fillcolor="#4472c4" stroked="true" strokeweight=".75pt" strokecolor="#4472c4">
            <v:textbox inset="0,0,0,0">
              <w:txbxContent>
                <w:p>
                  <w:pPr>
                    <w:spacing w:before="65"/>
                    <w:ind w:left="135" w:right="0" w:firstLine="0"/>
                    <w:jc w:val="left"/>
                    <w:rPr>
                      <w:i/>
                      <w:color w:val="000000"/>
                      <w:sz w:val="22"/>
                    </w:rPr>
                  </w:pPr>
                  <w:r>
                    <w:rPr>
                      <w:b/>
                      <w:i/>
                      <w:color w:val="000000"/>
                      <w:sz w:val="22"/>
                    </w:rPr>
                    <w:t>Target</w:t>
                  </w:r>
                  <w:r>
                    <w:rPr>
                      <w:b/>
                      <w:i/>
                      <w:color w:val="000000"/>
                      <w:spacing w:val="-4"/>
                      <w:sz w:val="22"/>
                    </w:rPr>
                    <w:t> </w:t>
                  </w:r>
                  <w:r>
                    <w:rPr>
                      <w:b/>
                      <w:i/>
                      <w:color w:val="000000"/>
                      <w:sz w:val="22"/>
                    </w:rPr>
                    <w:t>2.2.1:</w:t>
                  </w:r>
                  <w:r>
                    <w:rPr>
                      <w:b/>
                      <w:i/>
                      <w:color w:val="000000"/>
                      <w:spacing w:val="-4"/>
                      <w:sz w:val="22"/>
                    </w:rPr>
                    <w:t> </w:t>
                  </w:r>
                  <w:r>
                    <w:rPr>
                      <w:i/>
                      <w:color w:val="000000"/>
                      <w:sz w:val="22"/>
                    </w:rPr>
                    <w:t>70%</w:t>
                  </w:r>
                  <w:r>
                    <w:rPr>
                      <w:i/>
                      <w:color w:val="000000"/>
                      <w:spacing w:val="-4"/>
                      <w:sz w:val="22"/>
                    </w:rPr>
                    <w:t> </w:t>
                  </w:r>
                  <w:r>
                    <w:rPr>
                      <w:i/>
                      <w:color w:val="000000"/>
                      <w:sz w:val="22"/>
                    </w:rPr>
                    <w:t>of</w:t>
                  </w:r>
                  <w:r>
                    <w:rPr>
                      <w:i/>
                      <w:color w:val="000000"/>
                      <w:spacing w:val="-4"/>
                      <w:sz w:val="22"/>
                    </w:rPr>
                    <w:t> </w:t>
                  </w:r>
                  <w:r>
                    <w:rPr>
                      <w:i/>
                      <w:color w:val="000000"/>
                      <w:sz w:val="22"/>
                    </w:rPr>
                    <w:t>retirements</w:t>
                  </w:r>
                  <w:r>
                    <w:rPr>
                      <w:i/>
                      <w:color w:val="000000"/>
                      <w:spacing w:val="-4"/>
                      <w:sz w:val="22"/>
                    </w:rPr>
                    <w:t> </w:t>
                  </w:r>
                  <w:r>
                    <w:rPr>
                      <w:i/>
                      <w:color w:val="000000"/>
                      <w:sz w:val="22"/>
                    </w:rPr>
                    <w:t>(of</w:t>
                  </w:r>
                  <w:r>
                    <w:rPr>
                      <w:i/>
                      <w:color w:val="000000"/>
                      <w:spacing w:val="-4"/>
                      <w:sz w:val="22"/>
                    </w:rPr>
                    <w:t> </w:t>
                  </w:r>
                  <w:r>
                    <w:rPr>
                      <w:i/>
                      <w:color w:val="000000"/>
                      <w:sz w:val="22"/>
                    </w:rPr>
                    <w:t>school</w:t>
                  </w:r>
                  <w:r>
                    <w:rPr>
                      <w:i/>
                      <w:color w:val="000000"/>
                      <w:spacing w:val="-2"/>
                      <w:sz w:val="22"/>
                    </w:rPr>
                    <w:t> </w:t>
                  </w:r>
                  <w:r>
                    <w:rPr>
                      <w:i/>
                      <w:color w:val="000000"/>
                      <w:sz w:val="22"/>
                    </w:rPr>
                    <w:t>grants)</w:t>
                  </w:r>
                  <w:r>
                    <w:rPr>
                      <w:i/>
                      <w:color w:val="000000"/>
                      <w:spacing w:val="-4"/>
                      <w:sz w:val="22"/>
                    </w:rPr>
                    <w:t> </w:t>
                  </w:r>
                  <w:r>
                    <w:rPr>
                      <w:i/>
                      <w:color w:val="000000"/>
                      <w:sz w:val="22"/>
                    </w:rPr>
                    <w:t>are</w:t>
                  </w:r>
                  <w:r>
                    <w:rPr>
                      <w:i/>
                      <w:color w:val="000000"/>
                      <w:spacing w:val="-8"/>
                      <w:sz w:val="22"/>
                    </w:rPr>
                    <w:t> </w:t>
                  </w:r>
                  <w:r>
                    <w:rPr>
                      <w:i/>
                      <w:color w:val="000000"/>
                      <w:sz w:val="22"/>
                    </w:rPr>
                    <w:t>received</w:t>
                  </w:r>
                  <w:r>
                    <w:rPr>
                      <w:i/>
                      <w:color w:val="000000"/>
                      <w:spacing w:val="-3"/>
                      <w:sz w:val="22"/>
                    </w:rPr>
                    <w:t> </w:t>
                  </w:r>
                  <w:r>
                    <w:rPr>
                      <w:i/>
                      <w:color w:val="000000"/>
                      <w:sz w:val="22"/>
                    </w:rPr>
                    <w:t>on</w:t>
                  </w:r>
                  <w:r>
                    <w:rPr>
                      <w:i/>
                      <w:color w:val="000000"/>
                      <w:spacing w:val="-3"/>
                      <w:sz w:val="22"/>
                    </w:rPr>
                    <w:t> </w:t>
                  </w:r>
                  <w:r>
                    <w:rPr>
                      <w:i/>
                      <w:color w:val="000000"/>
                      <w:spacing w:val="-2"/>
                      <w:sz w:val="22"/>
                    </w:rPr>
                    <w:t>time.</w:t>
                  </w:r>
                </w:p>
                <w:p>
                  <w:pPr>
                    <w:pStyle w:val="BodyText"/>
                    <w:spacing w:before="8"/>
                    <w:rPr>
                      <w:i/>
                      <w:color w:val="000000"/>
                      <w:sz w:val="19"/>
                    </w:rPr>
                  </w:pPr>
                </w:p>
                <w:p>
                  <w:pPr>
                    <w:spacing w:before="0"/>
                    <w:ind w:left="135" w:right="0" w:firstLine="0"/>
                    <w:jc w:val="left"/>
                    <w:rPr>
                      <w:i/>
                      <w:color w:val="000000"/>
                      <w:sz w:val="22"/>
                    </w:rPr>
                  </w:pPr>
                  <w:r>
                    <w:rPr>
                      <w:b/>
                      <w:i/>
                      <w:color w:val="000000"/>
                      <w:sz w:val="22"/>
                    </w:rPr>
                    <w:t>Evidence</w:t>
                  </w:r>
                  <w:r>
                    <w:rPr>
                      <w:b/>
                      <w:i/>
                      <w:color w:val="000000"/>
                      <w:spacing w:val="-4"/>
                      <w:sz w:val="22"/>
                    </w:rPr>
                    <w:t> </w:t>
                  </w:r>
                  <w:r>
                    <w:rPr>
                      <w:b/>
                      <w:i/>
                      <w:color w:val="000000"/>
                      <w:sz w:val="22"/>
                    </w:rPr>
                    <w:t>Source</w:t>
                  </w:r>
                  <w:r>
                    <w:rPr>
                      <w:i/>
                      <w:color w:val="000000"/>
                      <w:sz w:val="22"/>
                    </w:rPr>
                    <w:t>:</w:t>
                  </w:r>
                  <w:r>
                    <w:rPr>
                      <w:i/>
                      <w:color w:val="000000"/>
                      <w:spacing w:val="-7"/>
                      <w:sz w:val="22"/>
                    </w:rPr>
                    <w:t> </w:t>
                  </w:r>
                  <w:r>
                    <w:rPr>
                      <w:i/>
                      <w:color w:val="000000"/>
                      <w:sz w:val="22"/>
                    </w:rPr>
                    <w:t>MEHRD</w:t>
                  </w:r>
                  <w:r>
                    <w:rPr>
                      <w:i/>
                      <w:color w:val="000000"/>
                      <w:spacing w:val="-8"/>
                      <w:sz w:val="22"/>
                    </w:rPr>
                    <w:t> </w:t>
                  </w:r>
                  <w:r>
                    <w:rPr>
                      <w:i/>
                      <w:color w:val="000000"/>
                      <w:sz w:val="22"/>
                    </w:rPr>
                    <w:t>School</w:t>
                  </w:r>
                  <w:r>
                    <w:rPr>
                      <w:i/>
                      <w:color w:val="000000"/>
                      <w:spacing w:val="-3"/>
                      <w:sz w:val="22"/>
                    </w:rPr>
                    <w:t> </w:t>
                  </w:r>
                  <w:r>
                    <w:rPr>
                      <w:i/>
                      <w:color w:val="000000"/>
                      <w:sz w:val="22"/>
                    </w:rPr>
                    <w:t>Grants</w:t>
                  </w:r>
                  <w:r>
                    <w:rPr>
                      <w:i/>
                      <w:color w:val="000000"/>
                      <w:spacing w:val="-6"/>
                      <w:sz w:val="22"/>
                    </w:rPr>
                    <w:t> </w:t>
                  </w:r>
                  <w:r>
                    <w:rPr>
                      <w:i/>
                      <w:color w:val="000000"/>
                      <w:sz w:val="22"/>
                    </w:rPr>
                    <w:t>Analysis</w:t>
                  </w:r>
                  <w:r>
                    <w:rPr>
                      <w:i/>
                      <w:color w:val="000000"/>
                      <w:spacing w:val="-5"/>
                      <w:sz w:val="22"/>
                    </w:rPr>
                    <w:t> </w:t>
                  </w:r>
                  <w:r>
                    <w:rPr>
                      <w:i/>
                      <w:color w:val="000000"/>
                      <w:sz w:val="22"/>
                    </w:rPr>
                    <w:t>-</w:t>
                  </w:r>
                  <w:r>
                    <w:rPr>
                      <w:i/>
                      <w:color w:val="000000"/>
                      <w:spacing w:val="-6"/>
                      <w:sz w:val="22"/>
                    </w:rPr>
                    <w:t> </w:t>
                  </w:r>
                  <w:r>
                    <w:rPr>
                      <w:i/>
                      <w:color w:val="000000"/>
                      <w:spacing w:val="-4"/>
                      <w:sz w:val="22"/>
                    </w:rPr>
                    <w:t>2016</w:t>
                  </w:r>
                </w:p>
                <w:p>
                  <w:pPr>
                    <w:spacing w:before="121"/>
                    <w:ind w:left="134" w:right="0" w:firstLine="0"/>
                    <w:jc w:val="left"/>
                    <w:rPr>
                      <w:i/>
                      <w:color w:val="000000"/>
                      <w:sz w:val="22"/>
                    </w:rPr>
                  </w:pPr>
                  <w:r>
                    <w:rPr>
                      <w:b/>
                      <w:i/>
                      <w:color w:val="000000"/>
                      <w:sz w:val="22"/>
                    </w:rPr>
                    <w:t>Assessment</w:t>
                  </w:r>
                  <w:r>
                    <w:rPr>
                      <w:i/>
                      <w:color w:val="000000"/>
                      <w:sz w:val="22"/>
                    </w:rPr>
                    <w:t>:</w:t>
                  </w:r>
                  <w:r>
                    <w:rPr>
                      <w:i/>
                      <w:color w:val="000000"/>
                      <w:spacing w:val="-6"/>
                      <w:sz w:val="22"/>
                    </w:rPr>
                    <w:t> </w:t>
                  </w:r>
                  <w:r>
                    <w:rPr>
                      <w:i/>
                      <w:color w:val="000000"/>
                      <w:sz w:val="22"/>
                    </w:rPr>
                    <w:t>Target</w:t>
                  </w:r>
                  <w:r>
                    <w:rPr>
                      <w:i/>
                      <w:color w:val="000000"/>
                      <w:spacing w:val="-5"/>
                      <w:sz w:val="22"/>
                    </w:rPr>
                    <w:t> </w:t>
                  </w:r>
                  <w:r>
                    <w:rPr>
                      <w:i/>
                      <w:color w:val="000000"/>
                      <w:spacing w:val="-2"/>
                      <w:sz w:val="22"/>
                    </w:rPr>
                    <w:t>Achieved</w:t>
                  </w:r>
                </w:p>
              </w:txbxContent>
            </v:textbox>
            <v:fill opacity="7195f" type="solid"/>
            <v:stroke dashstyle="solid"/>
            <w10:wrap type="topAndBottom"/>
          </v:shape>
        </w:pict>
      </w:r>
    </w:p>
    <w:p>
      <w:pPr>
        <w:pStyle w:val="BodyText"/>
        <w:rPr>
          <w:rFonts w:ascii="Calibri Light"/>
          <w:b w:val="0"/>
          <w:sz w:val="24"/>
        </w:rPr>
      </w:pPr>
    </w:p>
    <w:p>
      <w:pPr>
        <w:pStyle w:val="BodyText"/>
        <w:spacing w:before="148"/>
        <w:ind w:left="1119" w:right="1182"/>
        <w:jc w:val="both"/>
      </w:pPr>
      <w:r>
        <w:rPr/>
        <w:t>Data provided by the MEHRD Finance Unit (Table 4) indicates that seventy-four per cent (74%) of school grants were retired on time in 2016.</w:t>
      </w:r>
    </w:p>
    <w:p>
      <w:pPr>
        <w:spacing w:after="0"/>
        <w:jc w:val="both"/>
        <w:sectPr>
          <w:pgSz w:w="11900" w:h="16840"/>
          <w:pgMar w:header="751" w:footer="1206" w:top="1640" w:bottom="1420" w:left="320" w:right="260"/>
        </w:sectPr>
      </w:pPr>
    </w:p>
    <w:p>
      <w:pPr>
        <w:spacing w:before="51"/>
        <w:ind w:left="1120" w:right="0" w:firstLine="0"/>
        <w:jc w:val="both"/>
        <w:rPr>
          <w:i/>
          <w:sz w:val="22"/>
        </w:rPr>
      </w:pPr>
      <w:r>
        <w:rPr>
          <w:i/>
          <w:sz w:val="22"/>
        </w:rPr>
        <w:t>Table</w:t>
      </w:r>
      <w:r>
        <w:rPr>
          <w:i/>
          <w:spacing w:val="-4"/>
          <w:sz w:val="22"/>
        </w:rPr>
        <w:t> </w:t>
      </w:r>
      <w:r>
        <w:rPr>
          <w:i/>
          <w:sz w:val="22"/>
        </w:rPr>
        <w:t>4:</w:t>
      </w:r>
      <w:r>
        <w:rPr>
          <w:i/>
          <w:spacing w:val="-5"/>
          <w:sz w:val="22"/>
        </w:rPr>
        <w:t> </w:t>
      </w:r>
      <w:r>
        <w:rPr>
          <w:i/>
          <w:sz w:val="22"/>
        </w:rPr>
        <w:t>2016</w:t>
      </w:r>
      <w:r>
        <w:rPr>
          <w:i/>
          <w:spacing w:val="-5"/>
          <w:sz w:val="22"/>
        </w:rPr>
        <w:t> </w:t>
      </w:r>
      <w:r>
        <w:rPr>
          <w:i/>
          <w:sz w:val="22"/>
        </w:rPr>
        <w:t>Biannual</w:t>
      </w:r>
      <w:r>
        <w:rPr>
          <w:i/>
          <w:spacing w:val="-2"/>
          <w:sz w:val="22"/>
        </w:rPr>
        <w:t> </w:t>
      </w:r>
      <w:r>
        <w:rPr>
          <w:i/>
          <w:sz w:val="22"/>
        </w:rPr>
        <w:t>Grant</w:t>
      </w:r>
      <w:r>
        <w:rPr>
          <w:i/>
          <w:spacing w:val="-5"/>
          <w:sz w:val="22"/>
        </w:rPr>
        <w:t> </w:t>
      </w:r>
      <w:r>
        <w:rPr>
          <w:i/>
          <w:sz w:val="22"/>
        </w:rPr>
        <w:t>Retirement</w:t>
      </w:r>
      <w:r>
        <w:rPr>
          <w:i/>
          <w:spacing w:val="-5"/>
          <w:sz w:val="22"/>
        </w:rPr>
        <w:t> </w:t>
      </w:r>
      <w:r>
        <w:rPr>
          <w:i/>
          <w:spacing w:val="-2"/>
          <w:sz w:val="22"/>
        </w:rPr>
        <w:t>Details</w:t>
      </w:r>
    </w:p>
    <w:p>
      <w:pPr>
        <w:pStyle w:val="BodyText"/>
        <w:spacing w:before="6"/>
        <w:rPr>
          <w:i/>
          <w:sz w:val="7"/>
        </w:rPr>
      </w:pPr>
      <w:r>
        <w:rPr/>
        <w:drawing>
          <wp:anchor distT="0" distB="0" distL="0" distR="0" allowOverlap="1" layoutInCell="1" locked="0" behindDoc="0" simplePos="0" relativeHeight="5">
            <wp:simplePos x="0" y="0"/>
            <wp:positionH relativeFrom="page">
              <wp:posOffset>915923</wp:posOffset>
            </wp:positionH>
            <wp:positionV relativeFrom="paragraph">
              <wp:posOffset>73434</wp:posOffset>
            </wp:positionV>
            <wp:extent cx="6395364" cy="141732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6395364" cy="1417320"/>
                    </a:xfrm>
                    <a:prstGeom prst="rect">
                      <a:avLst/>
                    </a:prstGeom>
                  </pic:spPr>
                </pic:pic>
              </a:graphicData>
            </a:graphic>
          </wp:anchor>
        </w:drawing>
      </w:r>
    </w:p>
    <w:p>
      <w:pPr>
        <w:pStyle w:val="BodyText"/>
        <w:spacing w:before="124"/>
        <w:ind w:left="1120" w:right="1172"/>
        <w:jc w:val="both"/>
      </w:pPr>
      <w:r>
        <w:rPr/>
        <w:t>MEHRD have made considerable efforts to improve the acquittal rate for school grants as non- acquittal affects the payment of the following year’s grants. However, the rate of retirement, especially for TVET sector, is a cause for concern. Investigations by MEHRD revealed that the main problems were:</w:t>
      </w:r>
    </w:p>
    <w:p>
      <w:pPr>
        <w:pStyle w:val="ListParagraph"/>
        <w:numPr>
          <w:ilvl w:val="2"/>
          <w:numId w:val="3"/>
        </w:numPr>
        <w:tabs>
          <w:tab w:pos="1893" w:val="left" w:leader="none"/>
          <w:tab w:pos="1894" w:val="left" w:leader="none"/>
        </w:tabs>
        <w:spacing w:line="240" w:lineRule="auto" w:before="119" w:after="0"/>
        <w:ind w:left="1893" w:right="0" w:hanging="362"/>
        <w:jc w:val="left"/>
        <w:rPr>
          <w:sz w:val="22"/>
        </w:rPr>
      </w:pPr>
      <w:r>
        <w:rPr>
          <w:sz w:val="22"/>
        </w:rPr>
        <w:t>Lack</w:t>
      </w:r>
      <w:r>
        <w:rPr>
          <w:spacing w:val="-8"/>
          <w:sz w:val="22"/>
        </w:rPr>
        <w:t> </w:t>
      </w:r>
      <w:r>
        <w:rPr>
          <w:sz w:val="22"/>
        </w:rPr>
        <w:t>of</w:t>
      </w:r>
      <w:r>
        <w:rPr>
          <w:spacing w:val="-6"/>
          <w:sz w:val="22"/>
        </w:rPr>
        <w:t> </w:t>
      </w:r>
      <w:r>
        <w:rPr>
          <w:sz w:val="22"/>
        </w:rPr>
        <w:t>knowledge</w:t>
      </w:r>
      <w:r>
        <w:rPr>
          <w:spacing w:val="-5"/>
          <w:sz w:val="22"/>
        </w:rPr>
        <w:t> </w:t>
      </w:r>
      <w:r>
        <w:rPr>
          <w:sz w:val="22"/>
        </w:rPr>
        <w:t>among</w:t>
      </w:r>
      <w:r>
        <w:rPr>
          <w:spacing w:val="-4"/>
          <w:sz w:val="22"/>
        </w:rPr>
        <w:t> </w:t>
      </w:r>
      <w:r>
        <w:rPr>
          <w:sz w:val="22"/>
        </w:rPr>
        <w:t>some</w:t>
      </w:r>
      <w:r>
        <w:rPr>
          <w:spacing w:val="-5"/>
          <w:sz w:val="22"/>
        </w:rPr>
        <w:t> </w:t>
      </w:r>
      <w:r>
        <w:rPr>
          <w:sz w:val="22"/>
        </w:rPr>
        <w:t>teachers</w:t>
      </w:r>
      <w:r>
        <w:rPr>
          <w:spacing w:val="-6"/>
          <w:sz w:val="22"/>
        </w:rPr>
        <w:t> </w:t>
      </w:r>
      <w:r>
        <w:rPr>
          <w:sz w:val="22"/>
        </w:rPr>
        <w:t>and</w:t>
      </w:r>
      <w:r>
        <w:rPr>
          <w:spacing w:val="-6"/>
          <w:sz w:val="22"/>
        </w:rPr>
        <w:t> </w:t>
      </w:r>
      <w:r>
        <w:rPr>
          <w:sz w:val="22"/>
        </w:rPr>
        <w:t>principals</w:t>
      </w:r>
      <w:r>
        <w:rPr>
          <w:spacing w:val="-5"/>
          <w:sz w:val="22"/>
        </w:rPr>
        <w:t> </w:t>
      </w:r>
      <w:r>
        <w:rPr>
          <w:sz w:val="22"/>
        </w:rPr>
        <w:t>about</w:t>
      </w:r>
      <w:r>
        <w:rPr>
          <w:spacing w:val="-2"/>
          <w:sz w:val="22"/>
        </w:rPr>
        <w:t> </w:t>
      </w:r>
      <w:r>
        <w:rPr>
          <w:sz w:val="22"/>
        </w:rPr>
        <w:t>the</w:t>
      </w:r>
      <w:r>
        <w:rPr>
          <w:spacing w:val="-5"/>
          <w:sz w:val="22"/>
        </w:rPr>
        <w:t> </w:t>
      </w:r>
      <w:r>
        <w:rPr>
          <w:sz w:val="22"/>
        </w:rPr>
        <w:t>retirement</w:t>
      </w:r>
      <w:r>
        <w:rPr>
          <w:spacing w:val="-7"/>
          <w:sz w:val="22"/>
        </w:rPr>
        <w:t> </w:t>
      </w:r>
      <w:r>
        <w:rPr>
          <w:spacing w:val="-2"/>
          <w:sz w:val="22"/>
        </w:rPr>
        <w:t>process.</w:t>
      </w:r>
    </w:p>
    <w:p>
      <w:pPr>
        <w:pStyle w:val="ListParagraph"/>
        <w:numPr>
          <w:ilvl w:val="2"/>
          <w:numId w:val="3"/>
        </w:numPr>
        <w:tabs>
          <w:tab w:pos="1893" w:val="left" w:leader="none"/>
          <w:tab w:pos="1894" w:val="left" w:leader="none"/>
        </w:tabs>
        <w:spacing w:line="240" w:lineRule="auto" w:before="118" w:after="0"/>
        <w:ind w:left="1893" w:right="0" w:hanging="361"/>
        <w:jc w:val="left"/>
        <w:rPr>
          <w:sz w:val="22"/>
        </w:rPr>
      </w:pPr>
      <w:r>
        <w:rPr>
          <w:sz w:val="22"/>
        </w:rPr>
        <w:t>Lack</w:t>
      </w:r>
      <w:r>
        <w:rPr>
          <w:spacing w:val="-7"/>
          <w:sz w:val="22"/>
        </w:rPr>
        <w:t> </w:t>
      </w:r>
      <w:r>
        <w:rPr>
          <w:sz w:val="22"/>
        </w:rPr>
        <w:t>of</w:t>
      </w:r>
      <w:r>
        <w:rPr>
          <w:spacing w:val="-1"/>
          <w:sz w:val="22"/>
        </w:rPr>
        <w:t> </w:t>
      </w:r>
      <w:r>
        <w:rPr>
          <w:sz w:val="22"/>
        </w:rPr>
        <w:t>commitment</w:t>
      </w:r>
      <w:r>
        <w:rPr>
          <w:spacing w:val="-7"/>
          <w:sz w:val="22"/>
        </w:rPr>
        <w:t> </w:t>
      </w:r>
      <w:r>
        <w:rPr>
          <w:sz w:val="22"/>
        </w:rPr>
        <w:t>by</w:t>
      </w:r>
      <w:r>
        <w:rPr>
          <w:spacing w:val="-4"/>
          <w:sz w:val="22"/>
        </w:rPr>
        <w:t> </w:t>
      </w:r>
      <w:r>
        <w:rPr>
          <w:sz w:val="22"/>
        </w:rPr>
        <w:t>some</w:t>
      </w:r>
      <w:r>
        <w:rPr>
          <w:spacing w:val="-5"/>
          <w:sz w:val="22"/>
        </w:rPr>
        <w:t> </w:t>
      </w:r>
      <w:r>
        <w:rPr>
          <w:sz w:val="22"/>
        </w:rPr>
        <w:t>EAs</w:t>
      </w:r>
      <w:r>
        <w:rPr>
          <w:spacing w:val="-4"/>
          <w:sz w:val="22"/>
        </w:rPr>
        <w:t> </w:t>
      </w:r>
      <w:r>
        <w:rPr>
          <w:sz w:val="22"/>
        </w:rPr>
        <w:t>causing</w:t>
      </w:r>
      <w:r>
        <w:rPr>
          <w:spacing w:val="-4"/>
          <w:sz w:val="22"/>
        </w:rPr>
        <w:t> </w:t>
      </w:r>
      <w:r>
        <w:rPr>
          <w:sz w:val="22"/>
        </w:rPr>
        <w:t>unnecessary</w:t>
      </w:r>
      <w:r>
        <w:rPr>
          <w:spacing w:val="-4"/>
          <w:sz w:val="22"/>
        </w:rPr>
        <w:t> </w:t>
      </w:r>
      <w:r>
        <w:rPr>
          <w:sz w:val="22"/>
        </w:rPr>
        <w:t>delays</w:t>
      </w:r>
      <w:r>
        <w:rPr>
          <w:spacing w:val="-5"/>
          <w:sz w:val="22"/>
        </w:rPr>
        <w:t> </w:t>
      </w:r>
      <w:r>
        <w:rPr>
          <w:sz w:val="22"/>
        </w:rPr>
        <w:t>at</w:t>
      </w:r>
      <w:r>
        <w:rPr>
          <w:spacing w:val="-7"/>
          <w:sz w:val="22"/>
        </w:rPr>
        <w:t> </w:t>
      </w:r>
      <w:r>
        <w:rPr>
          <w:sz w:val="22"/>
        </w:rPr>
        <w:t>EA</w:t>
      </w:r>
      <w:r>
        <w:rPr>
          <w:spacing w:val="-2"/>
          <w:sz w:val="22"/>
        </w:rPr>
        <w:t> level.</w:t>
      </w:r>
    </w:p>
    <w:p>
      <w:pPr>
        <w:pStyle w:val="ListParagraph"/>
        <w:numPr>
          <w:ilvl w:val="2"/>
          <w:numId w:val="3"/>
        </w:numPr>
        <w:tabs>
          <w:tab w:pos="1893" w:val="left" w:leader="none"/>
          <w:tab w:pos="1894" w:val="left" w:leader="none"/>
        </w:tabs>
        <w:spacing w:line="240" w:lineRule="auto" w:before="123" w:after="0"/>
        <w:ind w:left="1893" w:right="0" w:hanging="361"/>
        <w:jc w:val="left"/>
        <w:rPr>
          <w:sz w:val="22"/>
        </w:rPr>
      </w:pPr>
      <w:r>
        <w:rPr>
          <w:sz w:val="22"/>
        </w:rPr>
        <w:t>Lack</w:t>
      </w:r>
      <w:r>
        <w:rPr>
          <w:spacing w:val="-6"/>
          <w:sz w:val="22"/>
        </w:rPr>
        <w:t> </w:t>
      </w:r>
      <w:r>
        <w:rPr>
          <w:sz w:val="22"/>
        </w:rPr>
        <w:t>of</w:t>
      </w:r>
      <w:r>
        <w:rPr>
          <w:spacing w:val="-1"/>
          <w:sz w:val="22"/>
        </w:rPr>
        <w:t> </w:t>
      </w:r>
      <w:r>
        <w:rPr>
          <w:sz w:val="22"/>
        </w:rPr>
        <w:t>capacity</w:t>
      </w:r>
      <w:r>
        <w:rPr>
          <w:spacing w:val="-5"/>
          <w:sz w:val="22"/>
        </w:rPr>
        <w:t> </w:t>
      </w:r>
      <w:r>
        <w:rPr>
          <w:sz w:val="22"/>
        </w:rPr>
        <w:t>(no</w:t>
      </w:r>
      <w:r>
        <w:rPr>
          <w:spacing w:val="-7"/>
          <w:sz w:val="22"/>
        </w:rPr>
        <w:t> </w:t>
      </w:r>
      <w:r>
        <w:rPr>
          <w:sz w:val="22"/>
        </w:rPr>
        <w:t>accountant)</w:t>
      </w:r>
      <w:r>
        <w:rPr>
          <w:spacing w:val="-1"/>
          <w:sz w:val="22"/>
        </w:rPr>
        <w:t> </w:t>
      </w:r>
      <w:r>
        <w:rPr>
          <w:sz w:val="22"/>
        </w:rPr>
        <w:t>in</w:t>
      </w:r>
      <w:r>
        <w:rPr>
          <w:spacing w:val="-6"/>
          <w:sz w:val="22"/>
        </w:rPr>
        <w:t> </w:t>
      </w:r>
      <w:r>
        <w:rPr>
          <w:sz w:val="22"/>
        </w:rPr>
        <w:t>some</w:t>
      </w:r>
      <w:r>
        <w:rPr>
          <w:spacing w:val="-5"/>
          <w:sz w:val="22"/>
        </w:rPr>
        <w:t> </w:t>
      </w:r>
      <w:r>
        <w:rPr>
          <w:spacing w:val="-4"/>
          <w:sz w:val="22"/>
        </w:rPr>
        <w:t>EAs.</w:t>
      </w:r>
    </w:p>
    <w:p>
      <w:pPr>
        <w:pStyle w:val="BodyText"/>
        <w:spacing w:before="120"/>
        <w:ind w:left="1120" w:right="1181" w:hanging="1"/>
        <w:jc w:val="both"/>
      </w:pPr>
      <w:r>
        <w:rPr/>
        <w:t>MEHRD</w:t>
      </w:r>
      <w:r>
        <w:rPr>
          <w:spacing w:val="-9"/>
        </w:rPr>
        <w:t> </w:t>
      </w:r>
      <w:r>
        <w:rPr/>
        <w:t>is</w:t>
      </w:r>
      <w:r>
        <w:rPr>
          <w:spacing w:val="-8"/>
        </w:rPr>
        <w:t> </w:t>
      </w:r>
      <w:r>
        <w:rPr/>
        <w:t>undertaking</w:t>
      </w:r>
      <w:r>
        <w:rPr>
          <w:spacing w:val="-6"/>
        </w:rPr>
        <w:t> </w:t>
      </w:r>
      <w:r>
        <w:rPr/>
        <w:t>work</w:t>
      </w:r>
      <w:r>
        <w:rPr>
          <w:spacing w:val="-8"/>
        </w:rPr>
        <w:t> </w:t>
      </w:r>
      <w:r>
        <w:rPr/>
        <w:t>to</w:t>
      </w:r>
      <w:r>
        <w:rPr>
          <w:spacing w:val="-4"/>
        </w:rPr>
        <w:t> </w:t>
      </w:r>
      <w:r>
        <w:rPr/>
        <w:t>address</w:t>
      </w:r>
      <w:r>
        <w:rPr>
          <w:spacing w:val="-3"/>
        </w:rPr>
        <w:t> </w:t>
      </w:r>
      <w:r>
        <w:rPr/>
        <w:t>these</w:t>
      </w:r>
      <w:r>
        <w:rPr>
          <w:spacing w:val="-7"/>
        </w:rPr>
        <w:t> </w:t>
      </w:r>
      <w:r>
        <w:rPr/>
        <w:t>issues</w:t>
      </w:r>
      <w:r>
        <w:rPr>
          <w:spacing w:val="-8"/>
        </w:rPr>
        <w:t> </w:t>
      </w:r>
      <w:r>
        <w:rPr/>
        <w:t>(see</w:t>
      </w:r>
      <w:r>
        <w:rPr>
          <w:spacing w:val="-7"/>
        </w:rPr>
        <w:t> </w:t>
      </w:r>
      <w:r>
        <w:rPr/>
        <w:t>target</w:t>
      </w:r>
      <w:r>
        <w:rPr>
          <w:spacing w:val="-10"/>
        </w:rPr>
        <w:t> </w:t>
      </w:r>
      <w:r>
        <w:rPr/>
        <w:t>2.2.3)</w:t>
      </w:r>
      <w:r>
        <w:rPr>
          <w:spacing w:val="-8"/>
        </w:rPr>
        <w:t> </w:t>
      </w:r>
      <w:r>
        <w:rPr/>
        <w:t>but</w:t>
      </w:r>
      <w:r>
        <w:rPr>
          <w:spacing w:val="-10"/>
        </w:rPr>
        <w:t> </w:t>
      </w:r>
      <w:r>
        <w:rPr/>
        <w:t>retirement</w:t>
      </w:r>
      <w:r>
        <w:rPr>
          <w:spacing w:val="-10"/>
        </w:rPr>
        <w:t> </w:t>
      </w:r>
      <w:r>
        <w:rPr/>
        <w:t>rates</w:t>
      </w:r>
      <w:r>
        <w:rPr>
          <w:spacing w:val="-3"/>
        </w:rPr>
        <w:t> </w:t>
      </w:r>
      <w:r>
        <w:rPr/>
        <w:t>need</w:t>
      </w:r>
      <w:r>
        <w:rPr>
          <w:spacing w:val="-9"/>
        </w:rPr>
        <w:t> </w:t>
      </w:r>
      <w:r>
        <w:rPr/>
        <w:t>to</w:t>
      </w:r>
      <w:r>
        <w:rPr>
          <w:spacing w:val="-4"/>
        </w:rPr>
        <w:t> </w:t>
      </w:r>
      <w:r>
        <w:rPr/>
        <w:t>be monitored closely in future years.</w:t>
      </w:r>
    </w:p>
    <w:p>
      <w:pPr>
        <w:pStyle w:val="BodyText"/>
        <w:rPr>
          <w:sz w:val="20"/>
        </w:rPr>
      </w:pPr>
    </w:p>
    <w:p>
      <w:pPr>
        <w:pStyle w:val="BodyText"/>
        <w:spacing w:before="11"/>
        <w:rPr>
          <w:sz w:val="12"/>
        </w:rPr>
      </w:pPr>
      <w:r>
        <w:rPr/>
        <w:pict>
          <v:shape style="position:absolute;margin-left:68.25pt;margin-top:9.505036pt;width:373.8pt;height:86.3pt;mso-position-horizontal-relative:page;mso-position-vertical-relative:paragraph;z-index:-15725568;mso-wrap-distance-left:0;mso-wrap-distance-right:0" type="#_x0000_t202" id="docshape10" filled="true" fillcolor="#4472c4" stroked="true" strokeweight=".75pt" strokecolor="#4472c4">
            <v:textbox inset="0,0,0,0">
              <w:txbxContent>
                <w:p>
                  <w:pPr>
                    <w:spacing w:before="68"/>
                    <w:ind w:left="134" w:right="0" w:firstLine="0"/>
                    <w:jc w:val="left"/>
                    <w:rPr>
                      <w:i/>
                      <w:color w:val="000000"/>
                      <w:sz w:val="22"/>
                    </w:rPr>
                  </w:pPr>
                  <w:r>
                    <w:rPr>
                      <w:b/>
                      <w:i/>
                      <w:color w:val="000000"/>
                      <w:sz w:val="22"/>
                    </w:rPr>
                    <w:t>Target</w:t>
                  </w:r>
                  <w:r>
                    <w:rPr>
                      <w:b/>
                      <w:i/>
                      <w:color w:val="000000"/>
                      <w:spacing w:val="-7"/>
                      <w:sz w:val="22"/>
                    </w:rPr>
                    <w:t> </w:t>
                  </w:r>
                  <w:r>
                    <w:rPr>
                      <w:b/>
                      <w:i/>
                      <w:color w:val="000000"/>
                      <w:sz w:val="22"/>
                    </w:rPr>
                    <w:t>2.2.2:</w:t>
                  </w:r>
                  <w:r>
                    <w:rPr>
                      <w:b/>
                      <w:i/>
                      <w:color w:val="000000"/>
                      <w:spacing w:val="-3"/>
                      <w:sz w:val="22"/>
                    </w:rPr>
                    <w:t> </w:t>
                  </w:r>
                  <w:r>
                    <w:rPr>
                      <w:i/>
                      <w:color w:val="000000"/>
                      <w:sz w:val="22"/>
                    </w:rPr>
                    <w:t>MEHRD</w:t>
                  </w:r>
                  <w:r>
                    <w:rPr>
                      <w:i/>
                      <w:color w:val="000000"/>
                      <w:spacing w:val="-6"/>
                      <w:sz w:val="22"/>
                    </w:rPr>
                    <w:t> </w:t>
                  </w:r>
                  <w:r>
                    <w:rPr>
                      <w:i/>
                      <w:color w:val="000000"/>
                      <w:sz w:val="22"/>
                    </w:rPr>
                    <w:t>disburses</w:t>
                  </w:r>
                  <w:r>
                    <w:rPr>
                      <w:i/>
                      <w:color w:val="000000"/>
                      <w:spacing w:val="-4"/>
                      <w:sz w:val="22"/>
                    </w:rPr>
                    <w:t> </w:t>
                  </w:r>
                  <w:r>
                    <w:rPr>
                      <w:i/>
                      <w:color w:val="000000"/>
                      <w:sz w:val="22"/>
                    </w:rPr>
                    <w:t>first</w:t>
                  </w:r>
                  <w:r>
                    <w:rPr>
                      <w:i/>
                      <w:color w:val="000000"/>
                      <w:spacing w:val="-6"/>
                      <w:sz w:val="22"/>
                    </w:rPr>
                    <w:t> </w:t>
                  </w:r>
                  <w:r>
                    <w:rPr>
                      <w:i/>
                      <w:color w:val="000000"/>
                      <w:sz w:val="22"/>
                    </w:rPr>
                    <w:t>tranche</w:t>
                  </w:r>
                  <w:r>
                    <w:rPr>
                      <w:i/>
                      <w:color w:val="000000"/>
                      <w:spacing w:val="-4"/>
                      <w:sz w:val="22"/>
                    </w:rPr>
                    <w:t> </w:t>
                  </w:r>
                  <w:r>
                    <w:rPr>
                      <w:i/>
                      <w:color w:val="000000"/>
                      <w:sz w:val="22"/>
                    </w:rPr>
                    <w:t>of</w:t>
                  </w:r>
                  <w:r>
                    <w:rPr>
                      <w:i/>
                      <w:color w:val="000000"/>
                      <w:spacing w:val="-5"/>
                      <w:sz w:val="22"/>
                    </w:rPr>
                    <w:t> </w:t>
                  </w:r>
                  <w:r>
                    <w:rPr>
                      <w:i/>
                      <w:color w:val="000000"/>
                      <w:sz w:val="22"/>
                    </w:rPr>
                    <w:t>grants</w:t>
                  </w:r>
                  <w:r>
                    <w:rPr>
                      <w:i/>
                      <w:color w:val="000000"/>
                      <w:spacing w:val="-4"/>
                      <w:sz w:val="22"/>
                    </w:rPr>
                    <w:t> </w:t>
                  </w:r>
                  <w:r>
                    <w:rPr>
                      <w:i/>
                      <w:color w:val="000000"/>
                      <w:sz w:val="22"/>
                    </w:rPr>
                    <w:t>(2017)</w:t>
                  </w:r>
                  <w:r>
                    <w:rPr>
                      <w:i/>
                      <w:color w:val="000000"/>
                      <w:spacing w:val="-4"/>
                      <w:sz w:val="22"/>
                    </w:rPr>
                    <w:t> </w:t>
                  </w:r>
                  <w:r>
                    <w:rPr>
                      <w:i/>
                      <w:color w:val="000000"/>
                      <w:sz w:val="22"/>
                    </w:rPr>
                    <w:t>in</w:t>
                  </w:r>
                  <w:r>
                    <w:rPr>
                      <w:i/>
                      <w:color w:val="000000"/>
                      <w:spacing w:val="-3"/>
                      <w:sz w:val="22"/>
                    </w:rPr>
                    <w:t> </w:t>
                  </w:r>
                  <w:r>
                    <w:rPr>
                      <w:i/>
                      <w:color w:val="000000"/>
                      <w:sz w:val="22"/>
                    </w:rPr>
                    <w:t>a</w:t>
                  </w:r>
                  <w:r>
                    <w:rPr>
                      <w:i/>
                      <w:color w:val="000000"/>
                      <w:spacing w:val="-3"/>
                      <w:sz w:val="22"/>
                    </w:rPr>
                    <w:t> </w:t>
                  </w:r>
                  <w:r>
                    <w:rPr>
                      <w:i/>
                      <w:color w:val="000000"/>
                      <w:sz w:val="22"/>
                    </w:rPr>
                    <w:t>timely</w:t>
                  </w:r>
                  <w:r>
                    <w:rPr>
                      <w:i/>
                      <w:color w:val="000000"/>
                      <w:spacing w:val="-2"/>
                      <w:sz w:val="22"/>
                    </w:rPr>
                    <w:t> manner.</w:t>
                  </w:r>
                </w:p>
                <w:p>
                  <w:pPr>
                    <w:pStyle w:val="BodyText"/>
                    <w:spacing w:before="8"/>
                    <w:rPr>
                      <w:i/>
                      <w:color w:val="000000"/>
                      <w:sz w:val="19"/>
                    </w:rPr>
                  </w:pPr>
                </w:p>
                <w:p>
                  <w:pPr>
                    <w:spacing w:before="0"/>
                    <w:ind w:left="134" w:right="0" w:firstLine="0"/>
                    <w:jc w:val="left"/>
                    <w:rPr>
                      <w:i/>
                      <w:color w:val="000000"/>
                      <w:sz w:val="22"/>
                    </w:rPr>
                  </w:pPr>
                  <w:r>
                    <w:rPr>
                      <w:b/>
                      <w:i/>
                      <w:color w:val="000000"/>
                      <w:sz w:val="22"/>
                    </w:rPr>
                    <w:t>Evidence</w:t>
                  </w:r>
                  <w:r>
                    <w:rPr>
                      <w:b/>
                      <w:i/>
                      <w:color w:val="000000"/>
                      <w:spacing w:val="-4"/>
                      <w:sz w:val="22"/>
                    </w:rPr>
                    <w:t> </w:t>
                  </w:r>
                  <w:r>
                    <w:rPr>
                      <w:b/>
                      <w:i/>
                      <w:color w:val="000000"/>
                      <w:sz w:val="22"/>
                    </w:rPr>
                    <w:t>Source</w:t>
                  </w:r>
                  <w:r>
                    <w:rPr>
                      <w:i/>
                      <w:color w:val="000000"/>
                      <w:sz w:val="22"/>
                    </w:rPr>
                    <w:t>:</w:t>
                  </w:r>
                  <w:r>
                    <w:rPr>
                      <w:i/>
                      <w:color w:val="000000"/>
                      <w:spacing w:val="-7"/>
                      <w:sz w:val="22"/>
                    </w:rPr>
                    <w:t> </w:t>
                  </w:r>
                  <w:r>
                    <w:rPr>
                      <w:i/>
                      <w:color w:val="000000"/>
                      <w:sz w:val="22"/>
                    </w:rPr>
                    <w:t>MEHRD</w:t>
                  </w:r>
                  <w:r>
                    <w:rPr>
                      <w:i/>
                      <w:color w:val="000000"/>
                      <w:spacing w:val="-8"/>
                      <w:sz w:val="22"/>
                    </w:rPr>
                    <w:t> </w:t>
                  </w:r>
                  <w:r>
                    <w:rPr>
                      <w:i/>
                      <w:color w:val="000000"/>
                      <w:sz w:val="22"/>
                    </w:rPr>
                    <w:t>School</w:t>
                  </w:r>
                  <w:r>
                    <w:rPr>
                      <w:i/>
                      <w:color w:val="000000"/>
                      <w:spacing w:val="-3"/>
                      <w:sz w:val="22"/>
                    </w:rPr>
                    <w:t> </w:t>
                  </w:r>
                  <w:r>
                    <w:rPr>
                      <w:i/>
                      <w:color w:val="000000"/>
                      <w:sz w:val="22"/>
                    </w:rPr>
                    <w:t>Grants</w:t>
                  </w:r>
                  <w:r>
                    <w:rPr>
                      <w:i/>
                      <w:color w:val="000000"/>
                      <w:spacing w:val="-6"/>
                      <w:sz w:val="22"/>
                    </w:rPr>
                    <w:t> </w:t>
                  </w:r>
                  <w:r>
                    <w:rPr>
                      <w:i/>
                      <w:color w:val="000000"/>
                      <w:sz w:val="22"/>
                    </w:rPr>
                    <w:t>Analysis</w:t>
                  </w:r>
                  <w:r>
                    <w:rPr>
                      <w:i/>
                      <w:color w:val="000000"/>
                      <w:spacing w:val="-5"/>
                      <w:sz w:val="22"/>
                    </w:rPr>
                    <w:t> </w:t>
                  </w:r>
                  <w:r>
                    <w:rPr>
                      <w:i/>
                      <w:color w:val="000000"/>
                      <w:sz w:val="22"/>
                    </w:rPr>
                    <w:t>-</w:t>
                  </w:r>
                  <w:r>
                    <w:rPr>
                      <w:i/>
                      <w:color w:val="000000"/>
                      <w:spacing w:val="-6"/>
                      <w:sz w:val="22"/>
                    </w:rPr>
                    <w:t> </w:t>
                  </w:r>
                  <w:r>
                    <w:rPr>
                      <w:i/>
                      <w:color w:val="000000"/>
                      <w:spacing w:val="-4"/>
                      <w:sz w:val="22"/>
                    </w:rPr>
                    <w:t>2016</w:t>
                  </w:r>
                </w:p>
                <w:p>
                  <w:pPr>
                    <w:spacing w:before="121"/>
                    <w:ind w:left="134" w:right="0" w:firstLine="0"/>
                    <w:jc w:val="left"/>
                    <w:rPr>
                      <w:i/>
                      <w:color w:val="000000"/>
                      <w:sz w:val="22"/>
                    </w:rPr>
                  </w:pPr>
                  <w:r>
                    <w:rPr>
                      <w:b/>
                      <w:i/>
                      <w:color w:val="000000"/>
                      <w:sz w:val="22"/>
                    </w:rPr>
                    <w:t>Assessment</w:t>
                  </w:r>
                  <w:r>
                    <w:rPr>
                      <w:i/>
                      <w:color w:val="000000"/>
                      <w:sz w:val="22"/>
                    </w:rPr>
                    <w:t>:</w:t>
                  </w:r>
                  <w:r>
                    <w:rPr>
                      <w:i/>
                      <w:color w:val="000000"/>
                      <w:spacing w:val="-6"/>
                      <w:sz w:val="22"/>
                    </w:rPr>
                    <w:t> </w:t>
                  </w:r>
                  <w:r>
                    <w:rPr>
                      <w:i/>
                      <w:color w:val="000000"/>
                      <w:sz w:val="22"/>
                    </w:rPr>
                    <w:t>Target</w:t>
                  </w:r>
                  <w:r>
                    <w:rPr>
                      <w:i/>
                      <w:color w:val="000000"/>
                      <w:spacing w:val="-5"/>
                      <w:sz w:val="22"/>
                    </w:rPr>
                    <w:t> </w:t>
                  </w:r>
                  <w:r>
                    <w:rPr>
                      <w:i/>
                      <w:color w:val="000000"/>
                      <w:spacing w:val="-2"/>
                      <w:sz w:val="22"/>
                    </w:rPr>
                    <w:t>Achieved</w:t>
                  </w:r>
                </w:p>
              </w:txbxContent>
            </v:textbox>
            <v:fill opacity="7195f" type="solid"/>
            <v:stroke dashstyle="solid"/>
            <w10:wrap type="topAndBottom"/>
          </v:shape>
        </w:pict>
      </w:r>
    </w:p>
    <w:p>
      <w:pPr>
        <w:pStyle w:val="BodyText"/>
        <w:rPr>
          <w:sz w:val="24"/>
        </w:rPr>
      </w:pPr>
    </w:p>
    <w:p>
      <w:pPr>
        <w:pStyle w:val="BodyText"/>
        <w:ind w:left="1120" w:right="1177"/>
        <w:jc w:val="both"/>
      </w:pPr>
      <w:r>
        <w:rPr/>
        <w:t>In 2017, eighty-four per cent (84%) of schools and institutions had received their first tranche </w:t>
      </w:r>
      <w:r>
        <w:rPr>
          <w:spacing w:val="-2"/>
        </w:rPr>
        <w:t>payments</w:t>
      </w:r>
      <w:r>
        <w:rPr>
          <w:spacing w:val="-7"/>
        </w:rPr>
        <w:t> </w:t>
      </w:r>
      <w:r>
        <w:rPr>
          <w:spacing w:val="-2"/>
        </w:rPr>
        <w:t>in</w:t>
      </w:r>
      <w:r>
        <w:rPr>
          <w:spacing w:val="-7"/>
        </w:rPr>
        <w:t> </w:t>
      </w:r>
      <w:r>
        <w:rPr>
          <w:spacing w:val="-2"/>
        </w:rPr>
        <w:t>February.</w:t>
      </w:r>
      <w:r>
        <w:rPr>
          <w:spacing w:val="-4"/>
        </w:rPr>
        <w:t> </w:t>
      </w:r>
      <w:r>
        <w:rPr>
          <w:spacing w:val="-2"/>
        </w:rPr>
        <w:t>Of this total,</w:t>
      </w:r>
      <w:r>
        <w:rPr>
          <w:spacing w:val="-3"/>
        </w:rPr>
        <w:t> </w:t>
      </w:r>
      <w:r>
        <w:rPr>
          <w:spacing w:val="-2"/>
        </w:rPr>
        <w:t>ninety-four per cent</w:t>
      </w:r>
      <w:r>
        <w:rPr>
          <w:spacing w:val="-9"/>
        </w:rPr>
        <w:t> </w:t>
      </w:r>
      <w:r>
        <w:rPr>
          <w:spacing w:val="-2"/>
        </w:rPr>
        <w:t>(94%)</w:t>
      </w:r>
      <w:r>
        <w:rPr>
          <w:spacing w:val="-5"/>
        </w:rPr>
        <w:t> </w:t>
      </w:r>
      <w:r>
        <w:rPr>
          <w:spacing w:val="-2"/>
        </w:rPr>
        <w:t>of primary</w:t>
      </w:r>
      <w:r>
        <w:rPr>
          <w:spacing w:val="-5"/>
        </w:rPr>
        <w:t> </w:t>
      </w:r>
      <w:r>
        <w:rPr>
          <w:spacing w:val="-2"/>
        </w:rPr>
        <w:t>and junior</w:t>
      </w:r>
      <w:r>
        <w:rPr>
          <w:spacing w:val="-7"/>
        </w:rPr>
        <w:t> </w:t>
      </w:r>
      <w:r>
        <w:rPr>
          <w:spacing w:val="-2"/>
        </w:rPr>
        <w:t>secondary</w:t>
      </w:r>
      <w:r>
        <w:rPr>
          <w:spacing w:val="-5"/>
        </w:rPr>
        <w:t> </w:t>
      </w:r>
      <w:r>
        <w:rPr>
          <w:spacing w:val="-2"/>
        </w:rPr>
        <w:t>schools </w:t>
      </w:r>
      <w:r>
        <w:rPr/>
        <w:t>received the first tranche of their Basic Education Grant (Table 5) in February 2017.</w:t>
      </w:r>
    </w:p>
    <w:p>
      <w:pPr>
        <w:pStyle w:val="BodyText"/>
        <w:spacing w:before="9"/>
        <w:rPr>
          <w:sz w:val="19"/>
        </w:rPr>
      </w:pPr>
    </w:p>
    <w:p>
      <w:pPr>
        <w:spacing w:before="0"/>
        <w:ind w:left="1120" w:right="0" w:firstLine="0"/>
        <w:jc w:val="both"/>
        <w:rPr>
          <w:i/>
          <w:sz w:val="22"/>
        </w:rPr>
      </w:pPr>
      <w:r>
        <w:rPr>
          <w:i/>
          <w:sz w:val="22"/>
        </w:rPr>
        <w:t>Table</w:t>
      </w:r>
      <w:r>
        <w:rPr>
          <w:i/>
          <w:spacing w:val="-4"/>
          <w:sz w:val="22"/>
        </w:rPr>
        <w:t> </w:t>
      </w:r>
      <w:r>
        <w:rPr>
          <w:i/>
          <w:sz w:val="22"/>
        </w:rPr>
        <w:t>5:</w:t>
      </w:r>
      <w:r>
        <w:rPr>
          <w:i/>
          <w:spacing w:val="-5"/>
          <w:sz w:val="22"/>
        </w:rPr>
        <w:t> </w:t>
      </w:r>
      <w:r>
        <w:rPr>
          <w:i/>
          <w:sz w:val="22"/>
        </w:rPr>
        <w:t>Disbursement</w:t>
      </w:r>
      <w:r>
        <w:rPr>
          <w:i/>
          <w:spacing w:val="-6"/>
          <w:sz w:val="22"/>
        </w:rPr>
        <w:t> </w:t>
      </w:r>
      <w:r>
        <w:rPr>
          <w:i/>
          <w:sz w:val="22"/>
        </w:rPr>
        <w:t>of</w:t>
      </w:r>
      <w:r>
        <w:rPr>
          <w:i/>
          <w:spacing w:val="-4"/>
          <w:sz w:val="22"/>
        </w:rPr>
        <w:t> </w:t>
      </w:r>
      <w:r>
        <w:rPr>
          <w:i/>
          <w:sz w:val="22"/>
        </w:rPr>
        <w:t>First</w:t>
      </w:r>
      <w:r>
        <w:rPr>
          <w:i/>
          <w:spacing w:val="-5"/>
          <w:sz w:val="22"/>
        </w:rPr>
        <w:t> </w:t>
      </w:r>
      <w:r>
        <w:rPr>
          <w:i/>
          <w:sz w:val="22"/>
        </w:rPr>
        <w:t>Tranche</w:t>
      </w:r>
      <w:r>
        <w:rPr>
          <w:i/>
          <w:spacing w:val="-4"/>
          <w:sz w:val="22"/>
        </w:rPr>
        <w:t> </w:t>
      </w:r>
      <w:r>
        <w:rPr>
          <w:i/>
          <w:sz w:val="22"/>
        </w:rPr>
        <w:t>of</w:t>
      </w:r>
      <w:r>
        <w:rPr>
          <w:i/>
          <w:spacing w:val="-3"/>
          <w:sz w:val="22"/>
        </w:rPr>
        <w:t> </w:t>
      </w:r>
      <w:r>
        <w:rPr>
          <w:i/>
          <w:sz w:val="22"/>
        </w:rPr>
        <w:t>2017</w:t>
      </w:r>
      <w:r>
        <w:rPr>
          <w:i/>
          <w:spacing w:val="-5"/>
          <w:sz w:val="22"/>
        </w:rPr>
        <w:t> </w:t>
      </w:r>
      <w:r>
        <w:rPr>
          <w:i/>
          <w:sz w:val="22"/>
        </w:rPr>
        <w:t>Grants</w:t>
      </w:r>
      <w:r>
        <w:rPr>
          <w:i/>
          <w:spacing w:val="-4"/>
          <w:sz w:val="22"/>
        </w:rPr>
        <w:t> </w:t>
      </w:r>
      <w:r>
        <w:rPr>
          <w:i/>
          <w:sz w:val="22"/>
        </w:rPr>
        <w:t>by</w:t>
      </w:r>
      <w:r>
        <w:rPr>
          <w:i/>
          <w:spacing w:val="-1"/>
          <w:sz w:val="22"/>
        </w:rPr>
        <w:t> </w:t>
      </w:r>
      <w:r>
        <w:rPr>
          <w:i/>
          <w:sz w:val="22"/>
        </w:rPr>
        <w:t>Institution</w:t>
      </w:r>
      <w:r>
        <w:rPr>
          <w:i/>
          <w:spacing w:val="-2"/>
          <w:sz w:val="22"/>
        </w:rPr>
        <w:t> </w:t>
      </w:r>
      <w:r>
        <w:rPr>
          <w:i/>
          <w:spacing w:val="-4"/>
          <w:sz w:val="22"/>
        </w:rPr>
        <w:t>Type</w:t>
      </w:r>
    </w:p>
    <w:p>
      <w:pPr>
        <w:pStyle w:val="BodyText"/>
        <w:spacing w:before="9"/>
        <w:rPr>
          <w:i/>
          <w:sz w:val="9"/>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891"/>
        <w:gridCol w:w="1560"/>
        <w:gridCol w:w="1416"/>
        <w:gridCol w:w="1670"/>
        <w:gridCol w:w="1387"/>
      </w:tblGrid>
      <w:tr>
        <w:trPr>
          <w:trHeight w:val="926" w:hRule="atLeast"/>
        </w:trPr>
        <w:tc>
          <w:tcPr>
            <w:tcW w:w="2160" w:type="dxa"/>
            <w:shd w:val="clear" w:color="auto" w:fill="B8CCE4"/>
          </w:tcPr>
          <w:p>
            <w:pPr>
              <w:pStyle w:val="TableParagraph"/>
              <w:spacing w:before="10"/>
              <w:rPr>
                <w:i/>
                <w:sz w:val="26"/>
              </w:rPr>
            </w:pPr>
          </w:p>
          <w:p>
            <w:pPr>
              <w:pStyle w:val="TableParagraph"/>
              <w:ind w:left="153"/>
              <w:rPr>
                <w:b/>
                <w:sz w:val="22"/>
              </w:rPr>
            </w:pPr>
            <w:r>
              <w:rPr>
                <w:b/>
                <w:sz w:val="22"/>
              </w:rPr>
              <w:t>Account</w:t>
            </w:r>
            <w:r>
              <w:rPr>
                <w:b/>
                <w:spacing w:val="-3"/>
                <w:sz w:val="22"/>
              </w:rPr>
              <w:t> </w:t>
            </w:r>
            <w:r>
              <w:rPr>
                <w:b/>
                <w:spacing w:val="-2"/>
                <w:sz w:val="22"/>
              </w:rPr>
              <w:t>Description</w:t>
            </w:r>
          </w:p>
        </w:tc>
        <w:tc>
          <w:tcPr>
            <w:tcW w:w="1891" w:type="dxa"/>
            <w:shd w:val="clear" w:color="auto" w:fill="B8CCE4"/>
          </w:tcPr>
          <w:p>
            <w:pPr>
              <w:pStyle w:val="TableParagraph"/>
              <w:spacing w:before="10"/>
              <w:rPr>
                <w:i/>
                <w:sz w:val="26"/>
              </w:rPr>
            </w:pPr>
          </w:p>
          <w:p>
            <w:pPr>
              <w:pStyle w:val="TableParagraph"/>
              <w:ind w:left="638"/>
              <w:rPr>
                <w:b/>
                <w:sz w:val="22"/>
              </w:rPr>
            </w:pPr>
            <w:r>
              <w:rPr>
                <w:b/>
                <w:spacing w:val="-2"/>
                <w:sz w:val="22"/>
              </w:rPr>
              <w:t>Budget</w:t>
            </w:r>
          </w:p>
        </w:tc>
        <w:tc>
          <w:tcPr>
            <w:tcW w:w="1560" w:type="dxa"/>
            <w:shd w:val="clear" w:color="auto" w:fill="B8CCE4"/>
          </w:tcPr>
          <w:p>
            <w:pPr>
              <w:pStyle w:val="TableParagraph"/>
              <w:spacing w:line="235" w:lineRule="auto" w:before="197"/>
              <w:ind w:left="441" w:hanging="149"/>
              <w:rPr>
                <w:b/>
                <w:sz w:val="22"/>
              </w:rPr>
            </w:pPr>
            <w:r>
              <w:rPr>
                <w:b/>
                <w:spacing w:val="-2"/>
                <w:sz w:val="22"/>
              </w:rPr>
              <w:t>Registered schools</w:t>
            </w:r>
          </w:p>
        </w:tc>
        <w:tc>
          <w:tcPr>
            <w:tcW w:w="1416" w:type="dxa"/>
            <w:shd w:val="clear" w:color="auto" w:fill="B8CCE4"/>
          </w:tcPr>
          <w:p>
            <w:pPr>
              <w:pStyle w:val="TableParagraph"/>
              <w:spacing w:line="237" w:lineRule="auto" w:before="61"/>
              <w:ind w:left="105" w:right="97" w:hanging="8"/>
              <w:jc w:val="center"/>
              <w:rPr>
                <w:b/>
                <w:sz w:val="22"/>
              </w:rPr>
            </w:pPr>
            <w:r>
              <w:rPr>
                <w:b/>
                <w:sz w:val="22"/>
              </w:rPr>
              <w:t>Total Paid (1st</w:t>
            </w:r>
            <w:r>
              <w:rPr>
                <w:b/>
                <w:spacing w:val="-13"/>
                <w:sz w:val="22"/>
              </w:rPr>
              <w:t> </w:t>
            </w:r>
            <w:r>
              <w:rPr>
                <w:b/>
                <w:sz w:val="22"/>
              </w:rPr>
              <w:t>Biannual </w:t>
            </w:r>
            <w:r>
              <w:rPr>
                <w:b/>
                <w:spacing w:val="-2"/>
                <w:sz w:val="22"/>
              </w:rPr>
              <w:t>2017)</w:t>
            </w:r>
          </w:p>
        </w:tc>
        <w:tc>
          <w:tcPr>
            <w:tcW w:w="1670" w:type="dxa"/>
            <w:shd w:val="clear" w:color="auto" w:fill="B8CCE4"/>
          </w:tcPr>
          <w:p>
            <w:pPr>
              <w:pStyle w:val="TableParagraph"/>
              <w:spacing w:before="10"/>
              <w:rPr>
                <w:i/>
                <w:sz w:val="26"/>
              </w:rPr>
            </w:pPr>
          </w:p>
          <w:p>
            <w:pPr>
              <w:pStyle w:val="TableParagraph"/>
              <w:ind w:left="196"/>
              <w:rPr>
                <w:b/>
                <w:sz w:val="22"/>
              </w:rPr>
            </w:pPr>
            <w:r>
              <w:rPr>
                <w:b/>
                <w:sz w:val="22"/>
              </w:rPr>
              <w:t>Payment</w:t>
            </w:r>
            <w:r>
              <w:rPr>
                <w:b/>
                <w:spacing w:val="-8"/>
                <w:sz w:val="22"/>
              </w:rPr>
              <w:t> </w:t>
            </w:r>
            <w:r>
              <w:rPr>
                <w:b/>
                <w:spacing w:val="-4"/>
                <w:sz w:val="22"/>
              </w:rPr>
              <w:t>Rate</w:t>
            </w:r>
          </w:p>
        </w:tc>
        <w:tc>
          <w:tcPr>
            <w:tcW w:w="1387" w:type="dxa"/>
            <w:shd w:val="clear" w:color="auto" w:fill="B8CCE4"/>
          </w:tcPr>
          <w:p>
            <w:pPr>
              <w:pStyle w:val="TableParagraph"/>
              <w:spacing w:before="10"/>
              <w:rPr>
                <w:i/>
                <w:sz w:val="26"/>
              </w:rPr>
            </w:pPr>
          </w:p>
          <w:p>
            <w:pPr>
              <w:pStyle w:val="TableParagraph"/>
              <w:ind w:left="216"/>
              <w:rPr>
                <w:b/>
                <w:sz w:val="22"/>
              </w:rPr>
            </w:pPr>
            <w:r>
              <w:rPr>
                <w:b/>
                <w:sz w:val="22"/>
              </w:rPr>
              <w:t>YTD</w:t>
            </w:r>
            <w:r>
              <w:rPr>
                <w:b/>
                <w:spacing w:val="-1"/>
                <w:sz w:val="22"/>
              </w:rPr>
              <w:t> </w:t>
            </w:r>
            <w:r>
              <w:rPr>
                <w:b/>
                <w:spacing w:val="-2"/>
                <w:sz w:val="22"/>
              </w:rPr>
              <w:t>Actual</w:t>
            </w:r>
          </w:p>
        </w:tc>
      </w:tr>
      <w:tr>
        <w:trPr>
          <w:trHeight w:val="364" w:hRule="atLeast"/>
        </w:trPr>
        <w:tc>
          <w:tcPr>
            <w:tcW w:w="2160" w:type="dxa"/>
          </w:tcPr>
          <w:p>
            <w:pPr>
              <w:pStyle w:val="TableParagraph"/>
              <w:spacing w:before="59"/>
              <w:ind w:left="105"/>
              <w:rPr>
                <w:sz w:val="20"/>
              </w:rPr>
            </w:pPr>
            <w:r>
              <w:rPr>
                <w:sz w:val="20"/>
              </w:rPr>
              <w:t>ECE</w:t>
            </w:r>
            <w:r>
              <w:rPr>
                <w:spacing w:val="-2"/>
                <w:sz w:val="20"/>
              </w:rPr>
              <w:t> Grant</w:t>
            </w:r>
          </w:p>
        </w:tc>
        <w:tc>
          <w:tcPr>
            <w:tcW w:w="1891" w:type="dxa"/>
          </w:tcPr>
          <w:p>
            <w:pPr>
              <w:pStyle w:val="TableParagraph"/>
              <w:spacing w:before="59"/>
              <w:ind w:right="98"/>
              <w:jc w:val="right"/>
              <w:rPr>
                <w:sz w:val="20"/>
              </w:rPr>
            </w:pPr>
            <w:r>
              <w:rPr>
                <w:spacing w:val="-2"/>
                <w:sz w:val="20"/>
              </w:rPr>
              <w:t>1,200,000.00</w:t>
            </w:r>
          </w:p>
        </w:tc>
        <w:tc>
          <w:tcPr>
            <w:tcW w:w="1560" w:type="dxa"/>
          </w:tcPr>
          <w:p>
            <w:pPr>
              <w:pStyle w:val="TableParagraph"/>
              <w:spacing w:before="59"/>
              <w:ind w:right="93"/>
              <w:jc w:val="right"/>
              <w:rPr>
                <w:sz w:val="20"/>
              </w:rPr>
            </w:pPr>
            <w:r>
              <w:rPr>
                <w:spacing w:val="-5"/>
                <w:sz w:val="20"/>
              </w:rPr>
              <w:t>302</w:t>
            </w:r>
          </w:p>
        </w:tc>
        <w:tc>
          <w:tcPr>
            <w:tcW w:w="1416" w:type="dxa"/>
          </w:tcPr>
          <w:p>
            <w:pPr>
              <w:pStyle w:val="TableParagraph"/>
              <w:spacing w:before="59"/>
              <w:ind w:right="98"/>
              <w:jc w:val="right"/>
              <w:rPr>
                <w:sz w:val="20"/>
              </w:rPr>
            </w:pPr>
            <w:r>
              <w:rPr>
                <w:spacing w:val="-5"/>
                <w:sz w:val="20"/>
              </w:rPr>
              <w:t>177</w:t>
            </w:r>
          </w:p>
        </w:tc>
        <w:tc>
          <w:tcPr>
            <w:tcW w:w="1670" w:type="dxa"/>
          </w:tcPr>
          <w:p>
            <w:pPr>
              <w:pStyle w:val="TableParagraph"/>
              <w:spacing w:before="59"/>
              <w:ind w:right="94"/>
              <w:jc w:val="right"/>
              <w:rPr>
                <w:sz w:val="20"/>
              </w:rPr>
            </w:pPr>
            <w:r>
              <w:rPr>
                <w:spacing w:val="-5"/>
                <w:sz w:val="20"/>
              </w:rPr>
              <w:t>59%</w:t>
            </w:r>
          </w:p>
        </w:tc>
        <w:tc>
          <w:tcPr>
            <w:tcW w:w="1387" w:type="dxa"/>
          </w:tcPr>
          <w:p>
            <w:pPr>
              <w:pStyle w:val="TableParagraph"/>
              <w:spacing w:before="59"/>
              <w:ind w:right="97"/>
              <w:jc w:val="right"/>
              <w:rPr>
                <w:sz w:val="20"/>
              </w:rPr>
            </w:pPr>
            <w:r>
              <w:rPr>
                <w:spacing w:val="-2"/>
                <w:sz w:val="20"/>
              </w:rPr>
              <w:t>949,950.00</w:t>
            </w:r>
          </w:p>
        </w:tc>
      </w:tr>
      <w:tr>
        <w:trPr>
          <w:trHeight w:val="359" w:hRule="atLeast"/>
        </w:trPr>
        <w:tc>
          <w:tcPr>
            <w:tcW w:w="2160" w:type="dxa"/>
          </w:tcPr>
          <w:p>
            <w:pPr>
              <w:pStyle w:val="TableParagraph"/>
              <w:spacing w:before="59"/>
              <w:ind w:left="105"/>
              <w:rPr>
                <w:sz w:val="20"/>
              </w:rPr>
            </w:pPr>
            <w:r>
              <w:rPr>
                <w:sz w:val="20"/>
              </w:rPr>
              <w:t>T.V.E.T.</w:t>
            </w:r>
            <w:r>
              <w:rPr>
                <w:spacing w:val="-13"/>
                <w:sz w:val="20"/>
              </w:rPr>
              <w:t> </w:t>
            </w:r>
            <w:r>
              <w:rPr>
                <w:spacing w:val="-2"/>
                <w:sz w:val="20"/>
              </w:rPr>
              <w:t>Grant</w:t>
            </w:r>
          </w:p>
        </w:tc>
        <w:tc>
          <w:tcPr>
            <w:tcW w:w="1891" w:type="dxa"/>
          </w:tcPr>
          <w:p>
            <w:pPr>
              <w:pStyle w:val="TableParagraph"/>
              <w:spacing w:before="59"/>
              <w:ind w:right="98"/>
              <w:jc w:val="right"/>
              <w:rPr>
                <w:sz w:val="20"/>
              </w:rPr>
            </w:pPr>
            <w:r>
              <w:rPr>
                <w:spacing w:val="-2"/>
                <w:sz w:val="20"/>
              </w:rPr>
              <w:t>1,861,200.00</w:t>
            </w:r>
          </w:p>
        </w:tc>
        <w:tc>
          <w:tcPr>
            <w:tcW w:w="1560" w:type="dxa"/>
          </w:tcPr>
          <w:p>
            <w:pPr>
              <w:pStyle w:val="TableParagraph"/>
              <w:spacing w:before="59"/>
              <w:ind w:right="93"/>
              <w:jc w:val="right"/>
              <w:rPr>
                <w:sz w:val="20"/>
              </w:rPr>
            </w:pPr>
            <w:r>
              <w:rPr>
                <w:spacing w:val="-5"/>
                <w:sz w:val="20"/>
              </w:rPr>
              <w:t>43</w:t>
            </w:r>
          </w:p>
        </w:tc>
        <w:tc>
          <w:tcPr>
            <w:tcW w:w="1416" w:type="dxa"/>
          </w:tcPr>
          <w:p>
            <w:pPr>
              <w:pStyle w:val="TableParagraph"/>
              <w:spacing w:before="59"/>
              <w:ind w:right="98"/>
              <w:jc w:val="right"/>
              <w:rPr>
                <w:sz w:val="20"/>
              </w:rPr>
            </w:pPr>
            <w:r>
              <w:rPr>
                <w:spacing w:val="-5"/>
                <w:sz w:val="20"/>
              </w:rPr>
              <w:t>36</w:t>
            </w:r>
          </w:p>
        </w:tc>
        <w:tc>
          <w:tcPr>
            <w:tcW w:w="1670" w:type="dxa"/>
          </w:tcPr>
          <w:p>
            <w:pPr>
              <w:pStyle w:val="TableParagraph"/>
              <w:spacing w:before="59"/>
              <w:ind w:right="94"/>
              <w:jc w:val="right"/>
              <w:rPr>
                <w:sz w:val="20"/>
              </w:rPr>
            </w:pPr>
            <w:r>
              <w:rPr>
                <w:spacing w:val="-5"/>
                <w:sz w:val="20"/>
              </w:rPr>
              <w:t>84%</w:t>
            </w:r>
          </w:p>
        </w:tc>
        <w:tc>
          <w:tcPr>
            <w:tcW w:w="1387" w:type="dxa"/>
          </w:tcPr>
          <w:p>
            <w:pPr>
              <w:pStyle w:val="TableParagraph"/>
              <w:spacing w:before="59"/>
              <w:ind w:right="97"/>
              <w:jc w:val="right"/>
              <w:rPr>
                <w:sz w:val="20"/>
              </w:rPr>
            </w:pPr>
            <w:r>
              <w:rPr>
                <w:spacing w:val="-2"/>
                <w:sz w:val="20"/>
              </w:rPr>
              <w:t>1,155,130.00</w:t>
            </w:r>
          </w:p>
        </w:tc>
      </w:tr>
      <w:tr>
        <w:trPr>
          <w:trHeight w:val="609" w:hRule="atLeast"/>
        </w:trPr>
        <w:tc>
          <w:tcPr>
            <w:tcW w:w="2160" w:type="dxa"/>
          </w:tcPr>
          <w:p>
            <w:pPr>
              <w:pStyle w:val="TableParagraph"/>
              <w:rPr>
                <w:i/>
                <w:sz w:val="15"/>
              </w:rPr>
            </w:pPr>
          </w:p>
          <w:p>
            <w:pPr>
              <w:pStyle w:val="TableParagraph"/>
              <w:ind w:left="105"/>
              <w:rPr>
                <w:sz w:val="20"/>
              </w:rPr>
            </w:pPr>
            <w:r>
              <w:rPr>
                <w:sz w:val="20"/>
              </w:rPr>
              <w:t>Basic</w:t>
            </w:r>
            <w:r>
              <w:rPr>
                <w:spacing w:val="-9"/>
                <w:sz w:val="20"/>
              </w:rPr>
              <w:t> </w:t>
            </w:r>
            <w:r>
              <w:rPr>
                <w:sz w:val="20"/>
              </w:rPr>
              <w:t>Education</w:t>
            </w:r>
            <w:r>
              <w:rPr>
                <w:spacing w:val="-11"/>
                <w:sz w:val="20"/>
              </w:rPr>
              <w:t> </w:t>
            </w:r>
            <w:r>
              <w:rPr>
                <w:spacing w:val="-4"/>
                <w:sz w:val="20"/>
              </w:rPr>
              <w:t>Grant</w:t>
            </w:r>
          </w:p>
        </w:tc>
        <w:tc>
          <w:tcPr>
            <w:tcW w:w="1891" w:type="dxa"/>
          </w:tcPr>
          <w:p>
            <w:pPr>
              <w:pStyle w:val="TableParagraph"/>
              <w:rPr>
                <w:i/>
                <w:sz w:val="15"/>
              </w:rPr>
            </w:pPr>
          </w:p>
          <w:p>
            <w:pPr>
              <w:pStyle w:val="TableParagraph"/>
              <w:ind w:right="98"/>
              <w:jc w:val="right"/>
              <w:rPr>
                <w:sz w:val="20"/>
              </w:rPr>
            </w:pPr>
            <w:r>
              <w:rPr>
                <w:spacing w:val="-2"/>
                <w:sz w:val="20"/>
              </w:rPr>
              <w:t>48,841,350.00</w:t>
            </w:r>
          </w:p>
        </w:tc>
        <w:tc>
          <w:tcPr>
            <w:tcW w:w="1560" w:type="dxa"/>
          </w:tcPr>
          <w:p>
            <w:pPr>
              <w:pStyle w:val="TableParagraph"/>
              <w:rPr>
                <w:i/>
                <w:sz w:val="15"/>
              </w:rPr>
            </w:pPr>
          </w:p>
          <w:p>
            <w:pPr>
              <w:pStyle w:val="TableParagraph"/>
              <w:ind w:right="93"/>
              <w:jc w:val="right"/>
              <w:rPr>
                <w:sz w:val="20"/>
              </w:rPr>
            </w:pPr>
            <w:r>
              <w:rPr>
                <w:spacing w:val="-5"/>
                <w:sz w:val="20"/>
              </w:rPr>
              <w:t>727</w:t>
            </w:r>
          </w:p>
        </w:tc>
        <w:tc>
          <w:tcPr>
            <w:tcW w:w="1416" w:type="dxa"/>
          </w:tcPr>
          <w:p>
            <w:pPr>
              <w:pStyle w:val="TableParagraph"/>
              <w:rPr>
                <w:i/>
                <w:sz w:val="15"/>
              </w:rPr>
            </w:pPr>
          </w:p>
          <w:p>
            <w:pPr>
              <w:pStyle w:val="TableParagraph"/>
              <w:ind w:right="98"/>
              <w:jc w:val="right"/>
              <w:rPr>
                <w:sz w:val="20"/>
              </w:rPr>
            </w:pPr>
            <w:r>
              <w:rPr>
                <w:spacing w:val="-5"/>
                <w:sz w:val="20"/>
              </w:rPr>
              <w:t>687</w:t>
            </w:r>
          </w:p>
        </w:tc>
        <w:tc>
          <w:tcPr>
            <w:tcW w:w="1670" w:type="dxa"/>
          </w:tcPr>
          <w:p>
            <w:pPr>
              <w:pStyle w:val="TableParagraph"/>
              <w:rPr>
                <w:i/>
                <w:sz w:val="15"/>
              </w:rPr>
            </w:pPr>
          </w:p>
          <w:p>
            <w:pPr>
              <w:pStyle w:val="TableParagraph"/>
              <w:ind w:right="94"/>
              <w:jc w:val="right"/>
              <w:rPr>
                <w:sz w:val="20"/>
              </w:rPr>
            </w:pPr>
            <w:r>
              <w:rPr>
                <w:spacing w:val="-5"/>
                <w:sz w:val="20"/>
              </w:rPr>
              <w:t>94%</w:t>
            </w:r>
          </w:p>
        </w:tc>
        <w:tc>
          <w:tcPr>
            <w:tcW w:w="1387" w:type="dxa"/>
          </w:tcPr>
          <w:p>
            <w:pPr>
              <w:pStyle w:val="TableParagraph"/>
              <w:spacing w:before="10"/>
              <w:rPr>
                <w:i/>
                <w:sz w:val="24"/>
              </w:rPr>
            </w:pPr>
          </w:p>
          <w:p>
            <w:pPr>
              <w:pStyle w:val="TableParagraph"/>
              <w:ind w:right="98"/>
              <w:jc w:val="right"/>
              <w:rPr>
                <w:sz w:val="20"/>
              </w:rPr>
            </w:pPr>
            <w:r>
              <w:rPr>
                <w:spacing w:val="-2"/>
                <w:sz w:val="20"/>
              </w:rPr>
              <w:t>24,943,400.00</w:t>
            </w:r>
          </w:p>
        </w:tc>
      </w:tr>
      <w:tr>
        <w:trPr>
          <w:trHeight w:val="609" w:hRule="atLeast"/>
        </w:trPr>
        <w:tc>
          <w:tcPr>
            <w:tcW w:w="2160" w:type="dxa"/>
          </w:tcPr>
          <w:p>
            <w:pPr>
              <w:pStyle w:val="TableParagraph"/>
              <w:rPr>
                <w:i/>
                <w:sz w:val="15"/>
              </w:rPr>
            </w:pPr>
          </w:p>
          <w:p>
            <w:pPr>
              <w:pStyle w:val="TableParagraph"/>
              <w:ind w:left="105"/>
              <w:rPr>
                <w:sz w:val="20"/>
              </w:rPr>
            </w:pPr>
            <w:r>
              <w:rPr>
                <w:sz w:val="20"/>
              </w:rPr>
              <w:t>Senior</w:t>
            </w:r>
            <w:r>
              <w:rPr>
                <w:spacing w:val="-11"/>
                <w:sz w:val="20"/>
              </w:rPr>
              <w:t> </w:t>
            </w:r>
            <w:r>
              <w:rPr>
                <w:sz w:val="20"/>
              </w:rPr>
              <w:t>Education</w:t>
            </w:r>
            <w:r>
              <w:rPr>
                <w:spacing w:val="-9"/>
                <w:sz w:val="20"/>
              </w:rPr>
              <w:t> </w:t>
            </w:r>
            <w:r>
              <w:rPr>
                <w:spacing w:val="-4"/>
                <w:sz w:val="20"/>
              </w:rPr>
              <w:t>Grant</w:t>
            </w:r>
          </w:p>
        </w:tc>
        <w:tc>
          <w:tcPr>
            <w:tcW w:w="1891" w:type="dxa"/>
          </w:tcPr>
          <w:p>
            <w:pPr>
              <w:pStyle w:val="TableParagraph"/>
              <w:rPr>
                <w:i/>
                <w:sz w:val="15"/>
              </w:rPr>
            </w:pPr>
          </w:p>
          <w:p>
            <w:pPr>
              <w:pStyle w:val="TableParagraph"/>
              <w:ind w:right="98"/>
              <w:jc w:val="right"/>
              <w:rPr>
                <w:sz w:val="20"/>
              </w:rPr>
            </w:pPr>
            <w:r>
              <w:rPr>
                <w:spacing w:val="-2"/>
                <w:sz w:val="20"/>
              </w:rPr>
              <w:t>77,060,936.00</w:t>
            </w:r>
          </w:p>
        </w:tc>
        <w:tc>
          <w:tcPr>
            <w:tcW w:w="1560" w:type="dxa"/>
          </w:tcPr>
          <w:p>
            <w:pPr>
              <w:pStyle w:val="TableParagraph"/>
              <w:rPr>
                <w:i/>
                <w:sz w:val="15"/>
              </w:rPr>
            </w:pPr>
          </w:p>
          <w:p>
            <w:pPr>
              <w:pStyle w:val="TableParagraph"/>
              <w:ind w:right="93"/>
              <w:jc w:val="right"/>
              <w:rPr>
                <w:sz w:val="20"/>
              </w:rPr>
            </w:pPr>
            <w:r>
              <w:rPr>
                <w:spacing w:val="-5"/>
                <w:sz w:val="20"/>
              </w:rPr>
              <w:t>271</w:t>
            </w:r>
          </w:p>
        </w:tc>
        <w:tc>
          <w:tcPr>
            <w:tcW w:w="1416" w:type="dxa"/>
          </w:tcPr>
          <w:p>
            <w:pPr>
              <w:pStyle w:val="TableParagraph"/>
              <w:rPr>
                <w:i/>
                <w:sz w:val="15"/>
              </w:rPr>
            </w:pPr>
          </w:p>
          <w:p>
            <w:pPr>
              <w:pStyle w:val="TableParagraph"/>
              <w:ind w:right="98"/>
              <w:jc w:val="right"/>
              <w:rPr>
                <w:sz w:val="20"/>
              </w:rPr>
            </w:pPr>
            <w:r>
              <w:rPr>
                <w:spacing w:val="-5"/>
                <w:sz w:val="20"/>
              </w:rPr>
              <w:t>255</w:t>
            </w:r>
          </w:p>
        </w:tc>
        <w:tc>
          <w:tcPr>
            <w:tcW w:w="1670" w:type="dxa"/>
          </w:tcPr>
          <w:p>
            <w:pPr>
              <w:pStyle w:val="TableParagraph"/>
              <w:rPr>
                <w:i/>
                <w:sz w:val="15"/>
              </w:rPr>
            </w:pPr>
          </w:p>
          <w:p>
            <w:pPr>
              <w:pStyle w:val="TableParagraph"/>
              <w:ind w:right="94"/>
              <w:jc w:val="right"/>
              <w:rPr>
                <w:sz w:val="20"/>
              </w:rPr>
            </w:pPr>
            <w:r>
              <w:rPr>
                <w:spacing w:val="-5"/>
                <w:sz w:val="20"/>
              </w:rPr>
              <w:t>94%</w:t>
            </w:r>
          </w:p>
        </w:tc>
        <w:tc>
          <w:tcPr>
            <w:tcW w:w="1387" w:type="dxa"/>
          </w:tcPr>
          <w:p>
            <w:pPr>
              <w:pStyle w:val="TableParagraph"/>
              <w:spacing w:before="10"/>
              <w:rPr>
                <w:i/>
                <w:sz w:val="24"/>
              </w:rPr>
            </w:pPr>
          </w:p>
          <w:p>
            <w:pPr>
              <w:pStyle w:val="TableParagraph"/>
              <w:ind w:right="98"/>
              <w:jc w:val="right"/>
              <w:rPr>
                <w:sz w:val="20"/>
              </w:rPr>
            </w:pPr>
            <w:r>
              <w:rPr>
                <w:spacing w:val="-2"/>
                <w:sz w:val="20"/>
              </w:rPr>
              <w:t>28,318,685.00</w:t>
            </w:r>
          </w:p>
        </w:tc>
      </w:tr>
      <w:tr>
        <w:trPr>
          <w:trHeight w:val="364" w:hRule="atLeast"/>
        </w:trPr>
        <w:tc>
          <w:tcPr>
            <w:tcW w:w="2160" w:type="dxa"/>
          </w:tcPr>
          <w:p>
            <w:pPr>
              <w:pStyle w:val="TableParagraph"/>
              <w:spacing w:before="59"/>
              <w:ind w:left="105"/>
              <w:rPr>
                <w:b/>
                <w:sz w:val="20"/>
              </w:rPr>
            </w:pPr>
            <w:r>
              <w:rPr>
                <w:b/>
                <w:spacing w:val="-2"/>
                <w:sz w:val="20"/>
              </w:rPr>
              <w:t>TOTAL</w:t>
            </w:r>
          </w:p>
        </w:tc>
        <w:tc>
          <w:tcPr>
            <w:tcW w:w="1891" w:type="dxa"/>
            <w:shd w:val="clear" w:color="auto" w:fill="B8CCE4"/>
          </w:tcPr>
          <w:p>
            <w:pPr>
              <w:pStyle w:val="TableParagraph"/>
              <w:spacing w:before="59"/>
              <w:ind w:right="98"/>
              <w:jc w:val="right"/>
              <w:rPr>
                <w:b/>
                <w:sz w:val="20"/>
              </w:rPr>
            </w:pPr>
            <w:r>
              <w:rPr>
                <w:b/>
                <w:spacing w:val="-2"/>
                <w:sz w:val="20"/>
              </w:rPr>
              <w:t>128,963,486.00</w:t>
            </w:r>
          </w:p>
        </w:tc>
        <w:tc>
          <w:tcPr>
            <w:tcW w:w="1560" w:type="dxa"/>
            <w:shd w:val="clear" w:color="auto" w:fill="B8CCE4"/>
          </w:tcPr>
          <w:p>
            <w:pPr>
              <w:pStyle w:val="TableParagraph"/>
              <w:spacing w:before="59"/>
              <w:ind w:right="93"/>
              <w:jc w:val="right"/>
              <w:rPr>
                <w:b/>
                <w:sz w:val="20"/>
              </w:rPr>
            </w:pPr>
            <w:r>
              <w:rPr>
                <w:b/>
                <w:spacing w:val="-2"/>
                <w:sz w:val="20"/>
              </w:rPr>
              <w:t>1,341.00</w:t>
            </w:r>
          </w:p>
        </w:tc>
        <w:tc>
          <w:tcPr>
            <w:tcW w:w="1416" w:type="dxa"/>
            <w:shd w:val="clear" w:color="auto" w:fill="B8CCE4"/>
          </w:tcPr>
          <w:p>
            <w:pPr>
              <w:pStyle w:val="TableParagraph"/>
              <w:spacing w:before="59"/>
              <w:ind w:right="98"/>
              <w:jc w:val="right"/>
              <w:rPr>
                <w:b/>
                <w:sz w:val="20"/>
              </w:rPr>
            </w:pPr>
            <w:r>
              <w:rPr>
                <w:b/>
                <w:spacing w:val="-2"/>
                <w:sz w:val="20"/>
              </w:rPr>
              <w:t>1,155</w:t>
            </w:r>
          </w:p>
        </w:tc>
        <w:tc>
          <w:tcPr>
            <w:tcW w:w="1670" w:type="dxa"/>
            <w:shd w:val="clear" w:color="auto" w:fill="B8CCE4"/>
          </w:tcPr>
          <w:p>
            <w:pPr>
              <w:pStyle w:val="TableParagraph"/>
              <w:spacing w:before="59"/>
              <w:ind w:right="96"/>
              <w:jc w:val="right"/>
              <w:rPr>
                <w:b/>
                <w:sz w:val="20"/>
              </w:rPr>
            </w:pPr>
            <w:r>
              <w:rPr>
                <w:b/>
                <w:spacing w:val="-5"/>
                <w:sz w:val="20"/>
              </w:rPr>
              <w:t>86%</w:t>
            </w:r>
          </w:p>
        </w:tc>
        <w:tc>
          <w:tcPr>
            <w:tcW w:w="1387" w:type="dxa"/>
            <w:shd w:val="clear" w:color="auto" w:fill="B8CCE4"/>
          </w:tcPr>
          <w:p>
            <w:pPr>
              <w:pStyle w:val="TableParagraph"/>
              <w:spacing w:before="59"/>
              <w:ind w:right="97"/>
              <w:jc w:val="right"/>
              <w:rPr>
                <w:b/>
                <w:sz w:val="20"/>
              </w:rPr>
            </w:pPr>
            <w:r>
              <w:rPr>
                <w:b/>
                <w:spacing w:val="-2"/>
                <w:sz w:val="20"/>
              </w:rPr>
              <w:t>55,367,165.00</w:t>
            </w:r>
          </w:p>
        </w:tc>
      </w:tr>
    </w:tbl>
    <w:p>
      <w:pPr>
        <w:spacing w:after="0"/>
        <w:jc w:val="right"/>
        <w:rPr>
          <w:sz w:val="20"/>
        </w:rPr>
        <w:sectPr>
          <w:pgSz w:w="11900" w:h="16840"/>
          <w:pgMar w:header="751" w:footer="1206" w:top="1640" w:bottom="1420" w:left="320" w:right="260"/>
        </w:sectPr>
      </w:pPr>
    </w:p>
    <w:p>
      <w:pPr>
        <w:pStyle w:val="BodyText"/>
        <w:spacing w:before="46"/>
        <w:ind w:left="1120" w:right="1173"/>
        <w:jc w:val="both"/>
      </w:pPr>
      <w:r>
        <w:rPr/>
        <w:t>This represents important progress for MEHRD, EAs and schools. However, support will be needed from MEHRD</w:t>
      </w:r>
      <w:r>
        <w:rPr>
          <w:spacing w:val="-1"/>
        </w:rPr>
        <w:t> </w:t>
      </w:r>
      <w:r>
        <w:rPr/>
        <w:t>and EAs to</w:t>
      </w:r>
      <w:r>
        <w:rPr>
          <w:spacing w:val="-1"/>
        </w:rPr>
        <w:t> </w:t>
      </w:r>
      <w:r>
        <w:rPr/>
        <w:t>improve the provision of relevant</w:t>
      </w:r>
      <w:r>
        <w:rPr>
          <w:spacing w:val="-1"/>
        </w:rPr>
        <w:t> </w:t>
      </w:r>
      <w:r>
        <w:rPr/>
        <w:t>information by Early</w:t>
      </w:r>
      <w:r>
        <w:rPr>
          <w:spacing w:val="-3"/>
        </w:rPr>
        <w:t> </w:t>
      </w:r>
      <w:r>
        <w:rPr/>
        <w:t>Childhood Education Centres (ECE) and TVET institutions to improve the on-time distribution of their grants.</w:t>
      </w:r>
    </w:p>
    <w:p>
      <w:pPr>
        <w:pStyle w:val="BodyText"/>
        <w:rPr>
          <w:sz w:val="20"/>
        </w:rPr>
      </w:pPr>
    </w:p>
    <w:p>
      <w:pPr>
        <w:pStyle w:val="BodyText"/>
        <w:spacing w:before="7"/>
        <w:rPr>
          <w:sz w:val="26"/>
        </w:rPr>
      </w:pPr>
      <w:r>
        <w:rPr/>
        <w:pict>
          <v:shape style="position:absolute;margin-left:74.050003pt;margin-top:17.860765pt;width:384.75pt;height:108.2pt;mso-position-horizontal-relative:page;mso-position-vertical-relative:paragraph;z-index:-15725056;mso-wrap-distance-left:0;mso-wrap-distance-right:0" type="#_x0000_t202" id="docshape11" filled="true" fillcolor="#4472c4" stroked="true" strokeweight=".75pt" strokecolor="#4472c4">
            <v:textbox inset="0,0,0,0">
              <w:txbxContent>
                <w:p>
                  <w:pPr>
                    <w:spacing w:line="278" w:lineRule="auto" w:before="64"/>
                    <w:ind w:left="138" w:right="0" w:firstLine="0"/>
                    <w:jc w:val="left"/>
                    <w:rPr>
                      <w:i/>
                      <w:color w:val="000000"/>
                      <w:sz w:val="22"/>
                    </w:rPr>
                  </w:pPr>
                  <w:r>
                    <w:rPr>
                      <w:b/>
                      <w:i/>
                      <w:color w:val="000000"/>
                      <w:sz w:val="22"/>
                    </w:rPr>
                    <w:t>Target</w:t>
                  </w:r>
                  <w:r>
                    <w:rPr>
                      <w:b/>
                      <w:i/>
                      <w:color w:val="000000"/>
                      <w:spacing w:val="-4"/>
                      <w:sz w:val="22"/>
                    </w:rPr>
                    <w:t> </w:t>
                  </w:r>
                  <w:r>
                    <w:rPr>
                      <w:b/>
                      <w:i/>
                      <w:color w:val="000000"/>
                      <w:sz w:val="22"/>
                    </w:rPr>
                    <w:t>2.2.3:</w:t>
                  </w:r>
                  <w:r>
                    <w:rPr>
                      <w:b/>
                      <w:i/>
                      <w:color w:val="000000"/>
                      <w:spacing w:val="-3"/>
                      <w:sz w:val="22"/>
                    </w:rPr>
                    <w:t> </w:t>
                  </w:r>
                  <w:r>
                    <w:rPr>
                      <w:i/>
                      <w:color w:val="000000"/>
                      <w:sz w:val="22"/>
                    </w:rPr>
                    <w:t>Strengthen</w:t>
                  </w:r>
                  <w:r>
                    <w:rPr>
                      <w:i/>
                      <w:color w:val="000000"/>
                      <w:spacing w:val="-3"/>
                      <w:sz w:val="22"/>
                    </w:rPr>
                    <w:t> </w:t>
                  </w:r>
                  <w:r>
                    <w:rPr>
                      <w:i/>
                      <w:color w:val="000000"/>
                      <w:sz w:val="22"/>
                    </w:rPr>
                    <w:t>skills</w:t>
                  </w:r>
                  <w:r>
                    <w:rPr>
                      <w:i/>
                      <w:color w:val="000000"/>
                      <w:spacing w:val="-4"/>
                      <w:sz w:val="22"/>
                    </w:rPr>
                    <w:t> </w:t>
                  </w:r>
                  <w:r>
                    <w:rPr>
                      <w:i/>
                      <w:color w:val="000000"/>
                      <w:sz w:val="22"/>
                    </w:rPr>
                    <w:t>of</w:t>
                  </w:r>
                  <w:r>
                    <w:rPr>
                      <w:i/>
                      <w:color w:val="000000"/>
                      <w:spacing w:val="-5"/>
                      <w:sz w:val="22"/>
                    </w:rPr>
                    <w:t> </w:t>
                  </w:r>
                  <w:r>
                    <w:rPr>
                      <w:i/>
                      <w:color w:val="000000"/>
                      <w:sz w:val="22"/>
                    </w:rPr>
                    <w:t>school</w:t>
                  </w:r>
                  <w:r>
                    <w:rPr>
                      <w:i/>
                      <w:color w:val="000000"/>
                      <w:spacing w:val="-2"/>
                      <w:sz w:val="22"/>
                    </w:rPr>
                    <w:t> </w:t>
                  </w:r>
                  <w:r>
                    <w:rPr>
                      <w:i/>
                      <w:color w:val="000000"/>
                      <w:sz w:val="22"/>
                    </w:rPr>
                    <w:t>leaders</w:t>
                  </w:r>
                  <w:r>
                    <w:rPr>
                      <w:i/>
                      <w:color w:val="000000"/>
                      <w:spacing w:val="-4"/>
                      <w:sz w:val="22"/>
                    </w:rPr>
                    <w:t> </w:t>
                  </w:r>
                  <w:r>
                    <w:rPr>
                      <w:i/>
                      <w:color w:val="000000"/>
                      <w:sz w:val="22"/>
                    </w:rPr>
                    <w:t>to</w:t>
                  </w:r>
                  <w:r>
                    <w:rPr>
                      <w:i/>
                      <w:color w:val="000000"/>
                      <w:spacing w:val="-2"/>
                      <w:sz w:val="22"/>
                    </w:rPr>
                    <w:t> </w:t>
                  </w:r>
                  <w:r>
                    <w:rPr>
                      <w:i/>
                      <w:color w:val="000000"/>
                      <w:sz w:val="22"/>
                    </w:rPr>
                    <w:t>effectively</w:t>
                  </w:r>
                  <w:r>
                    <w:rPr>
                      <w:i/>
                      <w:color w:val="000000"/>
                      <w:spacing w:val="-2"/>
                      <w:sz w:val="22"/>
                    </w:rPr>
                    <w:t> </w:t>
                  </w:r>
                  <w:r>
                    <w:rPr>
                      <w:i/>
                      <w:color w:val="000000"/>
                      <w:sz w:val="22"/>
                    </w:rPr>
                    <w:t>deploy</w:t>
                  </w:r>
                  <w:r>
                    <w:rPr>
                      <w:i/>
                      <w:color w:val="000000"/>
                      <w:spacing w:val="-2"/>
                      <w:sz w:val="22"/>
                    </w:rPr>
                    <w:t> </w:t>
                  </w:r>
                  <w:r>
                    <w:rPr>
                      <w:i/>
                      <w:color w:val="000000"/>
                      <w:sz w:val="22"/>
                    </w:rPr>
                    <w:t>and</w:t>
                  </w:r>
                  <w:r>
                    <w:rPr>
                      <w:i/>
                      <w:color w:val="000000"/>
                      <w:spacing w:val="-3"/>
                      <w:sz w:val="22"/>
                    </w:rPr>
                    <w:t> </w:t>
                  </w:r>
                  <w:r>
                    <w:rPr>
                      <w:i/>
                      <w:color w:val="000000"/>
                      <w:sz w:val="22"/>
                    </w:rPr>
                    <w:t>spend</w:t>
                  </w:r>
                  <w:r>
                    <w:rPr>
                      <w:i/>
                      <w:color w:val="000000"/>
                      <w:spacing w:val="-3"/>
                      <w:sz w:val="22"/>
                    </w:rPr>
                    <w:t> </w:t>
                  </w:r>
                  <w:r>
                    <w:rPr>
                      <w:i/>
                      <w:color w:val="000000"/>
                      <w:sz w:val="22"/>
                    </w:rPr>
                    <w:t>a</w:t>
                  </w:r>
                  <w:r>
                    <w:rPr>
                      <w:i/>
                      <w:color w:val="000000"/>
                      <w:sz w:val="22"/>
                    </w:rPr>
                    <w:t> minimum of 40% finances on learning material</w:t>
                  </w:r>
                </w:p>
                <w:p>
                  <w:pPr>
                    <w:spacing w:before="197"/>
                    <w:ind w:left="138" w:right="0" w:firstLine="0"/>
                    <w:jc w:val="left"/>
                    <w:rPr>
                      <w:i/>
                      <w:color w:val="000000"/>
                      <w:sz w:val="22"/>
                    </w:rPr>
                  </w:pPr>
                  <w:r>
                    <w:rPr>
                      <w:b/>
                      <w:i/>
                      <w:color w:val="000000"/>
                      <w:sz w:val="22"/>
                    </w:rPr>
                    <w:t>Evidence Source</w:t>
                  </w:r>
                  <w:r>
                    <w:rPr>
                      <w:i/>
                      <w:color w:val="000000"/>
                      <w:sz w:val="22"/>
                    </w:rPr>
                    <w:t>: MEHRD Grant Training Plan, program and program completion</w:t>
                  </w:r>
                  <w:r>
                    <w:rPr>
                      <w:i/>
                      <w:color w:val="000000"/>
                      <w:sz w:val="22"/>
                    </w:rPr>
                    <w:t> </w:t>
                  </w:r>
                  <w:r>
                    <w:rPr>
                      <w:i/>
                      <w:color w:val="000000"/>
                      <w:spacing w:val="-4"/>
                      <w:sz w:val="22"/>
                    </w:rPr>
                    <w:t>data</w:t>
                  </w:r>
                </w:p>
                <w:p>
                  <w:pPr>
                    <w:spacing w:before="121"/>
                    <w:ind w:left="138" w:right="0" w:firstLine="0"/>
                    <w:jc w:val="left"/>
                    <w:rPr>
                      <w:i/>
                      <w:color w:val="000000"/>
                      <w:sz w:val="22"/>
                    </w:rPr>
                  </w:pPr>
                  <w:r>
                    <w:rPr>
                      <w:b/>
                      <w:i/>
                      <w:color w:val="000000"/>
                      <w:sz w:val="22"/>
                    </w:rPr>
                    <w:t>Assessment</w:t>
                  </w:r>
                  <w:r>
                    <w:rPr>
                      <w:i/>
                      <w:color w:val="000000"/>
                      <w:sz w:val="22"/>
                    </w:rPr>
                    <w:t>:</w:t>
                  </w:r>
                  <w:r>
                    <w:rPr>
                      <w:i/>
                      <w:color w:val="000000"/>
                      <w:spacing w:val="-10"/>
                      <w:sz w:val="22"/>
                    </w:rPr>
                    <w:t> </w:t>
                  </w:r>
                  <w:r>
                    <w:rPr>
                      <w:i/>
                      <w:color w:val="000000"/>
                      <w:sz w:val="22"/>
                    </w:rPr>
                    <w:t>Partially</w:t>
                  </w:r>
                  <w:r>
                    <w:rPr>
                      <w:i/>
                      <w:color w:val="000000"/>
                      <w:spacing w:val="-5"/>
                      <w:sz w:val="22"/>
                    </w:rPr>
                    <w:t> </w:t>
                  </w:r>
                  <w:r>
                    <w:rPr>
                      <w:i/>
                      <w:color w:val="000000"/>
                      <w:spacing w:val="-2"/>
                      <w:sz w:val="22"/>
                    </w:rPr>
                    <w:t>Achieved</w:t>
                  </w:r>
                </w:p>
              </w:txbxContent>
            </v:textbox>
            <v:fill opacity="7195f" type="solid"/>
            <v:stroke dashstyle="solid"/>
            <w10:wrap type="topAndBottom"/>
          </v:shape>
        </w:pict>
      </w:r>
    </w:p>
    <w:p>
      <w:pPr>
        <w:pStyle w:val="BodyText"/>
        <w:spacing w:before="11"/>
        <w:rPr>
          <w:sz w:val="25"/>
        </w:rPr>
      </w:pPr>
    </w:p>
    <w:p>
      <w:pPr>
        <w:pStyle w:val="BodyText"/>
        <w:spacing w:before="1"/>
        <w:ind w:left="1120" w:right="1175"/>
        <w:jc w:val="both"/>
      </w:pPr>
      <w:r>
        <w:rPr/>
        <w:t>MEHRD has commenced action to skill principals to ensure they are able to manage grants in the required manner,</w:t>
      </w:r>
      <w:r>
        <w:rPr>
          <w:spacing w:val="-1"/>
        </w:rPr>
        <w:t> </w:t>
      </w:r>
      <w:r>
        <w:rPr/>
        <w:t>including expending forty per cent (40%) of their grants on learning materials. The target of a forty per cent (40%) spend on learning materials has been incorporated into the MEHRD </w:t>
      </w:r>
      <w:r>
        <w:rPr>
          <w:i/>
        </w:rPr>
        <w:t>School</w:t>
      </w:r>
      <w:r>
        <w:rPr>
          <w:i/>
          <w:spacing w:val="-13"/>
        </w:rPr>
        <w:t> </w:t>
      </w:r>
      <w:r>
        <w:rPr>
          <w:i/>
        </w:rPr>
        <w:t>Financial</w:t>
      </w:r>
      <w:r>
        <w:rPr>
          <w:i/>
          <w:spacing w:val="-12"/>
        </w:rPr>
        <w:t> </w:t>
      </w:r>
      <w:r>
        <w:rPr>
          <w:i/>
        </w:rPr>
        <w:t>Management</w:t>
      </w:r>
      <w:r>
        <w:rPr>
          <w:i/>
          <w:spacing w:val="-13"/>
        </w:rPr>
        <w:t> </w:t>
      </w:r>
      <w:r>
        <w:rPr>
          <w:i/>
        </w:rPr>
        <w:t>Handbook</w:t>
      </w:r>
      <w:r>
        <w:rPr>
          <w:i/>
          <w:spacing w:val="-12"/>
        </w:rPr>
        <w:t> </w:t>
      </w:r>
      <w:r>
        <w:rPr/>
        <w:t>that</w:t>
      </w:r>
      <w:r>
        <w:rPr>
          <w:spacing w:val="-13"/>
        </w:rPr>
        <w:t> </w:t>
      </w:r>
      <w:r>
        <w:rPr/>
        <w:t>has</w:t>
      </w:r>
      <w:r>
        <w:rPr>
          <w:spacing w:val="-12"/>
        </w:rPr>
        <w:t> </w:t>
      </w:r>
      <w:r>
        <w:rPr/>
        <w:t>been</w:t>
      </w:r>
      <w:r>
        <w:rPr>
          <w:spacing w:val="-13"/>
        </w:rPr>
        <w:t> </w:t>
      </w:r>
      <w:r>
        <w:rPr/>
        <w:t>distributed</w:t>
      </w:r>
      <w:r>
        <w:rPr>
          <w:spacing w:val="-12"/>
        </w:rPr>
        <w:t> </w:t>
      </w:r>
      <w:r>
        <w:rPr/>
        <w:t>to</w:t>
      </w:r>
      <w:r>
        <w:rPr>
          <w:spacing w:val="-12"/>
        </w:rPr>
        <w:t> </w:t>
      </w:r>
      <w:r>
        <w:rPr/>
        <w:t>schools.</w:t>
      </w:r>
      <w:r>
        <w:rPr>
          <w:spacing w:val="-13"/>
        </w:rPr>
        <w:t> </w:t>
      </w:r>
      <w:r>
        <w:rPr/>
        <w:t>The</w:t>
      </w:r>
      <w:r>
        <w:rPr>
          <w:spacing w:val="-12"/>
        </w:rPr>
        <w:t> </w:t>
      </w:r>
      <w:r>
        <w:rPr/>
        <w:t>MEHRD</w:t>
      </w:r>
      <w:r>
        <w:rPr>
          <w:spacing w:val="-13"/>
        </w:rPr>
        <w:t> </w:t>
      </w:r>
      <w:r>
        <w:rPr/>
        <w:t>Grants</w:t>
      </w:r>
      <w:r>
        <w:rPr>
          <w:spacing w:val="-12"/>
        </w:rPr>
        <w:t> </w:t>
      </w:r>
      <w:r>
        <w:rPr/>
        <w:t>Unit has developed a pilot training plan for schools in six EAs and implementation of the pilot has commenced. At the time of the review 106 participants from 48 schools and three EAs had participated in training.</w:t>
      </w:r>
    </w:p>
    <w:p>
      <w:pPr>
        <w:pStyle w:val="BodyText"/>
        <w:spacing w:before="9"/>
        <w:rPr>
          <w:sz w:val="19"/>
        </w:rPr>
      </w:pPr>
    </w:p>
    <w:p>
      <w:pPr>
        <w:spacing w:before="0"/>
        <w:ind w:left="1120" w:right="0" w:firstLine="0"/>
        <w:jc w:val="both"/>
        <w:rPr>
          <w:i/>
          <w:sz w:val="22"/>
        </w:rPr>
      </w:pPr>
      <w:r>
        <w:rPr>
          <w:i/>
          <w:sz w:val="22"/>
        </w:rPr>
        <w:t>Table</w:t>
      </w:r>
      <w:r>
        <w:rPr>
          <w:i/>
          <w:spacing w:val="-6"/>
          <w:sz w:val="22"/>
        </w:rPr>
        <w:t> </w:t>
      </w:r>
      <w:r>
        <w:rPr>
          <w:i/>
          <w:sz w:val="22"/>
        </w:rPr>
        <w:t>6:</w:t>
      </w:r>
      <w:r>
        <w:rPr>
          <w:i/>
          <w:spacing w:val="-8"/>
          <w:sz w:val="22"/>
        </w:rPr>
        <w:t> </w:t>
      </w:r>
      <w:r>
        <w:rPr>
          <w:i/>
          <w:sz w:val="22"/>
        </w:rPr>
        <w:t>Competed</w:t>
      </w:r>
      <w:r>
        <w:rPr>
          <w:i/>
          <w:spacing w:val="-5"/>
          <w:sz w:val="22"/>
        </w:rPr>
        <w:t> </w:t>
      </w:r>
      <w:r>
        <w:rPr>
          <w:i/>
          <w:sz w:val="22"/>
        </w:rPr>
        <w:t>School</w:t>
      </w:r>
      <w:r>
        <w:rPr>
          <w:i/>
          <w:spacing w:val="-4"/>
          <w:sz w:val="22"/>
        </w:rPr>
        <w:t> </w:t>
      </w:r>
      <w:r>
        <w:rPr>
          <w:i/>
          <w:sz w:val="22"/>
        </w:rPr>
        <w:t>Financial</w:t>
      </w:r>
      <w:r>
        <w:rPr>
          <w:i/>
          <w:spacing w:val="-4"/>
          <w:sz w:val="22"/>
        </w:rPr>
        <w:t> </w:t>
      </w:r>
      <w:r>
        <w:rPr>
          <w:i/>
          <w:sz w:val="22"/>
        </w:rPr>
        <w:t>Management</w:t>
      </w:r>
      <w:r>
        <w:rPr>
          <w:i/>
          <w:spacing w:val="-7"/>
          <w:sz w:val="22"/>
        </w:rPr>
        <w:t> </w:t>
      </w:r>
      <w:r>
        <w:rPr>
          <w:i/>
          <w:spacing w:val="-2"/>
          <w:sz w:val="22"/>
        </w:rPr>
        <w:t>Workshops</w:t>
      </w:r>
    </w:p>
    <w:p>
      <w:pPr>
        <w:pStyle w:val="BodyText"/>
        <w:spacing w:before="9"/>
        <w:rPr>
          <w:i/>
          <w:sz w:val="9"/>
        </w:rPr>
      </w:pPr>
    </w:p>
    <w:tbl>
      <w:tblPr>
        <w:tblW w:w="0" w:type="auto"/>
        <w:jc w:val="left"/>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3"/>
        <w:gridCol w:w="912"/>
        <w:gridCol w:w="792"/>
        <w:gridCol w:w="1075"/>
        <w:gridCol w:w="1075"/>
        <w:gridCol w:w="1075"/>
      </w:tblGrid>
      <w:tr>
        <w:trPr>
          <w:trHeight w:val="657" w:hRule="atLeast"/>
        </w:trPr>
        <w:tc>
          <w:tcPr>
            <w:tcW w:w="1493" w:type="dxa"/>
            <w:shd w:val="clear" w:color="auto" w:fill="B4C6E7"/>
          </w:tcPr>
          <w:p>
            <w:pPr>
              <w:pStyle w:val="TableParagraph"/>
              <w:spacing w:before="59"/>
              <w:ind w:left="306" w:hanging="20"/>
              <w:rPr>
                <w:b/>
                <w:sz w:val="22"/>
              </w:rPr>
            </w:pPr>
            <w:r>
              <w:rPr>
                <w:b/>
                <w:spacing w:val="-2"/>
                <w:sz w:val="22"/>
              </w:rPr>
              <w:t>Education Authority</w:t>
            </w:r>
          </w:p>
        </w:tc>
        <w:tc>
          <w:tcPr>
            <w:tcW w:w="912" w:type="dxa"/>
            <w:shd w:val="clear" w:color="auto" w:fill="B4C6E7"/>
          </w:tcPr>
          <w:p>
            <w:pPr>
              <w:pStyle w:val="TableParagraph"/>
              <w:spacing w:before="59"/>
              <w:ind w:left="292"/>
              <w:rPr>
                <w:b/>
                <w:sz w:val="22"/>
              </w:rPr>
            </w:pPr>
            <w:r>
              <w:rPr>
                <w:b/>
                <w:spacing w:val="-5"/>
                <w:sz w:val="22"/>
              </w:rPr>
              <w:t>ECE</w:t>
            </w:r>
          </w:p>
        </w:tc>
        <w:tc>
          <w:tcPr>
            <w:tcW w:w="792" w:type="dxa"/>
            <w:shd w:val="clear" w:color="auto" w:fill="B4C6E7"/>
          </w:tcPr>
          <w:p>
            <w:pPr>
              <w:pStyle w:val="TableParagraph"/>
              <w:spacing w:before="59"/>
              <w:ind w:left="249"/>
              <w:rPr>
                <w:b/>
                <w:sz w:val="22"/>
              </w:rPr>
            </w:pPr>
            <w:r>
              <w:rPr>
                <w:b/>
                <w:spacing w:val="-5"/>
                <w:sz w:val="22"/>
              </w:rPr>
              <w:t>PRI</w:t>
            </w:r>
          </w:p>
        </w:tc>
        <w:tc>
          <w:tcPr>
            <w:tcW w:w="1075" w:type="dxa"/>
            <w:shd w:val="clear" w:color="auto" w:fill="B4C6E7"/>
          </w:tcPr>
          <w:p>
            <w:pPr>
              <w:pStyle w:val="TableParagraph"/>
              <w:spacing w:before="59"/>
              <w:ind w:left="356" w:right="355"/>
              <w:jc w:val="center"/>
              <w:rPr>
                <w:b/>
                <w:sz w:val="22"/>
              </w:rPr>
            </w:pPr>
            <w:r>
              <w:rPr>
                <w:b/>
                <w:spacing w:val="-5"/>
                <w:sz w:val="22"/>
              </w:rPr>
              <w:t>SEC</w:t>
            </w:r>
          </w:p>
        </w:tc>
        <w:tc>
          <w:tcPr>
            <w:tcW w:w="1075" w:type="dxa"/>
            <w:shd w:val="clear" w:color="auto" w:fill="B4C6E7"/>
          </w:tcPr>
          <w:p>
            <w:pPr>
              <w:pStyle w:val="TableParagraph"/>
              <w:spacing w:before="59"/>
              <w:ind w:left="364"/>
              <w:rPr>
                <w:b/>
                <w:sz w:val="22"/>
              </w:rPr>
            </w:pPr>
            <w:r>
              <w:rPr>
                <w:b/>
                <w:spacing w:val="-5"/>
                <w:sz w:val="22"/>
              </w:rPr>
              <w:t>RTC</w:t>
            </w:r>
          </w:p>
        </w:tc>
        <w:tc>
          <w:tcPr>
            <w:tcW w:w="1075" w:type="dxa"/>
            <w:shd w:val="clear" w:color="auto" w:fill="B4C6E7"/>
          </w:tcPr>
          <w:p>
            <w:pPr>
              <w:pStyle w:val="TableParagraph"/>
              <w:spacing w:before="59"/>
              <w:ind w:left="240"/>
              <w:rPr>
                <w:b/>
                <w:sz w:val="22"/>
              </w:rPr>
            </w:pPr>
            <w:r>
              <w:rPr>
                <w:b/>
                <w:spacing w:val="-4"/>
                <w:sz w:val="22"/>
              </w:rPr>
              <w:t>TOTAL</w:t>
            </w:r>
          </w:p>
        </w:tc>
      </w:tr>
      <w:tr>
        <w:trPr>
          <w:trHeight w:val="364" w:hRule="atLeast"/>
        </w:trPr>
        <w:tc>
          <w:tcPr>
            <w:tcW w:w="1493" w:type="dxa"/>
          </w:tcPr>
          <w:p>
            <w:pPr>
              <w:pStyle w:val="TableParagraph"/>
              <w:spacing w:before="59"/>
              <w:ind w:left="110"/>
              <w:rPr>
                <w:sz w:val="20"/>
              </w:rPr>
            </w:pPr>
            <w:r>
              <w:rPr>
                <w:sz w:val="20"/>
              </w:rPr>
              <w:t>Honiara</w:t>
            </w:r>
            <w:r>
              <w:rPr>
                <w:spacing w:val="-5"/>
                <w:sz w:val="20"/>
              </w:rPr>
              <w:t> CC</w:t>
            </w:r>
          </w:p>
        </w:tc>
        <w:tc>
          <w:tcPr>
            <w:tcW w:w="912" w:type="dxa"/>
          </w:tcPr>
          <w:p>
            <w:pPr>
              <w:pStyle w:val="TableParagraph"/>
              <w:spacing w:before="59"/>
              <w:ind w:right="92"/>
              <w:jc w:val="right"/>
              <w:rPr>
                <w:sz w:val="20"/>
              </w:rPr>
            </w:pPr>
            <w:r>
              <w:rPr>
                <w:w w:val="100"/>
                <w:sz w:val="20"/>
              </w:rPr>
              <w:t>0</w:t>
            </w:r>
          </w:p>
        </w:tc>
        <w:tc>
          <w:tcPr>
            <w:tcW w:w="792" w:type="dxa"/>
          </w:tcPr>
          <w:p>
            <w:pPr>
              <w:pStyle w:val="TableParagraph"/>
              <w:spacing w:before="59"/>
              <w:ind w:right="93"/>
              <w:jc w:val="right"/>
              <w:rPr>
                <w:sz w:val="20"/>
              </w:rPr>
            </w:pPr>
            <w:r>
              <w:rPr>
                <w:spacing w:val="-5"/>
                <w:sz w:val="20"/>
              </w:rPr>
              <w:t>16</w:t>
            </w:r>
          </w:p>
        </w:tc>
        <w:tc>
          <w:tcPr>
            <w:tcW w:w="1075" w:type="dxa"/>
          </w:tcPr>
          <w:p>
            <w:pPr>
              <w:pStyle w:val="TableParagraph"/>
              <w:spacing w:before="59"/>
              <w:ind w:right="98"/>
              <w:jc w:val="right"/>
              <w:rPr>
                <w:sz w:val="20"/>
              </w:rPr>
            </w:pPr>
            <w:r>
              <w:rPr>
                <w:spacing w:val="-5"/>
                <w:sz w:val="20"/>
              </w:rPr>
              <w:t>12</w:t>
            </w:r>
          </w:p>
        </w:tc>
        <w:tc>
          <w:tcPr>
            <w:tcW w:w="1075" w:type="dxa"/>
          </w:tcPr>
          <w:p>
            <w:pPr>
              <w:pStyle w:val="TableParagraph"/>
              <w:spacing w:before="59"/>
              <w:ind w:right="91"/>
              <w:jc w:val="right"/>
              <w:rPr>
                <w:sz w:val="20"/>
              </w:rPr>
            </w:pPr>
            <w:r>
              <w:rPr>
                <w:w w:val="100"/>
                <w:sz w:val="20"/>
              </w:rPr>
              <w:t>2</w:t>
            </w:r>
          </w:p>
        </w:tc>
        <w:tc>
          <w:tcPr>
            <w:tcW w:w="1075" w:type="dxa"/>
          </w:tcPr>
          <w:p>
            <w:pPr>
              <w:pStyle w:val="TableParagraph"/>
              <w:spacing w:before="59"/>
              <w:ind w:right="93"/>
              <w:jc w:val="right"/>
              <w:rPr>
                <w:sz w:val="20"/>
              </w:rPr>
            </w:pPr>
            <w:r>
              <w:rPr>
                <w:spacing w:val="-5"/>
                <w:sz w:val="20"/>
              </w:rPr>
              <w:t>30</w:t>
            </w:r>
          </w:p>
        </w:tc>
      </w:tr>
      <w:tr>
        <w:trPr>
          <w:trHeight w:val="609" w:hRule="atLeast"/>
        </w:trPr>
        <w:tc>
          <w:tcPr>
            <w:tcW w:w="1493" w:type="dxa"/>
          </w:tcPr>
          <w:p>
            <w:pPr>
              <w:pStyle w:val="TableParagraph"/>
              <w:spacing w:line="235" w:lineRule="auto" w:before="62"/>
              <w:ind w:left="110" w:right="352"/>
              <w:rPr>
                <w:sz w:val="20"/>
              </w:rPr>
            </w:pPr>
            <w:r>
              <w:rPr>
                <w:sz w:val="20"/>
              </w:rPr>
              <w:t>Seventh</w:t>
            </w:r>
            <w:r>
              <w:rPr>
                <w:spacing w:val="-12"/>
                <w:sz w:val="20"/>
              </w:rPr>
              <w:t> </w:t>
            </w:r>
            <w:r>
              <w:rPr>
                <w:sz w:val="20"/>
              </w:rPr>
              <w:t>Day </w:t>
            </w:r>
            <w:r>
              <w:rPr>
                <w:spacing w:val="-2"/>
                <w:sz w:val="20"/>
              </w:rPr>
              <w:t>Adventist</w:t>
            </w:r>
          </w:p>
        </w:tc>
        <w:tc>
          <w:tcPr>
            <w:tcW w:w="912" w:type="dxa"/>
          </w:tcPr>
          <w:p>
            <w:pPr>
              <w:pStyle w:val="TableParagraph"/>
              <w:rPr>
                <w:i/>
                <w:sz w:val="15"/>
              </w:rPr>
            </w:pPr>
          </w:p>
          <w:p>
            <w:pPr>
              <w:pStyle w:val="TableParagraph"/>
              <w:ind w:right="92"/>
              <w:jc w:val="right"/>
              <w:rPr>
                <w:sz w:val="20"/>
              </w:rPr>
            </w:pPr>
            <w:r>
              <w:rPr>
                <w:w w:val="100"/>
                <w:sz w:val="20"/>
              </w:rPr>
              <w:t>0</w:t>
            </w:r>
          </w:p>
        </w:tc>
        <w:tc>
          <w:tcPr>
            <w:tcW w:w="792" w:type="dxa"/>
          </w:tcPr>
          <w:p>
            <w:pPr>
              <w:pStyle w:val="TableParagraph"/>
              <w:rPr>
                <w:i/>
                <w:sz w:val="15"/>
              </w:rPr>
            </w:pPr>
          </w:p>
          <w:p>
            <w:pPr>
              <w:pStyle w:val="TableParagraph"/>
              <w:ind w:right="93"/>
              <w:jc w:val="right"/>
              <w:rPr>
                <w:sz w:val="20"/>
              </w:rPr>
            </w:pPr>
            <w:r>
              <w:rPr>
                <w:spacing w:val="-5"/>
                <w:sz w:val="20"/>
              </w:rPr>
              <w:t>11</w:t>
            </w:r>
          </w:p>
        </w:tc>
        <w:tc>
          <w:tcPr>
            <w:tcW w:w="1075" w:type="dxa"/>
          </w:tcPr>
          <w:p>
            <w:pPr>
              <w:pStyle w:val="TableParagraph"/>
              <w:rPr>
                <w:i/>
                <w:sz w:val="15"/>
              </w:rPr>
            </w:pPr>
          </w:p>
          <w:p>
            <w:pPr>
              <w:pStyle w:val="TableParagraph"/>
              <w:ind w:right="97"/>
              <w:jc w:val="right"/>
              <w:rPr>
                <w:sz w:val="20"/>
              </w:rPr>
            </w:pPr>
            <w:r>
              <w:rPr>
                <w:w w:val="100"/>
                <w:sz w:val="20"/>
              </w:rPr>
              <w:t>3</w:t>
            </w:r>
          </w:p>
        </w:tc>
        <w:tc>
          <w:tcPr>
            <w:tcW w:w="1075" w:type="dxa"/>
          </w:tcPr>
          <w:p>
            <w:pPr>
              <w:pStyle w:val="TableParagraph"/>
              <w:rPr>
                <w:i/>
                <w:sz w:val="15"/>
              </w:rPr>
            </w:pPr>
          </w:p>
          <w:p>
            <w:pPr>
              <w:pStyle w:val="TableParagraph"/>
              <w:ind w:right="92"/>
              <w:jc w:val="right"/>
              <w:rPr>
                <w:sz w:val="20"/>
              </w:rPr>
            </w:pPr>
            <w:r>
              <w:rPr>
                <w:w w:val="100"/>
                <w:sz w:val="20"/>
              </w:rPr>
              <w:t>0</w:t>
            </w:r>
          </w:p>
        </w:tc>
        <w:tc>
          <w:tcPr>
            <w:tcW w:w="1075" w:type="dxa"/>
          </w:tcPr>
          <w:p>
            <w:pPr>
              <w:pStyle w:val="TableParagraph"/>
              <w:rPr>
                <w:i/>
                <w:sz w:val="15"/>
              </w:rPr>
            </w:pPr>
          </w:p>
          <w:p>
            <w:pPr>
              <w:pStyle w:val="TableParagraph"/>
              <w:ind w:right="93"/>
              <w:jc w:val="right"/>
              <w:rPr>
                <w:sz w:val="20"/>
              </w:rPr>
            </w:pPr>
            <w:r>
              <w:rPr>
                <w:spacing w:val="-5"/>
                <w:sz w:val="20"/>
              </w:rPr>
              <w:t>14</w:t>
            </w:r>
          </w:p>
        </w:tc>
      </w:tr>
      <w:tr>
        <w:trPr>
          <w:trHeight w:val="609" w:hRule="atLeast"/>
        </w:trPr>
        <w:tc>
          <w:tcPr>
            <w:tcW w:w="1493" w:type="dxa"/>
          </w:tcPr>
          <w:p>
            <w:pPr>
              <w:pStyle w:val="TableParagraph"/>
              <w:spacing w:line="235" w:lineRule="auto" w:before="62"/>
              <w:ind w:left="110" w:right="159"/>
              <w:rPr>
                <w:sz w:val="20"/>
              </w:rPr>
            </w:pPr>
            <w:r>
              <w:rPr>
                <w:sz w:val="20"/>
              </w:rPr>
              <w:t>Archdiocese</w:t>
            </w:r>
            <w:r>
              <w:rPr>
                <w:spacing w:val="-12"/>
                <w:sz w:val="20"/>
              </w:rPr>
              <w:t> </w:t>
            </w:r>
            <w:r>
              <w:rPr>
                <w:sz w:val="20"/>
              </w:rPr>
              <w:t>of </w:t>
            </w:r>
            <w:r>
              <w:rPr>
                <w:spacing w:val="-2"/>
                <w:sz w:val="20"/>
              </w:rPr>
              <w:t>Honiara</w:t>
            </w:r>
          </w:p>
        </w:tc>
        <w:tc>
          <w:tcPr>
            <w:tcW w:w="912" w:type="dxa"/>
          </w:tcPr>
          <w:p>
            <w:pPr>
              <w:pStyle w:val="TableParagraph"/>
              <w:spacing w:before="179"/>
              <w:ind w:right="92"/>
              <w:jc w:val="right"/>
              <w:rPr>
                <w:sz w:val="20"/>
              </w:rPr>
            </w:pPr>
            <w:r>
              <w:rPr>
                <w:w w:val="100"/>
                <w:sz w:val="20"/>
              </w:rPr>
              <w:t>0</w:t>
            </w:r>
          </w:p>
        </w:tc>
        <w:tc>
          <w:tcPr>
            <w:tcW w:w="792" w:type="dxa"/>
          </w:tcPr>
          <w:p>
            <w:pPr>
              <w:pStyle w:val="TableParagraph"/>
              <w:spacing w:before="179"/>
              <w:ind w:right="92"/>
              <w:jc w:val="right"/>
              <w:rPr>
                <w:sz w:val="20"/>
              </w:rPr>
            </w:pPr>
            <w:r>
              <w:rPr>
                <w:w w:val="100"/>
                <w:sz w:val="20"/>
              </w:rPr>
              <w:t>1</w:t>
            </w:r>
          </w:p>
        </w:tc>
        <w:tc>
          <w:tcPr>
            <w:tcW w:w="1075" w:type="dxa"/>
          </w:tcPr>
          <w:p>
            <w:pPr>
              <w:pStyle w:val="TableParagraph"/>
              <w:spacing w:before="179"/>
              <w:ind w:right="97"/>
              <w:jc w:val="right"/>
              <w:rPr>
                <w:sz w:val="20"/>
              </w:rPr>
            </w:pPr>
            <w:r>
              <w:rPr>
                <w:w w:val="100"/>
                <w:sz w:val="20"/>
              </w:rPr>
              <w:t>2</w:t>
            </w:r>
          </w:p>
        </w:tc>
        <w:tc>
          <w:tcPr>
            <w:tcW w:w="1075" w:type="dxa"/>
          </w:tcPr>
          <w:p>
            <w:pPr>
              <w:pStyle w:val="TableParagraph"/>
              <w:spacing w:before="179"/>
              <w:ind w:right="92"/>
              <w:jc w:val="right"/>
              <w:rPr>
                <w:sz w:val="20"/>
              </w:rPr>
            </w:pPr>
            <w:r>
              <w:rPr>
                <w:w w:val="100"/>
                <w:sz w:val="20"/>
              </w:rPr>
              <w:t>0</w:t>
            </w:r>
          </w:p>
        </w:tc>
        <w:tc>
          <w:tcPr>
            <w:tcW w:w="1075" w:type="dxa"/>
          </w:tcPr>
          <w:p>
            <w:pPr>
              <w:pStyle w:val="TableParagraph"/>
              <w:spacing w:before="179"/>
              <w:ind w:right="91"/>
              <w:jc w:val="right"/>
              <w:rPr>
                <w:sz w:val="20"/>
              </w:rPr>
            </w:pPr>
            <w:r>
              <w:rPr>
                <w:w w:val="100"/>
                <w:sz w:val="20"/>
              </w:rPr>
              <w:t>3</w:t>
            </w:r>
          </w:p>
        </w:tc>
      </w:tr>
      <w:tr>
        <w:trPr>
          <w:trHeight w:val="364" w:hRule="atLeast"/>
        </w:trPr>
        <w:tc>
          <w:tcPr>
            <w:tcW w:w="1493" w:type="dxa"/>
          </w:tcPr>
          <w:p>
            <w:pPr>
              <w:pStyle w:val="TableParagraph"/>
              <w:spacing w:before="59"/>
              <w:ind w:left="110"/>
              <w:rPr>
                <w:b/>
                <w:sz w:val="20"/>
              </w:rPr>
            </w:pPr>
            <w:r>
              <w:rPr>
                <w:b/>
                <w:spacing w:val="-2"/>
                <w:sz w:val="20"/>
              </w:rPr>
              <w:t>Totals</w:t>
            </w:r>
          </w:p>
        </w:tc>
        <w:tc>
          <w:tcPr>
            <w:tcW w:w="912" w:type="dxa"/>
          </w:tcPr>
          <w:p>
            <w:pPr>
              <w:pStyle w:val="TableParagraph"/>
              <w:spacing w:before="59"/>
              <w:ind w:right="92"/>
              <w:jc w:val="right"/>
              <w:rPr>
                <w:b/>
                <w:sz w:val="20"/>
              </w:rPr>
            </w:pPr>
            <w:r>
              <w:rPr>
                <w:b/>
                <w:w w:val="100"/>
                <w:sz w:val="20"/>
              </w:rPr>
              <w:t>0</w:t>
            </w:r>
          </w:p>
        </w:tc>
        <w:tc>
          <w:tcPr>
            <w:tcW w:w="792" w:type="dxa"/>
          </w:tcPr>
          <w:p>
            <w:pPr>
              <w:pStyle w:val="TableParagraph"/>
              <w:spacing w:before="59"/>
              <w:ind w:right="93"/>
              <w:jc w:val="right"/>
              <w:rPr>
                <w:b/>
                <w:sz w:val="20"/>
              </w:rPr>
            </w:pPr>
            <w:r>
              <w:rPr>
                <w:b/>
                <w:spacing w:val="-5"/>
                <w:sz w:val="20"/>
              </w:rPr>
              <w:t>29</w:t>
            </w:r>
          </w:p>
        </w:tc>
        <w:tc>
          <w:tcPr>
            <w:tcW w:w="1075" w:type="dxa"/>
          </w:tcPr>
          <w:p>
            <w:pPr>
              <w:pStyle w:val="TableParagraph"/>
              <w:spacing w:before="59"/>
              <w:ind w:right="98"/>
              <w:jc w:val="right"/>
              <w:rPr>
                <w:b/>
                <w:sz w:val="20"/>
              </w:rPr>
            </w:pPr>
            <w:r>
              <w:rPr>
                <w:b/>
                <w:spacing w:val="-5"/>
                <w:sz w:val="20"/>
              </w:rPr>
              <w:t>17</w:t>
            </w:r>
          </w:p>
        </w:tc>
        <w:tc>
          <w:tcPr>
            <w:tcW w:w="1075" w:type="dxa"/>
          </w:tcPr>
          <w:p>
            <w:pPr>
              <w:pStyle w:val="TableParagraph"/>
              <w:spacing w:before="59"/>
              <w:ind w:right="92"/>
              <w:jc w:val="right"/>
              <w:rPr>
                <w:b/>
                <w:sz w:val="20"/>
              </w:rPr>
            </w:pPr>
            <w:r>
              <w:rPr>
                <w:b/>
                <w:w w:val="100"/>
                <w:sz w:val="20"/>
              </w:rPr>
              <w:t>2</w:t>
            </w:r>
          </w:p>
        </w:tc>
        <w:tc>
          <w:tcPr>
            <w:tcW w:w="1075" w:type="dxa"/>
          </w:tcPr>
          <w:p>
            <w:pPr>
              <w:pStyle w:val="TableParagraph"/>
              <w:spacing w:before="59"/>
              <w:ind w:right="93"/>
              <w:jc w:val="right"/>
              <w:rPr>
                <w:b/>
                <w:sz w:val="20"/>
              </w:rPr>
            </w:pPr>
            <w:r>
              <w:rPr>
                <w:b/>
                <w:spacing w:val="-5"/>
                <w:sz w:val="20"/>
              </w:rPr>
              <w:t>48</w:t>
            </w:r>
          </w:p>
        </w:tc>
      </w:tr>
    </w:tbl>
    <w:p>
      <w:pPr>
        <w:pStyle w:val="BodyText"/>
        <w:rPr>
          <w:i/>
        </w:rPr>
      </w:pPr>
    </w:p>
    <w:p>
      <w:pPr>
        <w:pStyle w:val="BodyText"/>
        <w:spacing w:before="10"/>
        <w:rPr>
          <w:i/>
          <w:sz w:val="19"/>
        </w:rPr>
      </w:pPr>
    </w:p>
    <w:p>
      <w:pPr>
        <w:pStyle w:val="BodyText"/>
        <w:spacing w:before="1"/>
        <w:ind w:left="1120" w:right="1183"/>
        <w:jc w:val="both"/>
      </w:pPr>
      <w:r>
        <w:rPr/>
        <w:t>In</w:t>
      </w:r>
      <w:r>
        <w:rPr>
          <w:spacing w:val="-4"/>
        </w:rPr>
        <w:t> </w:t>
      </w:r>
      <w:r>
        <w:rPr/>
        <w:t>addition</w:t>
      </w:r>
      <w:r>
        <w:rPr>
          <w:spacing w:val="-4"/>
        </w:rPr>
        <w:t> </w:t>
      </w:r>
      <w:r>
        <w:rPr/>
        <w:t>to participation</w:t>
      </w:r>
      <w:r>
        <w:rPr>
          <w:spacing w:val="-4"/>
        </w:rPr>
        <w:t> </w:t>
      </w:r>
      <w:r>
        <w:rPr/>
        <w:t>in the</w:t>
      </w:r>
      <w:r>
        <w:rPr>
          <w:spacing w:val="-3"/>
        </w:rPr>
        <w:t> </w:t>
      </w:r>
      <w:r>
        <w:rPr/>
        <w:t>training</w:t>
      </w:r>
      <w:r>
        <w:rPr>
          <w:spacing w:val="-2"/>
        </w:rPr>
        <w:t> </w:t>
      </w:r>
      <w:r>
        <w:rPr/>
        <w:t>program,</w:t>
      </w:r>
      <w:r>
        <w:rPr>
          <w:spacing w:val="-6"/>
        </w:rPr>
        <w:t> </w:t>
      </w:r>
      <w:r>
        <w:rPr/>
        <w:t>MEHRD</w:t>
      </w:r>
      <w:r>
        <w:rPr>
          <w:spacing w:val="-5"/>
        </w:rPr>
        <w:t> </w:t>
      </w:r>
      <w:r>
        <w:rPr/>
        <w:t>has</w:t>
      </w:r>
      <w:r>
        <w:rPr>
          <w:spacing w:val="-3"/>
        </w:rPr>
        <w:t> </w:t>
      </w:r>
      <w:r>
        <w:rPr/>
        <w:t>developed</w:t>
      </w:r>
      <w:r>
        <w:rPr>
          <w:spacing w:val="-4"/>
        </w:rPr>
        <w:t> </w:t>
      </w:r>
      <w:r>
        <w:rPr/>
        <w:t>a</w:t>
      </w:r>
      <w:r>
        <w:rPr>
          <w:spacing w:val="-3"/>
        </w:rPr>
        <w:t> </w:t>
      </w:r>
      <w:r>
        <w:rPr/>
        <w:t>plan</w:t>
      </w:r>
      <w:r>
        <w:rPr>
          <w:spacing w:val="-4"/>
        </w:rPr>
        <w:t> </w:t>
      </w:r>
      <w:r>
        <w:rPr/>
        <w:t>for its</w:t>
      </w:r>
      <w:r>
        <w:rPr>
          <w:spacing w:val="-3"/>
        </w:rPr>
        <w:t> </w:t>
      </w:r>
      <w:r>
        <w:rPr/>
        <w:t>personnel to conduct</w:t>
      </w:r>
      <w:r>
        <w:rPr>
          <w:spacing w:val="-9"/>
        </w:rPr>
        <w:t> </w:t>
      </w:r>
      <w:r>
        <w:rPr/>
        <w:t>a</w:t>
      </w:r>
      <w:r>
        <w:rPr>
          <w:spacing w:val="-2"/>
        </w:rPr>
        <w:t> </w:t>
      </w:r>
      <w:r>
        <w:rPr/>
        <w:t>series</w:t>
      </w:r>
      <w:r>
        <w:rPr>
          <w:spacing w:val="-7"/>
        </w:rPr>
        <w:t> </w:t>
      </w:r>
      <w:r>
        <w:rPr/>
        <w:t>of</w:t>
      </w:r>
      <w:r>
        <w:rPr>
          <w:spacing w:val="-7"/>
        </w:rPr>
        <w:t> </w:t>
      </w:r>
      <w:r>
        <w:rPr/>
        <w:t>follow-up</w:t>
      </w:r>
      <w:r>
        <w:rPr>
          <w:spacing w:val="-8"/>
        </w:rPr>
        <w:t> </w:t>
      </w:r>
      <w:r>
        <w:rPr/>
        <w:t>visits</w:t>
      </w:r>
      <w:r>
        <w:rPr>
          <w:spacing w:val="-7"/>
        </w:rPr>
        <w:t> </w:t>
      </w:r>
      <w:r>
        <w:rPr/>
        <w:t>to</w:t>
      </w:r>
      <w:r>
        <w:rPr>
          <w:spacing w:val="-3"/>
        </w:rPr>
        <w:t> </w:t>
      </w:r>
      <w:r>
        <w:rPr/>
        <w:t>schools</w:t>
      </w:r>
      <w:r>
        <w:rPr>
          <w:spacing w:val="-7"/>
        </w:rPr>
        <w:t> </w:t>
      </w:r>
      <w:r>
        <w:rPr/>
        <w:t>to</w:t>
      </w:r>
      <w:r>
        <w:rPr>
          <w:spacing w:val="-3"/>
        </w:rPr>
        <w:t> </w:t>
      </w:r>
      <w:r>
        <w:rPr/>
        <w:t>support</w:t>
      </w:r>
      <w:r>
        <w:rPr>
          <w:spacing w:val="-9"/>
        </w:rPr>
        <w:t> </w:t>
      </w:r>
      <w:r>
        <w:rPr/>
        <w:t>principals</w:t>
      </w:r>
      <w:r>
        <w:rPr>
          <w:spacing w:val="-7"/>
        </w:rPr>
        <w:t> </w:t>
      </w:r>
      <w:r>
        <w:rPr/>
        <w:t>in</w:t>
      </w:r>
      <w:r>
        <w:rPr>
          <w:spacing w:val="-8"/>
        </w:rPr>
        <w:t> </w:t>
      </w:r>
      <w:r>
        <w:rPr/>
        <w:t>managing</w:t>
      </w:r>
      <w:r>
        <w:rPr>
          <w:spacing w:val="-5"/>
        </w:rPr>
        <w:t> </w:t>
      </w:r>
      <w:r>
        <w:rPr/>
        <w:t>and</w:t>
      </w:r>
      <w:r>
        <w:rPr>
          <w:spacing w:val="-8"/>
        </w:rPr>
        <w:t> </w:t>
      </w:r>
      <w:r>
        <w:rPr/>
        <w:t>acquitting</w:t>
      </w:r>
      <w:r>
        <w:rPr>
          <w:spacing w:val="-5"/>
        </w:rPr>
        <w:t> </w:t>
      </w:r>
      <w:r>
        <w:rPr/>
        <w:t>grants. These visits have commenced.</w:t>
      </w:r>
    </w:p>
    <w:p>
      <w:pPr>
        <w:pStyle w:val="BodyText"/>
        <w:spacing w:before="115"/>
        <w:ind w:left="1120" w:right="1171"/>
        <w:jc w:val="both"/>
      </w:pPr>
      <w:r>
        <w:rPr/>
        <w:t>MEHRD is at a very early stage in its plan to improve the skills of principals. Personnel interviewed stated</w:t>
      </w:r>
      <w:r>
        <w:rPr>
          <w:spacing w:val="-4"/>
        </w:rPr>
        <w:t> </w:t>
      </w:r>
      <w:r>
        <w:rPr/>
        <w:t>that they</w:t>
      </w:r>
      <w:r>
        <w:rPr>
          <w:spacing w:val="-2"/>
        </w:rPr>
        <w:t> </w:t>
      </w:r>
      <w:r>
        <w:rPr/>
        <w:t>had</w:t>
      </w:r>
      <w:r>
        <w:rPr>
          <w:spacing w:val="-4"/>
        </w:rPr>
        <w:t> </w:t>
      </w:r>
      <w:r>
        <w:rPr/>
        <w:t>a</w:t>
      </w:r>
      <w:r>
        <w:rPr>
          <w:spacing w:val="-3"/>
        </w:rPr>
        <w:t> </w:t>
      </w:r>
      <w:r>
        <w:rPr/>
        <w:t>five-year</w:t>
      </w:r>
      <w:r>
        <w:rPr>
          <w:spacing w:val="-4"/>
        </w:rPr>
        <w:t> </w:t>
      </w:r>
      <w:r>
        <w:rPr/>
        <w:t>plan</w:t>
      </w:r>
      <w:r>
        <w:rPr>
          <w:spacing w:val="-4"/>
        </w:rPr>
        <w:t> </w:t>
      </w:r>
      <w:r>
        <w:rPr/>
        <w:t>to</w:t>
      </w:r>
      <w:r>
        <w:rPr>
          <w:spacing w:val="-5"/>
        </w:rPr>
        <w:t> </w:t>
      </w:r>
      <w:r>
        <w:rPr/>
        <w:t>train</w:t>
      </w:r>
      <w:r>
        <w:rPr>
          <w:spacing w:val="-4"/>
        </w:rPr>
        <w:t> </w:t>
      </w:r>
      <w:r>
        <w:rPr/>
        <w:t>all</w:t>
      </w:r>
      <w:r>
        <w:rPr>
          <w:spacing w:val="-1"/>
        </w:rPr>
        <w:t> </w:t>
      </w:r>
      <w:r>
        <w:rPr/>
        <w:t>principals.</w:t>
      </w:r>
      <w:r>
        <w:rPr>
          <w:spacing w:val="-1"/>
        </w:rPr>
        <w:t> </w:t>
      </w:r>
      <w:r>
        <w:rPr/>
        <w:t>It</w:t>
      </w:r>
      <w:r>
        <w:rPr>
          <w:spacing w:val="-10"/>
        </w:rPr>
        <w:t> </w:t>
      </w:r>
      <w:r>
        <w:rPr/>
        <w:t>is</w:t>
      </w:r>
      <w:r>
        <w:rPr>
          <w:spacing w:val="-3"/>
        </w:rPr>
        <w:t> </w:t>
      </w:r>
      <w:r>
        <w:rPr/>
        <w:t>appreciated</w:t>
      </w:r>
      <w:r>
        <w:rPr>
          <w:spacing w:val="-4"/>
        </w:rPr>
        <w:t> </w:t>
      </w:r>
      <w:r>
        <w:rPr/>
        <w:t>that</w:t>
      </w:r>
      <w:r>
        <w:rPr>
          <w:spacing w:val="-5"/>
        </w:rPr>
        <w:t> </w:t>
      </w:r>
      <w:r>
        <w:rPr/>
        <w:t>the</w:t>
      </w:r>
      <w:r>
        <w:rPr>
          <w:spacing w:val="-3"/>
        </w:rPr>
        <w:t> </w:t>
      </w:r>
      <w:r>
        <w:rPr/>
        <w:t>Ministry</w:t>
      </w:r>
      <w:r>
        <w:rPr>
          <w:spacing w:val="-2"/>
        </w:rPr>
        <w:t> </w:t>
      </w:r>
      <w:r>
        <w:rPr/>
        <w:t>may</w:t>
      </w:r>
      <w:r>
        <w:rPr>
          <w:spacing w:val="-3"/>
        </w:rPr>
        <w:t> </w:t>
      </w:r>
      <w:r>
        <w:rPr/>
        <w:t>lack the resources to complete the training in a shorter timeframe using the presently proposed methodology</w:t>
      </w:r>
      <w:r>
        <w:rPr>
          <w:spacing w:val="-7"/>
        </w:rPr>
        <w:t> </w:t>
      </w:r>
      <w:r>
        <w:rPr/>
        <w:t>but,</w:t>
      </w:r>
      <w:r>
        <w:rPr>
          <w:spacing w:val="-10"/>
        </w:rPr>
        <w:t> </w:t>
      </w:r>
      <w:r>
        <w:rPr/>
        <w:t>given</w:t>
      </w:r>
      <w:r>
        <w:rPr>
          <w:spacing w:val="-9"/>
        </w:rPr>
        <w:t> </w:t>
      </w:r>
      <w:r>
        <w:rPr/>
        <w:t>the</w:t>
      </w:r>
      <w:r>
        <w:rPr>
          <w:spacing w:val="-7"/>
        </w:rPr>
        <w:t> </w:t>
      </w:r>
      <w:r>
        <w:rPr/>
        <w:t>importance</w:t>
      </w:r>
      <w:r>
        <w:rPr>
          <w:spacing w:val="-7"/>
        </w:rPr>
        <w:t> </w:t>
      </w:r>
      <w:r>
        <w:rPr/>
        <w:t>of</w:t>
      </w:r>
      <w:r>
        <w:rPr>
          <w:spacing w:val="-8"/>
        </w:rPr>
        <w:t> </w:t>
      </w:r>
      <w:r>
        <w:rPr/>
        <w:t>the</w:t>
      </w:r>
      <w:r>
        <w:rPr>
          <w:spacing w:val="-7"/>
        </w:rPr>
        <w:t> </w:t>
      </w:r>
      <w:r>
        <w:rPr/>
        <w:t>grants</w:t>
      </w:r>
      <w:r>
        <w:rPr>
          <w:spacing w:val="-8"/>
        </w:rPr>
        <w:t> </w:t>
      </w:r>
      <w:r>
        <w:rPr/>
        <w:t>for</w:t>
      </w:r>
      <w:r>
        <w:rPr>
          <w:spacing w:val="-8"/>
        </w:rPr>
        <w:t> </w:t>
      </w:r>
      <w:r>
        <w:rPr/>
        <w:t>schools,</w:t>
      </w:r>
      <w:r>
        <w:rPr>
          <w:spacing w:val="-10"/>
        </w:rPr>
        <w:t> </w:t>
      </w:r>
      <w:r>
        <w:rPr/>
        <w:t>it</w:t>
      </w:r>
      <w:r>
        <w:rPr>
          <w:spacing w:val="-10"/>
        </w:rPr>
        <w:t> </w:t>
      </w:r>
      <w:r>
        <w:rPr/>
        <w:t>is</w:t>
      </w:r>
      <w:r>
        <w:rPr>
          <w:spacing w:val="-8"/>
        </w:rPr>
        <w:t> </w:t>
      </w:r>
      <w:r>
        <w:rPr/>
        <w:t>recommended</w:t>
      </w:r>
      <w:r>
        <w:rPr>
          <w:spacing w:val="-9"/>
        </w:rPr>
        <w:t> </w:t>
      </w:r>
      <w:r>
        <w:rPr/>
        <w:t>that</w:t>
      </w:r>
      <w:r>
        <w:rPr>
          <w:spacing w:val="-10"/>
        </w:rPr>
        <w:t> </w:t>
      </w:r>
      <w:r>
        <w:rPr/>
        <w:t>the</w:t>
      </w:r>
      <w:r>
        <w:rPr>
          <w:spacing w:val="-7"/>
        </w:rPr>
        <w:t> </w:t>
      </w:r>
      <w:r>
        <w:rPr/>
        <w:t>Ministry explores other options to reduce the time in which all schools will be trained.</w:t>
      </w:r>
    </w:p>
    <w:p>
      <w:pPr>
        <w:pStyle w:val="BodyText"/>
        <w:spacing w:before="121"/>
        <w:ind w:left="1120" w:right="1174"/>
        <w:jc w:val="both"/>
      </w:pPr>
      <w:r>
        <w:rPr/>
        <w:t>Another area where the pilot training program could be improved is by establishing more rigorous monitoring</w:t>
      </w:r>
      <w:r>
        <w:rPr>
          <w:spacing w:val="-13"/>
        </w:rPr>
        <w:t> </w:t>
      </w:r>
      <w:r>
        <w:rPr/>
        <w:t>and</w:t>
      </w:r>
      <w:r>
        <w:rPr>
          <w:spacing w:val="-12"/>
        </w:rPr>
        <w:t> </w:t>
      </w:r>
      <w:r>
        <w:rPr/>
        <w:t>evaluation</w:t>
      </w:r>
      <w:r>
        <w:rPr>
          <w:spacing w:val="-13"/>
        </w:rPr>
        <w:t> </w:t>
      </w:r>
      <w:r>
        <w:rPr/>
        <w:t>procedures.</w:t>
      </w:r>
      <w:r>
        <w:rPr>
          <w:spacing w:val="-12"/>
        </w:rPr>
        <w:t> </w:t>
      </w:r>
      <w:r>
        <w:rPr/>
        <w:t>The</w:t>
      </w:r>
      <w:r>
        <w:rPr>
          <w:spacing w:val="-13"/>
        </w:rPr>
        <w:t> </w:t>
      </w:r>
      <w:r>
        <w:rPr/>
        <w:t>findings</w:t>
      </w:r>
      <w:r>
        <w:rPr>
          <w:spacing w:val="-12"/>
        </w:rPr>
        <w:t> </w:t>
      </w:r>
      <w:r>
        <w:rPr/>
        <w:t>from</w:t>
      </w:r>
      <w:r>
        <w:rPr>
          <w:spacing w:val="-13"/>
        </w:rPr>
        <w:t> </w:t>
      </w:r>
      <w:r>
        <w:rPr/>
        <w:t>the</w:t>
      </w:r>
      <w:r>
        <w:rPr>
          <w:spacing w:val="-12"/>
        </w:rPr>
        <w:t> </w:t>
      </w:r>
      <w:r>
        <w:rPr/>
        <w:t>pilot</w:t>
      </w:r>
      <w:r>
        <w:rPr>
          <w:spacing w:val="-12"/>
        </w:rPr>
        <w:t> </w:t>
      </w:r>
      <w:r>
        <w:rPr/>
        <w:t>will</w:t>
      </w:r>
      <w:r>
        <w:rPr>
          <w:spacing w:val="-13"/>
        </w:rPr>
        <w:t> </w:t>
      </w:r>
      <w:r>
        <w:rPr/>
        <w:t>be</w:t>
      </w:r>
      <w:r>
        <w:rPr>
          <w:spacing w:val="-12"/>
        </w:rPr>
        <w:t> </w:t>
      </w:r>
      <w:r>
        <w:rPr/>
        <w:t>important</w:t>
      </w:r>
      <w:r>
        <w:rPr>
          <w:spacing w:val="-13"/>
        </w:rPr>
        <w:t> </w:t>
      </w:r>
      <w:r>
        <w:rPr/>
        <w:t>for</w:t>
      </w:r>
      <w:r>
        <w:rPr>
          <w:spacing w:val="-12"/>
        </w:rPr>
        <w:t> </w:t>
      </w:r>
      <w:r>
        <w:rPr/>
        <w:t>future</w:t>
      </w:r>
      <w:r>
        <w:rPr>
          <w:spacing w:val="-13"/>
        </w:rPr>
        <w:t> </w:t>
      </w:r>
      <w:r>
        <w:rPr/>
        <w:t>training and support for all schools. However, current M&amp;E plans will not provide the richness of data, especially about program effectiveness, that will be needed.</w:t>
      </w:r>
    </w:p>
    <w:p>
      <w:pPr>
        <w:spacing w:after="0"/>
        <w:jc w:val="both"/>
        <w:sectPr>
          <w:pgSz w:w="11900" w:h="16840"/>
          <w:pgMar w:header="751" w:footer="1206" w:top="1640" w:bottom="1420" w:left="320" w:right="260"/>
        </w:sectPr>
      </w:pPr>
    </w:p>
    <w:p>
      <w:pPr>
        <w:pStyle w:val="BodyText"/>
        <w:spacing w:before="46"/>
        <w:ind w:left="1119" w:right="1172"/>
        <w:jc w:val="both"/>
      </w:pPr>
      <w:r>
        <w:rPr/>
        <w:t>Once the</w:t>
      </w:r>
      <w:r>
        <w:rPr>
          <w:spacing w:val="-2"/>
        </w:rPr>
        <w:t> </w:t>
      </w:r>
      <w:r>
        <w:rPr/>
        <w:t>pilot</w:t>
      </w:r>
      <w:r>
        <w:rPr>
          <w:spacing w:val="-4"/>
        </w:rPr>
        <w:t> </w:t>
      </w:r>
      <w:r>
        <w:rPr/>
        <w:t>program</w:t>
      </w:r>
      <w:r>
        <w:rPr>
          <w:spacing w:val="-1"/>
        </w:rPr>
        <w:t> </w:t>
      </w:r>
      <w:r>
        <w:rPr/>
        <w:t>is</w:t>
      </w:r>
      <w:r>
        <w:rPr>
          <w:spacing w:val="-2"/>
        </w:rPr>
        <w:t> </w:t>
      </w:r>
      <w:r>
        <w:rPr/>
        <w:t>completed</w:t>
      </w:r>
      <w:r>
        <w:rPr>
          <w:spacing w:val="-3"/>
        </w:rPr>
        <w:t> </w:t>
      </w:r>
      <w:r>
        <w:rPr/>
        <w:t>and evaluation</w:t>
      </w:r>
      <w:r>
        <w:rPr>
          <w:spacing w:val="-3"/>
        </w:rPr>
        <w:t> </w:t>
      </w:r>
      <w:r>
        <w:rPr/>
        <w:t>data</w:t>
      </w:r>
      <w:r>
        <w:rPr>
          <w:spacing w:val="-2"/>
        </w:rPr>
        <w:t> </w:t>
      </w:r>
      <w:r>
        <w:rPr/>
        <w:t>analysed,</w:t>
      </w:r>
      <w:r>
        <w:rPr>
          <w:spacing w:val="-5"/>
        </w:rPr>
        <w:t> </w:t>
      </w:r>
      <w:r>
        <w:rPr/>
        <w:t>it</w:t>
      </w:r>
      <w:r>
        <w:rPr>
          <w:spacing w:val="-4"/>
        </w:rPr>
        <w:t> </w:t>
      </w:r>
      <w:r>
        <w:rPr/>
        <w:t>may be</w:t>
      </w:r>
      <w:r>
        <w:rPr>
          <w:spacing w:val="-2"/>
        </w:rPr>
        <w:t> </w:t>
      </w:r>
      <w:r>
        <w:rPr/>
        <w:t>necessary to</w:t>
      </w:r>
      <w:r>
        <w:rPr>
          <w:spacing w:val="-3"/>
        </w:rPr>
        <w:t> </w:t>
      </w:r>
      <w:r>
        <w:rPr/>
        <w:t>adjust the training</w:t>
      </w:r>
      <w:r>
        <w:rPr>
          <w:spacing w:val="-2"/>
        </w:rPr>
        <w:t> </w:t>
      </w:r>
      <w:r>
        <w:rPr/>
        <w:t>model.</w:t>
      </w:r>
      <w:r>
        <w:rPr>
          <w:spacing w:val="-6"/>
        </w:rPr>
        <w:t> </w:t>
      </w:r>
      <w:r>
        <w:rPr/>
        <w:t>At</w:t>
      </w:r>
      <w:r>
        <w:rPr>
          <w:spacing w:val="-5"/>
        </w:rPr>
        <w:t> </w:t>
      </w:r>
      <w:r>
        <w:rPr/>
        <w:t>the</w:t>
      </w:r>
      <w:r>
        <w:rPr>
          <w:spacing w:val="-3"/>
        </w:rPr>
        <w:t> </w:t>
      </w:r>
      <w:r>
        <w:rPr/>
        <w:t>very</w:t>
      </w:r>
      <w:r>
        <w:rPr>
          <w:spacing w:val="-7"/>
        </w:rPr>
        <w:t> </w:t>
      </w:r>
      <w:r>
        <w:rPr/>
        <w:t>least,</w:t>
      </w:r>
      <w:r>
        <w:rPr>
          <w:spacing w:val="-6"/>
        </w:rPr>
        <w:t> </w:t>
      </w:r>
      <w:r>
        <w:rPr/>
        <w:t>MEHRD</w:t>
      </w:r>
      <w:r>
        <w:rPr>
          <w:spacing w:val="-5"/>
        </w:rPr>
        <w:t> </w:t>
      </w:r>
      <w:r>
        <w:rPr/>
        <w:t>should</w:t>
      </w:r>
      <w:r>
        <w:rPr>
          <w:spacing w:val="-4"/>
        </w:rPr>
        <w:t> </w:t>
      </w:r>
      <w:r>
        <w:rPr/>
        <w:t>seek</w:t>
      </w:r>
      <w:r>
        <w:rPr>
          <w:spacing w:val="-3"/>
        </w:rPr>
        <w:t> </w:t>
      </w:r>
      <w:r>
        <w:rPr/>
        <w:t>to</w:t>
      </w:r>
      <w:r>
        <w:rPr>
          <w:spacing w:val="-5"/>
        </w:rPr>
        <w:t> </w:t>
      </w:r>
      <w:r>
        <w:rPr/>
        <w:t>improve</w:t>
      </w:r>
      <w:r>
        <w:rPr>
          <w:spacing w:val="-3"/>
        </w:rPr>
        <w:t> </w:t>
      </w:r>
      <w:r>
        <w:rPr/>
        <w:t>the</w:t>
      </w:r>
      <w:r>
        <w:rPr>
          <w:spacing w:val="-3"/>
        </w:rPr>
        <w:t> </w:t>
      </w:r>
      <w:r>
        <w:rPr/>
        <w:t>skills</w:t>
      </w:r>
      <w:r>
        <w:rPr>
          <w:spacing w:val="-3"/>
        </w:rPr>
        <w:t> </w:t>
      </w:r>
      <w:r>
        <w:rPr/>
        <w:t>of</w:t>
      </w:r>
      <w:r>
        <w:rPr>
          <w:spacing w:val="-4"/>
        </w:rPr>
        <w:t> </w:t>
      </w:r>
      <w:r>
        <w:rPr/>
        <w:t>personnel</w:t>
      </w:r>
      <w:r>
        <w:rPr>
          <w:spacing w:val="-6"/>
        </w:rPr>
        <w:t> </w:t>
      </w:r>
      <w:r>
        <w:rPr/>
        <w:t>in</w:t>
      </w:r>
      <w:r>
        <w:rPr>
          <w:spacing w:val="-4"/>
        </w:rPr>
        <w:t> </w:t>
      </w:r>
      <w:r>
        <w:rPr/>
        <w:t>EAs</w:t>
      </w:r>
      <w:r>
        <w:rPr>
          <w:spacing w:val="-3"/>
        </w:rPr>
        <w:t> </w:t>
      </w:r>
      <w:r>
        <w:rPr/>
        <w:t>so</w:t>
      </w:r>
      <w:r>
        <w:rPr>
          <w:spacing w:val="-5"/>
        </w:rPr>
        <w:t> </w:t>
      </w:r>
      <w:r>
        <w:rPr/>
        <w:t>that they take greater responsibility for training delivery and school support. In addition, training and school visits could be targeted at schools that have new principals or that have not acquitted their grants adequately in the past. Another option is for the MEHRD to develop a self-paced learning package that</w:t>
      </w:r>
      <w:r>
        <w:rPr>
          <w:spacing w:val="-1"/>
        </w:rPr>
        <w:t> </w:t>
      </w:r>
      <w:r>
        <w:rPr/>
        <w:t>is distributed to all schools together with the </w:t>
      </w:r>
      <w:r>
        <w:rPr>
          <w:i/>
        </w:rPr>
        <w:t>School Financial Management</w:t>
      </w:r>
      <w:r>
        <w:rPr>
          <w:i/>
          <w:spacing w:val="-1"/>
        </w:rPr>
        <w:t> </w:t>
      </w:r>
      <w:r>
        <w:rPr>
          <w:i/>
        </w:rPr>
        <w:t>Handbook</w:t>
      </w:r>
      <w:r>
        <w:rPr/>
        <w:t>.</w:t>
      </w:r>
    </w:p>
    <w:p>
      <w:pPr>
        <w:pStyle w:val="BodyText"/>
        <w:spacing w:before="121"/>
        <w:ind w:left="1119" w:right="1184"/>
        <w:jc w:val="both"/>
      </w:pPr>
      <w:r>
        <w:rPr/>
        <w:t>It will be important also for MEHRD and EAs to collect data about the extent to which schools are meeting the requirement to spend forty per cent (40%) of their grants on learning materials.</w:t>
      </w:r>
    </w:p>
    <w:p>
      <w:pPr>
        <w:pStyle w:val="BodyText"/>
        <w:spacing w:before="120"/>
        <w:ind w:left="1119" w:right="1182"/>
        <w:jc w:val="both"/>
      </w:pPr>
      <w:r>
        <w:rPr/>
        <w:t>While it is too early to state that this sub-target has been fully achieved, MEHRD has made a sound start in moving towards the achievement of the sub-target.</w:t>
      </w:r>
    </w:p>
    <w:p>
      <w:pPr>
        <w:pStyle w:val="BodyText"/>
      </w:pPr>
    </w:p>
    <w:p>
      <w:pPr>
        <w:pStyle w:val="BodyText"/>
        <w:spacing w:before="6"/>
        <w:rPr>
          <w:sz w:val="26"/>
        </w:rPr>
      </w:pPr>
    </w:p>
    <w:p>
      <w:pPr>
        <w:pStyle w:val="ListParagraph"/>
        <w:numPr>
          <w:ilvl w:val="1"/>
          <w:numId w:val="3"/>
        </w:numPr>
        <w:tabs>
          <w:tab w:pos="1839" w:val="left" w:leader="none"/>
          <w:tab w:pos="1840" w:val="left" w:leader="none"/>
        </w:tabs>
        <w:spacing w:line="240" w:lineRule="auto" w:before="0" w:after="0"/>
        <w:ind w:left="1840" w:right="0" w:hanging="720"/>
        <w:jc w:val="left"/>
        <w:rPr>
          <w:rFonts w:ascii="Calibri Light" w:hAnsi="Calibri Light"/>
          <w:b w:val="0"/>
          <w:sz w:val="19"/>
        </w:rPr>
      </w:pPr>
      <w:bookmarkStart w:name="4.5 Target 3.1 – PFM Action Plan Impleme" w:id="22"/>
      <w:bookmarkEnd w:id="22"/>
      <w:r>
        <w:rPr/>
      </w:r>
      <w:bookmarkStart w:name="_bookmark11" w:id="23"/>
      <w:bookmarkEnd w:id="23"/>
      <w:r>
        <w:rPr>
          <w:rFonts w:ascii="Calibri Light" w:hAnsi="Calibri Light"/>
          <w:b w:val="0"/>
          <w:spacing w:val="-2"/>
          <w:sz w:val="24"/>
        </w:rPr>
        <w:t>T</w:t>
      </w:r>
      <w:r>
        <w:rPr>
          <w:rFonts w:ascii="Calibri Light" w:hAnsi="Calibri Light"/>
          <w:b w:val="0"/>
          <w:spacing w:val="-2"/>
          <w:sz w:val="19"/>
        </w:rPr>
        <w:t>ARGET</w:t>
      </w:r>
      <w:r>
        <w:rPr>
          <w:rFonts w:ascii="Calibri Light" w:hAnsi="Calibri Light"/>
          <w:b w:val="0"/>
          <w:spacing w:val="-1"/>
          <w:sz w:val="19"/>
        </w:rPr>
        <w:t> </w:t>
      </w:r>
      <w:r>
        <w:rPr>
          <w:rFonts w:ascii="Calibri Light" w:hAnsi="Calibri Light"/>
          <w:b w:val="0"/>
          <w:spacing w:val="-2"/>
          <w:sz w:val="24"/>
        </w:rPr>
        <w:t>3.1</w:t>
      </w:r>
      <w:r>
        <w:rPr>
          <w:rFonts w:ascii="Calibri Light" w:hAnsi="Calibri Light"/>
          <w:b w:val="0"/>
          <w:spacing w:val="-17"/>
          <w:sz w:val="24"/>
        </w:rPr>
        <w:t> </w:t>
      </w:r>
      <w:r>
        <w:rPr>
          <w:rFonts w:ascii="Calibri Light" w:hAnsi="Calibri Light"/>
          <w:b w:val="0"/>
          <w:spacing w:val="-2"/>
          <w:sz w:val="24"/>
        </w:rPr>
        <w:t>–</w:t>
      </w:r>
      <w:r>
        <w:rPr>
          <w:rFonts w:ascii="Calibri Light" w:hAnsi="Calibri Light"/>
          <w:b w:val="0"/>
          <w:spacing w:val="-10"/>
          <w:sz w:val="24"/>
        </w:rPr>
        <w:t> </w:t>
      </w:r>
      <w:r>
        <w:rPr>
          <w:rFonts w:ascii="Calibri Light" w:hAnsi="Calibri Light"/>
          <w:b w:val="0"/>
          <w:spacing w:val="-2"/>
          <w:sz w:val="24"/>
        </w:rPr>
        <w:t>PFM</w:t>
      </w:r>
      <w:r>
        <w:rPr>
          <w:rFonts w:ascii="Calibri Light" w:hAnsi="Calibri Light"/>
          <w:b w:val="0"/>
          <w:spacing w:val="-17"/>
          <w:sz w:val="24"/>
        </w:rPr>
        <w:t> </w:t>
      </w:r>
      <w:r>
        <w:rPr>
          <w:rFonts w:ascii="Calibri Light" w:hAnsi="Calibri Light"/>
          <w:b w:val="0"/>
          <w:spacing w:val="-2"/>
          <w:sz w:val="24"/>
        </w:rPr>
        <w:t>A</w:t>
      </w:r>
      <w:r>
        <w:rPr>
          <w:rFonts w:ascii="Calibri Light" w:hAnsi="Calibri Light"/>
          <w:b w:val="0"/>
          <w:spacing w:val="-2"/>
          <w:sz w:val="19"/>
        </w:rPr>
        <w:t>CTION </w:t>
      </w:r>
      <w:r>
        <w:rPr>
          <w:rFonts w:ascii="Calibri Light" w:hAnsi="Calibri Light"/>
          <w:b w:val="0"/>
          <w:spacing w:val="-2"/>
          <w:sz w:val="24"/>
        </w:rPr>
        <w:t>P</w:t>
      </w:r>
      <w:r>
        <w:rPr>
          <w:rFonts w:ascii="Calibri Light" w:hAnsi="Calibri Light"/>
          <w:b w:val="0"/>
          <w:spacing w:val="-2"/>
          <w:sz w:val="19"/>
        </w:rPr>
        <w:t>LAN</w:t>
      </w:r>
      <w:r>
        <w:rPr>
          <w:rFonts w:ascii="Calibri Light" w:hAnsi="Calibri Light"/>
          <w:b w:val="0"/>
          <w:spacing w:val="-1"/>
          <w:sz w:val="19"/>
        </w:rPr>
        <w:t> </w:t>
      </w:r>
      <w:r>
        <w:rPr>
          <w:rFonts w:ascii="Calibri Light" w:hAnsi="Calibri Light"/>
          <w:b w:val="0"/>
          <w:spacing w:val="-2"/>
          <w:sz w:val="24"/>
        </w:rPr>
        <w:t>I</w:t>
      </w:r>
      <w:r>
        <w:rPr>
          <w:rFonts w:ascii="Calibri Light" w:hAnsi="Calibri Light"/>
          <w:b w:val="0"/>
          <w:spacing w:val="-2"/>
          <w:sz w:val="19"/>
        </w:rPr>
        <w:t>MPLEMENTATION</w:t>
      </w:r>
      <w:r>
        <w:rPr>
          <w:rFonts w:ascii="Calibri Light" w:hAnsi="Calibri Light"/>
          <w:b w:val="0"/>
          <w:spacing w:val="-7"/>
          <w:sz w:val="19"/>
        </w:rPr>
        <w:t> </w:t>
      </w:r>
      <w:r>
        <w:rPr>
          <w:rFonts w:ascii="Calibri Light" w:hAnsi="Calibri Light"/>
          <w:b w:val="0"/>
          <w:spacing w:val="-2"/>
          <w:sz w:val="24"/>
        </w:rPr>
        <w:t>O</w:t>
      </w:r>
      <w:r>
        <w:rPr>
          <w:rFonts w:ascii="Calibri Light" w:hAnsi="Calibri Light"/>
          <w:b w:val="0"/>
          <w:spacing w:val="-2"/>
          <w:sz w:val="19"/>
        </w:rPr>
        <w:t>N</w:t>
      </w:r>
      <w:r>
        <w:rPr>
          <w:rFonts w:ascii="Calibri Light" w:hAnsi="Calibri Light"/>
          <w:b w:val="0"/>
          <w:spacing w:val="-2"/>
          <w:sz w:val="24"/>
        </w:rPr>
        <w:t>-</w:t>
      </w:r>
      <w:r>
        <w:rPr>
          <w:rFonts w:ascii="Calibri Light" w:hAnsi="Calibri Light"/>
          <w:b w:val="0"/>
          <w:spacing w:val="-4"/>
          <w:sz w:val="19"/>
        </w:rPr>
        <w:t>GOING</w:t>
      </w:r>
    </w:p>
    <w:p>
      <w:pPr>
        <w:pStyle w:val="BodyText"/>
        <w:spacing w:before="3"/>
        <w:rPr>
          <w:rFonts w:ascii="Calibri Light"/>
          <w:b w:val="0"/>
          <w:sz w:val="26"/>
        </w:rPr>
      </w:pPr>
      <w:r>
        <w:rPr/>
        <w:pict>
          <v:shape style="position:absolute;margin-left:74.150002pt;margin-top:17.663343pt;width:373.9pt;height:90.2pt;mso-position-horizontal-relative:page;mso-position-vertical-relative:paragraph;z-index:-15724544;mso-wrap-distance-left:0;mso-wrap-distance-right:0" type="#_x0000_t202" id="docshape12" filled="true" fillcolor="#dae3f3" stroked="true" strokeweight=".75pt" strokecolor="#4472c4">
            <v:textbox inset="0,0,0,0">
              <w:txbxContent>
                <w:p>
                  <w:pPr>
                    <w:spacing w:before="186"/>
                    <w:ind w:left="136" w:right="0" w:firstLine="0"/>
                    <w:jc w:val="left"/>
                    <w:rPr>
                      <w:i/>
                      <w:color w:val="000000"/>
                      <w:sz w:val="22"/>
                    </w:rPr>
                  </w:pPr>
                  <w:r>
                    <w:rPr>
                      <w:b/>
                      <w:i/>
                      <w:color w:val="000000"/>
                      <w:sz w:val="22"/>
                    </w:rPr>
                    <w:t>Target</w:t>
                  </w:r>
                  <w:r>
                    <w:rPr>
                      <w:b/>
                      <w:i/>
                      <w:color w:val="000000"/>
                      <w:spacing w:val="-3"/>
                      <w:sz w:val="22"/>
                    </w:rPr>
                    <w:t> </w:t>
                  </w:r>
                  <w:r>
                    <w:rPr>
                      <w:b/>
                      <w:i/>
                      <w:color w:val="000000"/>
                      <w:sz w:val="22"/>
                    </w:rPr>
                    <w:t>3.1</w:t>
                  </w:r>
                  <w:r>
                    <w:rPr>
                      <w:i/>
                      <w:color w:val="000000"/>
                      <w:sz w:val="22"/>
                    </w:rPr>
                    <w:t>: 100%</w:t>
                  </w:r>
                  <w:r>
                    <w:rPr>
                      <w:i/>
                      <w:color w:val="000000"/>
                      <w:spacing w:val="-3"/>
                      <w:sz w:val="22"/>
                    </w:rPr>
                    <w:t> </w:t>
                  </w:r>
                  <w:r>
                    <w:rPr>
                      <w:i/>
                      <w:color w:val="000000"/>
                      <w:sz w:val="22"/>
                    </w:rPr>
                    <w:t>of all</w:t>
                  </w:r>
                  <w:r>
                    <w:rPr>
                      <w:i/>
                      <w:color w:val="000000"/>
                      <w:spacing w:val="-1"/>
                      <w:sz w:val="22"/>
                    </w:rPr>
                    <w:t> </w:t>
                  </w:r>
                  <w:r>
                    <w:rPr>
                      <w:i/>
                      <w:color w:val="000000"/>
                      <w:sz w:val="22"/>
                    </w:rPr>
                    <w:t>activities</w:t>
                  </w:r>
                  <w:r>
                    <w:rPr>
                      <w:i/>
                      <w:color w:val="000000"/>
                      <w:spacing w:val="-3"/>
                      <w:sz w:val="22"/>
                    </w:rPr>
                    <w:t> </w:t>
                  </w:r>
                  <w:r>
                    <w:rPr>
                      <w:i/>
                      <w:color w:val="000000"/>
                      <w:sz w:val="22"/>
                    </w:rPr>
                    <w:t>scheduled</w:t>
                  </w:r>
                  <w:r>
                    <w:rPr>
                      <w:i/>
                      <w:color w:val="000000"/>
                      <w:spacing w:val="-2"/>
                      <w:sz w:val="22"/>
                    </w:rPr>
                    <w:t> </w:t>
                  </w:r>
                  <w:r>
                    <w:rPr>
                      <w:i/>
                      <w:color w:val="000000"/>
                      <w:sz w:val="22"/>
                    </w:rPr>
                    <w:t>for</w:t>
                  </w:r>
                  <w:r>
                    <w:rPr>
                      <w:i/>
                      <w:color w:val="000000"/>
                      <w:spacing w:val="-2"/>
                      <w:sz w:val="22"/>
                    </w:rPr>
                    <w:t> </w:t>
                  </w:r>
                  <w:r>
                    <w:rPr>
                      <w:i/>
                      <w:color w:val="000000"/>
                      <w:sz w:val="22"/>
                    </w:rPr>
                    <w:t>2016</w:t>
                  </w:r>
                  <w:r>
                    <w:rPr>
                      <w:i/>
                      <w:color w:val="000000"/>
                      <w:spacing w:val="-5"/>
                      <w:sz w:val="22"/>
                    </w:rPr>
                    <w:t> </w:t>
                  </w:r>
                  <w:r>
                    <w:rPr>
                      <w:i/>
                      <w:color w:val="000000"/>
                      <w:sz w:val="22"/>
                    </w:rPr>
                    <w:t>are</w:t>
                  </w:r>
                  <w:r>
                    <w:rPr>
                      <w:i/>
                      <w:color w:val="000000"/>
                      <w:spacing w:val="-3"/>
                      <w:sz w:val="22"/>
                    </w:rPr>
                    <w:t> </w:t>
                  </w:r>
                  <w:r>
                    <w:rPr>
                      <w:i/>
                      <w:color w:val="000000"/>
                      <w:sz w:val="22"/>
                    </w:rPr>
                    <w:t>completed,</w:t>
                  </w:r>
                  <w:r>
                    <w:rPr>
                      <w:i/>
                      <w:color w:val="000000"/>
                      <w:spacing w:val="-6"/>
                      <w:sz w:val="22"/>
                    </w:rPr>
                    <w:t> </w:t>
                  </w:r>
                  <w:r>
                    <w:rPr>
                      <w:i/>
                      <w:color w:val="000000"/>
                      <w:sz w:val="22"/>
                    </w:rPr>
                    <w:t>and</w:t>
                  </w:r>
                  <w:r>
                    <w:rPr>
                      <w:i/>
                      <w:color w:val="000000"/>
                      <w:spacing w:val="-2"/>
                      <w:sz w:val="22"/>
                    </w:rPr>
                    <w:t> </w:t>
                  </w:r>
                  <w:r>
                    <w:rPr>
                      <w:i/>
                      <w:color w:val="000000"/>
                      <w:sz w:val="22"/>
                    </w:rPr>
                    <w:t>all</w:t>
                  </w:r>
                  <w:r>
                    <w:rPr>
                      <w:i/>
                      <w:color w:val="000000"/>
                      <w:spacing w:val="-1"/>
                      <w:sz w:val="22"/>
                    </w:rPr>
                    <w:t> </w:t>
                  </w:r>
                  <w:r>
                    <w:rPr>
                      <w:i/>
                      <w:color w:val="000000"/>
                      <w:sz w:val="22"/>
                    </w:rPr>
                    <w:t>other</w:t>
                  </w:r>
                  <w:r>
                    <w:rPr>
                      <w:i/>
                      <w:color w:val="000000"/>
                      <w:sz w:val="22"/>
                    </w:rPr>
                    <w:t> activities are planned/commenced</w:t>
                  </w:r>
                </w:p>
                <w:p>
                  <w:pPr>
                    <w:spacing w:before="120"/>
                    <w:ind w:left="136" w:right="0" w:firstLine="0"/>
                    <w:jc w:val="left"/>
                    <w:rPr>
                      <w:i/>
                      <w:color w:val="000000"/>
                      <w:sz w:val="22"/>
                    </w:rPr>
                  </w:pPr>
                  <w:r>
                    <w:rPr>
                      <w:b/>
                      <w:i/>
                      <w:color w:val="000000"/>
                      <w:sz w:val="22"/>
                    </w:rPr>
                    <w:t>Evidence:</w:t>
                  </w:r>
                  <w:r>
                    <w:rPr>
                      <w:b/>
                      <w:i/>
                      <w:color w:val="000000"/>
                      <w:spacing w:val="-6"/>
                      <w:sz w:val="22"/>
                    </w:rPr>
                    <w:t> </w:t>
                  </w:r>
                  <w:r>
                    <w:rPr>
                      <w:i/>
                      <w:color w:val="000000"/>
                      <w:sz w:val="22"/>
                    </w:rPr>
                    <w:t>PFM</w:t>
                  </w:r>
                  <w:r>
                    <w:rPr>
                      <w:i/>
                      <w:color w:val="000000"/>
                      <w:spacing w:val="-7"/>
                      <w:sz w:val="22"/>
                    </w:rPr>
                    <w:t> </w:t>
                  </w:r>
                  <w:r>
                    <w:rPr>
                      <w:i/>
                      <w:color w:val="000000"/>
                      <w:sz w:val="22"/>
                    </w:rPr>
                    <w:t>Action</w:t>
                  </w:r>
                  <w:r>
                    <w:rPr>
                      <w:i/>
                      <w:color w:val="000000"/>
                      <w:spacing w:val="-3"/>
                      <w:sz w:val="22"/>
                    </w:rPr>
                    <w:t> </w:t>
                  </w:r>
                  <w:r>
                    <w:rPr>
                      <w:i/>
                      <w:color w:val="000000"/>
                      <w:spacing w:val="-4"/>
                      <w:sz w:val="22"/>
                    </w:rPr>
                    <w:t>Plan</w:t>
                  </w:r>
                </w:p>
                <w:p>
                  <w:pPr>
                    <w:spacing w:before="121"/>
                    <w:ind w:left="136" w:right="0" w:firstLine="0"/>
                    <w:jc w:val="left"/>
                    <w:rPr>
                      <w:i/>
                      <w:color w:val="000000"/>
                      <w:sz w:val="22"/>
                    </w:rPr>
                  </w:pPr>
                  <w:r>
                    <w:rPr>
                      <w:b/>
                      <w:i/>
                      <w:color w:val="000000"/>
                      <w:sz w:val="22"/>
                    </w:rPr>
                    <w:t>Assessment:</w:t>
                  </w:r>
                  <w:r>
                    <w:rPr>
                      <w:b/>
                      <w:i/>
                      <w:color w:val="000000"/>
                      <w:spacing w:val="-9"/>
                      <w:sz w:val="22"/>
                    </w:rPr>
                    <w:t> </w:t>
                  </w:r>
                  <w:r>
                    <w:rPr>
                      <w:i/>
                      <w:color w:val="000000"/>
                      <w:spacing w:val="-2"/>
                      <w:sz w:val="22"/>
                    </w:rPr>
                    <w:t>Achieved</w:t>
                  </w:r>
                </w:p>
              </w:txbxContent>
            </v:textbox>
            <v:fill type="solid"/>
            <v:stroke dashstyle="solid"/>
            <w10:wrap type="topAndBottom"/>
          </v:shape>
        </w:pict>
      </w:r>
    </w:p>
    <w:p>
      <w:pPr>
        <w:pStyle w:val="BodyText"/>
        <w:rPr>
          <w:rFonts w:ascii="Calibri Light"/>
          <w:b w:val="0"/>
          <w:sz w:val="24"/>
        </w:rPr>
      </w:pPr>
    </w:p>
    <w:p>
      <w:pPr>
        <w:pStyle w:val="BodyText"/>
        <w:spacing w:before="175"/>
        <w:ind w:left="1120" w:right="1180"/>
        <w:jc w:val="both"/>
      </w:pPr>
      <w:r>
        <w:rPr/>
        <w:t>The </w:t>
      </w:r>
      <w:r>
        <w:rPr>
          <w:i/>
        </w:rPr>
        <w:t>PFM Action Plan</w:t>
      </w:r>
      <w:r>
        <w:rPr>
          <w:i/>
          <w:spacing w:val="-2"/>
        </w:rPr>
        <w:t> </w:t>
      </w:r>
      <w:r>
        <w:rPr/>
        <w:t>was reviewed by the assessor and evidence was provided that planned actions, for which MEHRD was responsible, had been implemented.</w:t>
      </w:r>
    </w:p>
    <w:p>
      <w:pPr>
        <w:pStyle w:val="BodyText"/>
        <w:spacing w:line="237" w:lineRule="auto" w:before="122"/>
        <w:ind w:left="1119" w:right="1173"/>
        <w:jc w:val="both"/>
      </w:pPr>
      <w:r>
        <w:rPr/>
        <w:t>The only activity that had not been implemented was the implementation of external audits by the Auditor-General’s Department. This was attributed to lack of personnel and capacity in the Auditor- General’s Department and was an issue over which MEHRD had no control. It was noted that a program of internal audits had been conducted.</w:t>
      </w:r>
    </w:p>
    <w:p>
      <w:pPr>
        <w:pStyle w:val="BodyText"/>
        <w:spacing w:before="125"/>
        <w:ind w:left="1119" w:right="1176"/>
        <w:jc w:val="both"/>
      </w:pPr>
      <w:r>
        <w:rPr/>
        <w:t>External</w:t>
      </w:r>
      <w:r>
        <w:rPr>
          <w:spacing w:val="-6"/>
        </w:rPr>
        <w:t> </w:t>
      </w:r>
      <w:r>
        <w:rPr/>
        <w:t>audits</w:t>
      </w:r>
      <w:r>
        <w:rPr>
          <w:spacing w:val="-8"/>
        </w:rPr>
        <w:t> </w:t>
      </w:r>
      <w:r>
        <w:rPr/>
        <w:t>are</w:t>
      </w:r>
      <w:r>
        <w:rPr>
          <w:spacing w:val="-8"/>
        </w:rPr>
        <w:t> </w:t>
      </w:r>
      <w:r>
        <w:rPr/>
        <w:t>an</w:t>
      </w:r>
      <w:r>
        <w:rPr>
          <w:spacing w:val="-4"/>
        </w:rPr>
        <w:t> </w:t>
      </w:r>
      <w:r>
        <w:rPr/>
        <w:t>essential</w:t>
      </w:r>
      <w:r>
        <w:rPr>
          <w:spacing w:val="-6"/>
        </w:rPr>
        <w:t> </w:t>
      </w:r>
      <w:r>
        <w:rPr/>
        <w:t>component</w:t>
      </w:r>
      <w:r>
        <w:rPr>
          <w:spacing w:val="-10"/>
        </w:rPr>
        <w:t> </w:t>
      </w:r>
      <w:r>
        <w:rPr/>
        <w:t>of</w:t>
      </w:r>
      <w:r>
        <w:rPr>
          <w:spacing w:val="-3"/>
        </w:rPr>
        <w:t> </w:t>
      </w:r>
      <w:r>
        <w:rPr/>
        <w:t>effective</w:t>
      </w:r>
      <w:r>
        <w:rPr>
          <w:spacing w:val="-7"/>
        </w:rPr>
        <w:t> </w:t>
      </w:r>
      <w:r>
        <w:rPr/>
        <w:t>financial</w:t>
      </w:r>
      <w:r>
        <w:rPr>
          <w:spacing w:val="-6"/>
        </w:rPr>
        <w:t> </w:t>
      </w:r>
      <w:r>
        <w:rPr/>
        <w:t>management</w:t>
      </w:r>
      <w:r>
        <w:rPr>
          <w:spacing w:val="-10"/>
        </w:rPr>
        <w:t> </w:t>
      </w:r>
      <w:r>
        <w:rPr/>
        <w:t>and</w:t>
      </w:r>
      <w:r>
        <w:rPr>
          <w:spacing w:val="-9"/>
        </w:rPr>
        <w:t> </w:t>
      </w:r>
      <w:r>
        <w:rPr/>
        <w:t>it</w:t>
      </w:r>
      <w:r>
        <w:rPr>
          <w:spacing w:val="-10"/>
        </w:rPr>
        <w:t> </w:t>
      </w:r>
      <w:r>
        <w:rPr/>
        <w:t>is</w:t>
      </w:r>
      <w:r>
        <w:rPr>
          <w:spacing w:val="-8"/>
        </w:rPr>
        <w:t> </w:t>
      </w:r>
      <w:r>
        <w:rPr/>
        <w:t>recommended that,</w:t>
      </w:r>
      <w:r>
        <w:rPr>
          <w:spacing w:val="-1"/>
        </w:rPr>
        <w:t> </w:t>
      </w:r>
      <w:r>
        <w:rPr/>
        <w:t>if the Auditor-General is unable to conduct an external audit in 2017,</w:t>
      </w:r>
      <w:r>
        <w:rPr>
          <w:spacing w:val="-1"/>
        </w:rPr>
        <w:t> </w:t>
      </w:r>
      <w:r>
        <w:rPr/>
        <w:t>MEHRD should outsource the audit to an appropriately qualified external, independent auditor.</w:t>
      </w:r>
    </w:p>
    <w:p>
      <w:pPr>
        <w:pStyle w:val="BodyText"/>
      </w:pPr>
    </w:p>
    <w:p>
      <w:pPr>
        <w:pStyle w:val="BodyText"/>
        <w:spacing w:before="6"/>
        <w:rPr>
          <w:sz w:val="26"/>
        </w:rPr>
      </w:pPr>
    </w:p>
    <w:p>
      <w:pPr>
        <w:pStyle w:val="ListParagraph"/>
        <w:numPr>
          <w:ilvl w:val="1"/>
          <w:numId w:val="3"/>
        </w:numPr>
        <w:tabs>
          <w:tab w:pos="1839" w:val="left" w:leader="none"/>
          <w:tab w:pos="1840" w:val="left" w:leader="none"/>
        </w:tabs>
        <w:spacing w:line="240" w:lineRule="auto" w:before="0" w:after="0"/>
        <w:ind w:left="1840" w:right="0" w:hanging="720"/>
        <w:jc w:val="left"/>
        <w:rPr>
          <w:rFonts w:ascii="Calibri Light" w:hAnsi="Calibri Light"/>
          <w:b w:val="0"/>
          <w:sz w:val="19"/>
        </w:rPr>
      </w:pPr>
      <w:bookmarkStart w:name="4.6 Target 3.2 – MEHRD Commitment to an " w:id="24"/>
      <w:bookmarkEnd w:id="24"/>
      <w:r>
        <w:rPr/>
      </w:r>
      <w:bookmarkStart w:name="_bookmark12" w:id="25"/>
      <w:bookmarkEnd w:id="25"/>
      <w:r>
        <w:rPr>
          <w:rFonts w:ascii="Calibri Light" w:hAnsi="Calibri Light"/>
          <w:b w:val="0"/>
          <w:spacing w:val="-2"/>
          <w:sz w:val="24"/>
        </w:rPr>
        <w:t>T</w:t>
      </w:r>
      <w:r>
        <w:rPr>
          <w:rFonts w:ascii="Calibri Light" w:hAnsi="Calibri Light"/>
          <w:b w:val="0"/>
          <w:spacing w:val="-2"/>
          <w:sz w:val="19"/>
        </w:rPr>
        <w:t>ARGET</w:t>
      </w:r>
      <w:r>
        <w:rPr>
          <w:rFonts w:ascii="Calibri Light" w:hAnsi="Calibri Light"/>
          <w:b w:val="0"/>
          <w:spacing w:val="-4"/>
          <w:sz w:val="19"/>
        </w:rPr>
        <w:t> </w:t>
      </w:r>
      <w:r>
        <w:rPr>
          <w:rFonts w:ascii="Calibri Light" w:hAnsi="Calibri Light"/>
          <w:b w:val="0"/>
          <w:spacing w:val="-2"/>
          <w:sz w:val="24"/>
        </w:rPr>
        <w:t>3.2</w:t>
      </w:r>
      <w:r>
        <w:rPr>
          <w:rFonts w:ascii="Calibri Light" w:hAnsi="Calibri Light"/>
          <w:b w:val="0"/>
          <w:spacing w:val="-17"/>
          <w:sz w:val="24"/>
        </w:rPr>
        <w:t> </w:t>
      </w:r>
      <w:r>
        <w:rPr>
          <w:rFonts w:ascii="Calibri Light" w:hAnsi="Calibri Light"/>
          <w:b w:val="0"/>
          <w:spacing w:val="-2"/>
          <w:sz w:val="24"/>
        </w:rPr>
        <w:t>–</w:t>
      </w:r>
      <w:r>
        <w:rPr>
          <w:rFonts w:ascii="Calibri Light" w:hAnsi="Calibri Light"/>
          <w:b w:val="0"/>
          <w:spacing w:val="-15"/>
          <w:sz w:val="24"/>
        </w:rPr>
        <w:t> </w:t>
      </w:r>
      <w:r>
        <w:rPr>
          <w:rFonts w:ascii="Calibri Light" w:hAnsi="Calibri Light"/>
          <w:b w:val="0"/>
          <w:spacing w:val="-2"/>
          <w:sz w:val="24"/>
        </w:rPr>
        <w:t>MEHRD</w:t>
      </w:r>
      <w:r>
        <w:rPr>
          <w:rFonts w:ascii="Calibri Light" w:hAnsi="Calibri Light"/>
          <w:b w:val="0"/>
          <w:spacing w:val="-17"/>
          <w:sz w:val="24"/>
        </w:rPr>
        <w:t> </w:t>
      </w:r>
      <w:r>
        <w:rPr>
          <w:rFonts w:ascii="Calibri Light" w:hAnsi="Calibri Light"/>
          <w:b w:val="0"/>
          <w:spacing w:val="-2"/>
          <w:sz w:val="24"/>
        </w:rPr>
        <w:t>C</w:t>
      </w:r>
      <w:r>
        <w:rPr>
          <w:rFonts w:ascii="Calibri Light" w:hAnsi="Calibri Light"/>
          <w:b w:val="0"/>
          <w:spacing w:val="-2"/>
          <w:sz w:val="19"/>
        </w:rPr>
        <w:t>OMMITMENT</w:t>
      </w:r>
      <w:r>
        <w:rPr>
          <w:rFonts w:ascii="Calibri Light" w:hAnsi="Calibri Light"/>
          <w:b w:val="0"/>
          <w:spacing w:val="-1"/>
          <w:sz w:val="19"/>
        </w:rPr>
        <w:t> </w:t>
      </w:r>
      <w:r>
        <w:rPr>
          <w:rFonts w:ascii="Calibri Light" w:hAnsi="Calibri Light"/>
          <w:b w:val="0"/>
          <w:spacing w:val="-2"/>
          <w:sz w:val="19"/>
        </w:rPr>
        <w:t>TO</w:t>
      </w:r>
      <w:r>
        <w:rPr>
          <w:rFonts w:ascii="Calibri Light" w:hAnsi="Calibri Light"/>
          <w:b w:val="0"/>
          <w:spacing w:val="-5"/>
          <w:sz w:val="19"/>
        </w:rPr>
        <w:t> </w:t>
      </w:r>
      <w:r>
        <w:rPr>
          <w:rFonts w:ascii="Calibri Light" w:hAnsi="Calibri Light"/>
          <w:b w:val="0"/>
          <w:spacing w:val="-2"/>
          <w:sz w:val="19"/>
        </w:rPr>
        <w:t>AN </w:t>
      </w:r>
      <w:r>
        <w:rPr>
          <w:rFonts w:ascii="Calibri Light" w:hAnsi="Calibri Light"/>
          <w:b w:val="0"/>
          <w:spacing w:val="-2"/>
          <w:sz w:val="24"/>
        </w:rPr>
        <w:t>E</w:t>
      </w:r>
      <w:r>
        <w:rPr>
          <w:rFonts w:ascii="Calibri Light" w:hAnsi="Calibri Light"/>
          <w:b w:val="0"/>
          <w:spacing w:val="-2"/>
          <w:sz w:val="19"/>
        </w:rPr>
        <w:t>FFICIENT</w:t>
      </w:r>
      <w:r>
        <w:rPr>
          <w:rFonts w:ascii="Calibri Light" w:hAnsi="Calibri Light"/>
          <w:b w:val="0"/>
          <w:spacing w:val="-6"/>
          <w:sz w:val="19"/>
        </w:rPr>
        <w:t> </w:t>
      </w:r>
      <w:r>
        <w:rPr>
          <w:rFonts w:ascii="Calibri Light" w:hAnsi="Calibri Light"/>
          <w:b w:val="0"/>
          <w:spacing w:val="-2"/>
          <w:sz w:val="24"/>
        </w:rPr>
        <w:t>A</w:t>
      </w:r>
      <w:r>
        <w:rPr>
          <w:rFonts w:ascii="Calibri Light" w:hAnsi="Calibri Light"/>
          <w:b w:val="0"/>
          <w:spacing w:val="-2"/>
          <w:sz w:val="19"/>
        </w:rPr>
        <w:t>LLOCATION OF</w:t>
      </w:r>
      <w:r>
        <w:rPr>
          <w:rFonts w:ascii="Calibri Light" w:hAnsi="Calibri Light"/>
          <w:b w:val="0"/>
          <w:spacing w:val="-1"/>
          <w:sz w:val="19"/>
        </w:rPr>
        <w:t> </w:t>
      </w:r>
      <w:r>
        <w:rPr>
          <w:rFonts w:ascii="Calibri Light" w:hAnsi="Calibri Light"/>
          <w:b w:val="0"/>
          <w:spacing w:val="-2"/>
          <w:sz w:val="24"/>
        </w:rPr>
        <w:t>T</w:t>
      </w:r>
      <w:r>
        <w:rPr>
          <w:rFonts w:ascii="Calibri Light" w:hAnsi="Calibri Light"/>
          <w:b w:val="0"/>
          <w:spacing w:val="-2"/>
          <w:sz w:val="19"/>
        </w:rPr>
        <w:t>ERTIARY</w:t>
      </w:r>
      <w:r>
        <w:rPr>
          <w:rFonts w:ascii="Calibri Light" w:hAnsi="Calibri Light"/>
          <w:b w:val="0"/>
          <w:spacing w:val="-3"/>
          <w:sz w:val="19"/>
        </w:rPr>
        <w:t> </w:t>
      </w:r>
      <w:r>
        <w:rPr>
          <w:rFonts w:ascii="Calibri Light" w:hAnsi="Calibri Light"/>
          <w:b w:val="0"/>
          <w:spacing w:val="-2"/>
          <w:sz w:val="24"/>
        </w:rPr>
        <w:t>B</w:t>
      </w:r>
      <w:r>
        <w:rPr>
          <w:rFonts w:ascii="Calibri Light" w:hAnsi="Calibri Light"/>
          <w:b w:val="0"/>
          <w:spacing w:val="-2"/>
          <w:sz w:val="19"/>
        </w:rPr>
        <w:t>UDGETS</w:t>
      </w:r>
    </w:p>
    <w:p>
      <w:pPr>
        <w:pStyle w:val="BodyText"/>
        <w:spacing w:before="3"/>
        <w:rPr>
          <w:rFonts w:ascii="Calibri Light"/>
          <w:b w:val="0"/>
          <w:sz w:val="23"/>
        </w:rPr>
      </w:pPr>
      <w:r>
        <w:rPr/>
        <w:pict>
          <v:shape style="position:absolute;margin-left:73.849998pt;margin-top:15.80375pt;width:373.9pt;height:90.2pt;mso-position-horizontal-relative:page;mso-position-vertical-relative:paragraph;z-index:-15724032;mso-wrap-distance-left:0;mso-wrap-distance-right:0" type="#_x0000_t202" id="docshape13" filled="true" fillcolor="#dae3f3" stroked="true" strokeweight=".75pt" strokecolor="#4472c4">
            <v:textbox inset="0,0,0,0">
              <w:txbxContent>
                <w:p>
                  <w:pPr>
                    <w:spacing w:before="185"/>
                    <w:ind w:left="137" w:right="0" w:firstLine="0"/>
                    <w:jc w:val="left"/>
                    <w:rPr>
                      <w:i/>
                      <w:color w:val="000000"/>
                      <w:sz w:val="22"/>
                    </w:rPr>
                  </w:pPr>
                  <w:r>
                    <w:rPr>
                      <w:b/>
                      <w:i/>
                      <w:color w:val="000000"/>
                      <w:sz w:val="22"/>
                    </w:rPr>
                    <w:t>Target</w:t>
                  </w:r>
                  <w:r>
                    <w:rPr>
                      <w:b/>
                      <w:i/>
                      <w:color w:val="000000"/>
                      <w:spacing w:val="-4"/>
                      <w:sz w:val="22"/>
                    </w:rPr>
                    <w:t> </w:t>
                  </w:r>
                  <w:r>
                    <w:rPr>
                      <w:b/>
                      <w:i/>
                      <w:color w:val="000000"/>
                      <w:sz w:val="22"/>
                    </w:rPr>
                    <w:t>3.2.1</w:t>
                  </w:r>
                  <w:r>
                    <w:rPr>
                      <w:i/>
                      <w:color w:val="000000"/>
                      <w:sz w:val="22"/>
                    </w:rPr>
                    <w:t>:</w:t>
                  </w:r>
                  <w:r>
                    <w:rPr>
                      <w:i/>
                      <w:color w:val="000000"/>
                      <w:spacing w:val="-1"/>
                      <w:sz w:val="22"/>
                    </w:rPr>
                    <w:t> </w:t>
                  </w:r>
                  <w:r>
                    <w:rPr>
                      <w:i/>
                      <w:color w:val="000000"/>
                      <w:sz w:val="22"/>
                    </w:rPr>
                    <w:t>Using</w:t>
                  </w:r>
                  <w:r>
                    <w:rPr>
                      <w:i/>
                      <w:color w:val="000000"/>
                      <w:spacing w:val="-3"/>
                      <w:sz w:val="22"/>
                    </w:rPr>
                    <w:t> </w:t>
                  </w:r>
                  <w:r>
                    <w:rPr>
                      <w:i/>
                      <w:color w:val="000000"/>
                      <w:sz w:val="22"/>
                    </w:rPr>
                    <w:t>business</w:t>
                  </w:r>
                  <w:r>
                    <w:rPr>
                      <w:i/>
                      <w:color w:val="000000"/>
                      <w:spacing w:val="-4"/>
                      <w:sz w:val="22"/>
                    </w:rPr>
                    <w:t> </w:t>
                  </w:r>
                  <w:r>
                    <w:rPr>
                      <w:i/>
                      <w:color w:val="000000"/>
                      <w:sz w:val="22"/>
                    </w:rPr>
                    <w:t>as</w:t>
                  </w:r>
                  <w:r>
                    <w:rPr>
                      <w:i/>
                      <w:color w:val="000000"/>
                      <w:spacing w:val="-4"/>
                      <w:sz w:val="22"/>
                    </w:rPr>
                    <w:t> </w:t>
                  </w:r>
                  <w:r>
                    <w:rPr>
                      <w:i/>
                      <w:color w:val="000000"/>
                      <w:sz w:val="22"/>
                    </w:rPr>
                    <w:t>usual</w:t>
                  </w:r>
                  <w:r>
                    <w:rPr>
                      <w:i/>
                      <w:color w:val="000000"/>
                      <w:spacing w:val="-2"/>
                      <w:sz w:val="22"/>
                    </w:rPr>
                    <w:t> </w:t>
                  </w:r>
                  <w:r>
                    <w:rPr>
                      <w:i/>
                      <w:color w:val="000000"/>
                      <w:sz w:val="22"/>
                    </w:rPr>
                    <w:t>procedures</w:t>
                  </w:r>
                  <w:r>
                    <w:rPr>
                      <w:i/>
                      <w:color w:val="000000"/>
                      <w:spacing w:val="-4"/>
                      <w:sz w:val="22"/>
                    </w:rPr>
                    <w:t> </w:t>
                  </w:r>
                  <w:r>
                    <w:rPr>
                      <w:i/>
                      <w:color w:val="000000"/>
                      <w:sz w:val="22"/>
                    </w:rPr>
                    <w:t>2016</w:t>
                  </w:r>
                  <w:r>
                    <w:rPr>
                      <w:i/>
                      <w:color w:val="000000"/>
                      <w:spacing w:val="-1"/>
                      <w:sz w:val="22"/>
                    </w:rPr>
                    <w:t> </w:t>
                  </w:r>
                  <w:r>
                    <w:rPr>
                      <w:i/>
                      <w:color w:val="000000"/>
                      <w:sz w:val="22"/>
                    </w:rPr>
                    <w:t>scholarships</w:t>
                  </w:r>
                  <w:r>
                    <w:rPr>
                      <w:i/>
                      <w:color w:val="000000"/>
                      <w:spacing w:val="-4"/>
                      <w:sz w:val="22"/>
                    </w:rPr>
                    <w:t> </w:t>
                  </w:r>
                  <w:r>
                    <w:rPr>
                      <w:i/>
                      <w:color w:val="000000"/>
                      <w:sz w:val="22"/>
                    </w:rPr>
                    <w:t>budget</w:t>
                  </w:r>
                  <w:r>
                    <w:rPr>
                      <w:i/>
                      <w:color w:val="000000"/>
                      <w:spacing w:val="-6"/>
                      <w:sz w:val="22"/>
                    </w:rPr>
                    <w:t> </w:t>
                  </w:r>
                  <w:r>
                    <w:rPr>
                      <w:i/>
                      <w:color w:val="000000"/>
                      <w:sz w:val="22"/>
                    </w:rPr>
                    <w:t>is</w:t>
                  </w:r>
                  <w:r>
                    <w:rPr>
                      <w:i/>
                      <w:color w:val="000000"/>
                      <w:spacing w:val="-4"/>
                      <w:sz w:val="22"/>
                    </w:rPr>
                    <w:t> </w:t>
                  </w:r>
                  <w:r>
                    <w:rPr>
                      <w:i/>
                      <w:color w:val="000000"/>
                      <w:sz w:val="22"/>
                    </w:rPr>
                    <w:t>not</w:t>
                  </w:r>
                  <w:r>
                    <w:rPr>
                      <w:i/>
                      <w:color w:val="000000"/>
                      <w:sz w:val="22"/>
                    </w:rPr>
                    <w:t> higher than 2015 scholarships budget.</w:t>
                  </w:r>
                </w:p>
                <w:p>
                  <w:pPr>
                    <w:spacing w:before="120"/>
                    <w:ind w:left="137" w:right="0" w:firstLine="0"/>
                    <w:jc w:val="left"/>
                    <w:rPr>
                      <w:i/>
                      <w:color w:val="000000"/>
                      <w:sz w:val="22"/>
                    </w:rPr>
                  </w:pPr>
                  <w:r>
                    <w:rPr>
                      <w:b/>
                      <w:i/>
                      <w:color w:val="000000"/>
                      <w:sz w:val="22"/>
                    </w:rPr>
                    <w:t>Evidence:</w:t>
                  </w:r>
                  <w:r>
                    <w:rPr>
                      <w:b/>
                      <w:i/>
                      <w:color w:val="000000"/>
                      <w:spacing w:val="-5"/>
                      <w:sz w:val="22"/>
                    </w:rPr>
                    <w:t> </w:t>
                  </w:r>
                  <w:r>
                    <w:rPr>
                      <w:i/>
                      <w:color w:val="000000"/>
                      <w:sz w:val="22"/>
                    </w:rPr>
                    <w:t>MEHRD</w:t>
                  </w:r>
                  <w:r>
                    <w:rPr>
                      <w:i/>
                      <w:color w:val="000000"/>
                      <w:spacing w:val="-8"/>
                      <w:sz w:val="22"/>
                    </w:rPr>
                    <w:t> </w:t>
                  </w:r>
                  <w:r>
                    <w:rPr>
                      <w:i/>
                      <w:color w:val="000000"/>
                      <w:sz w:val="22"/>
                    </w:rPr>
                    <w:t>Financial</w:t>
                  </w:r>
                  <w:r>
                    <w:rPr>
                      <w:i/>
                      <w:color w:val="000000"/>
                      <w:spacing w:val="-3"/>
                      <w:sz w:val="22"/>
                    </w:rPr>
                    <w:t> </w:t>
                  </w:r>
                  <w:r>
                    <w:rPr>
                      <w:i/>
                      <w:color w:val="000000"/>
                      <w:sz w:val="22"/>
                    </w:rPr>
                    <w:t>Records</w:t>
                  </w:r>
                  <w:r>
                    <w:rPr>
                      <w:i/>
                      <w:color w:val="000000"/>
                      <w:spacing w:val="-6"/>
                      <w:sz w:val="22"/>
                    </w:rPr>
                    <w:t> </w:t>
                  </w:r>
                  <w:r>
                    <w:rPr>
                      <w:i/>
                      <w:color w:val="000000"/>
                      <w:sz w:val="22"/>
                    </w:rPr>
                    <w:t>and</w:t>
                  </w:r>
                  <w:r>
                    <w:rPr>
                      <w:i/>
                      <w:color w:val="000000"/>
                      <w:spacing w:val="-4"/>
                      <w:sz w:val="22"/>
                    </w:rPr>
                    <w:t> </w:t>
                  </w:r>
                  <w:r>
                    <w:rPr>
                      <w:i/>
                      <w:color w:val="000000"/>
                      <w:spacing w:val="-2"/>
                      <w:sz w:val="22"/>
                    </w:rPr>
                    <w:t>Analysis</w:t>
                  </w:r>
                </w:p>
                <w:p>
                  <w:pPr>
                    <w:spacing w:before="120"/>
                    <w:ind w:left="137" w:right="0" w:firstLine="0"/>
                    <w:jc w:val="left"/>
                    <w:rPr>
                      <w:i/>
                      <w:color w:val="000000"/>
                      <w:sz w:val="22"/>
                    </w:rPr>
                  </w:pPr>
                  <w:r>
                    <w:rPr>
                      <w:b/>
                      <w:i/>
                      <w:color w:val="000000"/>
                      <w:sz w:val="22"/>
                    </w:rPr>
                    <w:t>Assessment:</w:t>
                  </w:r>
                  <w:r>
                    <w:rPr>
                      <w:b/>
                      <w:i/>
                      <w:color w:val="000000"/>
                      <w:spacing w:val="-6"/>
                      <w:sz w:val="22"/>
                    </w:rPr>
                    <w:t> </w:t>
                  </w:r>
                  <w:r>
                    <w:rPr>
                      <w:i/>
                      <w:color w:val="000000"/>
                      <w:sz w:val="22"/>
                    </w:rPr>
                    <w:t>Not</w:t>
                  </w:r>
                  <w:r>
                    <w:rPr>
                      <w:i/>
                      <w:color w:val="000000"/>
                      <w:spacing w:val="-5"/>
                      <w:sz w:val="22"/>
                    </w:rPr>
                    <w:t> </w:t>
                  </w:r>
                  <w:r>
                    <w:rPr>
                      <w:i/>
                      <w:color w:val="000000"/>
                      <w:spacing w:val="-2"/>
                      <w:sz w:val="22"/>
                    </w:rPr>
                    <w:t>Achieved</w:t>
                  </w:r>
                </w:p>
              </w:txbxContent>
            </v:textbox>
            <v:fill type="solid"/>
            <v:stroke dashstyle="solid"/>
            <w10:wrap type="topAndBottom"/>
          </v:shape>
        </w:pict>
      </w:r>
    </w:p>
    <w:p>
      <w:pPr>
        <w:pStyle w:val="BodyText"/>
        <w:spacing w:before="8"/>
        <w:rPr>
          <w:rFonts w:ascii="Calibri Light"/>
          <w:b w:val="0"/>
          <w:sz w:val="32"/>
        </w:rPr>
      </w:pPr>
    </w:p>
    <w:p>
      <w:pPr>
        <w:pStyle w:val="BodyText"/>
        <w:spacing w:before="1"/>
        <w:ind w:left="1120"/>
        <w:jc w:val="both"/>
      </w:pPr>
      <w:r>
        <w:rPr/>
        <w:t>The</w:t>
      </w:r>
      <w:r>
        <w:rPr>
          <w:spacing w:val="65"/>
          <w:w w:val="150"/>
        </w:rPr>
        <w:t> </w:t>
      </w:r>
      <w:r>
        <w:rPr/>
        <w:t>2015</w:t>
      </w:r>
      <w:r>
        <w:rPr>
          <w:spacing w:val="68"/>
          <w:w w:val="150"/>
        </w:rPr>
        <w:t> </w:t>
      </w:r>
      <w:r>
        <w:rPr/>
        <w:t>budget</w:t>
      </w:r>
      <w:r>
        <w:rPr>
          <w:spacing w:val="63"/>
          <w:w w:val="150"/>
        </w:rPr>
        <w:t> </w:t>
      </w:r>
      <w:r>
        <w:rPr/>
        <w:t>allocation</w:t>
      </w:r>
      <w:r>
        <w:rPr>
          <w:spacing w:val="64"/>
          <w:w w:val="150"/>
        </w:rPr>
        <w:t> </w:t>
      </w:r>
      <w:r>
        <w:rPr/>
        <w:t>for</w:t>
      </w:r>
      <w:r>
        <w:rPr>
          <w:spacing w:val="64"/>
          <w:w w:val="150"/>
        </w:rPr>
        <w:t> </w:t>
      </w:r>
      <w:r>
        <w:rPr/>
        <w:t>scholarships</w:t>
      </w:r>
      <w:r>
        <w:rPr>
          <w:spacing w:val="65"/>
          <w:w w:val="150"/>
        </w:rPr>
        <w:t> </w:t>
      </w:r>
      <w:r>
        <w:rPr/>
        <w:t>was</w:t>
      </w:r>
      <w:r>
        <w:rPr>
          <w:spacing w:val="64"/>
          <w:w w:val="150"/>
        </w:rPr>
        <w:t> </w:t>
      </w:r>
      <w:r>
        <w:rPr/>
        <w:t>$198,275,587</w:t>
      </w:r>
      <w:r>
        <w:rPr>
          <w:spacing w:val="64"/>
          <w:w w:val="150"/>
        </w:rPr>
        <w:t> </w:t>
      </w:r>
      <w:r>
        <w:rPr/>
        <w:t>and</w:t>
      </w:r>
      <w:r>
        <w:rPr>
          <w:spacing w:val="63"/>
          <w:w w:val="150"/>
        </w:rPr>
        <w:t> </w:t>
      </w:r>
      <w:r>
        <w:rPr/>
        <w:t>the</w:t>
      </w:r>
      <w:r>
        <w:rPr>
          <w:spacing w:val="66"/>
          <w:w w:val="150"/>
        </w:rPr>
        <w:t> </w:t>
      </w:r>
      <w:r>
        <w:rPr/>
        <w:t>2016</w:t>
      </w:r>
      <w:r>
        <w:rPr>
          <w:spacing w:val="63"/>
          <w:w w:val="150"/>
        </w:rPr>
        <w:t> </w:t>
      </w:r>
      <w:r>
        <w:rPr/>
        <w:t>budget</w:t>
      </w:r>
      <w:r>
        <w:rPr>
          <w:spacing w:val="63"/>
          <w:w w:val="150"/>
        </w:rPr>
        <w:t> </w:t>
      </w:r>
      <w:r>
        <w:rPr>
          <w:spacing w:val="-5"/>
        </w:rPr>
        <w:t>was</w:t>
      </w:r>
    </w:p>
    <w:p>
      <w:pPr>
        <w:pStyle w:val="BodyText"/>
        <w:ind w:left="1119" w:right="1176"/>
        <w:jc w:val="both"/>
      </w:pPr>
      <w:r>
        <w:rPr/>
        <w:t>$275,416,146,</w:t>
      </w:r>
      <w:r>
        <w:rPr>
          <w:spacing w:val="-1"/>
        </w:rPr>
        <w:t> </w:t>
      </w:r>
      <w:r>
        <w:rPr/>
        <w:t>representing a thirty-nine per cent (39%) increase on the 2015 allocation. Appendix 5 provides more detailed figures for scholarships.</w:t>
      </w:r>
    </w:p>
    <w:p>
      <w:pPr>
        <w:spacing w:after="0"/>
        <w:jc w:val="both"/>
        <w:sectPr>
          <w:pgSz w:w="11900" w:h="16840"/>
          <w:pgMar w:header="751" w:footer="1206" w:top="1640" w:bottom="1420" w:left="320" w:right="260"/>
        </w:sectPr>
      </w:pPr>
    </w:p>
    <w:p>
      <w:pPr>
        <w:pStyle w:val="BodyText"/>
        <w:spacing w:before="46"/>
        <w:ind w:left="1119" w:right="1172"/>
        <w:jc w:val="both"/>
      </w:pPr>
      <w:r>
        <w:rPr/>
        <w:t>The</w:t>
      </w:r>
      <w:r>
        <w:rPr>
          <w:spacing w:val="-13"/>
        </w:rPr>
        <w:t> </w:t>
      </w:r>
      <w:r>
        <w:rPr/>
        <w:t>increase</w:t>
      </w:r>
      <w:r>
        <w:rPr>
          <w:spacing w:val="-12"/>
        </w:rPr>
        <w:t> </w:t>
      </w:r>
      <w:r>
        <w:rPr/>
        <w:t>in</w:t>
      </w:r>
      <w:r>
        <w:rPr>
          <w:spacing w:val="-13"/>
        </w:rPr>
        <w:t> </w:t>
      </w:r>
      <w:r>
        <w:rPr/>
        <w:t>budget</w:t>
      </w:r>
      <w:r>
        <w:rPr>
          <w:spacing w:val="-12"/>
        </w:rPr>
        <w:t> </w:t>
      </w:r>
      <w:r>
        <w:rPr/>
        <w:t>allocation</w:t>
      </w:r>
      <w:r>
        <w:rPr>
          <w:spacing w:val="-13"/>
        </w:rPr>
        <w:t> </w:t>
      </w:r>
      <w:r>
        <w:rPr/>
        <w:t>was</w:t>
      </w:r>
      <w:r>
        <w:rPr>
          <w:spacing w:val="-10"/>
        </w:rPr>
        <w:t> </w:t>
      </w:r>
      <w:r>
        <w:rPr/>
        <w:t>due</w:t>
      </w:r>
      <w:r>
        <w:rPr>
          <w:spacing w:val="-7"/>
        </w:rPr>
        <w:t> </w:t>
      </w:r>
      <w:r>
        <w:rPr/>
        <w:t>to</w:t>
      </w:r>
      <w:r>
        <w:rPr>
          <w:spacing w:val="-9"/>
        </w:rPr>
        <w:t> </w:t>
      </w:r>
      <w:r>
        <w:rPr/>
        <w:t>the</w:t>
      </w:r>
      <w:r>
        <w:rPr>
          <w:spacing w:val="-7"/>
        </w:rPr>
        <w:t> </w:t>
      </w:r>
      <w:r>
        <w:rPr/>
        <w:t>provision</w:t>
      </w:r>
      <w:r>
        <w:rPr>
          <w:spacing w:val="-13"/>
        </w:rPr>
        <w:t> </w:t>
      </w:r>
      <w:r>
        <w:rPr/>
        <w:t>of</w:t>
      </w:r>
      <w:r>
        <w:rPr>
          <w:spacing w:val="-7"/>
        </w:rPr>
        <w:t> </w:t>
      </w:r>
      <w:r>
        <w:rPr/>
        <w:t>supplementation</w:t>
      </w:r>
      <w:r>
        <w:rPr>
          <w:spacing w:val="-13"/>
        </w:rPr>
        <w:t> </w:t>
      </w:r>
      <w:r>
        <w:rPr/>
        <w:t>of</w:t>
      </w:r>
      <w:r>
        <w:rPr>
          <w:spacing w:val="-7"/>
        </w:rPr>
        <w:t> </w:t>
      </w:r>
      <w:r>
        <w:rPr/>
        <w:t>$100,000,000</w:t>
      </w:r>
      <w:r>
        <w:rPr>
          <w:spacing w:val="-10"/>
        </w:rPr>
        <w:t> </w:t>
      </w:r>
      <w:r>
        <w:rPr/>
        <w:t>by</w:t>
      </w:r>
      <w:r>
        <w:rPr>
          <w:spacing w:val="-7"/>
        </w:rPr>
        <w:t> </w:t>
      </w:r>
      <w:r>
        <w:rPr/>
        <w:t>the SIG.</w:t>
      </w:r>
      <w:r>
        <w:rPr>
          <w:spacing w:val="-7"/>
        </w:rPr>
        <w:t> </w:t>
      </w:r>
      <w:r>
        <w:rPr/>
        <w:t>Although</w:t>
      </w:r>
      <w:r>
        <w:rPr>
          <w:spacing w:val="-10"/>
        </w:rPr>
        <w:t> </w:t>
      </w:r>
      <w:r>
        <w:rPr/>
        <w:t>personnel</w:t>
      </w:r>
      <w:r>
        <w:rPr>
          <w:spacing w:val="-7"/>
        </w:rPr>
        <w:t> </w:t>
      </w:r>
      <w:r>
        <w:rPr/>
        <w:t>advised</w:t>
      </w:r>
      <w:r>
        <w:rPr>
          <w:spacing w:val="-10"/>
        </w:rPr>
        <w:t> </w:t>
      </w:r>
      <w:r>
        <w:rPr/>
        <w:t>that</w:t>
      </w:r>
      <w:r>
        <w:rPr>
          <w:spacing w:val="-11"/>
        </w:rPr>
        <w:t> </w:t>
      </w:r>
      <w:r>
        <w:rPr/>
        <w:t>the</w:t>
      </w:r>
      <w:r>
        <w:rPr>
          <w:spacing w:val="-8"/>
        </w:rPr>
        <w:t> </w:t>
      </w:r>
      <w:r>
        <w:rPr/>
        <w:t>supplementary</w:t>
      </w:r>
      <w:r>
        <w:rPr>
          <w:spacing w:val="-8"/>
        </w:rPr>
        <w:t> </w:t>
      </w:r>
      <w:r>
        <w:rPr/>
        <w:t>allocation</w:t>
      </w:r>
      <w:r>
        <w:rPr>
          <w:spacing w:val="-10"/>
        </w:rPr>
        <w:t> </w:t>
      </w:r>
      <w:r>
        <w:rPr/>
        <w:t>was</w:t>
      </w:r>
      <w:r>
        <w:rPr>
          <w:spacing w:val="-9"/>
        </w:rPr>
        <w:t> </w:t>
      </w:r>
      <w:r>
        <w:rPr/>
        <w:t>not</w:t>
      </w:r>
      <w:r>
        <w:rPr>
          <w:spacing w:val="-11"/>
        </w:rPr>
        <w:t> </w:t>
      </w:r>
      <w:r>
        <w:rPr/>
        <w:t>requested</w:t>
      </w:r>
      <w:r>
        <w:rPr>
          <w:spacing w:val="-10"/>
        </w:rPr>
        <w:t> </w:t>
      </w:r>
      <w:r>
        <w:rPr/>
        <w:t>by</w:t>
      </w:r>
      <w:r>
        <w:rPr>
          <w:spacing w:val="-8"/>
        </w:rPr>
        <w:t> </w:t>
      </w:r>
      <w:r>
        <w:rPr/>
        <w:t>MEHRD,</w:t>
      </w:r>
      <w:r>
        <w:rPr>
          <w:spacing w:val="-11"/>
        </w:rPr>
        <w:t> </w:t>
      </w:r>
      <w:r>
        <w:rPr/>
        <w:t>the provision of the additional funding meant that the target was not achieved. This issue is addressed further in the section below.</w:t>
      </w:r>
    </w:p>
    <w:p>
      <w:pPr>
        <w:pStyle w:val="BodyText"/>
        <w:rPr>
          <w:sz w:val="20"/>
        </w:rPr>
      </w:pPr>
    </w:p>
    <w:p>
      <w:pPr>
        <w:pStyle w:val="BodyText"/>
        <w:rPr>
          <w:sz w:val="20"/>
        </w:rPr>
      </w:pPr>
    </w:p>
    <w:p>
      <w:pPr>
        <w:pStyle w:val="BodyText"/>
        <w:spacing w:before="12"/>
        <w:rPr>
          <w:sz w:val="10"/>
        </w:rPr>
      </w:pPr>
      <w:r>
        <w:rPr/>
        <w:pict>
          <v:shape style="position:absolute;margin-left:68.400002pt;margin-top:8.304pt;width:373.9pt;height:90.2pt;mso-position-horizontal-relative:page;mso-position-vertical-relative:paragraph;z-index:-15723520;mso-wrap-distance-left:0;mso-wrap-distance-right:0" type="#_x0000_t202" id="docshape14" filled="true" fillcolor="#dae3f3" stroked="true" strokeweight=".75pt" strokecolor="#4472c4">
            <v:textbox inset="0,0,0,0">
              <w:txbxContent>
                <w:p>
                  <w:pPr>
                    <w:spacing w:before="184"/>
                    <w:ind w:left="136" w:right="0" w:firstLine="0"/>
                    <w:jc w:val="left"/>
                    <w:rPr>
                      <w:i/>
                      <w:color w:val="000000"/>
                      <w:sz w:val="22"/>
                    </w:rPr>
                  </w:pPr>
                  <w:r>
                    <w:rPr>
                      <w:b/>
                      <w:i/>
                      <w:color w:val="000000"/>
                      <w:sz w:val="22"/>
                    </w:rPr>
                    <w:t>Target</w:t>
                  </w:r>
                  <w:r>
                    <w:rPr>
                      <w:b/>
                      <w:i/>
                      <w:color w:val="000000"/>
                      <w:spacing w:val="-13"/>
                      <w:sz w:val="22"/>
                    </w:rPr>
                    <w:t> </w:t>
                  </w:r>
                  <w:r>
                    <w:rPr>
                      <w:b/>
                      <w:i/>
                      <w:color w:val="000000"/>
                      <w:sz w:val="22"/>
                    </w:rPr>
                    <w:t>3.2.2</w:t>
                  </w:r>
                  <w:r>
                    <w:rPr>
                      <w:i/>
                      <w:color w:val="000000"/>
                      <w:sz w:val="22"/>
                    </w:rPr>
                    <w:t>:</w:t>
                  </w:r>
                  <w:r>
                    <w:rPr>
                      <w:i/>
                      <w:color w:val="000000"/>
                      <w:spacing w:val="-14"/>
                      <w:sz w:val="22"/>
                    </w:rPr>
                    <w:t> </w:t>
                  </w:r>
                  <w:r>
                    <w:rPr>
                      <w:i/>
                      <w:color w:val="000000"/>
                      <w:sz w:val="22"/>
                    </w:rPr>
                    <w:t>Beyond</w:t>
                  </w:r>
                  <w:r>
                    <w:rPr>
                      <w:i/>
                      <w:color w:val="000000"/>
                      <w:spacing w:val="-12"/>
                      <w:sz w:val="22"/>
                    </w:rPr>
                    <w:t> </w:t>
                  </w:r>
                  <w:r>
                    <w:rPr>
                      <w:i/>
                      <w:color w:val="000000"/>
                      <w:sz w:val="22"/>
                    </w:rPr>
                    <w:t>scholarships,</w:t>
                  </w:r>
                  <w:r>
                    <w:rPr>
                      <w:i/>
                      <w:color w:val="000000"/>
                      <w:spacing w:val="-14"/>
                      <w:sz w:val="22"/>
                    </w:rPr>
                    <w:t> </w:t>
                  </w:r>
                  <w:r>
                    <w:rPr>
                      <w:i/>
                      <w:color w:val="000000"/>
                      <w:sz w:val="22"/>
                    </w:rPr>
                    <w:t>the</w:t>
                  </w:r>
                  <w:r>
                    <w:rPr>
                      <w:i/>
                      <w:color w:val="000000"/>
                      <w:spacing w:val="-13"/>
                      <w:sz w:val="22"/>
                    </w:rPr>
                    <w:t> </w:t>
                  </w:r>
                  <w:r>
                    <w:rPr>
                      <w:i/>
                      <w:color w:val="000000"/>
                      <w:sz w:val="22"/>
                    </w:rPr>
                    <w:t>baseline</w:t>
                  </w:r>
                  <w:r>
                    <w:rPr>
                      <w:i/>
                      <w:color w:val="000000"/>
                      <w:spacing w:val="-12"/>
                      <w:sz w:val="22"/>
                    </w:rPr>
                    <w:t> </w:t>
                  </w:r>
                  <w:r>
                    <w:rPr>
                      <w:i/>
                      <w:color w:val="000000"/>
                      <w:sz w:val="22"/>
                    </w:rPr>
                    <w:t>figures</w:t>
                  </w:r>
                  <w:r>
                    <w:rPr>
                      <w:i/>
                      <w:color w:val="000000"/>
                      <w:spacing w:val="-13"/>
                      <w:sz w:val="22"/>
                    </w:rPr>
                    <w:t> </w:t>
                  </w:r>
                  <w:r>
                    <w:rPr>
                      <w:i/>
                      <w:color w:val="000000"/>
                      <w:sz w:val="22"/>
                    </w:rPr>
                    <w:t>for</w:t>
                  </w:r>
                  <w:r>
                    <w:rPr>
                      <w:i/>
                      <w:color w:val="000000"/>
                      <w:spacing w:val="-12"/>
                      <w:sz w:val="22"/>
                    </w:rPr>
                    <w:t> </w:t>
                  </w:r>
                  <w:r>
                    <w:rPr>
                      <w:i/>
                      <w:color w:val="000000"/>
                      <w:sz w:val="22"/>
                    </w:rPr>
                    <w:t>tertiary</w:t>
                  </w:r>
                  <w:r>
                    <w:rPr>
                      <w:i/>
                      <w:color w:val="000000"/>
                      <w:spacing w:val="-13"/>
                      <w:sz w:val="22"/>
                    </w:rPr>
                    <w:t> </w:t>
                  </w:r>
                  <w:r>
                    <w:rPr>
                      <w:i/>
                      <w:color w:val="000000"/>
                      <w:sz w:val="22"/>
                    </w:rPr>
                    <w:t>education</w:t>
                  </w:r>
                  <w:r>
                    <w:rPr>
                      <w:i/>
                      <w:color w:val="000000"/>
                      <w:spacing w:val="-15"/>
                      <w:sz w:val="22"/>
                    </w:rPr>
                    <w:t> </w:t>
                  </w:r>
                  <w:r>
                    <w:rPr>
                      <w:i/>
                      <w:color w:val="000000"/>
                      <w:sz w:val="22"/>
                    </w:rPr>
                    <w:t>need</w:t>
                  </w:r>
                  <w:r>
                    <w:rPr>
                      <w:i/>
                      <w:color w:val="000000"/>
                      <w:sz w:val="22"/>
                    </w:rPr>
                    <w:t> rebalancing to reflect wider skills training needs.</w:t>
                  </w:r>
                </w:p>
                <w:p>
                  <w:pPr>
                    <w:spacing w:before="120"/>
                    <w:ind w:left="136" w:right="0" w:firstLine="0"/>
                    <w:jc w:val="left"/>
                    <w:rPr>
                      <w:i/>
                      <w:color w:val="000000"/>
                      <w:sz w:val="22"/>
                    </w:rPr>
                  </w:pPr>
                  <w:r>
                    <w:rPr>
                      <w:b/>
                      <w:i/>
                      <w:color w:val="000000"/>
                      <w:sz w:val="22"/>
                    </w:rPr>
                    <w:t>Evidence:</w:t>
                  </w:r>
                  <w:r>
                    <w:rPr>
                      <w:b/>
                      <w:i/>
                      <w:color w:val="000000"/>
                      <w:spacing w:val="-5"/>
                      <w:sz w:val="22"/>
                    </w:rPr>
                    <w:t> </w:t>
                  </w:r>
                  <w:r>
                    <w:rPr>
                      <w:i/>
                      <w:color w:val="000000"/>
                      <w:sz w:val="22"/>
                    </w:rPr>
                    <w:t>MEHRD</w:t>
                  </w:r>
                  <w:r>
                    <w:rPr>
                      <w:i/>
                      <w:color w:val="000000"/>
                      <w:spacing w:val="-8"/>
                      <w:sz w:val="22"/>
                    </w:rPr>
                    <w:t> </w:t>
                  </w:r>
                  <w:r>
                    <w:rPr>
                      <w:i/>
                      <w:color w:val="000000"/>
                      <w:sz w:val="22"/>
                    </w:rPr>
                    <w:t>Financial</w:t>
                  </w:r>
                  <w:r>
                    <w:rPr>
                      <w:i/>
                      <w:color w:val="000000"/>
                      <w:spacing w:val="-3"/>
                      <w:sz w:val="22"/>
                    </w:rPr>
                    <w:t> </w:t>
                  </w:r>
                  <w:r>
                    <w:rPr>
                      <w:i/>
                      <w:color w:val="000000"/>
                      <w:sz w:val="22"/>
                    </w:rPr>
                    <w:t>Records</w:t>
                  </w:r>
                  <w:r>
                    <w:rPr>
                      <w:i/>
                      <w:color w:val="000000"/>
                      <w:spacing w:val="-6"/>
                      <w:sz w:val="22"/>
                    </w:rPr>
                    <w:t> </w:t>
                  </w:r>
                  <w:r>
                    <w:rPr>
                      <w:i/>
                      <w:color w:val="000000"/>
                      <w:sz w:val="22"/>
                    </w:rPr>
                    <w:t>and</w:t>
                  </w:r>
                  <w:r>
                    <w:rPr>
                      <w:i/>
                      <w:color w:val="000000"/>
                      <w:spacing w:val="-4"/>
                      <w:sz w:val="22"/>
                    </w:rPr>
                    <w:t> </w:t>
                  </w:r>
                  <w:r>
                    <w:rPr>
                      <w:i/>
                      <w:color w:val="000000"/>
                      <w:spacing w:val="-2"/>
                      <w:sz w:val="22"/>
                    </w:rPr>
                    <w:t>Analysis</w:t>
                  </w:r>
                </w:p>
                <w:p>
                  <w:pPr>
                    <w:spacing w:before="120"/>
                    <w:ind w:left="136" w:right="0" w:firstLine="0"/>
                    <w:jc w:val="left"/>
                    <w:rPr>
                      <w:i/>
                      <w:color w:val="000000"/>
                      <w:sz w:val="22"/>
                    </w:rPr>
                  </w:pPr>
                  <w:r>
                    <w:rPr>
                      <w:b/>
                      <w:i/>
                      <w:color w:val="000000"/>
                      <w:sz w:val="22"/>
                    </w:rPr>
                    <w:t>Assessment:</w:t>
                  </w:r>
                  <w:r>
                    <w:rPr>
                      <w:b/>
                      <w:i/>
                      <w:color w:val="000000"/>
                      <w:spacing w:val="-6"/>
                      <w:sz w:val="22"/>
                    </w:rPr>
                    <w:t> </w:t>
                  </w:r>
                  <w:r>
                    <w:rPr>
                      <w:i/>
                      <w:color w:val="000000"/>
                      <w:sz w:val="22"/>
                    </w:rPr>
                    <w:t>Not</w:t>
                  </w:r>
                  <w:r>
                    <w:rPr>
                      <w:i/>
                      <w:color w:val="000000"/>
                      <w:spacing w:val="-5"/>
                      <w:sz w:val="22"/>
                    </w:rPr>
                    <w:t> </w:t>
                  </w:r>
                  <w:r>
                    <w:rPr>
                      <w:i/>
                      <w:color w:val="000000"/>
                      <w:spacing w:val="-2"/>
                      <w:sz w:val="22"/>
                    </w:rPr>
                    <w:t>Achieved</w:t>
                  </w:r>
                </w:p>
              </w:txbxContent>
            </v:textbox>
            <v:fill type="solid"/>
            <v:stroke dashstyle="solid"/>
            <w10:wrap type="topAndBottom"/>
          </v:shape>
        </w:pict>
      </w:r>
    </w:p>
    <w:p>
      <w:pPr>
        <w:pStyle w:val="BodyText"/>
      </w:pPr>
    </w:p>
    <w:p>
      <w:pPr>
        <w:pStyle w:val="BodyText"/>
        <w:spacing w:before="9"/>
        <w:rPr>
          <w:sz w:val="17"/>
        </w:rPr>
      </w:pPr>
    </w:p>
    <w:p>
      <w:pPr>
        <w:pStyle w:val="BodyText"/>
        <w:ind w:left="1120" w:right="1178"/>
        <w:jc w:val="both"/>
      </w:pPr>
      <w:r>
        <w:rPr/>
        <w:t>This</w:t>
      </w:r>
      <w:r>
        <w:rPr>
          <w:spacing w:val="-3"/>
        </w:rPr>
        <w:t> </w:t>
      </w:r>
      <w:r>
        <w:rPr/>
        <w:t>target</w:t>
      </w:r>
      <w:r>
        <w:rPr>
          <w:spacing w:val="-5"/>
        </w:rPr>
        <w:t> </w:t>
      </w:r>
      <w:r>
        <w:rPr/>
        <w:t>was</w:t>
      </w:r>
      <w:r>
        <w:rPr>
          <w:spacing w:val="-3"/>
        </w:rPr>
        <w:t> </w:t>
      </w:r>
      <w:r>
        <w:rPr/>
        <w:t>not</w:t>
      </w:r>
      <w:r>
        <w:rPr>
          <w:spacing w:val="-5"/>
        </w:rPr>
        <w:t> </w:t>
      </w:r>
      <w:r>
        <w:rPr/>
        <w:t>achieved</w:t>
      </w:r>
      <w:r>
        <w:rPr>
          <w:spacing w:val="-4"/>
        </w:rPr>
        <w:t> </w:t>
      </w:r>
      <w:r>
        <w:rPr/>
        <w:t>as</w:t>
      </w:r>
      <w:r>
        <w:rPr>
          <w:spacing w:val="-3"/>
        </w:rPr>
        <w:t> </w:t>
      </w:r>
      <w:r>
        <w:rPr/>
        <w:t>evidence</w:t>
      </w:r>
      <w:r>
        <w:rPr>
          <w:spacing w:val="-3"/>
        </w:rPr>
        <w:t> </w:t>
      </w:r>
      <w:r>
        <w:rPr/>
        <w:t>indicates</w:t>
      </w:r>
      <w:r>
        <w:rPr>
          <w:spacing w:val="-3"/>
        </w:rPr>
        <w:t> </w:t>
      </w:r>
      <w:r>
        <w:rPr/>
        <w:t>that</w:t>
      </w:r>
      <w:r>
        <w:rPr>
          <w:spacing w:val="-5"/>
        </w:rPr>
        <w:t> </w:t>
      </w:r>
      <w:r>
        <w:rPr/>
        <w:t>had been</w:t>
      </w:r>
      <w:r>
        <w:rPr>
          <w:spacing w:val="-4"/>
        </w:rPr>
        <w:t> </w:t>
      </w:r>
      <w:r>
        <w:rPr/>
        <w:t>no attempt to adjust the</w:t>
      </w:r>
      <w:r>
        <w:rPr>
          <w:spacing w:val="-3"/>
        </w:rPr>
        <w:t> </w:t>
      </w:r>
      <w:r>
        <w:rPr/>
        <w:t>balance in the allocations. MEHRD</w:t>
      </w:r>
      <w:r>
        <w:rPr>
          <w:spacing w:val="-1"/>
        </w:rPr>
        <w:t> </w:t>
      </w:r>
      <w:r>
        <w:rPr/>
        <w:t>personnel interviewed indicated that they had little control over the tertiary budget because allocations were made by the Department of Development Planning and Donor Coordination. However, this would appear to underplay the capacity of MEHRD to influence budget decisions and set priorities for the education sector.</w:t>
      </w:r>
    </w:p>
    <w:p>
      <w:pPr>
        <w:pStyle w:val="BodyText"/>
        <w:spacing w:before="121"/>
        <w:ind w:left="1120" w:right="1172"/>
        <w:jc w:val="both"/>
      </w:pPr>
      <w:r>
        <w:rPr/>
        <w:t>As discussed earlier in the report one of the issues limiting MEHRD’s ability to present a case for budget reform in the tertiary sector, especially concerning scholarships, is the apparent lack of meaningful data about:</w:t>
      </w:r>
    </w:p>
    <w:p>
      <w:pPr>
        <w:pStyle w:val="ListParagraph"/>
        <w:numPr>
          <w:ilvl w:val="2"/>
          <w:numId w:val="3"/>
        </w:numPr>
        <w:tabs>
          <w:tab w:pos="1894" w:val="left" w:leader="none"/>
        </w:tabs>
        <w:spacing w:line="240" w:lineRule="auto" w:before="113" w:after="0"/>
        <w:ind w:left="1893" w:right="0" w:hanging="362"/>
        <w:jc w:val="both"/>
        <w:rPr>
          <w:sz w:val="22"/>
        </w:rPr>
      </w:pPr>
      <w:r>
        <w:rPr>
          <w:sz w:val="22"/>
        </w:rPr>
        <w:t>The</w:t>
      </w:r>
      <w:r>
        <w:rPr>
          <w:spacing w:val="-6"/>
          <w:sz w:val="22"/>
        </w:rPr>
        <w:t> </w:t>
      </w:r>
      <w:r>
        <w:rPr>
          <w:sz w:val="22"/>
        </w:rPr>
        <w:t>cost</w:t>
      </w:r>
      <w:r>
        <w:rPr>
          <w:spacing w:val="-2"/>
          <w:sz w:val="22"/>
        </w:rPr>
        <w:t> </w:t>
      </w:r>
      <w:r>
        <w:rPr>
          <w:sz w:val="22"/>
        </w:rPr>
        <w:t>benefits</w:t>
      </w:r>
      <w:r>
        <w:rPr>
          <w:spacing w:val="-5"/>
          <w:sz w:val="22"/>
        </w:rPr>
        <w:t> </w:t>
      </w:r>
      <w:r>
        <w:rPr>
          <w:sz w:val="22"/>
        </w:rPr>
        <w:t>of</w:t>
      </w:r>
      <w:r>
        <w:rPr>
          <w:spacing w:val="-6"/>
          <w:sz w:val="22"/>
        </w:rPr>
        <w:t> </w:t>
      </w:r>
      <w:r>
        <w:rPr>
          <w:spacing w:val="-2"/>
          <w:sz w:val="22"/>
        </w:rPr>
        <w:t>scholarships.</w:t>
      </w:r>
    </w:p>
    <w:p>
      <w:pPr>
        <w:pStyle w:val="ListParagraph"/>
        <w:numPr>
          <w:ilvl w:val="2"/>
          <w:numId w:val="3"/>
        </w:numPr>
        <w:tabs>
          <w:tab w:pos="1894" w:val="left" w:leader="none"/>
        </w:tabs>
        <w:spacing w:line="240" w:lineRule="auto" w:before="123" w:after="0"/>
        <w:ind w:left="1893" w:right="1176" w:hanging="360"/>
        <w:jc w:val="both"/>
        <w:rPr>
          <w:sz w:val="22"/>
        </w:rPr>
      </w:pPr>
      <w:r>
        <w:rPr>
          <w:sz w:val="22"/>
        </w:rPr>
        <w:t>The</w:t>
      </w:r>
      <w:r>
        <w:rPr>
          <w:spacing w:val="-13"/>
          <w:sz w:val="22"/>
        </w:rPr>
        <w:t> </w:t>
      </w:r>
      <w:r>
        <w:rPr>
          <w:sz w:val="22"/>
        </w:rPr>
        <w:t>contribution</w:t>
      </w:r>
      <w:r>
        <w:rPr>
          <w:spacing w:val="-12"/>
          <w:sz w:val="22"/>
        </w:rPr>
        <w:t> </w:t>
      </w:r>
      <w:r>
        <w:rPr>
          <w:sz w:val="22"/>
        </w:rPr>
        <w:t>of</w:t>
      </w:r>
      <w:r>
        <w:rPr>
          <w:spacing w:val="-13"/>
          <w:sz w:val="22"/>
        </w:rPr>
        <w:t> </w:t>
      </w:r>
      <w:r>
        <w:rPr>
          <w:sz w:val="22"/>
        </w:rPr>
        <w:t>scholarship</w:t>
      </w:r>
      <w:r>
        <w:rPr>
          <w:spacing w:val="-12"/>
          <w:sz w:val="22"/>
        </w:rPr>
        <w:t> </w:t>
      </w:r>
      <w:r>
        <w:rPr>
          <w:sz w:val="22"/>
        </w:rPr>
        <w:t>recipients</w:t>
      </w:r>
      <w:r>
        <w:rPr>
          <w:spacing w:val="-13"/>
          <w:sz w:val="22"/>
        </w:rPr>
        <w:t> </w:t>
      </w:r>
      <w:r>
        <w:rPr>
          <w:sz w:val="22"/>
        </w:rPr>
        <w:t>to</w:t>
      </w:r>
      <w:r>
        <w:rPr>
          <w:spacing w:val="-12"/>
          <w:sz w:val="22"/>
        </w:rPr>
        <w:t> </w:t>
      </w:r>
      <w:r>
        <w:rPr>
          <w:sz w:val="22"/>
        </w:rPr>
        <w:t>the</w:t>
      </w:r>
      <w:r>
        <w:rPr>
          <w:spacing w:val="-13"/>
          <w:sz w:val="22"/>
        </w:rPr>
        <w:t> </w:t>
      </w:r>
      <w:r>
        <w:rPr>
          <w:sz w:val="22"/>
        </w:rPr>
        <w:t>well-being</w:t>
      </w:r>
      <w:r>
        <w:rPr>
          <w:spacing w:val="-12"/>
          <w:sz w:val="22"/>
        </w:rPr>
        <w:t> </w:t>
      </w:r>
      <w:r>
        <w:rPr>
          <w:sz w:val="22"/>
        </w:rPr>
        <w:t>and</w:t>
      </w:r>
      <w:r>
        <w:rPr>
          <w:spacing w:val="-12"/>
          <w:sz w:val="22"/>
        </w:rPr>
        <w:t> </w:t>
      </w:r>
      <w:r>
        <w:rPr>
          <w:sz w:val="22"/>
        </w:rPr>
        <w:t>economic</w:t>
      </w:r>
      <w:r>
        <w:rPr>
          <w:spacing w:val="-13"/>
          <w:sz w:val="22"/>
        </w:rPr>
        <w:t> </w:t>
      </w:r>
      <w:r>
        <w:rPr>
          <w:sz w:val="22"/>
        </w:rPr>
        <w:t>growth</w:t>
      </w:r>
      <w:r>
        <w:rPr>
          <w:spacing w:val="-12"/>
          <w:sz w:val="22"/>
        </w:rPr>
        <w:t> </w:t>
      </w:r>
      <w:r>
        <w:rPr>
          <w:sz w:val="22"/>
        </w:rPr>
        <w:t>of</w:t>
      </w:r>
      <w:r>
        <w:rPr>
          <w:spacing w:val="-10"/>
          <w:sz w:val="22"/>
        </w:rPr>
        <w:t> </w:t>
      </w:r>
      <w:r>
        <w:rPr>
          <w:sz w:val="22"/>
        </w:rPr>
        <w:t>Solomon </w:t>
      </w:r>
      <w:r>
        <w:rPr>
          <w:spacing w:val="-2"/>
          <w:sz w:val="22"/>
        </w:rPr>
        <w:t>Islands.</w:t>
      </w:r>
    </w:p>
    <w:p>
      <w:pPr>
        <w:pStyle w:val="ListParagraph"/>
        <w:numPr>
          <w:ilvl w:val="2"/>
          <w:numId w:val="3"/>
        </w:numPr>
        <w:tabs>
          <w:tab w:pos="1894" w:val="left" w:leader="none"/>
        </w:tabs>
        <w:spacing w:line="244" w:lineRule="auto" w:before="119" w:after="0"/>
        <w:ind w:left="1893" w:right="1181" w:hanging="361"/>
        <w:jc w:val="both"/>
        <w:rPr>
          <w:sz w:val="22"/>
        </w:rPr>
      </w:pPr>
      <w:r>
        <w:rPr>
          <w:sz w:val="22"/>
        </w:rPr>
        <w:t>The proportion of scholarship funds that are expended in Solomon Islands institutions and overseas institutions</w:t>
      </w:r>
    </w:p>
    <w:p>
      <w:pPr>
        <w:pStyle w:val="BodyText"/>
        <w:spacing w:before="109"/>
        <w:ind w:left="1120" w:right="1172"/>
        <w:jc w:val="both"/>
      </w:pPr>
      <w:r>
        <w:rPr/>
        <w:t>There</w:t>
      </w:r>
      <w:r>
        <w:rPr>
          <w:spacing w:val="-9"/>
        </w:rPr>
        <w:t> </w:t>
      </w:r>
      <w:r>
        <w:rPr/>
        <w:t>would</w:t>
      </w:r>
      <w:r>
        <w:rPr>
          <w:spacing w:val="-11"/>
        </w:rPr>
        <w:t> </w:t>
      </w:r>
      <w:r>
        <w:rPr/>
        <w:t>be</w:t>
      </w:r>
      <w:r>
        <w:rPr>
          <w:spacing w:val="-9"/>
        </w:rPr>
        <w:t> </w:t>
      </w:r>
      <w:r>
        <w:rPr/>
        <w:t>considerable</w:t>
      </w:r>
      <w:r>
        <w:rPr>
          <w:spacing w:val="-9"/>
        </w:rPr>
        <w:t> </w:t>
      </w:r>
      <w:r>
        <w:rPr/>
        <w:t>value</w:t>
      </w:r>
      <w:r>
        <w:rPr>
          <w:spacing w:val="-9"/>
        </w:rPr>
        <w:t> </w:t>
      </w:r>
      <w:r>
        <w:rPr/>
        <w:t>in</w:t>
      </w:r>
      <w:r>
        <w:rPr>
          <w:spacing w:val="-11"/>
        </w:rPr>
        <w:t> </w:t>
      </w:r>
      <w:r>
        <w:rPr/>
        <w:t>MEHRD</w:t>
      </w:r>
      <w:r>
        <w:rPr>
          <w:spacing w:val="-11"/>
        </w:rPr>
        <w:t> </w:t>
      </w:r>
      <w:r>
        <w:rPr/>
        <w:t>commissioning</w:t>
      </w:r>
      <w:r>
        <w:rPr>
          <w:spacing w:val="-8"/>
        </w:rPr>
        <w:t> </w:t>
      </w:r>
      <w:r>
        <w:rPr/>
        <w:t>a</w:t>
      </w:r>
      <w:r>
        <w:rPr>
          <w:spacing w:val="-10"/>
        </w:rPr>
        <w:t> </w:t>
      </w:r>
      <w:r>
        <w:rPr/>
        <w:t>study</w:t>
      </w:r>
      <w:r>
        <w:rPr>
          <w:spacing w:val="-9"/>
        </w:rPr>
        <w:t> </w:t>
      </w:r>
      <w:r>
        <w:rPr/>
        <w:t>that</w:t>
      </w:r>
      <w:r>
        <w:rPr>
          <w:spacing w:val="-12"/>
        </w:rPr>
        <w:t> </w:t>
      </w:r>
      <w:r>
        <w:rPr/>
        <w:t>addressed</w:t>
      </w:r>
      <w:r>
        <w:rPr>
          <w:spacing w:val="-11"/>
        </w:rPr>
        <w:t> </w:t>
      </w:r>
      <w:r>
        <w:rPr/>
        <w:t>these</w:t>
      </w:r>
      <w:r>
        <w:rPr>
          <w:spacing w:val="-9"/>
        </w:rPr>
        <w:t> </w:t>
      </w:r>
      <w:r>
        <w:rPr/>
        <w:t>and</w:t>
      </w:r>
      <w:r>
        <w:rPr>
          <w:spacing w:val="-11"/>
        </w:rPr>
        <w:t> </w:t>
      </w:r>
      <w:r>
        <w:rPr/>
        <w:t>similar issues. This would provide information that could be used to reframe the allocations for the tertiary and skills sectors.</w:t>
      </w:r>
    </w:p>
    <w:p>
      <w:pPr>
        <w:pStyle w:val="BodyText"/>
        <w:spacing w:before="121"/>
        <w:ind w:left="1119" w:right="1171"/>
        <w:jc w:val="both"/>
      </w:pPr>
      <w:r>
        <w:rPr/>
        <w:t>It is acknowledged that SIG is in the process of establishing the Solomon Islands Tertiary Education and Skills Authority (SITESA) which, it is envisaged, will lead to changes in current policies and action for</w:t>
      </w:r>
      <w:r>
        <w:rPr>
          <w:spacing w:val="-3"/>
        </w:rPr>
        <w:t> </w:t>
      </w:r>
      <w:r>
        <w:rPr/>
        <w:t>tertiary</w:t>
      </w:r>
      <w:r>
        <w:rPr>
          <w:spacing w:val="-2"/>
        </w:rPr>
        <w:t> </w:t>
      </w:r>
      <w:r>
        <w:rPr/>
        <w:t>education and the vocational</w:t>
      </w:r>
      <w:r>
        <w:rPr>
          <w:spacing w:val="-1"/>
        </w:rPr>
        <w:t> </w:t>
      </w:r>
      <w:r>
        <w:rPr/>
        <w:t>education</w:t>
      </w:r>
      <w:r>
        <w:rPr>
          <w:spacing w:val="-4"/>
        </w:rPr>
        <w:t> </w:t>
      </w:r>
      <w:r>
        <w:rPr/>
        <w:t>sector,</w:t>
      </w:r>
      <w:r>
        <w:rPr>
          <w:spacing w:val="-1"/>
        </w:rPr>
        <w:t> </w:t>
      </w:r>
      <w:r>
        <w:rPr/>
        <w:t>including</w:t>
      </w:r>
      <w:r>
        <w:rPr>
          <w:spacing w:val="-2"/>
        </w:rPr>
        <w:t> </w:t>
      </w:r>
      <w:r>
        <w:rPr/>
        <w:t>the allocation</w:t>
      </w:r>
      <w:r>
        <w:rPr>
          <w:spacing w:val="-4"/>
        </w:rPr>
        <w:t> </w:t>
      </w:r>
      <w:r>
        <w:rPr/>
        <w:t>and management of scholarships. It is anticipated that SITESA will review the current balance between university and vocational education tertiary sectors and this may result in a changed balance between the skills sector and general tertiary budget</w:t>
      </w:r>
      <w:r>
        <w:rPr>
          <w:spacing w:val="-1"/>
        </w:rPr>
        <w:t> </w:t>
      </w:r>
      <w:r>
        <w:rPr/>
        <w:t>allocations. This issue should be monitored in future independent </w:t>
      </w:r>
      <w:r>
        <w:rPr>
          <w:spacing w:val="-2"/>
        </w:rPr>
        <w:t>assessments.</w:t>
      </w:r>
    </w:p>
    <w:p>
      <w:pPr>
        <w:spacing w:after="0"/>
        <w:jc w:val="both"/>
        <w:sectPr>
          <w:pgSz w:w="11900" w:h="16840"/>
          <w:pgMar w:header="751" w:footer="1206" w:top="1640" w:bottom="1420" w:left="320" w:right="260"/>
        </w:sectPr>
      </w:pPr>
    </w:p>
    <w:p>
      <w:pPr>
        <w:pStyle w:val="BodyText"/>
        <w:spacing w:before="10"/>
        <w:rPr>
          <w:sz w:val="26"/>
        </w:rPr>
      </w:pPr>
    </w:p>
    <w:p>
      <w:pPr>
        <w:pStyle w:val="BodyText"/>
        <w:ind w:left="1040"/>
        <w:rPr>
          <w:sz w:val="20"/>
        </w:rPr>
      </w:pPr>
      <w:r>
        <w:rPr>
          <w:sz w:val="20"/>
        </w:rPr>
        <w:pict>
          <v:shape style="width:373.9pt;height:90.2pt;mso-position-horizontal-relative:char;mso-position-vertical-relative:line" type="#_x0000_t202" id="docshape15" filled="true" fillcolor="#dae3f3" stroked="true" strokeweight=".75pt" strokecolor="#4472c4">
            <w10:anchorlock/>
            <v:textbox inset="0,0,0,0">
              <w:txbxContent>
                <w:p>
                  <w:pPr>
                    <w:spacing w:before="187"/>
                    <w:ind w:left="136" w:right="0" w:firstLine="0"/>
                    <w:jc w:val="left"/>
                    <w:rPr>
                      <w:i/>
                      <w:color w:val="000000"/>
                      <w:sz w:val="22"/>
                    </w:rPr>
                  </w:pPr>
                  <w:r>
                    <w:rPr>
                      <w:b/>
                      <w:i/>
                      <w:color w:val="000000"/>
                      <w:sz w:val="22"/>
                    </w:rPr>
                    <w:t>Target 3.2.3</w:t>
                  </w:r>
                  <w:r>
                    <w:rPr>
                      <w:i/>
                      <w:color w:val="000000"/>
                      <w:sz w:val="22"/>
                    </w:rPr>
                    <w:t>: Cost-sharing of scholarships is piloted,</w:t>
                  </w:r>
                  <w:r>
                    <w:rPr>
                      <w:i/>
                      <w:color w:val="000000"/>
                      <w:spacing w:val="-1"/>
                      <w:sz w:val="22"/>
                    </w:rPr>
                    <w:t> </w:t>
                  </w:r>
                  <w:r>
                    <w:rPr>
                      <w:i/>
                      <w:color w:val="000000"/>
                      <w:sz w:val="22"/>
                    </w:rPr>
                    <w:t>and transparency in awards</w:t>
                  </w:r>
                  <w:r>
                    <w:rPr>
                      <w:i/>
                      <w:color w:val="000000"/>
                      <w:sz w:val="22"/>
                    </w:rPr>
                    <w:t> and procedures are robustly promoted.</w:t>
                  </w:r>
                </w:p>
                <w:p>
                  <w:pPr>
                    <w:spacing w:before="121"/>
                    <w:ind w:left="136" w:right="0" w:firstLine="0"/>
                    <w:jc w:val="left"/>
                    <w:rPr>
                      <w:i/>
                      <w:color w:val="000000"/>
                      <w:sz w:val="22"/>
                    </w:rPr>
                  </w:pPr>
                  <w:r>
                    <w:rPr>
                      <w:b/>
                      <w:i/>
                      <w:color w:val="000000"/>
                      <w:sz w:val="22"/>
                    </w:rPr>
                    <w:t>Evidence:</w:t>
                  </w:r>
                  <w:r>
                    <w:rPr>
                      <w:b/>
                      <w:i/>
                      <w:color w:val="000000"/>
                      <w:spacing w:val="-7"/>
                      <w:sz w:val="22"/>
                    </w:rPr>
                    <w:t> </w:t>
                  </w:r>
                  <w:r>
                    <w:rPr>
                      <w:i/>
                      <w:color w:val="000000"/>
                      <w:sz w:val="22"/>
                    </w:rPr>
                    <w:t>MEHRD</w:t>
                  </w:r>
                  <w:r>
                    <w:rPr>
                      <w:i/>
                      <w:color w:val="000000"/>
                      <w:spacing w:val="-9"/>
                      <w:sz w:val="22"/>
                    </w:rPr>
                    <w:t> </w:t>
                  </w:r>
                  <w:r>
                    <w:rPr>
                      <w:i/>
                      <w:color w:val="000000"/>
                      <w:sz w:val="22"/>
                    </w:rPr>
                    <w:t>financial</w:t>
                  </w:r>
                  <w:r>
                    <w:rPr>
                      <w:i/>
                      <w:color w:val="000000"/>
                      <w:spacing w:val="-5"/>
                      <w:sz w:val="22"/>
                    </w:rPr>
                    <w:t> </w:t>
                  </w:r>
                  <w:r>
                    <w:rPr>
                      <w:i/>
                      <w:color w:val="000000"/>
                      <w:sz w:val="22"/>
                    </w:rPr>
                    <w:t>records;</w:t>
                  </w:r>
                  <w:r>
                    <w:rPr>
                      <w:i/>
                      <w:color w:val="000000"/>
                      <w:spacing w:val="-9"/>
                      <w:sz w:val="22"/>
                    </w:rPr>
                    <w:t> </w:t>
                  </w:r>
                  <w:r>
                    <w:rPr>
                      <w:i/>
                      <w:color w:val="000000"/>
                      <w:sz w:val="22"/>
                    </w:rPr>
                    <w:t>scholarship</w:t>
                  </w:r>
                  <w:r>
                    <w:rPr>
                      <w:i/>
                      <w:color w:val="000000"/>
                      <w:spacing w:val="-6"/>
                      <w:sz w:val="22"/>
                    </w:rPr>
                    <w:t> </w:t>
                  </w:r>
                  <w:r>
                    <w:rPr>
                      <w:i/>
                      <w:color w:val="000000"/>
                      <w:spacing w:val="-2"/>
                      <w:sz w:val="22"/>
                    </w:rPr>
                    <w:t>distribution</w:t>
                  </w:r>
                </w:p>
                <w:p>
                  <w:pPr>
                    <w:spacing w:before="120"/>
                    <w:ind w:left="136" w:right="0" w:firstLine="0"/>
                    <w:jc w:val="left"/>
                    <w:rPr>
                      <w:i/>
                      <w:color w:val="000000"/>
                      <w:sz w:val="22"/>
                    </w:rPr>
                  </w:pPr>
                  <w:r>
                    <w:rPr>
                      <w:b/>
                      <w:i/>
                      <w:color w:val="000000"/>
                      <w:sz w:val="22"/>
                    </w:rPr>
                    <w:t>Assessment:</w:t>
                  </w:r>
                  <w:r>
                    <w:rPr>
                      <w:b/>
                      <w:i/>
                      <w:color w:val="000000"/>
                      <w:spacing w:val="-11"/>
                      <w:sz w:val="22"/>
                    </w:rPr>
                    <w:t> </w:t>
                  </w:r>
                  <w:r>
                    <w:rPr>
                      <w:i/>
                      <w:color w:val="000000"/>
                      <w:spacing w:val="-2"/>
                      <w:sz w:val="22"/>
                    </w:rPr>
                    <w:t>Achieved</w:t>
                  </w:r>
                </w:p>
              </w:txbxContent>
            </v:textbox>
            <v:fill type="solid"/>
            <v:stroke dashstyle="solid"/>
          </v:shape>
        </w:pict>
      </w:r>
      <w:r>
        <w:rPr>
          <w:sz w:val="20"/>
        </w:rPr>
      </w:r>
    </w:p>
    <w:p>
      <w:pPr>
        <w:pStyle w:val="BodyText"/>
        <w:spacing w:before="1"/>
        <w:rPr>
          <w:sz w:val="20"/>
        </w:rPr>
      </w:pPr>
    </w:p>
    <w:p>
      <w:pPr>
        <w:pStyle w:val="BodyText"/>
        <w:spacing w:before="56"/>
        <w:ind w:left="1120" w:right="1177"/>
        <w:jc w:val="both"/>
      </w:pPr>
      <w:r>
        <w:rPr/>
        <w:t>MEHRD has made progress in these two areas. Cost sharing of a proportion of scholarships was implemented in 2016 and will be continued in 2017.</w:t>
      </w:r>
    </w:p>
    <w:p>
      <w:pPr>
        <w:pStyle w:val="BodyText"/>
        <w:spacing w:before="121"/>
        <w:ind w:left="1119" w:right="1172"/>
        <w:jc w:val="both"/>
      </w:pPr>
      <w:r>
        <w:rPr/>
        <w:t>MEHRD</w:t>
      </w:r>
      <w:r>
        <w:rPr>
          <w:spacing w:val="-6"/>
        </w:rPr>
        <w:t> </w:t>
      </w:r>
      <w:r>
        <w:rPr/>
        <w:t>personnel</w:t>
      </w:r>
      <w:r>
        <w:rPr>
          <w:spacing w:val="-2"/>
        </w:rPr>
        <w:t> </w:t>
      </w:r>
      <w:r>
        <w:rPr/>
        <w:t>advised</w:t>
      </w:r>
      <w:r>
        <w:rPr>
          <w:spacing w:val="-5"/>
        </w:rPr>
        <w:t> </w:t>
      </w:r>
      <w:r>
        <w:rPr/>
        <w:t>that</w:t>
      </w:r>
      <w:r>
        <w:rPr>
          <w:spacing w:val="-6"/>
        </w:rPr>
        <w:t> </w:t>
      </w:r>
      <w:r>
        <w:rPr/>
        <w:t>new</w:t>
      </w:r>
      <w:r>
        <w:rPr>
          <w:spacing w:val="-4"/>
        </w:rPr>
        <w:t> </w:t>
      </w:r>
      <w:r>
        <w:rPr/>
        <w:t>scholarships</w:t>
      </w:r>
      <w:r>
        <w:rPr>
          <w:spacing w:val="-9"/>
        </w:rPr>
        <w:t> </w:t>
      </w:r>
      <w:r>
        <w:rPr/>
        <w:t>legislation</w:t>
      </w:r>
      <w:r>
        <w:rPr>
          <w:spacing w:val="-5"/>
        </w:rPr>
        <w:t> </w:t>
      </w:r>
      <w:r>
        <w:rPr/>
        <w:t>before</w:t>
      </w:r>
      <w:r>
        <w:rPr>
          <w:spacing w:val="-4"/>
        </w:rPr>
        <w:t> </w:t>
      </w:r>
      <w:r>
        <w:rPr/>
        <w:t>parliament</w:t>
      </w:r>
      <w:r>
        <w:rPr>
          <w:spacing w:val="-6"/>
        </w:rPr>
        <w:t> </w:t>
      </w:r>
      <w:r>
        <w:rPr/>
        <w:t>will</w:t>
      </w:r>
      <w:r>
        <w:rPr>
          <w:spacing w:val="-7"/>
        </w:rPr>
        <w:t> </w:t>
      </w:r>
      <w:r>
        <w:rPr/>
        <w:t>provide</w:t>
      </w:r>
      <w:r>
        <w:rPr>
          <w:spacing w:val="-4"/>
        </w:rPr>
        <w:t> </w:t>
      </w:r>
      <w:r>
        <w:rPr/>
        <w:t>a</w:t>
      </w:r>
      <w:r>
        <w:rPr>
          <w:spacing w:val="-9"/>
        </w:rPr>
        <w:t> </w:t>
      </w:r>
      <w:r>
        <w:rPr/>
        <w:t>stronger legal basis for ensuring transparency in the scholarship selection processes. However, the legislation will</w:t>
      </w:r>
      <w:r>
        <w:rPr>
          <w:spacing w:val="-2"/>
        </w:rPr>
        <w:t> </w:t>
      </w:r>
      <w:r>
        <w:rPr/>
        <w:t>only</w:t>
      </w:r>
      <w:r>
        <w:rPr>
          <w:spacing w:val="-3"/>
        </w:rPr>
        <w:t> </w:t>
      </w:r>
      <w:r>
        <w:rPr/>
        <w:t>be</w:t>
      </w:r>
      <w:r>
        <w:rPr>
          <w:spacing w:val="-8"/>
        </w:rPr>
        <w:t> </w:t>
      </w:r>
      <w:r>
        <w:rPr/>
        <w:t>effective</w:t>
      </w:r>
      <w:r>
        <w:rPr>
          <w:spacing w:val="-8"/>
        </w:rPr>
        <w:t> </w:t>
      </w:r>
      <w:r>
        <w:rPr/>
        <w:t>if</w:t>
      </w:r>
      <w:r>
        <w:rPr>
          <w:spacing w:val="-5"/>
        </w:rPr>
        <w:t> </w:t>
      </w:r>
      <w:r>
        <w:rPr/>
        <w:t>the</w:t>
      </w:r>
      <w:r>
        <w:rPr>
          <w:spacing w:val="-4"/>
        </w:rPr>
        <w:t> </w:t>
      </w:r>
      <w:r>
        <w:rPr/>
        <w:t>relevant</w:t>
      </w:r>
      <w:r>
        <w:rPr>
          <w:spacing w:val="-6"/>
        </w:rPr>
        <w:t> </w:t>
      </w:r>
      <w:r>
        <w:rPr/>
        <w:t>personnel</w:t>
      </w:r>
      <w:r>
        <w:rPr>
          <w:spacing w:val="-2"/>
        </w:rPr>
        <w:t> </w:t>
      </w:r>
      <w:r>
        <w:rPr/>
        <w:t>implement</w:t>
      </w:r>
      <w:r>
        <w:rPr>
          <w:spacing w:val="-6"/>
        </w:rPr>
        <w:t> </w:t>
      </w:r>
      <w:r>
        <w:rPr/>
        <w:t>the</w:t>
      </w:r>
      <w:r>
        <w:rPr>
          <w:spacing w:val="-3"/>
        </w:rPr>
        <w:t> </w:t>
      </w:r>
      <w:r>
        <w:rPr/>
        <w:t>new</w:t>
      </w:r>
      <w:r>
        <w:rPr>
          <w:spacing w:val="-4"/>
        </w:rPr>
        <w:t> </w:t>
      </w:r>
      <w:r>
        <w:rPr/>
        <w:t>legislative</w:t>
      </w:r>
      <w:r>
        <w:rPr>
          <w:spacing w:val="-3"/>
        </w:rPr>
        <w:t> </w:t>
      </w:r>
      <w:r>
        <w:rPr/>
        <w:t>requirements</w:t>
      </w:r>
      <w:r>
        <w:rPr>
          <w:spacing w:val="-4"/>
        </w:rPr>
        <w:t> </w:t>
      </w:r>
      <w:r>
        <w:rPr/>
        <w:t>rigorously and feel able to resist external pressure that may be applied during the selection process.</w:t>
      </w:r>
    </w:p>
    <w:p>
      <w:pPr>
        <w:pStyle w:val="BodyText"/>
        <w:spacing w:before="121"/>
        <w:ind w:left="1119"/>
        <w:jc w:val="both"/>
      </w:pPr>
      <w:r>
        <w:rPr/>
        <w:t>The</w:t>
      </w:r>
      <w:r>
        <w:rPr>
          <w:spacing w:val="-5"/>
        </w:rPr>
        <w:t> </w:t>
      </w:r>
      <w:r>
        <w:rPr/>
        <w:t>review</w:t>
      </w:r>
      <w:r>
        <w:rPr>
          <w:spacing w:val="-4"/>
        </w:rPr>
        <w:t> </w:t>
      </w:r>
      <w:r>
        <w:rPr/>
        <w:t>found</w:t>
      </w:r>
      <w:r>
        <w:rPr>
          <w:spacing w:val="-5"/>
        </w:rPr>
        <w:t> </w:t>
      </w:r>
      <w:r>
        <w:rPr/>
        <w:t>that</w:t>
      </w:r>
      <w:r>
        <w:rPr>
          <w:spacing w:val="-1"/>
        </w:rPr>
        <w:t> </w:t>
      </w:r>
      <w:r>
        <w:rPr/>
        <w:t>Target</w:t>
      </w:r>
      <w:r>
        <w:rPr>
          <w:spacing w:val="-7"/>
        </w:rPr>
        <w:t> </w:t>
      </w:r>
      <w:r>
        <w:rPr/>
        <w:t>3.2</w:t>
      </w:r>
      <w:r>
        <w:rPr>
          <w:spacing w:val="-6"/>
        </w:rPr>
        <w:t> </w:t>
      </w:r>
      <w:r>
        <w:rPr/>
        <w:t>was</w:t>
      </w:r>
      <w:r>
        <w:rPr>
          <w:spacing w:val="-4"/>
        </w:rPr>
        <w:t> </w:t>
      </w:r>
      <w:r>
        <w:rPr/>
        <w:t>only</w:t>
      </w:r>
      <w:r>
        <w:rPr>
          <w:spacing w:val="-3"/>
        </w:rPr>
        <w:t> </w:t>
      </w:r>
      <w:r>
        <w:rPr/>
        <w:t>partly</w:t>
      </w:r>
      <w:r>
        <w:rPr>
          <w:spacing w:val="-3"/>
        </w:rPr>
        <w:t> </w:t>
      </w:r>
      <w:r>
        <w:rPr>
          <w:spacing w:val="-2"/>
        </w:rPr>
        <w:t>achieved.</w:t>
      </w:r>
    </w:p>
    <w:p>
      <w:pPr>
        <w:pStyle w:val="BodyText"/>
      </w:pPr>
    </w:p>
    <w:p>
      <w:pPr>
        <w:pStyle w:val="BodyText"/>
        <w:spacing w:before="5"/>
        <w:rPr>
          <w:sz w:val="26"/>
        </w:rPr>
      </w:pPr>
    </w:p>
    <w:p>
      <w:pPr>
        <w:pStyle w:val="ListParagraph"/>
        <w:numPr>
          <w:ilvl w:val="1"/>
          <w:numId w:val="7"/>
        </w:numPr>
        <w:tabs>
          <w:tab w:pos="1830" w:val="left" w:leader="none"/>
          <w:tab w:pos="1831" w:val="left" w:leader="none"/>
        </w:tabs>
        <w:spacing w:line="240" w:lineRule="auto" w:before="0" w:after="0"/>
        <w:ind w:left="1830" w:right="0" w:hanging="711"/>
        <w:jc w:val="left"/>
        <w:rPr>
          <w:rFonts w:ascii="Calibri Light" w:hAnsi="Calibri Light"/>
          <w:b w:val="0"/>
          <w:sz w:val="19"/>
        </w:rPr>
      </w:pPr>
      <w:bookmarkStart w:name="4.6 Target 3.3 – Partnership between MEH" w:id="26"/>
      <w:bookmarkEnd w:id="26"/>
      <w:r>
        <w:rPr/>
      </w:r>
      <w:bookmarkStart w:name="_bookmark13" w:id="27"/>
      <w:bookmarkEnd w:id="27"/>
      <w:r>
        <w:rPr>
          <w:rFonts w:ascii="Calibri Light" w:hAnsi="Calibri Light"/>
          <w:b w:val="0"/>
          <w:spacing w:val="-2"/>
          <w:sz w:val="24"/>
        </w:rPr>
        <w:t>T</w:t>
      </w:r>
      <w:r>
        <w:rPr>
          <w:rFonts w:ascii="Calibri Light" w:hAnsi="Calibri Light"/>
          <w:b w:val="0"/>
          <w:spacing w:val="-2"/>
          <w:sz w:val="19"/>
        </w:rPr>
        <w:t>ARGET</w:t>
      </w:r>
      <w:r>
        <w:rPr>
          <w:rFonts w:ascii="Calibri Light" w:hAnsi="Calibri Light"/>
          <w:b w:val="0"/>
          <w:spacing w:val="-1"/>
          <w:sz w:val="19"/>
        </w:rPr>
        <w:t> </w:t>
      </w:r>
      <w:r>
        <w:rPr>
          <w:rFonts w:ascii="Calibri Light" w:hAnsi="Calibri Light"/>
          <w:b w:val="0"/>
          <w:spacing w:val="-2"/>
          <w:sz w:val="24"/>
        </w:rPr>
        <w:t>3.3</w:t>
      </w:r>
      <w:r>
        <w:rPr>
          <w:rFonts w:ascii="Calibri Light" w:hAnsi="Calibri Light"/>
          <w:b w:val="0"/>
          <w:spacing w:val="-17"/>
          <w:sz w:val="24"/>
        </w:rPr>
        <w:t> </w:t>
      </w:r>
      <w:r>
        <w:rPr>
          <w:rFonts w:ascii="Calibri Light" w:hAnsi="Calibri Light"/>
          <w:b w:val="0"/>
          <w:spacing w:val="-2"/>
          <w:sz w:val="24"/>
        </w:rPr>
        <w:t>–</w:t>
      </w:r>
      <w:r>
        <w:rPr>
          <w:rFonts w:ascii="Calibri Light" w:hAnsi="Calibri Light"/>
          <w:b w:val="0"/>
          <w:spacing w:val="-10"/>
          <w:sz w:val="24"/>
        </w:rPr>
        <w:t> </w:t>
      </w:r>
      <w:r>
        <w:rPr>
          <w:rFonts w:ascii="Calibri Light" w:hAnsi="Calibri Light"/>
          <w:b w:val="0"/>
          <w:spacing w:val="-2"/>
          <w:sz w:val="24"/>
        </w:rPr>
        <w:t>P</w:t>
      </w:r>
      <w:r>
        <w:rPr>
          <w:rFonts w:ascii="Calibri Light" w:hAnsi="Calibri Light"/>
          <w:b w:val="0"/>
          <w:spacing w:val="-2"/>
          <w:sz w:val="19"/>
        </w:rPr>
        <w:t>ARTNERSHIP</w:t>
      </w:r>
      <w:r>
        <w:rPr>
          <w:rFonts w:ascii="Calibri Light" w:hAnsi="Calibri Light"/>
          <w:b w:val="0"/>
          <w:spacing w:val="-6"/>
          <w:sz w:val="19"/>
        </w:rPr>
        <w:t> </w:t>
      </w:r>
      <w:r>
        <w:rPr>
          <w:rFonts w:ascii="Calibri Light" w:hAnsi="Calibri Light"/>
          <w:b w:val="0"/>
          <w:spacing w:val="-2"/>
          <w:sz w:val="19"/>
        </w:rPr>
        <w:t>BETWEEN </w:t>
      </w:r>
      <w:r>
        <w:rPr>
          <w:rFonts w:ascii="Calibri Light" w:hAnsi="Calibri Light"/>
          <w:b w:val="0"/>
          <w:spacing w:val="-2"/>
          <w:sz w:val="24"/>
        </w:rPr>
        <w:t>MEHRD</w:t>
      </w:r>
      <w:r>
        <w:rPr>
          <w:rFonts w:ascii="Calibri Light" w:hAnsi="Calibri Light"/>
          <w:b w:val="0"/>
          <w:spacing w:val="-17"/>
          <w:sz w:val="24"/>
        </w:rPr>
        <w:t> </w:t>
      </w:r>
      <w:r>
        <w:rPr>
          <w:rFonts w:ascii="Calibri Light" w:hAnsi="Calibri Light"/>
          <w:b w:val="0"/>
          <w:spacing w:val="-2"/>
          <w:sz w:val="19"/>
        </w:rPr>
        <w:t>AND</w:t>
      </w:r>
      <w:r>
        <w:rPr>
          <w:rFonts w:ascii="Calibri Light" w:hAnsi="Calibri Light"/>
          <w:b w:val="0"/>
          <w:spacing w:val="-1"/>
          <w:sz w:val="19"/>
        </w:rPr>
        <w:t> </w:t>
      </w:r>
      <w:r>
        <w:rPr>
          <w:rFonts w:ascii="Calibri Light" w:hAnsi="Calibri Light"/>
          <w:b w:val="0"/>
          <w:spacing w:val="-2"/>
          <w:sz w:val="24"/>
        </w:rPr>
        <w:t>EA</w:t>
      </w:r>
      <w:r>
        <w:rPr>
          <w:rFonts w:ascii="Calibri Light" w:hAnsi="Calibri Light"/>
          <w:b w:val="0"/>
          <w:spacing w:val="-2"/>
          <w:sz w:val="19"/>
        </w:rPr>
        <w:t>S</w:t>
      </w:r>
      <w:r>
        <w:rPr>
          <w:rFonts w:ascii="Calibri Light" w:hAnsi="Calibri Light"/>
          <w:b w:val="0"/>
          <w:spacing w:val="-5"/>
          <w:sz w:val="19"/>
        </w:rPr>
        <w:t> </w:t>
      </w:r>
      <w:r>
        <w:rPr>
          <w:rFonts w:ascii="Calibri Light" w:hAnsi="Calibri Light"/>
          <w:b w:val="0"/>
          <w:spacing w:val="-2"/>
          <w:sz w:val="19"/>
        </w:rPr>
        <w:t>AND</w:t>
      </w:r>
      <w:r>
        <w:rPr>
          <w:rFonts w:ascii="Calibri Light" w:hAnsi="Calibri Light"/>
          <w:b w:val="0"/>
          <w:spacing w:val="-5"/>
          <w:sz w:val="19"/>
        </w:rPr>
        <w:t> </w:t>
      </w:r>
      <w:r>
        <w:rPr>
          <w:rFonts w:ascii="Calibri Light" w:hAnsi="Calibri Light"/>
          <w:b w:val="0"/>
          <w:spacing w:val="-2"/>
          <w:sz w:val="24"/>
        </w:rPr>
        <w:t>I</w:t>
      </w:r>
      <w:r>
        <w:rPr>
          <w:rFonts w:ascii="Calibri Light" w:hAnsi="Calibri Light"/>
          <w:b w:val="0"/>
          <w:spacing w:val="-2"/>
          <w:sz w:val="19"/>
        </w:rPr>
        <w:t>NCREASING</w:t>
      </w:r>
      <w:r>
        <w:rPr>
          <w:rFonts w:ascii="Calibri Light" w:hAnsi="Calibri Light"/>
          <w:b w:val="0"/>
          <w:spacing w:val="1"/>
          <w:sz w:val="19"/>
        </w:rPr>
        <w:t> </w:t>
      </w:r>
      <w:r>
        <w:rPr>
          <w:rFonts w:ascii="Calibri Light" w:hAnsi="Calibri Light"/>
          <w:b w:val="0"/>
          <w:spacing w:val="-2"/>
          <w:sz w:val="19"/>
        </w:rPr>
        <w:t>THE </w:t>
      </w:r>
      <w:r>
        <w:rPr>
          <w:rFonts w:ascii="Calibri Light" w:hAnsi="Calibri Light"/>
          <w:b w:val="0"/>
          <w:spacing w:val="-2"/>
          <w:sz w:val="24"/>
        </w:rPr>
        <w:t>C</w:t>
      </w:r>
      <w:r>
        <w:rPr>
          <w:rFonts w:ascii="Calibri Light" w:hAnsi="Calibri Light"/>
          <w:b w:val="0"/>
          <w:spacing w:val="-2"/>
          <w:sz w:val="19"/>
        </w:rPr>
        <w:t>APACITY</w:t>
      </w:r>
      <w:r>
        <w:rPr>
          <w:rFonts w:ascii="Calibri Light" w:hAnsi="Calibri Light"/>
          <w:b w:val="0"/>
          <w:spacing w:val="-3"/>
          <w:sz w:val="19"/>
        </w:rPr>
        <w:t> </w:t>
      </w:r>
      <w:r>
        <w:rPr>
          <w:rFonts w:ascii="Calibri Light" w:hAnsi="Calibri Light"/>
          <w:b w:val="0"/>
          <w:spacing w:val="-2"/>
          <w:sz w:val="19"/>
        </w:rPr>
        <w:t>OF</w:t>
      </w:r>
      <w:r>
        <w:rPr>
          <w:rFonts w:ascii="Calibri Light" w:hAnsi="Calibri Light"/>
          <w:b w:val="0"/>
          <w:spacing w:val="-6"/>
          <w:sz w:val="19"/>
        </w:rPr>
        <w:t> </w:t>
      </w:r>
      <w:r>
        <w:rPr>
          <w:rFonts w:ascii="Calibri Light" w:hAnsi="Calibri Light"/>
          <w:b w:val="0"/>
          <w:spacing w:val="-2"/>
          <w:sz w:val="24"/>
        </w:rPr>
        <w:t>EA</w:t>
      </w:r>
      <w:r>
        <w:rPr>
          <w:rFonts w:ascii="Calibri Light" w:hAnsi="Calibri Light"/>
          <w:b w:val="0"/>
          <w:spacing w:val="-2"/>
          <w:sz w:val="19"/>
        </w:rPr>
        <w:t>S</w:t>
      </w:r>
      <w:r>
        <w:rPr>
          <w:rFonts w:ascii="Calibri Light" w:hAnsi="Calibri Light"/>
          <w:b w:val="0"/>
          <w:spacing w:val="-5"/>
          <w:sz w:val="19"/>
        </w:rPr>
        <w:t> TO</w:t>
      </w:r>
    </w:p>
    <w:p>
      <w:pPr>
        <w:pStyle w:val="Heading2"/>
        <w:ind w:left="1830"/>
        <w:rPr>
          <w:b w:val="0"/>
        </w:rPr>
      </w:pPr>
      <w:r>
        <w:rPr>
          <w:b w:val="0"/>
          <w:smallCaps/>
          <w:spacing w:val="-2"/>
        </w:rPr>
        <w:t>Hold</w:t>
      </w:r>
      <w:r>
        <w:rPr>
          <w:b w:val="0"/>
          <w:smallCaps/>
          <w:spacing w:val="-5"/>
        </w:rPr>
        <w:t> </w:t>
      </w:r>
      <w:r>
        <w:rPr>
          <w:b w:val="0"/>
          <w:smallCaps/>
          <w:spacing w:val="-2"/>
        </w:rPr>
        <w:t>MERHD</w:t>
      </w:r>
      <w:r>
        <w:rPr>
          <w:b w:val="0"/>
          <w:smallCaps/>
          <w:spacing w:val="-12"/>
        </w:rPr>
        <w:t> </w:t>
      </w:r>
      <w:r>
        <w:rPr>
          <w:b w:val="0"/>
          <w:smallCaps/>
          <w:spacing w:val="-2"/>
        </w:rPr>
        <w:t>to</w:t>
      </w:r>
      <w:r>
        <w:rPr>
          <w:b w:val="0"/>
          <w:smallCaps/>
          <w:spacing w:val="-5"/>
        </w:rPr>
        <w:t> </w:t>
      </w:r>
      <w:r>
        <w:rPr>
          <w:b w:val="0"/>
          <w:smallCaps/>
          <w:spacing w:val="-2"/>
        </w:rPr>
        <w:t>Account.</w:t>
      </w:r>
    </w:p>
    <w:p>
      <w:pPr>
        <w:pStyle w:val="BodyText"/>
        <w:spacing w:before="4"/>
        <w:rPr>
          <w:rFonts w:ascii="Calibri Light"/>
          <w:b w:val="0"/>
          <w:sz w:val="23"/>
        </w:rPr>
      </w:pPr>
      <w:r>
        <w:rPr/>
        <w:pict>
          <v:shape style="position:absolute;margin-left:74.449997pt;margin-top:15.848078pt;width:373.9pt;height:80.8pt;mso-position-horizontal-relative:page;mso-position-vertical-relative:paragraph;z-index:-15722496;mso-wrap-distance-left:0;mso-wrap-distance-right:0" type="#_x0000_t202" id="docshape16" filled="true" fillcolor="#dae3f3" stroked="true" strokeweight=".75pt" strokecolor="#4472c4">
            <v:textbox inset="0,0,0,0">
              <w:txbxContent>
                <w:p>
                  <w:pPr>
                    <w:spacing w:before="184"/>
                    <w:ind w:left="135" w:right="0" w:firstLine="0"/>
                    <w:jc w:val="left"/>
                    <w:rPr>
                      <w:i/>
                      <w:color w:val="000000"/>
                      <w:sz w:val="22"/>
                    </w:rPr>
                  </w:pPr>
                  <w:r>
                    <w:rPr>
                      <w:b/>
                      <w:i/>
                      <w:color w:val="000000"/>
                      <w:sz w:val="22"/>
                    </w:rPr>
                    <w:t>Target</w:t>
                  </w:r>
                  <w:r>
                    <w:rPr>
                      <w:b/>
                      <w:i/>
                      <w:color w:val="000000"/>
                      <w:spacing w:val="-8"/>
                      <w:sz w:val="22"/>
                    </w:rPr>
                    <w:t> </w:t>
                  </w:r>
                  <w:r>
                    <w:rPr>
                      <w:b/>
                      <w:i/>
                      <w:color w:val="000000"/>
                      <w:sz w:val="22"/>
                    </w:rPr>
                    <w:t>3.3</w:t>
                  </w:r>
                  <w:r>
                    <w:rPr>
                      <w:i/>
                      <w:color w:val="000000"/>
                      <w:sz w:val="22"/>
                    </w:rPr>
                    <w:t>:</w:t>
                  </w:r>
                  <w:r>
                    <w:rPr>
                      <w:i/>
                      <w:color w:val="000000"/>
                      <w:spacing w:val="-6"/>
                      <w:sz w:val="22"/>
                    </w:rPr>
                    <w:t> </w:t>
                  </w:r>
                  <w:r>
                    <w:rPr>
                      <w:i/>
                      <w:color w:val="000000"/>
                      <w:sz w:val="22"/>
                    </w:rPr>
                    <w:t>Baseline</w:t>
                  </w:r>
                  <w:r>
                    <w:rPr>
                      <w:i/>
                      <w:color w:val="000000"/>
                      <w:spacing w:val="-5"/>
                      <w:sz w:val="22"/>
                    </w:rPr>
                    <w:t> </w:t>
                  </w:r>
                  <w:r>
                    <w:rPr>
                      <w:i/>
                      <w:color w:val="000000"/>
                      <w:sz w:val="22"/>
                    </w:rPr>
                    <w:t>of</w:t>
                  </w:r>
                  <w:r>
                    <w:rPr>
                      <w:i/>
                      <w:color w:val="000000"/>
                      <w:spacing w:val="-6"/>
                      <w:sz w:val="22"/>
                    </w:rPr>
                    <w:t> </w:t>
                  </w:r>
                  <w:r>
                    <w:rPr>
                      <w:i/>
                      <w:color w:val="000000"/>
                      <w:sz w:val="22"/>
                    </w:rPr>
                    <w:t>Provincial</w:t>
                  </w:r>
                  <w:r>
                    <w:rPr>
                      <w:i/>
                      <w:color w:val="000000"/>
                      <w:spacing w:val="-4"/>
                      <w:sz w:val="22"/>
                    </w:rPr>
                    <w:t> </w:t>
                  </w:r>
                  <w:r>
                    <w:rPr>
                      <w:i/>
                      <w:color w:val="000000"/>
                      <w:sz w:val="22"/>
                    </w:rPr>
                    <w:t>Education</w:t>
                  </w:r>
                  <w:r>
                    <w:rPr>
                      <w:i/>
                      <w:color w:val="000000"/>
                      <w:spacing w:val="-4"/>
                      <w:sz w:val="22"/>
                    </w:rPr>
                    <w:t> </w:t>
                  </w:r>
                  <w:r>
                    <w:rPr>
                      <w:i/>
                      <w:color w:val="000000"/>
                      <w:sz w:val="22"/>
                    </w:rPr>
                    <w:t>Authorities</w:t>
                  </w:r>
                  <w:r>
                    <w:rPr>
                      <w:i/>
                      <w:color w:val="000000"/>
                      <w:spacing w:val="-9"/>
                      <w:sz w:val="22"/>
                    </w:rPr>
                    <w:t> </w:t>
                  </w:r>
                  <w:r>
                    <w:rPr>
                      <w:i/>
                      <w:color w:val="000000"/>
                      <w:sz w:val="22"/>
                    </w:rPr>
                    <w:t>capacity</w:t>
                  </w:r>
                  <w:r>
                    <w:rPr>
                      <w:i/>
                      <w:color w:val="000000"/>
                      <w:spacing w:val="-3"/>
                      <w:sz w:val="22"/>
                    </w:rPr>
                    <w:t> </w:t>
                  </w:r>
                  <w:r>
                    <w:rPr>
                      <w:i/>
                      <w:color w:val="000000"/>
                      <w:sz w:val="22"/>
                    </w:rPr>
                    <w:t>(is</w:t>
                  </w:r>
                  <w:r>
                    <w:rPr>
                      <w:i/>
                      <w:color w:val="000000"/>
                      <w:spacing w:val="-5"/>
                      <w:sz w:val="22"/>
                    </w:rPr>
                    <w:t> </w:t>
                  </w:r>
                  <w:r>
                    <w:rPr>
                      <w:i/>
                      <w:color w:val="000000"/>
                      <w:spacing w:val="-2"/>
                      <w:sz w:val="22"/>
                    </w:rPr>
                    <w:t>established).</w:t>
                  </w:r>
                </w:p>
                <w:p>
                  <w:pPr>
                    <w:spacing w:before="121"/>
                    <w:ind w:left="135" w:right="0" w:firstLine="0"/>
                    <w:jc w:val="left"/>
                    <w:rPr>
                      <w:i/>
                      <w:color w:val="000000"/>
                      <w:sz w:val="22"/>
                    </w:rPr>
                  </w:pPr>
                  <w:r>
                    <w:rPr>
                      <w:b/>
                      <w:i/>
                      <w:color w:val="000000"/>
                      <w:sz w:val="22"/>
                    </w:rPr>
                    <w:t>Evidence:</w:t>
                  </w:r>
                  <w:r>
                    <w:rPr>
                      <w:b/>
                      <w:i/>
                      <w:color w:val="000000"/>
                      <w:spacing w:val="-5"/>
                      <w:sz w:val="22"/>
                    </w:rPr>
                    <w:t> </w:t>
                  </w:r>
                  <w:r>
                    <w:rPr>
                      <w:i/>
                      <w:color w:val="000000"/>
                      <w:sz w:val="22"/>
                    </w:rPr>
                    <w:t>Results</w:t>
                  </w:r>
                  <w:r>
                    <w:rPr>
                      <w:i/>
                      <w:color w:val="000000"/>
                      <w:spacing w:val="-6"/>
                      <w:sz w:val="22"/>
                    </w:rPr>
                    <w:t> </w:t>
                  </w:r>
                  <w:r>
                    <w:rPr>
                      <w:i/>
                      <w:color w:val="000000"/>
                      <w:sz w:val="22"/>
                    </w:rPr>
                    <w:t>of</w:t>
                  </w:r>
                  <w:r>
                    <w:rPr>
                      <w:i/>
                      <w:color w:val="000000"/>
                      <w:spacing w:val="-6"/>
                      <w:sz w:val="22"/>
                    </w:rPr>
                    <w:t> </w:t>
                  </w:r>
                  <w:r>
                    <w:rPr>
                      <w:i/>
                      <w:color w:val="000000"/>
                      <w:sz w:val="22"/>
                    </w:rPr>
                    <w:t>Capacity</w:t>
                  </w:r>
                  <w:r>
                    <w:rPr>
                      <w:i/>
                      <w:color w:val="000000"/>
                      <w:spacing w:val="-4"/>
                      <w:sz w:val="22"/>
                    </w:rPr>
                    <w:t> </w:t>
                  </w:r>
                  <w:r>
                    <w:rPr>
                      <w:i/>
                      <w:color w:val="000000"/>
                      <w:sz w:val="22"/>
                    </w:rPr>
                    <w:t>Analysis;</w:t>
                  </w:r>
                  <w:r>
                    <w:rPr>
                      <w:i/>
                      <w:color w:val="000000"/>
                      <w:spacing w:val="-8"/>
                      <w:sz w:val="22"/>
                    </w:rPr>
                    <w:t> </w:t>
                  </w:r>
                  <w:r>
                    <w:rPr>
                      <w:i/>
                      <w:color w:val="000000"/>
                      <w:sz w:val="22"/>
                    </w:rPr>
                    <w:t>Planning</w:t>
                  </w:r>
                  <w:r>
                    <w:rPr>
                      <w:i/>
                      <w:color w:val="000000"/>
                      <w:spacing w:val="-5"/>
                      <w:sz w:val="22"/>
                    </w:rPr>
                    <w:t> </w:t>
                  </w:r>
                  <w:r>
                    <w:rPr>
                      <w:i/>
                      <w:color w:val="000000"/>
                      <w:sz w:val="22"/>
                    </w:rPr>
                    <w:t>for</w:t>
                  </w:r>
                  <w:r>
                    <w:rPr>
                      <w:i/>
                      <w:color w:val="000000"/>
                      <w:spacing w:val="-4"/>
                      <w:sz w:val="22"/>
                    </w:rPr>
                    <w:t> </w:t>
                  </w:r>
                  <w:r>
                    <w:rPr>
                      <w:i/>
                      <w:color w:val="000000"/>
                      <w:spacing w:val="-2"/>
                      <w:sz w:val="22"/>
                    </w:rPr>
                    <w:t>Improvement</w:t>
                  </w:r>
                </w:p>
                <w:p>
                  <w:pPr>
                    <w:spacing w:before="120"/>
                    <w:ind w:left="135" w:right="0" w:firstLine="0"/>
                    <w:jc w:val="left"/>
                    <w:rPr>
                      <w:i/>
                      <w:color w:val="000000"/>
                      <w:sz w:val="22"/>
                    </w:rPr>
                  </w:pPr>
                  <w:r>
                    <w:rPr>
                      <w:b/>
                      <w:i/>
                      <w:color w:val="000000"/>
                      <w:sz w:val="22"/>
                    </w:rPr>
                    <w:t>Assessment:</w:t>
                  </w:r>
                  <w:r>
                    <w:rPr>
                      <w:b/>
                      <w:i/>
                      <w:color w:val="000000"/>
                      <w:spacing w:val="-9"/>
                      <w:sz w:val="22"/>
                    </w:rPr>
                    <w:t> </w:t>
                  </w:r>
                  <w:r>
                    <w:rPr>
                      <w:i/>
                      <w:color w:val="000000"/>
                      <w:spacing w:val="-2"/>
                      <w:sz w:val="22"/>
                    </w:rPr>
                    <w:t>Achieved</w:t>
                  </w:r>
                </w:p>
              </w:txbxContent>
            </v:textbox>
            <v:fill type="solid"/>
            <v:stroke dashstyle="solid"/>
            <w10:wrap type="topAndBottom"/>
          </v:shape>
        </w:pict>
      </w:r>
    </w:p>
    <w:p>
      <w:pPr>
        <w:pStyle w:val="BodyText"/>
        <w:spacing w:before="1"/>
        <w:rPr>
          <w:rFonts w:ascii="Calibri Light"/>
          <w:b w:val="0"/>
        </w:rPr>
      </w:pPr>
    </w:p>
    <w:p>
      <w:pPr>
        <w:pStyle w:val="BodyText"/>
        <w:spacing w:before="1"/>
        <w:ind w:left="1120" w:right="1173"/>
        <w:jc w:val="both"/>
      </w:pPr>
      <w:r>
        <w:rPr/>
        <w:t>The baseline review of the capacity of Provincial Education Authorities (PEA) has been largely completed with the reviews of the final two provinces to be finalised before the end of June 2017.</w:t>
      </w:r>
    </w:p>
    <w:p>
      <w:pPr>
        <w:pStyle w:val="BodyText"/>
        <w:spacing w:before="120"/>
        <w:ind w:left="1120" w:right="1175"/>
        <w:jc w:val="both"/>
      </w:pPr>
      <w:r>
        <w:rPr/>
        <w:t>The capacity reviews identified weaknesses in the areas of leadership, performance monitoring and financial accountability. As mentioned previously regarding the retirement of school grants, some PEAs do not have trained accountants and this is placing considerable stress on the financial management capacity of EAs and MEHRD.</w:t>
      </w:r>
    </w:p>
    <w:p>
      <w:pPr>
        <w:pStyle w:val="BodyText"/>
        <w:spacing w:line="237" w:lineRule="auto" w:before="123"/>
        <w:ind w:left="1120" w:right="1175"/>
        <w:jc w:val="both"/>
      </w:pPr>
      <w:r>
        <w:rPr/>
        <w:t>The</w:t>
      </w:r>
      <w:r>
        <w:rPr>
          <w:spacing w:val="-13"/>
        </w:rPr>
        <w:t> </w:t>
      </w:r>
      <w:r>
        <w:rPr/>
        <w:t>information</w:t>
      </w:r>
      <w:r>
        <w:rPr>
          <w:spacing w:val="-12"/>
        </w:rPr>
        <w:t> </w:t>
      </w:r>
      <w:r>
        <w:rPr/>
        <w:t>from</w:t>
      </w:r>
      <w:r>
        <w:rPr>
          <w:spacing w:val="-13"/>
        </w:rPr>
        <w:t> </w:t>
      </w:r>
      <w:r>
        <w:rPr/>
        <w:t>the</w:t>
      </w:r>
      <w:r>
        <w:rPr>
          <w:spacing w:val="-12"/>
        </w:rPr>
        <w:t> </w:t>
      </w:r>
      <w:r>
        <w:rPr/>
        <w:t>analysis</w:t>
      </w:r>
      <w:r>
        <w:rPr>
          <w:spacing w:val="-13"/>
        </w:rPr>
        <w:t> </w:t>
      </w:r>
      <w:r>
        <w:rPr/>
        <w:t>of</w:t>
      </w:r>
      <w:r>
        <w:rPr>
          <w:spacing w:val="-12"/>
        </w:rPr>
        <w:t> </w:t>
      </w:r>
      <w:r>
        <w:rPr/>
        <w:t>the</w:t>
      </w:r>
      <w:r>
        <w:rPr>
          <w:spacing w:val="-12"/>
        </w:rPr>
        <w:t> </w:t>
      </w:r>
      <w:r>
        <w:rPr/>
        <w:t>findings</w:t>
      </w:r>
      <w:r>
        <w:rPr>
          <w:spacing w:val="-12"/>
        </w:rPr>
        <w:t> </w:t>
      </w:r>
      <w:r>
        <w:rPr/>
        <w:t>is</w:t>
      </w:r>
      <w:r>
        <w:rPr>
          <w:spacing w:val="-13"/>
        </w:rPr>
        <w:t> </w:t>
      </w:r>
      <w:r>
        <w:rPr/>
        <w:t>being</w:t>
      </w:r>
      <w:r>
        <w:rPr>
          <w:spacing w:val="-10"/>
        </w:rPr>
        <w:t> </w:t>
      </w:r>
      <w:r>
        <w:rPr/>
        <w:t>used</w:t>
      </w:r>
      <w:r>
        <w:rPr>
          <w:spacing w:val="-13"/>
        </w:rPr>
        <w:t> </w:t>
      </w:r>
      <w:r>
        <w:rPr/>
        <w:t>to</w:t>
      </w:r>
      <w:r>
        <w:rPr>
          <w:spacing w:val="-12"/>
        </w:rPr>
        <w:t> </w:t>
      </w:r>
      <w:r>
        <w:rPr/>
        <w:t>develop</w:t>
      </w:r>
      <w:r>
        <w:rPr>
          <w:spacing w:val="-13"/>
        </w:rPr>
        <w:t> </w:t>
      </w:r>
      <w:r>
        <w:rPr/>
        <w:t>individual</w:t>
      </w:r>
      <w:r>
        <w:rPr>
          <w:spacing w:val="-10"/>
        </w:rPr>
        <w:t> </w:t>
      </w:r>
      <w:r>
        <w:rPr/>
        <w:t>PEA</w:t>
      </w:r>
      <w:r>
        <w:rPr>
          <w:spacing w:val="-11"/>
        </w:rPr>
        <w:t> </w:t>
      </w:r>
      <w:r>
        <w:rPr/>
        <w:t>Improvement Plans. These will be developed and implemented in partnership with each PEA.</w:t>
      </w:r>
      <w:r>
        <w:rPr>
          <w:spacing w:val="40"/>
        </w:rPr>
        <w:t> </w:t>
      </w:r>
      <w:r>
        <w:rPr/>
        <w:t>In addition, MEHRD personnel are planning to develop standards for PEAs and School Management and these standards will be used as part of the individual improvement plans and improvement process.</w:t>
      </w:r>
    </w:p>
    <w:p>
      <w:pPr>
        <w:pStyle w:val="BodyText"/>
        <w:spacing w:before="125"/>
        <w:ind w:left="1119" w:right="1178"/>
        <w:jc w:val="both"/>
      </w:pPr>
      <w:r>
        <w:rPr/>
        <w:t>The New Zealand Government is also funding Leadership in Education Authorities Program (LEAP) which provide capacity development for a limited number of PEAs. This will support the capacity development programs being planned by MEHRD.</w:t>
      </w:r>
    </w:p>
    <w:p>
      <w:pPr>
        <w:pStyle w:val="BodyText"/>
        <w:spacing w:before="120"/>
        <w:ind w:left="1119" w:right="1178"/>
        <w:jc w:val="both"/>
      </w:pPr>
      <w:r>
        <w:rPr/>
        <w:t>The work undertaken by MEHRD in this area is impressive. As EAs are key players in leading and managing education in the Solomon Islands, improvements in their capacity will be essential for improving access to and the quality of education.</w:t>
      </w:r>
    </w:p>
    <w:p>
      <w:pPr>
        <w:spacing w:after="0"/>
        <w:jc w:val="both"/>
        <w:sectPr>
          <w:pgSz w:w="11900" w:h="16840"/>
          <w:pgMar w:header="751" w:footer="1206" w:top="1640" w:bottom="1420" w:left="320" w:right="260"/>
        </w:sectPr>
      </w:pPr>
    </w:p>
    <w:p>
      <w:pPr>
        <w:pStyle w:val="ListParagraph"/>
        <w:numPr>
          <w:ilvl w:val="1"/>
          <w:numId w:val="7"/>
        </w:numPr>
        <w:tabs>
          <w:tab w:pos="1839" w:val="left" w:leader="none"/>
          <w:tab w:pos="1840" w:val="left" w:leader="none"/>
        </w:tabs>
        <w:spacing w:line="240" w:lineRule="auto" w:before="51" w:after="0"/>
        <w:ind w:left="1840" w:right="0" w:hanging="720"/>
        <w:jc w:val="left"/>
        <w:rPr>
          <w:rFonts w:ascii="Calibri Light" w:hAnsi="Calibri Light"/>
          <w:b w:val="0"/>
          <w:sz w:val="19"/>
        </w:rPr>
      </w:pPr>
      <w:bookmarkStart w:name="4.7 Target 4 – Create a Disability Inclu" w:id="28"/>
      <w:bookmarkEnd w:id="28"/>
      <w:r>
        <w:rPr/>
      </w:r>
      <w:bookmarkStart w:name="_bookmark14" w:id="29"/>
      <w:bookmarkEnd w:id="29"/>
      <w:r>
        <w:rPr>
          <w:rFonts w:ascii="Calibri Light" w:hAnsi="Calibri Light"/>
          <w:b w:val="0"/>
          <w:spacing w:val="-2"/>
          <w:sz w:val="24"/>
        </w:rPr>
        <w:t>T</w:t>
      </w:r>
      <w:r>
        <w:rPr>
          <w:rFonts w:ascii="Calibri Light" w:hAnsi="Calibri Light"/>
          <w:b w:val="0"/>
          <w:spacing w:val="-2"/>
          <w:sz w:val="19"/>
        </w:rPr>
        <w:t>ARGET</w:t>
      </w:r>
      <w:r>
        <w:rPr>
          <w:rFonts w:ascii="Calibri Light" w:hAnsi="Calibri Light"/>
          <w:b w:val="0"/>
          <w:spacing w:val="-1"/>
          <w:sz w:val="19"/>
        </w:rPr>
        <w:t> </w:t>
      </w:r>
      <w:r>
        <w:rPr>
          <w:rFonts w:ascii="Calibri Light" w:hAnsi="Calibri Light"/>
          <w:b w:val="0"/>
          <w:spacing w:val="-2"/>
          <w:sz w:val="24"/>
        </w:rPr>
        <w:t>4</w:t>
      </w:r>
      <w:r>
        <w:rPr>
          <w:rFonts w:ascii="Calibri Light" w:hAnsi="Calibri Light"/>
          <w:b w:val="0"/>
          <w:spacing w:val="-18"/>
          <w:sz w:val="24"/>
        </w:rPr>
        <w:t> </w:t>
      </w:r>
      <w:r>
        <w:rPr>
          <w:rFonts w:ascii="Calibri Light" w:hAnsi="Calibri Light"/>
          <w:b w:val="0"/>
          <w:spacing w:val="-2"/>
          <w:sz w:val="24"/>
        </w:rPr>
        <w:t>–</w:t>
      </w:r>
      <w:r>
        <w:rPr>
          <w:rFonts w:ascii="Calibri Light" w:hAnsi="Calibri Light"/>
          <w:b w:val="0"/>
          <w:spacing w:val="-15"/>
          <w:sz w:val="24"/>
        </w:rPr>
        <w:t> </w:t>
      </w:r>
      <w:r>
        <w:rPr>
          <w:rFonts w:ascii="Calibri Light" w:hAnsi="Calibri Light"/>
          <w:b w:val="0"/>
          <w:spacing w:val="-2"/>
          <w:sz w:val="24"/>
        </w:rPr>
        <w:t>C</w:t>
      </w:r>
      <w:r>
        <w:rPr>
          <w:rFonts w:ascii="Calibri Light" w:hAnsi="Calibri Light"/>
          <w:b w:val="0"/>
          <w:spacing w:val="-2"/>
          <w:sz w:val="19"/>
        </w:rPr>
        <w:t>REATE</w:t>
      </w:r>
      <w:r>
        <w:rPr>
          <w:rFonts w:ascii="Calibri Light" w:hAnsi="Calibri Light"/>
          <w:b w:val="0"/>
          <w:spacing w:val="-7"/>
          <w:sz w:val="19"/>
        </w:rPr>
        <w:t> </w:t>
      </w:r>
      <w:r>
        <w:rPr>
          <w:rFonts w:ascii="Calibri Light" w:hAnsi="Calibri Light"/>
          <w:b w:val="0"/>
          <w:spacing w:val="-2"/>
          <w:sz w:val="19"/>
        </w:rPr>
        <w:t>A</w:t>
      </w:r>
      <w:r>
        <w:rPr>
          <w:rFonts w:ascii="Calibri Light" w:hAnsi="Calibri Light"/>
          <w:b w:val="0"/>
          <w:spacing w:val="4"/>
          <w:sz w:val="19"/>
        </w:rPr>
        <w:t> </w:t>
      </w:r>
      <w:r>
        <w:rPr>
          <w:rFonts w:ascii="Calibri Light" w:hAnsi="Calibri Light"/>
          <w:b w:val="0"/>
          <w:spacing w:val="-2"/>
          <w:sz w:val="24"/>
        </w:rPr>
        <w:t>D</w:t>
      </w:r>
      <w:r>
        <w:rPr>
          <w:rFonts w:ascii="Calibri Light" w:hAnsi="Calibri Light"/>
          <w:b w:val="0"/>
          <w:spacing w:val="-2"/>
          <w:sz w:val="19"/>
        </w:rPr>
        <w:t>ISABILITY</w:t>
      </w:r>
      <w:r>
        <w:rPr>
          <w:rFonts w:ascii="Calibri Light" w:hAnsi="Calibri Light"/>
          <w:b w:val="0"/>
          <w:spacing w:val="2"/>
          <w:sz w:val="19"/>
        </w:rPr>
        <w:t> </w:t>
      </w:r>
      <w:r>
        <w:rPr>
          <w:rFonts w:ascii="Calibri Light" w:hAnsi="Calibri Light"/>
          <w:b w:val="0"/>
          <w:spacing w:val="-2"/>
          <w:sz w:val="24"/>
        </w:rPr>
        <w:t>I</w:t>
      </w:r>
      <w:r>
        <w:rPr>
          <w:rFonts w:ascii="Calibri Light" w:hAnsi="Calibri Light"/>
          <w:b w:val="0"/>
          <w:spacing w:val="-2"/>
          <w:sz w:val="19"/>
        </w:rPr>
        <w:t>NCLUSIVE </w:t>
      </w:r>
      <w:r>
        <w:rPr>
          <w:rFonts w:ascii="Calibri Light" w:hAnsi="Calibri Light"/>
          <w:b w:val="0"/>
          <w:spacing w:val="-2"/>
          <w:sz w:val="24"/>
        </w:rPr>
        <w:t>C</w:t>
      </w:r>
      <w:r>
        <w:rPr>
          <w:rFonts w:ascii="Calibri Light" w:hAnsi="Calibri Light"/>
          <w:b w:val="0"/>
          <w:spacing w:val="-2"/>
          <w:sz w:val="19"/>
        </w:rPr>
        <w:t>ULTURE AND</w:t>
      </w:r>
      <w:r>
        <w:rPr>
          <w:rFonts w:ascii="Calibri Light" w:hAnsi="Calibri Light"/>
          <w:b w:val="0"/>
          <w:spacing w:val="-1"/>
          <w:sz w:val="19"/>
        </w:rPr>
        <w:t> </w:t>
      </w:r>
      <w:r>
        <w:rPr>
          <w:rFonts w:ascii="Calibri Light" w:hAnsi="Calibri Light"/>
          <w:b w:val="0"/>
          <w:spacing w:val="-2"/>
          <w:sz w:val="24"/>
        </w:rPr>
        <w:t>G</w:t>
      </w:r>
      <w:r>
        <w:rPr>
          <w:rFonts w:ascii="Calibri Light" w:hAnsi="Calibri Light"/>
          <w:b w:val="0"/>
          <w:spacing w:val="-2"/>
          <w:sz w:val="19"/>
        </w:rPr>
        <w:t>ENDER</w:t>
      </w:r>
      <w:r>
        <w:rPr>
          <w:rFonts w:ascii="Calibri Light" w:hAnsi="Calibri Light"/>
          <w:b w:val="0"/>
          <w:spacing w:val="-1"/>
          <w:sz w:val="19"/>
        </w:rPr>
        <w:t> </w:t>
      </w:r>
      <w:r>
        <w:rPr>
          <w:rFonts w:ascii="Calibri Light" w:hAnsi="Calibri Light"/>
          <w:b w:val="0"/>
          <w:spacing w:val="-2"/>
          <w:sz w:val="24"/>
        </w:rPr>
        <w:t>I</w:t>
      </w:r>
      <w:r>
        <w:rPr>
          <w:rFonts w:ascii="Calibri Light" w:hAnsi="Calibri Light"/>
          <w:b w:val="0"/>
          <w:spacing w:val="-2"/>
          <w:sz w:val="19"/>
        </w:rPr>
        <w:t>NCLUSION</w:t>
      </w:r>
    </w:p>
    <w:p>
      <w:pPr>
        <w:pStyle w:val="BodyText"/>
        <w:spacing w:before="8"/>
        <w:rPr>
          <w:rFonts w:ascii="Calibri Light"/>
          <w:b w:val="0"/>
          <w:sz w:val="23"/>
        </w:rPr>
      </w:pPr>
      <w:r>
        <w:rPr/>
        <w:pict>
          <v:shape style="position:absolute;margin-left:68.300003pt;margin-top:16.082563pt;width:373.9pt;height:72.350pt;mso-position-horizontal-relative:page;mso-position-vertical-relative:paragraph;z-index:-15721984;mso-wrap-distance-left:0;mso-wrap-distance-right:0" type="#_x0000_t202" id="docshape17" filled="true" fillcolor="#dae3f3" stroked="true" strokeweight=".75pt" strokecolor="#4472c4">
            <v:textbox inset="0,0,0,0">
              <w:txbxContent>
                <w:p>
                  <w:pPr>
                    <w:spacing w:line="348" w:lineRule="auto" w:before="184"/>
                    <w:ind w:left="138" w:right="915" w:firstLine="0"/>
                    <w:jc w:val="left"/>
                    <w:rPr>
                      <w:i/>
                      <w:color w:val="000000"/>
                      <w:sz w:val="22"/>
                    </w:rPr>
                  </w:pPr>
                  <w:r>
                    <w:rPr>
                      <w:b/>
                      <w:i/>
                      <w:color w:val="000000"/>
                      <w:sz w:val="22"/>
                    </w:rPr>
                    <w:t>Target</w:t>
                  </w:r>
                  <w:r>
                    <w:rPr>
                      <w:b/>
                      <w:i/>
                      <w:color w:val="000000"/>
                      <w:spacing w:val="-5"/>
                      <w:sz w:val="22"/>
                    </w:rPr>
                    <w:t> </w:t>
                  </w:r>
                  <w:r>
                    <w:rPr>
                      <w:b/>
                      <w:i/>
                      <w:color w:val="000000"/>
                      <w:sz w:val="22"/>
                    </w:rPr>
                    <w:t>4.1</w:t>
                  </w:r>
                  <w:r>
                    <w:rPr>
                      <w:i/>
                      <w:color w:val="000000"/>
                      <w:sz w:val="22"/>
                    </w:rPr>
                    <w:t>:</w:t>
                  </w:r>
                  <w:r>
                    <w:rPr>
                      <w:i/>
                      <w:color w:val="000000"/>
                      <w:spacing w:val="-7"/>
                      <w:sz w:val="22"/>
                    </w:rPr>
                    <w:t> </w:t>
                  </w:r>
                  <w:r>
                    <w:rPr>
                      <w:i/>
                      <w:color w:val="000000"/>
                      <w:sz w:val="22"/>
                    </w:rPr>
                    <w:t>Girls’</w:t>
                  </w:r>
                  <w:r>
                    <w:rPr>
                      <w:i/>
                      <w:color w:val="000000"/>
                      <w:spacing w:val="-8"/>
                      <w:sz w:val="22"/>
                    </w:rPr>
                    <w:t> </w:t>
                  </w:r>
                  <w:r>
                    <w:rPr>
                      <w:i/>
                      <w:color w:val="000000"/>
                      <w:sz w:val="22"/>
                    </w:rPr>
                    <w:t>transition</w:t>
                  </w:r>
                  <w:r>
                    <w:rPr>
                      <w:i/>
                      <w:color w:val="000000"/>
                      <w:spacing w:val="-4"/>
                      <w:sz w:val="22"/>
                    </w:rPr>
                    <w:t> </w:t>
                  </w:r>
                  <w:r>
                    <w:rPr>
                      <w:i/>
                      <w:color w:val="000000"/>
                      <w:sz w:val="22"/>
                    </w:rPr>
                    <w:t>rate</w:t>
                  </w:r>
                  <w:r>
                    <w:rPr>
                      <w:i/>
                      <w:color w:val="000000"/>
                      <w:spacing w:val="-5"/>
                      <w:sz w:val="22"/>
                    </w:rPr>
                    <w:t> </w:t>
                  </w:r>
                  <w:r>
                    <w:rPr>
                      <w:i/>
                      <w:color w:val="000000"/>
                      <w:sz w:val="22"/>
                    </w:rPr>
                    <w:t>from</w:t>
                  </w:r>
                  <w:r>
                    <w:rPr>
                      <w:i/>
                      <w:color w:val="000000"/>
                      <w:spacing w:val="-7"/>
                      <w:sz w:val="22"/>
                    </w:rPr>
                    <w:t> </w:t>
                  </w:r>
                  <w:r>
                    <w:rPr>
                      <w:i/>
                      <w:color w:val="000000"/>
                      <w:sz w:val="22"/>
                    </w:rPr>
                    <w:t>Primary</w:t>
                  </w:r>
                  <w:r>
                    <w:rPr>
                      <w:i/>
                      <w:color w:val="000000"/>
                      <w:spacing w:val="-3"/>
                      <w:sz w:val="22"/>
                    </w:rPr>
                    <w:t> </w:t>
                  </w:r>
                  <w:r>
                    <w:rPr>
                      <w:i/>
                      <w:color w:val="000000"/>
                      <w:sz w:val="22"/>
                    </w:rPr>
                    <w:t>to</w:t>
                  </w:r>
                  <w:r>
                    <w:rPr>
                      <w:i/>
                      <w:color w:val="000000"/>
                      <w:spacing w:val="-3"/>
                      <w:sz w:val="22"/>
                    </w:rPr>
                    <w:t> </w:t>
                  </w:r>
                  <w:r>
                    <w:rPr>
                      <w:i/>
                      <w:color w:val="000000"/>
                      <w:sz w:val="22"/>
                    </w:rPr>
                    <w:t>Secondary</w:t>
                  </w:r>
                  <w:r>
                    <w:rPr>
                      <w:i/>
                      <w:color w:val="000000"/>
                      <w:spacing w:val="-3"/>
                      <w:sz w:val="22"/>
                    </w:rPr>
                    <w:t> </w:t>
                  </w:r>
                  <w:r>
                    <w:rPr>
                      <w:i/>
                      <w:color w:val="000000"/>
                      <w:sz w:val="22"/>
                    </w:rPr>
                    <w:t>increases.</w:t>
                  </w:r>
                  <w:r>
                    <w:rPr>
                      <w:i/>
                      <w:color w:val="000000"/>
                      <w:sz w:val="22"/>
                    </w:rPr>
                    <w:t> </w:t>
                  </w:r>
                  <w:r>
                    <w:rPr>
                      <w:b/>
                      <w:i/>
                      <w:color w:val="000000"/>
                      <w:sz w:val="22"/>
                    </w:rPr>
                    <w:t>Evidence: </w:t>
                  </w:r>
                  <w:r>
                    <w:rPr>
                      <w:i/>
                      <w:color w:val="000000"/>
                      <w:sz w:val="22"/>
                    </w:rPr>
                    <w:t>Analysis of enrolment figures and transition rates</w:t>
                  </w:r>
                  <w:r>
                    <w:rPr>
                      <w:i/>
                      <w:color w:val="000000"/>
                      <w:sz w:val="22"/>
                    </w:rPr>
                    <w:t> </w:t>
                  </w:r>
                  <w:r>
                    <w:rPr>
                      <w:b/>
                      <w:i/>
                      <w:color w:val="000000"/>
                      <w:sz w:val="22"/>
                    </w:rPr>
                    <w:t>Assessment:</w:t>
                  </w:r>
                  <w:r>
                    <w:rPr>
                      <w:b/>
                      <w:i/>
                      <w:color w:val="000000"/>
                      <w:spacing w:val="-1"/>
                      <w:sz w:val="22"/>
                    </w:rPr>
                    <w:t> </w:t>
                  </w:r>
                  <w:r>
                    <w:rPr>
                      <w:i/>
                      <w:color w:val="000000"/>
                      <w:sz w:val="22"/>
                    </w:rPr>
                    <w:t>Achieved</w:t>
                  </w:r>
                </w:p>
              </w:txbxContent>
            </v:textbox>
            <v:fill type="solid"/>
            <v:stroke dashstyle="solid"/>
            <w10:wrap type="topAndBottom"/>
          </v:shape>
        </w:pict>
      </w:r>
    </w:p>
    <w:p>
      <w:pPr>
        <w:pStyle w:val="BodyText"/>
        <w:spacing w:before="10"/>
        <w:rPr>
          <w:rFonts w:ascii="Calibri Light"/>
          <w:b w:val="0"/>
          <w:sz w:val="28"/>
        </w:rPr>
      </w:pPr>
    </w:p>
    <w:p>
      <w:pPr>
        <w:pStyle w:val="BodyText"/>
        <w:spacing w:before="1"/>
        <w:ind w:left="1120" w:right="1176"/>
        <w:jc w:val="both"/>
      </w:pPr>
      <w:r>
        <w:rPr/>
        <w:t>MEHRD has demonstrated a strong commitment to ensuring girls and boys have equal access to education and this reflected in the transition rates and Net Enrolment Rates (NER) for girls and boys in basic education. While the participation rate in primary and junior secondary schooling is slightly higher for boys than girls, with a Gender Parity Index (GPI) of 1.04, the difference is not likely to be statistically significant.</w:t>
      </w:r>
    </w:p>
    <w:p>
      <w:pPr>
        <w:pStyle w:val="BodyText"/>
        <w:spacing w:before="121"/>
        <w:ind w:left="1120" w:right="1180"/>
        <w:jc w:val="both"/>
      </w:pPr>
      <w:r>
        <w:rPr/>
        <w:t>The</w:t>
      </w:r>
      <w:r>
        <w:rPr>
          <w:spacing w:val="-13"/>
        </w:rPr>
        <w:t> </w:t>
      </w:r>
      <w:r>
        <w:rPr/>
        <w:t>2015-2016</w:t>
      </w:r>
      <w:r>
        <w:rPr>
          <w:spacing w:val="-12"/>
        </w:rPr>
        <w:t> </w:t>
      </w:r>
      <w:r>
        <w:rPr>
          <w:i/>
        </w:rPr>
        <w:t>Performance</w:t>
      </w:r>
      <w:r>
        <w:rPr>
          <w:i/>
          <w:spacing w:val="-13"/>
        </w:rPr>
        <w:t> </w:t>
      </w:r>
      <w:r>
        <w:rPr>
          <w:i/>
        </w:rPr>
        <w:t>Assessment</w:t>
      </w:r>
      <w:r>
        <w:rPr>
          <w:i/>
          <w:spacing w:val="-12"/>
        </w:rPr>
        <w:t> </w:t>
      </w:r>
      <w:r>
        <w:rPr>
          <w:i/>
        </w:rPr>
        <w:t>Report</w:t>
      </w:r>
      <w:r>
        <w:rPr>
          <w:i/>
          <w:spacing w:val="-13"/>
        </w:rPr>
        <w:t> </w:t>
      </w:r>
      <w:r>
        <w:rPr/>
        <w:t>did</w:t>
      </w:r>
      <w:r>
        <w:rPr>
          <w:spacing w:val="-12"/>
        </w:rPr>
        <w:t> </w:t>
      </w:r>
      <w:r>
        <w:rPr/>
        <w:t>not</w:t>
      </w:r>
      <w:r>
        <w:rPr>
          <w:spacing w:val="-13"/>
        </w:rPr>
        <w:t> </w:t>
      </w:r>
      <w:r>
        <w:rPr/>
        <w:t>analyse</w:t>
      </w:r>
      <w:r>
        <w:rPr>
          <w:spacing w:val="-12"/>
        </w:rPr>
        <w:t> </w:t>
      </w:r>
      <w:r>
        <w:rPr/>
        <w:t>or</w:t>
      </w:r>
      <w:r>
        <w:rPr>
          <w:spacing w:val="-12"/>
        </w:rPr>
        <w:t> </w:t>
      </w:r>
      <w:r>
        <w:rPr/>
        <w:t>report</w:t>
      </w:r>
      <w:r>
        <w:rPr>
          <w:spacing w:val="-13"/>
        </w:rPr>
        <w:t> </w:t>
      </w:r>
      <w:r>
        <w:rPr/>
        <w:t>on</w:t>
      </w:r>
      <w:r>
        <w:rPr>
          <w:spacing w:val="-12"/>
        </w:rPr>
        <w:t> </w:t>
      </w:r>
      <w:r>
        <w:rPr/>
        <w:t>Year</w:t>
      </w:r>
      <w:r>
        <w:rPr>
          <w:spacing w:val="-13"/>
        </w:rPr>
        <w:t> </w:t>
      </w:r>
      <w:r>
        <w:rPr/>
        <w:t>6</w:t>
      </w:r>
      <w:r>
        <w:rPr>
          <w:spacing w:val="-12"/>
        </w:rPr>
        <w:t> </w:t>
      </w:r>
      <w:r>
        <w:rPr/>
        <w:t>to</w:t>
      </w:r>
      <w:r>
        <w:rPr>
          <w:spacing w:val="-13"/>
        </w:rPr>
        <w:t> </w:t>
      </w:r>
      <w:r>
        <w:rPr/>
        <w:t>Year</w:t>
      </w:r>
      <w:r>
        <w:rPr>
          <w:spacing w:val="-12"/>
        </w:rPr>
        <w:t> </w:t>
      </w:r>
      <w:r>
        <w:rPr/>
        <w:t>7</w:t>
      </w:r>
      <w:r>
        <w:rPr>
          <w:spacing w:val="-12"/>
        </w:rPr>
        <w:t> </w:t>
      </w:r>
      <w:r>
        <w:rPr/>
        <w:t>transition rates</w:t>
      </w:r>
      <w:r>
        <w:rPr>
          <w:spacing w:val="-8"/>
        </w:rPr>
        <w:t> </w:t>
      </w:r>
      <w:r>
        <w:rPr/>
        <w:t>by</w:t>
      </w:r>
      <w:r>
        <w:rPr>
          <w:spacing w:val="-7"/>
        </w:rPr>
        <w:t> </w:t>
      </w:r>
      <w:r>
        <w:rPr/>
        <w:t>sex</w:t>
      </w:r>
      <w:r>
        <w:rPr>
          <w:spacing w:val="-8"/>
        </w:rPr>
        <w:t> </w:t>
      </w:r>
      <w:r>
        <w:rPr/>
        <w:t>and</w:t>
      </w:r>
      <w:r>
        <w:rPr>
          <w:spacing w:val="-9"/>
        </w:rPr>
        <w:t> </w:t>
      </w:r>
      <w:r>
        <w:rPr/>
        <w:t>this</w:t>
      </w:r>
      <w:r>
        <w:rPr>
          <w:spacing w:val="-8"/>
        </w:rPr>
        <w:t> </w:t>
      </w:r>
      <w:r>
        <w:rPr/>
        <w:t>should</w:t>
      </w:r>
      <w:r>
        <w:rPr>
          <w:spacing w:val="-9"/>
        </w:rPr>
        <w:t> </w:t>
      </w:r>
      <w:r>
        <w:rPr/>
        <w:t>be</w:t>
      </w:r>
      <w:r>
        <w:rPr>
          <w:spacing w:val="-3"/>
        </w:rPr>
        <w:t> </w:t>
      </w:r>
      <w:r>
        <w:rPr/>
        <w:t>addressed</w:t>
      </w:r>
      <w:r>
        <w:rPr>
          <w:spacing w:val="-9"/>
        </w:rPr>
        <w:t> </w:t>
      </w:r>
      <w:r>
        <w:rPr/>
        <w:t>in</w:t>
      </w:r>
      <w:r>
        <w:rPr>
          <w:spacing w:val="-9"/>
        </w:rPr>
        <w:t> </w:t>
      </w:r>
      <w:r>
        <w:rPr/>
        <w:t>the</w:t>
      </w:r>
      <w:r>
        <w:rPr>
          <w:spacing w:val="-7"/>
        </w:rPr>
        <w:t> </w:t>
      </w:r>
      <w:r>
        <w:rPr/>
        <w:t>2017</w:t>
      </w:r>
      <w:r>
        <w:rPr>
          <w:spacing w:val="-9"/>
        </w:rPr>
        <w:t> </w:t>
      </w:r>
      <w:r>
        <w:rPr/>
        <w:t>PAR.</w:t>
      </w:r>
      <w:r>
        <w:rPr>
          <w:spacing w:val="-6"/>
        </w:rPr>
        <w:t> </w:t>
      </w:r>
      <w:r>
        <w:rPr/>
        <w:t>However,</w:t>
      </w:r>
      <w:r>
        <w:rPr>
          <w:spacing w:val="-10"/>
        </w:rPr>
        <w:t> </w:t>
      </w:r>
      <w:r>
        <w:rPr/>
        <w:t>for</w:t>
      </w:r>
      <w:r>
        <w:rPr>
          <w:spacing w:val="-8"/>
        </w:rPr>
        <w:t> </w:t>
      </w:r>
      <w:r>
        <w:rPr/>
        <w:t>the</w:t>
      </w:r>
      <w:r>
        <w:rPr>
          <w:spacing w:val="-7"/>
        </w:rPr>
        <w:t> </w:t>
      </w:r>
      <w:r>
        <w:rPr/>
        <w:t>independent</w:t>
      </w:r>
      <w:r>
        <w:rPr>
          <w:spacing w:val="-10"/>
        </w:rPr>
        <w:t> </w:t>
      </w:r>
      <w:r>
        <w:rPr/>
        <w:t>review,</w:t>
      </w:r>
      <w:r>
        <w:rPr>
          <w:spacing w:val="-10"/>
        </w:rPr>
        <w:t> </w:t>
      </w:r>
      <w:r>
        <w:rPr/>
        <w:t>SSU officers analysed retention rates for girls and boys (see Appendix 6) and this indicated that the transition</w:t>
      </w:r>
      <w:r>
        <w:rPr>
          <w:spacing w:val="-5"/>
        </w:rPr>
        <w:t> </w:t>
      </w:r>
      <w:r>
        <w:rPr/>
        <w:t>rate</w:t>
      </w:r>
      <w:r>
        <w:rPr>
          <w:spacing w:val="-4"/>
        </w:rPr>
        <w:t> </w:t>
      </w:r>
      <w:r>
        <w:rPr/>
        <w:t>for</w:t>
      </w:r>
      <w:r>
        <w:rPr>
          <w:spacing w:val="-4"/>
        </w:rPr>
        <w:t> </w:t>
      </w:r>
      <w:r>
        <w:rPr/>
        <w:t>girls</w:t>
      </w:r>
      <w:r>
        <w:rPr>
          <w:spacing w:val="-9"/>
        </w:rPr>
        <w:t> </w:t>
      </w:r>
      <w:r>
        <w:rPr/>
        <w:t>increased</w:t>
      </w:r>
      <w:r>
        <w:rPr>
          <w:spacing w:val="-5"/>
        </w:rPr>
        <w:t> </w:t>
      </w:r>
      <w:r>
        <w:rPr/>
        <w:t>marginally</w:t>
      </w:r>
      <w:r>
        <w:rPr>
          <w:spacing w:val="-3"/>
        </w:rPr>
        <w:t> </w:t>
      </w:r>
      <w:r>
        <w:rPr/>
        <w:t>from</w:t>
      </w:r>
      <w:r>
        <w:rPr>
          <w:spacing w:val="-3"/>
        </w:rPr>
        <w:t> </w:t>
      </w:r>
      <w:r>
        <w:rPr/>
        <w:t>2015</w:t>
      </w:r>
      <w:r>
        <w:rPr>
          <w:spacing w:val="-6"/>
        </w:rPr>
        <w:t> </w:t>
      </w:r>
      <w:r>
        <w:rPr/>
        <w:t>to</w:t>
      </w:r>
      <w:r>
        <w:rPr>
          <w:spacing w:val="-6"/>
        </w:rPr>
        <w:t> </w:t>
      </w:r>
      <w:r>
        <w:rPr/>
        <w:t>2016</w:t>
      </w:r>
      <w:r>
        <w:rPr>
          <w:spacing w:val="-1"/>
        </w:rPr>
        <w:t> </w:t>
      </w:r>
      <w:r>
        <w:rPr/>
        <w:t>–</w:t>
      </w:r>
      <w:r>
        <w:rPr>
          <w:spacing w:val="-4"/>
        </w:rPr>
        <w:t> </w:t>
      </w:r>
      <w:r>
        <w:rPr/>
        <w:t>from</w:t>
      </w:r>
      <w:r>
        <w:rPr>
          <w:spacing w:val="-3"/>
        </w:rPr>
        <w:t> </w:t>
      </w:r>
      <w:r>
        <w:rPr/>
        <w:t>93.6%</w:t>
      </w:r>
      <w:r>
        <w:rPr>
          <w:spacing w:val="-4"/>
        </w:rPr>
        <w:t> </w:t>
      </w:r>
      <w:r>
        <w:rPr/>
        <w:t>to</w:t>
      </w:r>
      <w:r>
        <w:rPr>
          <w:spacing w:val="-6"/>
        </w:rPr>
        <w:t> </w:t>
      </w:r>
      <w:r>
        <w:rPr/>
        <w:t>93.9%.</w:t>
      </w:r>
      <w:r>
        <w:rPr>
          <w:spacing w:val="-2"/>
        </w:rPr>
        <w:t> </w:t>
      </w:r>
      <w:r>
        <w:rPr/>
        <w:t>The</w:t>
      </w:r>
      <w:r>
        <w:rPr>
          <w:spacing w:val="-4"/>
        </w:rPr>
        <w:t> </w:t>
      </w:r>
      <w:r>
        <w:rPr/>
        <w:t>transition rate for boys increased from 93.6% to 94% in the same period.</w:t>
      </w:r>
    </w:p>
    <w:p>
      <w:pPr>
        <w:pStyle w:val="BodyText"/>
        <w:spacing w:before="120"/>
        <w:ind w:left="1119" w:right="1171"/>
        <w:jc w:val="both"/>
      </w:pPr>
      <w:r>
        <w:rPr/>
        <w:t>MEHRD</w:t>
      </w:r>
      <w:r>
        <w:rPr>
          <w:spacing w:val="-8"/>
        </w:rPr>
        <w:t> </w:t>
      </w:r>
      <w:r>
        <w:rPr/>
        <w:t>built</w:t>
      </w:r>
      <w:r>
        <w:rPr>
          <w:spacing w:val="-4"/>
        </w:rPr>
        <w:t> </w:t>
      </w:r>
      <w:r>
        <w:rPr/>
        <w:t>two</w:t>
      </w:r>
      <w:r>
        <w:rPr>
          <w:spacing w:val="-8"/>
        </w:rPr>
        <w:t> </w:t>
      </w:r>
      <w:r>
        <w:rPr/>
        <w:t>new</w:t>
      </w:r>
      <w:r>
        <w:rPr>
          <w:spacing w:val="-2"/>
        </w:rPr>
        <w:t> </w:t>
      </w:r>
      <w:r>
        <w:rPr/>
        <w:t>dormitory</w:t>
      </w:r>
      <w:r>
        <w:rPr>
          <w:spacing w:val="-6"/>
        </w:rPr>
        <w:t> </w:t>
      </w:r>
      <w:r>
        <w:rPr/>
        <w:t>complexes</w:t>
      </w:r>
      <w:r>
        <w:rPr>
          <w:spacing w:val="-7"/>
        </w:rPr>
        <w:t> </w:t>
      </w:r>
      <w:r>
        <w:rPr/>
        <w:t>in</w:t>
      </w:r>
      <w:r>
        <w:rPr>
          <w:spacing w:val="-8"/>
        </w:rPr>
        <w:t> </w:t>
      </w:r>
      <w:r>
        <w:rPr/>
        <w:t>2016,</w:t>
      </w:r>
      <w:r>
        <w:rPr>
          <w:spacing w:val="-4"/>
        </w:rPr>
        <w:t> </w:t>
      </w:r>
      <w:r>
        <w:rPr/>
        <w:t>one</w:t>
      </w:r>
      <w:r>
        <w:rPr>
          <w:spacing w:val="-6"/>
        </w:rPr>
        <w:t> </w:t>
      </w:r>
      <w:r>
        <w:rPr/>
        <w:t>for</w:t>
      </w:r>
      <w:r>
        <w:rPr>
          <w:spacing w:val="-2"/>
        </w:rPr>
        <w:t> </w:t>
      </w:r>
      <w:r>
        <w:rPr/>
        <w:t>boys</w:t>
      </w:r>
      <w:r>
        <w:rPr>
          <w:spacing w:val="-7"/>
        </w:rPr>
        <w:t> </w:t>
      </w:r>
      <w:r>
        <w:rPr/>
        <w:t>and</w:t>
      </w:r>
      <w:r>
        <w:rPr>
          <w:spacing w:val="-3"/>
        </w:rPr>
        <w:t> </w:t>
      </w:r>
      <w:r>
        <w:rPr/>
        <w:t>one</w:t>
      </w:r>
      <w:r>
        <w:rPr>
          <w:spacing w:val="-2"/>
        </w:rPr>
        <w:t> </w:t>
      </w:r>
      <w:r>
        <w:rPr/>
        <w:t>for</w:t>
      </w:r>
      <w:r>
        <w:rPr>
          <w:spacing w:val="-2"/>
        </w:rPr>
        <w:t> </w:t>
      </w:r>
      <w:r>
        <w:rPr/>
        <w:t>girls,</w:t>
      </w:r>
      <w:r>
        <w:rPr>
          <w:spacing w:val="-9"/>
        </w:rPr>
        <w:t> </w:t>
      </w:r>
      <w:r>
        <w:rPr/>
        <w:t>to</w:t>
      </w:r>
      <w:r>
        <w:rPr>
          <w:spacing w:val="-3"/>
        </w:rPr>
        <w:t> </w:t>
      </w:r>
      <w:r>
        <w:rPr/>
        <w:t>improve</w:t>
      </w:r>
      <w:r>
        <w:rPr>
          <w:spacing w:val="-6"/>
        </w:rPr>
        <w:t> </w:t>
      </w:r>
      <w:r>
        <w:rPr/>
        <w:t>access to senior secondary education. In 2017, it plans to build seven new dormitory complexes for girls to support their participation in senior secondary education.</w:t>
      </w:r>
    </w:p>
    <w:p>
      <w:pPr>
        <w:pStyle w:val="BodyText"/>
        <w:spacing w:before="121"/>
        <w:ind w:left="1119" w:right="1172"/>
        <w:jc w:val="both"/>
      </w:pPr>
      <w:r>
        <w:rPr/>
        <w:t>Improved access to school for boys and girls is a high priority for the Permanent Secretary. He is particularly</w:t>
      </w:r>
      <w:r>
        <w:rPr>
          <w:spacing w:val="-13"/>
        </w:rPr>
        <w:t> </w:t>
      </w:r>
      <w:r>
        <w:rPr/>
        <w:t>committed</w:t>
      </w:r>
      <w:r>
        <w:rPr>
          <w:spacing w:val="-12"/>
        </w:rPr>
        <w:t> </w:t>
      </w:r>
      <w:r>
        <w:rPr/>
        <w:t>to</w:t>
      </w:r>
      <w:r>
        <w:rPr>
          <w:spacing w:val="-13"/>
        </w:rPr>
        <w:t> </w:t>
      </w:r>
      <w:r>
        <w:rPr/>
        <w:t>improving</w:t>
      </w:r>
      <w:r>
        <w:rPr>
          <w:spacing w:val="-12"/>
        </w:rPr>
        <w:t> </w:t>
      </w:r>
      <w:r>
        <w:rPr/>
        <w:t>the</w:t>
      </w:r>
      <w:r>
        <w:rPr>
          <w:spacing w:val="-13"/>
        </w:rPr>
        <w:t> </w:t>
      </w:r>
      <w:r>
        <w:rPr/>
        <w:t>retention</w:t>
      </w:r>
      <w:r>
        <w:rPr>
          <w:spacing w:val="-12"/>
        </w:rPr>
        <w:t> </w:t>
      </w:r>
      <w:r>
        <w:rPr/>
        <w:t>rate</w:t>
      </w:r>
      <w:r>
        <w:rPr>
          <w:spacing w:val="-13"/>
        </w:rPr>
        <w:t> </w:t>
      </w:r>
      <w:r>
        <w:rPr/>
        <w:t>between</w:t>
      </w:r>
      <w:r>
        <w:rPr>
          <w:spacing w:val="-12"/>
        </w:rPr>
        <w:t> </w:t>
      </w:r>
      <w:r>
        <w:rPr/>
        <w:t>Year</w:t>
      </w:r>
      <w:r>
        <w:rPr>
          <w:spacing w:val="-12"/>
        </w:rPr>
        <w:t> </w:t>
      </w:r>
      <w:r>
        <w:rPr/>
        <w:t>1</w:t>
      </w:r>
      <w:r>
        <w:rPr>
          <w:spacing w:val="-13"/>
        </w:rPr>
        <w:t> </w:t>
      </w:r>
      <w:r>
        <w:rPr/>
        <w:t>primary</w:t>
      </w:r>
      <w:r>
        <w:rPr>
          <w:spacing w:val="-12"/>
        </w:rPr>
        <w:t> </w:t>
      </w:r>
      <w:r>
        <w:rPr/>
        <w:t>and</w:t>
      </w:r>
      <w:r>
        <w:rPr>
          <w:spacing w:val="-13"/>
        </w:rPr>
        <w:t> </w:t>
      </w:r>
      <w:r>
        <w:rPr/>
        <w:t>Year</w:t>
      </w:r>
      <w:r>
        <w:rPr>
          <w:spacing w:val="-12"/>
        </w:rPr>
        <w:t> </w:t>
      </w:r>
      <w:r>
        <w:rPr/>
        <w:t>10</w:t>
      </w:r>
      <w:r>
        <w:rPr>
          <w:spacing w:val="-13"/>
        </w:rPr>
        <w:t> </w:t>
      </w:r>
      <w:r>
        <w:rPr/>
        <w:t>secondary </w:t>
      </w:r>
      <w:r>
        <w:rPr>
          <w:spacing w:val="-2"/>
        </w:rPr>
        <w:t>education.</w:t>
      </w:r>
    </w:p>
    <w:p>
      <w:pPr>
        <w:pStyle w:val="BodyText"/>
        <w:rPr>
          <w:sz w:val="20"/>
        </w:rPr>
      </w:pPr>
    </w:p>
    <w:p>
      <w:pPr>
        <w:pStyle w:val="BodyText"/>
        <w:spacing w:before="5"/>
        <w:rPr>
          <w:sz w:val="21"/>
        </w:rPr>
      </w:pPr>
      <w:r>
        <w:rPr/>
        <w:pict>
          <v:shape style="position:absolute;margin-left:68.900002pt;margin-top:14.704375pt;width:373.9pt;height:81pt;mso-position-horizontal-relative:page;mso-position-vertical-relative:paragraph;z-index:-15721472;mso-wrap-distance-left:0;mso-wrap-distance-right:0" type="#_x0000_t202" id="docshape18" filled="true" fillcolor="#dae3f3" stroked="true" strokeweight=".75pt" strokecolor="#4472c4">
            <v:textbox inset="0,0,0,0">
              <w:txbxContent>
                <w:p>
                  <w:pPr>
                    <w:spacing w:before="185"/>
                    <w:ind w:left="136" w:right="0" w:firstLine="0"/>
                    <w:jc w:val="left"/>
                    <w:rPr>
                      <w:i/>
                      <w:color w:val="000000"/>
                      <w:sz w:val="22"/>
                    </w:rPr>
                  </w:pPr>
                  <w:r>
                    <w:rPr>
                      <w:b/>
                      <w:i/>
                      <w:color w:val="000000"/>
                      <w:sz w:val="22"/>
                    </w:rPr>
                    <w:t>Target</w:t>
                  </w:r>
                  <w:r>
                    <w:rPr>
                      <w:b/>
                      <w:i/>
                      <w:color w:val="000000"/>
                      <w:spacing w:val="-3"/>
                      <w:sz w:val="22"/>
                    </w:rPr>
                    <w:t> </w:t>
                  </w:r>
                  <w:r>
                    <w:rPr>
                      <w:b/>
                      <w:i/>
                      <w:color w:val="000000"/>
                      <w:sz w:val="22"/>
                    </w:rPr>
                    <w:t>4.2</w:t>
                  </w:r>
                  <w:r>
                    <w:rPr>
                      <w:i/>
                      <w:color w:val="000000"/>
                      <w:sz w:val="22"/>
                    </w:rPr>
                    <w:t>: Data</w:t>
                  </w:r>
                  <w:r>
                    <w:rPr>
                      <w:i/>
                      <w:color w:val="000000"/>
                      <w:spacing w:val="-2"/>
                      <w:sz w:val="22"/>
                    </w:rPr>
                    <w:t> </w:t>
                  </w:r>
                  <w:r>
                    <w:rPr>
                      <w:i/>
                      <w:color w:val="000000"/>
                      <w:sz w:val="22"/>
                    </w:rPr>
                    <w:t>on</w:t>
                  </w:r>
                  <w:r>
                    <w:rPr>
                      <w:i/>
                      <w:color w:val="000000"/>
                      <w:spacing w:val="-2"/>
                      <w:sz w:val="22"/>
                    </w:rPr>
                    <w:t> </w:t>
                  </w:r>
                  <w:r>
                    <w:rPr>
                      <w:i/>
                      <w:color w:val="000000"/>
                      <w:sz w:val="22"/>
                    </w:rPr>
                    <w:t>disability</w:t>
                  </w:r>
                  <w:r>
                    <w:rPr>
                      <w:i/>
                      <w:color w:val="000000"/>
                      <w:spacing w:val="-1"/>
                      <w:sz w:val="22"/>
                    </w:rPr>
                    <w:t> </w:t>
                  </w:r>
                  <w:r>
                    <w:rPr>
                      <w:i/>
                      <w:color w:val="000000"/>
                      <w:sz w:val="22"/>
                    </w:rPr>
                    <w:t>by</w:t>
                  </w:r>
                  <w:r>
                    <w:rPr>
                      <w:i/>
                      <w:color w:val="000000"/>
                      <w:spacing w:val="-1"/>
                      <w:sz w:val="22"/>
                    </w:rPr>
                    <w:t> </w:t>
                  </w:r>
                  <w:r>
                    <w:rPr>
                      <w:i/>
                      <w:color w:val="000000"/>
                      <w:sz w:val="22"/>
                    </w:rPr>
                    <w:t>school</w:t>
                  </w:r>
                  <w:r>
                    <w:rPr>
                      <w:i/>
                      <w:color w:val="000000"/>
                      <w:spacing w:val="-1"/>
                      <w:sz w:val="22"/>
                    </w:rPr>
                    <w:t> </w:t>
                  </w:r>
                  <w:r>
                    <w:rPr>
                      <w:i/>
                      <w:color w:val="000000"/>
                      <w:sz w:val="22"/>
                    </w:rPr>
                    <w:t>was</w:t>
                  </w:r>
                  <w:r>
                    <w:rPr>
                      <w:i/>
                      <w:color w:val="000000"/>
                      <w:spacing w:val="-3"/>
                      <w:sz w:val="22"/>
                    </w:rPr>
                    <w:t> </w:t>
                  </w:r>
                  <w:r>
                    <w:rPr>
                      <w:i/>
                      <w:color w:val="000000"/>
                      <w:sz w:val="22"/>
                    </w:rPr>
                    <w:t>collected</w:t>
                  </w:r>
                  <w:r>
                    <w:rPr>
                      <w:i/>
                      <w:color w:val="000000"/>
                      <w:spacing w:val="-6"/>
                      <w:sz w:val="22"/>
                    </w:rPr>
                    <w:t> </w:t>
                  </w:r>
                  <w:r>
                    <w:rPr>
                      <w:i/>
                      <w:color w:val="000000"/>
                      <w:sz w:val="22"/>
                    </w:rPr>
                    <w:t>and</w:t>
                  </w:r>
                  <w:r>
                    <w:rPr>
                      <w:i/>
                      <w:color w:val="000000"/>
                      <w:spacing w:val="-2"/>
                      <w:sz w:val="22"/>
                    </w:rPr>
                    <w:t> </w:t>
                  </w:r>
                  <w:r>
                    <w:rPr>
                      <w:i/>
                      <w:color w:val="000000"/>
                      <w:sz w:val="22"/>
                    </w:rPr>
                    <w:t>reported</w:t>
                  </w:r>
                  <w:r>
                    <w:rPr>
                      <w:i/>
                      <w:color w:val="000000"/>
                      <w:spacing w:val="-2"/>
                      <w:sz w:val="22"/>
                    </w:rPr>
                    <w:t> </w:t>
                  </w:r>
                  <w:r>
                    <w:rPr>
                      <w:i/>
                      <w:color w:val="000000"/>
                      <w:sz w:val="22"/>
                    </w:rPr>
                    <w:t>as</w:t>
                  </w:r>
                  <w:r>
                    <w:rPr>
                      <w:i/>
                      <w:color w:val="000000"/>
                      <w:spacing w:val="-3"/>
                      <w:sz w:val="22"/>
                    </w:rPr>
                    <w:t> </w:t>
                  </w:r>
                  <w:r>
                    <w:rPr>
                      <w:i/>
                      <w:color w:val="000000"/>
                      <w:sz w:val="22"/>
                    </w:rPr>
                    <w:t>part</w:t>
                  </w:r>
                  <w:r>
                    <w:rPr>
                      <w:i/>
                      <w:color w:val="000000"/>
                      <w:spacing w:val="-5"/>
                      <w:sz w:val="22"/>
                    </w:rPr>
                    <w:t> </w:t>
                  </w:r>
                  <w:r>
                    <w:rPr>
                      <w:i/>
                      <w:color w:val="000000"/>
                      <w:sz w:val="22"/>
                    </w:rPr>
                    <w:t>of</w:t>
                  </w:r>
                  <w:r>
                    <w:rPr>
                      <w:i/>
                      <w:color w:val="000000"/>
                      <w:spacing w:val="-4"/>
                      <w:sz w:val="22"/>
                    </w:rPr>
                    <w:t> </w:t>
                  </w:r>
                  <w:r>
                    <w:rPr>
                      <w:i/>
                      <w:color w:val="000000"/>
                      <w:sz w:val="22"/>
                    </w:rPr>
                    <w:t>the</w:t>
                  </w:r>
                  <w:r>
                    <w:rPr>
                      <w:i/>
                      <w:color w:val="000000"/>
                      <w:sz w:val="22"/>
                    </w:rPr>
                    <w:t> 2016 PAR.</w:t>
                  </w:r>
                </w:p>
                <w:p>
                  <w:pPr>
                    <w:spacing w:before="121"/>
                    <w:ind w:left="136" w:right="0" w:firstLine="0"/>
                    <w:jc w:val="left"/>
                    <w:rPr>
                      <w:i/>
                      <w:color w:val="000000"/>
                      <w:sz w:val="22"/>
                    </w:rPr>
                  </w:pPr>
                  <w:r>
                    <w:rPr>
                      <w:b/>
                      <w:i/>
                      <w:color w:val="000000"/>
                      <w:sz w:val="22"/>
                    </w:rPr>
                    <w:t>Evidence:</w:t>
                  </w:r>
                  <w:r>
                    <w:rPr>
                      <w:b/>
                      <w:i/>
                      <w:color w:val="000000"/>
                      <w:spacing w:val="-9"/>
                      <w:sz w:val="22"/>
                    </w:rPr>
                    <w:t> </w:t>
                  </w:r>
                  <w:r>
                    <w:rPr>
                      <w:i/>
                      <w:color w:val="000000"/>
                      <w:sz w:val="22"/>
                    </w:rPr>
                    <w:t>2015-2016</w:t>
                  </w:r>
                  <w:r>
                    <w:rPr>
                      <w:i/>
                      <w:color w:val="000000"/>
                      <w:spacing w:val="-6"/>
                      <w:sz w:val="22"/>
                    </w:rPr>
                    <w:t> </w:t>
                  </w:r>
                  <w:r>
                    <w:rPr>
                      <w:i/>
                      <w:color w:val="000000"/>
                      <w:sz w:val="22"/>
                    </w:rPr>
                    <w:t>Performance</w:t>
                  </w:r>
                  <w:r>
                    <w:rPr>
                      <w:i/>
                      <w:color w:val="000000"/>
                      <w:spacing w:val="-9"/>
                      <w:sz w:val="22"/>
                    </w:rPr>
                    <w:t> </w:t>
                  </w:r>
                  <w:r>
                    <w:rPr>
                      <w:i/>
                      <w:color w:val="000000"/>
                      <w:sz w:val="22"/>
                    </w:rPr>
                    <w:t>Assessment</w:t>
                  </w:r>
                  <w:r>
                    <w:rPr>
                      <w:i/>
                      <w:color w:val="000000"/>
                      <w:spacing w:val="-10"/>
                      <w:sz w:val="22"/>
                    </w:rPr>
                    <w:t> </w:t>
                  </w:r>
                  <w:r>
                    <w:rPr>
                      <w:i/>
                      <w:color w:val="000000"/>
                      <w:spacing w:val="-2"/>
                      <w:sz w:val="22"/>
                    </w:rPr>
                    <w:t>Report</w:t>
                  </w:r>
                </w:p>
                <w:p>
                  <w:pPr>
                    <w:spacing w:before="120"/>
                    <w:ind w:left="135" w:right="0" w:firstLine="0"/>
                    <w:jc w:val="left"/>
                    <w:rPr>
                      <w:i/>
                      <w:color w:val="000000"/>
                      <w:sz w:val="22"/>
                    </w:rPr>
                  </w:pPr>
                  <w:r>
                    <w:rPr>
                      <w:b/>
                      <w:i/>
                      <w:color w:val="000000"/>
                      <w:sz w:val="22"/>
                    </w:rPr>
                    <w:t>Assessment:</w:t>
                  </w:r>
                  <w:r>
                    <w:rPr>
                      <w:b/>
                      <w:i/>
                      <w:color w:val="000000"/>
                      <w:spacing w:val="-9"/>
                      <w:sz w:val="22"/>
                    </w:rPr>
                    <w:t> </w:t>
                  </w:r>
                  <w:r>
                    <w:rPr>
                      <w:i/>
                      <w:color w:val="000000"/>
                      <w:spacing w:val="-2"/>
                      <w:sz w:val="22"/>
                    </w:rPr>
                    <w:t>Achieved</w:t>
                  </w:r>
                </w:p>
              </w:txbxContent>
            </v:textbox>
            <v:fill type="solid"/>
            <v:stroke dashstyle="solid"/>
            <w10:wrap type="topAndBottom"/>
          </v:shape>
        </w:pict>
      </w:r>
    </w:p>
    <w:p>
      <w:pPr>
        <w:pStyle w:val="BodyText"/>
        <w:spacing w:before="6"/>
        <w:rPr>
          <w:sz w:val="32"/>
        </w:rPr>
      </w:pPr>
    </w:p>
    <w:p>
      <w:pPr>
        <w:pStyle w:val="BodyText"/>
        <w:ind w:left="1119" w:right="1179"/>
        <w:jc w:val="both"/>
      </w:pPr>
      <w:r>
        <w:rPr/>
        <w:t>Data about the number of students with disabilities were collected and reported in the 2015-2016 PAR. This was the first time that this information was collected. However, the data tends to be anecdotal in nature and is not yet underpinned by agreed definitions of different disabilities nor is it subject to rigorous validation processes.</w:t>
      </w:r>
    </w:p>
    <w:p>
      <w:pPr>
        <w:spacing w:after="0"/>
        <w:jc w:val="both"/>
        <w:sectPr>
          <w:pgSz w:w="11900" w:h="16840"/>
          <w:pgMar w:header="751" w:footer="1206" w:top="1640" w:bottom="1420" w:left="320" w:right="260"/>
        </w:sectPr>
      </w:pPr>
    </w:p>
    <w:p>
      <w:pPr>
        <w:spacing w:before="51"/>
        <w:ind w:left="1120" w:right="0" w:firstLine="0"/>
        <w:jc w:val="both"/>
        <w:rPr>
          <w:i/>
          <w:sz w:val="22"/>
        </w:rPr>
      </w:pPr>
      <w:r>
        <w:rPr>
          <w:i/>
          <w:sz w:val="22"/>
        </w:rPr>
        <w:t>Table</w:t>
      </w:r>
      <w:r>
        <w:rPr>
          <w:i/>
          <w:spacing w:val="-6"/>
          <w:sz w:val="22"/>
        </w:rPr>
        <w:t> </w:t>
      </w:r>
      <w:r>
        <w:rPr>
          <w:i/>
          <w:sz w:val="22"/>
        </w:rPr>
        <w:t>7:</w:t>
      </w:r>
      <w:r>
        <w:rPr>
          <w:i/>
          <w:spacing w:val="-7"/>
          <w:sz w:val="22"/>
        </w:rPr>
        <w:t> </w:t>
      </w:r>
      <w:r>
        <w:rPr>
          <w:i/>
          <w:sz w:val="22"/>
        </w:rPr>
        <w:t>Students</w:t>
      </w:r>
      <w:r>
        <w:rPr>
          <w:i/>
          <w:spacing w:val="-5"/>
          <w:sz w:val="22"/>
        </w:rPr>
        <w:t> </w:t>
      </w:r>
      <w:r>
        <w:rPr>
          <w:i/>
          <w:sz w:val="22"/>
        </w:rPr>
        <w:t>with</w:t>
      </w:r>
      <w:r>
        <w:rPr>
          <w:i/>
          <w:spacing w:val="-4"/>
          <w:sz w:val="22"/>
        </w:rPr>
        <w:t> </w:t>
      </w:r>
      <w:r>
        <w:rPr>
          <w:i/>
          <w:sz w:val="22"/>
        </w:rPr>
        <w:t>Disabilities</w:t>
      </w:r>
      <w:r>
        <w:rPr>
          <w:i/>
          <w:spacing w:val="-5"/>
          <w:sz w:val="22"/>
        </w:rPr>
        <w:t> </w:t>
      </w:r>
      <w:r>
        <w:rPr>
          <w:i/>
          <w:sz w:val="22"/>
        </w:rPr>
        <w:t>by</w:t>
      </w:r>
      <w:r>
        <w:rPr>
          <w:i/>
          <w:spacing w:val="-3"/>
          <w:sz w:val="22"/>
        </w:rPr>
        <w:t> </w:t>
      </w:r>
      <w:r>
        <w:rPr>
          <w:i/>
          <w:sz w:val="22"/>
        </w:rPr>
        <w:t>School</w:t>
      </w:r>
      <w:r>
        <w:rPr>
          <w:i/>
          <w:spacing w:val="-3"/>
          <w:sz w:val="22"/>
        </w:rPr>
        <w:t> </w:t>
      </w:r>
      <w:r>
        <w:rPr>
          <w:i/>
          <w:sz w:val="22"/>
        </w:rPr>
        <w:t>Type</w:t>
      </w:r>
      <w:r>
        <w:rPr>
          <w:i/>
          <w:spacing w:val="-5"/>
          <w:sz w:val="22"/>
        </w:rPr>
        <w:t> </w:t>
      </w:r>
      <w:r>
        <w:rPr>
          <w:i/>
          <w:sz w:val="22"/>
        </w:rPr>
        <w:t>2016</w:t>
      </w:r>
      <w:r>
        <w:rPr>
          <w:i/>
          <w:spacing w:val="-3"/>
          <w:sz w:val="22"/>
        </w:rPr>
        <w:t> </w:t>
      </w:r>
      <w:r>
        <w:rPr>
          <w:i/>
          <w:sz w:val="22"/>
        </w:rPr>
        <w:t>(from</w:t>
      </w:r>
      <w:r>
        <w:rPr>
          <w:i/>
          <w:spacing w:val="-7"/>
          <w:sz w:val="22"/>
        </w:rPr>
        <w:t> </w:t>
      </w:r>
      <w:r>
        <w:rPr>
          <w:i/>
          <w:sz w:val="22"/>
        </w:rPr>
        <w:t>2015-16</w:t>
      </w:r>
      <w:r>
        <w:rPr>
          <w:i/>
          <w:spacing w:val="-6"/>
          <w:sz w:val="22"/>
        </w:rPr>
        <w:t> </w:t>
      </w:r>
      <w:r>
        <w:rPr>
          <w:i/>
          <w:spacing w:val="-4"/>
          <w:sz w:val="22"/>
        </w:rPr>
        <w:t>PAR)</w:t>
      </w:r>
    </w:p>
    <w:p>
      <w:pPr>
        <w:pStyle w:val="BodyText"/>
        <w:spacing w:before="3"/>
        <w:rPr>
          <w:i/>
          <w:sz w:val="9"/>
        </w:rPr>
      </w:pPr>
    </w:p>
    <w:tbl>
      <w:tblPr>
        <w:tblW w:w="0" w:type="auto"/>
        <w:jc w:val="left"/>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2"/>
        <w:gridCol w:w="1262"/>
        <w:gridCol w:w="1262"/>
        <w:gridCol w:w="1262"/>
        <w:gridCol w:w="1262"/>
        <w:gridCol w:w="1262"/>
        <w:gridCol w:w="1257"/>
      </w:tblGrid>
      <w:tr>
        <w:trPr>
          <w:trHeight w:val="853" w:hRule="atLeast"/>
        </w:trPr>
        <w:tc>
          <w:tcPr>
            <w:tcW w:w="1262" w:type="dxa"/>
            <w:shd w:val="clear" w:color="auto" w:fill="D9E2F3"/>
          </w:tcPr>
          <w:p>
            <w:pPr>
              <w:pStyle w:val="TableParagraph"/>
              <w:spacing w:before="63"/>
              <w:ind w:left="244"/>
              <w:rPr>
                <w:b/>
                <w:sz w:val="20"/>
              </w:rPr>
            </w:pPr>
            <w:r>
              <w:rPr>
                <w:b/>
                <w:spacing w:val="-2"/>
                <w:sz w:val="20"/>
              </w:rPr>
              <w:t>Disability</w:t>
            </w:r>
          </w:p>
        </w:tc>
        <w:tc>
          <w:tcPr>
            <w:tcW w:w="1262" w:type="dxa"/>
            <w:shd w:val="clear" w:color="auto" w:fill="D9E2F3"/>
          </w:tcPr>
          <w:p>
            <w:pPr>
              <w:pStyle w:val="TableParagraph"/>
              <w:spacing w:line="235" w:lineRule="auto" w:before="67"/>
              <w:ind w:left="350" w:hanging="53"/>
              <w:rPr>
                <w:b/>
                <w:sz w:val="20"/>
              </w:rPr>
            </w:pPr>
            <w:r>
              <w:rPr>
                <w:b/>
                <w:spacing w:val="-2"/>
                <w:sz w:val="20"/>
              </w:rPr>
              <w:t>Primary School</w:t>
            </w:r>
          </w:p>
        </w:tc>
        <w:tc>
          <w:tcPr>
            <w:tcW w:w="1262" w:type="dxa"/>
            <w:shd w:val="clear" w:color="auto" w:fill="D9E2F3"/>
          </w:tcPr>
          <w:p>
            <w:pPr>
              <w:pStyle w:val="TableParagraph"/>
              <w:spacing w:line="235" w:lineRule="auto" w:before="67"/>
              <w:ind w:left="139" w:firstLine="4"/>
              <w:rPr>
                <w:b/>
                <w:sz w:val="20"/>
              </w:rPr>
            </w:pPr>
            <w:r>
              <w:rPr>
                <w:b/>
                <w:spacing w:val="-2"/>
                <w:sz w:val="20"/>
              </w:rPr>
              <w:t>Community </w:t>
            </w:r>
            <w:r>
              <w:rPr>
                <w:b/>
                <w:sz w:val="20"/>
              </w:rPr>
              <w:t>High</w:t>
            </w:r>
            <w:r>
              <w:rPr>
                <w:b/>
                <w:spacing w:val="-2"/>
                <w:sz w:val="20"/>
              </w:rPr>
              <w:t> </w:t>
            </w:r>
            <w:r>
              <w:rPr>
                <w:b/>
                <w:spacing w:val="-2"/>
                <w:sz w:val="20"/>
              </w:rPr>
              <w:t>School</w:t>
            </w:r>
          </w:p>
        </w:tc>
        <w:tc>
          <w:tcPr>
            <w:tcW w:w="1262" w:type="dxa"/>
            <w:shd w:val="clear" w:color="auto" w:fill="D9E2F3"/>
          </w:tcPr>
          <w:p>
            <w:pPr>
              <w:pStyle w:val="TableParagraph"/>
              <w:spacing w:line="237" w:lineRule="auto" w:before="65"/>
              <w:ind w:left="192" w:right="193" w:firstLine="6"/>
              <w:jc w:val="center"/>
              <w:rPr>
                <w:b/>
                <w:sz w:val="20"/>
              </w:rPr>
            </w:pPr>
            <w:r>
              <w:rPr>
                <w:b/>
                <w:spacing w:val="-2"/>
                <w:sz w:val="20"/>
              </w:rPr>
              <w:t>Provincial Secondary School</w:t>
            </w:r>
          </w:p>
        </w:tc>
        <w:tc>
          <w:tcPr>
            <w:tcW w:w="1262" w:type="dxa"/>
            <w:shd w:val="clear" w:color="auto" w:fill="D9E2F3"/>
          </w:tcPr>
          <w:p>
            <w:pPr>
              <w:pStyle w:val="TableParagraph"/>
              <w:spacing w:line="237" w:lineRule="auto" w:before="65"/>
              <w:ind w:left="193" w:right="192" w:firstLine="6"/>
              <w:jc w:val="center"/>
              <w:rPr>
                <w:b/>
                <w:sz w:val="20"/>
              </w:rPr>
            </w:pPr>
            <w:r>
              <w:rPr>
                <w:b/>
                <w:spacing w:val="-2"/>
                <w:sz w:val="20"/>
              </w:rPr>
              <w:t>National Secondary School</w:t>
            </w:r>
          </w:p>
        </w:tc>
        <w:tc>
          <w:tcPr>
            <w:tcW w:w="1262" w:type="dxa"/>
            <w:shd w:val="clear" w:color="auto" w:fill="D9E2F3"/>
          </w:tcPr>
          <w:p>
            <w:pPr>
              <w:pStyle w:val="TableParagraph"/>
              <w:spacing w:before="63"/>
              <w:ind w:left="414"/>
              <w:rPr>
                <w:b/>
                <w:sz w:val="20"/>
              </w:rPr>
            </w:pPr>
            <w:r>
              <w:rPr>
                <w:b/>
                <w:spacing w:val="-2"/>
                <w:sz w:val="20"/>
              </w:rPr>
              <w:t>Total</w:t>
            </w:r>
          </w:p>
        </w:tc>
        <w:tc>
          <w:tcPr>
            <w:tcW w:w="1257" w:type="dxa"/>
            <w:shd w:val="clear" w:color="auto" w:fill="D9E2F3"/>
          </w:tcPr>
          <w:p>
            <w:pPr>
              <w:pStyle w:val="TableParagraph"/>
              <w:spacing w:line="235" w:lineRule="auto" w:before="67"/>
              <w:ind w:left="309" w:right="22" w:hanging="149"/>
              <w:rPr>
                <w:b/>
                <w:sz w:val="20"/>
              </w:rPr>
            </w:pPr>
            <w:r>
              <w:rPr>
                <w:b/>
                <w:spacing w:val="-2"/>
                <w:sz w:val="20"/>
              </w:rPr>
              <w:t>Percentage </w:t>
            </w:r>
            <w:r>
              <w:rPr>
                <w:b/>
                <w:sz w:val="20"/>
              </w:rPr>
              <w:t>of Total</w:t>
            </w:r>
          </w:p>
        </w:tc>
      </w:tr>
      <w:tr>
        <w:trPr>
          <w:trHeight w:val="609" w:hRule="atLeast"/>
        </w:trPr>
        <w:tc>
          <w:tcPr>
            <w:tcW w:w="1262" w:type="dxa"/>
          </w:tcPr>
          <w:p>
            <w:pPr>
              <w:pStyle w:val="TableParagraph"/>
              <w:spacing w:before="59"/>
              <w:ind w:left="110"/>
              <w:rPr>
                <w:sz w:val="20"/>
              </w:rPr>
            </w:pPr>
            <w:r>
              <w:rPr>
                <w:spacing w:val="-2"/>
                <w:sz w:val="20"/>
              </w:rPr>
              <w:t>Sight Impairment</w:t>
            </w:r>
          </w:p>
        </w:tc>
        <w:tc>
          <w:tcPr>
            <w:tcW w:w="1262" w:type="dxa"/>
          </w:tcPr>
          <w:p>
            <w:pPr>
              <w:pStyle w:val="TableParagraph"/>
              <w:rPr>
                <w:i/>
                <w:sz w:val="15"/>
              </w:rPr>
            </w:pPr>
          </w:p>
          <w:p>
            <w:pPr>
              <w:pStyle w:val="TableParagraph"/>
              <w:ind w:right="97"/>
              <w:jc w:val="right"/>
              <w:rPr>
                <w:sz w:val="20"/>
              </w:rPr>
            </w:pPr>
            <w:r>
              <w:rPr>
                <w:spacing w:val="-5"/>
                <w:sz w:val="20"/>
              </w:rPr>
              <w:t>142</w:t>
            </w:r>
          </w:p>
        </w:tc>
        <w:tc>
          <w:tcPr>
            <w:tcW w:w="1262" w:type="dxa"/>
          </w:tcPr>
          <w:p>
            <w:pPr>
              <w:pStyle w:val="TableParagraph"/>
              <w:rPr>
                <w:i/>
                <w:sz w:val="15"/>
              </w:rPr>
            </w:pPr>
          </w:p>
          <w:p>
            <w:pPr>
              <w:pStyle w:val="TableParagraph"/>
              <w:ind w:right="97"/>
              <w:jc w:val="right"/>
              <w:rPr>
                <w:sz w:val="20"/>
              </w:rPr>
            </w:pPr>
            <w:r>
              <w:rPr>
                <w:spacing w:val="-5"/>
                <w:sz w:val="20"/>
              </w:rPr>
              <w:t>177</w:t>
            </w:r>
          </w:p>
        </w:tc>
        <w:tc>
          <w:tcPr>
            <w:tcW w:w="1262" w:type="dxa"/>
          </w:tcPr>
          <w:p>
            <w:pPr>
              <w:pStyle w:val="TableParagraph"/>
              <w:rPr>
                <w:i/>
                <w:sz w:val="15"/>
              </w:rPr>
            </w:pPr>
          </w:p>
          <w:p>
            <w:pPr>
              <w:pStyle w:val="TableParagraph"/>
              <w:ind w:right="95"/>
              <w:jc w:val="right"/>
              <w:rPr>
                <w:sz w:val="20"/>
              </w:rPr>
            </w:pPr>
            <w:r>
              <w:rPr>
                <w:w w:val="100"/>
                <w:sz w:val="20"/>
              </w:rPr>
              <w:t>5</w:t>
            </w:r>
          </w:p>
        </w:tc>
        <w:tc>
          <w:tcPr>
            <w:tcW w:w="1262" w:type="dxa"/>
          </w:tcPr>
          <w:p>
            <w:pPr>
              <w:pStyle w:val="TableParagraph"/>
              <w:rPr>
                <w:i/>
                <w:sz w:val="15"/>
              </w:rPr>
            </w:pPr>
          </w:p>
          <w:p>
            <w:pPr>
              <w:pStyle w:val="TableParagraph"/>
              <w:ind w:right="96"/>
              <w:jc w:val="right"/>
              <w:rPr>
                <w:sz w:val="20"/>
              </w:rPr>
            </w:pPr>
            <w:r>
              <w:rPr>
                <w:spacing w:val="-5"/>
                <w:sz w:val="20"/>
              </w:rPr>
              <w:t>34</w:t>
            </w:r>
          </w:p>
        </w:tc>
        <w:tc>
          <w:tcPr>
            <w:tcW w:w="1262" w:type="dxa"/>
          </w:tcPr>
          <w:p>
            <w:pPr>
              <w:pStyle w:val="TableParagraph"/>
              <w:rPr>
                <w:i/>
                <w:sz w:val="15"/>
              </w:rPr>
            </w:pPr>
          </w:p>
          <w:p>
            <w:pPr>
              <w:pStyle w:val="TableParagraph"/>
              <w:ind w:right="96"/>
              <w:jc w:val="right"/>
              <w:rPr>
                <w:sz w:val="20"/>
              </w:rPr>
            </w:pPr>
            <w:r>
              <w:rPr>
                <w:spacing w:val="-5"/>
                <w:sz w:val="20"/>
              </w:rPr>
              <w:t>358</w:t>
            </w:r>
          </w:p>
        </w:tc>
        <w:tc>
          <w:tcPr>
            <w:tcW w:w="1257" w:type="dxa"/>
          </w:tcPr>
          <w:p>
            <w:pPr>
              <w:pStyle w:val="TableParagraph"/>
              <w:rPr>
                <w:i/>
                <w:sz w:val="15"/>
              </w:rPr>
            </w:pPr>
          </w:p>
          <w:p>
            <w:pPr>
              <w:pStyle w:val="TableParagraph"/>
              <w:ind w:right="91"/>
              <w:jc w:val="right"/>
              <w:rPr>
                <w:sz w:val="20"/>
              </w:rPr>
            </w:pPr>
            <w:r>
              <w:rPr>
                <w:spacing w:val="-2"/>
                <w:sz w:val="20"/>
              </w:rPr>
              <w:t>10.2%</w:t>
            </w:r>
          </w:p>
        </w:tc>
      </w:tr>
      <w:tr>
        <w:trPr>
          <w:trHeight w:val="609" w:hRule="atLeast"/>
        </w:trPr>
        <w:tc>
          <w:tcPr>
            <w:tcW w:w="1262" w:type="dxa"/>
          </w:tcPr>
          <w:p>
            <w:pPr>
              <w:pStyle w:val="TableParagraph"/>
              <w:spacing w:line="235" w:lineRule="auto" w:before="62"/>
              <w:ind w:left="110"/>
              <w:rPr>
                <w:sz w:val="20"/>
              </w:rPr>
            </w:pPr>
            <w:r>
              <w:rPr>
                <w:spacing w:val="-2"/>
                <w:sz w:val="20"/>
              </w:rPr>
              <w:t>Hearing Impairment</w:t>
            </w:r>
          </w:p>
        </w:tc>
        <w:tc>
          <w:tcPr>
            <w:tcW w:w="1262" w:type="dxa"/>
          </w:tcPr>
          <w:p>
            <w:pPr>
              <w:pStyle w:val="TableParagraph"/>
              <w:spacing w:before="179"/>
              <w:ind w:right="97"/>
              <w:jc w:val="right"/>
              <w:rPr>
                <w:sz w:val="20"/>
              </w:rPr>
            </w:pPr>
            <w:r>
              <w:rPr>
                <w:spacing w:val="-5"/>
                <w:sz w:val="20"/>
              </w:rPr>
              <w:t>434</w:t>
            </w:r>
          </w:p>
        </w:tc>
        <w:tc>
          <w:tcPr>
            <w:tcW w:w="1262" w:type="dxa"/>
          </w:tcPr>
          <w:p>
            <w:pPr>
              <w:pStyle w:val="TableParagraph"/>
              <w:spacing w:before="179"/>
              <w:ind w:right="97"/>
              <w:jc w:val="right"/>
              <w:rPr>
                <w:sz w:val="20"/>
              </w:rPr>
            </w:pPr>
            <w:r>
              <w:rPr>
                <w:spacing w:val="-5"/>
                <w:sz w:val="20"/>
              </w:rPr>
              <w:t>382</w:t>
            </w:r>
          </w:p>
        </w:tc>
        <w:tc>
          <w:tcPr>
            <w:tcW w:w="1262" w:type="dxa"/>
          </w:tcPr>
          <w:p>
            <w:pPr>
              <w:pStyle w:val="TableParagraph"/>
              <w:spacing w:before="179"/>
              <w:ind w:right="97"/>
              <w:jc w:val="right"/>
              <w:rPr>
                <w:sz w:val="20"/>
              </w:rPr>
            </w:pPr>
            <w:r>
              <w:rPr>
                <w:spacing w:val="-5"/>
                <w:sz w:val="20"/>
              </w:rPr>
              <w:t>44</w:t>
            </w:r>
          </w:p>
        </w:tc>
        <w:tc>
          <w:tcPr>
            <w:tcW w:w="1262" w:type="dxa"/>
          </w:tcPr>
          <w:p>
            <w:pPr>
              <w:pStyle w:val="TableParagraph"/>
              <w:spacing w:before="179"/>
              <w:ind w:right="96"/>
              <w:jc w:val="right"/>
              <w:rPr>
                <w:sz w:val="20"/>
              </w:rPr>
            </w:pPr>
            <w:r>
              <w:rPr>
                <w:spacing w:val="-5"/>
                <w:sz w:val="20"/>
              </w:rPr>
              <w:t>22</w:t>
            </w:r>
          </w:p>
        </w:tc>
        <w:tc>
          <w:tcPr>
            <w:tcW w:w="1262" w:type="dxa"/>
          </w:tcPr>
          <w:p>
            <w:pPr>
              <w:pStyle w:val="TableParagraph"/>
              <w:spacing w:before="179"/>
              <w:ind w:right="96"/>
              <w:jc w:val="right"/>
              <w:rPr>
                <w:sz w:val="20"/>
              </w:rPr>
            </w:pPr>
            <w:r>
              <w:rPr>
                <w:spacing w:val="-5"/>
                <w:sz w:val="20"/>
              </w:rPr>
              <w:t>882</w:t>
            </w:r>
          </w:p>
        </w:tc>
        <w:tc>
          <w:tcPr>
            <w:tcW w:w="1257" w:type="dxa"/>
          </w:tcPr>
          <w:p>
            <w:pPr>
              <w:pStyle w:val="TableParagraph"/>
              <w:spacing w:before="179"/>
              <w:ind w:right="91"/>
              <w:jc w:val="right"/>
              <w:rPr>
                <w:sz w:val="20"/>
              </w:rPr>
            </w:pPr>
            <w:r>
              <w:rPr>
                <w:spacing w:val="-2"/>
                <w:sz w:val="20"/>
              </w:rPr>
              <w:t>25.2%</w:t>
            </w:r>
          </w:p>
        </w:tc>
      </w:tr>
      <w:tr>
        <w:trPr>
          <w:trHeight w:val="609" w:hRule="atLeast"/>
        </w:trPr>
        <w:tc>
          <w:tcPr>
            <w:tcW w:w="1262" w:type="dxa"/>
          </w:tcPr>
          <w:p>
            <w:pPr>
              <w:pStyle w:val="TableParagraph"/>
              <w:spacing w:line="235" w:lineRule="auto" w:before="62"/>
              <w:ind w:left="110"/>
              <w:rPr>
                <w:sz w:val="20"/>
              </w:rPr>
            </w:pPr>
            <w:r>
              <w:rPr>
                <w:spacing w:val="-2"/>
                <w:sz w:val="20"/>
              </w:rPr>
              <w:t>Speech Impairment</w:t>
            </w:r>
          </w:p>
        </w:tc>
        <w:tc>
          <w:tcPr>
            <w:tcW w:w="1262" w:type="dxa"/>
          </w:tcPr>
          <w:p>
            <w:pPr>
              <w:pStyle w:val="TableParagraph"/>
              <w:spacing w:before="179"/>
              <w:ind w:right="97"/>
              <w:jc w:val="right"/>
              <w:rPr>
                <w:sz w:val="20"/>
              </w:rPr>
            </w:pPr>
            <w:r>
              <w:rPr>
                <w:spacing w:val="-5"/>
                <w:sz w:val="20"/>
              </w:rPr>
              <w:t>161</w:t>
            </w:r>
          </w:p>
        </w:tc>
        <w:tc>
          <w:tcPr>
            <w:tcW w:w="1262" w:type="dxa"/>
          </w:tcPr>
          <w:p>
            <w:pPr>
              <w:pStyle w:val="TableParagraph"/>
              <w:spacing w:before="179"/>
              <w:ind w:right="97"/>
              <w:jc w:val="right"/>
              <w:rPr>
                <w:sz w:val="20"/>
              </w:rPr>
            </w:pPr>
            <w:r>
              <w:rPr>
                <w:spacing w:val="-5"/>
                <w:sz w:val="20"/>
              </w:rPr>
              <w:t>67</w:t>
            </w:r>
          </w:p>
        </w:tc>
        <w:tc>
          <w:tcPr>
            <w:tcW w:w="1262" w:type="dxa"/>
          </w:tcPr>
          <w:p>
            <w:pPr>
              <w:pStyle w:val="TableParagraph"/>
              <w:spacing w:before="179"/>
              <w:ind w:right="95"/>
              <w:jc w:val="right"/>
              <w:rPr>
                <w:sz w:val="20"/>
              </w:rPr>
            </w:pPr>
            <w:r>
              <w:rPr>
                <w:w w:val="100"/>
                <w:sz w:val="20"/>
              </w:rPr>
              <w:t>2</w:t>
            </w:r>
          </w:p>
        </w:tc>
        <w:tc>
          <w:tcPr>
            <w:tcW w:w="1262" w:type="dxa"/>
          </w:tcPr>
          <w:p>
            <w:pPr>
              <w:pStyle w:val="TableParagraph"/>
              <w:spacing w:before="179"/>
              <w:ind w:right="96"/>
              <w:jc w:val="right"/>
              <w:rPr>
                <w:sz w:val="20"/>
              </w:rPr>
            </w:pPr>
            <w:r>
              <w:rPr>
                <w:spacing w:val="-5"/>
                <w:sz w:val="20"/>
              </w:rPr>
              <w:t>13</w:t>
            </w:r>
          </w:p>
        </w:tc>
        <w:tc>
          <w:tcPr>
            <w:tcW w:w="1262" w:type="dxa"/>
          </w:tcPr>
          <w:p>
            <w:pPr>
              <w:pStyle w:val="TableParagraph"/>
              <w:spacing w:before="179"/>
              <w:ind w:right="96"/>
              <w:jc w:val="right"/>
              <w:rPr>
                <w:sz w:val="20"/>
              </w:rPr>
            </w:pPr>
            <w:r>
              <w:rPr>
                <w:spacing w:val="-5"/>
                <w:sz w:val="20"/>
              </w:rPr>
              <w:t>243</w:t>
            </w:r>
          </w:p>
        </w:tc>
        <w:tc>
          <w:tcPr>
            <w:tcW w:w="1257" w:type="dxa"/>
          </w:tcPr>
          <w:p>
            <w:pPr>
              <w:pStyle w:val="TableParagraph"/>
              <w:spacing w:before="179"/>
              <w:ind w:right="91"/>
              <w:jc w:val="right"/>
              <w:rPr>
                <w:sz w:val="20"/>
              </w:rPr>
            </w:pPr>
            <w:r>
              <w:rPr>
                <w:spacing w:val="-4"/>
                <w:sz w:val="20"/>
              </w:rPr>
              <w:t>6.9%</w:t>
            </w:r>
          </w:p>
        </w:tc>
      </w:tr>
      <w:tr>
        <w:trPr>
          <w:trHeight w:val="604" w:hRule="atLeast"/>
        </w:trPr>
        <w:tc>
          <w:tcPr>
            <w:tcW w:w="1262" w:type="dxa"/>
          </w:tcPr>
          <w:p>
            <w:pPr>
              <w:pStyle w:val="TableParagraph"/>
              <w:spacing w:line="235" w:lineRule="auto" w:before="62"/>
              <w:ind w:left="110"/>
              <w:rPr>
                <w:sz w:val="20"/>
              </w:rPr>
            </w:pPr>
            <w:r>
              <w:rPr>
                <w:spacing w:val="-2"/>
                <w:sz w:val="20"/>
              </w:rPr>
              <w:t>Moving impairment</w:t>
            </w:r>
          </w:p>
        </w:tc>
        <w:tc>
          <w:tcPr>
            <w:tcW w:w="1262" w:type="dxa"/>
          </w:tcPr>
          <w:p>
            <w:pPr>
              <w:pStyle w:val="TableParagraph"/>
              <w:spacing w:before="179"/>
              <w:ind w:right="97"/>
              <w:jc w:val="right"/>
              <w:rPr>
                <w:sz w:val="20"/>
              </w:rPr>
            </w:pPr>
            <w:r>
              <w:rPr>
                <w:spacing w:val="-5"/>
                <w:sz w:val="20"/>
              </w:rPr>
              <w:t>60</w:t>
            </w:r>
          </w:p>
        </w:tc>
        <w:tc>
          <w:tcPr>
            <w:tcW w:w="1262" w:type="dxa"/>
          </w:tcPr>
          <w:p>
            <w:pPr>
              <w:pStyle w:val="TableParagraph"/>
              <w:spacing w:before="179"/>
              <w:ind w:right="97"/>
              <w:jc w:val="right"/>
              <w:rPr>
                <w:sz w:val="20"/>
              </w:rPr>
            </w:pPr>
            <w:r>
              <w:rPr>
                <w:spacing w:val="-5"/>
                <w:sz w:val="20"/>
              </w:rPr>
              <w:t>52</w:t>
            </w:r>
          </w:p>
        </w:tc>
        <w:tc>
          <w:tcPr>
            <w:tcW w:w="1262" w:type="dxa"/>
          </w:tcPr>
          <w:p>
            <w:pPr>
              <w:pStyle w:val="TableParagraph"/>
              <w:spacing w:before="179"/>
              <w:ind w:right="95"/>
              <w:jc w:val="right"/>
              <w:rPr>
                <w:sz w:val="20"/>
              </w:rPr>
            </w:pPr>
            <w:r>
              <w:rPr>
                <w:w w:val="100"/>
                <w:sz w:val="20"/>
              </w:rPr>
              <w:t>5</w:t>
            </w:r>
          </w:p>
        </w:tc>
        <w:tc>
          <w:tcPr>
            <w:tcW w:w="1262" w:type="dxa"/>
          </w:tcPr>
          <w:p>
            <w:pPr>
              <w:pStyle w:val="TableParagraph"/>
              <w:spacing w:before="179"/>
              <w:ind w:right="95"/>
              <w:jc w:val="right"/>
              <w:rPr>
                <w:sz w:val="20"/>
              </w:rPr>
            </w:pPr>
            <w:r>
              <w:rPr>
                <w:w w:val="100"/>
                <w:sz w:val="20"/>
              </w:rPr>
              <w:t>3</w:t>
            </w:r>
          </w:p>
        </w:tc>
        <w:tc>
          <w:tcPr>
            <w:tcW w:w="1262" w:type="dxa"/>
          </w:tcPr>
          <w:p>
            <w:pPr>
              <w:pStyle w:val="TableParagraph"/>
              <w:spacing w:before="179"/>
              <w:ind w:right="96"/>
              <w:jc w:val="right"/>
              <w:rPr>
                <w:sz w:val="20"/>
              </w:rPr>
            </w:pPr>
            <w:r>
              <w:rPr>
                <w:spacing w:val="-5"/>
                <w:sz w:val="20"/>
              </w:rPr>
              <w:t>120</w:t>
            </w:r>
          </w:p>
        </w:tc>
        <w:tc>
          <w:tcPr>
            <w:tcW w:w="1257" w:type="dxa"/>
          </w:tcPr>
          <w:p>
            <w:pPr>
              <w:pStyle w:val="TableParagraph"/>
              <w:spacing w:before="179"/>
              <w:ind w:right="91"/>
              <w:jc w:val="right"/>
              <w:rPr>
                <w:sz w:val="20"/>
              </w:rPr>
            </w:pPr>
            <w:r>
              <w:rPr>
                <w:spacing w:val="-4"/>
                <w:sz w:val="20"/>
              </w:rPr>
              <w:t>3.4%</w:t>
            </w:r>
          </w:p>
        </w:tc>
      </w:tr>
      <w:tr>
        <w:trPr>
          <w:trHeight w:val="609" w:hRule="atLeast"/>
        </w:trPr>
        <w:tc>
          <w:tcPr>
            <w:tcW w:w="1262" w:type="dxa"/>
          </w:tcPr>
          <w:p>
            <w:pPr>
              <w:pStyle w:val="TableParagraph"/>
              <w:spacing w:before="59"/>
              <w:ind w:left="110"/>
              <w:rPr>
                <w:sz w:val="20"/>
              </w:rPr>
            </w:pPr>
            <w:r>
              <w:rPr>
                <w:spacing w:val="-2"/>
                <w:sz w:val="20"/>
              </w:rPr>
              <w:t>Gripping impairment</w:t>
            </w:r>
          </w:p>
        </w:tc>
        <w:tc>
          <w:tcPr>
            <w:tcW w:w="1262" w:type="dxa"/>
          </w:tcPr>
          <w:p>
            <w:pPr>
              <w:pStyle w:val="TableParagraph"/>
              <w:rPr>
                <w:i/>
                <w:sz w:val="15"/>
              </w:rPr>
            </w:pPr>
          </w:p>
          <w:p>
            <w:pPr>
              <w:pStyle w:val="TableParagraph"/>
              <w:ind w:right="97"/>
              <w:jc w:val="right"/>
              <w:rPr>
                <w:sz w:val="20"/>
              </w:rPr>
            </w:pPr>
            <w:r>
              <w:rPr>
                <w:spacing w:val="-5"/>
                <w:sz w:val="20"/>
              </w:rPr>
              <w:t>50</w:t>
            </w:r>
          </w:p>
        </w:tc>
        <w:tc>
          <w:tcPr>
            <w:tcW w:w="1262" w:type="dxa"/>
          </w:tcPr>
          <w:p>
            <w:pPr>
              <w:pStyle w:val="TableParagraph"/>
              <w:rPr>
                <w:i/>
                <w:sz w:val="15"/>
              </w:rPr>
            </w:pPr>
          </w:p>
          <w:p>
            <w:pPr>
              <w:pStyle w:val="TableParagraph"/>
              <w:ind w:right="97"/>
              <w:jc w:val="right"/>
              <w:rPr>
                <w:sz w:val="20"/>
              </w:rPr>
            </w:pPr>
            <w:r>
              <w:rPr>
                <w:spacing w:val="-5"/>
                <w:sz w:val="20"/>
              </w:rPr>
              <w:t>34</w:t>
            </w:r>
          </w:p>
        </w:tc>
        <w:tc>
          <w:tcPr>
            <w:tcW w:w="1262" w:type="dxa"/>
          </w:tcPr>
          <w:p>
            <w:pPr>
              <w:pStyle w:val="TableParagraph"/>
              <w:rPr>
                <w:i/>
                <w:sz w:val="15"/>
              </w:rPr>
            </w:pPr>
          </w:p>
          <w:p>
            <w:pPr>
              <w:pStyle w:val="TableParagraph"/>
              <w:ind w:right="97"/>
              <w:jc w:val="right"/>
              <w:rPr>
                <w:sz w:val="20"/>
              </w:rPr>
            </w:pPr>
            <w:r>
              <w:rPr>
                <w:w w:val="100"/>
                <w:sz w:val="20"/>
              </w:rPr>
              <w:t>-</w:t>
            </w:r>
          </w:p>
        </w:tc>
        <w:tc>
          <w:tcPr>
            <w:tcW w:w="1262" w:type="dxa"/>
          </w:tcPr>
          <w:p>
            <w:pPr>
              <w:pStyle w:val="TableParagraph"/>
              <w:rPr>
                <w:i/>
                <w:sz w:val="15"/>
              </w:rPr>
            </w:pPr>
          </w:p>
          <w:p>
            <w:pPr>
              <w:pStyle w:val="TableParagraph"/>
              <w:ind w:right="95"/>
              <w:jc w:val="right"/>
              <w:rPr>
                <w:sz w:val="20"/>
              </w:rPr>
            </w:pPr>
            <w:r>
              <w:rPr>
                <w:w w:val="100"/>
                <w:sz w:val="20"/>
              </w:rPr>
              <w:t>2</w:t>
            </w:r>
          </w:p>
        </w:tc>
        <w:tc>
          <w:tcPr>
            <w:tcW w:w="1262" w:type="dxa"/>
          </w:tcPr>
          <w:p>
            <w:pPr>
              <w:pStyle w:val="TableParagraph"/>
              <w:rPr>
                <w:i/>
                <w:sz w:val="15"/>
              </w:rPr>
            </w:pPr>
          </w:p>
          <w:p>
            <w:pPr>
              <w:pStyle w:val="TableParagraph"/>
              <w:ind w:right="96"/>
              <w:jc w:val="right"/>
              <w:rPr>
                <w:sz w:val="20"/>
              </w:rPr>
            </w:pPr>
            <w:r>
              <w:rPr>
                <w:spacing w:val="-5"/>
                <w:sz w:val="20"/>
              </w:rPr>
              <w:t>86</w:t>
            </w:r>
          </w:p>
        </w:tc>
        <w:tc>
          <w:tcPr>
            <w:tcW w:w="1257" w:type="dxa"/>
          </w:tcPr>
          <w:p>
            <w:pPr>
              <w:pStyle w:val="TableParagraph"/>
              <w:rPr>
                <w:i/>
                <w:sz w:val="15"/>
              </w:rPr>
            </w:pPr>
          </w:p>
          <w:p>
            <w:pPr>
              <w:pStyle w:val="TableParagraph"/>
              <w:ind w:right="91"/>
              <w:jc w:val="right"/>
              <w:rPr>
                <w:sz w:val="20"/>
              </w:rPr>
            </w:pPr>
            <w:r>
              <w:rPr>
                <w:spacing w:val="-4"/>
                <w:sz w:val="20"/>
              </w:rPr>
              <w:t>2.4%</w:t>
            </w:r>
          </w:p>
        </w:tc>
      </w:tr>
      <w:tr>
        <w:trPr>
          <w:trHeight w:val="609" w:hRule="atLeast"/>
        </w:trPr>
        <w:tc>
          <w:tcPr>
            <w:tcW w:w="1262" w:type="dxa"/>
          </w:tcPr>
          <w:p>
            <w:pPr>
              <w:pStyle w:val="TableParagraph"/>
              <w:spacing w:before="59"/>
              <w:ind w:left="110"/>
              <w:rPr>
                <w:sz w:val="20"/>
              </w:rPr>
            </w:pPr>
            <w:r>
              <w:rPr>
                <w:spacing w:val="-2"/>
                <w:sz w:val="20"/>
              </w:rPr>
              <w:t>Mental Disability</w:t>
            </w:r>
          </w:p>
        </w:tc>
        <w:tc>
          <w:tcPr>
            <w:tcW w:w="1262" w:type="dxa"/>
          </w:tcPr>
          <w:p>
            <w:pPr>
              <w:pStyle w:val="TableParagraph"/>
              <w:rPr>
                <w:i/>
                <w:sz w:val="15"/>
              </w:rPr>
            </w:pPr>
          </w:p>
          <w:p>
            <w:pPr>
              <w:pStyle w:val="TableParagraph"/>
              <w:ind w:right="97"/>
              <w:jc w:val="right"/>
              <w:rPr>
                <w:sz w:val="20"/>
              </w:rPr>
            </w:pPr>
            <w:r>
              <w:rPr>
                <w:spacing w:val="-5"/>
                <w:sz w:val="20"/>
              </w:rPr>
              <w:t>61</w:t>
            </w:r>
          </w:p>
        </w:tc>
        <w:tc>
          <w:tcPr>
            <w:tcW w:w="1262" w:type="dxa"/>
          </w:tcPr>
          <w:p>
            <w:pPr>
              <w:pStyle w:val="TableParagraph"/>
              <w:rPr>
                <w:i/>
                <w:sz w:val="15"/>
              </w:rPr>
            </w:pPr>
          </w:p>
          <w:p>
            <w:pPr>
              <w:pStyle w:val="TableParagraph"/>
              <w:ind w:right="97"/>
              <w:jc w:val="right"/>
              <w:rPr>
                <w:sz w:val="20"/>
              </w:rPr>
            </w:pPr>
            <w:r>
              <w:rPr>
                <w:spacing w:val="-5"/>
                <w:sz w:val="20"/>
              </w:rPr>
              <w:t>53</w:t>
            </w:r>
          </w:p>
        </w:tc>
        <w:tc>
          <w:tcPr>
            <w:tcW w:w="1262" w:type="dxa"/>
          </w:tcPr>
          <w:p>
            <w:pPr>
              <w:pStyle w:val="TableParagraph"/>
              <w:rPr>
                <w:i/>
                <w:sz w:val="15"/>
              </w:rPr>
            </w:pPr>
          </w:p>
          <w:p>
            <w:pPr>
              <w:pStyle w:val="TableParagraph"/>
              <w:ind w:right="97"/>
              <w:jc w:val="right"/>
              <w:rPr>
                <w:sz w:val="20"/>
              </w:rPr>
            </w:pPr>
            <w:r>
              <w:rPr>
                <w:w w:val="100"/>
                <w:sz w:val="20"/>
              </w:rPr>
              <w:t>-</w:t>
            </w:r>
          </w:p>
        </w:tc>
        <w:tc>
          <w:tcPr>
            <w:tcW w:w="1262" w:type="dxa"/>
          </w:tcPr>
          <w:p>
            <w:pPr>
              <w:pStyle w:val="TableParagraph"/>
              <w:spacing w:before="182"/>
              <w:ind w:right="96"/>
              <w:jc w:val="right"/>
              <w:rPr>
                <w:rFonts w:ascii="Times New Roman"/>
                <w:sz w:val="20"/>
              </w:rPr>
            </w:pPr>
            <w:r>
              <w:rPr>
                <w:rFonts w:ascii="Times New Roman"/>
                <w:w w:val="100"/>
                <w:sz w:val="20"/>
              </w:rPr>
              <w:t>-</w:t>
            </w:r>
          </w:p>
        </w:tc>
        <w:tc>
          <w:tcPr>
            <w:tcW w:w="1262" w:type="dxa"/>
          </w:tcPr>
          <w:p>
            <w:pPr>
              <w:pStyle w:val="TableParagraph"/>
              <w:rPr>
                <w:i/>
                <w:sz w:val="15"/>
              </w:rPr>
            </w:pPr>
          </w:p>
          <w:p>
            <w:pPr>
              <w:pStyle w:val="TableParagraph"/>
              <w:ind w:right="96"/>
              <w:jc w:val="right"/>
              <w:rPr>
                <w:sz w:val="20"/>
              </w:rPr>
            </w:pPr>
            <w:r>
              <w:rPr>
                <w:spacing w:val="-5"/>
                <w:sz w:val="20"/>
              </w:rPr>
              <w:t>114</w:t>
            </w:r>
          </w:p>
        </w:tc>
        <w:tc>
          <w:tcPr>
            <w:tcW w:w="1257" w:type="dxa"/>
          </w:tcPr>
          <w:p>
            <w:pPr>
              <w:pStyle w:val="TableParagraph"/>
              <w:rPr>
                <w:i/>
                <w:sz w:val="15"/>
              </w:rPr>
            </w:pPr>
          </w:p>
          <w:p>
            <w:pPr>
              <w:pStyle w:val="TableParagraph"/>
              <w:ind w:right="91"/>
              <w:jc w:val="right"/>
              <w:rPr>
                <w:sz w:val="20"/>
              </w:rPr>
            </w:pPr>
            <w:r>
              <w:rPr>
                <w:spacing w:val="-4"/>
                <w:sz w:val="20"/>
              </w:rPr>
              <w:t>3.2%</w:t>
            </w:r>
          </w:p>
        </w:tc>
      </w:tr>
      <w:tr>
        <w:trPr>
          <w:trHeight w:val="609" w:hRule="atLeast"/>
        </w:trPr>
        <w:tc>
          <w:tcPr>
            <w:tcW w:w="1262" w:type="dxa"/>
          </w:tcPr>
          <w:p>
            <w:pPr>
              <w:pStyle w:val="TableParagraph"/>
              <w:spacing w:line="235" w:lineRule="auto" w:before="62"/>
              <w:ind w:left="110"/>
              <w:rPr>
                <w:sz w:val="20"/>
              </w:rPr>
            </w:pPr>
            <w:r>
              <w:rPr>
                <w:spacing w:val="-2"/>
                <w:sz w:val="20"/>
              </w:rPr>
              <w:t>Learning Disability</w:t>
            </w:r>
          </w:p>
        </w:tc>
        <w:tc>
          <w:tcPr>
            <w:tcW w:w="1262" w:type="dxa"/>
          </w:tcPr>
          <w:p>
            <w:pPr>
              <w:pStyle w:val="TableParagraph"/>
              <w:spacing w:before="179"/>
              <w:ind w:right="97"/>
              <w:jc w:val="right"/>
              <w:rPr>
                <w:sz w:val="20"/>
              </w:rPr>
            </w:pPr>
            <w:r>
              <w:rPr>
                <w:spacing w:val="-5"/>
                <w:sz w:val="20"/>
              </w:rPr>
              <w:t>537</w:t>
            </w:r>
          </w:p>
        </w:tc>
        <w:tc>
          <w:tcPr>
            <w:tcW w:w="1262" w:type="dxa"/>
          </w:tcPr>
          <w:p>
            <w:pPr>
              <w:pStyle w:val="TableParagraph"/>
              <w:spacing w:before="179"/>
              <w:ind w:right="97"/>
              <w:jc w:val="right"/>
              <w:rPr>
                <w:sz w:val="20"/>
              </w:rPr>
            </w:pPr>
            <w:r>
              <w:rPr>
                <w:spacing w:val="-5"/>
                <w:sz w:val="20"/>
              </w:rPr>
              <w:t>477</w:t>
            </w:r>
          </w:p>
        </w:tc>
        <w:tc>
          <w:tcPr>
            <w:tcW w:w="1262" w:type="dxa"/>
          </w:tcPr>
          <w:p>
            <w:pPr>
              <w:pStyle w:val="TableParagraph"/>
              <w:spacing w:before="179"/>
              <w:ind w:right="96"/>
              <w:jc w:val="right"/>
              <w:rPr>
                <w:sz w:val="20"/>
              </w:rPr>
            </w:pPr>
            <w:r>
              <w:rPr>
                <w:spacing w:val="-5"/>
                <w:sz w:val="20"/>
              </w:rPr>
              <w:t>35</w:t>
            </w:r>
          </w:p>
        </w:tc>
        <w:tc>
          <w:tcPr>
            <w:tcW w:w="1262" w:type="dxa"/>
          </w:tcPr>
          <w:p>
            <w:pPr>
              <w:pStyle w:val="TableParagraph"/>
              <w:spacing w:before="179"/>
              <w:ind w:right="97"/>
              <w:jc w:val="right"/>
              <w:rPr>
                <w:sz w:val="20"/>
              </w:rPr>
            </w:pPr>
            <w:r>
              <w:rPr>
                <w:w w:val="100"/>
                <w:sz w:val="20"/>
              </w:rPr>
              <w:t>-</w:t>
            </w:r>
          </w:p>
        </w:tc>
        <w:tc>
          <w:tcPr>
            <w:tcW w:w="1262" w:type="dxa"/>
          </w:tcPr>
          <w:p>
            <w:pPr>
              <w:pStyle w:val="TableParagraph"/>
              <w:spacing w:before="179"/>
              <w:ind w:right="96"/>
              <w:jc w:val="right"/>
              <w:rPr>
                <w:sz w:val="20"/>
              </w:rPr>
            </w:pPr>
            <w:r>
              <w:rPr>
                <w:spacing w:val="-2"/>
                <w:sz w:val="20"/>
              </w:rPr>
              <w:t>1,049</w:t>
            </w:r>
          </w:p>
        </w:tc>
        <w:tc>
          <w:tcPr>
            <w:tcW w:w="1257" w:type="dxa"/>
          </w:tcPr>
          <w:p>
            <w:pPr>
              <w:pStyle w:val="TableParagraph"/>
              <w:spacing w:before="179"/>
              <w:ind w:right="91"/>
              <w:jc w:val="right"/>
              <w:rPr>
                <w:sz w:val="20"/>
              </w:rPr>
            </w:pPr>
            <w:r>
              <w:rPr>
                <w:spacing w:val="-2"/>
                <w:sz w:val="20"/>
              </w:rPr>
              <w:t>30.0%</w:t>
            </w:r>
          </w:p>
        </w:tc>
      </w:tr>
      <w:tr>
        <w:trPr>
          <w:trHeight w:val="609" w:hRule="atLeast"/>
        </w:trPr>
        <w:tc>
          <w:tcPr>
            <w:tcW w:w="1262" w:type="dxa"/>
          </w:tcPr>
          <w:p>
            <w:pPr>
              <w:pStyle w:val="TableParagraph"/>
              <w:spacing w:line="235" w:lineRule="auto" w:before="62"/>
              <w:ind w:left="110"/>
              <w:rPr>
                <w:sz w:val="20"/>
              </w:rPr>
            </w:pPr>
            <w:r>
              <w:rPr>
                <w:spacing w:val="-2"/>
                <w:sz w:val="20"/>
              </w:rPr>
              <w:t>Other Disability</w:t>
            </w:r>
          </w:p>
        </w:tc>
        <w:tc>
          <w:tcPr>
            <w:tcW w:w="1262" w:type="dxa"/>
          </w:tcPr>
          <w:p>
            <w:pPr>
              <w:pStyle w:val="TableParagraph"/>
              <w:spacing w:before="179"/>
              <w:ind w:right="97"/>
              <w:jc w:val="right"/>
              <w:rPr>
                <w:sz w:val="20"/>
              </w:rPr>
            </w:pPr>
            <w:r>
              <w:rPr>
                <w:spacing w:val="-5"/>
                <w:sz w:val="20"/>
              </w:rPr>
              <w:t>47</w:t>
            </w:r>
          </w:p>
        </w:tc>
        <w:tc>
          <w:tcPr>
            <w:tcW w:w="1262" w:type="dxa"/>
          </w:tcPr>
          <w:p>
            <w:pPr>
              <w:pStyle w:val="TableParagraph"/>
              <w:spacing w:before="179"/>
              <w:ind w:right="97"/>
              <w:jc w:val="right"/>
              <w:rPr>
                <w:sz w:val="20"/>
              </w:rPr>
            </w:pPr>
            <w:r>
              <w:rPr>
                <w:spacing w:val="-5"/>
                <w:sz w:val="20"/>
              </w:rPr>
              <w:t>510</w:t>
            </w:r>
          </w:p>
        </w:tc>
        <w:tc>
          <w:tcPr>
            <w:tcW w:w="1262" w:type="dxa"/>
          </w:tcPr>
          <w:p>
            <w:pPr>
              <w:pStyle w:val="TableParagraph"/>
              <w:spacing w:before="179"/>
              <w:ind w:right="97"/>
              <w:jc w:val="right"/>
              <w:rPr>
                <w:sz w:val="20"/>
              </w:rPr>
            </w:pPr>
            <w:r>
              <w:rPr>
                <w:w w:val="100"/>
                <w:sz w:val="20"/>
              </w:rPr>
              <w:t>-</w:t>
            </w:r>
          </w:p>
        </w:tc>
        <w:tc>
          <w:tcPr>
            <w:tcW w:w="1262" w:type="dxa"/>
          </w:tcPr>
          <w:p>
            <w:pPr>
              <w:pStyle w:val="TableParagraph"/>
              <w:spacing w:before="182"/>
              <w:ind w:right="96"/>
              <w:jc w:val="right"/>
              <w:rPr>
                <w:rFonts w:ascii="Times New Roman"/>
                <w:sz w:val="20"/>
              </w:rPr>
            </w:pPr>
            <w:r>
              <w:rPr>
                <w:rFonts w:ascii="Times New Roman"/>
                <w:w w:val="100"/>
                <w:sz w:val="20"/>
              </w:rPr>
              <w:t>-</w:t>
            </w:r>
          </w:p>
        </w:tc>
        <w:tc>
          <w:tcPr>
            <w:tcW w:w="1262" w:type="dxa"/>
          </w:tcPr>
          <w:p>
            <w:pPr>
              <w:pStyle w:val="TableParagraph"/>
              <w:spacing w:before="179"/>
              <w:ind w:right="96"/>
              <w:jc w:val="right"/>
              <w:rPr>
                <w:sz w:val="20"/>
              </w:rPr>
            </w:pPr>
            <w:r>
              <w:rPr>
                <w:spacing w:val="-5"/>
                <w:sz w:val="20"/>
              </w:rPr>
              <w:t>557</w:t>
            </w:r>
          </w:p>
        </w:tc>
        <w:tc>
          <w:tcPr>
            <w:tcW w:w="1257" w:type="dxa"/>
          </w:tcPr>
          <w:p>
            <w:pPr>
              <w:pStyle w:val="TableParagraph"/>
              <w:spacing w:before="179"/>
              <w:ind w:right="91"/>
              <w:jc w:val="right"/>
              <w:rPr>
                <w:sz w:val="20"/>
              </w:rPr>
            </w:pPr>
            <w:r>
              <w:rPr>
                <w:spacing w:val="-2"/>
                <w:sz w:val="20"/>
              </w:rPr>
              <w:t>15.9%</w:t>
            </w:r>
          </w:p>
        </w:tc>
      </w:tr>
      <w:tr>
        <w:trPr>
          <w:trHeight w:val="604" w:hRule="atLeast"/>
        </w:trPr>
        <w:tc>
          <w:tcPr>
            <w:tcW w:w="1262" w:type="dxa"/>
          </w:tcPr>
          <w:p>
            <w:pPr>
              <w:pStyle w:val="TableParagraph"/>
              <w:spacing w:line="235" w:lineRule="auto" w:before="62"/>
              <w:ind w:left="110"/>
              <w:rPr>
                <w:sz w:val="20"/>
              </w:rPr>
            </w:pPr>
            <w:r>
              <w:rPr>
                <w:spacing w:val="-2"/>
                <w:sz w:val="20"/>
              </w:rPr>
              <w:t>Multiple Disabilities</w:t>
            </w:r>
          </w:p>
        </w:tc>
        <w:tc>
          <w:tcPr>
            <w:tcW w:w="1262" w:type="dxa"/>
          </w:tcPr>
          <w:p>
            <w:pPr>
              <w:pStyle w:val="TableParagraph"/>
              <w:spacing w:before="179"/>
              <w:ind w:right="97"/>
              <w:jc w:val="right"/>
              <w:rPr>
                <w:sz w:val="20"/>
              </w:rPr>
            </w:pPr>
            <w:r>
              <w:rPr>
                <w:spacing w:val="-5"/>
                <w:sz w:val="20"/>
              </w:rPr>
              <w:t>40</w:t>
            </w:r>
          </w:p>
        </w:tc>
        <w:tc>
          <w:tcPr>
            <w:tcW w:w="1262" w:type="dxa"/>
          </w:tcPr>
          <w:p>
            <w:pPr>
              <w:pStyle w:val="TableParagraph"/>
              <w:spacing w:before="179"/>
              <w:ind w:right="97"/>
              <w:jc w:val="right"/>
              <w:rPr>
                <w:sz w:val="20"/>
              </w:rPr>
            </w:pPr>
            <w:r>
              <w:rPr>
                <w:spacing w:val="-5"/>
                <w:sz w:val="20"/>
              </w:rPr>
              <w:t>44</w:t>
            </w:r>
          </w:p>
        </w:tc>
        <w:tc>
          <w:tcPr>
            <w:tcW w:w="1262" w:type="dxa"/>
          </w:tcPr>
          <w:p>
            <w:pPr>
              <w:pStyle w:val="TableParagraph"/>
              <w:spacing w:before="179"/>
              <w:ind w:right="97"/>
              <w:jc w:val="right"/>
              <w:rPr>
                <w:sz w:val="20"/>
              </w:rPr>
            </w:pPr>
            <w:r>
              <w:rPr>
                <w:w w:val="100"/>
                <w:sz w:val="20"/>
              </w:rPr>
              <w:t>-</w:t>
            </w:r>
          </w:p>
        </w:tc>
        <w:tc>
          <w:tcPr>
            <w:tcW w:w="1262" w:type="dxa"/>
          </w:tcPr>
          <w:p>
            <w:pPr>
              <w:pStyle w:val="TableParagraph"/>
              <w:spacing w:before="182"/>
              <w:ind w:right="96"/>
              <w:jc w:val="right"/>
              <w:rPr>
                <w:rFonts w:ascii="Times New Roman"/>
                <w:sz w:val="20"/>
              </w:rPr>
            </w:pPr>
            <w:r>
              <w:rPr>
                <w:rFonts w:ascii="Times New Roman"/>
                <w:w w:val="100"/>
                <w:sz w:val="20"/>
              </w:rPr>
              <w:t>-</w:t>
            </w:r>
          </w:p>
        </w:tc>
        <w:tc>
          <w:tcPr>
            <w:tcW w:w="1262" w:type="dxa"/>
          </w:tcPr>
          <w:p>
            <w:pPr>
              <w:pStyle w:val="TableParagraph"/>
              <w:spacing w:before="179"/>
              <w:ind w:right="96"/>
              <w:jc w:val="right"/>
              <w:rPr>
                <w:sz w:val="20"/>
              </w:rPr>
            </w:pPr>
            <w:r>
              <w:rPr>
                <w:spacing w:val="-5"/>
                <w:sz w:val="20"/>
              </w:rPr>
              <w:t>84</w:t>
            </w:r>
          </w:p>
        </w:tc>
        <w:tc>
          <w:tcPr>
            <w:tcW w:w="1257" w:type="dxa"/>
          </w:tcPr>
          <w:p>
            <w:pPr>
              <w:pStyle w:val="TableParagraph"/>
              <w:spacing w:before="179"/>
              <w:ind w:right="91"/>
              <w:jc w:val="right"/>
              <w:rPr>
                <w:sz w:val="20"/>
              </w:rPr>
            </w:pPr>
            <w:r>
              <w:rPr>
                <w:spacing w:val="-4"/>
                <w:sz w:val="20"/>
              </w:rPr>
              <w:t>2.4%</w:t>
            </w:r>
          </w:p>
        </w:tc>
      </w:tr>
      <w:tr>
        <w:trPr>
          <w:trHeight w:val="364" w:hRule="atLeast"/>
        </w:trPr>
        <w:tc>
          <w:tcPr>
            <w:tcW w:w="1262" w:type="dxa"/>
          </w:tcPr>
          <w:p>
            <w:pPr>
              <w:pStyle w:val="TableParagraph"/>
              <w:spacing w:before="59"/>
              <w:ind w:left="110"/>
              <w:rPr>
                <w:b/>
                <w:sz w:val="20"/>
              </w:rPr>
            </w:pPr>
            <w:r>
              <w:rPr>
                <w:b/>
                <w:spacing w:val="-2"/>
                <w:sz w:val="20"/>
              </w:rPr>
              <w:t>Total</w:t>
            </w:r>
          </w:p>
        </w:tc>
        <w:tc>
          <w:tcPr>
            <w:tcW w:w="1262" w:type="dxa"/>
          </w:tcPr>
          <w:p>
            <w:pPr>
              <w:pStyle w:val="TableParagraph"/>
              <w:spacing w:before="59"/>
              <w:ind w:right="97"/>
              <w:jc w:val="right"/>
              <w:rPr>
                <w:b/>
                <w:sz w:val="20"/>
              </w:rPr>
            </w:pPr>
            <w:r>
              <w:rPr>
                <w:b/>
                <w:spacing w:val="-2"/>
                <w:sz w:val="20"/>
              </w:rPr>
              <w:t>1,532</w:t>
            </w:r>
          </w:p>
        </w:tc>
        <w:tc>
          <w:tcPr>
            <w:tcW w:w="1262" w:type="dxa"/>
          </w:tcPr>
          <w:p>
            <w:pPr>
              <w:pStyle w:val="TableParagraph"/>
              <w:spacing w:before="59"/>
              <w:ind w:right="97"/>
              <w:jc w:val="right"/>
              <w:rPr>
                <w:b/>
                <w:sz w:val="20"/>
              </w:rPr>
            </w:pPr>
            <w:r>
              <w:rPr>
                <w:b/>
                <w:spacing w:val="-2"/>
                <w:sz w:val="20"/>
              </w:rPr>
              <w:t>1,796</w:t>
            </w:r>
          </w:p>
        </w:tc>
        <w:tc>
          <w:tcPr>
            <w:tcW w:w="1262" w:type="dxa"/>
          </w:tcPr>
          <w:p>
            <w:pPr>
              <w:pStyle w:val="TableParagraph"/>
              <w:spacing w:before="59"/>
              <w:ind w:right="97"/>
              <w:jc w:val="right"/>
              <w:rPr>
                <w:b/>
                <w:sz w:val="20"/>
              </w:rPr>
            </w:pPr>
            <w:r>
              <w:rPr>
                <w:b/>
                <w:spacing w:val="-5"/>
                <w:sz w:val="20"/>
              </w:rPr>
              <w:t>91</w:t>
            </w:r>
          </w:p>
        </w:tc>
        <w:tc>
          <w:tcPr>
            <w:tcW w:w="1262" w:type="dxa"/>
          </w:tcPr>
          <w:p>
            <w:pPr>
              <w:pStyle w:val="TableParagraph"/>
              <w:spacing w:before="59"/>
              <w:ind w:right="96"/>
              <w:jc w:val="right"/>
              <w:rPr>
                <w:b/>
                <w:sz w:val="20"/>
              </w:rPr>
            </w:pPr>
            <w:r>
              <w:rPr>
                <w:b/>
                <w:spacing w:val="-5"/>
                <w:sz w:val="20"/>
              </w:rPr>
              <w:t>74</w:t>
            </w:r>
          </w:p>
        </w:tc>
        <w:tc>
          <w:tcPr>
            <w:tcW w:w="1262" w:type="dxa"/>
          </w:tcPr>
          <w:p>
            <w:pPr>
              <w:pStyle w:val="TableParagraph"/>
              <w:spacing w:before="59"/>
              <w:ind w:right="96"/>
              <w:jc w:val="right"/>
              <w:rPr>
                <w:b/>
                <w:sz w:val="20"/>
              </w:rPr>
            </w:pPr>
            <w:r>
              <w:rPr>
                <w:b/>
                <w:spacing w:val="-2"/>
                <w:sz w:val="20"/>
              </w:rPr>
              <w:t>3,493</w:t>
            </w:r>
          </w:p>
        </w:tc>
        <w:tc>
          <w:tcPr>
            <w:tcW w:w="1257" w:type="dxa"/>
          </w:tcPr>
          <w:p>
            <w:pPr>
              <w:pStyle w:val="TableParagraph"/>
              <w:spacing w:before="59"/>
              <w:ind w:right="94"/>
              <w:jc w:val="right"/>
              <w:rPr>
                <w:b/>
                <w:sz w:val="20"/>
              </w:rPr>
            </w:pPr>
            <w:r>
              <w:rPr>
                <w:b/>
                <w:spacing w:val="-4"/>
                <w:sz w:val="20"/>
              </w:rPr>
              <w:t>100%</w:t>
            </w:r>
          </w:p>
        </w:tc>
      </w:tr>
    </w:tbl>
    <w:p>
      <w:pPr>
        <w:pStyle w:val="BodyText"/>
        <w:rPr>
          <w:i/>
        </w:rPr>
      </w:pPr>
    </w:p>
    <w:p>
      <w:pPr>
        <w:pStyle w:val="BodyText"/>
        <w:spacing w:before="1"/>
        <w:rPr>
          <w:i/>
          <w:sz w:val="20"/>
        </w:rPr>
      </w:pPr>
    </w:p>
    <w:p>
      <w:pPr>
        <w:pStyle w:val="BodyText"/>
        <w:ind w:left="1120" w:right="1176"/>
        <w:jc w:val="both"/>
      </w:pPr>
      <w:r>
        <w:rPr/>
        <w:t>Improved procedures for disability data collection will be implemented by MEHRD during 2017 and 2018. The approval of the draft </w:t>
      </w:r>
      <w:r>
        <w:rPr>
          <w:i/>
        </w:rPr>
        <w:t>Solomon Islands</w:t>
      </w:r>
      <w:r>
        <w:rPr>
          <w:i/>
          <w:spacing w:val="-3"/>
        </w:rPr>
        <w:t> </w:t>
      </w:r>
      <w:r>
        <w:rPr>
          <w:i/>
        </w:rPr>
        <w:t>Inclusive Education Disability Policy </w:t>
      </w:r>
      <w:r>
        <w:rPr/>
        <w:t>will support this process.</w:t>
      </w:r>
      <w:r>
        <w:rPr>
          <w:spacing w:val="-8"/>
        </w:rPr>
        <w:t> </w:t>
      </w:r>
      <w:r>
        <w:rPr/>
        <w:t>As</w:t>
      </w:r>
      <w:r>
        <w:rPr>
          <w:spacing w:val="-10"/>
        </w:rPr>
        <w:t> </w:t>
      </w:r>
      <w:r>
        <w:rPr/>
        <w:t>part</w:t>
      </w:r>
      <w:r>
        <w:rPr>
          <w:spacing w:val="-12"/>
        </w:rPr>
        <w:t> </w:t>
      </w:r>
      <w:r>
        <w:rPr/>
        <w:t>of</w:t>
      </w:r>
      <w:r>
        <w:rPr>
          <w:spacing w:val="-10"/>
        </w:rPr>
        <w:t> </w:t>
      </w:r>
      <w:r>
        <w:rPr/>
        <w:t>the</w:t>
      </w:r>
      <w:r>
        <w:rPr>
          <w:spacing w:val="-9"/>
        </w:rPr>
        <w:t> </w:t>
      </w:r>
      <w:r>
        <w:rPr/>
        <w:t>improvement</w:t>
      </w:r>
      <w:r>
        <w:rPr>
          <w:spacing w:val="-12"/>
        </w:rPr>
        <w:t> </w:t>
      </w:r>
      <w:r>
        <w:rPr/>
        <w:t>process</w:t>
      </w:r>
      <w:r>
        <w:rPr>
          <w:spacing w:val="-10"/>
        </w:rPr>
        <w:t> </w:t>
      </w:r>
      <w:r>
        <w:rPr/>
        <w:t>formal</w:t>
      </w:r>
      <w:r>
        <w:rPr>
          <w:spacing w:val="-8"/>
        </w:rPr>
        <w:t> </w:t>
      </w:r>
      <w:r>
        <w:rPr/>
        <w:t>definitions</w:t>
      </w:r>
      <w:r>
        <w:rPr>
          <w:spacing w:val="-10"/>
        </w:rPr>
        <w:t> </w:t>
      </w:r>
      <w:r>
        <w:rPr/>
        <w:t>of</w:t>
      </w:r>
      <w:r>
        <w:rPr>
          <w:spacing w:val="-10"/>
        </w:rPr>
        <w:t> </w:t>
      </w:r>
      <w:r>
        <w:rPr/>
        <w:t>the</w:t>
      </w:r>
      <w:r>
        <w:rPr>
          <w:spacing w:val="-9"/>
        </w:rPr>
        <w:t> </w:t>
      </w:r>
      <w:r>
        <w:rPr/>
        <w:t>different</w:t>
      </w:r>
      <w:r>
        <w:rPr>
          <w:spacing w:val="-12"/>
        </w:rPr>
        <w:t> </w:t>
      </w:r>
      <w:r>
        <w:rPr/>
        <w:t>categories</w:t>
      </w:r>
      <w:r>
        <w:rPr>
          <w:spacing w:val="-10"/>
        </w:rPr>
        <w:t> </w:t>
      </w:r>
      <w:r>
        <w:rPr/>
        <w:t>of</w:t>
      </w:r>
      <w:r>
        <w:rPr>
          <w:spacing w:val="-10"/>
        </w:rPr>
        <w:t> </w:t>
      </w:r>
      <w:r>
        <w:rPr/>
        <w:t>disability will</w:t>
      </w:r>
      <w:r>
        <w:rPr>
          <w:spacing w:val="-5"/>
        </w:rPr>
        <w:t> </w:t>
      </w:r>
      <w:r>
        <w:rPr/>
        <w:t>need</w:t>
      </w:r>
      <w:r>
        <w:rPr>
          <w:spacing w:val="-8"/>
        </w:rPr>
        <w:t> </w:t>
      </w:r>
      <w:r>
        <w:rPr/>
        <w:t>to</w:t>
      </w:r>
      <w:r>
        <w:rPr>
          <w:spacing w:val="-3"/>
        </w:rPr>
        <w:t> </w:t>
      </w:r>
      <w:r>
        <w:rPr/>
        <w:t>be</w:t>
      </w:r>
      <w:r>
        <w:rPr>
          <w:spacing w:val="-2"/>
        </w:rPr>
        <w:t> </w:t>
      </w:r>
      <w:r>
        <w:rPr/>
        <w:t>developed</w:t>
      </w:r>
      <w:r>
        <w:rPr>
          <w:spacing w:val="-8"/>
        </w:rPr>
        <w:t> </w:t>
      </w:r>
      <w:r>
        <w:rPr/>
        <w:t>and</w:t>
      </w:r>
      <w:r>
        <w:rPr>
          <w:spacing w:val="-3"/>
        </w:rPr>
        <w:t> </w:t>
      </w:r>
      <w:r>
        <w:rPr/>
        <w:t>shared</w:t>
      </w:r>
      <w:r>
        <w:rPr>
          <w:spacing w:val="-8"/>
        </w:rPr>
        <w:t> </w:t>
      </w:r>
      <w:r>
        <w:rPr/>
        <w:t>with</w:t>
      </w:r>
      <w:r>
        <w:rPr>
          <w:spacing w:val="-3"/>
        </w:rPr>
        <w:t> </w:t>
      </w:r>
      <w:r>
        <w:rPr/>
        <w:t>schools.</w:t>
      </w:r>
      <w:r>
        <w:rPr>
          <w:spacing w:val="-5"/>
        </w:rPr>
        <w:t> </w:t>
      </w:r>
      <w:r>
        <w:rPr/>
        <w:t>In</w:t>
      </w:r>
      <w:r>
        <w:rPr>
          <w:spacing w:val="-3"/>
        </w:rPr>
        <w:t> </w:t>
      </w:r>
      <w:r>
        <w:rPr/>
        <w:t>addition,</w:t>
      </w:r>
      <w:r>
        <w:rPr>
          <w:spacing w:val="-9"/>
        </w:rPr>
        <w:t> </w:t>
      </w:r>
      <w:r>
        <w:rPr/>
        <w:t>school</w:t>
      </w:r>
      <w:r>
        <w:rPr>
          <w:spacing w:val="-5"/>
        </w:rPr>
        <w:t> </w:t>
      </w:r>
      <w:r>
        <w:rPr/>
        <w:t>personnel</w:t>
      </w:r>
      <w:r>
        <w:rPr>
          <w:spacing w:val="-5"/>
        </w:rPr>
        <w:t> </w:t>
      </w:r>
      <w:r>
        <w:rPr/>
        <w:t>will</w:t>
      </w:r>
      <w:r>
        <w:rPr>
          <w:spacing w:val="-5"/>
        </w:rPr>
        <w:t> </w:t>
      </w:r>
      <w:r>
        <w:rPr/>
        <w:t>need</w:t>
      </w:r>
      <w:r>
        <w:rPr>
          <w:spacing w:val="-8"/>
        </w:rPr>
        <w:t> </w:t>
      </w:r>
      <w:r>
        <w:rPr/>
        <w:t>support</w:t>
      </w:r>
      <w:r>
        <w:rPr>
          <w:spacing w:val="-4"/>
        </w:rPr>
        <w:t> </w:t>
      </w:r>
      <w:r>
        <w:rPr/>
        <w:t>to identify students with disabilities and report the number of students in the various categories.</w:t>
      </w:r>
    </w:p>
    <w:p>
      <w:pPr>
        <w:pStyle w:val="BodyText"/>
        <w:spacing w:before="121"/>
        <w:ind w:left="1120" w:right="1176" w:hanging="1"/>
        <w:jc w:val="both"/>
      </w:pPr>
      <w:r>
        <w:rPr/>
        <w:t>Building a community culture in which children and young adults with disabilities are encouraged to participate in education is a longer-term process and will need to be supported by SIG agencies and community groups. MEHRD should continue to focus on this area in future years.</w:t>
      </w:r>
    </w:p>
    <w:p>
      <w:pPr>
        <w:pStyle w:val="BodyText"/>
      </w:pPr>
    </w:p>
    <w:p>
      <w:pPr>
        <w:pStyle w:val="BodyText"/>
        <w:rPr>
          <w:sz w:val="17"/>
        </w:rPr>
      </w:pPr>
    </w:p>
    <w:p>
      <w:pPr>
        <w:pStyle w:val="ListParagraph"/>
        <w:numPr>
          <w:ilvl w:val="0"/>
          <w:numId w:val="3"/>
        </w:numPr>
        <w:tabs>
          <w:tab w:pos="1839" w:val="left" w:leader="none"/>
          <w:tab w:pos="1840" w:val="left" w:leader="none"/>
        </w:tabs>
        <w:spacing w:line="240" w:lineRule="auto" w:before="0" w:after="0"/>
        <w:ind w:left="1839" w:right="0" w:hanging="720"/>
        <w:jc w:val="left"/>
        <w:rPr>
          <w:sz w:val="28"/>
        </w:rPr>
      </w:pPr>
      <w:bookmarkStart w:name="5. Payment Recommendation" w:id="30"/>
      <w:bookmarkEnd w:id="30"/>
      <w:r>
        <w:rPr/>
      </w:r>
      <w:bookmarkStart w:name="_bookmark15" w:id="31"/>
      <w:bookmarkEnd w:id="31"/>
      <w:r>
        <w:rPr>
          <w:sz w:val="28"/>
        </w:rPr>
        <w:t>P</w:t>
      </w:r>
      <w:r>
        <w:rPr>
          <w:sz w:val="22"/>
        </w:rPr>
        <w:t>AYMENT</w:t>
      </w:r>
      <w:r>
        <w:rPr>
          <w:spacing w:val="27"/>
          <w:sz w:val="22"/>
        </w:rPr>
        <w:t> </w:t>
      </w:r>
      <w:r>
        <w:rPr>
          <w:spacing w:val="-2"/>
          <w:sz w:val="28"/>
        </w:rPr>
        <w:t>R</w:t>
      </w:r>
      <w:r>
        <w:rPr>
          <w:spacing w:val="-2"/>
          <w:sz w:val="22"/>
        </w:rPr>
        <w:t>ECOMMENDATION</w:t>
      </w:r>
    </w:p>
    <w:p>
      <w:pPr>
        <w:pStyle w:val="BodyText"/>
        <w:spacing w:before="176"/>
        <w:ind w:left="1120" w:right="1179"/>
        <w:jc w:val="both"/>
      </w:pPr>
      <w:r>
        <w:rPr/>
        <w:t>The payment recommendation has been calculated by giving equal weighting to each of the targets/objectives,</w:t>
      </w:r>
      <w:r>
        <w:rPr>
          <w:spacing w:val="-13"/>
        </w:rPr>
        <w:t> </w:t>
      </w:r>
      <w:r>
        <w:rPr/>
        <w:t>including</w:t>
      </w:r>
      <w:r>
        <w:rPr>
          <w:spacing w:val="-12"/>
        </w:rPr>
        <w:t> </w:t>
      </w:r>
      <w:r>
        <w:rPr/>
        <w:t>the</w:t>
      </w:r>
      <w:r>
        <w:rPr>
          <w:spacing w:val="-13"/>
        </w:rPr>
        <w:t> </w:t>
      </w:r>
      <w:r>
        <w:rPr/>
        <w:t>overarching</w:t>
      </w:r>
      <w:r>
        <w:rPr>
          <w:spacing w:val="-12"/>
        </w:rPr>
        <w:t> </w:t>
      </w:r>
      <w:r>
        <w:rPr/>
        <w:t>objective.</w:t>
      </w:r>
      <w:r>
        <w:rPr>
          <w:spacing w:val="-13"/>
        </w:rPr>
        <w:t> </w:t>
      </w:r>
      <w:r>
        <w:rPr/>
        <w:t>Where</w:t>
      </w:r>
      <w:r>
        <w:rPr>
          <w:spacing w:val="-12"/>
        </w:rPr>
        <w:t> </w:t>
      </w:r>
      <w:r>
        <w:rPr/>
        <w:t>a</w:t>
      </w:r>
      <w:r>
        <w:rPr>
          <w:spacing w:val="-13"/>
        </w:rPr>
        <w:t> </w:t>
      </w:r>
      <w:r>
        <w:rPr/>
        <w:t>target/objective</w:t>
      </w:r>
      <w:r>
        <w:rPr>
          <w:spacing w:val="-12"/>
        </w:rPr>
        <w:t> </w:t>
      </w:r>
      <w:r>
        <w:rPr/>
        <w:t>included</w:t>
      </w:r>
      <w:r>
        <w:rPr>
          <w:spacing w:val="-12"/>
        </w:rPr>
        <w:t> </w:t>
      </w:r>
      <w:r>
        <w:rPr/>
        <w:t>sub-targets the value accorded to the main target/objective was sub-divided equally between sub-targets.</w:t>
      </w:r>
    </w:p>
    <w:p>
      <w:pPr>
        <w:pStyle w:val="BodyText"/>
        <w:spacing w:before="121"/>
        <w:ind w:left="1120" w:right="1177"/>
        <w:jc w:val="both"/>
      </w:pPr>
      <w:r>
        <w:rPr/>
        <w:t>At the Mid-Term Review Workshop the assessor recommended that ninety per cent (90%) of the donor bonus payment be made based on the level of achievement of targets. After the workshop MEHRD provided additional information about Target 2.2.3.</w:t>
      </w:r>
    </w:p>
    <w:p>
      <w:pPr>
        <w:pStyle w:val="BodyText"/>
        <w:spacing w:before="116"/>
        <w:ind w:left="1120" w:right="1183"/>
        <w:jc w:val="both"/>
      </w:pPr>
      <w:r>
        <w:rPr/>
        <w:t>Based on the additional information provided by MEHRD, it is recommended that the DFAT bonus payment be increased slightly to ninety-one per cent (91%) of the available bonus allocation.</w:t>
      </w:r>
    </w:p>
    <w:p>
      <w:pPr>
        <w:spacing w:after="0"/>
        <w:jc w:val="both"/>
        <w:sectPr>
          <w:pgSz w:w="11900" w:h="16840"/>
          <w:pgMar w:header="751" w:footer="1206" w:top="1640" w:bottom="1420" w:left="320" w:right="260"/>
        </w:sectPr>
      </w:pPr>
    </w:p>
    <w:p>
      <w:pPr>
        <w:pStyle w:val="ListParagraph"/>
        <w:numPr>
          <w:ilvl w:val="0"/>
          <w:numId w:val="3"/>
        </w:numPr>
        <w:tabs>
          <w:tab w:pos="1839" w:val="left" w:leader="none"/>
          <w:tab w:pos="1840" w:val="left" w:leader="none"/>
        </w:tabs>
        <w:spacing w:line="240" w:lineRule="auto" w:before="46" w:after="0"/>
        <w:ind w:left="1839" w:right="0" w:hanging="720"/>
        <w:jc w:val="left"/>
        <w:rPr>
          <w:sz w:val="28"/>
        </w:rPr>
      </w:pPr>
      <w:bookmarkStart w:name="6. Strengths and Weaknesses of 2016 Perf" w:id="32"/>
      <w:bookmarkEnd w:id="32"/>
      <w:r>
        <w:rPr/>
      </w:r>
      <w:bookmarkStart w:name="_bookmark16" w:id="33"/>
      <w:bookmarkEnd w:id="33"/>
      <w:r>
        <w:rPr>
          <w:sz w:val="28"/>
        </w:rPr>
        <w:t>S</w:t>
      </w:r>
      <w:r>
        <w:rPr>
          <w:sz w:val="22"/>
        </w:rPr>
        <w:t>TRENGTHS</w:t>
      </w:r>
      <w:r>
        <w:rPr>
          <w:spacing w:val="29"/>
          <w:sz w:val="22"/>
        </w:rPr>
        <w:t> </w:t>
      </w:r>
      <w:r>
        <w:rPr>
          <w:sz w:val="22"/>
        </w:rPr>
        <w:t>AND</w:t>
      </w:r>
      <w:r>
        <w:rPr>
          <w:spacing w:val="29"/>
          <w:sz w:val="22"/>
        </w:rPr>
        <w:t> </w:t>
      </w:r>
      <w:r>
        <w:rPr>
          <w:sz w:val="28"/>
        </w:rPr>
        <w:t>W</w:t>
      </w:r>
      <w:r>
        <w:rPr>
          <w:sz w:val="22"/>
        </w:rPr>
        <w:t>EAKNESSES</w:t>
      </w:r>
      <w:r>
        <w:rPr>
          <w:spacing w:val="37"/>
          <w:sz w:val="22"/>
        </w:rPr>
        <w:t> </w:t>
      </w:r>
      <w:r>
        <w:rPr>
          <w:sz w:val="22"/>
        </w:rPr>
        <w:t>OF</w:t>
      </w:r>
      <w:r>
        <w:rPr>
          <w:spacing w:val="37"/>
          <w:sz w:val="22"/>
        </w:rPr>
        <w:t> </w:t>
      </w:r>
      <w:r>
        <w:rPr>
          <w:sz w:val="28"/>
        </w:rPr>
        <w:t>2016</w:t>
      </w:r>
      <w:r>
        <w:rPr>
          <w:spacing w:val="14"/>
          <w:sz w:val="28"/>
        </w:rPr>
        <w:t> </w:t>
      </w:r>
      <w:r>
        <w:rPr>
          <w:sz w:val="28"/>
        </w:rPr>
        <w:t>P</w:t>
      </w:r>
      <w:r>
        <w:rPr>
          <w:sz w:val="22"/>
        </w:rPr>
        <w:t>ERFORMANCE</w:t>
      </w:r>
      <w:r>
        <w:rPr>
          <w:spacing w:val="28"/>
          <w:sz w:val="22"/>
        </w:rPr>
        <w:t> </w:t>
      </w:r>
      <w:r>
        <w:rPr>
          <w:spacing w:val="-2"/>
          <w:sz w:val="28"/>
        </w:rPr>
        <w:t>I</w:t>
      </w:r>
      <w:r>
        <w:rPr>
          <w:spacing w:val="-2"/>
          <w:sz w:val="22"/>
        </w:rPr>
        <w:t>NDICATORS</w:t>
      </w:r>
    </w:p>
    <w:p>
      <w:pPr>
        <w:pStyle w:val="BodyText"/>
        <w:spacing w:before="172"/>
        <w:ind w:left="1120" w:right="1173"/>
        <w:jc w:val="both"/>
      </w:pPr>
      <w:r>
        <w:rPr/>
        <w:t>The</w:t>
      </w:r>
      <w:r>
        <w:rPr>
          <w:spacing w:val="-8"/>
        </w:rPr>
        <w:t> </w:t>
      </w:r>
      <w:r>
        <w:rPr/>
        <w:t>performance</w:t>
      </w:r>
      <w:r>
        <w:rPr>
          <w:spacing w:val="-8"/>
        </w:rPr>
        <w:t> </w:t>
      </w:r>
      <w:r>
        <w:rPr/>
        <w:t>indicators</w:t>
      </w:r>
      <w:r>
        <w:rPr>
          <w:spacing w:val="-9"/>
        </w:rPr>
        <w:t> </w:t>
      </w:r>
      <w:r>
        <w:rPr/>
        <w:t>for</w:t>
      </w:r>
      <w:r>
        <w:rPr>
          <w:spacing w:val="-9"/>
        </w:rPr>
        <w:t> </w:t>
      </w:r>
      <w:r>
        <w:rPr/>
        <w:t>2016</w:t>
      </w:r>
      <w:r>
        <w:rPr>
          <w:spacing w:val="-10"/>
        </w:rPr>
        <w:t> </w:t>
      </w:r>
      <w:r>
        <w:rPr/>
        <w:t>were</w:t>
      </w:r>
      <w:r>
        <w:rPr>
          <w:spacing w:val="-8"/>
        </w:rPr>
        <w:t> </w:t>
      </w:r>
      <w:r>
        <w:rPr/>
        <w:t>generally</w:t>
      </w:r>
      <w:r>
        <w:rPr>
          <w:spacing w:val="-8"/>
        </w:rPr>
        <w:t> </w:t>
      </w:r>
      <w:r>
        <w:rPr/>
        <w:t>appropriate</w:t>
      </w:r>
      <w:r>
        <w:rPr>
          <w:spacing w:val="-8"/>
        </w:rPr>
        <w:t> </w:t>
      </w:r>
      <w:r>
        <w:rPr/>
        <w:t>given</w:t>
      </w:r>
      <w:r>
        <w:rPr>
          <w:spacing w:val="-10"/>
        </w:rPr>
        <w:t> </w:t>
      </w:r>
      <w:r>
        <w:rPr/>
        <w:t>the</w:t>
      </w:r>
      <w:r>
        <w:rPr>
          <w:spacing w:val="-8"/>
        </w:rPr>
        <w:t> </w:t>
      </w:r>
      <w:r>
        <w:rPr/>
        <w:t>priorities</w:t>
      </w:r>
      <w:r>
        <w:rPr>
          <w:spacing w:val="-9"/>
        </w:rPr>
        <w:t> </w:t>
      </w:r>
      <w:r>
        <w:rPr/>
        <w:t>being</w:t>
      </w:r>
      <w:r>
        <w:rPr>
          <w:spacing w:val="-7"/>
        </w:rPr>
        <w:t> </w:t>
      </w:r>
      <w:r>
        <w:rPr/>
        <w:t>pursued</w:t>
      </w:r>
      <w:r>
        <w:rPr>
          <w:spacing w:val="-10"/>
        </w:rPr>
        <w:t> </w:t>
      </w:r>
      <w:r>
        <w:rPr/>
        <w:t>by MEHRD. There</w:t>
      </w:r>
      <w:r>
        <w:rPr>
          <w:spacing w:val="-2"/>
        </w:rPr>
        <w:t> </w:t>
      </w:r>
      <w:r>
        <w:rPr/>
        <w:t>were</w:t>
      </w:r>
      <w:r>
        <w:rPr>
          <w:spacing w:val="-2"/>
        </w:rPr>
        <w:t> </w:t>
      </w:r>
      <w:r>
        <w:rPr/>
        <w:t>some</w:t>
      </w:r>
      <w:r>
        <w:rPr>
          <w:spacing w:val="-2"/>
        </w:rPr>
        <w:t> </w:t>
      </w:r>
      <w:r>
        <w:rPr/>
        <w:t>problems,</w:t>
      </w:r>
      <w:r>
        <w:rPr>
          <w:spacing w:val="-5"/>
        </w:rPr>
        <w:t> </w:t>
      </w:r>
      <w:r>
        <w:rPr/>
        <w:t>however,</w:t>
      </w:r>
      <w:r>
        <w:rPr>
          <w:spacing w:val="-5"/>
        </w:rPr>
        <w:t> </w:t>
      </w:r>
      <w:r>
        <w:rPr/>
        <w:t>with</w:t>
      </w:r>
      <w:r>
        <w:rPr>
          <w:spacing w:val="-3"/>
        </w:rPr>
        <w:t> </w:t>
      </w:r>
      <w:r>
        <w:rPr/>
        <w:t>the</w:t>
      </w:r>
      <w:r>
        <w:rPr>
          <w:spacing w:val="-2"/>
        </w:rPr>
        <w:t> </w:t>
      </w:r>
      <w:r>
        <w:rPr/>
        <w:t>organisation</w:t>
      </w:r>
      <w:r>
        <w:rPr>
          <w:spacing w:val="-3"/>
        </w:rPr>
        <w:t> </w:t>
      </w:r>
      <w:r>
        <w:rPr/>
        <w:t>and</w:t>
      </w:r>
      <w:r>
        <w:rPr>
          <w:spacing w:val="-3"/>
        </w:rPr>
        <w:t> </w:t>
      </w:r>
      <w:r>
        <w:rPr/>
        <w:t>wording</w:t>
      </w:r>
      <w:r>
        <w:rPr>
          <w:spacing w:val="-1"/>
        </w:rPr>
        <w:t> </w:t>
      </w:r>
      <w:r>
        <w:rPr/>
        <w:t>of</w:t>
      </w:r>
      <w:r>
        <w:rPr>
          <w:spacing w:val="-3"/>
        </w:rPr>
        <w:t> </w:t>
      </w:r>
      <w:r>
        <w:rPr/>
        <w:t>some</w:t>
      </w:r>
      <w:r>
        <w:rPr>
          <w:spacing w:val="-2"/>
        </w:rPr>
        <w:t> </w:t>
      </w:r>
      <w:r>
        <w:rPr/>
        <w:t>targets</w:t>
      </w:r>
      <w:r>
        <w:rPr>
          <w:spacing w:val="-2"/>
        </w:rPr>
        <w:t> </w:t>
      </w:r>
      <w:r>
        <w:rPr/>
        <w:t>as the indicators were not always related closely enough to the target in question.</w:t>
      </w:r>
    </w:p>
    <w:p>
      <w:pPr>
        <w:pStyle w:val="BodyText"/>
        <w:spacing w:before="120"/>
        <w:ind w:left="1119" w:right="1177"/>
        <w:jc w:val="both"/>
      </w:pPr>
      <w:r>
        <w:rPr/>
        <w:t>The other main issue with the 2016 targets/objectives was that they did not focus sufficiently on education</w:t>
      </w:r>
      <w:r>
        <w:rPr>
          <w:spacing w:val="-13"/>
        </w:rPr>
        <w:t> </w:t>
      </w:r>
      <w:r>
        <w:rPr/>
        <w:t>quality,</w:t>
      </w:r>
      <w:r>
        <w:rPr>
          <w:spacing w:val="-11"/>
        </w:rPr>
        <w:t> </w:t>
      </w:r>
      <w:r>
        <w:rPr/>
        <w:t>which,</w:t>
      </w:r>
      <w:r>
        <w:rPr>
          <w:spacing w:val="-9"/>
        </w:rPr>
        <w:t> </w:t>
      </w:r>
      <w:r>
        <w:rPr/>
        <w:t>together</w:t>
      </w:r>
      <w:r>
        <w:rPr>
          <w:spacing w:val="-7"/>
        </w:rPr>
        <w:t> </w:t>
      </w:r>
      <w:r>
        <w:rPr/>
        <w:t>with</w:t>
      </w:r>
      <w:r>
        <w:rPr>
          <w:spacing w:val="-13"/>
        </w:rPr>
        <w:t> </w:t>
      </w:r>
      <w:r>
        <w:rPr/>
        <w:t>equitable</w:t>
      </w:r>
      <w:r>
        <w:rPr>
          <w:spacing w:val="-11"/>
        </w:rPr>
        <w:t> </w:t>
      </w:r>
      <w:r>
        <w:rPr/>
        <w:t>access,</w:t>
      </w:r>
      <w:r>
        <w:rPr>
          <w:spacing w:val="-13"/>
        </w:rPr>
        <w:t> </w:t>
      </w:r>
      <w:r>
        <w:rPr/>
        <w:t>is</w:t>
      </w:r>
      <w:r>
        <w:rPr>
          <w:spacing w:val="-7"/>
        </w:rPr>
        <w:t> </w:t>
      </w:r>
      <w:r>
        <w:rPr/>
        <w:t>the</w:t>
      </w:r>
      <w:r>
        <w:rPr>
          <w:spacing w:val="-6"/>
        </w:rPr>
        <w:t> </w:t>
      </w:r>
      <w:r>
        <w:rPr/>
        <w:t>main</w:t>
      </w:r>
      <w:r>
        <w:rPr>
          <w:spacing w:val="-13"/>
        </w:rPr>
        <w:t> </w:t>
      </w:r>
      <w:r>
        <w:rPr/>
        <w:t>challenge</w:t>
      </w:r>
      <w:r>
        <w:rPr>
          <w:spacing w:val="-11"/>
        </w:rPr>
        <w:t> </w:t>
      </w:r>
      <w:r>
        <w:rPr/>
        <w:t>facing</w:t>
      </w:r>
      <w:r>
        <w:rPr>
          <w:spacing w:val="-10"/>
        </w:rPr>
        <w:t> </w:t>
      </w:r>
      <w:r>
        <w:rPr/>
        <w:t>education</w:t>
      </w:r>
      <w:r>
        <w:rPr>
          <w:spacing w:val="-8"/>
        </w:rPr>
        <w:t> </w:t>
      </w:r>
      <w:r>
        <w:rPr/>
        <w:t>in</w:t>
      </w:r>
      <w:r>
        <w:rPr>
          <w:spacing w:val="-13"/>
        </w:rPr>
        <w:t> </w:t>
      </w:r>
      <w:r>
        <w:rPr/>
        <w:t>the Solomon Islands.</w:t>
      </w:r>
    </w:p>
    <w:p>
      <w:pPr>
        <w:pStyle w:val="BodyText"/>
        <w:spacing w:before="121"/>
        <w:ind w:left="1119" w:right="1178"/>
        <w:jc w:val="both"/>
      </w:pPr>
      <w:r>
        <w:rPr/>
        <w:t>For these reasons the</w:t>
      </w:r>
      <w:r>
        <w:rPr>
          <w:spacing w:val="40"/>
        </w:rPr>
        <w:t> </w:t>
      </w:r>
      <w:r>
        <w:rPr/>
        <w:t>targets and indicators presented in the next section of the report emphasise quality and access, with management and resourcing being enabling factors. The revised target and indicators also relate more closely to the priorities identified by MEHRD in the NEAP 2016-2020 and during the Mid-Term Review Workshop.</w:t>
      </w:r>
    </w:p>
    <w:p>
      <w:pPr>
        <w:pStyle w:val="BodyText"/>
      </w:pPr>
    </w:p>
    <w:p>
      <w:pPr>
        <w:pStyle w:val="BodyText"/>
      </w:pPr>
    </w:p>
    <w:p>
      <w:pPr>
        <w:pStyle w:val="BodyText"/>
        <w:spacing w:before="11"/>
        <w:rPr>
          <w:sz w:val="26"/>
        </w:rPr>
      </w:pPr>
    </w:p>
    <w:p>
      <w:pPr>
        <w:pStyle w:val="ListParagraph"/>
        <w:numPr>
          <w:ilvl w:val="0"/>
          <w:numId w:val="3"/>
        </w:numPr>
        <w:tabs>
          <w:tab w:pos="1839" w:val="left" w:leader="none"/>
          <w:tab w:pos="1840" w:val="left" w:leader="none"/>
        </w:tabs>
        <w:spacing w:line="240" w:lineRule="auto" w:before="0" w:after="0"/>
        <w:ind w:left="1839" w:right="0" w:hanging="720"/>
        <w:jc w:val="left"/>
        <w:rPr>
          <w:sz w:val="28"/>
        </w:rPr>
      </w:pPr>
      <w:bookmarkStart w:name="7. Proposed Education Targets and Indica" w:id="34"/>
      <w:bookmarkEnd w:id="34"/>
      <w:r>
        <w:rPr/>
      </w:r>
      <w:bookmarkStart w:name="_bookmark17" w:id="35"/>
      <w:bookmarkEnd w:id="35"/>
      <w:r>
        <w:rPr>
          <w:sz w:val="28"/>
        </w:rPr>
        <w:t>P</w:t>
      </w:r>
      <w:r>
        <w:rPr>
          <w:sz w:val="22"/>
        </w:rPr>
        <w:t>ROPOSED</w:t>
      </w:r>
      <w:r>
        <w:rPr>
          <w:spacing w:val="34"/>
          <w:sz w:val="22"/>
        </w:rPr>
        <w:t> </w:t>
      </w:r>
      <w:r>
        <w:rPr>
          <w:sz w:val="28"/>
        </w:rPr>
        <w:t>E</w:t>
      </w:r>
      <w:r>
        <w:rPr>
          <w:sz w:val="22"/>
        </w:rPr>
        <w:t>DUCATION</w:t>
      </w:r>
      <w:r>
        <w:rPr>
          <w:spacing w:val="32"/>
          <w:sz w:val="22"/>
        </w:rPr>
        <w:t> </w:t>
      </w:r>
      <w:r>
        <w:rPr>
          <w:sz w:val="28"/>
        </w:rPr>
        <w:t>T</w:t>
      </w:r>
      <w:r>
        <w:rPr>
          <w:sz w:val="22"/>
        </w:rPr>
        <w:t>ARGETS</w:t>
      </w:r>
      <w:r>
        <w:rPr>
          <w:spacing w:val="35"/>
          <w:sz w:val="22"/>
        </w:rPr>
        <w:t> </w:t>
      </w:r>
      <w:r>
        <w:rPr>
          <w:sz w:val="22"/>
        </w:rPr>
        <w:t>AND</w:t>
      </w:r>
      <w:r>
        <w:rPr>
          <w:spacing w:val="27"/>
          <w:sz w:val="22"/>
        </w:rPr>
        <w:t> </w:t>
      </w:r>
      <w:r>
        <w:rPr>
          <w:sz w:val="28"/>
        </w:rPr>
        <w:t>I</w:t>
      </w:r>
      <w:r>
        <w:rPr>
          <w:sz w:val="22"/>
        </w:rPr>
        <w:t>NDICATORS</w:t>
      </w:r>
      <w:r>
        <w:rPr>
          <w:spacing w:val="23"/>
          <w:sz w:val="22"/>
        </w:rPr>
        <w:t> </w:t>
      </w:r>
      <w:r>
        <w:rPr>
          <w:sz w:val="22"/>
        </w:rPr>
        <w:t>FOR</w:t>
      </w:r>
      <w:r>
        <w:rPr>
          <w:spacing w:val="36"/>
          <w:sz w:val="22"/>
        </w:rPr>
        <w:t> </w:t>
      </w:r>
      <w:r>
        <w:rPr>
          <w:spacing w:val="-4"/>
          <w:sz w:val="28"/>
        </w:rPr>
        <w:t>2017</w:t>
      </w:r>
    </w:p>
    <w:p>
      <w:pPr>
        <w:pStyle w:val="BodyText"/>
        <w:spacing w:before="176"/>
        <w:ind w:left="1120" w:right="1177"/>
        <w:jc w:val="both"/>
      </w:pPr>
      <w:r>
        <w:rPr/>
        <w:t>Table</w:t>
      </w:r>
      <w:r>
        <w:rPr>
          <w:spacing w:val="-5"/>
        </w:rPr>
        <w:t> </w:t>
      </w:r>
      <w:r>
        <w:rPr/>
        <w:t>8</w:t>
      </w:r>
      <w:r>
        <w:rPr>
          <w:spacing w:val="-6"/>
        </w:rPr>
        <w:t> </w:t>
      </w:r>
      <w:r>
        <w:rPr/>
        <w:t>below</w:t>
      </w:r>
      <w:r>
        <w:rPr>
          <w:spacing w:val="-5"/>
        </w:rPr>
        <w:t> </w:t>
      </w:r>
      <w:r>
        <w:rPr/>
        <w:t>provides</w:t>
      </w:r>
      <w:r>
        <w:rPr>
          <w:spacing w:val="-5"/>
        </w:rPr>
        <w:t> </w:t>
      </w:r>
      <w:r>
        <w:rPr/>
        <w:t>proposed</w:t>
      </w:r>
      <w:r>
        <w:rPr>
          <w:spacing w:val="-6"/>
        </w:rPr>
        <w:t> </w:t>
      </w:r>
      <w:r>
        <w:rPr/>
        <w:t>targets,</w:t>
      </w:r>
      <w:r>
        <w:rPr>
          <w:spacing w:val="-7"/>
        </w:rPr>
        <w:t> </w:t>
      </w:r>
      <w:r>
        <w:rPr/>
        <w:t>indicators</w:t>
      </w:r>
      <w:r>
        <w:rPr>
          <w:spacing w:val="-5"/>
        </w:rPr>
        <w:t> </w:t>
      </w:r>
      <w:r>
        <w:rPr/>
        <w:t>and</w:t>
      </w:r>
      <w:r>
        <w:rPr>
          <w:spacing w:val="-6"/>
        </w:rPr>
        <w:t> </w:t>
      </w:r>
      <w:r>
        <w:rPr/>
        <w:t>means</w:t>
      </w:r>
      <w:r>
        <w:rPr>
          <w:spacing w:val="-5"/>
        </w:rPr>
        <w:t> </w:t>
      </w:r>
      <w:r>
        <w:rPr/>
        <w:t>of</w:t>
      </w:r>
      <w:r>
        <w:rPr>
          <w:spacing w:val="-6"/>
        </w:rPr>
        <w:t> </w:t>
      </w:r>
      <w:r>
        <w:rPr/>
        <w:t>verification</w:t>
      </w:r>
      <w:r>
        <w:rPr>
          <w:spacing w:val="-6"/>
        </w:rPr>
        <w:t> </w:t>
      </w:r>
      <w:r>
        <w:rPr/>
        <w:t>for</w:t>
      </w:r>
      <w:r>
        <w:rPr>
          <w:spacing w:val="-5"/>
        </w:rPr>
        <w:t> </w:t>
      </w:r>
      <w:r>
        <w:rPr/>
        <w:t>the</w:t>
      </w:r>
      <w:r>
        <w:rPr>
          <w:spacing w:val="-5"/>
        </w:rPr>
        <w:t> </w:t>
      </w:r>
      <w:r>
        <w:rPr/>
        <w:t>2017</w:t>
      </w:r>
      <w:r>
        <w:rPr>
          <w:spacing w:val="-6"/>
        </w:rPr>
        <w:t> </w:t>
      </w:r>
      <w:r>
        <w:rPr/>
        <w:t>education sector</w:t>
      </w:r>
      <w:r>
        <w:rPr>
          <w:spacing w:val="-13"/>
        </w:rPr>
        <w:t> </w:t>
      </w:r>
      <w:r>
        <w:rPr/>
        <w:t>performance</w:t>
      </w:r>
      <w:r>
        <w:rPr>
          <w:spacing w:val="-12"/>
        </w:rPr>
        <w:t> </w:t>
      </w:r>
      <w:r>
        <w:rPr/>
        <w:t>matrix.</w:t>
      </w:r>
      <w:r>
        <w:rPr>
          <w:spacing w:val="-13"/>
        </w:rPr>
        <w:t> </w:t>
      </w:r>
      <w:r>
        <w:rPr/>
        <w:t>The</w:t>
      </w:r>
      <w:r>
        <w:rPr>
          <w:spacing w:val="-12"/>
        </w:rPr>
        <w:t> </w:t>
      </w:r>
      <w:r>
        <w:rPr/>
        <w:t>proposed</w:t>
      </w:r>
      <w:r>
        <w:rPr>
          <w:spacing w:val="-13"/>
        </w:rPr>
        <w:t> </w:t>
      </w:r>
      <w:r>
        <w:rPr/>
        <w:t>targets</w:t>
      </w:r>
      <w:r>
        <w:rPr>
          <w:spacing w:val="-12"/>
        </w:rPr>
        <w:t> </w:t>
      </w:r>
      <w:r>
        <w:rPr/>
        <w:t>have</w:t>
      </w:r>
      <w:r>
        <w:rPr>
          <w:spacing w:val="-13"/>
        </w:rPr>
        <w:t> </w:t>
      </w:r>
      <w:r>
        <w:rPr/>
        <w:t>been</w:t>
      </w:r>
      <w:r>
        <w:rPr>
          <w:spacing w:val="-12"/>
        </w:rPr>
        <w:t> </w:t>
      </w:r>
      <w:r>
        <w:rPr/>
        <w:t>developed</w:t>
      </w:r>
      <w:r>
        <w:rPr>
          <w:spacing w:val="-12"/>
        </w:rPr>
        <w:t> </w:t>
      </w:r>
      <w:r>
        <w:rPr/>
        <w:t>after</w:t>
      </w:r>
      <w:r>
        <w:rPr>
          <w:spacing w:val="-13"/>
        </w:rPr>
        <w:t> </w:t>
      </w:r>
      <w:r>
        <w:rPr/>
        <w:t>taking</w:t>
      </w:r>
      <w:r>
        <w:rPr>
          <w:spacing w:val="-12"/>
        </w:rPr>
        <w:t> </w:t>
      </w:r>
      <w:r>
        <w:rPr/>
        <w:t>into</w:t>
      </w:r>
      <w:r>
        <w:rPr>
          <w:spacing w:val="-13"/>
        </w:rPr>
        <w:t> </w:t>
      </w:r>
      <w:r>
        <w:rPr/>
        <w:t>consideration the objectives, goals and plans articulated in the:</w:t>
      </w:r>
    </w:p>
    <w:p>
      <w:pPr>
        <w:pStyle w:val="ListParagraph"/>
        <w:numPr>
          <w:ilvl w:val="0"/>
          <w:numId w:val="8"/>
        </w:numPr>
        <w:tabs>
          <w:tab w:pos="1892" w:val="left" w:leader="none"/>
          <w:tab w:pos="1894" w:val="left" w:leader="none"/>
        </w:tabs>
        <w:spacing w:line="240" w:lineRule="auto" w:before="119" w:after="0"/>
        <w:ind w:left="1893" w:right="0" w:hanging="362"/>
        <w:jc w:val="left"/>
        <w:rPr>
          <w:i/>
          <w:sz w:val="22"/>
        </w:rPr>
      </w:pPr>
      <w:r>
        <w:rPr>
          <w:i/>
          <w:sz w:val="22"/>
        </w:rPr>
        <w:t>Solomon</w:t>
      </w:r>
      <w:r>
        <w:rPr>
          <w:i/>
          <w:spacing w:val="-8"/>
          <w:sz w:val="22"/>
        </w:rPr>
        <w:t> </w:t>
      </w:r>
      <w:r>
        <w:rPr>
          <w:i/>
          <w:sz w:val="22"/>
        </w:rPr>
        <w:t>Islands</w:t>
      </w:r>
      <w:r>
        <w:rPr>
          <w:i/>
          <w:spacing w:val="-8"/>
          <w:sz w:val="22"/>
        </w:rPr>
        <w:t> </w:t>
      </w:r>
      <w:r>
        <w:rPr>
          <w:i/>
          <w:sz w:val="22"/>
        </w:rPr>
        <w:t>Education</w:t>
      </w:r>
      <w:r>
        <w:rPr>
          <w:i/>
          <w:spacing w:val="-8"/>
          <w:sz w:val="22"/>
        </w:rPr>
        <w:t> </w:t>
      </w:r>
      <w:r>
        <w:rPr>
          <w:i/>
          <w:sz w:val="22"/>
        </w:rPr>
        <w:t>Strategic</w:t>
      </w:r>
      <w:r>
        <w:rPr>
          <w:i/>
          <w:spacing w:val="-9"/>
          <w:sz w:val="22"/>
        </w:rPr>
        <w:t> </w:t>
      </w:r>
      <w:r>
        <w:rPr>
          <w:i/>
          <w:sz w:val="22"/>
        </w:rPr>
        <w:t>Framework</w:t>
      </w:r>
      <w:r>
        <w:rPr>
          <w:i/>
          <w:spacing w:val="-8"/>
          <w:sz w:val="22"/>
        </w:rPr>
        <w:t> </w:t>
      </w:r>
      <w:r>
        <w:rPr>
          <w:i/>
          <w:sz w:val="22"/>
        </w:rPr>
        <w:t>2016-</w:t>
      </w:r>
      <w:r>
        <w:rPr>
          <w:i/>
          <w:spacing w:val="-4"/>
          <w:sz w:val="22"/>
        </w:rPr>
        <w:t>2030</w:t>
      </w:r>
    </w:p>
    <w:p>
      <w:pPr>
        <w:pStyle w:val="ListParagraph"/>
        <w:numPr>
          <w:ilvl w:val="0"/>
          <w:numId w:val="8"/>
        </w:numPr>
        <w:tabs>
          <w:tab w:pos="1893" w:val="left" w:leader="none"/>
          <w:tab w:pos="1894" w:val="left" w:leader="none"/>
        </w:tabs>
        <w:spacing w:line="240" w:lineRule="auto" w:before="118" w:after="0"/>
        <w:ind w:left="1893" w:right="0" w:hanging="361"/>
        <w:jc w:val="left"/>
        <w:rPr>
          <w:i/>
          <w:sz w:val="22"/>
        </w:rPr>
      </w:pPr>
      <w:r>
        <w:rPr>
          <w:i/>
          <w:sz w:val="22"/>
        </w:rPr>
        <w:t>National</w:t>
      </w:r>
      <w:r>
        <w:rPr>
          <w:i/>
          <w:spacing w:val="-9"/>
          <w:sz w:val="22"/>
        </w:rPr>
        <w:t> </w:t>
      </w:r>
      <w:r>
        <w:rPr>
          <w:i/>
          <w:sz w:val="22"/>
        </w:rPr>
        <w:t>Education</w:t>
      </w:r>
      <w:r>
        <w:rPr>
          <w:i/>
          <w:spacing w:val="-9"/>
          <w:sz w:val="22"/>
        </w:rPr>
        <w:t> </w:t>
      </w:r>
      <w:r>
        <w:rPr>
          <w:i/>
          <w:sz w:val="22"/>
        </w:rPr>
        <w:t>Plan</w:t>
      </w:r>
      <w:r>
        <w:rPr>
          <w:i/>
          <w:spacing w:val="-9"/>
          <w:sz w:val="22"/>
        </w:rPr>
        <w:t> </w:t>
      </w:r>
      <w:r>
        <w:rPr>
          <w:i/>
          <w:sz w:val="22"/>
        </w:rPr>
        <w:t>2016-</w:t>
      </w:r>
      <w:r>
        <w:rPr>
          <w:i/>
          <w:spacing w:val="-4"/>
          <w:sz w:val="22"/>
        </w:rPr>
        <w:t>2020</w:t>
      </w:r>
    </w:p>
    <w:p>
      <w:pPr>
        <w:pStyle w:val="ListParagraph"/>
        <w:numPr>
          <w:ilvl w:val="0"/>
          <w:numId w:val="8"/>
        </w:numPr>
        <w:tabs>
          <w:tab w:pos="1893" w:val="left" w:leader="none"/>
          <w:tab w:pos="1894" w:val="left" w:leader="none"/>
        </w:tabs>
        <w:spacing w:line="244" w:lineRule="auto" w:before="118" w:after="0"/>
        <w:ind w:left="1893" w:right="1169" w:hanging="361"/>
        <w:jc w:val="left"/>
        <w:rPr>
          <w:i/>
          <w:sz w:val="22"/>
        </w:rPr>
      </w:pPr>
      <w:r>
        <w:rPr>
          <w:i/>
          <w:sz w:val="22"/>
        </w:rPr>
        <w:t>Statement</w:t>
      </w:r>
      <w:r>
        <w:rPr>
          <w:i/>
          <w:spacing w:val="-5"/>
          <w:sz w:val="22"/>
        </w:rPr>
        <w:t> </w:t>
      </w:r>
      <w:r>
        <w:rPr>
          <w:i/>
          <w:sz w:val="22"/>
        </w:rPr>
        <w:t>of</w:t>
      </w:r>
      <w:r>
        <w:rPr>
          <w:i/>
          <w:spacing w:val="-4"/>
          <w:sz w:val="22"/>
        </w:rPr>
        <w:t> </w:t>
      </w:r>
      <w:r>
        <w:rPr>
          <w:i/>
          <w:sz w:val="22"/>
        </w:rPr>
        <w:t>Partnership</w:t>
      </w:r>
      <w:r>
        <w:rPr>
          <w:i/>
          <w:spacing w:val="-2"/>
          <w:sz w:val="22"/>
        </w:rPr>
        <w:t> </w:t>
      </w:r>
      <w:r>
        <w:rPr>
          <w:i/>
          <w:sz w:val="22"/>
        </w:rPr>
        <w:t>Principles</w:t>
      </w:r>
      <w:r>
        <w:rPr>
          <w:i/>
          <w:spacing w:val="-3"/>
          <w:sz w:val="22"/>
        </w:rPr>
        <w:t> </w:t>
      </w:r>
      <w:r>
        <w:rPr>
          <w:i/>
          <w:sz w:val="22"/>
        </w:rPr>
        <w:t>between</w:t>
      </w:r>
      <w:r>
        <w:rPr>
          <w:i/>
          <w:spacing w:val="-2"/>
          <w:sz w:val="22"/>
        </w:rPr>
        <w:t> </w:t>
      </w:r>
      <w:r>
        <w:rPr>
          <w:i/>
          <w:sz w:val="22"/>
        </w:rPr>
        <w:t>Solomon</w:t>
      </w:r>
      <w:r>
        <w:rPr>
          <w:i/>
          <w:spacing w:val="-2"/>
          <w:sz w:val="22"/>
        </w:rPr>
        <w:t> </w:t>
      </w:r>
      <w:r>
        <w:rPr>
          <w:i/>
          <w:sz w:val="22"/>
        </w:rPr>
        <w:t>Islands</w:t>
      </w:r>
      <w:r>
        <w:rPr>
          <w:i/>
          <w:spacing w:val="-3"/>
          <w:sz w:val="22"/>
        </w:rPr>
        <w:t> </w:t>
      </w:r>
      <w:r>
        <w:rPr>
          <w:i/>
          <w:sz w:val="22"/>
        </w:rPr>
        <w:t>Government</w:t>
      </w:r>
      <w:r>
        <w:rPr>
          <w:i/>
          <w:spacing w:val="-5"/>
          <w:sz w:val="22"/>
        </w:rPr>
        <w:t> </w:t>
      </w:r>
      <w:r>
        <w:rPr>
          <w:i/>
          <w:sz w:val="22"/>
        </w:rPr>
        <w:t>and</w:t>
      </w:r>
      <w:r>
        <w:rPr>
          <w:i/>
          <w:spacing w:val="-2"/>
          <w:sz w:val="22"/>
        </w:rPr>
        <w:t> </w:t>
      </w:r>
      <w:r>
        <w:rPr>
          <w:i/>
          <w:sz w:val="22"/>
        </w:rPr>
        <w:t>Development</w:t>
      </w:r>
      <w:r>
        <w:rPr>
          <w:i/>
          <w:sz w:val="22"/>
        </w:rPr>
        <w:t> Partners 2016 – 2020</w:t>
      </w:r>
    </w:p>
    <w:p>
      <w:pPr>
        <w:pStyle w:val="ListParagraph"/>
        <w:numPr>
          <w:ilvl w:val="0"/>
          <w:numId w:val="8"/>
        </w:numPr>
        <w:tabs>
          <w:tab w:pos="1893" w:val="left" w:leader="none"/>
          <w:tab w:pos="1894" w:val="left" w:leader="none"/>
        </w:tabs>
        <w:spacing w:line="240" w:lineRule="auto" w:before="112" w:after="0"/>
        <w:ind w:left="1893" w:right="0" w:hanging="361"/>
        <w:jc w:val="left"/>
        <w:rPr>
          <w:sz w:val="22"/>
        </w:rPr>
      </w:pPr>
      <w:r>
        <w:rPr>
          <w:sz w:val="22"/>
        </w:rPr>
        <w:t>Decisions</w:t>
      </w:r>
      <w:r>
        <w:rPr>
          <w:spacing w:val="-6"/>
          <w:sz w:val="22"/>
        </w:rPr>
        <w:t> </w:t>
      </w:r>
      <w:r>
        <w:rPr>
          <w:sz w:val="22"/>
        </w:rPr>
        <w:t>of</w:t>
      </w:r>
      <w:r>
        <w:rPr>
          <w:spacing w:val="-5"/>
          <w:sz w:val="22"/>
        </w:rPr>
        <w:t> </w:t>
      </w:r>
      <w:r>
        <w:rPr>
          <w:sz w:val="22"/>
        </w:rPr>
        <w:t>the</w:t>
      </w:r>
      <w:r>
        <w:rPr>
          <w:spacing w:val="-4"/>
          <w:sz w:val="22"/>
        </w:rPr>
        <w:t> </w:t>
      </w:r>
      <w:r>
        <w:rPr>
          <w:sz w:val="22"/>
        </w:rPr>
        <w:t>2017</w:t>
      </w:r>
      <w:r>
        <w:rPr>
          <w:spacing w:val="-5"/>
          <w:sz w:val="22"/>
        </w:rPr>
        <w:t> </w:t>
      </w:r>
      <w:r>
        <w:rPr>
          <w:sz w:val="22"/>
        </w:rPr>
        <w:t>Mid-Year</w:t>
      </w:r>
      <w:r>
        <w:rPr>
          <w:spacing w:val="-4"/>
          <w:sz w:val="22"/>
        </w:rPr>
        <w:t> </w:t>
      </w:r>
      <w:r>
        <w:rPr>
          <w:sz w:val="22"/>
        </w:rPr>
        <w:t>Review</w:t>
      </w:r>
      <w:r>
        <w:rPr>
          <w:spacing w:val="-3"/>
          <w:sz w:val="22"/>
        </w:rPr>
        <w:t> </w:t>
      </w:r>
      <w:r>
        <w:rPr>
          <w:sz w:val="22"/>
        </w:rPr>
        <w:t>of</w:t>
      </w:r>
      <w:r>
        <w:rPr>
          <w:spacing w:val="-4"/>
          <w:sz w:val="22"/>
        </w:rPr>
        <w:t> </w:t>
      </w:r>
      <w:r>
        <w:rPr>
          <w:sz w:val="22"/>
        </w:rPr>
        <w:t>the</w:t>
      </w:r>
      <w:r>
        <w:rPr>
          <w:spacing w:val="-4"/>
          <w:sz w:val="22"/>
        </w:rPr>
        <w:t> </w:t>
      </w:r>
      <w:r>
        <w:rPr>
          <w:sz w:val="22"/>
        </w:rPr>
        <w:t>education</w:t>
      </w:r>
      <w:r>
        <w:rPr>
          <w:spacing w:val="-4"/>
          <w:sz w:val="22"/>
        </w:rPr>
        <w:t> </w:t>
      </w:r>
      <w:r>
        <w:rPr>
          <w:spacing w:val="-2"/>
          <w:sz w:val="22"/>
        </w:rPr>
        <w:t>sector.</w:t>
      </w:r>
    </w:p>
    <w:p>
      <w:pPr>
        <w:pStyle w:val="BodyText"/>
        <w:spacing w:before="120"/>
        <w:ind w:left="1120" w:right="1178"/>
        <w:jc w:val="both"/>
      </w:pPr>
      <w:r>
        <w:rPr/>
        <w:t>The</w:t>
      </w:r>
      <w:r>
        <w:rPr>
          <w:spacing w:val="-3"/>
        </w:rPr>
        <w:t> </w:t>
      </w:r>
      <w:r>
        <w:rPr/>
        <w:t>key</w:t>
      </w:r>
      <w:r>
        <w:rPr>
          <w:spacing w:val="-2"/>
        </w:rPr>
        <w:t> </w:t>
      </w:r>
      <w:r>
        <w:rPr/>
        <w:t>themes</w:t>
      </w:r>
      <w:r>
        <w:rPr>
          <w:spacing w:val="-3"/>
        </w:rPr>
        <w:t> </w:t>
      </w:r>
      <w:r>
        <w:rPr/>
        <w:t>of these</w:t>
      </w:r>
      <w:r>
        <w:rPr>
          <w:spacing w:val="-3"/>
        </w:rPr>
        <w:t> </w:t>
      </w:r>
      <w:r>
        <w:rPr/>
        <w:t>statements</w:t>
      </w:r>
      <w:r>
        <w:rPr>
          <w:spacing w:val="-3"/>
        </w:rPr>
        <w:t> </w:t>
      </w:r>
      <w:r>
        <w:rPr/>
        <w:t>and</w:t>
      </w:r>
      <w:r>
        <w:rPr>
          <w:spacing w:val="-4"/>
        </w:rPr>
        <w:t> </w:t>
      </w:r>
      <w:r>
        <w:rPr/>
        <w:t>documents</w:t>
      </w:r>
      <w:r>
        <w:rPr>
          <w:spacing w:val="-3"/>
        </w:rPr>
        <w:t> </w:t>
      </w:r>
      <w:r>
        <w:rPr/>
        <w:t>are</w:t>
      </w:r>
      <w:r>
        <w:rPr>
          <w:spacing w:val="-3"/>
        </w:rPr>
        <w:t> </w:t>
      </w:r>
      <w:r>
        <w:rPr>
          <w:i/>
        </w:rPr>
        <w:t>Equitable</w:t>
      </w:r>
      <w:r>
        <w:rPr>
          <w:i/>
          <w:spacing w:val="-3"/>
        </w:rPr>
        <w:t> </w:t>
      </w:r>
      <w:r>
        <w:rPr>
          <w:i/>
        </w:rPr>
        <w:t>Access</w:t>
      </w:r>
      <w:r>
        <w:rPr>
          <w:i/>
          <w:spacing w:val="-3"/>
        </w:rPr>
        <w:t> </w:t>
      </w:r>
      <w:r>
        <w:rPr/>
        <w:t>and</w:t>
      </w:r>
      <w:r>
        <w:rPr>
          <w:spacing w:val="-4"/>
        </w:rPr>
        <w:t> </w:t>
      </w:r>
      <w:r>
        <w:rPr>
          <w:i/>
        </w:rPr>
        <w:t>Education</w:t>
      </w:r>
      <w:r>
        <w:rPr>
          <w:i/>
          <w:spacing w:val="-2"/>
        </w:rPr>
        <w:t> </w:t>
      </w:r>
      <w:r>
        <w:rPr>
          <w:i/>
        </w:rPr>
        <w:t>Quality</w:t>
      </w:r>
      <w:r>
        <w:rPr/>
        <w:t>.</w:t>
      </w:r>
      <w:r>
        <w:rPr>
          <w:spacing w:val="-1"/>
        </w:rPr>
        <w:t> </w:t>
      </w:r>
      <w:r>
        <w:rPr/>
        <w:t>The achievement of goals related to access and quality are, to a considerable extent, dependent on the quantum and utilisation of resources provided by government and development partners, and the effectiveness of educational management and leadership at all levels of the education system.</w:t>
      </w:r>
    </w:p>
    <w:p>
      <w:pPr>
        <w:pStyle w:val="BodyText"/>
        <w:spacing w:before="121"/>
        <w:ind w:left="1120" w:right="1178"/>
        <w:jc w:val="both"/>
      </w:pPr>
      <w:r>
        <w:rPr/>
        <w:t>To better reflect these themes and goals, the targets for 2017/18 have been changed from 2016 to place greater emphasis on quality and equitable access. Resourcing and management are presented as key enabling factors to improve quality and access.</w:t>
      </w:r>
    </w:p>
    <w:p>
      <w:pPr>
        <w:pStyle w:val="BodyText"/>
        <w:spacing w:before="121"/>
        <w:ind w:left="1120" w:right="1181"/>
        <w:jc w:val="both"/>
      </w:pPr>
      <w:r>
        <w:rPr/>
        <w:t>The</w:t>
      </w:r>
      <w:r>
        <w:rPr>
          <w:spacing w:val="-1"/>
        </w:rPr>
        <w:t> </w:t>
      </w:r>
      <w:r>
        <w:rPr/>
        <w:t>former</w:t>
      </w:r>
      <w:r>
        <w:rPr>
          <w:spacing w:val="-2"/>
        </w:rPr>
        <w:t> </w:t>
      </w:r>
      <w:r>
        <w:rPr/>
        <w:t>overarching objective</w:t>
      </w:r>
      <w:r>
        <w:rPr>
          <w:spacing w:val="-1"/>
        </w:rPr>
        <w:t> </w:t>
      </w:r>
      <w:r>
        <w:rPr/>
        <w:t>concerning the</w:t>
      </w:r>
      <w:r>
        <w:rPr>
          <w:spacing w:val="-1"/>
        </w:rPr>
        <w:t> </w:t>
      </w:r>
      <w:r>
        <w:rPr/>
        <w:t>percentage</w:t>
      </w:r>
      <w:r>
        <w:rPr>
          <w:spacing w:val="-1"/>
        </w:rPr>
        <w:t> </w:t>
      </w:r>
      <w:r>
        <w:rPr/>
        <w:t>of</w:t>
      </w:r>
      <w:r>
        <w:rPr>
          <w:spacing w:val="-2"/>
        </w:rPr>
        <w:t> </w:t>
      </w:r>
      <w:r>
        <w:rPr/>
        <w:t>SIG</w:t>
      </w:r>
      <w:r>
        <w:rPr>
          <w:spacing w:val="-2"/>
        </w:rPr>
        <w:t> </w:t>
      </w:r>
      <w:r>
        <w:rPr/>
        <w:t>resources</w:t>
      </w:r>
      <w:r>
        <w:rPr>
          <w:spacing w:val="-1"/>
        </w:rPr>
        <w:t> </w:t>
      </w:r>
      <w:r>
        <w:rPr/>
        <w:t>allocated</w:t>
      </w:r>
      <w:r>
        <w:rPr>
          <w:spacing w:val="-2"/>
        </w:rPr>
        <w:t> </w:t>
      </w:r>
      <w:r>
        <w:rPr/>
        <w:t>to</w:t>
      </w:r>
      <w:r>
        <w:rPr>
          <w:spacing w:val="-2"/>
        </w:rPr>
        <w:t> </w:t>
      </w:r>
      <w:r>
        <w:rPr/>
        <w:t>education has been retained, but as one of the key enabling resource factors.</w:t>
      </w:r>
    </w:p>
    <w:p>
      <w:pPr>
        <w:spacing w:before="120"/>
        <w:ind w:left="1119" w:right="1173" w:firstLine="0"/>
        <w:jc w:val="both"/>
        <w:rPr>
          <w:sz w:val="22"/>
        </w:rPr>
      </w:pPr>
      <w:r>
        <w:rPr>
          <w:sz w:val="22"/>
        </w:rPr>
        <w:t>For the 2017 targets it is proposed that the overarching goal becomes – </w:t>
      </w:r>
      <w:r>
        <w:rPr>
          <w:i/>
          <w:sz w:val="22"/>
        </w:rPr>
        <w:t>To improve the quality of</w:t>
      </w:r>
      <w:r>
        <w:rPr>
          <w:i/>
          <w:sz w:val="22"/>
        </w:rPr>
        <w:t> education</w:t>
      </w:r>
      <w:r>
        <w:rPr>
          <w:i/>
          <w:spacing w:val="-1"/>
          <w:sz w:val="22"/>
        </w:rPr>
        <w:t> </w:t>
      </w:r>
      <w:r>
        <w:rPr>
          <w:i/>
          <w:sz w:val="22"/>
        </w:rPr>
        <w:t>in</w:t>
      </w:r>
      <w:r>
        <w:rPr>
          <w:i/>
          <w:spacing w:val="-1"/>
          <w:sz w:val="22"/>
        </w:rPr>
        <w:t> </w:t>
      </w:r>
      <w:r>
        <w:rPr>
          <w:i/>
          <w:sz w:val="22"/>
        </w:rPr>
        <w:t>the</w:t>
      </w:r>
      <w:r>
        <w:rPr>
          <w:i/>
          <w:spacing w:val="-2"/>
          <w:sz w:val="22"/>
        </w:rPr>
        <w:t> </w:t>
      </w:r>
      <w:r>
        <w:rPr>
          <w:i/>
          <w:sz w:val="22"/>
        </w:rPr>
        <w:t>Solomon</w:t>
      </w:r>
      <w:r>
        <w:rPr>
          <w:i/>
          <w:spacing w:val="-1"/>
          <w:sz w:val="22"/>
        </w:rPr>
        <w:t> </w:t>
      </w:r>
      <w:r>
        <w:rPr>
          <w:i/>
          <w:sz w:val="22"/>
        </w:rPr>
        <w:t>Islands. </w:t>
      </w:r>
      <w:r>
        <w:rPr>
          <w:sz w:val="22"/>
        </w:rPr>
        <w:t>The</w:t>
      </w:r>
      <w:r>
        <w:rPr>
          <w:spacing w:val="-2"/>
          <w:sz w:val="22"/>
        </w:rPr>
        <w:t> </w:t>
      </w:r>
      <w:r>
        <w:rPr>
          <w:sz w:val="22"/>
        </w:rPr>
        <w:t>individual targets</w:t>
      </w:r>
      <w:r>
        <w:rPr>
          <w:spacing w:val="-2"/>
          <w:sz w:val="22"/>
        </w:rPr>
        <w:t> </w:t>
      </w:r>
      <w:r>
        <w:rPr>
          <w:sz w:val="22"/>
        </w:rPr>
        <w:t>presented</w:t>
      </w:r>
      <w:r>
        <w:rPr>
          <w:spacing w:val="-3"/>
          <w:sz w:val="22"/>
        </w:rPr>
        <w:t> </w:t>
      </w:r>
      <w:r>
        <w:rPr>
          <w:sz w:val="22"/>
        </w:rPr>
        <w:t>in</w:t>
      </w:r>
      <w:r>
        <w:rPr>
          <w:spacing w:val="-3"/>
          <w:sz w:val="22"/>
        </w:rPr>
        <w:t> </w:t>
      </w:r>
      <w:r>
        <w:rPr>
          <w:sz w:val="22"/>
        </w:rPr>
        <w:t>the framework,</w:t>
      </w:r>
      <w:r>
        <w:rPr>
          <w:spacing w:val="-5"/>
          <w:sz w:val="22"/>
        </w:rPr>
        <w:t> </w:t>
      </w:r>
      <w:r>
        <w:rPr>
          <w:sz w:val="22"/>
        </w:rPr>
        <w:t>if</w:t>
      </w:r>
      <w:r>
        <w:rPr>
          <w:spacing w:val="-3"/>
          <w:sz w:val="22"/>
        </w:rPr>
        <w:t> </w:t>
      </w:r>
      <w:r>
        <w:rPr>
          <w:sz w:val="22"/>
        </w:rPr>
        <w:t>achieved,</w:t>
      </w:r>
      <w:r>
        <w:rPr>
          <w:spacing w:val="-5"/>
          <w:sz w:val="22"/>
        </w:rPr>
        <w:t> </w:t>
      </w:r>
      <w:r>
        <w:rPr>
          <w:sz w:val="22"/>
        </w:rPr>
        <w:t>will contribute to the achievement of this goal.</w:t>
      </w:r>
    </w:p>
    <w:p>
      <w:pPr>
        <w:pStyle w:val="BodyText"/>
        <w:spacing w:before="116"/>
        <w:ind w:left="1119" w:right="1173"/>
        <w:jc w:val="both"/>
      </w:pPr>
      <w:r>
        <w:rPr/>
        <w:t>There are three other important factors that contribute to education quality that are not explicitly addressed in the NEAP and have not been included in the 2017 matrix. They relate to teacher effectiveness and have been cited in research as important factors affecting the quality of teaching and learning. They are:</w:t>
      </w:r>
    </w:p>
    <w:p>
      <w:pPr>
        <w:pStyle w:val="ListParagraph"/>
        <w:numPr>
          <w:ilvl w:val="0"/>
          <w:numId w:val="8"/>
        </w:numPr>
        <w:tabs>
          <w:tab w:pos="1892" w:val="left" w:leader="none"/>
          <w:tab w:pos="1893" w:val="left" w:leader="none"/>
        </w:tabs>
        <w:spacing w:line="240" w:lineRule="auto" w:before="118" w:after="0"/>
        <w:ind w:left="1892" w:right="0" w:hanging="361"/>
        <w:jc w:val="left"/>
        <w:rPr>
          <w:sz w:val="22"/>
        </w:rPr>
      </w:pPr>
      <w:r>
        <w:rPr>
          <w:sz w:val="22"/>
        </w:rPr>
        <w:t>Time</w:t>
      </w:r>
      <w:r>
        <w:rPr>
          <w:spacing w:val="-5"/>
          <w:sz w:val="22"/>
        </w:rPr>
        <w:t> </w:t>
      </w:r>
      <w:r>
        <w:rPr>
          <w:sz w:val="22"/>
        </w:rPr>
        <w:t>spent</w:t>
      </w:r>
      <w:r>
        <w:rPr>
          <w:spacing w:val="-5"/>
          <w:sz w:val="22"/>
        </w:rPr>
        <w:t> </w:t>
      </w:r>
      <w:r>
        <w:rPr>
          <w:sz w:val="22"/>
        </w:rPr>
        <w:t>on</w:t>
      </w:r>
      <w:r>
        <w:rPr>
          <w:spacing w:val="-3"/>
          <w:sz w:val="22"/>
        </w:rPr>
        <w:t> </w:t>
      </w:r>
      <w:r>
        <w:rPr>
          <w:sz w:val="22"/>
        </w:rPr>
        <w:t>learning</w:t>
      </w:r>
      <w:r>
        <w:rPr>
          <w:spacing w:val="-2"/>
          <w:sz w:val="22"/>
        </w:rPr>
        <w:t> </w:t>
      </w:r>
      <w:r>
        <w:rPr>
          <w:sz w:val="22"/>
        </w:rPr>
        <w:t>(time</w:t>
      </w:r>
      <w:r>
        <w:rPr>
          <w:spacing w:val="-3"/>
          <w:sz w:val="22"/>
        </w:rPr>
        <w:t> </w:t>
      </w:r>
      <w:r>
        <w:rPr>
          <w:sz w:val="22"/>
        </w:rPr>
        <w:t>on</w:t>
      </w:r>
      <w:r>
        <w:rPr>
          <w:spacing w:val="-3"/>
          <w:sz w:val="22"/>
        </w:rPr>
        <w:t> </w:t>
      </w:r>
      <w:r>
        <w:rPr>
          <w:spacing w:val="-2"/>
          <w:sz w:val="22"/>
        </w:rPr>
        <w:t>task)</w:t>
      </w:r>
    </w:p>
    <w:p>
      <w:pPr>
        <w:pStyle w:val="ListParagraph"/>
        <w:numPr>
          <w:ilvl w:val="0"/>
          <w:numId w:val="8"/>
        </w:numPr>
        <w:tabs>
          <w:tab w:pos="1892" w:val="left" w:leader="none"/>
          <w:tab w:pos="1893" w:val="left" w:leader="none"/>
        </w:tabs>
        <w:spacing w:line="240" w:lineRule="auto" w:before="123" w:after="0"/>
        <w:ind w:left="1892" w:right="0" w:hanging="361"/>
        <w:jc w:val="left"/>
        <w:rPr>
          <w:sz w:val="22"/>
        </w:rPr>
      </w:pPr>
      <w:r>
        <w:rPr>
          <w:sz w:val="22"/>
        </w:rPr>
        <w:t>Teacher</w:t>
      </w:r>
      <w:r>
        <w:rPr>
          <w:spacing w:val="-11"/>
          <w:sz w:val="22"/>
        </w:rPr>
        <w:t> </w:t>
      </w:r>
      <w:r>
        <w:rPr>
          <w:spacing w:val="-2"/>
          <w:sz w:val="22"/>
        </w:rPr>
        <w:t>absenteeism</w:t>
      </w:r>
    </w:p>
    <w:p>
      <w:pPr>
        <w:pStyle w:val="ListParagraph"/>
        <w:numPr>
          <w:ilvl w:val="0"/>
          <w:numId w:val="8"/>
        </w:numPr>
        <w:tabs>
          <w:tab w:pos="1892" w:val="left" w:leader="none"/>
          <w:tab w:pos="1893" w:val="left" w:leader="none"/>
        </w:tabs>
        <w:spacing w:line="240" w:lineRule="auto" w:before="118" w:after="0"/>
        <w:ind w:left="1892" w:right="0" w:hanging="361"/>
        <w:jc w:val="left"/>
        <w:rPr>
          <w:sz w:val="22"/>
        </w:rPr>
      </w:pPr>
      <w:r>
        <w:rPr>
          <w:sz w:val="22"/>
        </w:rPr>
        <w:t>Teacher</w:t>
      </w:r>
      <w:r>
        <w:rPr>
          <w:spacing w:val="-9"/>
          <w:sz w:val="22"/>
        </w:rPr>
        <w:t> </w:t>
      </w:r>
      <w:r>
        <w:rPr>
          <w:spacing w:val="-2"/>
          <w:sz w:val="22"/>
        </w:rPr>
        <w:t>turnover.</w:t>
      </w:r>
    </w:p>
    <w:p>
      <w:pPr>
        <w:spacing w:after="0" w:line="240" w:lineRule="auto"/>
        <w:jc w:val="left"/>
        <w:rPr>
          <w:sz w:val="22"/>
        </w:rPr>
        <w:sectPr>
          <w:pgSz w:w="11900" w:h="16840"/>
          <w:pgMar w:header="751" w:footer="1206" w:top="1640" w:bottom="1420" w:left="320" w:right="260"/>
        </w:sectPr>
      </w:pPr>
    </w:p>
    <w:p>
      <w:pPr>
        <w:pStyle w:val="BodyText"/>
        <w:spacing w:before="46"/>
        <w:ind w:left="1120" w:right="1173"/>
        <w:jc w:val="both"/>
      </w:pPr>
      <w:r>
        <w:rPr/>
        <w:t>Given the importance of these factors, it is suggested that consideration be given to including these factors in the 2018 performance matrix and that data about these factors be collected as part of the 2017 NEAP monitoring and evaluation activities.</w:t>
      </w:r>
    </w:p>
    <w:p>
      <w:pPr>
        <w:pStyle w:val="BodyText"/>
      </w:pPr>
    </w:p>
    <w:p>
      <w:pPr>
        <w:pStyle w:val="BodyText"/>
        <w:spacing w:before="11"/>
        <w:rPr>
          <w:sz w:val="20"/>
        </w:rPr>
      </w:pPr>
    </w:p>
    <w:p>
      <w:pPr>
        <w:spacing w:before="0"/>
        <w:ind w:left="1120" w:right="0" w:firstLine="0"/>
        <w:jc w:val="both"/>
        <w:rPr>
          <w:rFonts w:ascii="Calibri Light"/>
          <w:b w:val="0"/>
          <w:i/>
          <w:sz w:val="23"/>
        </w:rPr>
      </w:pPr>
      <w:r>
        <w:rPr>
          <w:rFonts w:ascii="Calibri Light"/>
          <w:b w:val="0"/>
          <w:i/>
          <w:sz w:val="23"/>
        </w:rPr>
        <w:t>Goal</w:t>
      </w:r>
      <w:r>
        <w:rPr>
          <w:rFonts w:ascii="Calibri Light"/>
          <w:b w:val="0"/>
          <w:i/>
          <w:spacing w:val="16"/>
          <w:sz w:val="23"/>
        </w:rPr>
        <w:t> </w:t>
      </w:r>
      <w:r>
        <w:rPr>
          <w:rFonts w:ascii="Calibri Light"/>
          <w:b w:val="0"/>
          <w:i/>
          <w:sz w:val="23"/>
        </w:rPr>
        <w:t>of</w:t>
      </w:r>
      <w:r>
        <w:rPr>
          <w:rFonts w:ascii="Calibri Light"/>
          <w:b w:val="0"/>
          <w:i/>
          <w:spacing w:val="18"/>
          <w:sz w:val="23"/>
        </w:rPr>
        <w:t> </w:t>
      </w:r>
      <w:r>
        <w:rPr>
          <w:rFonts w:ascii="Calibri Light"/>
          <w:b w:val="0"/>
          <w:i/>
          <w:sz w:val="23"/>
        </w:rPr>
        <w:t>2017</w:t>
      </w:r>
      <w:r>
        <w:rPr>
          <w:rFonts w:ascii="Calibri Light"/>
          <w:b w:val="0"/>
          <w:i/>
          <w:spacing w:val="15"/>
          <w:sz w:val="23"/>
        </w:rPr>
        <w:t> </w:t>
      </w:r>
      <w:r>
        <w:rPr>
          <w:rFonts w:ascii="Calibri Light"/>
          <w:b w:val="0"/>
          <w:i/>
          <w:spacing w:val="-5"/>
          <w:sz w:val="23"/>
        </w:rPr>
        <w:t>EPM</w:t>
      </w:r>
    </w:p>
    <w:p>
      <w:pPr>
        <w:pStyle w:val="BodyText"/>
        <w:spacing w:before="6"/>
        <w:rPr>
          <w:rFonts w:ascii="Calibri Light"/>
          <w:b w:val="0"/>
          <w:i/>
          <w:sz w:val="19"/>
        </w:rPr>
      </w:pPr>
    </w:p>
    <w:p>
      <w:pPr>
        <w:pStyle w:val="BodyText"/>
        <w:ind w:left="1120"/>
      </w:pPr>
      <w:r>
        <w:rPr/>
        <w:t>To</w:t>
      </w:r>
      <w:r>
        <w:rPr>
          <w:spacing w:val="-8"/>
        </w:rPr>
        <w:t> </w:t>
      </w:r>
      <w:r>
        <w:rPr/>
        <w:t>improve</w:t>
      </w:r>
      <w:r>
        <w:rPr>
          <w:spacing w:val="-4"/>
        </w:rPr>
        <w:t> </w:t>
      </w:r>
      <w:r>
        <w:rPr/>
        <w:t>the</w:t>
      </w:r>
      <w:r>
        <w:rPr>
          <w:spacing w:val="-4"/>
        </w:rPr>
        <w:t> </w:t>
      </w:r>
      <w:r>
        <w:rPr/>
        <w:t>quality</w:t>
      </w:r>
      <w:r>
        <w:rPr>
          <w:spacing w:val="-3"/>
        </w:rPr>
        <w:t> </w:t>
      </w:r>
      <w:r>
        <w:rPr/>
        <w:t>of</w:t>
      </w:r>
      <w:r>
        <w:rPr>
          <w:spacing w:val="-5"/>
        </w:rPr>
        <w:t> </w:t>
      </w:r>
      <w:r>
        <w:rPr/>
        <w:t>education in</w:t>
      </w:r>
      <w:r>
        <w:rPr>
          <w:spacing w:val="-5"/>
        </w:rPr>
        <w:t> </w:t>
      </w:r>
      <w:r>
        <w:rPr/>
        <w:t>Solomon</w:t>
      </w:r>
      <w:r>
        <w:rPr>
          <w:spacing w:val="-5"/>
        </w:rPr>
        <w:t> </w:t>
      </w:r>
      <w:r>
        <w:rPr/>
        <w:t>Islands</w:t>
      </w:r>
      <w:r>
        <w:rPr>
          <w:spacing w:val="-4"/>
        </w:rPr>
        <w:t> </w:t>
      </w:r>
      <w:r>
        <w:rPr/>
        <w:t>by</w:t>
      </w:r>
      <w:r>
        <w:rPr>
          <w:spacing w:val="-2"/>
        </w:rPr>
        <w:t> improving:</w:t>
      </w:r>
    </w:p>
    <w:p>
      <w:pPr>
        <w:pStyle w:val="ListParagraph"/>
        <w:numPr>
          <w:ilvl w:val="0"/>
          <w:numId w:val="9"/>
        </w:numPr>
        <w:tabs>
          <w:tab w:pos="1841" w:val="left" w:leader="none"/>
        </w:tabs>
        <w:spacing w:line="240" w:lineRule="auto" w:before="120" w:after="0"/>
        <w:ind w:left="1840" w:right="0" w:hanging="362"/>
        <w:jc w:val="left"/>
        <w:rPr>
          <w:sz w:val="22"/>
        </w:rPr>
      </w:pPr>
      <w:r>
        <w:rPr>
          <w:sz w:val="22"/>
        </w:rPr>
        <w:t>The</w:t>
      </w:r>
      <w:r>
        <w:rPr>
          <w:spacing w:val="-6"/>
          <w:sz w:val="22"/>
        </w:rPr>
        <w:t> </w:t>
      </w:r>
      <w:r>
        <w:rPr>
          <w:sz w:val="22"/>
        </w:rPr>
        <w:t>quality</w:t>
      </w:r>
      <w:r>
        <w:rPr>
          <w:spacing w:val="-4"/>
          <w:sz w:val="22"/>
        </w:rPr>
        <w:t> </w:t>
      </w:r>
      <w:r>
        <w:rPr>
          <w:sz w:val="22"/>
        </w:rPr>
        <w:t>of</w:t>
      </w:r>
      <w:r>
        <w:rPr>
          <w:spacing w:val="-5"/>
          <w:sz w:val="22"/>
        </w:rPr>
        <w:t> </w:t>
      </w:r>
      <w:r>
        <w:rPr>
          <w:sz w:val="22"/>
        </w:rPr>
        <w:t>teachers</w:t>
      </w:r>
      <w:r>
        <w:rPr>
          <w:spacing w:val="-5"/>
          <w:sz w:val="22"/>
        </w:rPr>
        <w:t> </w:t>
      </w:r>
      <w:r>
        <w:rPr>
          <w:sz w:val="22"/>
        </w:rPr>
        <w:t>and</w:t>
      </w:r>
      <w:r>
        <w:rPr>
          <w:spacing w:val="-1"/>
          <w:sz w:val="22"/>
        </w:rPr>
        <w:t> </w:t>
      </w:r>
      <w:r>
        <w:rPr>
          <w:spacing w:val="-2"/>
          <w:sz w:val="22"/>
        </w:rPr>
        <w:t>teaching.</w:t>
      </w:r>
    </w:p>
    <w:p>
      <w:pPr>
        <w:pStyle w:val="ListParagraph"/>
        <w:numPr>
          <w:ilvl w:val="0"/>
          <w:numId w:val="9"/>
        </w:numPr>
        <w:tabs>
          <w:tab w:pos="1841" w:val="left" w:leader="none"/>
        </w:tabs>
        <w:spacing w:line="240" w:lineRule="auto" w:before="120" w:after="0"/>
        <w:ind w:left="1840" w:right="0" w:hanging="361"/>
        <w:jc w:val="left"/>
        <w:rPr>
          <w:sz w:val="22"/>
        </w:rPr>
      </w:pPr>
      <w:r>
        <w:rPr>
          <w:sz w:val="22"/>
        </w:rPr>
        <w:t>Equitable</w:t>
      </w:r>
      <w:r>
        <w:rPr>
          <w:spacing w:val="-7"/>
          <w:sz w:val="22"/>
        </w:rPr>
        <w:t> </w:t>
      </w:r>
      <w:r>
        <w:rPr>
          <w:sz w:val="22"/>
        </w:rPr>
        <w:t>access</w:t>
      </w:r>
      <w:r>
        <w:rPr>
          <w:spacing w:val="-7"/>
          <w:sz w:val="22"/>
        </w:rPr>
        <w:t> </w:t>
      </w:r>
      <w:r>
        <w:rPr>
          <w:sz w:val="22"/>
        </w:rPr>
        <w:t>to</w:t>
      </w:r>
      <w:r>
        <w:rPr>
          <w:spacing w:val="-3"/>
          <w:sz w:val="22"/>
        </w:rPr>
        <w:t> </w:t>
      </w:r>
      <w:r>
        <w:rPr>
          <w:spacing w:val="-2"/>
          <w:sz w:val="22"/>
        </w:rPr>
        <w:t>education.</w:t>
      </w:r>
    </w:p>
    <w:p>
      <w:pPr>
        <w:pStyle w:val="ListParagraph"/>
        <w:numPr>
          <w:ilvl w:val="0"/>
          <w:numId w:val="9"/>
        </w:numPr>
        <w:tabs>
          <w:tab w:pos="1841" w:val="left" w:leader="none"/>
        </w:tabs>
        <w:spacing w:line="240" w:lineRule="auto" w:before="121" w:after="0"/>
        <w:ind w:left="1840" w:right="1177" w:hanging="361"/>
        <w:jc w:val="left"/>
        <w:rPr>
          <w:sz w:val="22"/>
        </w:rPr>
      </w:pPr>
      <w:r>
        <w:rPr>
          <w:sz w:val="22"/>
        </w:rPr>
        <w:t>The quality and effectiveness of educational leadership and management at all levels of the </w:t>
      </w:r>
      <w:r>
        <w:rPr>
          <w:spacing w:val="-2"/>
          <w:sz w:val="22"/>
        </w:rPr>
        <w:t>system.</w:t>
      </w:r>
    </w:p>
    <w:p>
      <w:pPr>
        <w:pStyle w:val="ListParagraph"/>
        <w:numPr>
          <w:ilvl w:val="0"/>
          <w:numId w:val="9"/>
        </w:numPr>
        <w:tabs>
          <w:tab w:pos="1841" w:val="left" w:leader="none"/>
        </w:tabs>
        <w:spacing w:line="240" w:lineRule="auto" w:before="120" w:after="0"/>
        <w:ind w:left="1840" w:right="0" w:hanging="361"/>
        <w:jc w:val="left"/>
        <w:rPr>
          <w:sz w:val="22"/>
        </w:rPr>
      </w:pPr>
      <w:r>
        <w:rPr>
          <w:sz w:val="22"/>
        </w:rPr>
        <w:t>The</w:t>
      </w:r>
      <w:r>
        <w:rPr>
          <w:spacing w:val="-7"/>
          <w:sz w:val="22"/>
        </w:rPr>
        <w:t> </w:t>
      </w:r>
      <w:r>
        <w:rPr>
          <w:sz w:val="22"/>
        </w:rPr>
        <w:t>resourcing</w:t>
      </w:r>
      <w:r>
        <w:rPr>
          <w:spacing w:val="-4"/>
          <w:sz w:val="22"/>
        </w:rPr>
        <w:t> </w:t>
      </w:r>
      <w:r>
        <w:rPr>
          <w:sz w:val="22"/>
        </w:rPr>
        <w:t>and</w:t>
      </w:r>
      <w:r>
        <w:rPr>
          <w:spacing w:val="-6"/>
          <w:sz w:val="22"/>
        </w:rPr>
        <w:t> </w:t>
      </w:r>
      <w:r>
        <w:rPr>
          <w:sz w:val="22"/>
        </w:rPr>
        <w:t>utilisation</w:t>
      </w:r>
      <w:r>
        <w:rPr>
          <w:spacing w:val="-5"/>
          <w:sz w:val="22"/>
        </w:rPr>
        <w:t> </w:t>
      </w:r>
      <w:r>
        <w:rPr>
          <w:sz w:val="22"/>
        </w:rPr>
        <w:t>of</w:t>
      </w:r>
      <w:r>
        <w:rPr>
          <w:spacing w:val="-6"/>
          <w:sz w:val="22"/>
        </w:rPr>
        <w:t> </w:t>
      </w:r>
      <w:r>
        <w:rPr>
          <w:sz w:val="22"/>
        </w:rPr>
        <w:t>available</w:t>
      </w:r>
      <w:r>
        <w:rPr>
          <w:spacing w:val="-5"/>
          <w:sz w:val="22"/>
        </w:rPr>
        <w:t> </w:t>
      </w:r>
      <w:r>
        <w:rPr>
          <w:sz w:val="22"/>
        </w:rPr>
        <w:t>education</w:t>
      </w:r>
      <w:r>
        <w:rPr>
          <w:spacing w:val="-5"/>
          <w:sz w:val="22"/>
        </w:rPr>
        <w:t> </w:t>
      </w:r>
      <w:r>
        <w:rPr>
          <w:spacing w:val="-2"/>
          <w:sz w:val="22"/>
        </w:rPr>
        <w:t>resources.</w:t>
      </w:r>
    </w:p>
    <w:p>
      <w:pPr>
        <w:spacing w:after="0" w:line="240" w:lineRule="auto"/>
        <w:jc w:val="left"/>
        <w:rPr>
          <w:sz w:val="22"/>
        </w:rPr>
        <w:sectPr>
          <w:pgSz w:w="11900" w:h="16840"/>
          <w:pgMar w:header="751" w:footer="1206" w:top="1640" w:bottom="1420" w:left="320" w:right="2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3082"/>
        <w:gridCol w:w="6034"/>
        <w:gridCol w:w="3927"/>
      </w:tblGrid>
      <w:tr>
        <w:trPr>
          <w:trHeight w:val="714" w:hRule="atLeast"/>
        </w:trPr>
        <w:tc>
          <w:tcPr>
            <w:tcW w:w="562" w:type="dxa"/>
            <w:shd w:val="clear" w:color="auto" w:fill="B4C6E7"/>
          </w:tcPr>
          <w:p>
            <w:pPr>
              <w:pStyle w:val="TableParagraph"/>
              <w:rPr>
                <w:rFonts w:ascii="Times New Roman"/>
                <w:sz w:val="20"/>
              </w:rPr>
            </w:pPr>
          </w:p>
        </w:tc>
        <w:tc>
          <w:tcPr>
            <w:tcW w:w="3082" w:type="dxa"/>
            <w:shd w:val="clear" w:color="auto" w:fill="B4C6E7"/>
          </w:tcPr>
          <w:p>
            <w:pPr>
              <w:pStyle w:val="TableParagraph"/>
              <w:spacing w:before="2"/>
              <w:rPr>
                <w:sz w:val="18"/>
              </w:rPr>
            </w:pPr>
          </w:p>
          <w:p>
            <w:pPr>
              <w:pStyle w:val="TableParagraph"/>
              <w:ind w:left="1127" w:right="1120"/>
              <w:jc w:val="center"/>
              <w:rPr>
                <w:rFonts w:ascii="Calibri Light"/>
                <w:b w:val="0"/>
                <w:sz w:val="22"/>
              </w:rPr>
            </w:pPr>
            <w:r>
              <w:rPr>
                <w:rFonts w:ascii="Calibri Light"/>
                <w:b w:val="0"/>
                <w:spacing w:val="-2"/>
                <w:sz w:val="22"/>
              </w:rPr>
              <w:t>TARGETS</w:t>
            </w:r>
          </w:p>
        </w:tc>
        <w:tc>
          <w:tcPr>
            <w:tcW w:w="6034" w:type="dxa"/>
            <w:shd w:val="clear" w:color="auto" w:fill="B4C6E7"/>
          </w:tcPr>
          <w:p>
            <w:pPr>
              <w:pStyle w:val="TableParagraph"/>
              <w:spacing w:before="2"/>
              <w:rPr>
                <w:sz w:val="18"/>
              </w:rPr>
            </w:pPr>
          </w:p>
          <w:p>
            <w:pPr>
              <w:pStyle w:val="TableParagraph"/>
              <w:ind w:left="1779"/>
              <w:rPr>
                <w:rFonts w:ascii="Calibri Light"/>
                <w:b w:val="0"/>
                <w:sz w:val="22"/>
              </w:rPr>
            </w:pPr>
            <w:r>
              <w:rPr>
                <w:rFonts w:ascii="Calibri Light"/>
                <w:b w:val="0"/>
                <w:spacing w:val="-4"/>
                <w:sz w:val="22"/>
              </w:rPr>
              <w:t>PERFORMANCE</w:t>
            </w:r>
            <w:r>
              <w:rPr>
                <w:rFonts w:ascii="Calibri Light"/>
                <w:b w:val="0"/>
                <w:spacing w:val="10"/>
                <w:sz w:val="22"/>
              </w:rPr>
              <w:t> </w:t>
            </w:r>
            <w:r>
              <w:rPr>
                <w:rFonts w:ascii="Calibri Light"/>
                <w:b w:val="0"/>
                <w:spacing w:val="-2"/>
                <w:sz w:val="22"/>
              </w:rPr>
              <w:t>INDICATORS</w:t>
            </w:r>
          </w:p>
        </w:tc>
        <w:tc>
          <w:tcPr>
            <w:tcW w:w="3927" w:type="dxa"/>
            <w:shd w:val="clear" w:color="auto" w:fill="B4C6E7"/>
          </w:tcPr>
          <w:p>
            <w:pPr>
              <w:pStyle w:val="TableParagraph"/>
              <w:spacing w:line="320" w:lineRule="atLeast" w:before="7"/>
              <w:ind w:left="862" w:right="842" w:firstLine="662"/>
              <w:rPr>
                <w:rFonts w:ascii="Calibri Light"/>
                <w:b w:val="0"/>
                <w:sz w:val="22"/>
              </w:rPr>
            </w:pPr>
            <w:r>
              <w:rPr>
                <w:rFonts w:ascii="Calibri Light"/>
                <w:b w:val="0"/>
                <w:spacing w:val="-2"/>
                <w:sz w:val="22"/>
              </w:rPr>
              <w:t>EVIDENCE</w:t>
            </w:r>
            <w:r>
              <w:rPr>
                <w:rFonts w:ascii="Calibri Light"/>
                <w:b w:val="0"/>
                <w:spacing w:val="40"/>
                <w:sz w:val="22"/>
              </w:rPr>
              <w:t> </w:t>
            </w:r>
            <w:r>
              <w:rPr>
                <w:rFonts w:ascii="Calibri Light"/>
                <w:b w:val="0"/>
                <w:spacing w:val="-2"/>
                <w:sz w:val="22"/>
              </w:rPr>
              <w:t>MEANS</w:t>
            </w:r>
            <w:r>
              <w:rPr>
                <w:rFonts w:ascii="Calibri Light"/>
                <w:b w:val="0"/>
                <w:spacing w:val="-11"/>
                <w:sz w:val="22"/>
              </w:rPr>
              <w:t> </w:t>
            </w:r>
            <w:r>
              <w:rPr>
                <w:rFonts w:ascii="Calibri Light"/>
                <w:b w:val="0"/>
                <w:spacing w:val="-2"/>
                <w:sz w:val="22"/>
              </w:rPr>
              <w:t>OF</w:t>
            </w:r>
            <w:r>
              <w:rPr>
                <w:rFonts w:ascii="Calibri Light"/>
                <w:b w:val="0"/>
                <w:spacing w:val="-10"/>
                <w:sz w:val="22"/>
              </w:rPr>
              <w:t> </w:t>
            </w:r>
            <w:r>
              <w:rPr>
                <w:rFonts w:ascii="Calibri Light"/>
                <w:b w:val="0"/>
                <w:spacing w:val="-2"/>
                <w:sz w:val="22"/>
              </w:rPr>
              <w:t>VERIFICATION</w:t>
            </w:r>
          </w:p>
        </w:tc>
      </w:tr>
      <w:tr>
        <w:trPr>
          <w:trHeight w:val="378" w:hRule="atLeast"/>
        </w:trPr>
        <w:tc>
          <w:tcPr>
            <w:tcW w:w="13605" w:type="dxa"/>
            <w:gridSpan w:val="4"/>
          </w:tcPr>
          <w:p>
            <w:pPr>
              <w:pStyle w:val="TableParagraph"/>
              <w:tabs>
                <w:tab w:pos="830" w:val="left" w:leader="none"/>
              </w:tabs>
              <w:spacing w:before="59"/>
              <w:ind w:left="110"/>
              <w:rPr>
                <w:rFonts w:ascii="Calibri Light"/>
                <w:b w:val="0"/>
                <w:sz w:val="21"/>
              </w:rPr>
            </w:pPr>
            <w:r>
              <w:rPr>
                <w:rFonts w:ascii="Calibri Light"/>
                <w:b w:val="0"/>
                <w:spacing w:val="-5"/>
                <w:sz w:val="21"/>
              </w:rPr>
              <w:t>1.</w:t>
            </w:r>
            <w:r>
              <w:rPr>
                <w:rFonts w:ascii="Calibri Light"/>
                <w:b w:val="0"/>
                <w:sz w:val="21"/>
              </w:rPr>
              <w:tab/>
            </w:r>
            <w:r>
              <w:rPr>
                <w:rFonts w:ascii="Calibri Light"/>
                <w:b w:val="0"/>
                <w:spacing w:val="-2"/>
                <w:sz w:val="21"/>
              </w:rPr>
              <w:t>Education</w:t>
            </w:r>
            <w:r>
              <w:rPr>
                <w:rFonts w:ascii="Calibri Light"/>
                <w:b w:val="0"/>
                <w:spacing w:val="-4"/>
                <w:sz w:val="21"/>
              </w:rPr>
              <w:t> </w:t>
            </w:r>
            <w:r>
              <w:rPr>
                <w:rFonts w:ascii="Calibri Light"/>
                <w:b w:val="0"/>
                <w:spacing w:val="-2"/>
                <w:sz w:val="21"/>
              </w:rPr>
              <w:t>Quality</w:t>
            </w:r>
          </w:p>
        </w:tc>
      </w:tr>
      <w:tr>
        <w:trPr>
          <w:trHeight w:val="911" w:hRule="atLeast"/>
        </w:trPr>
        <w:tc>
          <w:tcPr>
            <w:tcW w:w="562" w:type="dxa"/>
            <w:vMerge w:val="restart"/>
          </w:tcPr>
          <w:p>
            <w:pPr>
              <w:pStyle w:val="TableParagraph"/>
              <w:rPr>
                <w:sz w:val="20"/>
              </w:rPr>
            </w:pPr>
          </w:p>
          <w:p>
            <w:pPr>
              <w:pStyle w:val="TableParagraph"/>
              <w:rPr>
                <w:sz w:val="20"/>
              </w:rPr>
            </w:pPr>
          </w:p>
          <w:p>
            <w:pPr>
              <w:pStyle w:val="TableParagraph"/>
              <w:spacing w:before="156"/>
              <w:ind w:left="110"/>
              <w:rPr>
                <w:rFonts w:ascii="Calibri Light"/>
                <w:b w:val="0"/>
                <w:sz w:val="21"/>
              </w:rPr>
            </w:pPr>
            <w:r>
              <w:rPr>
                <w:rFonts w:ascii="Calibri Light"/>
                <w:b w:val="0"/>
                <w:spacing w:val="-5"/>
                <w:sz w:val="21"/>
              </w:rPr>
              <w:t>1.1</w:t>
            </w:r>
          </w:p>
        </w:tc>
        <w:tc>
          <w:tcPr>
            <w:tcW w:w="3082" w:type="dxa"/>
            <w:vMerge w:val="restart"/>
          </w:tcPr>
          <w:p>
            <w:pPr>
              <w:pStyle w:val="TableParagraph"/>
              <w:rPr>
                <w:sz w:val="20"/>
              </w:rPr>
            </w:pPr>
          </w:p>
          <w:p>
            <w:pPr>
              <w:pStyle w:val="TableParagraph"/>
              <w:spacing w:before="11"/>
              <w:rPr>
                <w:sz w:val="24"/>
              </w:rPr>
            </w:pPr>
          </w:p>
          <w:p>
            <w:pPr>
              <w:pStyle w:val="TableParagraph"/>
              <w:ind w:left="104" w:right="130"/>
              <w:rPr>
                <w:rFonts w:ascii="Calibri Light"/>
                <w:b w:val="0"/>
                <w:sz w:val="21"/>
              </w:rPr>
            </w:pPr>
            <w:r>
              <w:rPr>
                <w:rFonts w:ascii="Calibri Light"/>
                <w:b w:val="0"/>
                <w:sz w:val="21"/>
              </w:rPr>
              <w:t>SISTA 2017 results are analysed</w:t>
            </w:r>
            <w:r>
              <w:rPr>
                <w:rFonts w:ascii="Calibri Light"/>
                <w:b w:val="0"/>
                <w:spacing w:val="40"/>
                <w:sz w:val="21"/>
              </w:rPr>
              <w:t> </w:t>
            </w:r>
            <w:r>
              <w:rPr>
                <w:rFonts w:ascii="Calibri Light"/>
                <w:b w:val="0"/>
                <w:sz w:val="21"/>
              </w:rPr>
              <w:t>to assess improvements in literacy</w:t>
            </w:r>
            <w:r>
              <w:rPr>
                <w:rFonts w:ascii="Calibri Light"/>
                <w:b w:val="0"/>
                <w:spacing w:val="-10"/>
                <w:sz w:val="21"/>
              </w:rPr>
              <w:t> </w:t>
            </w:r>
            <w:r>
              <w:rPr>
                <w:rFonts w:ascii="Calibri Light"/>
                <w:b w:val="0"/>
                <w:sz w:val="21"/>
              </w:rPr>
              <w:t>and</w:t>
            </w:r>
            <w:r>
              <w:rPr>
                <w:rFonts w:ascii="Calibri Light"/>
                <w:b w:val="0"/>
                <w:spacing w:val="-7"/>
                <w:sz w:val="21"/>
              </w:rPr>
              <w:t> </w:t>
            </w:r>
            <w:r>
              <w:rPr>
                <w:rFonts w:ascii="Calibri Light"/>
                <w:b w:val="0"/>
                <w:sz w:val="21"/>
              </w:rPr>
              <w:t>numeracy</w:t>
            </w:r>
            <w:r>
              <w:rPr>
                <w:rFonts w:ascii="Calibri Light"/>
                <w:b w:val="0"/>
                <w:spacing w:val="-10"/>
                <w:sz w:val="21"/>
              </w:rPr>
              <w:t> </w:t>
            </w:r>
            <w:r>
              <w:rPr>
                <w:rFonts w:ascii="Calibri Light"/>
                <w:b w:val="0"/>
                <w:sz w:val="21"/>
              </w:rPr>
              <w:t>and</w:t>
            </w:r>
            <w:r>
              <w:rPr>
                <w:rFonts w:ascii="Calibri Light"/>
                <w:b w:val="0"/>
                <w:spacing w:val="-7"/>
                <w:sz w:val="21"/>
              </w:rPr>
              <w:t> </w:t>
            </w:r>
            <w:r>
              <w:rPr>
                <w:rFonts w:ascii="Calibri Light"/>
                <w:b w:val="0"/>
                <w:sz w:val="21"/>
              </w:rPr>
              <w:t>design</w:t>
            </w:r>
          </w:p>
        </w:tc>
        <w:tc>
          <w:tcPr>
            <w:tcW w:w="6034" w:type="dxa"/>
          </w:tcPr>
          <w:p>
            <w:pPr>
              <w:pStyle w:val="TableParagraph"/>
              <w:spacing w:before="2"/>
              <w:rPr>
                <w:sz w:val="16"/>
              </w:rPr>
            </w:pPr>
          </w:p>
          <w:p>
            <w:pPr>
              <w:pStyle w:val="TableParagraph"/>
              <w:spacing w:before="1"/>
              <w:ind w:left="704" w:hanging="601"/>
              <w:rPr>
                <w:rFonts w:ascii="Calibri Light"/>
                <w:b w:val="0"/>
                <w:sz w:val="21"/>
              </w:rPr>
            </w:pPr>
            <w:r>
              <w:rPr>
                <w:rFonts w:ascii="Calibri Light"/>
                <w:b w:val="0"/>
                <w:sz w:val="21"/>
              </w:rPr>
              <w:t>1.1.1</w:t>
            </w:r>
            <w:r>
              <w:rPr>
                <w:rFonts w:ascii="Calibri Light"/>
                <w:b w:val="0"/>
                <w:spacing w:val="80"/>
                <w:w w:val="150"/>
                <w:sz w:val="21"/>
              </w:rPr>
              <w:t> </w:t>
            </w:r>
            <w:r>
              <w:rPr>
                <w:rFonts w:ascii="Calibri Light"/>
                <w:b w:val="0"/>
                <w:sz w:val="21"/>
              </w:rPr>
              <w:t>SISTA</w:t>
            </w:r>
            <w:r>
              <w:rPr>
                <w:rFonts w:ascii="Calibri Light"/>
                <w:b w:val="0"/>
                <w:spacing w:val="-1"/>
                <w:sz w:val="21"/>
              </w:rPr>
              <w:t> </w:t>
            </w:r>
            <w:r>
              <w:rPr>
                <w:rFonts w:ascii="Calibri Light"/>
                <w:b w:val="0"/>
                <w:sz w:val="21"/>
              </w:rPr>
              <w:t>2017</w:t>
            </w:r>
            <w:r>
              <w:rPr>
                <w:rFonts w:ascii="Calibri Light"/>
                <w:b w:val="0"/>
                <w:spacing w:val="-3"/>
                <w:sz w:val="21"/>
              </w:rPr>
              <w:t> </w:t>
            </w:r>
            <w:r>
              <w:rPr>
                <w:rFonts w:ascii="Calibri Light"/>
                <w:b w:val="0"/>
                <w:sz w:val="21"/>
              </w:rPr>
              <w:t>results</w:t>
            </w:r>
            <w:r>
              <w:rPr>
                <w:rFonts w:ascii="Calibri Light"/>
                <w:b w:val="0"/>
                <w:spacing w:val="-7"/>
                <w:sz w:val="21"/>
              </w:rPr>
              <w:t> </w:t>
            </w:r>
            <w:r>
              <w:rPr>
                <w:rFonts w:ascii="Calibri Light"/>
                <w:b w:val="0"/>
                <w:sz w:val="21"/>
              </w:rPr>
              <w:t>are</w:t>
            </w:r>
            <w:r>
              <w:rPr>
                <w:rFonts w:ascii="Calibri Light"/>
                <w:b w:val="0"/>
                <w:spacing w:val="-6"/>
                <w:sz w:val="21"/>
              </w:rPr>
              <w:t> </w:t>
            </w:r>
            <w:r>
              <w:rPr>
                <w:rFonts w:ascii="Calibri Light"/>
                <w:b w:val="0"/>
                <w:sz w:val="21"/>
              </w:rPr>
              <w:t>analysed</w:t>
            </w:r>
            <w:r>
              <w:rPr>
                <w:rFonts w:ascii="Calibri Light"/>
                <w:b w:val="0"/>
                <w:spacing w:val="-1"/>
                <w:sz w:val="21"/>
              </w:rPr>
              <w:t> </w:t>
            </w:r>
            <w:r>
              <w:rPr>
                <w:rFonts w:ascii="Calibri Light"/>
                <w:b w:val="0"/>
                <w:sz w:val="21"/>
              </w:rPr>
              <w:t>by</w:t>
            </w:r>
            <w:r>
              <w:rPr>
                <w:rFonts w:ascii="Calibri Light"/>
                <w:b w:val="0"/>
                <w:spacing w:val="-4"/>
                <w:sz w:val="21"/>
              </w:rPr>
              <w:t> </w:t>
            </w:r>
            <w:r>
              <w:rPr>
                <w:rFonts w:ascii="Calibri Light"/>
                <w:b w:val="0"/>
                <w:sz w:val="21"/>
              </w:rPr>
              <w:t>MEHRD</w:t>
            </w:r>
            <w:r>
              <w:rPr>
                <w:rFonts w:ascii="Calibri Light"/>
                <w:b w:val="0"/>
                <w:spacing w:val="-5"/>
                <w:sz w:val="21"/>
              </w:rPr>
              <w:t> </w:t>
            </w:r>
            <w:r>
              <w:rPr>
                <w:rFonts w:ascii="Calibri Light"/>
                <w:b w:val="0"/>
                <w:sz w:val="21"/>
              </w:rPr>
              <w:t>and</w:t>
            </w:r>
            <w:r>
              <w:rPr>
                <w:rFonts w:ascii="Calibri Light"/>
                <w:b w:val="0"/>
                <w:spacing w:val="-1"/>
                <w:sz w:val="21"/>
              </w:rPr>
              <w:t> </w:t>
            </w:r>
            <w:r>
              <w:rPr>
                <w:rFonts w:ascii="Calibri Light"/>
                <w:b w:val="0"/>
                <w:sz w:val="21"/>
              </w:rPr>
              <w:t>the</w:t>
            </w:r>
            <w:r>
              <w:rPr>
                <w:rFonts w:ascii="Calibri Light"/>
                <w:b w:val="0"/>
                <w:spacing w:val="-5"/>
                <w:sz w:val="21"/>
              </w:rPr>
              <w:t> </w:t>
            </w:r>
            <w:r>
              <w:rPr>
                <w:rFonts w:ascii="Calibri Light"/>
                <w:b w:val="0"/>
                <w:sz w:val="21"/>
              </w:rPr>
              <w:t>findings communicated to schools and Education Authorities</w:t>
            </w:r>
          </w:p>
        </w:tc>
        <w:tc>
          <w:tcPr>
            <w:tcW w:w="3927" w:type="dxa"/>
          </w:tcPr>
          <w:p>
            <w:pPr>
              <w:pStyle w:val="TableParagraph"/>
              <w:numPr>
                <w:ilvl w:val="0"/>
                <w:numId w:val="10"/>
              </w:numPr>
              <w:tabs>
                <w:tab w:pos="383" w:val="left" w:leader="none"/>
              </w:tabs>
              <w:spacing w:line="240" w:lineRule="auto" w:before="57" w:after="0"/>
              <w:ind w:left="382" w:right="476"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7"/>
                <w:sz w:val="21"/>
              </w:rPr>
              <w:t> </w:t>
            </w:r>
            <w:r>
              <w:rPr>
                <w:rFonts w:ascii="Calibri Light" w:hAnsi="Calibri Light"/>
                <w:b w:val="0"/>
                <w:sz w:val="21"/>
              </w:rPr>
              <w:t>of</w:t>
            </w:r>
            <w:r>
              <w:rPr>
                <w:rFonts w:ascii="Calibri Light" w:hAnsi="Calibri Light"/>
                <w:b w:val="0"/>
                <w:spacing w:val="-6"/>
                <w:sz w:val="21"/>
              </w:rPr>
              <w:t> </w:t>
            </w:r>
            <w:r>
              <w:rPr>
                <w:rFonts w:ascii="Calibri Light" w:hAnsi="Calibri Light"/>
                <w:b w:val="0"/>
                <w:sz w:val="21"/>
              </w:rPr>
              <w:t>SISTA</w:t>
            </w:r>
            <w:r>
              <w:rPr>
                <w:rFonts w:ascii="Calibri Light" w:hAnsi="Calibri Light"/>
                <w:b w:val="0"/>
                <w:spacing w:val="-9"/>
                <w:sz w:val="21"/>
              </w:rPr>
              <w:t> </w:t>
            </w:r>
            <w:r>
              <w:rPr>
                <w:rFonts w:ascii="Calibri Light" w:hAnsi="Calibri Light"/>
                <w:b w:val="0"/>
                <w:sz w:val="21"/>
              </w:rPr>
              <w:t>analysis</w:t>
            </w:r>
            <w:r>
              <w:rPr>
                <w:rFonts w:ascii="Calibri Light" w:hAnsi="Calibri Light"/>
                <w:b w:val="0"/>
                <w:spacing w:val="-5"/>
                <w:sz w:val="21"/>
              </w:rPr>
              <w:t> </w:t>
            </w:r>
            <w:r>
              <w:rPr>
                <w:rFonts w:ascii="Calibri Light" w:hAnsi="Calibri Light"/>
                <w:b w:val="0"/>
                <w:sz w:val="21"/>
              </w:rPr>
              <w:t>conducted</w:t>
            </w:r>
            <w:r>
              <w:rPr>
                <w:rFonts w:ascii="Calibri Light" w:hAnsi="Calibri Light"/>
                <w:b w:val="0"/>
                <w:spacing w:val="-4"/>
                <w:sz w:val="21"/>
              </w:rPr>
              <w:t> </w:t>
            </w:r>
            <w:r>
              <w:rPr>
                <w:rFonts w:ascii="Calibri Light" w:hAnsi="Calibri Light"/>
                <w:b w:val="0"/>
                <w:sz w:val="21"/>
              </w:rPr>
              <w:t>by </w:t>
            </w:r>
            <w:r>
              <w:rPr>
                <w:rFonts w:ascii="Calibri Light" w:hAnsi="Calibri Light"/>
                <w:b w:val="0"/>
                <w:spacing w:val="-4"/>
                <w:sz w:val="21"/>
              </w:rPr>
              <w:t>MEHRD</w:t>
            </w:r>
          </w:p>
          <w:p>
            <w:pPr>
              <w:pStyle w:val="TableParagraph"/>
              <w:numPr>
                <w:ilvl w:val="0"/>
                <w:numId w:val="10"/>
              </w:numPr>
              <w:tabs>
                <w:tab w:pos="383" w:val="left" w:leader="none"/>
              </w:tabs>
              <w:spacing w:line="267" w:lineRule="exact" w:before="0" w:after="0"/>
              <w:ind w:left="382" w:right="0" w:hanging="275"/>
              <w:jc w:val="left"/>
              <w:rPr>
                <w:rFonts w:ascii="Calibri Light" w:hAnsi="Calibri Light"/>
                <w:b w:val="0"/>
                <w:sz w:val="21"/>
              </w:rPr>
            </w:pPr>
            <w:r>
              <w:rPr>
                <w:rFonts w:ascii="Calibri Light" w:hAnsi="Calibri Light"/>
                <w:b w:val="0"/>
                <w:sz w:val="21"/>
              </w:rPr>
              <w:t>Copy</w:t>
            </w:r>
            <w:r>
              <w:rPr>
                <w:rFonts w:ascii="Calibri Light" w:hAnsi="Calibri Light"/>
                <w:b w:val="0"/>
                <w:spacing w:val="-6"/>
                <w:sz w:val="21"/>
              </w:rPr>
              <w:t> </w:t>
            </w:r>
            <w:r>
              <w:rPr>
                <w:rFonts w:ascii="Calibri Light" w:hAnsi="Calibri Light"/>
                <w:b w:val="0"/>
                <w:sz w:val="21"/>
              </w:rPr>
              <w:t>of</w:t>
            </w:r>
            <w:r>
              <w:rPr>
                <w:rFonts w:ascii="Calibri Light" w:hAnsi="Calibri Light"/>
                <w:b w:val="0"/>
                <w:spacing w:val="-8"/>
                <w:sz w:val="21"/>
              </w:rPr>
              <w:t> </w:t>
            </w:r>
            <w:r>
              <w:rPr>
                <w:rFonts w:ascii="Calibri Light" w:hAnsi="Calibri Light"/>
                <w:b w:val="0"/>
                <w:sz w:val="21"/>
              </w:rPr>
              <w:t>communique</w:t>
            </w:r>
            <w:r>
              <w:rPr>
                <w:rFonts w:ascii="Calibri Light" w:hAnsi="Calibri Light"/>
                <w:b w:val="0"/>
                <w:spacing w:val="-2"/>
                <w:sz w:val="21"/>
              </w:rPr>
              <w:t> </w:t>
            </w:r>
            <w:r>
              <w:rPr>
                <w:rFonts w:ascii="Calibri Light" w:hAnsi="Calibri Light"/>
                <w:b w:val="0"/>
                <w:sz w:val="21"/>
              </w:rPr>
              <w:t>to</w:t>
            </w:r>
            <w:r>
              <w:rPr>
                <w:rFonts w:ascii="Calibri Light" w:hAnsi="Calibri Light"/>
                <w:b w:val="0"/>
                <w:spacing w:val="-4"/>
                <w:sz w:val="21"/>
              </w:rPr>
              <w:t> </w:t>
            </w:r>
            <w:r>
              <w:rPr>
                <w:rFonts w:ascii="Calibri Light" w:hAnsi="Calibri Light"/>
                <w:b w:val="0"/>
                <w:sz w:val="21"/>
              </w:rPr>
              <w:t>schools</w:t>
            </w:r>
            <w:r>
              <w:rPr>
                <w:rFonts w:ascii="Calibri Light" w:hAnsi="Calibri Light"/>
                <w:b w:val="0"/>
                <w:spacing w:val="-3"/>
                <w:sz w:val="21"/>
              </w:rPr>
              <w:t> </w:t>
            </w:r>
            <w:r>
              <w:rPr>
                <w:rFonts w:ascii="Calibri Light" w:hAnsi="Calibri Light"/>
                <w:b w:val="0"/>
                <w:sz w:val="21"/>
              </w:rPr>
              <w:t>and</w:t>
            </w:r>
            <w:r>
              <w:rPr>
                <w:rFonts w:ascii="Calibri Light" w:hAnsi="Calibri Light"/>
                <w:b w:val="0"/>
                <w:spacing w:val="-7"/>
                <w:sz w:val="21"/>
              </w:rPr>
              <w:t> </w:t>
            </w:r>
            <w:r>
              <w:rPr>
                <w:rFonts w:ascii="Calibri Light" w:hAnsi="Calibri Light"/>
                <w:b w:val="0"/>
                <w:spacing w:val="-5"/>
                <w:sz w:val="21"/>
              </w:rPr>
              <w:t>EAs</w:t>
            </w:r>
          </w:p>
        </w:tc>
      </w:tr>
      <w:tr>
        <w:trPr>
          <w:trHeight w:val="949" w:hRule="atLeast"/>
        </w:trPr>
        <w:tc>
          <w:tcPr>
            <w:tcW w:w="562" w:type="dxa"/>
            <w:vMerge/>
            <w:tcBorders>
              <w:top w:val="nil"/>
            </w:tcBorders>
          </w:tcPr>
          <w:p>
            <w:pPr>
              <w:rPr>
                <w:sz w:val="2"/>
                <w:szCs w:val="2"/>
              </w:rPr>
            </w:pPr>
          </w:p>
        </w:tc>
        <w:tc>
          <w:tcPr>
            <w:tcW w:w="3082" w:type="dxa"/>
            <w:vMerge/>
            <w:tcBorders>
              <w:top w:val="nil"/>
            </w:tcBorders>
          </w:tcPr>
          <w:p>
            <w:pPr>
              <w:rPr>
                <w:sz w:val="2"/>
                <w:szCs w:val="2"/>
              </w:rPr>
            </w:pPr>
          </w:p>
        </w:tc>
        <w:tc>
          <w:tcPr>
            <w:tcW w:w="6034" w:type="dxa"/>
          </w:tcPr>
          <w:p>
            <w:pPr>
              <w:pStyle w:val="TableParagraph"/>
              <w:spacing w:before="9"/>
              <w:rPr>
                <w:sz w:val="17"/>
              </w:rPr>
            </w:pPr>
          </w:p>
          <w:p>
            <w:pPr>
              <w:pStyle w:val="TableParagraph"/>
              <w:spacing w:before="1"/>
              <w:ind w:left="704" w:hanging="601"/>
              <w:rPr>
                <w:rFonts w:ascii="Calibri Light"/>
                <w:b w:val="0"/>
                <w:sz w:val="21"/>
              </w:rPr>
            </w:pPr>
            <w:r>
              <w:rPr>
                <w:rFonts w:ascii="Calibri Light"/>
                <w:b w:val="0"/>
                <w:sz w:val="21"/>
              </w:rPr>
              <w:t>1.1.2</w:t>
            </w:r>
            <w:r>
              <w:rPr>
                <w:rFonts w:ascii="Calibri Light"/>
                <w:b w:val="0"/>
                <w:spacing w:val="80"/>
                <w:w w:val="150"/>
                <w:sz w:val="21"/>
              </w:rPr>
              <w:t> </w:t>
            </w:r>
            <w:r>
              <w:rPr>
                <w:rFonts w:ascii="Calibri Light"/>
                <w:b w:val="0"/>
                <w:sz w:val="21"/>
              </w:rPr>
              <w:t>SISTA</w:t>
            </w:r>
            <w:r>
              <w:rPr>
                <w:rFonts w:ascii="Calibri Light"/>
                <w:b w:val="0"/>
                <w:spacing w:val="-1"/>
                <w:sz w:val="21"/>
              </w:rPr>
              <w:t> </w:t>
            </w:r>
            <w:r>
              <w:rPr>
                <w:rFonts w:ascii="Calibri Light"/>
                <w:b w:val="0"/>
                <w:sz w:val="21"/>
              </w:rPr>
              <w:t>2017</w:t>
            </w:r>
            <w:r>
              <w:rPr>
                <w:rFonts w:ascii="Calibri Light"/>
                <w:b w:val="0"/>
                <w:spacing w:val="-3"/>
                <w:sz w:val="21"/>
              </w:rPr>
              <w:t> </w:t>
            </w:r>
            <w:r>
              <w:rPr>
                <w:rFonts w:ascii="Calibri Light"/>
                <w:b w:val="0"/>
                <w:sz w:val="21"/>
              </w:rPr>
              <w:t>results</w:t>
            </w:r>
            <w:r>
              <w:rPr>
                <w:rFonts w:ascii="Calibri Light"/>
                <w:b w:val="0"/>
                <w:spacing w:val="-7"/>
                <w:sz w:val="21"/>
              </w:rPr>
              <w:t> </w:t>
            </w:r>
            <w:r>
              <w:rPr>
                <w:rFonts w:ascii="Calibri Light"/>
                <w:b w:val="0"/>
                <w:sz w:val="21"/>
              </w:rPr>
              <w:t>indicate</w:t>
            </w:r>
            <w:r>
              <w:rPr>
                <w:rFonts w:ascii="Calibri Light"/>
                <w:b w:val="0"/>
                <w:spacing w:val="-6"/>
                <w:sz w:val="21"/>
              </w:rPr>
              <w:t> </w:t>
            </w:r>
            <w:r>
              <w:rPr>
                <w:rFonts w:ascii="Calibri Light"/>
                <w:b w:val="0"/>
                <w:sz w:val="21"/>
              </w:rPr>
              <w:t>an</w:t>
            </w:r>
            <w:r>
              <w:rPr>
                <w:rFonts w:ascii="Calibri Light"/>
                <w:b w:val="0"/>
                <w:spacing w:val="-6"/>
                <w:sz w:val="21"/>
              </w:rPr>
              <w:t> </w:t>
            </w:r>
            <w:r>
              <w:rPr>
                <w:rFonts w:ascii="Calibri Light"/>
                <w:b w:val="0"/>
                <w:sz w:val="21"/>
              </w:rPr>
              <w:t>improvement</w:t>
            </w:r>
            <w:r>
              <w:rPr>
                <w:rFonts w:ascii="Calibri Light"/>
                <w:b w:val="0"/>
                <w:spacing w:val="-4"/>
                <w:sz w:val="21"/>
              </w:rPr>
              <w:t> </w:t>
            </w:r>
            <w:r>
              <w:rPr>
                <w:rFonts w:ascii="Calibri Light"/>
                <w:b w:val="0"/>
                <w:sz w:val="21"/>
              </w:rPr>
              <w:t>in</w:t>
            </w:r>
            <w:r>
              <w:rPr>
                <w:rFonts w:ascii="Calibri Light"/>
                <w:b w:val="0"/>
                <w:spacing w:val="-1"/>
                <w:sz w:val="21"/>
              </w:rPr>
              <w:t> </w:t>
            </w:r>
            <w:r>
              <w:rPr>
                <w:rFonts w:ascii="Calibri Light"/>
                <w:b w:val="0"/>
                <w:sz w:val="21"/>
              </w:rPr>
              <w:t>student numeracy and literacy at each year level assessed.</w:t>
            </w:r>
          </w:p>
        </w:tc>
        <w:tc>
          <w:tcPr>
            <w:tcW w:w="3927" w:type="dxa"/>
          </w:tcPr>
          <w:p>
            <w:pPr>
              <w:pStyle w:val="TableParagraph"/>
              <w:numPr>
                <w:ilvl w:val="0"/>
                <w:numId w:val="11"/>
              </w:numPr>
              <w:tabs>
                <w:tab w:pos="383" w:val="left" w:leader="none"/>
              </w:tabs>
              <w:spacing w:line="266" w:lineRule="exact" w:before="206" w:after="0"/>
              <w:ind w:left="382" w:right="0" w:hanging="274"/>
              <w:jc w:val="left"/>
              <w:rPr>
                <w:rFonts w:ascii="Calibri Light" w:hAnsi="Calibri Light"/>
                <w:b w:val="0"/>
                <w:sz w:val="21"/>
              </w:rPr>
            </w:pPr>
            <w:r>
              <w:rPr>
                <w:rFonts w:ascii="Calibri Light" w:hAnsi="Calibri Light"/>
                <w:b w:val="0"/>
                <w:sz w:val="21"/>
              </w:rPr>
              <w:t>SISTA</w:t>
            </w:r>
            <w:r>
              <w:rPr>
                <w:rFonts w:ascii="Calibri Light" w:hAnsi="Calibri Light"/>
                <w:b w:val="0"/>
                <w:spacing w:val="-5"/>
                <w:sz w:val="21"/>
              </w:rPr>
              <w:t> </w:t>
            </w:r>
            <w:r>
              <w:rPr>
                <w:rFonts w:ascii="Calibri Light" w:hAnsi="Calibri Light"/>
                <w:b w:val="0"/>
                <w:sz w:val="21"/>
              </w:rPr>
              <w:t>results</w:t>
            </w:r>
            <w:r>
              <w:rPr>
                <w:rFonts w:ascii="Calibri Light" w:hAnsi="Calibri Light"/>
                <w:b w:val="0"/>
                <w:spacing w:val="-3"/>
                <w:sz w:val="21"/>
              </w:rPr>
              <w:t> </w:t>
            </w:r>
            <w:r>
              <w:rPr>
                <w:rFonts w:ascii="Calibri Light" w:hAnsi="Calibri Light"/>
                <w:b w:val="0"/>
                <w:sz w:val="21"/>
              </w:rPr>
              <w:t>2017</w:t>
            </w:r>
            <w:r>
              <w:rPr>
                <w:rFonts w:ascii="Calibri Light" w:hAnsi="Calibri Light"/>
                <w:b w:val="0"/>
                <w:spacing w:val="-4"/>
                <w:sz w:val="21"/>
              </w:rPr>
              <w:t> </w:t>
            </w:r>
            <w:r>
              <w:rPr>
                <w:rFonts w:ascii="Calibri Light" w:hAnsi="Calibri Light"/>
                <w:b w:val="0"/>
                <w:sz w:val="21"/>
              </w:rPr>
              <w:t>and</w:t>
            </w:r>
            <w:r>
              <w:rPr>
                <w:rFonts w:ascii="Calibri Light" w:hAnsi="Calibri Light"/>
                <w:b w:val="0"/>
                <w:spacing w:val="-2"/>
                <w:sz w:val="21"/>
              </w:rPr>
              <w:t> </w:t>
            </w:r>
            <w:r>
              <w:rPr>
                <w:rFonts w:ascii="Calibri Light" w:hAnsi="Calibri Light"/>
                <w:b w:val="0"/>
                <w:spacing w:val="-4"/>
                <w:sz w:val="21"/>
              </w:rPr>
              <w:t>2015</w:t>
            </w:r>
          </w:p>
          <w:p>
            <w:pPr>
              <w:pStyle w:val="TableParagraph"/>
              <w:numPr>
                <w:ilvl w:val="0"/>
                <w:numId w:val="11"/>
              </w:numPr>
              <w:tabs>
                <w:tab w:pos="383" w:val="left" w:leader="none"/>
              </w:tabs>
              <w:spacing w:line="266" w:lineRule="exact" w:before="0" w:after="0"/>
              <w:ind w:left="382" w:right="0"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4"/>
                <w:sz w:val="21"/>
              </w:rPr>
              <w:t> </w:t>
            </w:r>
            <w:r>
              <w:rPr>
                <w:rFonts w:ascii="Calibri Light" w:hAnsi="Calibri Light"/>
                <w:b w:val="0"/>
                <w:sz w:val="21"/>
              </w:rPr>
              <w:t>MEHRD</w:t>
            </w:r>
            <w:r>
              <w:rPr>
                <w:rFonts w:ascii="Calibri Light" w:hAnsi="Calibri Light"/>
                <w:b w:val="0"/>
                <w:spacing w:val="-2"/>
                <w:sz w:val="21"/>
              </w:rPr>
              <w:t> </w:t>
            </w:r>
            <w:r>
              <w:rPr>
                <w:rFonts w:ascii="Calibri Light" w:hAnsi="Calibri Light"/>
                <w:b w:val="0"/>
                <w:sz w:val="21"/>
              </w:rPr>
              <w:t>analysis</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3"/>
                <w:sz w:val="21"/>
              </w:rPr>
              <w:t> </w:t>
            </w:r>
            <w:r>
              <w:rPr>
                <w:rFonts w:ascii="Calibri Light" w:hAnsi="Calibri Light"/>
                <w:b w:val="0"/>
                <w:spacing w:val="-2"/>
                <w:sz w:val="21"/>
              </w:rPr>
              <w:t>results</w:t>
            </w:r>
          </w:p>
        </w:tc>
      </w:tr>
      <w:tr>
        <w:trPr>
          <w:trHeight w:val="887" w:hRule="atLeast"/>
        </w:trPr>
        <w:tc>
          <w:tcPr>
            <w:tcW w:w="562"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39"/>
              <w:ind w:left="110"/>
              <w:rPr>
                <w:rFonts w:ascii="Calibri Light"/>
                <w:b w:val="0"/>
                <w:sz w:val="21"/>
              </w:rPr>
            </w:pPr>
            <w:r>
              <w:rPr>
                <w:rFonts w:ascii="Calibri Light"/>
                <w:b w:val="0"/>
                <w:spacing w:val="-5"/>
                <w:sz w:val="21"/>
              </w:rPr>
              <w:t>1.2</w:t>
            </w:r>
          </w:p>
        </w:tc>
        <w:tc>
          <w:tcPr>
            <w:tcW w:w="308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ind w:left="104"/>
              <w:rPr>
                <w:rFonts w:ascii="Calibri Light"/>
                <w:b w:val="0"/>
                <w:sz w:val="21"/>
              </w:rPr>
            </w:pPr>
            <w:r>
              <w:rPr>
                <w:rFonts w:ascii="Calibri Light"/>
                <w:b w:val="0"/>
                <w:sz w:val="21"/>
              </w:rPr>
              <w:t>SISTA 2017 analysis is used to develop</w:t>
            </w:r>
            <w:r>
              <w:rPr>
                <w:rFonts w:ascii="Calibri Light"/>
                <w:b w:val="0"/>
                <w:spacing w:val="-9"/>
                <w:sz w:val="21"/>
              </w:rPr>
              <w:t> </w:t>
            </w:r>
            <w:r>
              <w:rPr>
                <w:rFonts w:ascii="Calibri Light"/>
                <w:b w:val="0"/>
                <w:sz w:val="21"/>
              </w:rPr>
              <w:t>strategies</w:t>
            </w:r>
            <w:r>
              <w:rPr>
                <w:rFonts w:ascii="Calibri Light"/>
                <w:b w:val="0"/>
                <w:spacing w:val="-10"/>
                <w:sz w:val="21"/>
              </w:rPr>
              <w:t> </w:t>
            </w:r>
            <w:r>
              <w:rPr>
                <w:rFonts w:ascii="Calibri Light"/>
                <w:b w:val="0"/>
                <w:sz w:val="21"/>
              </w:rPr>
              <w:t>to</w:t>
            </w:r>
            <w:r>
              <w:rPr>
                <w:rFonts w:ascii="Calibri Light"/>
                <w:b w:val="0"/>
                <w:spacing w:val="-10"/>
                <w:sz w:val="21"/>
              </w:rPr>
              <w:t> </w:t>
            </w:r>
            <w:r>
              <w:rPr>
                <w:rFonts w:ascii="Calibri Light"/>
                <w:b w:val="0"/>
                <w:sz w:val="21"/>
              </w:rPr>
              <w:t>improve</w:t>
            </w:r>
            <w:r>
              <w:rPr>
                <w:rFonts w:ascii="Calibri Light"/>
                <w:b w:val="0"/>
                <w:spacing w:val="-9"/>
                <w:sz w:val="21"/>
              </w:rPr>
              <w:t> </w:t>
            </w:r>
            <w:r>
              <w:rPr>
                <w:rFonts w:ascii="Calibri Light"/>
                <w:b w:val="0"/>
                <w:sz w:val="21"/>
              </w:rPr>
              <w:t>the quality of literacy and numeracy teaching in schools.</w:t>
            </w:r>
          </w:p>
        </w:tc>
        <w:tc>
          <w:tcPr>
            <w:tcW w:w="6034" w:type="dxa"/>
          </w:tcPr>
          <w:p>
            <w:pPr>
              <w:pStyle w:val="TableParagraph"/>
              <w:spacing w:before="59"/>
              <w:ind w:left="704" w:right="371" w:hanging="601"/>
              <w:jc w:val="both"/>
              <w:rPr>
                <w:rFonts w:ascii="Calibri Light"/>
                <w:b w:val="0"/>
                <w:sz w:val="21"/>
              </w:rPr>
            </w:pPr>
            <w:r>
              <w:rPr>
                <w:rFonts w:ascii="Calibri Light"/>
                <w:b w:val="0"/>
                <w:sz w:val="21"/>
              </w:rPr>
              <w:t>1.2.1</w:t>
            </w:r>
            <w:r>
              <w:rPr>
                <w:rFonts w:ascii="Calibri Light"/>
                <w:b w:val="0"/>
                <w:spacing w:val="80"/>
                <w:sz w:val="21"/>
              </w:rPr>
              <w:t> </w:t>
            </w:r>
            <w:r>
              <w:rPr>
                <w:rFonts w:ascii="Calibri Light"/>
                <w:b w:val="0"/>
                <w:sz w:val="21"/>
              </w:rPr>
              <w:t>Findings</w:t>
            </w:r>
            <w:r>
              <w:rPr>
                <w:rFonts w:ascii="Calibri Light"/>
                <w:b w:val="0"/>
                <w:spacing w:val="-3"/>
                <w:sz w:val="21"/>
              </w:rPr>
              <w:t> </w:t>
            </w:r>
            <w:r>
              <w:rPr>
                <w:rFonts w:ascii="Calibri Light"/>
                <w:b w:val="0"/>
                <w:sz w:val="21"/>
              </w:rPr>
              <w:t>from</w:t>
            </w:r>
            <w:r>
              <w:rPr>
                <w:rFonts w:ascii="Calibri Light"/>
                <w:b w:val="0"/>
                <w:spacing w:val="-2"/>
                <w:sz w:val="21"/>
              </w:rPr>
              <w:t> </w:t>
            </w:r>
            <w:r>
              <w:rPr>
                <w:rFonts w:ascii="Calibri Light"/>
                <w:b w:val="0"/>
                <w:sz w:val="21"/>
              </w:rPr>
              <w:t>SISTA</w:t>
            </w:r>
            <w:r>
              <w:rPr>
                <w:rFonts w:ascii="Calibri Light"/>
                <w:b w:val="0"/>
                <w:spacing w:val="-2"/>
                <w:sz w:val="21"/>
              </w:rPr>
              <w:t> </w:t>
            </w:r>
            <w:r>
              <w:rPr>
                <w:rFonts w:ascii="Calibri Light"/>
                <w:b w:val="0"/>
                <w:sz w:val="21"/>
              </w:rPr>
              <w:t>2017</w:t>
            </w:r>
            <w:r>
              <w:rPr>
                <w:rFonts w:ascii="Calibri Light"/>
                <w:b w:val="0"/>
                <w:spacing w:val="-4"/>
                <w:sz w:val="21"/>
              </w:rPr>
              <w:t> </w:t>
            </w:r>
            <w:r>
              <w:rPr>
                <w:rFonts w:ascii="Calibri Light"/>
                <w:b w:val="0"/>
                <w:sz w:val="21"/>
              </w:rPr>
              <w:t>are</w:t>
            </w:r>
            <w:r>
              <w:rPr>
                <w:rFonts w:ascii="Calibri Light"/>
                <w:b w:val="0"/>
                <w:spacing w:val="-2"/>
                <w:sz w:val="21"/>
              </w:rPr>
              <w:t> </w:t>
            </w:r>
            <w:r>
              <w:rPr>
                <w:rFonts w:ascii="Calibri Light"/>
                <w:b w:val="0"/>
                <w:sz w:val="21"/>
              </w:rPr>
              <w:t>used</w:t>
            </w:r>
            <w:r>
              <w:rPr>
                <w:rFonts w:ascii="Calibri Light"/>
                <w:b w:val="0"/>
                <w:spacing w:val="-2"/>
                <w:sz w:val="21"/>
              </w:rPr>
              <w:t> </w:t>
            </w:r>
            <w:r>
              <w:rPr>
                <w:rFonts w:ascii="Calibri Light"/>
                <w:b w:val="0"/>
                <w:sz w:val="21"/>
              </w:rPr>
              <w:t>to</w:t>
            </w:r>
            <w:r>
              <w:rPr>
                <w:rFonts w:ascii="Calibri Light"/>
                <w:b w:val="0"/>
                <w:spacing w:val="-3"/>
                <w:sz w:val="21"/>
              </w:rPr>
              <w:t> </w:t>
            </w:r>
            <w:r>
              <w:rPr>
                <w:rFonts w:ascii="Calibri Light"/>
                <w:b w:val="0"/>
                <w:sz w:val="21"/>
              </w:rPr>
              <w:t>develop</w:t>
            </w:r>
            <w:r>
              <w:rPr>
                <w:rFonts w:ascii="Calibri Light"/>
                <w:b w:val="0"/>
                <w:spacing w:val="-2"/>
                <w:sz w:val="21"/>
              </w:rPr>
              <w:t> </w:t>
            </w:r>
            <w:r>
              <w:rPr>
                <w:rFonts w:ascii="Calibri Light"/>
                <w:b w:val="0"/>
                <w:sz w:val="21"/>
              </w:rPr>
              <w:t>professional development</w:t>
            </w:r>
            <w:r>
              <w:rPr>
                <w:rFonts w:ascii="Calibri Light"/>
                <w:b w:val="0"/>
                <w:spacing w:val="-7"/>
                <w:sz w:val="21"/>
              </w:rPr>
              <w:t> </w:t>
            </w:r>
            <w:r>
              <w:rPr>
                <w:rFonts w:ascii="Calibri Light"/>
                <w:b w:val="0"/>
                <w:sz w:val="21"/>
              </w:rPr>
              <w:t>programs</w:t>
            </w:r>
            <w:r>
              <w:rPr>
                <w:rFonts w:ascii="Calibri Light"/>
                <w:b w:val="0"/>
                <w:spacing w:val="-5"/>
                <w:sz w:val="21"/>
              </w:rPr>
              <w:t> </w:t>
            </w:r>
            <w:r>
              <w:rPr>
                <w:rFonts w:ascii="Calibri Light"/>
                <w:b w:val="0"/>
                <w:sz w:val="21"/>
              </w:rPr>
              <w:t>or</w:t>
            </w:r>
            <w:r>
              <w:rPr>
                <w:rFonts w:ascii="Calibri Light"/>
                <w:b w:val="0"/>
                <w:spacing w:val="-6"/>
                <w:sz w:val="21"/>
              </w:rPr>
              <w:t> </w:t>
            </w:r>
            <w:r>
              <w:rPr>
                <w:rFonts w:ascii="Calibri Light"/>
                <w:b w:val="0"/>
                <w:sz w:val="21"/>
              </w:rPr>
              <w:t>teacher</w:t>
            </w:r>
            <w:r>
              <w:rPr>
                <w:rFonts w:ascii="Calibri Light"/>
                <w:b w:val="0"/>
                <w:spacing w:val="-6"/>
                <w:sz w:val="21"/>
              </w:rPr>
              <w:t> </w:t>
            </w:r>
            <w:r>
              <w:rPr>
                <w:rFonts w:ascii="Calibri Light"/>
                <w:b w:val="0"/>
                <w:sz w:val="21"/>
              </w:rPr>
              <w:t>support</w:t>
            </w:r>
            <w:r>
              <w:rPr>
                <w:rFonts w:ascii="Calibri Light"/>
                <w:b w:val="0"/>
                <w:spacing w:val="-7"/>
                <w:sz w:val="21"/>
              </w:rPr>
              <w:t> </w:t>
            </w:r>
            <w:r>
              <w:rPr>
                <w:rFonts w:ascii="Calibri Light"/>
                <w:b w:val="0"/>
                <w:sz w:val="21"/>
              </w:rPr>
              <w:t>packages</w:t>
            </w:r>
            <w:r>
              <w:rPr>
                <w:rFonts w:ascii="Calibri Light"/>
                <w:b w:val="0"/>
                <w:spacing w:val="-5"/>
                <w:sz w:val="21"/>
              </w:rPr>
              <w:t> </w:t>
            </w:r>
            <w:r>
              <w:rPr>
                <w:rFonts w:ascii="Calibri Light"/>
                <w:b w:val="0"/>
                <w:sz w:val="21"/>
              </w:rPr>
              <w:t>to</w:t>
            </w:r>
            <w:r>
              <w:rPr>
                <w:rFonts w:ascii="Calibri Light"/>
                <w:b w:val="0"/>
                <w:spacing w:val="-5"/>
                <w:sz w:val="21"/>
              </w:rPr>
              <w:t> </w:t>
            </w:r>
            <w:r>
              <w:rPr>
                <w:rFonts w:ascii="Calibri Light"/>
                <w:b w:val="0"/>
                <w:sz w:val="21"/>
              </w:rPr>
              <w:t>for teachers and principals.</w:t>
            </w:r>
          </w:p>
        </w:tc>
        <w:tc>
          <w:tcPr>
            <w:tcW w:w="3927" w:type="dxa"/>
          </w:tcPr>
          <w:p>
            <w:pPr>
              <w:pStyle w:val="TableParagraph"/>
              <w:numPr>
                <w:ilvl w:val="0"/>
                <w:numId w:val="12"/>
              </w:numPr>
              <w:tabs>
                <w:tab w:pos="383" w:val="left" w:leader="none"/>
              </w:tabs>
              <w:spacing w:line="242" w:lineRule="auto" w:before="178" w:after="0"/>
              <w:ind w:left="382" w:right="635"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12"/>
                <w:sz w:val="21"/>
              </w:rPr>
              <w:t> </w:t>
            </w:r>
            <w:r>
              <w:rPr>
                <w:rFonts w:ascii="Calibri Light" w:hAnsi="Calibri Light"/>
                <w:b w:val="0"/>
                <w:sz w:val="21"/>
              </w:rPr>
              <w:t>of</w:t>
            </w:r>
            <w:r>
              <w:rPr>
                <w:rFonts w:ascii="Calibri Light" w:hAnsi="Calibri Light"/>
                <w:b w:val="0"/>
                <w:spacing w:val="-11"/>
                <w:sz w:val="21"/>
              </w:rPr>
              <w:t> </w:t>
            </w:r>
            <w:r>
              <w:rPr>
                <w:rFonts w:ascii="Calibri Light" w:hAnsi="Calibri Light"/>
                <w:b w:val="0"/>
                <w:sz w:val="21"/>
              </w:rPr>
              <w:t>professional</w:t>
            </w:r>
            <w:r>
              <w:rPr>
                <w:rFonts w:ascii="Calibri Light" w:hAnsi="Calibri Light"/>
                <w:b w:val="0"/>
                <w:spacing w:val="-9"/>
                <w:sz w:val="21"/>
              </w:rPr>
              <w:t> </w:t>
            </w:r>
            <w:r>
              <w:rPr>
                <w:rFonts w:ascii="Calibri Light" w:hAnsi="Calibri Light"/>
                <w:b w:val="0"/>
                <w:sz w:val="21"/>
              </w:rPr>
              <w:t>development programs or support packages</w:t>
            </w:r>
          </w:p>
        </w:tc>
      </w:tr>
      <w:tr>
        <w:trPr>
          <w:trHeight w:val="1434" w:hRule="atLeast"/>
        </w:trPr>
        <w:tc>
          <w:tcPr>
            <w:tcW w:w="562" w:type="dxa"/>
            <w:vMerge/>
            <w:tcBorders>
              <w:top w:val="nil"/>
            </w:tcBorders>
          </w:tcPr>
          <w:p>
            <w:pPr>
              <w:rPr>
                <w:sz w:val="2"/>
                <w:szCs w:val="2"/>
              </w:rPr>
            </w:pPr>
          </w:p>
        </w:tc>
        <w:tc>
          <w:tcPr>
            <w:tcW w:w="3082" w:type="dxa"/>
            <w:vMerge/>
            <w:tcBorders>
              <w:top w:val="nil"/>
            </w:tcBorders>
          </w:tcPr>
          <w:p>
            <w:pPr>
              <w:rPr>
                <w:sz w:val="2"/>
                <w:szCs w:val="2"/>
              </w:rPr>
            </w:pPr>
          </w:p>
        </w:tc>
        <w:tc>
          <w:tcPr>
            <w:tcW w:w="6034" w:type="dxa"/>
          </w:tcPr>
          <w:p>
            <w:pPr>
              <w:pStyle w:val="TableParagraph"/>
              <w:rPr>
                <w:sz w:val="20"/>
              </w:rPr>
            </w:pPr>
          </w:p>
          <w:p>
            <w:pPr>
              <w:pStyle w:val="TableParagraph"/>
              <w:spacing w:before="10"/>
              <w:rPr>
                <w:sz w:val="17"/>
              </w:rPr>
            </w:pPr>
          </w:p>
          <w:p>
            <w:pPr>
              <w:pStyle w:val="TableParagraph"/>
              <w:ind w:left="704" w:right="99" w:hanging="601"/>
              <w:rPr>
                <w:rFonts w:ascii="Calibri Light"/>
                <w:b w:val="0"/>
                <w:sz w:val="21"/>
              </w:rPr>
            </w:pPr>
            <w:r>
              <w:rPr>
                <w:rFonts w:ascii="Calibri Light"/>
                <w:b w:val="0"/>
                <w:sz w:val="21"/>
              </w:rPr>
              <w:t>1.2.2</w:t>
            </w:r>
            <w:r>
              <w:rPr>
                <w:rFonts w:ascii="Calibri Light"/>
                <w:b w:val="0"/>
                <w:spacing w:val="80"/>
                <w:sz w:val="21"/>
              </w:rPr>
              <w:t> </w:t>
            </w:r>
            <w:r>
              <w:rPr>
                <w:rFonts w:ascii="Calibri Light"/>
                <w:b w:val="0"/>
                <w:sz w:val="21"/>
              </w:rPr>
              <w:t>Professional development programs for teachers and principals</w:t>
            </w:r>
            <w:r>
              <w:rPr>
                <w:rFonts w:ascii="Calibri Light"/>
                <w:b w:val="0"/>
                <w:spacing w:val="-5"/>
                <w:sz w:val="21"/>
              </w:rPr>
              <w:t> </w:t>
            </w:r>
            <w:r>
              <w:rPr>
                <w:rFonts w:ascii="Calibri Light"/>
                <w:b w:val="0"/>
                <w:sz w:val="21"/>
              </w:rPr>
              <w:t>are</w:t>
            </w:r>
            <w:r>
              <w:rPr>
                <w:rFonts w:ascii="Calibri Light"/>
                <w:b w:val="0"/>
                <w:spacing w:val="-9"/>
                <w:sz w:val="21"/>
              </w:rPr>
              <w:t> </w:t>
            </w:r>
            <w:r>
              <w:rPr>
                <w:rFonts w:ascii="Calibri Light"/>
                <w:b w:val="0"/>
                <w:sz w:val="21"/>
              </w:rPr>
              <w:t>implemented</w:t>
            </w:r>
            <w:r>
              <w:rPr>
                <w:rFonts w:ascii="Calibri Light"/>
                <w:b w:val="0"/>
                <w:spacing w:val="-4"/>
                <w:sz w:val="21"/>
              </w:rPr>
              <w:t> </w:t>
            </w:r>
            <w:r>
              <w:rPr>
                <w:rFonts w:ascii="Calibri Light"/>
                <w:b w:val="0"/>
                <w:sz w:val="21"/>
              </w:rPr>
              <w:t>their</w:t>
            </w:r>
            <w:r>
              <w:rPr>
                <w:rFonts w:ascii="Calibri Light"/>
                <w:b w:val="0"/>
                <w:spacing w:val="-10"/>
                <w:sz w:val="21"/>
              </w:rPr>
              <w:t> </w:t>
            </w:r>
            <w:r>
              <w:rPr>
                <w:rFonts w:ascii="Calibri Light"/>
                <w:b w:val="0"/>
                <w:sz w:val="21"/>
              </w:rPr>
              <w:t>effectiveness</w:t>
            </w:r>
            <w:r>
              <w:rPr>
                <w:rFonts w:ascii="Calibri Light"/>
                <w:b w:val="0"/>
                <w:spacing w:val="-10"/>
                <w:sz w:val="21"/>
              </w:rPr>
              <w:t> </w:t>
            </w:r>
            <w:r>
              <w:rPr>
                <w:rFonts w:ascii="Calibri Light"/>
                <w:b w:val="0"/>
                <w:sz w:val="21"/>
              </w:rPr>
              <w:t>evaluated.</w:t>
            </w:r>
          </w:p>
        </w:tc>
        <w:tc>
          <w:tcPr>
            <w:tcW w:w="3927" w:type="dxa"/>
          </w:tcPr>
          <w:p>
            <w:pPr>
              <w:pStyle w:val="TableParagraph"/>
              <w:numPr>
                <w:ilvl w:val="0"/>
                <w:numId w:val="13"/>
              </w:numPr>
              <w:tabs>
                <w:tab w:pos="383" w:val="left" w:leader="none"/>
              </w:tabs>
              <w:spacing w:line="240" w:lineRule="auto" w:before="57" w:after="0"/>
              <w:ind w:left="382" w:right="635"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12"/>
                <w:sz w:val="21"/>
              </w:rPr>
              <w:t> </w:t>
            </w:r>
            <w:r>
              <w:rPr>
                <w:rFonts w:ascii="Calibri Light" w:hAnsi="Calibri Light"/>
                <w:b w:val="0"/>
                <w:sz w:val="21"/>
              </w:rPr>
              <w:t>of</w:t>
            </w:r>
            <w:r>
              <w:rPr>
                <w:rFonts w:ascii="Calibri Light" w:hAnsi="Calibri Light"/>
                <w:b w:val="0"/>
                <w:spacing w:val="-11"/>
                <w:sz w:val="21"/>
              </w:rPr>
              <w:t> </w:t>
            </w:r>
            <w:r>
              <w:rPr>
                <w:rFonts w:ascii="Calibri Light" w:hAnsi="Calibri Light"/>
                <w:b w:val="0"/>
                <w:sz w:val="21"/>
              </w:rPr>
              <w:t>professional</w:t>
            </w:r>
            <w:r>
              <w:rPr>
                <w:rFonts w:ascii="Calibri Light" w:hAnsi="Calibri Light"/>
                <w:b w:val="0"/>
                <w:spacing w:val="-9"/>
                <w:sz w:val="21"/>
              </w:rPr>
              <w:t> </w:t>
            </w:r>
            <w:r>
              <w:rPr>
                <w:rFonts w:ascii="Calibri Light" w:hAnsi="Calibri Light"/>
                <w:b w:val="0"/>
                <w:sz w:val="21"/>
              </w:rPr>
              <w:t>development program agendas</w:t>
            </w:r>
          </w:p>
          <w:p>
            <w:pPr>
              <w:pStyle w:val="TableParagraph"/>
              <w:numPr>
                <w:ilvl w:val="0"/>
                <w:numId w:val="13"/>
              </w:numPr>
              <w:tabs>
                <w:tab w:pos="383" w:val="left" w:leader="none"/>
              </w:tabs>
              <w:spacing w:line="240" w:lineRule="auto" w:before="0" w:after="0"/>
              <w:ind w:left="382" w:right="474" w:hanging="274"/>
              <w:jc w:val="left"/>
              <w:rPr>
                <w:rFonts w:ascii="Calibri Light" w:hAnsi="Calibri Light"/>
                <w:b w:val="0"/>
                <w:sz w:val="21"/>
              </w:rPr>
            </w:pPr>
            <w:r>
              <w:rPr>
                <w:rFonts w:ascii="Calibri Light" w:hAnsi="Calibri Light"/>
                <w:b w:val="0"/>
                <w:sz w:val="21"/>
              </w:rPr>
              <w:t>Record of participation in any professional</w:t>
            </w:r>
            <w:r>
              <w:rPr>
                <w:rFonts w:ascii="Calibri Light" w:hAnsi="Calibri Light"/>
                <w:b w:val="0"/>
                <w:spacing w:val="-10"/>
                <w:sz w:val="21"/>
              </w:rPr>
              <w:t> </w:t>
            </w:r>
            <w:r>
              <w:rPr>
                <w:rFonts w:ascii="Calibri Light" w:hAnsi="Calibri Light"/>
                <w:b w:val="0"/>
                <w:sz w:val="21"/>
              </w:rPr>
              <w:t>development</w:t>
            </w:r>
            <w:r>
              <w:rPr>
                <w:rFonts w:ascii="Calibri Light" w:hAnsi="Calibri Light"/>
                <w:b w:val="0"/>
                <w:spacing w:val="-9"/>
                <w:sz w:val="21"/>
              </w:rPr>
              <w:t> </w:t>
            </w:r>
            <w:r>
              <w:rPr>
                <w:rFonts w:ascii="Calibri Light" w:hAnsi="Calibri Light"/>
                <w:b w:val="0"/>
                <w:spacing w:val="-2"/>
                <w:sz w:val="21"/>
              </w:rPr>
              <w:t>programs</w:t>
            </w:r>
          </w:p>
          <w:p>
            <w:pPr>
              <w:pStyle w:val="TableParagraph"/>
              <w:numPr>
                <w:ilvl w:val="0"/>
                <w:numId w:val="13"/>
              </w:numPr>
              <w:tabs>
                <w:tab w:pos="383" w:val="left" w:leader="none"/>
              </w:tabs>
              <w:spacing w:line="267" w:lineRule="exact" w:before="0" w:after="0"/>
              <w:ind w:left="382" w:right="0"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2"/>
                <w:sz w:val="21"/>
              </w:rPr>
              <w:t> </w:t>
            </w:r>
            <w:r>
              <w:rPr>
                <w:rFonts w:ascii="Calibri Light" w:hAnsi="Calibri Light"/>
                <w:b w:val="0"/>
                <w:sz w:val="21"/>
              </w:rPr>
              <w:t>PD</w:t>
            </w:r>
            <w:r>
              <w:rPr>
                <w:rFonts w:ascii="Calibri Light" w:hAnsi="Calibri Light"/>
                <w:b w:val="0"/>
                <w:spacing w:val="-4"/>
                <w:sz w:val="21"/>
              </w:rPr>
              <w:t> </w:t>
            </w:r>
            <w:r>
              <w:rPr>
                <w:rFonts w:ascii="Calibri Light" w:hAnsi="Calibri Light"/>
                <w:b w:val="0"/>
                <w:sz w:val="21"/>
              </w:rPr>
              <w:t>evaluation</w:t>
            </w:r>
            <w:r>
              <w:rPr>
                <w:rFonts w:ascii="Calibri Light" w:hAnsi="Calibri Light"/>
                <w:b w:val="0"/>
                <w:spacing w:val="-5"/>
                <w:sz w:val="21"/>
              </w:rPr>
              <w:t> </w:t>
            </w:r>
            <w:r>
              <w:rPr>
                <w:rFonts w:ascii="Calibri Light" w:hAnsi="Calibri Light"/>
                <w:b w:val="0"/>
                <w:spacing w:val="-2"/>
                <w:sz w:val="21"/>
              </w:rPr>
              <w:t>report(s).</w:t>
            </w:r>
          </w:p>
        </w:tc>
      </w:tr>
      <w:tr>
        <w:trPr>
          <w:trHeight w:val="642" w:hRule="atLeast"/>
        </w:trPr>
        <w:tc>
          <w:tcPr>
            <w:tcW w:w="562" w:type="dxa"/>
            <w:vMerge/>
            <w:tcBorders>
              <w:top w:val="nil"/>
            </w:tcBorders>
          </w:tcPr>
          <w:p>
            <w:pPr>
              <w:rPr>
                <w:sz w:val="2"/>
                <w:szCs w:val="2"/>
              </w:rPr>
            </w:pPr>
          </w:p>
        </w:tc>
        <w:tc>
          <w:tcPr>
            <w:tcW w:w="3082" w:type="dxa"/>
            <w:vMerge/>
            <w:tcBorders>
              <w:top w:val="nil"/>
            </w:tcBorders>
          </w:tcPr>
          <w:p>
            <w:pPr>
              <w:rPr>
                <w:sz w:val="2"/>
                <w:szCs w:val="2"/>
              </w:rPr>
            </w:pPr>
          </w:p>
        </w:tc>
        <w:tc>
          <w:tcPr>
            <w:tcW w:w="6034" w:type="dxa"/>
          </w:tcPr>
          <w:p>
            <w:pPr>
              <w:pStyle w:val="TableParagraph"/>
              <w:spacing w:before="64"/>
              <w:ind w:left="704" w:right="99" w:hanging="601"/>
              <w:rPr>
                <w:rFonts w:ascii="Calibri Light"/>
                <w:b w:val="0"/>
                <w:sz w:val="21"/>
              </w:rPr>
            </w:pPr>
            <w:r>
              <w:rPr>
                <w:rFonts w:ascii="Calibri Light"/>
                <w:b w:val="0"/>
                <w:sz w:val="21"/>
              </w:rPr>
              <w:t>1.2.3</w:t>
            </w:r>
            <w:r>
              <w:rPr>
                <w:rFonts w:ascii="Calibri Light"/>
                <w:b w:val="0"/>
                <w:spacing w:val="80"/>
                <w:w w:val="150"/>
                <w:sz w:val="21"/>
              </w:rPr>
              <w:t> </w:t>
            </w:r>
            <w:r>
              <w:rPr>
                <w:rFonts w:ascii="Calibri Light"/>
                <w:b w:val="0"/>
                <w:sz w:val="21"/>
              </w:rPr>
              <w:t>Teacher</w:t>
            </w:r>
            <w:r>
              <w:rPr>
                <w:rFonts w:ascii="Calibri Light"/>
                <w:b w:val="0"/>
                <w:spacing w:val="-3"/>
                <w:sz w:val="21"/>
              </w:rPr>
              <w:t> </w:t>
            </w:r>
            <w:r>
              <w:rPr>
                <w:rFonts w:ascii="Calibri Light"/>
                <w:b w:val="0"/>
                <w:sz w:val="21"/>
              </w:rPr>
              <w:t>and</w:t>
            </w:r>
            <w:r>
              <w:rPr>
                <w:rFonts w:ascii="Calibri Light"/>
                <w:b w:val="0"/>
                <w:spacing w:val="-1"/>
                <w:sz w:val="21"/>
              </w:rPr>
              <w:t> </w:t>
            </w:r>
            <w:r>
              <w:rPr>
                <w:rFonts w:ascii="Calibri Light"/>
                <w:b w:val="0"/>
                <w:sz w:val="21"/>
              </w:rPr>
              <w:t>principal</w:t>
            </w:r>
            <w:r>
              <w:rPr>
                <w:rFonts w:ascii="Calibri Light"/>
                <w:b w:val="0"/>
                <w:spacing w:val="-5"/>
                <w:sz w:val="21"/>
              </w:rPr>
              <w:t> </w:t>
            </w:r>
            <w:r>
              <w:rPr>
                <w:rFonts w:ascii="Calibri Light"/>
                <w:b w:val="0"/>
                <w:sz w:val="21"/>
              </w:rPr>
              <w:t>SISTA</w:t>
            </w:r>
            <w:r>
              <w:rPr>
                <w:rFonts w:ascii="Calibri Light"/>
                <w:b w:val="0"/>
                <w:spacing w:val="-6"/>
                <w:sz w:val="21"/>
              </w:rPr>
              <w:t> </w:t>
            </w:r>
            <w:r>
              <w:rPr>
                <w:rFonts w:ascii="Calibri Light"/>
                <w:b w:val="0"/>
                <w:sz w:val="21"/>
              </w:rPr>
              <w:t>support</w:t>
            </w:r>
            <w:r>
              <w:rPr>
                <w:rFonts w:ascii="Calibri Light"/>
                <w:b w:val="0"/>
                <w:spacing w:val="-4"/>
                <w:sz w:val="21"/>
              </w:rPr>
              <w:t> </w:t>
            </w:r>
            <w:r>
              <w:rPr>
                <w:rFonts w:ascii="Calibri Light"/>
                <w:b w:val="0"/>
                <w:sz w:val="21"/>
              </w:rPr>
              <w:t>materials</w:t>
            </w:r>
            <w:r>
              <w:rPr>
                <w:rFonts w:ascii="Calibri Light"/>
                <w:b w:val="0"/>
                <w:spacing w:val="-7"/>
                <w:sz w:val="21"/>
              </w:rPr>
              <w:t> </w:t>
            </w:r>
            <w:r>
              <w:rPr>
                <w:rFonts w:ascii="Calibri Light"/>
                <w:b w:val="0"/>
                <w:sz w:val="21"/>
              </w:rPr>
              <w:t>are</w:t>
            </w:r>
            <w:r>
              <w:rPr>
                <w:rFonts w:ascii="Calibri Light"/>
                <w:b w:val="0"/>
                <w:spacing w:val="-1"/>
                <w:sz w:val="21"/>
              </w:rPr>
              <w:t> </w:t>
            </w:r>
            <w:r>
              <w:rPr>
                <w:rFonts w:ascii="Calibri Light"/>
                <w:b w:val="0"/>
                <w:sz w:val="21"/>
              </w:rPr>
              <w:t>distributed to relevant schools.</w:t>
            </w:r>
          </w:p>
        </w:tc>
        <w:tc>
          <w:tcPr>
            <w:tcW w:w="3927" w:type="dxa"/>
          </w:tcPr>
          <w:p>
            <w:pPr>
              <w:pStyle w:val="TableParagraph"/>
              <w:numPr>
                <w:ilvl w:val="0"/>
                <w:numId w:val="14"/>
              </w:numPr>
              <w:tabs>
                <w:tab w:pos="383" w:val="left" w:leader="none"/>
              </w:tabs>
              <w:spacing w:line="240" w:lineRule="auto" w:before="57" w:after="0"/>
              <w:ind w:left="382" w:right="425" w:hanging="274"/>
              <w:jc w:val="left"/>
              <w:rPr>
                <w:rFonts w:ascii="Calibri Light" w:hAnsi="Calibri Light"/>
                <w:b w:val="0"/>
                <w:sz w:val="21"/>
              </w:rPr>
            </w:pPr>
            <w:r>
              <w:rPr>
                <w:rFonts w:ascii="Calibri Light" w:hAnsi="Calibri Light"/>
                <w:b w:val="0"/>
                <w:sz w:val="21"/>
              </w:rPr>
              <w:t>Record</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7"/>
                <w:sz w:val="21"/>
              </w:rPr>
              <w:t> </w:t>
            </w:r>
            <w:r>
              <w:rPr>
                <w:rFonts w:ascii="Calibri Light" w:hAnsi="Calibri Light"/>
                <w:b w:val="0"/>
                <w:sz w:val="21"/>
              </w:rPr>
              <w:t>distribution</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10"/>
                <w:sz w:val="21"/>
              </w:rPr>
              <w:t> </w:t>
            </w:r>
            <w:r>
              <w:rPr>
                <w:rFonts w:ascii="Calibri Light" w:hAnsi="Calibri Light"/>
                <w:b w:val="0"/>
                <w:sz w:val="21"/>
              </w:rPr>
              <w:t>any</w:t>
            </w:r>
            <w:r>
              <w:rPr>
                <w:rFonts w:ascii="Calibri Light" w:hAnsi="Calibri Light"/>
                <w:b w:val="0"/>
                <w:spacing w:val="-7"/>
                <w:sz w:val="21"/>
              </w:rPr>
              <w:t> </w:t>
            </w:r>
            <w:r>
              <w:rPr>
                <w:rFonts w:ascii="Calibri Light" w:hAnsi="Calibri Light"/>
                <w:b w:val="0"/>
                <w:sz w:val="21"/>
              </w:rPr>
              <w:t>teacher support package.</w:t>
            </w:r>
          </w:p>
        </w:tc>
      </w:tr>
      <w:tr>
        <w:trPr>
          <w:trHeight w:val="1146" w:hRule="atLeast"/>
        </w:trPr>
        <w:tc>
          <w:tcPr>
            <w:tcW w:w="56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3"/>
              <w:rPr>
                <w:sz w:val="24"/>
              </w:rPr>
            </w:pPr>
          </w:p>
          <w:p>
            <w:pPr>
              <w:pStyle w:val="TableParagraph"/>
              <w:ind w:left="110"/>
              <w:rPr>
                <w:rFonts w:ascii="Calibri Light"/>
                <w:b w:val="0"/>
                <w:sz w:val="21"/>
              </w:rPr>
            </w:pPr>
            <w:r>
              <w:rPr>
                <w:rFonts w:ascii="Calibri Light"/>
                <w:b w:val="0"/>
                <w:spacing w:val="-5"/>
                <w:sz w:val="21"/>
              </w:rPr>
              <w:t>1.3</w:t>
            </w:r>
          </w:p>
        </w:tc>
        <w:tc>
          <w:tcPr>
            <w:tcW w:w="3082" w:type="dxa"/>
            <w:vMerge w:val="restart"/>
          </w:tcPr>
          <w:p>
            <w:pPr>
              <w:pStyle w:val="TableParagraph"/>
              <w:rPr>
                <w:sz w:val="20"/>
              </w:rPr>
            </w:pPr>
          </w:p>
          <w:p>
            <w:pPr>
              <w:pStyle w:val="TableParagraph"/>
              <w:rPr>
                <w:sz w:val="20"/>
              </w:rPr>
            </w:pPr>
          </w:p>
          <w:p>
            <w:pPr>
              <w:pStyle w:val="TableParagraph"/>
              <w:spacing w:before="9"/>
              <w:rPr>
                <w:sz w:val="23"/>
              </w:rPr>
            </w:pPr>
          </w:p>
          <w:p>
            <w:pPr>
              <w:pStyle w:val="TableParagraph"/>
              <w:spacing w:before="1"/>
              <w:ind w:left="104"/>
              <w:rPr>
                <w:rFonts w:ascii="Calibri Light"/>
                <w:b w:val="0"/>
                <w:sz w:val="21"/>
              </w:rPr>
            </w:pPr>
            <w:r>
              <w:rPr>
                <w:rFonts w:ascii="Calibri Light"/>
                <w:b w:val="0"/>
                <w:sz w:val="21"/>
              </w:rPr>
              <w:t>The</w:t>
            </w:r>
            <w:r>
              <w:rPr>
                <w:rFonts w:ascii="Calibri Light"/>
                <w:b w:val="0"/>
                <w:spacing w:val="-5"/>
                <w:sz w:val="21"/>
              </w:rPr>
              <w:t> </w:t>
            </w:r>
            <w:r>
              <w:rPr>
                <w:rFonts w:ascii="Calibri Light"/>
                <w:b w:val="0"/>
                <w:sz w:val="21"/>
              </w:rPr>
              <w:t>quality</w:t>
            </w:r>
            <w:r>
              <w:rPr>
                <w:rFonts w:ascii="Calibri Light"/>
                <w:b w:val="0"/>
                <w:spacing w:val="-8"/>
                <w:sz w:val="21"/>
              </w:rPr>
              <w:t> </w:t>
            </w:r>
            <w:r>
              <w:rPr>
                <w:rFonts w:ascii="Calibri Light"/>
                <w:b w:val="0"/>
                <w:sz w:val="21"/>
              </w:rPr>
              <w:t>of</w:t>
            </w:r>
            <w:r>
              <w:rPr>
                <w:rFonts w:ascii="Calibri Light"/>
                <w:b w:val="0"/>
                <w:spacing w:val="-7"/>
                <w:sz w:val="21"/>
              </w:rPr>
              <w:t> </w:t>
            </w:r>
            <w:r>
              <w:rPr>
                <w:rFonts w:ascii="Calibri Light"/>
                <w:b w:val="0"/>
                <w:sz w:val="21"/>
              </w:rPr>
              <w:t>teaching</w:t>
            </w:r>
            <w:r>
              <w:rPr>
                <w:rFonts w:ascii="Calibri Light"/>
                <w:b w:val="0"/>
                <w:spacing w:val="-9"/>
                <w:sz w:val="21"/>
              </w:rPr>
              <w:t> </w:t>
            </w:r>
            <w:r>
              <w:rPr>
                <w:rFonts w:ascii="Calibri Light"/>
                <w:b w:val="0"/>
                <w:sz w:val="21"/>
              </w:rPr>
              <w:t>in</w:t>
            </w:r>
            <w:r>
              <w:rPr>
                <w:rFonts w:ascii="Calibri Light"/>
                <w:b w:val="0"/>
                <w:spacing w:val="-5"/>
                <w:sz w:val="21"/>
              </w:rPr>
              <w:t> </w:t>
            </w:r>
            <w:r>
              <w:rPr>
                <w:rFonts w:ascii="Calibri Light"/>
                <w:b w:val="0"/>
                <w:sz w:val="21"/>
              </w:rPr>
              <w:t>primary and junior secondary schools is </w:t>
            </w:r>
            <w:r>
              <w:rPr>
                <w:rFonts w:ascii="Calibri Light"/>
                <w:b w:val="0"/>
                <w:spacing w:val="-2"/>
                <w:sz w:val="21"/>
              </w:rPr>
              <w:t>improved.</w:t>
            </w:r>
          </w:p>
        </w:tc>
        <w:tc>
          <w:tcPr>
            <w:tcW w:w="6034" w:type="dxa"/>
          </w:tcPr>
          <w:p>
            <w:pPr>
              <w:pStyle w:val="TableParagraph"/>
              <w:spacing w:before="59"/>
              <w:ind w:left="704" w:hanging="601"/>
              <w:rPr>
                <w:rFonts w:ascii="Calibri Light"/>
                <w:b w:val="0"/>
                <w:sz w:val="21"/>
              </w:rPr>
            </w:pPr>
            <w:r>
              <w:rPr>
                <w:rFonts w:ascii="Calibri Light"/>
                <w:b w:val="0"/>
                <w:sz w:val="21"/>
              </w:rPr>
              <w:t>1.3.1</w:t>
            </w:r>
            <w:r>
              <w:rPr>
                <w:rFonts w:ascii="Calibri Light"/>
                <w:b w:val="0"/>
                <w:spacing w:val="80"/>
                <w:w w:val="150"/>
                <w:sz w:val="21"/>
              </w:rPr>
              <w:t> </w:t>
            </w:r>
            <w:r>
              <w:rPr>
                <w:rFonts w:ascii="Calibri Light"/>
                <w:b w:val="0"/>
                <w:sz w:val="21"/>
              </w:rPr>
              <w:t>MEHRD analyses teacher appraisal data, or establishes new data</w:t>
            </w:r>
            <w:r>
              <w:rPr>
                <w:rFonts w:ascii="Calibri Light"/>
                <w:b w:val="0"/>
                <w:spacing w:val="-3"/>
                <w:sz w:val="21"/>
              </w:rPr>
              <w:t> </w:t>
            </w:r>
            <w:r>
              <w:rPr>
                <w:rFonts w:ascii="Calibri Light"/>
                <w:b w:val="0"/>
                <w:sz w:val="21"/>
              </w:rPr>
              <w:t>collection</w:t>
            </w:r>
            <w:r>
              <w:rPr>
                <w:rFonts w:ascii="Calibri Light"/>
                <w:b w:val="0"/>
                <w:spacing w:val="-8"/>
                <w:sz w:val="21"/>
              </w:rPr>
              <w:t> </w:t>
            </w:r>
            <w:r>
              <w:rPr>
                <w:rFonts w:ascii="Calibri Light"/>
                <w:b w:val="0"/>
                <w:sz w:val="21"/>
              </w:rPr>
              <w:t>methods,</w:t>
            </w:r>
            <w:r>
              <w:rPr>
                <w:rFonts w:ascii="Calibri Light"/>
                <w:b w:val="0"/>
                <w:spacing w:val="-3"/>
                <w:sz w:val="21"/>
              </w:rPr>
              <w:t> </w:t>
            </w:r>
            <w:r>
              <w:rPr>
                <w:rFonts w:ascii="Calibri Light"/>
                <w:b w:val="0"/>
                <w:sz w:val="21"/>
              </w:rPr>
              <w:t>to</w:t>
            </w:r>
            <w:r>
              <w:rPr>
                <w:rFonts w:ascii="Calibri Light"/>
                <w:b w:val="0"/>
                <w:spacing w:val="-4"/>
                <w:sz w:val="21"/>
              </w:rPr>
              <w:t> </w:t>
            </w:r>
            <w:r>
              <w:rPr>
                <w:rFonts w:ascii="Calibri Light"/>
                <w:b w:val="0"/>
                <w:sz w:val="21"/>
              </w:rPr>
              <w:t>assess</w:t>
            </w:r>
            <w:r>
              <w:rPr>
                <w:rFonts w:ascii="Calibri Light"/>
                <w:b w:val="0"/>
                <w:spacing w:val="-4"/>
                <w:sz w:val="21"/>
              </w:rPr>
              <w:t> </w:t>
            </w:r>
            <w:r>
              <w:rPr>
                <w:rFonts w:ascii="Calibri Light"/>
                <w:b w:val="0"/>
                <w:sz w:val="21"/>
              </w:rPr>
              <w:t>the</w:t>
            </w:r>
            <w:r>
              <w:rPr>
                <w:rFonts w:ascii="Calibri Light"/>
                <w:b w:val="0"/>
                <w:spacing w:val="-3"/>
                <w:sz w:val="21"/>
              </w:rPr>
              <w:t> </w:t>
            </w:r>
            <w:r>
              <w:rPr>
                <w:rFonts w:ascii="Calibri Light"/>
                <w:b w:val="0"/>
                <w:sz w:val="21"/>
              </w:rPr>
              <w:t>percentage</w:t>
            </w:r>
            <w:r>
              <w:rPr>
                <w:rFonts w:ascii="Calibri Light"/>
                <w:b w:val="0"/>
                <w:spacing w:val="-3"/>
                <w:sz w:val="21"/>
              </w:rPr>
              <w:t> </w:t>
            </w:r>
            <w:r>
              <w:rPr>
                <w:rFonts w:ascii="Calibri Light"/>
                <w:b w:val="0"/>
                <w:sz w:val="21"/>
              </w:rPr>
              <w:t>of</w:t>
            </w:r>
            <w:r>
              <w:rPr>
                <w:rFonts w:ascii="Calibri Light"/>
                <w:b w:val="0"/>
                <w:spacing w:val="-10"/>
                <w:sz w:val="21"/>
              </w:rPr>
              <w:t> </w:t>
            </w:r>
            <w:r>
              <w:rPr>
                <w:rFonts w:ascii="Calibri Light"/>
                <w:b w:val="0"/>
                <w:sz w:val="21"/>
              </w:rPr>
              <w:t>teachers who meet the Teacher Standard and establish a baseline against which future improvement can be measured.</w:t>
            </w:r>
          </w:p>
        </w:tc>
        <w:tc>
          <w:tcPr>
            <w:tcW w:w="3927" w:type="dxa"/>
          </w:tcPr>
          <w:p>
            <w:pPr>
              <w:pStyle w:val="TableParagraph"/>
              <w:numPr>
                <w:ilvl w:val="0"/>
                <w:numId w:val="15"/>
              </w:numPr>
              <w:tabs>
                <w:tab w:pos="383" w:val="left" w:leader="none"/>
              </w:tabs>
              <w:spacing w:line="240" w:lineRule="auto" w:before="177" w:after="0"/>
              <w:ind w:left="382" w:right="0"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7"/>
                <w:sz w:val="21"/>
              </w:rPr>
              <w:t> </w:t>
            </w:r>
            <w:r>
              <w:rPr>
                <w:rFonts w:ascii="Calibri Light" w:hAnsi="Calibri Light"/>
                <w:b w:val="0"/>
                <w:sz w:val="21"/>
              </w:rPr>
              <w:t>analysis</w:t>
            </w:r>
            <w:r>
              <w:rPr>
                <w:rFonts w:ascii="Calibri Light" w:hAnsi="Calibri Light"/>
                <w:b w:val="0"/>
                <w:spacing w:val="-3"/>
                <w:sz w:val="21"/>
              </w:rPr>
              <w:t> </w:t>
            </w:r>
            <w:r>
              <w:rPr>
                <w:rFonts w:ascii="Calibri Light" w:hAnsi="Calibri Light"/>
                <w:b w:val="0"/>
                <w:sz w:val="21"/>
              </w:rPr>
              <w:t>and</w:t>
            </w:r>
            <w:r>
              <w:rPr>
                <w:rFonts w:ascii="Calibri Light" w:hAnsi="Calibri Light"/>
                <w:b w:val="0"/>
                <w:spacing w:val="-1"/>
                <w:sz w:val="21"/>
              </w:rPr>
              <w:t> </w:t>
            </w:r>
            <w:r>
              <w:rPr>
                <w:rFonts w:ascii="Calibri Light" w:hAnsi="Calibri Light"/>
                <w:b w:val="0"/>
                <w:sz w:val="21"/>
              </w:rPr>
              <w:t>reports</w:t>
            </w:r>
            <w:r>
              <w:rPr>
                <w:rFonts w:ascii="Calibri Light" w:hAnsi="Calibri Light"/>
                <w:b w:val="0"/>
                <w:spacing w:val="-3"/>
                <w:sz w:val="21"/>
              </w:rPr>
              <w:t> </w:t>
            </w:r>
            <w:r>
              <w:rPr>
                <w:rFonts w:ascii="Calibri Light" w:hAnsi="Calibri Light"/>
                <w:b w:val="0"/>
                <w:sz w:val="21"/>
              </w:rPr>
              <w:t>of</w:t>
            </w:r>
            <w:r>
              <w:rPr>
                <w:rFonts w:ascii="Calibri Light" w:hAnsi="Calibri Light"/>
                <w:b w:val="0"/>
                <w:spacing w:val="-3"/>
                <w:sz w:val="21"/>
              </w:rPr>
              <w:t> </w:t>
            </w:r>
            <w:r>
              <w:rPr>
                <w:rFonts w:ascii="Calibri Light" w:hAnsi="Calibri Light"/>
                <w:b w:val="0"/>
                <w:spacing w:val="-2"/>
                <w:sz w:val="21"/>
              </w:rPr>
              <w:t>findings</w:t>
            </w:r>
          </w:p>
          <w:p>
            <w:pPr>
              <w:pStyle w:val="TableParagraph"/>
              <w:numPr>
                <w:ilvl w:val="0"/>
                <w:numId w:val="15"/>
              </w:numPr>
              <w:tabs>
                <w:tab w:pos="383" w:val="left" w:leader="none"/>
              </w:tabs>
              <w:spacing w:line="240" w:lineRule="auto" w:before="2" w:after="0"/>
              <w:ind w:left="382" w:right="253" w:hanging="274"/>
              <w:jc w:val="left"/>
              <w:rPr>
                <w:rFonts w:ascii="Calibri Light" w:hAnsi="Calibri Light"/>
                <w:b w:val="0"/>
                <w:sz w:val="21"/>
              </w:rPr>
            </w:pPr>
            <w:r>
              <w:rPr>
                <w:rFonts w:ascii="Calibri Light" w:hAnsi="Calibri Light"/>
                <w:b w:val="0"/>
                <w:sz w:val="21"/>
              </w:rPr>
              <w:t>Baseline</w:t>
            </w:r>
            <w:r>
              <w:rPr>
                <w:rFonts w:ascii="Calibri Light" w:hAnsi="Calibri Light"/>
                <w:b w:val="0"/>
                <w:spacing w:val="-5"/>
                <w:sz w:val="21"/>
              </w:rPr>
              <w:t> </w:t>
            </w:r>
            <w:r>
              <w:rPr>
                <w:rFonts w:ascii="Calibri Light" w:hAnsi="Calibri Light"/>
                <w:b w:val="0"/>
                <w:sz w:val="21"/>
              </w:rPr>
              <w:t>rates</w:t>
            </w:r>
            <w:r>
              <w:rPr>
                <w:rFonts w:ascii="Calibri Light" w:hAnsi="Calibri Light"/>
                <w:b w:val="0"/>
                <w:spacing w:val="-10"/>
                <w:sz w:val="21"/>
              </w:rPr>
              <w:t> </w:t>
            </w:r>
            <w:r>
              <w:rPr>
                <w:rFonts w:ascii="Calibri Light" w:hAnsi="Calibri Light"/>
                <w:b w:val="0"/>
                <w:sz w:val="21"/>
              </w:rPr>
              <w:t>of</w:t>
            </w:r>
            <w:r>
              <w:rPr>
                <w:rFonts w:ascii="Calibri Light" w:hAnsi="Calibri Light"/>
                <w:b w:val="0"/>
                <w:spacing w:val="-6"/>
                <w:sz w:val="21"/>
              </w:rPr>
              <w:t> </w:t>
            </w:r>
            <w:r>
              <w:rPr>
                <w:rFonts w:ascii="Calibri Light" w:hAnsi="Calibri Light"/>
                <w:b w:val="0"/>
                <w:sz w:val="21"/>
              </w:rPr>
              <w:t>achievement</w:t>
            </w:r>
            <w:r>
              <w:rPr>
                <w:rFonts w:ascii="Calibri Light" w:hAnsi="Calibri Light"/>
                <w:b w:val="0"/>
                <w:spacing w:val="-7"/>
                <w:sz w:val="21"/>
              </w:rPr>
              <w:t> </w:t>
            </w:r>
            <w:r>
              <w:rPr>
                <w:rFonts w:ascii="Calibri Light" w:hAnsi="Calibri Light"/>
                <w:b w:val="0"/>
                <w:sz w:val="21"/>
              </w:rPr>
              <w:t>for</w:t>
            </w:r>
            <w:r>
              <w:rPr>
                <w:rFonts w:ascii="Calibri Light" w:hAnsi="Calibri Light"/>
                <w:b w:val="0"/>
                <w:spacing w:val="-6"/>
                <w:sz w:val="21"/>
              </w:rPr>
              <w:t> </w:t>
            </w:r>
            <w:r>
              <w:rPr>
                <w:rFonts w:ascii="Calibri Light" w:hAnsi="Calibri Light"/>
                <w:b w:val="0"/>
                <w:sz w:val="21"/>
              </w:rPr>
              <w:t>each section of the Teacher Standards</w:t>
            </w:r>
          </w:p>
        </w:tc>
      </w:tr>
      <w:tr>
        <w:trPr>
          <w:trHeight w:val="1165" w:hRule="atLeast"/>
        </w:trPr>
        <w:tc>
          <w:tcPr>
            <w:tcW w:w="562" w:type="dxa"/>
            <w:vMerge/>
            <w:tcBorders>
              <w:top w:val="nil"/>
            </w:tcBorders>
          </w:tcPr>
          <w:p>
            <w:pPr>
              <w:rPr>
                <w:sz w:val="2"/>
                <w:szCs w:val="2"/>
              </w:rPr>
            </w:pPr>
          </w:p>
        </w:tc>
        <w:tc>
          <w:tcPr>
            <w:tcW w:w="3082" w:type="dxa"/>
            <w:vMerge/>
            <w:tcBorders>
              <w:top w:val="nil"/>
            </w:tcBorders>
          </w:tcPr>
          <w:p>
            <w:pPr>
              <w:rPr>
                <w:sz w:val="2"/>
                <w:szCs w:val="2"/>
              </w:rPr>
            </w:pPr>
          </w:p>
        </w:tc>
        <w:tc>
          <w:tcPr>
            <w:tcW w:w="6034" w:type="dxa"/>
          </w:tcPr>
          <w:p>
            <w:pPr>
              <w:pStyle w:val="TableParagraph"/>
              <w:spacing w:before="59"/>
              <w:ind w:left="704" w:hanging="601"/>
              <w:rPr>
                <w:rFonts w:ascii="Calibri Light"/>
                <w:b w:val="0"/>
                <w:sz w:val="21"/>
              </w:rPr>
            </w:pPr>
            <w:r>
              <w:rPr>
                <w:rFonts w:ascii="Calibri Light"/>
                <w:b w:val="0"/>
                <w:sz w:val="21"/>
              </w:rPr>
              <w:t>1.3.2</w:t>
            </w:r>
            <w:r>
              <w:rPr>
                <w:rFonts w:ascii="Calibri Light"/>
                <w:b w:val="0"/>
                <w:spacing w:val="80"/>
                <w:w w:val="150"/>
                <w:sz w:val="21"/>
              </w:rPr>
              <w:t> </w:t>
            </w:r>
            <w:r>
              <w:rPr>
                <w:rFonts w:ascii="Calibri Light"/>
                <w:b w:val="0"/>
                <w:sz w:val="21"/>
              </w:rPr>
              <w:t>Increase</w:t>
            </w:r>
            <w:r>
              <w:rPr>
                <w:rFonts w:ascii="Calibri Light"/>
                <w:b w:val="0"/>
                <w:spacing w:val="-1"/>
                <w:sz w:val="21"/>
              </w:rPr>
              <w:t> </w:t>
            </w:r>
            <w:r>
              <w:rPr>
                <w:rFonts w:ascii="Calibri Light"/>
                <w:b w:val="0"/>
                <w:sz w:val="21"/>
              </w:rPr>
              <w:t>from</w:t>
            </w:r>
            <w:r>
              <w:rPr>
                <w:rFonts w:ascii="Calibri Light"/>
                <w:b w:val="0"/>
                <w:spacing w:val="-2"/>
                <w:sz w:val="21"/>
              </w:rPr>
              <w:t> </w:t>
            </w:r>
            <w:r>
              <w:rPr>
                <w:rFonts w:ascii="Calibri Light"/>
                <w:b w:val="0"/>
                <w:sz w:val="21"/>
              </w:rPr>
              <w:t>2016</w:t>
            </w:r>
            <w:r>
              <w:rPr>
                <w:rFonts w:ascii="Calibri Light"/>
                <w:b w:val="0"/>
                <w:spacing w:val="-3"/>
                <w:sz w:val="21"/>
              </w:rPr>
              <w:t> </w:t>
            </w:r>
            <w:r>
              <w:rPr>
                <w:rFonts w:ascii="Calibri Light"/>
                <w:b w:val="0"/>
                <w:sz w:val="21"/>
              </w:rPr>
              <w:t>in</w:t>
            </w:r>
            <w:r>
              <w:rPr>
                <w:rFonts w:ascii="Calibri Light"/>
                <w:b w:val="0"/>
                <w:spacing w:val="-1"/>
                <w:sz w:val="21"/>
              </w:rPr>
              <w:t> </w:t>
            </w:r>
            <w:r>
              <w:rPr>
                <w:rFonts w:ascii="Calibri Light"/>
                <w:b w:val="0"/>
                <w:sz w:val="21"/>
              </w:rPr>
              <w:t>the</w:t>
            </w:r>
            <w:r>
              <w:rPr>
                <w:rFonts w:ascii="Calibri Light"/>
                <w:b w:val="0"/>
                <w:spacing w:val="-5"/>
                <w:sz w:val="21"/>
              </w:rPr>
              <w:t> </w:t>
            </w:r>
            <w:r>
              <w:rPr>
                <w:rFonts w:ascii="Calibri Light"/>
                <w:b w:val="0"/>
                <w:sz w:val="21"/>
              </w:rPr>
              <w:t>percentage</w:t>
            </w:r>
            <w:r>
              <w:rPr>
                <w:rFonts w:ascii="Calibri Light"/>
                <w:b w:val="0"/>
                <w:spacing w:val="-1"/>
                <w:sz w:val="21"/>
              </w:rPr>
              <w:t> </w:t>
            </w:r>
            <w:r>
              <w:rPr>
                <w:rFonts w:ascii="Calibri Light"/>
                <w:b w:val="0"/>
                <w:sz w:val="21"/>
              </w:rPr>
              <w:t>of</w:t>
            </w:r>
            <w:r>
              <w:rPr>
                <w:rFonts w:ascii="Calibri Light"/>
                <w:b w:val="0"/>
                <w:spacing w:val="-3"/>
                <w:sz w:val="21"/>
              </w:rPr>
              <w:t> </w:t>
            </w:r>
            <w:r>
              <w:rPr>
                <w:rFonts w:ascii="Calibri Light"/>
                <w:b w:val="0"/>
                <w:sz w:val="21"/>
              </w:rPr>
              <w:t>trained</w:t>
            </w:r>
            <w:r>
              <w:rPr>
                <w:rFonts w:ascii="Calibri Light"/>
                <w:b w:val="0"/>
                <w:spacing w:val="-1"/>
                <w:sz w:val="21"/>
              </w:rPr>
              <w:t> </w:t>
            </w:r>
            <w:r>
              <w:rPr>
                <w:rFonts w:ascii="Calibri Light"/>
                <w:b w:val="0"/>
                <w:sz w:val="21"/>
              </w:rPr>
              <w:t>teachers</w:t>
            </w:r>
            <w:r>
              <w:rPr>
                <w:rFonts w:ascii="Calibri Light"/>
                <w:b w:val="0"/>
                <w:spacing w:val="-7"/>
                <w:sz w:val="21"/>
              </w:rPr>
              <w:t> </w:t>
            </w:r>
            <w:r>
              <w:rPr>
                <w:rFonts w:ascii="Calibri Light"/>
                <w:b w:val="0"/>
                <w:sz w:val="21"/>
              </w:rPr>
              <w:t>in primary and junior secondary schools.</w:t>
            </w:r>
          </w:p>
        </w:tc>
        <w:tc>
          <w:tcPr>
            <w:tcW w:w="3927" w:type="dxa"/>
          </w:tcPr>
          <w:p>
            <w:pPr>
              <w:pStyle w:val="TableParagraph"/>
              <w:numPr>
                <w:ilvl w:val="0"/>
                <w:numId w:val="16"/>
              </w:numPr>
              <w:tabs>
                <w:tab w:pos="383" w:val="left" w:leader="none"/>
              </w:tabs>
              <w:spacing w:line="240" w:lineRule="auto" w:before="57" w:after="0"/>
              <w:ind w:left="382" w:right="620" w:hanging="274"/>
              <w:jc w:val="left"/>
              <w:rPr>
                <w:rFonts w:ascii="Calibri Light" w:hAnsi="Calibri Light"/>
                <w:b w:val="0"/>
                <w:sz w:val="21"/>
              </w:rPr>
            </w:pPr>
            <w:r>
              <w:rPr>
                <w:rFonts w:ascii="Calibri Light" w:hAnsi="Calibri Light"/>
                <w:b w:val="0"/>
                <w:sz w:val="21"/>
              </w:rPr>
              <w:t>Data</w:t>
            </w:r>
            <w:r>
              <w:rPr>
                <w:rFonts w:ascii="Calibri Light" w:hAnsi="Calibri Light"/>
                <w:b w:val="0"/>
                <w:spacing w:val="-6"/>
                <w:sz w:val="21"/>
              </w:rPr>
              <w:t> </w:t>
            </w:r>
            <w:r>
              <w:rPr>
                <w:rFonts w:ascii="Calibri Light" w:hAnsi="Calibri Light"/>
                <w:b w:val="0"/>
                <w:sz w:val="21"/>
              </w:rPr>
              <w:t>from</w:t>
            </w:r>
            <w:r>
              <w:rPr>
                <w:rFonts w:ascii="Calibri Light" w:hAnsi="Calibri Light"/>
                <w:b w:val="0"/>
                <w:spacing w:val="-11"/>
                <w:sz w:val="21"/>
              </w:rPr>
              <w:t> </w:t>
            </w:r>
            <w:r>
              <w:rPr>
                <w:rFonts w:ascii="Calibri Light" w:hAnsi="Calibri Light"/>
                <w:b w:val="0"/>
                <w:sz w:val="21"/>
              </w:rPr>
              <w:t>2016</w:t>
            </w:r>
            <w:r>
              <w:rPr>
                <w:rFonts w:ascii="Calibri Light" w:hAnsi="Calibri Light"/>
                <w:b w:val="0"/>
                <w:spacing w:val="-8"/>
                <w:sz w:val="21"/>
              </w:rPr>
              <w:t> </w:t>
            </w:r>
            <w:r>
              <w:rPr>
                <w:rFonts w:ascii="Calibri Light" w:hAnsi="Calibri Light"/>
                <w:b w:val="0"/>
                <w:sz w:val="21"/>
              </w:rPr>
              <w:t>and</w:t>
            </w:r>
            <w:r>
              <w:rPr>
                <w:rFonts w:ascii="Calibri Light" w:hAnsi="Calibri Light"/>
                <w:b w:val="0"/>
                <w:spacing w:val="-6"/>
                <w:sz w:val="21"/>
              </w:rPr>
              <w:t> </w:t>
            </w:r>
            <w:r>
              <w:rPr>
                <w:rFonts w:ascii="Calibri Light" w:hAnsi="Calibri Light"/>
                <w:b w:val="0"/>
                <w:sz w:val="21"/>
              </w:rPr>
              <w:t>2017</w:t>
            </w:r>
            <w:r>
              <w:rPr>
                <w:rFonts w:ascii="Calibri Light" w:hAnsi="Calibri Light"/>
                <w:b w:val="0"/>
                <w:spacing w:val="-8"/>
                <w:sz w:val="21"/>
              </w:rPr>
              <w:t> </w:t>
            </w:r>
            <w:r>
              <w:rPr>
                <w:rFonts w:ascii="Calibri Light" w:hAnsi="Calibri Light"/>
                <w:b w:val="0"/>
                <w:sz w:val="21"/>
              </w:rPr>
              <w:t>showing percentage of trained teachers in schools by province.</w:t>
            </w:r>
          </w:p>
          <w:p>
            <w:pPr>
              <w:pStyle w:val="TableParagraph"/>
              <w:numPr>
                <w:ilvl w:val="0"/>
                <w:numId w:val="16"/>
              </w:numPr>
              <w:tabs>
                <w:tab w:pos="383" w:val="left" w:leader="none"/>
              </w:tabs>
              <w:spacing w:line="265" w:lineRule="exact" w:before="0" w:after="0"/>
              <w:ind w:left="382" w:right="0" w:hanging="274"/>
              <w:jc w:val="left"/>
              <w:rPr>
                <w:rFonts w:ascii="Calibri Light" w:hAnsi="Calibri Light"/>
                <w:b w:val="0"/>
                <w:sz w:val="21"/>
              </w:rPr>
            </w:pPr>
            <w:r>
              <w:rPr>
                <w:rFonts w:ascii="Calibri Light" w:hAnsi="Calibri Light"/>
                <w:b w:val="0"/>
                <w:sz w:val="21"/>
              </w:rPr>
              <w:t>Training</w:t>
            </w:r>
            <w:r>
              <w:rPr>
                <w:rFonts w:ascii="Calibri Light" w:hAnsi="Calibri Light"/>
                <w:b w:val="0"/>
                <w:spacing w:val="-3"/>
                <w:sz w:val="21"/>
              </w:rPr>
              <w:t> </w:t>
            </w:r>
            <w:r>
              <w:rPr>
                <w:rFonts w:ascii="Calibri Light" w:hAnsi="Calibri Light"/>
                <w:b w:val="0"/>
                <w:spacing w:val="-2"/>
                <w:sz w:val="21"/>
              </w:rPr>
              <w:t>records.</w:t>
            </w:r>
          </w:p>
        </w:tc>
      </w:tr>
    </w:tbl>
    <w:p>
      <w:pPr>
        <w:spacing w:after="0" w:line="265" w:lineRule="exact"/>
        <w:jc w:val="left"/>
        <w:rPr>
          <w:rFonts w:ascii="Calibri Light" w:hAnsi="Calibri Light"/>
          <w:sz w:val="21"/>
        </w:rPr>
        <w:sectPr>
          <w:headerReference w:type="default" r:id="rId10"/>
          <w:footerReference w:type="default" r:id="rId11"/>
          <w:pgSz w:w="16840" w:h="11900" w:orient="landscape"/>
          <w:pgMar w:header="751" w:footer="1238" w:top="1400" w:bottom="1816" w:left="1320" w:right="158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3077"/>
        <w:gridCol w:w="6039"/>
        <w:gridCol w:w="3927"/>
      </w:tblGrid>
      <w:tr>
        <w:trPr>
          <w:trHeight w:val="714" w:hRule="atLeast"/>
        </w:trPr>
        <w:tc>
          <w:tcPr>
            <w:tcW w:w="562" w:type="dxa"/>
            <w:shd w:val="clear" w:color="auto" w:fill="B4C6E7"/>
          </w:tcPr>
          <w:p>
            <w:pPr>
              <w:pStyle w:val="TableParagraph"/>
              <w:rPr>
                <w:rFonts w:ascii="Times New Roman"/>
                <w:sz w:val="20"/>
              </w:rPr>
            </w:pPr>
          </w:p>
        </w:tc>
        <w:tc>
          <w:tcPr>
            <w:tcW w:w="3077" w:type="dxa"/>
            <w:shd w:val="clear" w:color="auto" w:fill="B4C6E7"/>
          </w:tcPr>
          <w:p>
            <w:pPr>
              <w:pStyle w:val="TableParagraph"/>
              <w:spacing w:before="2"/>
              <w:rPr>
                <w:sz w:val="18"/>
              </w:rPr>
            </w:pPr>
          </w:p>
          <w:p>
            <w:pPr>
              <w:pStyle w:val="TableParagraph"/>
              <w:ind w:left="1122" w:right="1110"/>
              <w:jc w:val="center"/>
              <w:rPr>
                <w:rFonts w:ascii="Calibri Light"/>
                <w:b w:val="0"/>
                <w:sz w:val="22"/>
              </w:rPr>
            </w:pPr>
            <w:r>
              <w:rPr>
                <w:rFonts w:ascii="Calibri Light"/>
                <w:b w:val="0"/>
                <w:spacing w:val="-2"/>
                <w:sz w:val="22"/>
              </w:rPr>
              <w:t>TARGETS</w:t>
            </w:r>
          </w:p>
        </w:tc>
        <w:tc>
          <w:tcPr>
            <w:tcW w:w="6039" w:type="dxa"/>
            <w:shd w:val="clear" w:color="auto" w:fill="B4C6E7"/>
          </w:tcPr>
          <w:p>
            <w:pPr>
              <w:pStyle w:val="TableParagraph"/>
              <w:spacing w:before="2"/>
              <w:rPr>
                <w:sz w:val="18"/>
              </w:rPr>
            </w:pPr>
          </w:p>
          <w:p>
            <w:pPr>
              <w:pStyle w:val="TableParagraph"/>
              <w:ind w:left="1784"/>
              <w:rPr>
                <w:rFonts w:ascii="Calibri Light"/>
                <w:b w:val="0"/>
                <w:sz w:val="22"/>
              </w:rPr>
            </w:pPr>
            <w:r>
              <w:rPr>
                <w:rFonts w:ascii="Calibri Light"/>
                <w:b w:val="0"/>
                <w:spacing w:val="-4"/>
                <w:sz w:val="22"/>
              </w:rPr>
              <w:t>PERFORMANCE</w:t>
            </w:r>
            <w:r>
              <w:rPr>
                <w:rFonts w:ascii="Calibri Light"/>
                <w:b w:val="0"/>
                <w:spacing w:val="10"/>
                <w:sz w:val="22"/>
              </w:rPr>
              <w:t> </w:t>
            </w:r>
            <w:r>
              <w:rPr>
                <w:rFonts w:ascii="Calibri Light"/>
                <w:b w:val="0"/>
                <w:spacing w:val="-2"/>
                <w:sz w:val="22"/>
              </w:rPr>
              <w:t>INDICATORS</w:t>
            </w:r>
          </w:p>
        </w:tc>
        <w:tc>
          <w:tcPr>
            <w:tcW w:w="3927" w:type="dxa"/>
            <w:shd w:val="clear" w:color="auto" w:fill="B4C6E7"/>
          </w:tcPr>
          <w:p>
            <w:pPr>
              <w:pStyle w:val="TableParagraph"/>
              <w:spacing w:line="320" w:lineRule="atLeast" w:before="7"/>
              <w:ind w:left="862" w:right="842" w:firstLine="662"/>
              <w:rPr>
                <w:rFonts w:ascii="Calibri Light"/>
                <w:b w:val="0"/>
                <w:sz w:val="22"/>
              </w:rPr>
            </w:pPr>
            <w:r>
              <w:rPr>
                <w:rFonts w:ascii="Calibri Light"/>
                <w:b w:val="0"/>
                <w:spacing w:val="-2"/>
                <w:sz w:val="22"/>
              </w:rPr>
              <w:t>EVIDENCE</w:t>
            </w:r>
            <w:r>
              <w:rPr>
                <w:rFonts w:ascii="Calibri Light"/>
                <w:b w:val="0"/>
                <w:spacing w:val="40"/>
                <w:sz w:val="22"/>
              </w:rPr>
              <w:t> </w:t>
            </w:r>
            <w:r>
              <w:rPr>
                <w:rFonts w:ascii="Calibri Light"/>
                <w:b w:val="0"/>
                <w:spacing w:val="-2"/>
                <w:sz w:val="22"/>
              </w:rPr>
              <w:t>MEANS</w:t>
            </w:r>
            <w:r>
              <w:rPr>
                <w:rFonts w:ascii="Calibri Light"/>
                <w:b w:val="0"/>
                <w:spacing w:val="-11"/>
                <w:sz w:val="22"/>
              </w:rPr>
              <w:t> </w:t>
            </w:r>
            <w:r>
              <w:rPr>
                <w:rFonts w:ascii="Calibri Light"/>
                <w:b w:val="0"/>
                <w:spacing w:val="-2"/>
                <w:sz w:val="22"/>
              </w:rPr>
              <w:t>OF</w:t>
            </w:r>
            <w:r>
              <w:rPr>
                <w:rFonts w:ascii="Calibri Light"/>
                <w:b w:val="0"/>
                <w:spacing w:val="-10"/>
                <w:sz w:val="22"/>
              </w:rPr>
              <w:t> </w:t>
            </w:r>
            <w:r>
              <w:rPr>
                <w:rFonts w:ascii="Calibri Light"/>
                <w:b w:val="0"/>
                <w:spacing w:val="-2"/>
                <w:sz w:val="22"/>
              </w:rPr>
              <w:t>VERIFICATION</w:t>
            </w:r>
          </w:p>
        </w:tc>
      </w:tr>
      <w:tr>
        <w:trPr>
          <w:trHeight w:val="647" w:hRule="atLeast"/>
        </w:trPr>
        <w:tc>
          <w:tcPr>
            <w:tcW w:w="56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ind w:left="110"/>
              <w:rPr>
                <w:rFonts w:ascii="Calibri Light"/>
                <w:b w:val="0"/>
                <w:sz w:val="21"/>
              </w:rPr>
            </w:pPr>
            <w:r>
              <w:rPr>
                <w:rFonts w:ascii="Calibri Light"/>
                <w:b w:val="0"/>
                <w:spacing w:val="-5"/>
                <w:sz w:val="21"/>
              </w:rPr>
              <w:t>1.4</w:t>
            </w:r>
          </w:p>
        </w:tc>
        <w:tc>
          <w:tcPr>
            <w:tcW w:w="3077" w:type="dxa"/>
            <w:vMerge w:val="restart"/>
          </w:tcPr>
          <w:p>
            <w:pPr>
              <w:pStyle w:val="TableParagraph"/>
              <w:rPr>
                <w:sz w:val="20"/>
              </w:rPr>
            </w:pPr>
          </w:p>
          <w:p>
            <w:pPr>
              <w:pStyle w:val="TableParagraph"/>
              <w:rPr>
                <w:sz w:val="20"/>
              </w:rPr>
            </w:pPr>
          </w:p>
          <w:p>
            <w:pPr>
              <w:pStyle w:val="TableParagraph"/>
              <w:spacing w:before="5"/>
              <w:rPr>
                <w:sz w:val="19"/>
              </w:rPr>
            </w:pPr>
          </w:p>
          <w:p>
            <w:pPr>
              <w:pStyle w:val="TableParagraph"/>
              <w:spacing w:before="1"/>
              <w:ind w:left="104" w:right="128"/>
              <w:rPr>
                <w:rFonts w:ascii="Calibri Light"/>
                <w:b w:val="0"/>
                <w:sz w:val="21"/>
              </w:rPr>
            </w:pPr>
            <w:r>
              <w:rPr>
                <w:rFonts w:ascii="Calibri Light"/>
                <w:b w:val="0"/>
                <w:sz w:val="21"/>
              </w:rPr>
              <w:t>Curriculum support materials support</w:t>
            </w:r>
            <w:r>
              <w:rPr>
                <w:rFonts w:ascii="Calibri Light"/>
                <w:b w:val="0"/>
                <w:spacing w:val="-12"/>
                <w:sz w:val="21"/>
              </w:rPr>
              <w:t> </w:t>
            </w:r>
            <w:r>
              <w:rPr>
                <w:rFonts w:ascii="Calibri Light"/>
                <w:b w:val="0"/>
                <w:sz w:val="21"/>
              </w:rPr>
              <w:t>the</w:t>
            </w:r>
            <w:r>
              <w:rPr>
                <w:rFonts w:ascii="Calibri Light"/>
                <w:b w:val="0"/>
                <w:spacing w:val="-9"/>
                <w:sz w:val="21"/>
              </w:rPr>
              <w:t> </w:t>
            </w:r>
            <w:r>
              <w:rPr>
                <w:rFonts w:ascii="Calibri Light"/>
                <w:b w:val="0"/>
                <w:sz w:val="21"/>
              </w:rPr>
              <w:t>implementation</w:t>
            </w:r>
            <w:r>
              <w:rPr>
                <w:rFonts w:ascii="Calibri Light"/>
                <w:b w:val="0"/>
                <w:spacing w:val="-12"/>
                <w:sz w:val="21"/>
              </w:rPr>
              <w:t> </w:t>
            </w:r>
            <w:r>
              <w:rPr>
                <w:rFonts w:ascii="Calibri Light"/>
                <w:b w:val="0"/>
                <w:sz w:val="21"/>
              </w:rPr>
              <w:t>of the</w:t>
            </w:r>
            <w:r>
              <w:rPr>
                <w:rFonts w:ascii="Calibri Light"/>
                <w:b w:val="0"/>
                <w:spacing w:val="-5"/>
                <w:sz w:val="21"/>
              </w:rPr>
              <w:t> </w:t>
            </w:r>
            <w:r>
              <w:rPr>
                <w:rFonts w:ascii="Calibri Light"/>
                <w:b w:val="0"/>
                <w:sz w:val="21"/>
              </w:rPr>
              <w:t>basic</w:t>
            </w:r>
            <w:r>
              <w:rPr>
                <w:rFonts w:ascii="Calibri Light"/>
                <w:b w:val="0"/>
                <w:spacing w:val="-4"/>
                <w:sz w:val="21"/>
              </w:rPr>
              <w:t> </w:t>
            </w:r>
            <w:r>
              <w:rPr>
                <w:rFonts w:ascii="Calibri Light"/>
                <w:b w:val="0"/>
                <w:sz w:val="21"/>
              </w:rPr>
              <w:t>education</w:t>
            </w:r>
            <w:r>
              <w:rPr>
                <w:rFonts w:ascii="Calibri Light"/>
                <w:b w:val="0"/>
                <w:spacing w:val="-8"/>
                <w:sz w:val="21"/>
              </w:rPr>
              <w:t> </w:t>
            </w:r>
            <w:r>
              <w:rPr>
                <w:rFonts w:ascii="Calibri Light"/>
                <w:b w:val="0"/>
                <w:spacing w:val="-2"/>
                <w:sz w:val="21"/>
              </w:rPr>
              <w:t>curriculum</w:t>
            </w:r>
          </w:p>
        </w:tc>
        <w:tc>
          <w:tcPr>
            <w:tcW w:w="6039" w:type="dxa"/>
          </w:tcPr>
          <w:p>
            <w:pPr>
              <w:pStyle w:val="TableParagraph"/>
              <w:spacing w:before="68"/>
              <w:ind w:left="709" w:right="168" w:hanging="601"/>
              <w:rPr>
                <w:rFonts w:ascii="Calibri Light"/>
                <w:b w:val="0"/>
                <w:sz w:val="21"/>
              </w:rPr>
            </w:pPr>
            <w:r>
              <w:rPr>
                <w:rFonts w:ascii="Calibri Light"/>
                <w:b w:val="0"/>
                <w:sz w:val="21"/>
              </w:rPr>
              <w:t>1.4.1</w:t>
            </w:r>
            <w:r>
              <w:rPr>
                <w:rFonts w:ascii="Calibri Light"/>
                <w:b w:val="0"/>
                <w:spacing w:val="80"/>
                <w:sz w:val="21"/>
              </w:rPr>
              <w:t> </w:t>
            </w:r>
            <w:r>
              <w:rPr>
                <w:rFonts w:ascii="Calibri Light"/>
                <w:b w:val="0"/>
                <w:sz w:val="21"/>
              </w:rPr>
              <w:t>Revised</w:t>
            </w:r>
            <w:r>
              <w:rPr>
                <w:rFonts w:ascii="Calibri Light"/>
                <w:b w:val="0"/>
                <w:spacing w:val="-2"/>
                <w:sz w:val="21"/>
              </w:rPr>
              <w:t> </w:t>
            </w:r>
            <w:r>
              <w:rPr>
                <w:rFonts w:ascii="Calibri Light"/>
                <w:b w:val="0"/>
                <w:sz w:val="21"/>
              </w:rPr>
              <w:t>basic</w:t>
            </w:r>
            <w:r>
              <w:rPr>
                <w:rFonts w:ascii="Calibri Light"/>
                <w:b w:val="0"/>
                <w:spacing w:val="-2"/>
                <w:sz w:val="21"/>
              </w:rPr>
              <w:t> </w:t>
            </w:r>
            <w:r>
              <w:rPr>
                <w:rFonts w:ascii="Calibri Light"/>
                <w:b w:val="0"/>
                <w:sz w:val="21"/>
              </w:rPr>
              <w:t>education</w:t>
            </w:r>
            <w:r>
              <w:rPr>
                <w:rFonts w:ascii="Calibri Light"/>
                <w:b w:val="0"/>
                <w:spacing w:val="-2"/>
                <w:sz w:val="21"/>
              </w:rPr>
              <w:t> </w:t>
            </w:r>
            <w:r>
              <w:rPr>
                <w:rFonts w:ascii="Calibri Light"/>
                <w:b w:val="0"/>
                <w:sz w:val="21"/>
              </w:rPr>
              <w:t>curriculum</w:t>
            </w:r>
            <w:r>
              <w:rPr>
                <w:rFonts w:ascii="Calibri Light"/>
                <w:b w:val="0"/>
                <w:spacing w:val="-2"/>
                <w:sz w:val="21"/>
              </w:rPr>
              <w:t> </w:t>
            </w:r>
            <w:r>
              <w:rPr>
                <w:rFonts w:ascii="Calibri Light"/>
                <w:b w:val="0"/>
                <w:sz w:val="21"/>
              </w:rPr>
              <w:t>is</w:t>
            </w:r>
            <w:r>
              <w:rPr>
                <w:rFonts w:ascii="Calibri Light"/>
                <w:b w:val="0"/>
                <w:spacing w:val="-8"/>
                <w:sz w:val="21"/>
              </w:rPr>
              <w:t> </w:t>
            </w:r>
            <w:r>
              <w:rPr>
                <w:rFonts w:ascii="Calibri Light"/>
                <w:b w:val="0"/>
                <w:sz w:val="21"/>
              </w:rPr>
              <w:t>completed</w:t>
            </w:r>
            <w:r>
              <w:rPr>
                <w:rFonts w:ascii="Calibri Light"/>
                <w:b w:val="0"/>
                <w:spacing w:val="-7"/>
                <w:sz w:val="21"/>
              </w:rPr>
              <w:t> </w:t>
            </w:r>
            <w:r>
              <w:rPr>
                <w:rFonts w:ascii="Calibri Light"/>
                <w:b w:val="0"/>
                <w:sz w:val="21"/>
              </w:rPr>
              <w:t>for</w:t>
            </w:r>
            <w:r>
              <w:rPr>
                <w:rFonts w:ascii="Calibri Light"/>
                <w:b w:val="0"/>
                <w:spacing w:val="-4"/>
                <w:sz w:val="21"/>
              </w:rPr>
              <w:t> </w:t>
            </w:r>
            <w:r>
              <w:rPr>
                <w:rFonts w:ascii="Calibri Light"/>
                <w:b w:val="0"/>
                <w:sz w:val="21"/>
              </w:rPr>
              <w:t>all learning areas.</w:t>
            </w:r>
          </w:p>
        </w:tc>
        <w:tc>
          <w:tcPr>
            <w:tcW w:w="3927" w:type="dxa"/>
          </w:tcPr>
          <w:p>
            <w:pPr>
              <w:pStyle w:val="TableParagraph"/>
              <w:numPr>
                <w:ilvl w:val="0"/>
                <w:numId w:val="17"/>
              </w:numPr>
              <w:tabs>
                <w:tab w:pos="383" w:val="left" w:leader="none"/>
              </w:tabs>
              <w:spacing w:line="240" w:lineRule="auto" w:before="62" w:after="0"/>
              <w:ind w:left="382" w:right="310"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6"/>
                <w:sz w:val="21"/>
              </w:rPr>
              <w:t> </w:t>
            </w:r>
            <w:r>
              <w:rPr>
                <w:rFonts w:ascii="Calibri Light" w:hAnsi="Calibri Light"/>
                <w:b w:val="0"/>
                <w:sz w:val="21"/>
              </w:rPr>
              <w:t>of</w:t>
            </w:r>
            <w:r>
              <w:rPr>
                <w:rFonts w:ascii="Calibri Light" w:hAnsi="Calibri Light"/>
                <w:b w:val="0"/>
                <w:spacing w:val="-9"/>
                <w:sz w:val="21"/>
              </w:rPr>
              <w:t> </w:t>
            </w:r>
            <w:r>
              <w:rPr>
                <w:rFonts w:ascii="Calibri Light" w:hAnsi="Calibri Light"/>
                <w:b w:val="0"/>
                <w:sz w:val="21"/>
              </w:rPr>
              <w:t>curricula</w:t>
            </w:r>
            <w:r>
              <w:rPr>
                <w:rFonts w:ascii="Calibri Light" w:hAnsi="Calibri Light"/>
                <w:b w:val="0"/>
                <w:spacing w:val="-7"/>
                <w:sz w:val="21"/>
              </w:rPr>
              <w:t> </w:t>
            </w:r>
            <w:r>
              <w:rPr>
                <w:rFonts w:ascii="Calibri Light" w:hAnsi="Calibri Light"/>
                <w:b w:val="0"/>
                <w:sz w:val="21"/>
              </w:rPr>
              <w:t>completed</w:t>
            </w:r>
            <w:r>
              <w:rPr>
                <w:rFonts w:ascii="Calibri Light" w:hAnsi="Calibri Light"/>
                <w:b w:val="0"/>
                <w:spacing w:val="-3"/>
                <w:sz w:val="21"/>
              </w:rPr>
              <w:t> </w:t>
            </w:r>
            <w:r>
              <w:rPr>
                <w:rFonts w:ascii="Calibri Light" w:hAnsi="Calibri Light"/>
                <w:b w:val="0"/>
                <w:sz w:val="21"/>
              </w:rPr>
              <w:t>by</w:t>
            </w:r>
            <w:r>
              <w:rPr>
                <w:rFonts w:ascii="Calibri Light" w:hAnsi="Calibri Light"/>
                <w:b w:val="0"/>
                <w:spacing w:val="-6"/>
                <w:sz w:val="21"/>
              </w:rPr>
              <w:t> </w:t>
            </w:r>
            <w:r>
              <w:rPr>
                <w:rFonts w:ascii="Calibri Light" w:hAnsi="Calibri Light"/>
                <w:b w:val="0"/>
                <w:sz w:val="21"/>
              </w:rPr>
              <w:t>end</w:t>
            </w:r>
            <w:r>
              <w:rPr>
                <w:rFonts w:ascii="Calibri Light" w:hAnsi="Calibri Light"/>
                <w:b w:val="0"/>
                <w:spacing w:val="-3"/>
                <w:sz w:val="21"/>
              </w:rPr>
              <w:t> </w:t>
            </w:r>
            <w:r>
              <w:rPr>
                <w:rFonts w:ascii="Calibri Light" w:hAnsi="Calibri Light"/>
                <w:b w:val="0"/>
                <w:sz w:val="21"/>
              </w:rPr>
              <w:t>of May 2018</w:t>
            </w:r>
          </w:p>
        </w:tc>
      </w:tr>
      <w:tr>
        <w:trPr>
          <w:trHeight w:val="652"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39" w:type="dxa"/>
          </w:tcPr>
          <w:p>
            <w:pPr>
              <w:pStyle w:val="TableParagraph"/>
              <w:spacing w:before="68"/>
              <w:ind w:left="709" w:right="168" w:hanging="601"/>
              <w:rPr>
                <w:rFonts w:ascii="Calibri Light"/>
                <w:b w:val="0"/>
                <w:sz w:val="21"/>
              </w:rPr>
            </w:pPr>
            <w:r>
              <w:rPr>
                <w:rFonts w:ascii="Calibri Light"/>
                <w:b w:val="0"/>
                <w:sz w:val="21"/>
              </w:rPr>
              <w:t>1.4.2</w:t>
            </w:r>
            <w:r>
              <w:rPr>
                <w:rFonts w:ascii="Calibri Light"/>
                <w:b w:val="0"/>
                <w:spacing w:val="80"/>
                <w:w w:val="150"/>
                <w:sz w:val="21"/>
              </w:rPr>
              <w:t> </w:t>
            </w:r>
            <w:r>
              <w:rPr>
                <w:rFonts w:ascii="Calibri Light"/>
                <w:b w:val="0"/>
                <w:sz w:val="21"/>
              </w:rPr>
              <w:t>Teacher</w:t>
            </w:r>
            <w:r>
              <w:rPr>
                <w:rFonts w:ascii="Calibri Light"/>
                <w:b w:val="0"/>
                <w:spacing w:val="-3"/>
                <w:sz w:val="21"/>
              </w:rPr>
              <w:t> </w:t>
            </w:r>
            <w:r>
              <w:rPr>
                <w:rFonts w:ascii="Calibri Light"/>
                <w:b w:val="0"/>
                <w:sz w:val="21"/>
              </w:rPr>
              <w:t>support</w:t>
            </w:r>
            <w:r>
              <w:rPr>
                <w:rFonts w:ascii="Calibri Light"/>
                <w:b w:val="0"/>
                <w:spacing w:val="-4"/>
                <w:sz w:val="21"/>
              </w:rPr>
              <w:t> </w:t>
            </w:r>
            <w:r>
              <w:rPr>
                <w:rFonts w:ascii="Calibri Light"/>
                <w:b w:val="0"/>
                <w:sz w:val="21"/>
              </w:rPr>
              <w:t>materials</w:t>
            </w:r>
            <w:r>
              <w:rPr>
                <w:rFonts w:ascii="Calibri Light"/>
                <w:b w:val="0"/>
                <w:spacing w:val="-7"/>
                <w:sz w:val="21"/>
              </w:rPr>
              <w:t> </w:t>
            </w:r>
            <w:r>
              <w:rPr>
                <w:rFonts w:ascii="Calibri Light"/>
                <w:b w:val="0"/>
                <w:sz w:val="21"/>
              </w:rPr>
              <w:t>are</w:t>
            </w:r>
            <w:r>
              <w:rPr>
                <w:rFonts w:ascii="Calibri Light"/>
                <w:b w:val="0"/>
                <w:spacing w:val="-6"/>
                <w:sz w:val="21"/>
              </w:rPr>
              <w:t> </w:t>
            </w:r>
            <w:r>
              <w:rPr>
                <w:rFonts w:ascii="Calibri Light"/>
                <w:b w:val="0"/>
                <w:sz w:val="21"/>
              </w:rPr>
              <w:t>developed</w:t>
            </w:r>
            <w:r>
              <w:rPr>
                <w:rFonts w:ascii="Calibri Light"/>
                <w:b w:val="0"/>
                <w:spacing w:val="-1"/>
                <w:sz w:val="21"/>
              </w:rPr>
              <w:t> </w:t>
            </w:r>
            <w:r>
              <w:rPr>
                <w:rFonts w:ascii="Calibri Light"/>
                <w:b w:val="0"/>
                <w:sz w:val="21"/>
              </w:rPr>
              <w:t>and</w:t>
            </w:r>
            <w:r>
              <w:rPr>
                <w:rFonts w:ascii="Calibri Light"/>
                <w:b w:val="0"/>
                <w:spacing w:val="-1"/>
                <w:sz w:val="21"/>
              </w:rPr>
              <w:t> </w:t>
            </w:r>
            <w:r>
              <w:rPr>
                <w:rFonts w:ascii="Calibri Light"/>
                <w:b w:val="0"/>
                <w:sz w:val="21"/>
              </w:rPr>
              <w:t>distributed</w:t>
            </w:r>
            <w:r>
              <w:rPr>
                <w:rFonts w:ascii="Calibri Light"/>
                <w:b w:val="0"/>
                <w:spacing w:val="-6"/>
                <w:sz w:val="21"/>
              </w:rPr>
              <w:t> </w:t>
            </w:r>
            <w:r>
              <w:rPr>
                <w:rFonts w:ascii="Calibri Light"/>
                <w:b w:val="0"/>
                <w:sz w:val="21"/>
              </w:rPr>
              <w:t>to all primary and junior secondary schools</w:t>
            </w:r>
          </w:p>
        </w:tc>
        <w:tc>
          <w:tcPr>
            <w:tcW w:w="3927" w:type="dxa"/>
          </w:tcPr>
          <w:p>
            <w:pPr>
              <w:pStyle w:val="TableParagraph"/>
              <w:numPr>
                <w:ilvl w:val="0"/>
                <w:numId w:val="18"/>
              </w:numPr>
              <w:tabs>
                <w:tab w:pos="383" w:val="left" w:leader="none"/>
              </w:tabs>
              <w:spacing w:line="266" w:lineRule="exact" w:before="57" w:after="0"/>
              <w:ind w:left="382" w:right="0" w:hanging="274"/>
              <w:jc w:val="left"/>
              <w:rPr>
                <w:rFonts w:ascii="Calibri Light" w:hAnsi="Calibri Light"/>
                <w:b w:val="0"/>
                <w:sz w:val="21"/>
              </w:rPr>
            </w:pPr>
            <w:r>
              <w:rPr>
                <w:rFonts w:ascii="Calibri Light" w:hAnsi="Calibri Light"/>
                <w:b w:val="0"/>
                <w:sz w:val="21"/>
              </w:rPr>
              <w:t>Copies</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5"/>
                <w:sz w:val="21"/>
              </w:rPr>
              <w:t> </w:t>
            </w:r>
            <w:r>
              <w:rPr>
                <w:rFonts w:ascii="Calibri Light" w:hAnsi="Calibri Light"/>
                <w:b w:val="0"/>
                <w:sz w:val="21"/>
              </w:rPr>
              <w:t>teacher</w:t>
            </w:r>
            <w:r>
              <w:rPr>
                <w:rFonts w:ascii="Calibri Light" w:hAnsi="Calibri Light"/>
                <w:b w:val="0"/>
                <w:spacing w:val="-5"/>
                <w:sz w:val="21"/>
              </w:rPr>
              <w:t> </w:t>
            </w:r>
            <w:r>
              <w:rPr>
                <w:rFonts w:ascii="Calibri Light" w:hAnsi="Calibri Light"/>
                <w:b w:val="0"/>
                <w:sz w:val="21"/>
              </w:rPr>
              <w:t>support</w:t>
            </w:r>
            <w:r>
              <w:rPr>
                <w:rFonts w:ascii="Calibri Light" w:hAnsi="Calibri Light"/>
                <w:b w:val="0"/>
                <w:spacing w:val="-6"/>
                <w:sz w:val="21"/>
              </w:rPr>
              <w:t> </w:t>
            </w:r>
            <w:r>
              <w:rPr>
                <w:rFonts w:ascii="Calibri Light" w:hAnsi="Calibri Light"/>
                <w:b w:val="0"/>
                <w:spacing w:val="-2"/>
                <w:sz w:val="21"/>
              </w:rPr>
              <w:t>materials</w:t>
            </w:r>
          </w:p>
          <w:p>
            <w:pPr>
              <w:pStyle w:val="TableParagraph"/>
              <w:numPr>
                <w:ilvl w:val="0"/>
                <w:numId w:val="18"/>
              </w:numPr>
              <w:tabs>
                <w:tab w:pos="383" w:val="left" w:leader="none"/>
              </w:tabs>
              <w:spacing w:line="266" w:lineRule="exact" w:before="0" w:after="0"/>
              <w:ind w:left="382" w:right="0" w:hanging="274"/>
              <w:jc w:val="left"/>
              <w:rPr>
                <w:rFonts w:ascii="Calibri Light" w:hAnsi="Calibri Light"/>
                <w:b w:val="0"/>
                <w:sz w:val="21"/>
              </w:rPr>
            </w:pPr>
            <w:r>
              <w:rPr>
                <w:rFonts w:ascii="Calibri Light" w:hAnsi="Calibri Light"/>
                <w:b w:val="0"/>
                <w:sz w:val="21"/>
              </w:rPr>
              <w:t>Distribution</w:t>
            </w:r>
            <w:r>
              <w:rPr>
                <w:rFonts w:ascii="Calibri Light" w:hAnsi="Calibri Light"/>
                <w:b w:val="0"/>
                <w:spacing w:val="-8"/>
                <w:sz w:val="21"/>
              </w:rPr>
              <w:t> </w:t>
            </w:r>
            <w:r>
              <w:rPr>
                <w:rFonts w:ascii="Calibri Light" w:hAnsi="Calibri Light"/>
                <w:b w:val="0"/>
                <w:spacing w:val="-2"/>
                <w:sz w:val="21"/>
              </w:rPr>
              <w:t>records</w:t>
            </w:r>
          </w:p>
        </w:tc>
      </w:tr>
      <w:tr>
        <w:trPr>
          <w:trHeight w:val="902"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39" w:type="dxa"/>
          </w:tcPr>
          <w:p>
            <w:pPr>
              <w:pStyle w:val="TableParagraph"/>
              <w:spacing w:before="10"/>
              <w:rPr>
                <w:sz w:val="15"/>
              </w:rPr>
            </w:pPr>
          </w:p>
          <w:p>
            <w:pPr>
              <w:pStyle w:val="TableParagraph"/>
              <w:ind w:left="709" w:hanging="601"/>
              <w:rPr>
                <w:rFonts w:ascii="Calibri Light"/>
                <w:b w:val="0"/>
                <w:sz w:val="21"/>
              </w:rPr>
            </w:pPr>
            <w:r>
              <w:rPr>
                <w:rFonts w:ascii="Calibri Light"/>
                <w:b w:val="0"/>
                <w:sz w:val="21"/>
              </w:rPr>
              <w:t>1.4.3</w:t>
            </w:r>
            <w:r>
              <w:rPr>
                <w:rFonts w:ascii="Calibri Light"/>
                <w:b w:val="0"/>
                <w:spacing w:val="80"/>
                <w:w w:val="150"/>
                <w:sz w:val="21"/>
              </w:rPr>
              <w:t> </w:t>
            </w:r>
            <w:r>
              <w:rPr>
                <w:rFonts w:ascii="Calibri Light"/>
                <w:b w:val="0"/>
                <w:sz w:val="21"/>
              </w:rPr>
              <w:t>Teacher</w:t>
            </w:r>
            <w:r>
              <w:rPr>
                <w:rFonts w:ascii="Calibri Light"/>
                <w:b w:val="0"/>
                <w:spacing w:val="-3"/>
                <w:sz w:val="21"/>
              </w:rPr>
              <w:t> </w:t>
            </w:r>
            <w:r>
              <w:rPr>
                <w:rFonts w:ascii="Calibri Light"/>
                <w:b w:val="0"/>
                <w:sz w:val="21"/>
              </w:rPr>
              <w:t>professional</w:t>
            </w:r>
            <w:r>
              <w:rPr>
                <w:rFonts w:ascii="Calibri Light"/>
                <w:b w:val="0"/>
                <w:spacing w:val="-5"/>
                <w:sz w:val="21"/>
              </w:rPr>
              <w:t> </w:t>
            </w:r>
            <w:r>
              <w:rPr>
                <w:rFonts w:ascii="Calibri Light"/>
                <w:b w:val="0"/>
                <w:sz w:val="21"/>
              </w:rPr>
              <w:t>development</w:t>
            </w:r>
            <w:r>
              <w:rPr>
                <w:rFonts w:ascii="Calibri Light"/>
                <w:b w:val="0"/>
                <w:spacing w:val="-4"/>
                <w:sz w:val="21"/>
              </w:rPr>
              <w:t> </w:t>
            </w:r>
            <w:r>
              <w:rPr>
                <w:rFonts w:ascii="Calibri Light"/>
                <w:b w:val="0"/>
                <w:sz w:val="21"/>
              </w:rPr>
              <w:t>programs</w:t>
            </w:r>
            <w:r>
              <w:rPr>
                <w:rFonts w:ascii="Calibri Light"/>
                <w:b w:val="0"/>
                <w:spacing w:val="-7"/>
                <w:sz w:val="21"/>
              </w:rPr>
              <w:t> </w:t>
            </w:r>
            <w:r>
              <w:rPr>
                <w:rFonts w:ascii="Calibri Light"/>
                <w:b w:val="0"/>
                <w:sz w:val="21"/>
              </w:rPr>
              <w:t>are</w:t>
            </w:r>
            <w:r>
              <w:rPr>
                <w:rFonts w:ascii="Calibri Light"/>
                <w:b w:val="0"/>
                <w:spacing w:val="-6"/>
                <w:sz w:val="21"/>
              </w:rPr>
              <w:t> </w:t>
            </w:r>
            <w:r>
              <w:rPr>
                <w:rFonts w:ascii="Calibri Light"/>
                <w:b w:val="0"/>
                <w:sz w:val="21"/>
              </w:rPr>
              <w:t>designed</w:t>
            </w:r>
            <w:r>
              <w:rPr>
                <w:rFonts w:ascii="Calibri Light"/>
                <w:b w:val="0"/>
                <w:spacing w:val="-6"/>
                <w:sz w:val="21"/>
              </w:rPr>
              <w:t> </w:t>
            </w:r>
            <w:r>
              <w:rPr>
                <w:rFonts w:ascii="Calibri Light"/>
                <w:b w:val="0"/>
                <w:sz w:val="21"/>
              </w:rPr>
              <w:t>to support the implementation of the revised curriculum.</w:t>
            </w:r>
          </w:p>
        </w:tc>
        <w:tc>
          <w:tcPr>
            <w:tcW w:w="3927" w:type="dxa"/>
          </w:tcPr>
          <w:p>
            <w:pPr>
              <w:pStyle w:val="TableParagraph"/>
              <w:numPr>
                <w:ilvl w:val="0"/>
                <w:numId w:val="19"/>
              </w:numPr>
              <w:tabs>
                <w:tab w:pos="383" w:val="left" w:leader="none"/>
              </w:tabs>
              <w:spacing w:line="242" w:lineRule="auto" w:before="57" w:after="0"/>
              <w:ind w:left="382" w:right="635"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12"/>
                <w:sz w:val="21"/>
              </w:rPr>
              <w:t> </w:t>
            </w:r>
            <w:r>
              <w:rPr>
                <w:rFonts w:ascii="Calibri Light" w:hAnsi="Calibri Light"/>
                <w:b w:val="0"/>
                <w:sz w:val="21"/>
              </w:rPr>
              <w:t>of</w:t>
            </w:r>
            <w:r>
              <w:rPr>
                <w:rFonts w:ascii="Calibri Light" w:hAnsi="Calibri Light"/>
                <w:b w:val="0"/>
                <w:spacing w:val="-11"/>
                <w:sz w:val="21"/>
              </w:rPr>
              <w:t> </w:t>
            </w:r>
            <w:r>
              <w:rPr>
                <w:rFonts w:ascii="Calibri Light" w:hAnsi="Calibri Light"/>
                <w:b w:val="0"/>
                <w:sz w:val="21"/>
              </w:rPr>
              <w:t>professional</w:t>
            </w:r>
            <w:r>
              <w:rPr>
                <w:rFonts w:ascii="Calibri Light" w:hAnsi="Calibri Light"/>
                <w:b w:val="0"/>
                <w:spacing w:val="-9"/>
                <w:sz w:val="21"/>
              </w:rPr>
              <w:t> </w:t>
            </w:r>
            <w:r>
              <w:rPr>
                <w:rFonts w:ascii="Calibri Light" w:hAnsi="Calibri Light"/>
                <w:b w:val="0"/>
                <w:sz w:val="21"/>
              </w:rPr>
              <w:t>development </w:t>
            </w:r>
            <w:r>
              <w:rPr>
                <w:rFonts w:ascii="Calibri Light" w:hAnsi="Calibri Light"/>
                <w:b w:val="0"/>
                <w:spacing w:val="-2"/>
                <w:sz w:val="21"/>
              </w:rPr>
              <w:t>materials/programs</w:t>
            </w:r>
          </w:p>
        </w:tc>
      </w:tr>
      <w:tr>
        <w:trPr>
          <w:trHeight w:val="373" w:hRule="atLeast"/>
        </w:trPr>
        <w:tc>
          <w:tcPr>
            <w:tcW w:w="13605" w:type="dxa"/>
            <w:gridSpan w:val="4"/>
          </w:tcPr>
          <w:p>
            <w:pPr>
              <w:pStyle w:val="TableParagraph"/>
              <w:tabs>
                <w:tab w:pos="830" w:val="left" w:leader="none"/>
              </w:tabs>
              <w:spacing w:before="54"/>
              <w:ind w:left="110"/>
              <w:rPr>
                <w:rFonts w:ascii="Calibri Light"/>
                <w:b w:val="0"/>
                <w:sz w:val="21"/>
              </w:rPr>
            </w:pPr>
            <w:r>
              <w:rPr>
                <w:rFonts w:ascii="Calibri Light"/>
                <w:b w:val="0"/>
                <w:spacing w:val="-5"/>
                <w:sz w:val="21"/>
              </w:rPr>
              <w:t>2.</w:t>
            </w:r>
            <w:r>
              <w:rPr>
                <w:rFonts w:ascii="Calibri Light"/>
                <w:b w:val="0"/>
                <w:sz w:val="21"/>
              </w:rPr>
              <w:tab/>
            </w:r>
            <w:r>
              <w:rPr>
                <w:rFonts w:ascii="Calibri Light"/>
                <w:b w:val="0"/>
                <w:spacing w:val="-2"/>
                <w:sz w:val="21"/>
              </w:rPr>
              <w:t>Education</w:t>
            </w:r>
            <w:r>
              <w:rPr>
                <w:rFonts w:ascii="Calibri Light"/>
                <w:b w:val="0"/>
                <w:spacing w:val="-9"/>
                <w:sz w:val="21"/>
              </w:rPr>
              <w:t> </w:t>
            </w:r>
            <w:r>
              <w:rPr>
                <w:rFonts w:ascii="Calibri Light"/>
                <w:b w:val="0"/>
                <w:spacing w:val="-2"/>
                <w:sz w:val="21"/>
              </w:rPr>
              <w:t>Access</w:t>
            </w:r>
          </w:p>
        </w:tc>
      </w:tr>
      <w:tr>
        <w:trPr>
          <w:trHeight w:val="892" w:hRule="atLeast"/>
        </w:trPr>
        <w:tc>
          <w:tcPr>
            <w:tcW w:w="562"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6"/>
              <w:rPr>
                <w:sz w:val="16"/>
              </w:rPr>
            </w:pPr>
          </w:p>
          <w:p>
            <w:pPr>
              <w:pStyle w:val="TableParagraph"/>
              <w:spacing w:before="1"/>
              <w:ind w:left="110"/>
              <w:rPr>
                <w:rFonts w:ascii="Calibri Light"/>
                <w:b w:val="0"/>
                <w:sz w:val="21"/>
              </w:rPr>
            </w:pPr>
            <w:r>
              <w:rPr>
                <w:rFonts w:ascii="Calibri Light"/>
                <w:b w:val="0"/>
                <w:spacing w:val="-5"/>
                <w:sz w:val="21"/>
              </w:rPr>
              <w:t>2.1</w:t>
            </w:r>
          </w:p>
        </w:tc>
        <w:tc>
          <w:tcPr>
            <w:tcW w:w="307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8"/>
              </w:rPr>
            </w:pPr>
          </w:p>
          <w:p>
            <w:pPr>
              <w:pStyle w:val="TableParagraph"/>
              <w:ind w:left="104" w:right="128"/>
              <w:rPr>
                <w:rFonts w:ascii="Calibri Light"/>
                <w:b w:val="0"/>
                <w:sz w:val="21"/>
              </w:rPr>
            </w:pPr>
            <w:r>
              <w:rPr>
                <w:rFonts w:ascii="Calibri Light"/>
                <w:b w:val="0"/>
                <w:sz w:val="21"/>
              </w:rPr>
              <w:t>Access</w:t>
            </w:r>
            <w:r>
              <w:rPr>
                <w:rFonts w:ascii="Calibri Light"/>
                <w:b w:val="0"/>
                <w:spacing w:val="-7"/>
                <w:sz w:val="21"/>
              </w:rPr>
              <w:t> </w:t>
            </w:r>
            <w:r>
              <w:rPr>
                <w:rFonts w:ascii="Calibri Light"/>
                <w:b w:val="0"/>
                <w:sz w:val="21"/>
              </w:rPr>
              <w:t>to</w:t>
            </w:r>
            <w:r>
              <w:rPr>
                <w:rFonts w:ascii="Calibri Light"/>
                <w:b w:val="0"/>
                <w:spacing w:val="-7"/>
                <w:sz w:val="21"/>
              </w:rPr>
              <w:t> </w:t>
            </w:r>
            <w:r>
              <w:rPr>
                <w:rFonts w:ascii="Calibri Light"/>
                <w:b w:val="0"/>
                <w:sz w:val="21"/>
              </w:rPr>
              <w:t>basic</w:t>
            </w:r>
            <w:r>
              <w:rPr>
                <w:rFonts w:ascii="Calibri Light"/>
                <w:b w:val="0"/>
                <w:spacing w:val="-9"/>
                <w:sz w:val="21"/>
              </w:rPr>
              <w:t> </w:t>
            </w:r>
            <w:r>
              <w:rPr>
                <w:rFonts w:ascii="Calibri Light"/>
                <w:b w:val="0"/>
                <w:sz w:val="21"/>
              </w:rPr>
              <w:t>education</w:t>
            </w:r>
            <w:r>
              <w:rPr>
                <w:rFonts w:ascii="Calibri Light"/>
                <w:b w:val="0"/>
                <w:spacing w:val="-6"/>
                <w:sz w:val="21"/>
              </w:rPr>
              <w:t> </w:t>
            </w:r>
            <w:r>
              <w:rPr>
                <w:rFonts w:ascii="Calibri Light"/>
                <w:b w:val="0"/>
                <w:sz w:val="21"/>
              </w:rPr>
              <w:t>for</w:t>
            </w:r>
            <w:r>
              <w:rPr>
                <w:rFonts w:ascii="Calibri Light"/>
                <w:b w:val="0"/>
                <w:spacing w:val="-8"/>
                <w:sz w:val="21"/>
              </w:rPr>
              <w:t> </w:t>
            </w:r>
            <w:r>
              <w:rPr>
                <w:rFonts w:ascii="Calibri Light"/>
                <w:b w:val="0"/>
                <w:sz w:val="21"/>
              </w:rPr>
              <w:t>all children and young people is </w:t>
            </w:r>
            <w:r>
              <w:rPr>
                <w:rFonts w:ascii="Calibri Light"/>
                <w:b w:val="0"/>
                <w:spacing w:val="-2"/>
                <w:sz w:val="21"/>
              </w:rPr>
              <w:t>improved</w:t>
            </w:r>
          </w:p>
        </w:tc>
        <w:tc>
          <w:tcPr>
            <w:tcW w:w="6039" w:type="dxa"/>
          </w:tcPr>
          <w:p>
            <w:pPr>
              <w:pStyle w:val="TableParagraph"/>
              <w:spacing w:before="59"/>
              <w:ind w:left="704" w:hanging="601"/>
              <w:rPr>
                <w:rFonts w:ascii="Calibri Light"/>
                <w:b w:val="0"/>
                <w:sz w:val="21"/>
              </w:rPr>
            </w:pPr>
            <w:r>
              <w:rPr>
                <w:rFonts w:ascii="Calibri Light"/>
                <w:b w:val="0"/>
                <w:sz w:val="21"/>
              </w:rPr>
              <w:t>2.1.1</w:t>
            </w:r>
            <w:r>
              <w:rPr>
                <w:rFonts w:ascii="Calibri Light"/>
                <w:b w:val="0"/>
                <w:spacing w:val="80"/>
                <w:w w:val="150"/>
                <w:sz w:val="21"/>
              </w:rPr>
              <w:t> </w:t>
            </w:r>
            <w:r>
              <w:rPr>
                <w:rFonts w:ascii="Calibri Light"/>
                <w:b w:val="0"/>
                <w:sz w:val="21"/>
              </w:rPr>
              <w:t>MEHRD</w:t>
            </w:r>
            <w:r>
              <w:rPr>
                <w:rFonts w:ascii="Calibri Light"/>
                <w:b w:val="0"/>
                <w:spacing w:val="-2"/>
                <w:sz w:val="21"/>
              </w:rPr>
              <w:t> </w:t>
            </w:r>
            <w:r>
              <w:rPr>
                <w:rFonts w:ascii="Calibri Light"/>
                <w:b w:val="0"/>
                <w:sz w:val="21"/>
              </w:rPr>
              <w:t>develops</w:t>
            </w:r>
            <w:r>
              <w:rPr>
                <w:rFonts w:ascii="Calibri Light"/>
                <w:b w:val="0"/>
                <w:spacing w:val="-3"/>
                <w:sz w:val="21"/>
              </w:rPr>
              <w:t> </w:t>
            </w:r>
            <w:r>
              <w:rPr>
                <w:rFonts w:ascii="Calibri Light"/>
                <w:b w:val="0"/>
                <w:sz w:val="21"/>
              </w:rPr>
              <w:t>and</w:t>
            </w:r>
            <w:r>
              <w:rPr>
                <w:rFonts w:ascii="Calibri Light"/>
                <w:b w:val="0"/>
                <w:spacing w:val="-2"/>
                <w:sz w:val="21"/>
              </w:rPr>
              <w:t> </w:t>
            </w:r>
            <w:r>
              <w:rPr>
                <w:rFonts w:ascii="Calibri Light"/>
                <w:b w:val="0"/>
                <w:sz w:val="21"/>
              </w:rPr>
              <w:t>publishes</w:t>
            </w:r>
            <w:r>
              <w:rPr>
                <w:rFonts w:ascii="Calibri Light"/>
                <w:b w:val="0"/>
                <w:spacing w:val="-7"/>
                <w:sz w:val="21"/>
              </w:rPr>
              <w:t> </w:t>
            </w:r>
            <w:r>
              <w:rPr>
                <w:rFonts w:ascii="Calibri Light"/>
                <w:b w:val="0"/>
                <w:sz w:val="21"/>
              </w:rPr>
              <w:t>a</w:t>
            </w:r>
            <w:r>
              <w:rPr>
                <w:rFonts w:ascii="Calibri Light"/>
                <w:b w:val="0"/>
                <w:spacing w:val="-2"/>
                <w:sz w:val="21"/>
              </w:rPr>
              <w:t> </w:t>
            </w:r>
            <w:r>
              <w:rPr>
                <w:rFonts w:ascii="Calibri Light"/>
                <w:b w:val="0"/>
                <w:sz w:val="21"/>
              </w:rPr>
              <w:t>strategy</w:t>
            </w:r>
            <w:r>
              <w:rPr>
                <w:rFonts w:ascii="Calibri Light"/>
                <w:b w:val="0"/>
                <w:spacing w:val="-4"/>
                <w:sz w:val="21"/>
              </w:rPr>
              <w:t> </w:t>
            </w:r>
            <w:r>
              <w:rPr>
                <w:rFonts w:ascii="Calibri Light"/>
                <w:b w:val="0"/>
                <w:sz w:val="21"/>
              </w:rPr>
              <w:t>that</w:t>
            </w:r>
            <w:r>
              <w:rPr>
                <w:rFonts w:ascii="Calibri Light"/>
                <w:b w:val="0"/>
                <w:spacing w:val="-4"/>
                <w:sz w:val="21"/>
              </w:rPr>
              <w:t> </w:t>
            </w:r>
            <w:r>
              <w:rPr>
                <w:rFonts w:ascii="Calibri Light"/>
                <w:b w:val="0"/>
                <w:sz w:val="21"/>
              </w:rPr>
              <w:t>identifies</w:t>
            </w:r>
            <w:r>
              <w:rPr>
                <w:rFonts w:ascii="Calibri Light"/>
                <w:b w:val="0"/>
                <w:spacing w:val="-7"/>
                <w:sz w:val="21"/>
              </w:rPr>
              <w:t> </w:t>
            </w:r>
            <w:r>
              <w:rPr>
                <w:rFonts w:ascii="Calibri Light"/>
                <w:b w:val="0"/>
                <w:sz w:val="21"/>
              </w:rPr>
              <w:t>and plans the progressive removal of blockages to student participation in school education.</w:t>
            </w:r>
          </w:p>
        </w:tc>
        <w:tc>
          <w:tcPr>
            <w:tcW w:w="3927" w:type="dxa"/>
          </w:tcPr>
          <w:p>
            <w:pPr>
              <w:pStyle w:val="TableParagraph"/>
              <w:spacing w:before="6"/>
              <w:rPr>
                <w:sz w:val="25"/>
              </w:rPr>
            </w:pPr>
          </w:p>
          <w:p>
            <w:pPr>
              <w:pStyle w:val="TableParagraph"/>
              <w:numPr>
                <w:ilvl w:val="0"/>
                <w:numId w:val="20"/>
              </w:numPr>
              <w:tabs>
                <w:tab w:pos="383" w:val="left" w:leader="none"/>
              </w:tabs>
              <w:spacing w:line="240" w:lineRule="auto" w:before="1" w:after="0"/>
              <w:ind w:left="382" w:right="0" w:hanging="275"/>
              <w:jc w:val="left"/>
              <w:rPr>
                <w:rFonts w:ascii="Calibri Light" w:hAnsi="Calibri Light"/>
                <w:b w:val="0"/>
                <w:sz w:val="21"/>
              </w:rPr>
            </w:pPr>
            <w:r>
              <w:rPr>
                <w:rFonts w:ascii="Calibri Light" w:hAnsi="Calibri Light"/>
                <w:b w:val="0"/>
                <w:sz w:val="21"/>
              </w:rPr>
              <w:t>Copy</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4"/>
                <w:sz w:val="21"/>
              </w:rPr>
              <w:t> </w:t>
            </w:r>
            <w:r>
              <w:rPr>
                <w:rFonts w:ascii="Calibri Light" w:hAnsi="Calibri Light"/>
                <w:b w:val="0"/>
                <w:sz w:val="21"/>
              </w:rPr>
              <w:t>strategy</w:t>
            </w:r>
            <w:r>
              <w:rPr>
                <w:rFonts w:ascii="Calibri Light" w:hAnsi="Calibri Light"/>
                <w:b w:val="0"/>
                <w:spacing w:val="-4"/>
                <w:sz w:val="21"/>
              </w:rPr>
              <w:t> </w:t>
            </w:r>
            <w:r>
              <w:rPr>
                <w:rFonts w:ascii="Calibri Light" w:hAnsi="Calibri Light"/>
                <w:b w:val="0"/>
                <w:spacing w:val="-2"/>
                <w:sz w:val="21"/>
              </w:rPr>
              <w:t>document</w:t>
            </w:r>
          </w:p>
        </w:tc>
      </w:tr>
      <w:tr>
        <w:trPr>
          <w:trHeight w:val="887"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39" w:type="dxa"/>
          </w:tcPr>
          <w:p>
            <w:pPr>
              <w:pStyle w:val="TableParagraph"/>
              <w:spacing w:before="59"/>
              <w:ind w:left="704" w:right="210" w:hanging="601"/>
              <w:jc w:val="both"/>
              <w:rPr>
                <w:rFonts w:ascii="Calibri Light"/>
                <w:b w:val="0"/>
                <w:sz w:val="21"/>
              </w:rPr>
            </w:pPr>
            <w:r>
              <w:rPr>
                <w:rFonts w:ascii="Calibri Light"/>
                <w:b w:val="0"/>
                <w:sz w:val="21"/>
              </w:rPr>
              <w:t>2.1.2</w:t>
            </w:r>
            <w:r>
              <w:rPr>
                <w:rFonts w:ascii="Calibri Light"/>
                <w:b w:val="0"/>
                <w:spacing w:val="80"/>
                <w:sz w:val="21"/>
              </w:rPr>
              <w:t> </w:t>
            </w:r>
            <w:r>
              <w:rPr>
                <w:rFonts w:ascii="Calibri Light"/>
                <w:b w:val="0"/>
                <w:sz w:val="21"/>
              </w:rPr>
              <w:t>2017/2018</w:t>
            </w:r>
            <w:r>
              <w:rPr>
                <w:rFonts w:ascii="Calibri Light"/>
                <w:b w:val="0"/>
                <w:spacing w:val="-4"/>
                <w:sz w:val="21"/>
              </w:rPr>
              <w:t> </w:t>
            </w:r>
            <w:r>
              <w:rPr>
                <w:rFonts w:ascii="Calibri Light"/>
                <w:b w:val="0"/>
                <w:sz w:val="21"/>
              </w:rPr>
              <w:t>transition</w:t>
            </w:r>
            <w:r>
              <w:rPr>
                <w:rFonts w:ascii="Calibri Light"/>
                <w:b w:val="0"/>
                <w:spacing w:val="-1"/>
                <w:sz w:val="21"/>
              </w:rPr>
              <w:t> </w:t>
            </w:r>
            <w:r>
              <w:rPr>
                <w:rFonts w:ascii="Calibri Light"/>
                <w:b w:val="0"/>
                <w:sz w:val="21"/>
              </w:rPr>
              <w:t>rates,</w:t>
            </w:r>
            <w:r>
              <w:rPr>
                <w:rFonts w:ascii="Calibri Light"/>
                <w:b w:val="0"/>
                <w:spacing w:val="-1"/>
                <w:sz w:val="21"/>
              </w:rPr>
              <w:t> </w:t>
            </w:r>
            <w:r>
              <w:rPr>
                <w:rFonts w:ascii="Calibri Light"/>
                <w:b w:val="0"/>
                <w:sz w:val="21"/>
              </w:rPr>
              <w:t>for</w:t>
            </w:r>
            <w:r>
              <w:rPr>
                <w:rFonts w:ascii="Calibri Light"/>
                <w:b w:val="0"/>
                <w:spacing w:val="-3"/>
                <w:sz w:val="21"/>
              </w:rPr>
              <w:t> </w:t>
            </w:r>
            <w:r>
              <w:rPr>
                <w:rFonts w:ascii="Calibri Light"/>
                <w:b w:val="0"/>
                <w:sz w:val="21"/>
              </w:rPr>
              <w:t>boys</w:t>
            </w:r>
            <w:r>
              <w:rPr>
                <w:rFonts w:ascii="Calibri Light"/>
                <w:b w:val="0"/>
                <w:spacing w:val="-2"/>
                <w:sz w:val="21"/>
              </w:rPr>
              <w:t> </w:t>
            </w:r>
            <w:r>
              <w:rPr>
                <w:rFonts w:ascii="Calibri Light"/>
                <w:b w:val="0"/>
                <w:sz w:val="21"/>
              </w:rPr>
              <w:t>and</w:t>
            </w:r>
            <w:r>
              <w:rPr>
                <w:rFonts w:ascii="Calibri Light"/>
                <w:b w:val="0"/>
                <w:spacing w:val="-6"/>
                <w:sz w:val="21"/>
              </w:rPr>
              <w:t> </w:t>
            </w:r>
            <w:r>
              <w:rPr>
                <w:rFonts w:ascii="Calibri Light"/>
                <w:b w:val="0"/>
                <w:sz w:val="21"/>
              </w:rPr>
              <w:t>girls,</w:t>
            </w:r>
            <w:r>
              <w:rPr>
                <w:rFonts w:ascii="Calibri Light"/>
                <w:b w:val="0"/>
                <w:spacing w:val="-1"/>
                <w:sz w:val="21"/>
              </w:rPr>
              <w:t> </w:t>
            </w:r>
            <w:r>
              <w:rPr>
                <w:rFonts w:ascii="Calibri Light"/>
                <w:b w:val="0"/>
                <w:sz w:val="21"/>
              </w:rPr>
              <w:t>from</w:t>
            </w:r>
            <w:r>
              <w:rPr>
                <w:rFonts w:ascii="Calibri Light"/>
                <w:b w:val="0"/>
                <w:spacing w:val="-1"/>
                <w:sz w:val="21"/>
              </w:rPr>
              <w:t> </w:t>
            </w:r>
            <w:r>
              <w:rPr>
                <w:rFonts w:ascii="Calibri Light"/>
                <w:b w:val="0"/>
                <w:sz w:val="21"/>
              </w:rPr>
              <w:t>Year</w:t>
            </w:r>
            <w:r>
              <w:rPr>
                <w:rFonts w:ascii="Calibri Light"/>
                <w:b w:val="0"/>
                <w:spacing w:val="-3"/>
                <w:sz w:val="21"/>
              </w:rPr>
              <w:t> </w:t>
            </w:r>
            <w:r>
              <w:rPr>
                <w:rFonts w:ascii="Calibri Light"/>
                <w:b w:val="0"/>
                <w:sz w:val="21"/>
              </w:rPr>
              <w:t>6</w:t>
            </w:r>
            <w:r>
              <w:rPr>
                <w:rFonts w:ascii="Calibri Light"/>
                <w:b w:val="0"/>
                <w:spacing w:val="-8"/>
                <w:sz w:val="21"/>
              </w:rPr>
              <w:t> </w:t>
            </w:r>
            <w:r>
              <w:rPr>
                <w:rFonts w:ascii="Calibri Light"/>
                <w:b w:val="0"/>
                <w:sz w:val="21"/>
              </w:rPr>
              <w:t>to Year</w:t>
            </w:r>
            <w:r>
              <w:rPr>
                <w:rFonts w:ascii="Calibri Light"/>
                <w:b w:val="0"/>
                <w:spacing w:val="-4"/>
                <w:sz w:val="21"/>
              </w:rPr>
              <w:t> </w:t>
            </w:r>
            <w:r>
              <w:rPr>
                <w:rFonts w:ascii="Calibri Light"/>
                <w:b w:val="0"/>
                <w:sz w:val="21"/>
              </w:rPr>
              <w:t>7,</w:t>
            </w:r>
            <w:r>
              <w:rPr>
                <w:rFonts w:ascii="Calibri Light"/>
                <w:b w:val="0"/>
                <w:spacing w:val="-7"/>
                <w:sz w:val="21"/>
              </w:rPr>
              <w:t> </w:t>
            </w:r>
            <w:r>
              <w:rPr>
                <w:rFonts w:ascii="Calibri Light"/>
                <w:b w:val="0"/>
                <w:sz w:val="21"/>
              </w:rPr>
              <w:t>and</w:t>
            </w:r>
            <w:r>
              <w:rPr>
                <w:rFonts w:ascii="Calibri Light"/>
                <w:b w:val="0"/>
                <w:spacing w:val="-7"/>
                <w:sz w:val="21"/>
              </w:rPr>
              <w:t> </w:t>
            </w:r>
            <w:r>
              <w:rPr>
                <w:rFonts w:ascii="Calibri Light"/>
                <w:b w:val="0"/>
                <w:sz w:val="21"/>
              </w:rPr>
              <w:t>from</w:t>
            </w:r>
            <w:r>
              <w:rPr>
                <w:rFonts w:ascii="Calibri Light"/>
                <w:b w:val="0"/>
                <w:spacing w:val="-7"/>
                <w:sz w:val="21"/>
              </w:rPr>
              <w:t> </w:t>
            </w:r>
            <w:r>
              <w:rPr>
                <w:rFonts w:ascii="Calibri Light"/>
                <w:b w:val="0"/>
                <w:sz w:val="21"/>
              </w:rPr>
              <w:t>Year</w:t>
            </w:r>
            <w:r>
              <w:rPr>
                <w:rFonts w:ascii="Calibri Light"/>
                <w:b w:val="0"/>
                <w:spacing w:val="-4"/>
                <w:sz w:val="21"/>
              </w:rPr>
              <w:t> </w:t>
            </w:r>
            <w:r>
              <w:rPr>
                <w:rFonts w:ascii="Calibri Light"/>
                <w:b w:val="0"/>
                <w:sz w:val="21"/>
              </w:rPr>
              <w:t>9</w:t>
            </w:r>
            <w:r>
              <w:rPr>
                <w:rFonts w:ascii="Calibri Light"/>
                <w:b w:val="0"/>
                <w:spacing w:val="-4"/>
                <w:sz w:val="21"/>
              </w:rPr>
              <w:t> </w:t>
            </w:r>
            <w:r>
              <w:rPr>
                <w:rFonts w:ascii="Calibri Light"/>
                <w:b w:val="0"/>
                <w:sz w:val="21"/>
              </w:rPr>
              <w:t>to</w:t>
            </w:r>
            <w:r>
              <w:rPr>
                <w:rFonts w:ascii="Calibri Light"/>
                <w:b w:val="0"/>
                <w:spacing w:val="-7"/>
                <w:sz w:val="21"/>
              </w:rPr>
              <w:t> </w:t>
            </w:r>
            <w:r>
              <w:rPr>
                <w:rFonts w:ascii="Calibri Light"/>
                <w:b w:val="0"/>
                <w:sz w:val="21"/>
              </w:rPr>
              <w:t>Year</w:t>
            </w:r>
            <w:r>
              <w:rPr>
                <w:rFonts w:ascii="Calibri Light"/>
                <w:b w:val="0"/>
                <w:spacing w:val="-4"/>
                <w:sz w:val="21"/>
              </w:rPr>
              <w:t> </w:t>
            </w:r>
            <w:r>
              <w:rPr>
                <w:rFonts w:ascii="Calibri Light"/>
                <w:b w:val="0"/>
                <w:sz w:val="21"/>
              </w:rPr>
              <w:t>10,</w:t>
            </w:r>
            <w:r>
              <w:rPr>
                <w:rFonts w:ascii="Calibri Light"/>
                <w:b w:val="0"/>
                <w:spacing w:val="-2"/>
                <w:sz w:val="21"/>
              </w:rPr>
              <w:t> </w:t>
            </w:r>
            <w:r>
              <w:rPr>
                <w:rFonts w:ascii="Calibri Light"/>
                <w:b w:val="0"/>
                <w:sz w:val="21"/>
              </w:rPr>
              <w:t>improve</w:t>
            </w:r>
            <w:r>
              <w:rPr>
                <w:rFonts w:ascii="Calibri Light"/>
                <w:b w:val="0"/>
                <w:spacing w:val="-2"/>
                <w:sz w:val="21"/>
              </w:rPr>
              <w:t> </w:t>
            </w:r>
            <w:r>
              <w:rPr>
                <w:rFonts w:ascii="Calibri Light"/>
                <w:b w:val="0"/>
                <w:sz w:val="21"/>
              </w:rPr>
              <w:t>from</w:t>
            </w:r>
            <w:r>
              <w:rPr>
                <w:rFonts w:ascii="Calibri Light"/>
                <w:b w:val="0"/>
                <w:spacing w:val="-2"/>
                <w:sz w:val="21"/>
              </w:rPr>
              <w:t> </w:t>
            </w:r>
            <w:r>
              <w:rPr>
                <w:rFonts w:ascii="Calibri Light"/>
                <w:b w:val="0"/>
                <w:sz w:val="21"/>
              </w:rPr>
              <w:t>2016/2017 </w:t>
            </w:r>
            <w:r>
              <w:rPr>
                <w:rFonts w:ascii="Calibri Light"/>
                <w:b w:val="0"/>
                <w:spacing w:val="-2"/>
                <w:sz w:val="21"/>
              </w:rPr>
              <w:t>rates.</w:t>
            </w:r>
          </w:p>
        </w:tc>
        <w:tc>
          <w:tcPr>
            <w:tcW w:w="3927" w:type="dxa"/>
          </w:tcPr>
          <w:p>
            <w:pPr>
              <w:pStyle w:val="TableParagraph"/>
              <w:numPr>
                <w:ilvl w:val="0"/>
                <w:numId w:val="21"/>
              </w:numPr>
              <w:tabs>
                <w:tab w:pos="383" w:val="left" w:leader="none"/>
              </w:tabs>
              <w:spacing w:line="242" w:lineRule="auto" w:before="177" w:after="0"/>
              <w:ind w:left="382" w:right="149" w:hanging="274"/>
              <w:jc w:val="left"/>
              <w:rPr>
                <w:rFonts w:ascii="Calibri Light" w:hAnsi="Calibri Light"/>
                <w:b w:val="0"/>
                <w:sz w:val="21"/>
              </w:rPr>
            </w:pPr>
            <w:r>
              <w:rPr>
                <w:rFonts w:ascii="Calibri Light" w:hAnsi="Calibri Light"/>
                <w:b w:val="0"/>
                <w:sz w:val="21"/>
              </w:rPr>
              <w:t>Transition</w:t>
            </w:r>
            <w:r>
              <w:rPr>
                <w:rFonts w:ascii="Calibri Light" w:hAnsi="Calibri Light"/>
                <w:b w:val="0"/>
                <w:spacing w:val="-5"/>
                <w:sz w:val="21"/>
              </w:rPr>
              <w:t> </w:t>
            </w:r>
            <w:r>
              <w:rPr>
                <w:rFonts w:ascii="Calibri Light" w:hAnsi="Calibri Light"/>
                <w:b w:val="0"/>
                <w:sz w:val="21"/>
              </w:rPr>
              <w:t>rates</w:t>
            </w:r>
            <w:r>
              <w:rPr>
                <w:rFonts w:ascii="Calibri Light" w:hAnsi="Calibri Light"/>
                <w:b w:val="0"/>
                <w:spacing w:val="-6"/>
                <w:sz w:val="21"/>
              </w:rPr>
              <w:t> </w:t>
            </w:r>
            <w:r>
              <w:rPr>
                <w:rFonts w:ascii="Calibri Light" w:hAnsi="Calibri Light"/>
                <w:b w:val="0"/>
                <w:sz w:val="21"/>
              </w:rPr>
              <w:t>as</w:t>
            </w:r>
            <w:r>
              <w:rPr>
                <w:rFonts w:ascii="Calibri Light" w:hAnsi="Calibri Light"/>
                <w:b w:val="0"/>
                <w:spacing w:val="-10"/>
                <w:sz w:val="21"/>
              </w:rPr>
              <w:t> </w:t>
            </w:r>
            <w:r>
              <w:rPr>
                <w:rFonts w:ascii="Calibri Light" w:hAnsi="Calibri Light"/>
                <w:b w:val="0"/>
                <w:sz w:val="21"/>
              </w:rPr>
              <w:t>reported</w:t>
            </w:r>
            <w:r>
              <w:rPr>
                <w:rFonts w:ascii="Calibri Light" w:hAnsi="Calibri Light"/>
                <w:b w:val="0"/>
                <w:spacing w:val="-5"/>
                <w:sz w:val="21"/>
              </w:rPr>
              <w:t> </w:t>
            </w:r>
            <w:r>
              <w:rPr>
                <w:rFonts w:ascii="Calibri Light" w:hAnsi="Calibri Light"/>
                <w:b w:val="0"/>
                <w:sz w:val="21"/>
              </w:rPr>
              <w:t>in</w:t>
            </w:r>
            <w:r>
              <w:rPr>
                <w:rFonts w:ascii="Calibri Light" w:hAnsi="Calibri Light"/>
                <w:b w:val="0"/>
                <w:spacing w:val="-5"/>
                <w:sz w:val="21"/>
              </w:rPr>
              <w:t> </w:t>
            </w:r>
            <w:r>
              <w:rPr>
                <w:rFonts w:ascii="Calibri Light" w:hAnsi="Calibri Light"/>
                <w:b w:val="0"/>
                <w:sz w:val="21"/>
              </w:rPr>
              <w:t>2016</w:t>
            </w:r>
            <w:r>
              <w:rPr>
                <w:rFonts w:ascii="Calibri Light" w:hAnsi="Calibri Light"/>
                <w:b w:val="0"/>
                <w:spacing w:val="-7"/>
                <w:sz w:val="21"/>
              </w:rPr>
              <w:t> </w:t>
            </w:r>
            <w:r>
              <w:rPr>
                <w:rFonts w:ascii="Calibri Light" w:hAnsi="Calibri Light"/>
                <w:b w:val="0"/>
                <w:sz w:val="21"/>
              </w:rPr>
              <w:t>and 2017 Performance Assessment Reports</w:t>
            </w:r>
          </w:p>
        </w:tc>
      </w:tr>
      <w:tr>
        <w:trPr>
          <w:trHeight w:val="657"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39" w:type="dxa"/>
          </w:tcPr>
          <w:p>
            <w:pPr>
              <w:pStyle w:val="TableParagraph"/>
              <w:spacing w:before="68"/>
              <w:ind w:left="704" w:right="168" w:hanging="601"/>
              <w:rPr>
                <w:rFonts w:ascii="Calibri Light"/>
                <w:b w:val="0"/>
                <w:sz w:val="21"/>
              </w:rPr>
            </w:pPr>
            <w:r>
              <w:rPr>
                <w:rFonts w:ascii="Calibri Light"/>
                <w:b w:val="0"/>
                <w:sz w:val="21"/>
              </w:rPr>
              <w:t>2.1.3</w:t>
            </w:r>
            <w:r>
              <w:rPr>
                <w:rFonts w:ascii="Calibri Light"/>
                <w:b w:val="0"/>
                <w:spacing w:val="80"/>
                <w:sz w:val="21"/>
              </w:rPr>
              <w:t> </w:t>
            </w:r>
            <w:r>
              <w:rPr>
                <w:rFonts w:ascii="Calibri Light"/>
                <w:b w:val="0"/>
                <w:sz w:val="21"/>
              </w:rPr>
              <w:t>The</w:t>
            </w:r>
            <w:r>
              <w:rPr>
                <w:rFonts w:ascii="Calibri Light"/>
                <w:b w:val="0"/>
                <w:spacing w:val="-2"/>
                <w:sz w:val="21"/>
              </w:rPr>
              <w:t> </w:t>
            </w:r>
            <w:r>
              <w:rPr>
                <w:rFonts w:ascii="Calibri Light"/>
                <w:b w:val="0"/>
                <w:sz w:val="21"/>
              </w:rPr>
              <w:t>draft</w:t>
            </w:r>
            <w:r>
              <w:rPr>
                <w:rFonts w:ascii="Calibri Light"/>
                <w:b w:val="0"/>
                <w:spacing w:val="-5"/>
                <w:sz w:val="21"/>
              </w:rPr>
              <w:t> </w:t>
            </w:r>
            <w:r>
              <w:rPr>
                <w:rFonts w:ascii="Calibri Light"/>
                <w:b w:val="0"/>
                <w:sz w:val="21"/>
              </w:rPr>
              <w:t>Solomon</w:t>
            </w:r>
            <w:r>
              <w:rPr>
                <w:rFonts w:ascii="Calibri Light"/>
                <w:b w:val="0"/>
                <w:spacing w:val="-2"/>
                <w:sz w:val="21"/>
              </w:rPr>
              <w:t> </w:t>
            </w:r>
            <w:r>
              <w:rPr>
                <w:rFonts w:ascii="Calibri Light"/>
                <w:b w:val="0"/>
                <w:sz w:val="21"/>
              </w:rPr>
              <w:t>Islands</w:t>
            </w:r>
            <w:r>
              <w:rPr>
                <w:rFonts w:ascii="Calibri Light"/>
                <w:b w:val="0"/>
                <w:spacing w:val="-3"/>
                <w:sz w:val="21"/>
              </w:rPr>
              <w:t> </w:t>
            </w:r>
            <w:r>
              <w:rPr>
                <w:rFonts w:ascii="Calibri Light"/>
                <w:b w:val="0"/>
                <w:sz w:val="21"/>
              </w:rPr>
              <w:t>National</w:t>
            </w:r>
            <w:r>
              <w:rPr>
                <w:rFonts w:ascii="Calibri Light"/>
                <w:b w:val="0"/>
                <w:spacing w:val="-6"/>
                <w:sz w:val="21"/>
              </w:rPr>
              <w:t> </w:t>
            </w:r>
            <w:r>
              <w:rPr>
                <w:rFonts w:ascii="Calibri Light"/>
                <w:b w:val="0"/>
                <w:sz w:val="21"/>
              </w:rPr>
              <w:t>Disability</w:t>
            </w:r>
            <w:r>
              <w:rPr>
                <w:rFonts w:ascii="Calibri Light"/>
                <w:b w:val="0"/>
                <w:spacing w:val="-5"/>
                <w:sz w:val="21"/>
              </w:rPr>
              <w:t> </w:t>
            </w:r>
            <w:r>
              <w:rPr>
                <w:rFonts w:ascii="Calibri Light"/>
                <w:b w:val="0"/>
                <w:sz w:val="21"/>
              </w:rPr>
              <w:t>Inclusive Education Plan is approved and disseminated.</w:t>
            </w:r>
          </w:p>
        </w:tc>
        <w:tc>
          <w:tcPr>
            <w:tcW w:w="3927" w:type="dxa"/>
          </w:tcPr>
          <w:p>
            <w:pPr>
              <w:pStyle w:val="TableParagraph"/>
              <w:numPr>
                <w:ilvl w:val="0"/>
                <w:numId w:val="22"/>
              </w:numPr>
              <w:tabs>
                <w:tab w:pos="383" w:val="left" w:leader="none"/>
              </w:tabs>
              <w:spacing w:line="266" w:lineRule="exact" w:before="57" w:after="0"/>
              <w:ind w:left="382" w:right="0" w:hanging="274"/>
              <w:jc w:val="left"/>
              <w:rPr>
                <w:rFonts w:ascii="Calibri Light" w:hAnsi="Calibri Light"/>
                <w:b w:val="0"/>
                <w:sz w:val="21"/>
              </w:rPr>
            </w:pPr>
            <w:r>
              <w:rPr>
                <w:rFonts w:ascii="Calibri Light" w:hAnsi="Calibri Light"/>
                <w:b w:val="0"/>
                <w:sz w:val="21"/>
              </w:rPr>
              <w:t>Minute</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6"/>
                <w:sz w:val="21"/>
              </w:rPr>
              <w:t> </w:t>
            </w:r>
            <w:r>
              <w:rPr>
                <w:rFonts w:ascii="Calibri Light" w:hAnsi="Calibri Light"/>
                <w:b w:val="0"/>
                <w:sz w:val="21"/>
              </w:rPr>
              <w:t>Ministerial</w:t>
            </w:r>
            <w:r>
              <w:rPr>
                <w:rFonts w:ascii="Calibri Light" w:hAnsi="Calibri Light"/>
                <w:b w:val="0"/>
                <w:spacing w:val="-7"/>
                <w:sz w:val="21"/>
              </w:rPr>
              <w:t> </w:t>
            </w:r>
            <w:r>
              <w:rPr>
                <w:rFonts w:ascii="Calibri Light" w:hAnsi="Calibri Light"/>
                <w:b w:val="0"/>
                <w:spacing w:val="-2"/>
                <w:sz w:val="21"/>
              </w:rPr>
              <w:t>approval</w:t>
            </w:r>
          </w:p>
          <w:p>
            <w:pPr>
              <w:pStyle w:val="TableParagraph"/>
              <w:numPr>
                <w:ilvl w:val="0"/>
                <w:numId w:val="22"/>
              </w:numPr>
              <w:tabs>
                <w:tab w:pos="383" w:val="left" w:leader="none"/>
              </w:tabs>
              <w:spacing w:line="266" w:lineRule="exact" w:before="0" w:after="0"/>
              <w:ind w:left="382" w:right="0" w:hanging="274"/>
              <w:jc w:val="left"/>
              <w:rPr>
                <w:rFonts w:ascii="Calibri Light" w:hAnsi="Calibri Light"/>
                <w:b w:val="0"/>
                <w:sz w:val="21"/>
              </w:rPr>
            </w:pPr>
            <w:r>
              <w:rPr>
                <w:rFonts w:ascii="Calibri Light" w:hAnsi="Calibri Light"/>
                <w:b w:val="0"/>
                <w:sz w:val="21"/>
              </w:rPr>
              <w:t>Distribution</w:t>
            </w:r>
            <w:r>
              <w:rPr>
                <w:rFonts w:ascii="Calibri Light" w:hAnsi="Calibri Light"/>
                <w:b w:val="0"/>
                <w:spacing w:val="-8"/>
                <w:sz w:val="21"/>
              </w:rPr>
              <w:t> </w:t>
            </w:r>
            <w:r>
              <w:rPr>
                <w:rFonts w:ascii="Calibri Light" w:hAnsi="Calibri Light"/>
                <w:b w:val="0"/>
                <w:spacing w:val="-2"/>
                <w:sz w:val="21"/>
              </w:rPr>
              <w:t>record</w:t>
            </w:r>
          </w:p>
        </w:tc>
      </w:tr>
      <w:tr>
        <w:trPr>
          <w:trHeight w:val="1444"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39" w:type="dxa"/>
          </w:tcPr>
          <w:p>
            <w:pPr>
              <w:pStyle w:val="TableParagraph"/>
              <w:spacing w:before="7"/>
              <w:rPr>
                <w:sz w:val="27"/>
              </w:rPr>
            </w:pPr>
          </w:p>
          <w:p>
            <w:pPr>
              <w:pStyle w:val="TableParagraph"/>
              <w:spacing w:before="1"/>
              <w:ind w:left="704" w:right="168" w:hanging="601"/>
              <w:rPr>
                <w:rFonts w:ascii="Calibri Light"/>
                <w:b w:val="0"/>
                <w:sz w:val="21"/>
              </w:rPr>
            </w:pPr>
            <w:r>
              <w:rPr>
                <w:rFonts w:ascii="Calibri Light"/>
                <w:b w:val="0"/>
                <w:sz w:val="21"/>
              </w:rPr>
              <w:t>2.1.4</w:t>
            </w:r>
            <w:r>
              <w:rPr>
                <w:rFonts w:ascii="Calibri Light"/>
                <w:b w:val="0"/>
                <w:spacing w:val="80"/>
                <w:sz w:val="21"/>
              </w:rPr>
              <w:t> </w:t>
            </w:r>
            <w:r>
              <w:rPr>
                <w:rFonts w:ascii="Calibri Light"/>
                <w:b w:val="0"/>
                <w:sz w:val="21"/>
              </w:rPr>
              <w:t>More</w:t>
            </w:r>
            <w:r>
              <w:rPr>
                <w:rFonts w:ascii="Calibri Light"/>
                <w:b w:val="0"/>
                <w:spacing w:val="-3"/>
                <w:sz w:val="21"/>
              </w:rPr>
              <w:t> </w:t>
            </w:r>
            <w:r>
              <w:rPr>
                <w:rFonts w:ascii="Calibri Light"/>
                <w:b w:val="0"/>
                <w:sz w:val="21"/>
              </w:rPr>
              <w:t>structured</w:t>
            </w:r>
            <w:r>
              <w:rPr>
                <w:rFonts w:ascii="Calibri Light"/>
                <w:b w:val="0"/>
                <w:spacing w:val="-7"/>
                <w:sz w:val="21"/>
              </w:rPr>
              <w:t> </w:t>
            </w:r>
            <w:r>
              <w:rPr>
                <w:rFonts w:ascii="Calibri Light"/>
                <w:b w:val="0"/>
                <w:sz w:val="21"/>
              </w:rPr>
              <w:t>and</w:t>
            </w:r>
            <w:r>
              <w:rPr>
                <w:rFonts w:ascii="Calibri Light"/>
                <w:b w:val="0"/>
                <w:spacing w:val="-3"/>
                <w:sz w:val="21"/>
              </w:rPr>
              <w:t> </w:t>
            </w:r>
            <w:r>
              <w:rPr>
                <w:rFonts w:ascii="Calibri Light"/>
                <w:b w:val="0"/>
                <w:sz w:val="21"/>
              </w:rPr>
              <w:t>formalised</w:t>
            </w:r>
            <w:r>
              <w:rPr>
                <w:rFonts w:ascii="Calibri Light"/>
                <w:b w:val="0"/>
                <w:spacing w:val="-3"/>
                <w:sz w:val="21"/>
              </w:rPr>
              <w:t> </w:t>
            </w:r>
            <w:r>
              <w:rPr>
                <w:rFonts w:ascii="Calibri Light"/>
                <w:b w:val="0"/>
                <w:sz w:val="21"/>
              </w:rPr>
              <w:t>processes</w:t>
            </w:r>
            <w:r>
              <w:rPr>
                <w:rFonts w:ascii="Calibri Light"/>
                <w:b w:val="0"/>
                <w:spacing w:val="-4"/>
                <w:sz w:val="21"/>
              </w:rPr>
              <w:t> </w:t>
            </w:r>
            <w:r>
              <w:rPr>
                <w:rFonts w:ascii="Calibri Light"/>
                <w:b w:val="0"/>
                <w:sz w:val="21"/>
              </w:rPr>
              <w:t>are</w:t>
            </w:r>
            <w:r>
              <w:rPr>
                <w:rFonts w:ascii="Calibri Light"/>
                <w:b w:val="0"/>
                <w:spacing w:val="-3"/>
                <w:sz w:val="21"/>
              </w:rPr>
              <w:t> </w:t>
            </w:r>
            <w:r>
              <w:rPr>
                <w:rFonts w:ascii="Calibri Light"/>
                <w:b w:val="0"/>
                <w:sz w:val="21"/>
              </w:rPr>
              <w:t>implemented to collect and analyse data about the participation rates of students with disabilities in basic education.</w:t>
            </w:r>
          </w:p>
        </w:tc>
        <w:tc>
          <w:tcPr>
            <w:tcW w:w="3927" w:type="dxa"/>
          </w:tcPr>
          <w:p>
            <w:pPr>
              <w:pStyle w:val="TableParagraph"/>
              <w:numPr>
                <w:ilvl w:val="0"/>
                <w:numId w:val="23"/>
              </w:numPr>
              <w:tabs>
                <w:tab w:pos="383" w:val="left" w:leader="none"/>
              </w:tabs>
              <w:spacing w:line="240" w:lineRule="auto" w:before="57" w:after="0"/>
              <w:ind w:left="382" w:right="0" w:hanging="274"/>
              <w:jc w:val="left"/>
              <w:rPr>
                <w:rFonts w:ascii="Calibri Light" w:hAnsi="Calibri Light"/>
                <w:b w:val="0"/>
                <w:sz w:val="21"/>
              </w:rPr>
            </w:pPr>
            <w:r>
              <w:rPr>
                <w:rFonts w:ascii="Calibri Light" w:hAnsi="Calibri Light"/>
                <w:b w:val="0"/>
                <w:sz w:val="21"/>
              </w:rPr>
              <w:t>Data</w:t>
            </w:r>
            <w:r>
              <w:rPr>
                <w:rFonts w:ascii="Calibri Light" w:hAnsi="Calibri Light"/>
                <w:b w:val="0"/>
                <w:spacing w:val="-6"/>
                <w:sz w:val="21"/>
              </w:rPr>
              <w:t> </w:t>
            </w:r>
            <w:r>
              <w:rPr>
                <w:rFonts w:ascii="Calibri Light" w:hAnsi="Calibri Light"/>
                <w:b w:val="0"/>
                <w:sz w:val="21"/>
              </w:rPr>
              <w:t>collection</w:t>
            </w:r>
            <w:r>
              <w:rPr>
                <w:rFonts w:ascii="Calibri Light" w:hAnsi="Calibri Light"/>
                <w:b w:val="0"/>
                <w:spacing w:val="-7"/>
                <w:sz w:val="21"/>
              </w:rPr>
              <w:t> </w:t>
            </w:r>
            <w:r>
              <w:rPr>
                <w:rFonts w:ascii="Calibri Light" w:hAnsi="Calibri Light"/>
                <w:b w:val="0"/>
                <w:spacing w:val="-4"/>
                <w:sz w:val="21"/>
              </w:rPr>
              <w:t>plan</w:t>
            </w:r>
          </w:p>
          <w:p>
            <w:pPr>
              <w:pStyle w:val="TableParagraph"/>
              <w:numPr>
                <w:ilvl w:val="0"/>
                <w:numId w:val="23"/>
              </w:numPr>
              <w:tabs>
                <w:tab w:pos="383" w:val="left" w:leader="none"/>
              </w:tabs>
              <w:spacing w:line="240" w:lineRule="auto" w:before="2" w:after="0"/>
              <w:ind w:left="382" w:right="177" w:hanging="274"/>
              <w:jc w:val="left"/>
              <w:rPr>
                <w:rFonts w:ascii="Calibri Light" w:hAnsi="Calibri Light"/>
                <w:b w:val="0"/>
                <w:sz w:val="21"/>
              </w:rPr>
            </w:pPr>
            <w:r>
              <w:rPr>
                <w:rFonts w:ascii="Calibri Light" w:hAnsi="Calibri Light"/>
                <w:b w:val="0"/>
                <w:sz w:val="21"/>
              </w:rPr>
              <w:t>Documentation</w:t>
            </w:r>
            <w:r>
              <w:rPr>
                <w:rFonts w:ascii="Calibri Light" w:hAnsi="Calibri Light"/>
                <w:b w:val="0"/>
                <w:spacing w:val="-7"/>
                <w:sz w:val="21"/>
              </w:rPr>
              <w:t> </w:t>
            </w:r>
            <w:r>
              <w:rPr>
                <w:rFonts w:ascii="Calibri Light" w:hAnsi="Calibri Light"/>
                <w:b w:val="0"/>
                <w:sz w:val="21"/>
              </w:rPr>
              <w:t>of</w:t>
            </w:r>
            <w:r>
              <w:rPr>
                <w:rFonts w:ascii="Calibri Light" w:hAnsi="Calibri Light"/>
                <w:b w:val="0"/>
                <w:spacing w:val="-9"/>
                <w:sz w:val="21"/>
              </w:rPr>
              <w:t> </w:t>
            </w:r>
            <w:r>
              <w:rPr>
                <w:rFonts w:ascii="Calibri Light" w:hAnsi="Calibri Light"/>
                <w:b w:val="0"/>
                <w:sz w:val="21"/>
              </w:rPr>
              <w:t>definitions</w:t>
            </w:r>
            <w:r>
              <w:rPr>
                <w:rFonts w:ascii="Calibri Light" w:hAnsi="Calibri Light"/>
                <w:b w:val="0"/>
                <w:spacing w:val="-12"/>
                <w:sz w:val="21"/>
              </w:rPr>
              <w:t> </w:t>
            </w:r>
            <w:r>
              <w:rPr>
                <w:rFonts w:ascii="Calibri Light" w:hAnsi="Calibri Light"/>
                <w:b w:val="0"/>
                <w:sz w:val="21"/>
              </w:rPr>
              <w:t>of</w:t>
            </w:r>
            <w:r>
              <w:rPr>
                <w:rFonts w:ascii="Calibri Light" w:hAnsi="Calibri Light"/>
                <w:b w:val="0"/>
                <w:spacing w:val="-9"/>
                <w:sz w:val="21"/>
              </w:rPr>
              <w:t> </w:t>
            </w:r>
            <w:r>
              <w:rPr>
                <w:rFonts w:ascii="Calibri Light" w:hAnsi="Calibri Light"/>
                <w:b w:val="0"/>
                <w:sz w:val="21"/>
              </w:rPr>
              <w:t>various </w:t>
            </w:r>
            <w:r>
              <w:rPr>
                <w:rFonts w:ascii="Calibri Light" w:hAnsi="Calibri Light"/>
                <w:b w:val="0"/>
                <w:spacing w:val="-2"/>
                <w:sz w:val="21"/>
              </w:rPr>
              <w:t>disabilities</w:t>
            </w:r>
          </w:p>
          <w:p>
            <w:pPr>
              <w:pStyle w:val="TableParagraph"/>
              <w:numPr>
                <w:ilvl w:val="0"/>
                <w:numId w:val="23"/>
              </w:numPr>
              <w:tabs>
                <w:tab w:pos="384" w:val="left" w:leader="none"/>
              </w:tabs>
              <w:spacing w:line="265" w:lineRule="exact" w:before="0" w:after="0"/>
              <w:ind w:left="383" w:right="0" w:hanging="275"/>
              <w:jc w:val="left"/>
              <w:rPr>
                <w:rFonts w:ascii="Calibri Light" w:hAnsi="Calibri Light"/>
                <w:b w:val="0"/>
                <w:sz w:val="21"/>
              </w:rPr>
            </w:pPr>
            <w:r>
              <w:rPr>
                <w:rFonts w:ascii="Calibri Light" w:hAnsi="Calibri Light"/>
                <w:b w:val="0"/>
                <w:sz w:val="21"/>
              </w:rPr>
              <w:t>Data</w:t>
            </w:r>
            <w:r>
              <w:rPr>
                <w:rFonts w:ascii="Calibri Light" w:hAnsi="Calibri Light"/>
                <w:b w:val="0"/>
                <w:spacing w:val="-3"/>
                <w:sz w:val="21"/>
              </w:rPr>
              <w:t> </w:t>
            </w:r>
            <w:r>
              <w:rPr>
                <w:rFonts w:ascii="Calibri Light" w:hAnsi="Calibri Light"/>
                <w:b w:val="0"/>
                <w:sz w:val="21"/>
              </w:rPr>
              <w:t>from</w:t>
            </w:r>
            <w:r>
              <w:rPr>
                <w:rFonts w:ascii="Calibri Light" w:hAnsi="Calibri Light"/>
                <w:b w:val="0"/>
                <w:spacing w:val="-6"/>
                <w:sz w:val="21"/>
              </w:rPr>
              <w:t> </w:t>
            </w:r>
            <w:r>
              <w:rPr>
                <w:rFonts w:ascii="Calibri Light" w:hAnsi="Calibri Light"/>
                <w:b w:val="0"/>
                <w:sz w:val="21"/>
              </w:rPr>
              <w:t>data</w:t>
            </w:r>
            <w:r>
              <w:rPr>
                <w:rFonts w:ascii="Calibri Light" w:hAnsi="Calibri Light"/>
                <w:b w:val="0"/>
                <w:spacing w:val="-6"/>
                <w:sz w:val="21"/>
              </w:rPr>
              <w:t> </w:t>
            </w:r>
            <w:r>
              <w:rPr>
                <w:rFonts w:ascii="Calibri Light" w:hAnsi="Calibri Light"/>
                <w:b w:val="0"/>
                <w:sz w:val="21"/>
              </w:rPr>
              <w:t>collection</w:t>
            </w:r>
            <w:r>
              <w:rPr>
                <w:rFonts w:ascii="Calibri Light" w:hAnsi="Calibri Light"/>
                <w:b w:val="0"/>
                <w:spacing w:val="-2"/>
                <w:sz w:val="21"/>
              </w:rPr>
              <w:t> process</w:t>
            </w:r>
          </w:p>
          <w:p>
            <w:pPr>
              <w:pStyle w:val="TableParagraph"/>
              <w:numPr>
                <w:ilvl w:val="0"/>
                <w:numId w:val="23"/>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Record</w:t>
            </w:r>
            <w:r>
              <w:rPr>
                <w:rFonts w:ascii="Calibri Light" w:hAnsi="Calibri Light"/>
                <w:b w:val="0"/>
                <w:spacing w:val="-3"/>
                <w:sz w:val="21"/>
              </w:rPr>
              <w:t> </w:t>
            </w:r>
            <w:r>
              <w:rPr>
                <w:rFonts w:ascii="Calibri Light" w:hAnsi="Calibri Light"/>
                <w:b w:val="0"/>
                <w:sz w:val="21"/>
              </w:rPr>
              <w:t>of</w:t>
            </w:r>
            <w:r>
              <w:rPr>
                <w:rFonts w:ascii="Calibri Light" w:hAnsi="Calibri Light"/>
                <w:b w:val="0"/>
                <w:spacing w:val="-3"/>
                <w:sz w:val="21"/>
              </w:rPr>
              <w:t> </w:t>
            </w:r>
            <w:r>
              <w:rPr>
                <w:rFonts w:ascii="Calibri Light" w:hAnsi="Calibri Light"/>
                <w:b w:val="0"/>
                <w:sz w:val="21"/>
              </w:rPr>
              <w:t>data</w:t>
            </w:r>
            <w:r>
              <w:rPr>
                <w:rFonts w:ascii="Calibri Light" w:hAnsi="Calibri Light"/>
                <w:b w:val="0"/>
                <w:spacing w:val="-2"/>
                <w:sz w:val="21"/>
              </w:rPr>
              <w:t> analysis</w:t>
            </w:r>
          </w:p>
        </w:tc>
      </w:tr>
    </w:tbl>
    <w:p>
      <w:pPr>
        <w:pStyle w:val="BodyText"/>
      </w:pPr>
      <w:bookmarkStart w:name="4." w:id="36"/>
      <w:bookmarkEnd w:id="36"/>
      <w:r>
        <w:rPr/>
      </w:r>
      <w:r>
        <w:rPr/>
      </w:r>
    </w:p>
    <w:p>
      <w:pPr>
        <w:spacing w:after="0"/>
        <w:sectPr>
          <w:type w:val="continuous"/>
          <w:pgSz w:w="16840" w:h="11900" w:orient="landscape"/>
          <w:pgMar w:header="751" w:footer="1238" w:top="1400" w:bottom="1420" w:left="1320" w:right="158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3077"/>
        <w:gridCol w:w="6043"/>
        <w:gridCol w:w="4017"/>
      </w:tblGrid>
      <w:tr>
        <w:trPr>
          <w:trHeight w:val="714" w:hRule="atLeast"/>
        </w:trPr>
        <w:tc>
          <w:tcPr>
            <w:tcW w:w="562" w:type="dxa"/>
            <w:shd w:val="clear" w:color="auto" w:fill="B4C6E7"/>
          </w:tcPr>
          <w:p>
            <w:pPr>
              <w:pStyle w:val="TableParagraph"/>
              <w:rPr>
                <w:rFonts w:ascii="Times New Roman"/>
                <w:sz w:val="20"/>
              </w:rPr>
            </w:pPr>
          </w:p>
        </w:tc>
        <w:tc>
          <w:tcPr>
            <w:tcW w:w="3077" w:type="dxa"/>
            <w:shd w:val="clear" w:color="auto" w:fill="B4C6E7"/>
          </w:tcPr>
          <w:p>
            <w:pPr>
              <w:pStyle w:val="TableParagraph"/>
              <w:spacing w:before="2"/>
              <w:rPr>
                <w:sz w:val="18"/>
              </w:rPr>
            </w:pPr>
          </w:p>
          <w:p>
            <w:pPr>
              <w:pStyle w:val="TableParagraph"/>
              <w:ind w:left="1117" w:right="1115"/>
              <w:jc w:val="center"/>
              <w:rPr>
                <w:rFonts w:ascii="Calibri Light"/>
                <w:b w:val="0"/>
                <w:sz w:val="22"/>
              </w:rPr>
            </w:pPr>
            <w:r>
              <w:rPr>
                <w:rFonts w:ascii="Calibri Light"/>
                <w:b w:val="0"/>
                <w:spacing w:val="-2"/>
                <w:sz w:val="22"/>
              </w:rPr>
              <w:t>TARGETS</w:t>
            </w:r>
          </w:p>
        </w:tc>
        <w:tc>
          <w:tcPr>
            <w:tcW w:w="6043" w:type="dxa"/>
            <w:shd w:val="clear" w:color="auto" w:fill="B4C6E7"/>
          </w:tcPr>
          <w:p>
            <w:pPr>
              <w:pStyle w:val="TableParagraph"/>
              <w:spacing w:before="2"/>
              <w:rPr>
                <w:sz w:val="18"/>
              </w:rPr>
            </w:pPr>
          </w:p>
          <w:p>
            <w:pPr>
              <w:pStyle w:val="TableParagraph"/>
              <w:ind w:left="1789"/>
              <w:rPr>
                <w:rFonts w:ascii="Calibri Light"/>
                <w:b w:val="0"/>
                <w:sz w:val="22"/>
              </w:rPr>
            </w:pPr>
            <w:r>
              <w:rPr>
                <w:rFonts w:ascii="Calibri Light"/>
                <w:b w:val="0"/>
                <w:spacing w:val="-4"/>
                <w:sz w:val="22"/>
              </w:rPr>
              <w:t>PERFORMANCE</w:t>
            </w:r>
            <w:r>
              <w:rPr>
                <w:rFonts w:ascii="Calibri Light"/>
                <w:b w:val="0"/>
                <w:spacing w:val="10"/>
                <w:sz w:val="22"/>
              </w:rPr>
              <w:t> </w:t>
            </w:r>
            <w:r>
              <w:rPr>
                <w:rFonts w:ascii="Calibri Light"/>
                <w:b w:val="0"/>
                <w:spacing w:val="-2"/>
                <w:sz w:val="22"/>
              </w:rPr>
              <w:t>INDICATORS</w:t>
            </w:r>
          </w:p>
        </w:tc>
        <w:tc>
          <w:tcPr>
            <w:tcW w:w="4017" w:type="dxa"/>
            <w:shd w:val="clear" w:color="auto" w:fill="B4C6E7"/>
          </w:tcPr>
          <w:p>
            <w:pPr>
              <w:pStyle w:val="TableParagraph"/>
              <w:spacing w:line="320" w:lineRule="atLeast" w:before="7"/>
              <w:ind w:left="901" w:right="897" w:firstLine="667"/>
              <w:rPr>
                <w:rFonts w:ascii="Calibri Light"/>
                <w:b w:val="0"/>
                <w:sz w:val="22"/>
              </w:rPr>
            </w:pPr>
            <w:r>
              <w:rPr>
                <w:rFonts w:ascii="Calibri Light"/>
                <w:b w:val="0"/>
                <w:spacing w:val="-2"/>
                <w:sz w:val="22"/>
              </w:rPr>
              <w:t>EVIDENCE</w:t>
            </w:r>
            <w:r>
              <w:rPr>
                <w:rFonts w:ascii="Calibri Light"/>
                <w:b w:val="0"/>
                <w:spacing w:val="40"/>
                <w:sz w:val="22"/>
              </w:rPr>
              <w:t> </w:t>
            </w:r>
            <w:r>
              <w:rPr>
                <w:rFonts w:ascii="Calibri Light"/>
                <w:b w:val="0"/>
                <w:spacing w:val="-2"/>
                <w:sz w:val="22"/>
              </w:rPr>
              <w:t>MEANS</w:t>
            </w:r>
            <w:r>
              <w:rPr>
                <w:rFonts w:ascii="Calibri Light"/>
                <w:b w:val="0"/>
                <w:spacing w:val="-11"/>
                <w:sz w:val="22"/>
              </w:rPr>
              <w:t> </w:t>
            </w:r>
            <w:r>
              <w:rPr>
                <w:rFonts w:ascii="Calibri Light"/>
                <w:b w:val="0"/>
                <w:spacing w:val="-2"/>
                <w:sz w:val="22"/>
              </w:rPr>
              <w:t>OF</w:t>
            </w:r>
            <w:r>
              <w:rPr>
                <w:rFonts w:ascii="Calibri Light"/>
                <w:b w:val="0"/>
                <w:spacing w:val="-10"/>
                <w:sz w:val="22"/>
              </w:rPr>
              <w:t> </w:t>
            </w:r>
            <w:r>
              <w:rPr>
                <w:rFonts w:ascii="Calibri Light"/>
                <w:b w:val="0"/>
                <w:spacing w:val="-2"/>
                <w:sz w:val="22"/>
              </w:rPr>
              <w:t>VERIFICATION</w:t>
            </w:r>
          </w:p>
        </w:tc>
      </w:tr>
      <w:tr>
        <w:trPr>
          <w:trHeight w:val="378" w:hRule="atLeast"/>
        </w:trPr>
        <w:tc>
          <w:tcPr>
            <w:tcW w:w="13699" w:type="dxa"/>
            <w:gridSpan w:val="4"/>
          </w:tcPr>
          <w:p>
            <w:pPr>
              <w:pStyle w:val="TableParagraph"/>
              <w:tabs>
                <w:tab w:pos="830" w:val="left" w:leader="none"/>
              </w:tabs>
              <w:spacing w:before="59"/>
              <w:ind w:left="110"/>
              <w:rPr>
                <w:rFonts w:ascii="Calibri Light"/>
                <w:b w:val="0"/>
                <w:sz w:val="21"/>
              </w:rPr>
            </w:pPr>
            <w:r>
              <w:rPr>
                <w:rFonts w:ascii="Calibri Light"/>
                <w:b w:val="0"/>
                <w:spacing w:val="-5"/>
                <w:sz w:val="21"/>
              </w:rPr>
              <w:t>3.</w:t>
            </w:r>
            <w:r>
              <w:rPr>
                <w:rFonts w:ascii="Calibri Light"/>
                <w:b w:val="0"/>
                <w:sz w:val="21"/>
              </w:rPr>
              <w:tab/>
            </w:r>
            <w:r>
              <w:rPr>
                <w:rFonts w:ascii="Calibri Light"/>
                <w:b w:val="0"/>
                <w:spacing w:val="-2"/>
                <w:sz w:val="21"/>
              </w:rPr>
              <w:t>Education</w:t>
            </w:r>
            <w:r>
              <w:rPr>
                <w:rFonts w:ascii="Calibri Light"/>
                <w:b w:val="0"/>
                <w:spacing w:val="-9"/>
                <w:sz w:val="21"/>
              </w:rPr>
              <w:t> </w:t>
            </w:r>
            <w:r>
              <w:rPr>
                <w:rFonts w:ascii="Calibri Light"/>
                <w:b w:val="0"/>
                <w:spacing w:val="-2"/>
                <w:sz w:val="21"/>
              </w:rPr>
              <w:t>Management</w:t>
            </w:r>
          </w:p>
        </w:tc>
      </w:tr>
      <w:tr>
        <w:trPr>
          <w:trHeight w:val="705" w:hRule="atLeast"/>
        </w:trPr>
        <w:tc>
          <w:tcPr>
            <w:tcW w:w="562"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0"/>
              </w:rPr>
            </w:pPr>
          </w:p>
          <w:p>
            <w:pPr>
              <w:pStyle w:val="TableParagraph"/>
              <w:spacing w:before="1"/>
              <w:ind w:left="110"/>
              <w:rPr>
                <w:rFonts w:ascii="Calibri Light"/>
                <w:b w:val="0"/>
                <w:sz w:val="21"/>
              </w:rPr>
            </w:pPr>
            <w:r>
              <w:rPr>
                <w:rFonts w:ascii="Calibri Light"/>
                <w:b w:val="0"/>
                <w:spacing w:val="-5"/>
                <w:sz w:val="21"/>
              </w:rPr>
              <w:t>3.1</w:t>
            </w:r>
          </w:p>
        </w:tc>
        <w:tc>
          <w:tcPr>
            <w:tcW w:w="307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61"/>
              <w:ind w:left="104" w:right="128"/>
              <w:rPr>
                <w:rFonts w:ascii="Calibri Light"/>
                <w:b w:val="0"/>
                <w:sz w:val="21"/>
              </w:rPr>
            </w:pPr>
            <w:r>
              <w:rPr>
                <w:rFonts w:ascii="Calibri Light"/>
                <w:b w:val="0"/>
                <w:sz w:val="21"/>
              </w:rPr>
              <w:t>Management capability of Education</w:t>
            </w:r>
            <w:r>
              <w:rPr>
                <w:rFonts w:ascii="Calibri Light"/>
                <w:b w:val="0"/>
                <w:spacing w:val="-12"/>
                <w:sz w:val="21"/>
              </w:rPr>
              <w:t> </w:t>
            </w:r>
            <w:r>
              <w:rPr>
                <w:rFonts w:ascii="Calibri Light"/>
                <w:b w:val="0"/>
                <w:sz w:val="21"/>
              </w:rPr>
              <w:t>Authorities</w:t>
            </w:r>
            <w:r>
              <w:rPr>
                <w:rFonts w:ascii="Calibri Light"/>
                <w:b w:val="0"/>
                <w:spacing w:val="-10"/>
                <w:sz w:val="21"/>
              </w:rPr>
              <w:t> </w:t>
            </w:r>
            <w:r>
              <w:rPr>
                <w:rFonts w:ascii="Calibri Light"/>
                <w:b w:val="0"/>
                <w:sz w:val="21"/>
              </w:rPr>
              <w:t>(EA)</w:t>
            </w:r>
            <w:r>
              <w:rPr>
                <w:rFonts w:ascii="Calibri Light"/>
                <w:b w:val="0"/>
                <w:spacing w:val="-10"/>
                <w:sz w:val="21"/>
              </w:rPr>
              <w:t> </w:t>
            </w:r>
            <w:r>
              <w:rPr>
                <w:rFonts w:ascii="Calibri Light"/>
                <w:b w:val="0"/>
                <w:sz w:val="21"/>
              </w:rPr>
              <w:t>is </w:t>
            </w:r>
            <w:r>
              <w:rPr>
                <w:rFonts w:ascii="Calibri Light"/>
                <w:b w:val="0"/>
                <w:spacing w:val="-2"/>
                <w:sz w:val="21"/>
              </w:rPr>
              <w:t>improved.</w:t>
            </w:r>
          </w:p>
        </w:tc>
        <w:tc>
          <w:tcPr>
            <w:tcW w:w="6043" w:type="dxa"/>
          </w:tcPr>
          <w:p>
            <w:pPr>
              <w:pStyle w:val="TableParagraph"/>
              <w:spacing w:before="92"/>
              <w:ind w:left="709" w:hanging="601"/>
              <w:rPr>
                <w:rFonts w:ascii="Calibri Light"/>
                <w:b w:val="0"/>
                <w:sz w:val="21"/>
              </w:rPr>
            </w:pPr>
            <w:r>
              <w:rPr>
                <w:rFonts w:ascii="Calibri Light"/>
                <w:b w:val="0"/>
                <w:sz w:val="21"/>
              </w:rPr>
              <w:t>3.1.1</w:t>
            </w:r>
            <w:r>
              <w:rPr>
                <w:rFonts w:ascii="Calibri Light"/>
                <w:b w:val="0"/>
                <w:spacing w:val="80"/>
                <w:w w:val="150"/>
                <w:sz w:val="21"/>
              </w:rPr>
              <w:t> </w:t>
            </w:r>
            <w:r>
              <w:rPr>
                <w:rFonts w:ascii="Calibri Light"/>
                <w:b w:val="0"/>
                <w:sz w:val="21"/>
              </w:rPr>
              <w:t>Standards</w:t>
            </w:r>
            <w:r>
              <w:rPr>
                <w:rFonts w:ascii="Calibri Light"/>
                <w:b w:val="0"/>
                <w:spacing w:val="-7"/>
                <w:sz w:val="21"/>
              </w:rPr>
              <w:t> </w:t>
            </w:r>
            <w:r>
              <w:rPr>
                <w:rFonts w:ascii="Calibri Light"/>
                <w:b w:val="0"/>
                <w:sz w:val="21"/>
              </w:rPr>
              <w:t>for</w:t>
            </w:r>
            <w:r>
              <w:rPr>
                <w:rFonts w:ascii="Calibri Light"/>
                <w:b w:val="0"/>
                <w:spacing w:val="-3"/>
                <w:sz w:val="21"/>
              </w:rPr>
              <w:t> </w:t>
            </w:r>
            <w:r>
              <w:rPr>
                <w:rFonts w:ascii="Calibri Light"/>
                <w:b w:val="0"/>
                <w:sz w:val="21"/>
              </w:rPr>
              <w:t>Education</w:t>
            </w:r>
            <w:r>
              <w:rPr>
                <w:rFonts w:ascii="Calibri Light"/>
                <w:b w:val="0"/>
                <w:spacing w:val="-6"/>
                <w:sz w:val="21"/>
              </w:rPr>
              <w:t> </w:t>
            </w:r>
            <w:r>
              <w:rPr>
                <w:rFonts w:ascii="Calibri Light"/>
                <w:b w:val="0"/>
                <w:sz w:val="21"/>
              </w:rPr>
              <w:t>Authorities</w:t>
            </w:r>
            <w:r>
              <w:rPr>
                <w:rFonts w:ascii="Calibri Light"/>
                <w:b w:val="0"/>
                <w:spacing w:val="-2"/>
                <w:sz w:val="21"/>
              </w:rPr>
              <w:t> </w:t>
            </w:r>
            <w:r>
              <w:rPr>
                <w:rFonts w:ascii="Calibri Light"/>
                <w:b w:val="0"/>
                <w:sz w:val="21"/>
              </w:rPr>
              <w:t>are</w:t>
            </w:r>
            <w:r>
              <w:rPr>
                <w:rFonts w:ascii="Calibri Light"/>
                <w:b w:val="0"/>
                <w:spacing w:val="-6"/>
                <w:sz w:val="21"/>
              </w:rPr>
              <w:t> </w:t>
            </w:r>
            <w:r>
              <w:rPr>
                <w:rFonts w:ascii="Calibri Light"/>
                <w:b w:val="0"/>
                <w:sz w:val="21"/>
              </w:rPr>
              <w:t>developed</w:t>
            </w:r>
            <w:r>
              <w:rPr>
                <w:rFonts w:ascii="Calibri Light"/>
                <w:b w:val="0"/>
                <w:spacing w:val="-1"/>
                <w:sz w:val="21"/>
              </w:rPr>
              <w:t> </w:t>
            </w:r>
            <w:r>
              <w:rPr>
                <w:rFonts w:ascii="Calibri Light"/>
                <w:b w:val="0"/>
                <w:sz w:val="21"/>
              </w:rPr>
              <w:t>in partnership with EAs.</w:t>
            </w:r>
          </w:p>
        </w:tc>
        <w:tc>
          <w:tcPr>
            <w:tcW w:w="4017" w:type="dxa"/>
          </w:tcPr>
          <w:p>
            <w:pPr>
              <w:pStyle w:val="TableParagraph"/>
              <w:numPr>
                <w:ilvl w:val="0"/>
                <w:numId w:val="24"/>
              </w:numPr>
              <w:tabs>
                <w:tab w:pos="379" w:val="left" w:leader="none"/>
              </w:tabs>
              <w:spacing w:line="240" w:lineRule="auto" w:before="57" w:after="0"/>
              <w:ind w:left="378" w:right="0" w:hanging="275"/>
              <w:jc w:val="left"/>
              <w:rPr>
                <w:rFonts w:ascii="Calibri Light" w:hAnsi="Calibri Light"/>
                <w:b w:val="0"/>
                <w:sz w:val="21"/>
              </w:rPr>
            </w:pPr>
            <w:r>
              <w:rPr>
                <w:rFonts w:ascii="Calibri Light" w:hAnsi="Calibri Light"/>
                <w:b w:val="0"/>
                <w:sz w:val="21"/>
              </w:rPr>
              <w:t>Copy</w:t>
            </w:r>
            <w:r>
              <w:rPr>
                <w:rFonts w:ascii="Calibri Light" w:hAnsi="Calibri Light"/>
                <w:b w:val="0"/>
                <w:spacing w:val="-5"/>
                <w:sz w:val="21"/>
              </w:rPr>
              <w:t> </w:t>
            </w:r>
            <w:r>
              <w:rPr>
                <w:rFonts w:ascii="Calibri Light" w:hAnsi="Calibri Light"/>
                <w:b w:val="0"/>
                <w:sz w:val="21"/>
              </w:rPr>
              <w:t>of</w:t>
            </w:r>
            <w:r>
              <w:rPr>
                <w:rFonts w:ascii="Calibri Light" w:hAnsi="Calibri Light"/>
                <w:b w:val="0"/>
                <w:spacing w:val="-8"/>
                <w:sz w:val="21"/>
              </w:rPr>
              <w:t> </w:t>
            </w:r>
            <w:r>
              <w:rPr>
                <w:rFonts w:ascii="Calibri Light" w:hAnsi="Calibri Light"/>
                <w:b w:val="0"/>
                <w:sz w:val="21"/>
              </w:rPr>
              <w:t>approved</w:t>
            </w:r>
            <w:r>
              <w:rPr>
                <w:rFonts w:ascii="Calibri Light" w:hAnsi="Calibri Light"/>
                <w:b w:val="0"/>
                <w:spacing w:val="-1"/>
                <w:sz w:val="21"/>
              </w:rPr>
              <w:t> </w:t>
            </w:r>
            <w:r>
              <w:rPr>
                <w:rFonts w:ascii="Calibri Light" w:hAnsi="Calibri Light"/>
                <w:b w:val="0"/>
                <w:sz w:val="21"/>
              </w:rPr>
              <w:t>standards</w:t>
            </w:r>
            <w:r>
              <w:rPr>
                <w:rFonts w:ascii="Calibri Light" w:hAnsi="Calibri Light"/>
                <w:b w:val="0"/>
                <w:spacing w:val="-3"/>
                <w:sz w:val="21"/>
              </w:rPr>
              <w:t> </w:t>
            </w:r>
            <w:r>
              <w:rPr>
                <w:rFonts w:ascii="Calibri Light" w:hAnsi="Calibri Light"/>
                <w:b w:val="0"/>
                <w:sz w:val="21"/>
              </w:rPr>
              <w:t>for</w:t>
            </w:r>
            <w:r>
              <w:rPr>
                <w:rFonts w:ascii="Calibri Light" w:hAnsi="Calibri Light"/>
                <w:b w:val="0"/>
                <w:spacing w:val="-8"/>
                <w:sz w:val="21"/>
              </w:rPr>
              <w:t> </w:t>
            </w:r>
            <w:r>
              <w:rPr>
                <w:rFonts w:ascii="Calibri Light" w:hAnsi="Calibri Light"/>
                <w:b w:val="0"/>
                <w:spacing w:val="-5"/>
                <w:sz w:val="21"/>
              </w:rPr>
              <w:t>EAs</w:t>
            </w:r>
          </w:p>
        </w:tc>
      </w:tr>
      <w:tr>
        <w:trPr>
          <w:trHeight w:val="911"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43" w:type="dxa"/>
          </w:tcPr>
          <w:p>
            <w:pPr>
              <w:pStyle w:val="TableParagraph"/>
              <w:spacing w:before="2"/>
              <w:rPr>
                <w:sz w:val="16"/>
              </w:rPr>
            </w:pPr>
          </w:p>
          <w:p>
            <w:pPr>
              <w:pStyle w:val="TableParagraph"/>
              <w:tabs>
                <w:tab w:pos="757" w:val="left" w:leader="none"/>
              </w:tabs>
              <w:spacing w:before="1"/>
              <w:ind w:left="709" w:right="162" w:hanging="601"/>
              <w:rPr>
                <w:rFonts w:ascii="Calibri Light"/>
                <w:b w:val="0"/>
                <w:sz w:val="21"/>
              </w:rPr>
            </w:pPr>
            <w:r>
              <w:rPr>
                <w:rFonts w:ascii="Calibri Light"/>
                <w:b w:val="0"/>
                <w:spacing w:val="-2"/>
                <w:sz w:val="21"/>
              </w:rPr>
              <w:t>3.1.2</w:t>
            </w:r>
            <w:r>
              <w:rPr>
                <w:rFonts w:ascii="Calibri Light"/>
                <w:b w:val="0"/>
                <w:sz w:val="21"/>
              </w:rPr>
              <w:tab/>
              <w:tab/>
              <w:t>Baseline</w:t>
            </w:r>
            <w:r>
              <w:rPr>
                <w:rFonts w:ascii="Calibri Light"/>
                <w:b w:val="0"/>
                <w:spacing w:val="-4"/>
                <w:sz w:val="21"/>
              </w:rPr>
              <w:t> </w:t>
            </w:r>
            <w:r>
              <w:rPr>
                <w:rFonts w:ascii="Calibri Light"/>
                <w:b w:val="0"/>
                <w:sz w:val="21"/>
              </w:rPr>
              <w:t>data</w:t>
            </w:r>
            <w:r>
              <w:rPr>
                <w:rFonts w:ascii="Calibri Light"/>
                <w:b w:val="0"/>
                <w:spacing w:val="-4"/>
                <w:sz w:val="21"/>
              </w:rPr>
              <w:t> </w:t>
            </w:r>
            <w:r>
              <w:rPr>
                <w:rFonts w:ascii="Calibri Light"/>
                <w:b w:val="0"/>
                <w:sz w:val="21"/>
              </w:rPr>
              <w:t>to</w:t>
            </w:r>
            <w:r>
              <w:rPr>
                <w:rFonts w:ascii="Calibri Light"/>
                <w:b w:val="0"/>
                <w:spacing w:val="-4"/>
                <w:sz w:val="21"/>
              </w:rPr>
              <w:t> </w:t>
            </w:r>
            <w:r>
              <w:rPr>
                <w:rFonts w:ascii="Calibri Light"/>
                <w:b w:val="0"/>
                <w:sz w:val="21"/>
              </w:rPr>
              <w:t>determine</w:t>
            </w:r>
            <w:r>
              <w:rPr>
                <w:rFonts w:ascii="Calibri Light"/>
                <w:b w:val="0"/>
                <w:spacing w:val="-4"/>
                <w:sz w:val="21"/>
              </w:rPr>
              <w:t> </w:t>
            </w:r>
            <w:r>
              <w:rPr>
                <w:rFonts w:ascii="Calibri Light"/>
                <w:b w:val="0"/>
                <w:sz w:val="21"/>
              </w:rPr>
              <w:t>strengths</w:t>
            </w:r>
            <w:r>
              <w:rPr>
                <w:rFonts w:ascii="Calibri Light"/>
                <w:b w:val="0"/>
                <w:spacing w:val="-4"/>
                <w:sz w:val="21"/>
              </w:rPr>
              <w:t> </w:t>
            </w:r>
            <w:r>
              <w:rPr>
                <w:rFonts w:ascii="Calibri Light"/>
                <w:b w:val="0"/>
                <w:sz w:val="21"/>
              </w:rPr>
              <w:t>and</w:t>
            </w:r>
            <w:r>
              <w:rPr>
                <w:rFonts w:ascii="Calibri Light"/>
                <w:b w:val="0"/>
                <w:spacing w:val="-4"/>
                <w:sz w:val="21"/>
              </w:rPr>
              <w:t> </w:t>
            </w:r>
            <w:r>
              <w:rPr>
                <w:rFonts w:ascii="Calibri Light"/>
                <w:b w:val="0"/>
                <w:sz w:val="21"/>
              </w:rPr>
              <w:t>weaknesses</w:t>
            </w:r>
            <w:r>
              <w:rPr>
                <w:rFonts w:ascii="Calibri Light"/>
                <w:b w:val="0"/>
                <w:spacing w:val="-4"/>
                <w:sz w:val="21"/>
              </w:rPr>
              <w:t> </w:t>
            </w:r>
            <w:r>
              <w:rPr>
                <w:rFonts w:ascii="Calibri Light"/>
                <w:b w:val="0"/>
                <w:sz w:val="21"/>
              </w:rPr>
              <w:t>of</w:t>
            </w:r>
            <w:r>
              <w:rPr>
                <w:rFonts w:ascii="Calibri Light"/>
                <w:b w:val="0"/>
                <w:spacing w:val="-9"/>
                <w:sz w:val="21"/>
              </w:rPr>
              <w:t> </w:t>
            </w:r>
            <w:r>
              <w:rPr>
                <w:rFonts w:ascii="Calibri Light"/>
                <w:b w:val="0"/>
                <w:sz w:val="21"/>
              </w:rPr>
              <w:t>EAs is collected and analysed.</w:t>
            </w:r>
          </w:p>
        </w:tc>
        <w:tc>
          <w:tcPr>
            <w:tcW w:w="4017" w:type="dxa"/>
          </w:tcPr>
          <w:p>
            <w:pPr>
              <w:pStyle w:val="TableParagraph"/>
              <w:numPr>
                <w:ilvl w:val="0"/>
                <w:numId w:val="25"/>
              </w:numPr>
              <w:tabs>
                <w:tab w:pos="379" w:val="left" w:leader="none"/>
              </w:tabs>
              <w:spacing w:line="240" w:lineRule="auto" w:before="57" w:after="0"/>
              <w:ind w:left="378" w:right="0" w:hanging="274"/>
              <w:jc w:val="left"/>
              <w:rPr>
                <w:rFonts w:ascii="Calibri Light" w:hAnsi="Calibri Light"/>
                <w:b w:val="0"/>
                <w:sz w:val="21"/>
              </w:rPr>
            </w:pPr>
            <w:r>
              <w:rPr>
                <w:rFonts w:ascii="Calibri Light" w:hAnsi="Calibri Light"/>
                <w:b w:val="0"/>
                <w:sz w:val="21"/>
              </w:rPr>
              <w:t>Data</w:t>
            </w:r>
            <w:r>
              <w:rPr>
                <w:rFonts w:ascii="Calibri Light" w:hAnsi="Calibri Light"/>
                <w:b w:val="0"/>
                <w:spacing w:val="-5"/>
                <w:sz w:val="21"/>
              </w:rPr>
              <w:t> </w:t>
            </w:r>
            <w:r>
              <w:rPr>
                <w:rFonts w:ascii="Calibri Light" w:hAnsi="Calibri Light"/>
                <w:b w:val="0"/>
                <w:sz w:val="21"/>
              </w:rPr>
              <w:t>and</w:t>
            </w:r>
            <w:r>
              <w:rPr>
                <w:rFonts w:ascii="Calibri Light" w:hAnsi="Calibri Light"/>
                <w:b w:val="0"/>
                <w:spacing w:val="-4"/>
                <w:sz w:val="21"/>
              </w:rPr>
              <w:t> </w:t>
            </w:r>
            <w:r>
              <w:rPr>
                <w:rFonts w:ascii="Calibri Light" w:hAnsi="Calibri Light"/>
                <w:b w:val="0"/>
                <w:sz w:val="21"/>
              </w:rPr>
              <w:t>subsequent</w:t>
            </w:r>
            <w:r>
              <w:rPr>
                <w:rFonts w:ascii="Calibri Light" w:hAnsi="Calibri Light"/>
                <w:b w:val="0"/>
                <w:spacing w:val="-11"/>
                <w:sz w:val="21"/>
              </w:rPr>
              <w:t> </w:t>
            </w:r>
            <w:r>
              <w:rPr>
                <w:rFonts w:ascii="Calibri Light" w:hAnsi="Calibri Light"/>
                <w:b w:val="0"/>
                <w:spacing w:val="-2"/>
                <w:sz w:val="21"/>
              </w:rPr>
              <w:t>analysis</w:t>
            </w:r>
          </w:p>
          <w:p>
            <w:pPr>
              <w:pStyle w:val="TableParagraph"/>
              <w:numPr>
                <w:ilvl w:val="0"/>
                <w:numId w:val="25"/>
              </w:numPr>
              <w:tabs>
                <w:tab w:pos="379" w:val="left" w:leader="none"/>
              </w:tabs>
              <w:spacing w:line="240" w:lineRule="auto" w:before="2" w:after="0"/>
              <w:ind w:left="378" w:right="318" w:hanging="274"/>
              <w:jc w:val="left"/>
              <w:rPr>
                <w:rFonts w:ascii="Calibri Light" w:hAnsi="Calibri Light"/>
                <w:b w:val="0"/>
                <w:sz w:val="21"/>
              </w:rPr>
            </w:pPr>
            <w:r>
              <w:rPr>
                <w:rFonts w:ascii="Calibri Light" w:hAnsi="Calibri Light"/>
                <w:b w:val="0"/>
                <w:sz w:val="21"/>
              </w:rPr>
              <w:t>Baseline</w:t>
            </w:r>
            <w:r>
              <w:rPr>
                <w:rFonts w:ascii="Calibri Light" w:hAnsi="Calibri Light"/>
                <w:b w:val="0"/>
                <w:spacing w:val="-6"/>
                <w:sz w:val="21"/>
              </w:rPr>
              <w:t> </w:t>
            </w:r>
            <w:r>
              <w:rPr>
                <w:rFonts w:ascii="Calibri Light" w:hAnsi="Calibri Light"/>
                <w:b w:val="0"/>
                <w:sz w:val="21"/>
              </w:rPr>
              <w:t>figures</w:t>
            </w:r>
            <w:r>
              <w:rPr>
                <w:rFonts w:ascii="Calibri Light" w:hAnsi="Calibri Light"/>
                <w:b w:val="0"/>
                <w:spacing w:val="-6"/>
                <w:sz w:val="21"/>
              </w:rPr>
              <w:t> </w:t>
            </w:r>
            <w:r>
              <w:rPr>
                <w:rFonts w:ascii="Calibri Light" w:hAnsi="Calibri Light"/>
                <w:b w:val="0"/>
                <w:sz w:val="21"/>
              </w:rPr>
              <w:t>for</w:t>
            </w:r>
            <w:r>
              <w:rPr>
                <w:rFonts w:ascii="Calibri Light" w:hAnsi="Calibri Light"/>
                <w:b w:val="0"/>
                <w:spacing w:val="-7"/>
                <w:sz w:val="21"/>
              </w:rPr>
              <w:t> </w:t>
            </w:r>
            <w:r>
              <w:rPr>
                <w:rFonts w:ascii="Calibri Light" w:hAnsi="Calibri Light"/>
                <w:b w:val="0"/>
                <w:sz w:val="21"/>
              </w:rPr>
              <w:t>each</w:t>
            </w:r>
            <w:r>
              <w:rPr>
                <w:rFonts w:ascii="Calibri Light" w:hAnsi="Calibri Light"/>
                <w:b w:val="0"/>
                <w:spacing w:val="-10"/>
                <w:sz w:val="21"/>
              </w:rPr>
              <w:t> </w:t>
            </w:r>
            <w:r>
              <w:rPr>
                <w:rFonts w:ascii="Calibri Light" w:hAnsi="Calibri Light"/>
                <w:b w:val="0"/>
                <w:sz w:val="21"/>
              </w:rPr>
              <w:t>component</w:t>
            </w:r>
            <w:r>
              <w:rPr>
                <w:rFonts w:ascii="Calibri Light" w:hAnsi="Calibri Light"/>
                <w:b w:val="0"/>
                <w:spacing w:val="-8"/>
                <w:sz w:val="21"/>
              </w:rPr>
              <w:t> </w:t>
            </w:r>
            <w:r>
              <w:rPr>
                <w:rFonts w:ascii="Calibri Light" w:hAnsi="Calibri Light"/>
                <w:b w:val="0"/>
                <w:sz w:val="21"/>
              </w:rPr>
              <w:t>of </w:t>
            </w:r>
            <w:r>
              <w:rPr>
                <w:rFonts w:ascii="Calibri Light" w:hAnsi="Calibri Light"/>
                <w:b w:val="0"/>
                <w:spacing w:val="-2"/>
                <w:sz w:val="21"/>
              </w:rPr>
              <w:t>standards</w:t>
            </w:r>
          </w:p>
        </w:tc>
      </w:tr>
      <w:tr>
        <w:trPr>
          <w:trHeight w:val="921"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43" w:type="dxa"/>
          </w:tcPr>
          <w:p>
            <w:pPr>
              <w:pStyle w:val="TableParagraph"/>
              <w:spacing w:before="7"/>
              <w:rPr>
                <w:sz w:val="16"/>
              </w:rPr>
            </w:pPr>
          </w:p>
          <w:p>
            <w:pPr>
              <w:pStyle w:val="TableParagraph"/>
              <w:ind w:left="709" w:hanging="601"/>
              <w:rPr>
                <w:rFonts w:ascii="Calibri Light"/>
                <w:b w:val="0"/>
                <w:sz w:val="21"/>
              </w:rPr>
            </w:pPr>
            <w:r>
              <w:rPr>
                <w:rFonts w:ascii="Calibri Light"/>
                <w:b w:val="0"/>
                <w:sz w:val="21"/>
              </w:rPr>
              <w:t>3.1.3</w:t>
            </w:r>
            <w:r>
              <w:rPr>
                <w:rFonts w:ascii="Calibri Light"/>
                <w:b w:val="0"/>
                <w:spacing w:val="80"/>
                <w:sz w:val="21"/>
              </w:rPr>
              <w:t> </w:t>
            </w:r>
            <w:r>
              <w:rPr>
                <w:rFonts w:ascii="Calibri Light"/>
                <w:b w:val="0"/>
                <w:sz w:val="21"/>
              </w:rPr>
              <w:t>MEHRD</w:t>
            </w:r>
            <w:r>
              <w:rPr>
                <w:rFonts w:ascii="Calibri Light"/>
                <w:b w:val="0"/>
                <w:spacing w:val="-2"/>
                <w:sz w:val="21"/>
              </w:rPr>
              <w:t> </w:t>
            </w:r>
            <w:r>
              <w:rPr>
                <w:rFonts w:ascii="Calibri Light"/>
                <w:b w:val="0"/>
                <w:sz w:val="21"/>
              </w:rPr>
              <w:t>implements</w:t>
            </w:r>
            <w:r>
              <w:rPr>
                <w:rFonts w:ascii="Calibri Light"/>
                <w:b w:val="0"/>
                <w:spacing w:val="-3"/>
                <w:sz w:val="21"/>
              </w:rPr>
              <w:t> </w:t>
            </w:r>
            <w:r>
              <w:rPr>
                <w:rFonts w:ascii="Calibri Light"/>
                <w:b w:val="0"/>
                <w:sz w:val="21"/>
              </w:rPr>
              <w:t>programs</w:t>
            </w:r>
            <w:r>
              <w:rPr>
                <w:rFonts w:ascii="Calibri Light"/>
                <w:b w:val="0"/>
                <w:spacing w:val="-3"/>
                <w:sz w:val="21"/>
              </w:rPr>
              <w:t> </w:t>
            </w:r>
            <w:r>
              <w:rPr>
                <w:rFonts w:ascii="Calibri Light"/>
                <w:b w:val="0"/>
                <w:sz w:val="21"/>
              </w:rPr>
              <w:t>or</w:t>
            </w:r>
            <w:r>
              <w:rPr>
                <w:rFonts w:ascii="Calibri Light"/>
                <w:b w:val="0"/>
                <w:spacing w:val="-9"/>
                <w:sz w:val="21"/>
              </w:rPr>
              <w:t> </w:t>
            </w:r>
            <w:r>
              <w:rPr>
                <w:rFonts w:ascii="Calibri Light"/>
                <w:b w:val="0"/>
                <w:sz w:val="21"/>
              </w:rPr>
              <w:t>activities</w:t>
            </w:r>
            <w:r>
              <w:rPr>
                <w:rFonts w:ascii="Calibri Light"/>
                <w:b w:val="0"/>
                <w:spacing w:val="-3"/>
                <w:sz w:val="21"/>
              </w:rPr>
              <w:t> </w:t>
            </w:r>
            <w:r>
              <w:rPr>
                <w:rFonts w:ascii="Calibri Light"/>
                <w:b w:val="0"/>
                <w:sz w:val="21"/>
              </w:rPr>
              <w:t>to</w:t>
            </w:r>
            <w:r>
              <w:rPr>
                <w:rFonts w:ascii="Calibri Light"/>
                <w:b w:val="0"/>
                <w:spacing w:val="-3"/>
                <w:sz w:val="21"/>
              </w:rPr>
              <w:t> </w:t>
            </w:r>
            <w:r>
              <w:rPr>
                <w:rFonts w:ascii="Calibri Light"/>
                <w:b w:val="0"/>
                <w:sz w:val="21"/>
              </w:rPr>
              <w:t>improve</w:t>
            </w:r>
            <w:r>
              <w:rPr>
                <w:rFonts w:ascii="Calibri Light"/>
                <w:b w:val="0"/>
                <w:spacing w:val="-2"/>
                <w:sz w:val="21"/>
              </w:rPr>
              <w:t> </w:t>
            </w:r>
            <w:r>
              <w:rPr>
                <w:rFonts w:ascii="Calibri Light"/>
                <w:b w:val="0"/>
                <w:sz w:val="21"/>
              </w:rPr>
              <w:t>the management capability of Education Authorities.</w:t>
            </w:r>
          </w:p>
        </w:tc>
        <w:tc>
          <w:tcPr>
            <w:tcW w:w="4017" w:type="dxa"/>
          </w:tcPr>
          <w:p>
            <w:pPr>
              <w:pStyle w:val="TableParagraph"/>
              <w:numPr>
                <w:ilvl w:val="0"/>
                <w:numId w:val="26"/>
              </w:numPr>
              <w:tabs>
                <w:tab w:pos="379" w:val="left" w:leader="none"/>
              </w:tabs>
              <w:spacing w:line="240" w:lineRule="auto" w:before="57" w:after="0"/>
              <w:ind w:left="378" w:right="0"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1"/>
                <w:sz w:val="21"/>
              </w:rPr>
              <w:t> </w:t>
            </w:r>
            <w:r>
              <w:rPr>
                <w:rFonts w:ascii="Calibri Light" w:hAnsi="Calibri Light"/>
                <w:b w:val="0"/>
                <w:spacing w:val="-2"/>
                <w:sz w:val="21"/>
              </w:rPr>
              <w:t>programs</w:t>
            </w:r>
          </w:p>
          <w:p>
            <w:pPr>
              <w:pStyle w:val="TableParagraph"/>
              <w:numPr>
                <w:ilvl w:val="0"/>
                <w:numId w:val="26"/>
              </w:numPr>
              <w:tabs>
                <w:tab w:pos="379" w:val="left" w:leader="none"/>
              </w:tabs>
              <w:spacing w:line="266" w:lineRule="exact" w:before="2" w:after="0"/>
              <w:ind w:left="378" w:right="0" w:hanging="274"/>
              <w:jc w:val="left"/>
              <w:rPr>
                <w:rFonts w:ascii="Calibri Light" w:hAnsi="Calibri Light"/>
                <w:b w:val="0"/>
                <w:sz w:val="21"/>
              </w:rPr>
            </w:pPr>
            <w:r>
              <w:rPr>
                <w:rFonts w:ascii="Calibri Light" w:hAnsi="Calibri Light"/>
                <w:b w:val="0"/>
                <w:sz w:val="21"/>
              </w:rPr>
              <w:t>Program</w:t>
            </w:r>
            <w:r>
              <w:rPr>
                <w:rFonts w:ascii="Calibri Light" w:hAnsi="Calibri Light"/>
                <w:b w:val="0"/>
                <w:spacing w:val="-12"/>
                <w:sz w:val="21"/>
              </w:rPr>
              <w:t> </w:t>
            </w:r>
            <w:r>
              <w:rPr>
                <w:rFonts w:ascii="Calibri Light" w:hAnsi="Calibri Light"/>
                <w:b w:val="0"/>
                <w:sz w:val="21"/>
              </w:rPr>
              <w:t>implementation</w:t>
            </w:r>
            <w:r>
              <w:rPr>
                <w:rFonts w:ascii="Calibri Light" w:hAnsi="Calibri Light"/>
                <w:b w:val="0"/>
                <w:spacing w:val="-7"/>
                <w:sz w:val="21"/>
              </w:rPr>
              <w:t> </w:t>
            </w:r>
            <w:r>
              <w:rPr>
                <w:rFonts w:ascii="Calibri Light" w:hAnsi="Calibri Light"/>
                <w:b w:val="0"/>
                <w:spacing w:val="-2"/>
                <w:sz w:val="21"/>
              </w:rPr>
              <w:t>records</w:t>
            </w:r>
          </w:p>
          <w:p>
            <w:pPr>
              <w:pStyle w:val="TableParagraph"/>
              <w:numPr>
                <w:ilvl w:val="0"/>
                <w:numId w:val="26"/>
              </w:numPr>
              <w:tabs>
                <w:tab w:pos="379" w:val="left" w:leader="none"/>
              </w:tabs>
              <w:spacing w:line="266" w:lineRule="exact" w:before="0" w:after="0"/>
              <w:ind w:left="378" w:right="0" w:hanging="274"/>
              <w:jc w:val="left"/>
              <w:rPr>
                <w:rFonts w:ascii="Calibri Light" w:hAnsi="Calibri Light"/>
                <w:b w:val="0"/>
                <w:sz w:val="21"/>
              </w:rPr>
            </w:pPr>
            <w:r>
              <w:rPr>
                <w:rFonts w:ascii="Calibri Light" w:hAnsi="Calibri Light"/>
                <w:b w:val="0"/>
                <w:sz w:val="21"/>
              </w:rPr>
              <w:t>Participation</w:t>
            </w:r>
            <w:r>
              <w:rPr>
                <w:rFonts w:ascii="Calibri Light" w:hAnsi="Calibri Light"/>
                <w:b w:val="0"/>
                <w:spacing w:val="-7"/>
                <w:sz w:val="21"/>
              </w:rPr>
              <w:t> </w:t>
            </w:r>
            <w:r>
              <w:rPr>
                <w:rFonts w:ascii="Calibri Light" w:hAnsi="Calibri Light"/>
                <w:b w:val="0"/>
                <w:spacing w:val="-2"/>
                <w:sz w:val="21"/>
              </w:rPr>
              <w:t>records</w:t>
            </w:r>
          </w:p>
        </w:tc>
      </w:tr>
      <w:tr>
        <w:trPr>
          <w:trHeight w:val="652" w:hRule="atLeast"/>
        </w:trPr>
        <w:tc>
          <w:tcPr>
            <w:tcW w:w="562" w:type="dxa"/>
            <w:vMerge w:val="restart"/>
          </w:tcPr>
          <w:p>
            <w:pPr>
              <w:pStyle w:val="TableParagraph"/>
              <w:rPr>
                <w:sz w:val="20"/>
              </w:rPr>
            </w:pPr>
          </w:p>
          <w:p>
            <w:pPr>
              <w:pStyle w:val="TableParagraph"/>
              <w:spacing w:before="11"/>
              <w:rPr>
                <w:sz w:val="22"/>
              </w:rPr>
            </w:pPr>
          </w:p>
          <w:p>
            <w:pPr>
              <w:pStyle w:val="TableParagraph"/>
              <w:spacing w:before="1"/>
              <w:ind w:left="110"/>
              <w:rPr>
                <w:rFonts w:ascii="Calibri Light"/>
                <w:b w:val="0"/>
                <w:sz w:val="21"/>
              </w:rPr>
            </w:pPr>
            <w:r>
              <w:rPr>
                <w:rFonts w:ascii="Calibri Light"/>
                <w:b w:val="0"/>
                <w:spacing w:val="-5"/>
                <w:sz w:val="21"/>
              </w:rPr>
              <w:t>3.2</w:t>
            </w:r>
          </w:p>
        </w:tc>
        <w:tc>
          <w:tcPr>
            <w:tcW w:w="3077" w:type="dxa"/>
            <w:vMerge w:val="restart"/>
          </w:tcPr>
          <w:p>
            <w:pPr>
              <w:pStyle w:val="TableParagraph"/>
              <w:spacing w:before="6"/>
              <w:rPr>
                <w:sz w:val="22"/>
              </w:rPr>
            </w:pPr>
          </w:p>
          <w:p>
            <w:pPr>
              <w:pStyle w:val="TableParagraph"/>
              <w:ind w:left="104"/>
              <w:rPr>
                <w:rFonts w:ascii="Calibri Light"/>
                <w:b w:val="0"/>
                <w:sz w:val="21"/>
              </w:rPr>
            </w:pPr>
            <w:r>
              <w:rPr>
                <w:rFonts w:ascii="Calibri Light"/>
                <w:b w:val="0"/>
                <w:sz w:val="21"/>
              </w:rPr>
              <w:t>NEAP M&amp;E Framework is developed</w:t>
            </w:r>
            <w:r>
              <w:rPr>
                <w:rFonts w:ascii="Calibri Light"/>
                <w:b w:val="0"/>
                <w:spacing w:val="-12"/>
                <w:sz w:val="21"/>
              </w:rPr>
              <w:t> </w:t>
            </w:r>
            <w:r>
              <w:rPr>
                <w:rFonts w:ascii="Calibri Light"/>
                <w:b w:val="0"/>
                <w:sz w:val="21"/>
              </w:rPr>
              <w:t>and</w:t>
            </w:r>
            <w:r>
              <w:rPr>
                <w:rFonts w:ascii="Calibri Light"/>
                <w:b w:val="0"/>
                <w:spacing w:val="-12"/>
                <w:sz w:val="21"/>
              </w:rPr>
              <w:t> </w:t>
            </w:r>
            <w:r>
              <w:rPr>
                <w:rFonts w:ascii="Calibri Light"/>
                <w:b w:val="0"/>
                <w:sz w:val="21"/>
              </w:rPr>
              <w:t>implemented,</w:t>
            </w:r>
            <w:r>
              <w:rPr>
                <w:rFonts w:ascii="Calibri Light"/>
                <w:b w:val="0"/>
                <w:spacing w:val="-8"/>
                <w:sz w:val="21"/>
              </w:rPr>
              <w:t> </w:t>
            </w:r>
            <w:r>
              <w:rPr>
                <w:rFonts w:ascii="Calibri Light"/>
                <w:b w:val="0"/>
                <w:sz w:val="21"/>
              </w:rPr>
              <w:t>and data are analysed.</w:t>
            </w:r>
          </w:p>
        </w:tc>
        <w:tc>
          <w:tcPr>
            <w:tcW w:w="6043" w:type="dxa"/>
          </w:tcPr>
          <w:p>
            <w:pPr>
              <w:pStyle w:val="TableParagraph"/>
              <w:spacing w:before="54"/>
              <w:ind w:left="109"/>
              <w:rPr>
                <w:rFonts w:ascii="Calibri Light"/>
                <w:b w:val="0"/>
                <w:sz w:val="21"/>
              </w:rPr>
            </w:pPr>
            <w:r>
              <w:rPr>
                <w:rFonts w:ascii="Calibri Light"/>
                <w:b w:val="0"/>
                <w:sz w:val="21"/>
              </w:rPr>
              <w:t>3.2.1</w:t>
            </w:r>
            <w:r>
              <w:rPr>
                <w:rFonts w:ascii="Calibri Light"/>
                <w:b w:val="0"/>
                <w:spacing w:val="35"/>
                <w:sz w:val="21"/>
              </w:rPr>
              <w:t>  </w:t>
            </w:r>
            <w:r>
              <w:rPr>
                <w:rFonts w:ascii="Calibri Light"/>
                <w:b w:val="0"/>
                <w:sz w:val="21"/>
              </w:rPr>
              <w:t>M&amp;E</w:t>
            </w:r>
            <w:r>
              <w:rPr>
                <w:rFonts w:ascii="Calibri Light"/>
                <w:b w:val="0"/>
                <w:spacing w:val="-1"/>
                <w:sz w:val="21"/>
              </w:rPr>
              <w:t> </w:t>
            </w:r>
            <w:r>
              <w:rPr>
                <w:rFonts w:ascii="Calibri Light"/>
                <w:b w:val="0"/>
                <w:sz w:val="21"/>
              </w:rPr>
              <w:t>Framework</w:t>
            </w:r>
            <w:r>
              <w:rPr>
                <w:rFonts w:ascii="Calibri Light"/>
                <w:b w:val="0"/>
                <w:spacing w:val="-5"/>
                <w:sz w:val="21"/>
              </w:rPr>
              <w:t> </w:t>
            </w:r>
            <w:r>
              <w:rPr>
                <w:rFonts w:ascii="Calibri Light"/>
                <w:b w:val="0"/>
                <w:sz w:val="21"/>
              </w:rPr>
              <w:t>is</w:t>
            </w:r>
            <w:r>
              <w:rPr>
                <w:rFonts w:ascii="Calibri Light"/>
                <w:b w:val="0"/>
                <w:spacing w:val="-8"/>
                <w:sz w:val="21"/>
              </w:rPr>
              <w:t> </w:t>
            </w:r>
            <w:r>
              <w:rPr>
                <w:rFonts w:ascii="Calibri Light"/>
                <w:b w:val="0"/>
                <w:sz w:val="21"/>
              </w:rPr>
              <w:t>approved</w:t>
            </w:r>
            <w:r>
              <w:rPr>
                <w:rFonts w:ascii="Calibri Light"/>
                <w:b w:val="0"/>
                <w:spacing w:val="-2"/>
                <w:sz w:val="21"/>
              </w:rPr>
              <w:t> </w:t>
            </w:r>
            <w:r>
              <w:rPr>
                <w:rFonts w:ascii="Calibri Light"/>
                <w:b w:val="0"/>
                <w:sz w:val="21"/>
              </w:rPr>
              <w:t>by</w:t>
            </w:r>
            <w:r>
              <w:rPr>
                <w:rFonts w:ascii="Calibri Light"/>
                <w:b w:val="0"/>
                <w:spacing w:val="-4"/>
                <w:sz w:val="21"/>
              </w:rPr>
              <w:t> </w:t>
            </w:r>
            <w:r>
              <w:rPr>
                <w:rFonts w:ascii="Calibri Light"/>
                <w:b w:val="0"/>
                <w:sz w:val="21"/>
              </w:rPr>
              <w:t>Permanent</w:t>
            </w:r>
            <w:r>
              <w:rPr>
                <w:rFonts w:ascii="Calibri Light"/>
                <w:b w:val="0"/>
                <w:spacing w:val="-5"/>
                <w:sz w:val="21"/>
              </w:rPr>
              <w:t> </w:t>
            </w:r>
            <w:r>
              <w:rPr>
                <w:rFonts w:ascii="Calibri Light"/>
                <w:b w:val="0"/>
                <w:spacing w:val="-2"/>
                <w:sz w:val="21"/>
              </w:rPr>
              <w:t>Secretary.</w:t>
            </w:r>
          </w:p>
        </w:tc>
        <w:tc>
          <w:tcPr>
            <w:tcW w:w="4017" w:type="dxa"/>
          </w:tcPr>
          <w:p>
            <w:pPr>
              <w:pStyle w:val="TableParagraph"/>
              <w:numPr>
                <w:ilvl w:val="0"/>
                <w:numId w:val="27"/>
              </w:numPr>
              <w:tabs>
                <w:tab w:pos="379" w:val="left" w:leader="none"/>
              </w:tabs>
              <w:spacing w:line="266" w:lineRule="exact" w:before="57" w:after="0"/>
              <w:ind w:left="378" w:right="0" w:hanging="275"/>
              <w:jc w:val="left"/>
              <w:rPr>
                <w:rFonts w:ascii="Calibri Light" w:hAnsi="Calibri Light"/>
                <w:b w:val="0"/>
                <w:sz w:val="21"/>
              </w:rPr>
            </w:pPr>
            <w:r>
              <w:rPr>
                <w:rFonts w:ascii="Calibri Light" w:hAnsi="Calibri Light"/>
                <w:b w:val="0"/>
                <w:sz w:val="21"/>
              </w:rPr>
              <w:t>Copy</w:t>
            </w:r>
            <w:r>
              <w:rPr>
                <w:rFonts w:ascii="Calibri Light" w:hAnsi="Calibri Light"/>
                <w:b w:val="0"/>
                <w:spacing w:val="-3"/>
                <w:sz w:val="21"/>
              </w:rPr>
              <w:t> </w:t>
            </w:r>
            <w:r>
              <w:rPr>
                <w:rFonts w:ascii="Calibri Light" w:hAnsi="Calibri Light"/>
                <w:b w:val="0"/>
                <w:sz w:val="21"/>
              </w:rPr>
              <w:t>of</w:t>
            </w:r>
            <w:r>
              <w:rPr>
                <w:rFonts w:ascii="Calibri Light" w:hAnsi="Calibri Light"/>
                <w:b w:val="0"/>
                <w:spacing w:val="-2"/>
                <w:sz w:val="21"/>
              </w:rPr>
              <w:t> </w:t>
            </w:r>
            <w:r>
              <w:rPr>
                <w:rFonts w:ascii="Calibri Light" w:hAnsi="Calibri Light"/>
                <w:b w:val="0"/>
                <w:sz w:val="21"/>
              </w:rPr>
              <w:t>M&amp;E</w:t>
            </w:r>
            <w:r>
              <w:rPr>
                <w:rFonts w:ascii="Calibri Light" w:hAnsi="Calibri Light"/>
                <w:b w:val="0"/>
                <w:spacing w:val="-2"/>
                <w:sz w:val="21"/>
              </w:rPr>
              <w:t> Framework</w:t>
            </w:r>
          </w:p>
          <w:p>
            <w:pPr>
              <w:pStyle w:val="TableParagraph"/>
              <w:numPr>
                <w:ilvl w:val="0"/>
                <w:numId w:val="27"/>
              </w:numPr>
              <w:tabs>
                <w:tab w:pos="379" w:val="left" w:leader="none"/>
              </w:tabs>
              <w:spacing w:line="266" w:lineRule="exact" w:before="0" w:after="0"/>
              <w:ind w:left="378" w:right="0" w:hanging="274"/>
              <w:jc w:val="left"/>
              <w:rPr>
                <w:rFonts w:ascii="Calibri Light" w:hAnsi="Calibri Light"/>
                <w:b w:val="0"/>
                <w:sz w:val="21"/>
              </w:rPr>
            </w:pPr>
            <w:r>
              <w:rPr>
                <w:rFonts w:ascii="Calibri Light" w:hAnsi="Calibri Light"/>
                <w:b w:val="0"/>
                <w:sz w:val="21"/>
              </w:rPr>
              <w:t>Minute</w:t>
            </w:r>
            <w:r>
              <w:rPr>
                <w:rFonts w:ascii="Calibri Light" w:hAnsi="Calibri Light"/>
                <w:b w:val="0"/>
                <w:spacing w:val="-1"/>
                <w:sz w:val="21"/>
              </w:rPr>
              <w:t> </w:t>
            </w:r>
            <w:r>
              <w:rPr>
                <w:rFonts w:ascii="Calibri Light" w:hAnsi="Calibri Light"/>
                <w:b w:val="0"/>
                <w:sz w:val="21"/>
              </w:rPr>
              <w:t>of</w:t>
            </w:r>
            <w:r>
              <w:rPr>
                <w:rFonts w:ascii="Calibri Light" w:hAnsi="Calibri Light"/>
                <w:b w:val="0"/>
                <w:spacing w:val="-3"/>
                <w:sz w:val="21"/>
              </w:rPr>
              <w:t> </w:t>
            </w:r>
            <w:r>
              <w:rPr>
                <w:rFonts w:ascii="Calibri Light" w:hAnsi="Calibri Light"/>
                <w:b w:val="0"/>
                <w:sz w:val="21"/>
              </w:rPr>
              <w:t>PS</w:t>
            </w:r>
            <w:r>
              <w:rPr>
                <w:rFonts w:ascii="Calibri Light" w:hAnsi="Calibri Light"/>
                <w:b w:val="0"/>
                <w:spacing w:val="-5"/>
                <w:sz w:val="21"/>
              </w:rPr>
              <w:t> </w:t>
            </w:r>
            <w:r>
              <w:rPr>
                <w:rFonts w:ascii="Calibri Light" w:hAnsi="Calibri Light"/>
                <w:b w:val="0"/>
                <w:spacing w:val="-2"/>
                <w:sz w:val="21"/>
              </w:rPr>
              <w:t>approval</w:t>
            </w:r>
          </w:p>
        </w:tc>
      </w:tr>
      <w:tr>
        <w:trPr>
          <w:trHeight w:val="657"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43" w:type="dxa"/>
          </w:tcPr>
          <w:p>
            <w:pPr>
              <w:pStyle w:val="TableParagraph"/>
              <w:spacing w:before="59"/>
              <w:ind w:left="109"/>
              <w:rPr>
                <w:rFonts w:ascii="Calibri Light"/>
                <w:b w:val="0"/>
                <w:sz w:val="21"/>
              </w:rPr>
            </w:pPr>
            <w:r>
              <w:rPr>
                <w:rFonts w:ascii="Calibri Light"/>
                <w:b w:val="0"/>
                <w:sz w:val="21"/>
              </w:rPr>
              <w:t>3.2.2</w:t>
            </w:r>
            <w:r>
              <w:rPr>
                <w:rFonts w:ascii="Calibri Light"/>
                <w:b w:val="0"/>
                <w:spacing w:val="37"/>
                <w:sz w:val="21"/>
              </w:rPr>
              <w:t>  </w:t>
            </w:r>
            <w:r>
              <w:rPr>
                <w:rFonts w:ascii="Calibri Light"/>
                <w:b w:val="0"/>
                <w:sz w:val="21"/>
              </w:rPr>
              <w:t>M&amp;E data</w:t>
            </w:r>
            <w:r>
              <w:rPr>
                <w:rFonts w:ascii="Calibri Light"/>
                <w:b w:val="0"/>
                <w:spacing w:val="-4"/>
                <w:sz w:val="21"/>
              </w:rPr>
              <w:t> </w:t>
            </w:r>
            <w:r>
              <w:rPr>
                <w:rFonts w:ascii="Calibri Light"/>
                <w:b w:val="0"/>
                <w:sz w:val="21"/>
              </w:rPr>
              <w:t>are</w:t>
            </w:r>
            <w:r>
              <w:rPr>
                <w:rFonts w:ascii="Calibri Light"/>
                <w:b w:val="0"/>
                <w:spacing w:val="-6"/>
                <w:sz w:val="21"/>
              </w:rPr>
              <w:t> </w:t>
            </w:r>
            <w:r>
              <w:rPr>
                <w:rFonts w:ascii="Calibri Light"/>
                <w:b w:val="0"/>
                <w:sz w:val="21"/>
              </w:rPr>
              <w:t>collected</w:t>
            </w:r>
            <w:r>
              <w:rPr>
                <w:rFonts w:ascii="Calibri Light"/>
                <w:b w:val="0"/>
                <w:spacing w:val="-5"/>
                <w:sz w:val="21"/>
              </w:rPr>
              <w:t> </w:t>
            </w:r>
            <w:r>
              <w:rPr>
                <w:rFonts w:ascii="Calibri Light"/>
                <w:b w:val="0"/>
                <w:sz w:val="21"/>
              </w:rPr>
              <w:t>and</w:t>
            </w:r>
            <w:r>
              <w:rPr>
                <w:rFonts w:ascii="Calibri Light"/>
                <w:b w:val="0"/>
                <w:spacing w:val="-1"/>
                <w:sz w:val="21"/>
              </w:rPr>
              <w:t> </w:t>
            </w:r>
            <w:r>
              <w:rPr>
                <w:rFonts w:ascii="Calibri Light"/>
                <w:b w:val="0"/>
                <w:spacing w:val="-2"/>
                <w:sz w:val="21"/>
              </w:rPr>
              <w:t>analysed.</w:t>
            </w:r>
          </w:p>
        </w:tc>
        <w:tc>
          <w:tcPr>
            <w:tcW w:w="4017" w:type="dxa"/>
          </w:tcPr>
          <w:p>
            <w:pPr>
              <w:pStyle w:val="TableParagraph"/>
              <w:numPr>
                <w:ilvl w:val="0"/>
                <w:numId w:val="28"/>
              </w:numPr>
              <w:tabs>
                <w:tab w:pos="379" w:val="left" w:leader="none"/>
              </w:tabs>
              <w:spacing w:line="266" w:lineRule="exact" w:before="62" w:after="0"/>
              <w:ind w:left="378" w:right="0" w:hanging="274"/>
              <w:jc w:val="left"/>
              <w:rPr>
                <w:rFonts w:ascii="Calibri Light" w:hAnsi="Calibri Light"/>
                <w:b w:val="0"/>
                <w:sz w:val="21"/>
              </w:rPr>
            </w:pPr>
            <w:r>
              <w:rPr>
                <w:rFonts w:ascii="Calibri Light" w:hAnsi="Calibri Light"/>
                <w:b w:val="0"/>
                <w:sz w:val="21"/>
              </w:rPr>
              <w:t>Record</w:t>
            </w:r>
            <w:r>
              <w:rPr>
                <w:rFonts w:ascii="Calibri Light" w:hAnsi="Calibri Light"/>
                <w:b w:val="0"/>
                <w:spacing w:val="-3"/>
                <w:sz w:val="21"/>
              </w:rPr>
              <w:t> </w:t>
            </w:r>
            <w:r>
              <w:rPr>
                <w:rFonts w:ascii="Calibri Light" w:hAnsi="Calibri Light"/>
                <w:b w:val="0"/>
                <w:sz w:val="21"/>
              </w:rPr>
              <w:t>of</w:t>
            </w:r>
            <w:r>
              <w:rPr>
                <w:rFonts w:ascii="Calibri Light" w:hAnsi="Calibri Light"/>
                <w:b w:val="0"/>
                <w:spacing w:val="-1"/>
                <w:sz w:val="21"/>
              </w:rPr>
              <w:t> </w:t>
            </w:r>
            <w:r>
              <w:rPr>
                <w:rFonts w:ascii="Calibri Light" w:hAnsi="Calibri Light"/>
                <w:b w:val="0"/>
                <w:spacing w:val="-4"/>
                <w:sz w:val="21"/>
              </w:rPr>
              <w:t>data</w:t>
            </w:r>
          </w:p>
          <w:p>
            <w:pPr>
              <w:pStyle w:val="TableParagraph"/>
              <w:numPr>
                <w:ilvl w:val="0"/>
                <w:numId w:val="28"/>
              </w:numPr>
              <w:tabs>
                <w:tab w:pos="379" w:val="left" w:leader="none"/>
              </w:tabs>
              <w:spacing w:line="266" w:lineRule="exact" w:before="0" w:after="0"/>
              <w:ind w:left="378" w:right="0" w:hanging="274"/>
              <w:jc w:val="left"/>
              <w:rPr>
                <w:rFonts w:ascii="Calibri Light" w:hAnsi="Calibri Light"/>
                <w:b w:val="0"/>
                <w:sz w:val="21"/>
              </w:rPr>
            </w:pPr>
            <w:r>
              <w:rPr>
                <w:rFonts w:ascii="Calibri Light" w:hAnsi="Calibri Light"/>
                <w:b w:val="0"/>
                <w:sz w:val="21"/>
              </w:rPr>
              <w:t>Report</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3"/>
                <w:sz w:val="21"/>
              </w:rPr>
              <w:t> </w:t>
            </w:r>
            <w:r>
              <w:rPr>
                <w:rFonts w:ascii="Calibri Light" w:hAnsi="Calibri Light"/>
                <w:b w:val="0"/>
                <w:sz w:val="21"/>
              </w:rPr>
              <w:t>data</w:t>
            </w:r>
            <w:r>
              <w:rPr>
                <w:rFonts w:ascii="Calibri Light" w:hAnsi="Calibri Light"/>
                <w:b w:val="0"/>
                <w:spacing w:val="-4"/>
                <w:sz w:val="21"/>
              </w:rPr>
              <w:t> </w:t>
            </w:r>
            <w:r>
              <w:rPr>
                <w:rFonts w:ascii="Calibri Light" w:hAnsi="Calibri Light"/>
                <w:b w:val="0"/>
                <w:spacing w:val="-2"/>
                <w:sz w:val="21"/>
              </w:rPr>
              <w:t>analysis</w:t>
            </w:r>
          </w:p>
        </w:tc>
      </w:tr>
      <w:tr>
        <w:trPr>
          <w:trHeight w:val="642" w:hRule="atLeast"/>
        </w:trPr>
        <w:tc>
          <w:tcPr>
            <w:tcW w:w="562" w:type="dxa"/>
            <w:vMerge w:val="restart"/>
          </w:tcPr>
          <w:p>
            <w:pPr>
              <w:pStyle w:val="TableParagraph"/>
              <w:rPr>
                <w:sz w:val="20"/>
              </w:rPr>
            </w:pPr>
          </w:p>
          <w:p>
            <w:pPr>
              <w:pStyle w:val="TableParagraph"/>
              <w:spacing w:before="2"/>
              <w:rPr>
                <w:sz w:val="22"/>
              </w:rPr>
            </w:pPr>
          </w:p>
          <w:p>
            <w:pPr>
              <w:pStyle w:val="TableParagraph"/>
              <w:ind w:left="110"/>
              <w:rPr>
                <w:rFonts w:ascii="Calibri Light"/>
                <w:b w:val="0"/>
                <w:sz w:val="21"/>
              </w:rPr>
            </w:pPr>
            <w:r>
              <w:rPr>
                <w:rFonts w:ascii="Calibri Light"/>
                <w:b w:val="0"/>
                <w:spacing w:val="-5"/>
                <w:sz w:val="21"/>
              </w:rPr>
              <w:t>3.3</w:t>
            </w:r>
          </w:p>
        </w:tc>
        <w:tc>
          <w:tcPr>
            <w:tcW w:w="3077" w:type="dxa"/>
            <w:vMerge w:val="restart"/>
          </w:tcPr>
          <w:p>
            <w:pPr>
              <w:pStyle w:val="TableParagraph"/>
              <w:spacing w:before="136"/>
              <w:ind w:left="104" w:right="128"/>
              <w:rPr>
                <w:rFonts w:ascii="Calibri Light"/>
                <w:b w:val="0"/>
                <w:sz w:val="21"/>
              </w:rPr>
            </w:pPr>
            <w:r>
              <w:rPr>
                <w:rFonts w:ascii="Calibri Light"/>
                <w:b w:val="0"/>
                <w:sz w:val="21"/>
              </w:rPr>
              <w:t>NEAP</w:t>
            </w:r>
            <w:r>
              <w:rPr>
                <w:rFonts w:ascii="Calibri Light"/>
                <w:b w:val="0"/>
                <w:spacing w:val="-8"/>
                <w:sz w:val="21"/>
              </w:rPr>
              <w:t> </w:t>
            </w:r>
            <w:r>
              <w:rPr>
                <w:rFonts w:ascii="Calibri Light"/>
                <w:b w:val="0"/>
                <w:sz w:val="21"/>
              </w:rPr>
              <w:t>M&amp;E</w:t>
            </w:r>
            <w:r>
              <w:rPr>
                <w:rFonts w:ascii="Calibri Light"/>
                <w:b w:val="0"/>
                <w:spacing w:val="-8"/>
                <w:sz w:val="21"/>
              </w:rPr>
              <w:t> </w:t>
            </w:r>
            <w:r>
              <w:rPr>
                <w:rFonts w:ascii="Calibri Light"/>
                <w:b w:val="0"/>
                <w:sz w:val="21"/>
              </w:rPr>
              <w:t>data</w:t>
            </w:r>
            <w:r>
              <w:rPr>
                <w:rFonts w:ascii="Calibri Light"/>
                <w:b w:val="0"/>
                <w:spacing w:val="-9"/>
                <w:sz w:val="21"/>
              </w:rPr>
              <w:t> </w:t>
            </w:r>
            <w:r>
              <w:rPr>
                <w:rFonts w:ascii="Calibri Light"/>
                <w:b w:val="0"/>
                <w:sz w:val="21"/>
              </w:rPr>
              <w:t>are</w:t>
            </w:r>
            <w:r>
              <w:rPr>
                <w:rFonts w:ascii="Calibri Light"/>
                <w:b w:val="0"/>
                <w:spacing w:val="-5"/>
                <w:sz w:val="21"/>
              </w:rPr>
              <w:t> </w:t>
            </w:r>
            <w:r>
              <w:rPr>
                <w:rFonts w:ascii="Calibri Light"/>
                <w:b w:val="0"/>
                <w:sz w:val="21"/>
              </w:rPr>
              <w:t>analysed</w:t>
            </w:r>
            <w:r>
              <w:rPr>
                <w:rFonts w:ascii="Calibri Light"/>
                <w:b w:val="0"/>
                <w:spacing w:val="-5"/>
                <w:sz w:val="21"/>
              </w:rPr>
              <w:t> </w:t>
            </w:r>
            <w:r>
              <w:rPr>
                <w:rFonts w:ascii="Calibri Light"/>
                <w:b w:val="0"/>
                <w:sz w:val="21"/>
              </w:rPr>
              <w:t>and reported, and used for planning and policy development </w:t>
            </w:r>
            <w:r>
              <w:rPr>
                <w:rFonts w:ascii="Calibri Light"/>
                <w:b w:val="0"/>
                <w:spacing w:val="-2"/>
                <w:sz w:val="21"/>
              </w:rPr>
              <w:t>purposes.</w:t>
            </w:r>
          </w:p>
        </w:tc>
        <w:tc>
          <w:tcPr>
            <w:tcW w:w="6043" w:type="dxa"/>
          </w:tcPr>
          <w:p>
            <w:pPr>
              <w:pStyle w:val="TableParagraph"/>
              <w:spacing w:before="59"/>
              <w:ind w:left="709" w:hanging="601"/>
              <w:rPr>
                <w:rFonts w:ascii="Calibri Light"/>
                <w:b w:val="0"/>
                <w:sz w:val="21"/>
              </w:rPr>
            </w:pPr>
            <w:r>
              <w:rPr>
                <w:rFonts w:ascii="Calibri Light"/>
                <w:b w:val="0"/>
                <w:sz w:val="21"/>
              </w:rPr>
              <w:t>3.3.3</w:t>
            </w:r>
            <w:r>
              <w:rPr>
                <w:rFonts w:ascii="Calibri Light"/>
                <w:b w:val="0"/>
                <w:spacing w:val="80"/>
                <w:w w:val="150"/>
                <w:sz w:val="21"/>
              </w:rPr>
              <w:t> </w:t>
            </w:r>
            <w:r>
              <w:rPr>
                <w:rFonts w:ascii="Calibri Light"/>
                <w:b w:val="0"/>
                <w:sz w:val="21"/>
              </w:rPr>
              <w:t>NEAP</w:t>
            </w:r>
            <w:r>
              <w:rPr>
                <w:rFonts w:ascii="Calibri Light"/>
                <w:b w:val="0"/>
                <w:spacing w:val="-4"/>
                <w:sz w:val="21"/>
              </w:rPr>
              <w:t> </w:t>
            </w:r>
            <w:r>
              <w:rPr>
                <w:rFonts w:ascii="Calibri Light"/>
                <w:b w:val="0"/>
                <w:sz w:val="21"/>
              </w:rPr>
              <w:t>M&amp;E</w:t>
            </w:r>
            <w:r>
              <w:rPr>
                <w:rFonts w:ascii="Calibri Light"/>
                <w:b w:val="0"/>
                <w:spacing w:val="-4"/>
                <w:sz w:val="21"/>
              </w:rPr>
              <w:t> </w:t>
            </w:r>
            <w:r>
              <w:rPr>
                <w:rFonts w:ascii="Calibri Light"/>
                <w:b w:val="0"/>
                <w:sz w:val="21"/>
              </w:rPr>
              <w:t>data</w:t>
            </w:r>
            <w:r>
              <w:rPr>
                <w:rFonts w:ascii="Calibri Light"/>
                <w:b w:val="0"/>
                <w:spacing w:val="-5"/>
                <w:sz w:val="21"/>
              </w:rPr>
              <w:t> </w:t>
            </w:r>
            <w:r>
              <w:rPr>
                <w:rFonts w:ascii="Calibri Light"/>
                <w:b w:val="0"/>
                <w:sz w:val="21"/>
              </w:rPr>
              <w:t>are</w:t>
            </w:r>
            <w:r>
              <w:rPr>
                <w:rFonts w:ascii="Calibri Light"/>
                <w:b w:val="0"/>
                <w:spacing w:val="-1"/>
                <w:sz w:val="21"/>
              </w:rPr>
              <w:t> </w:t>
            </w:r>
            <w:r>
              <w:rPr>
                <w:rFonts w:ascii="Calibri Light"/>
                <w:b w:val="0"/>
                <w:sz w:val="21"/>
              </w:rPr>
              <w:t>reported</w:t>
            </w:r>
            <w:r>
              <w:rPr>
                <w:rFonts w:ascii="Calibri Light"/>
                <w:b w:val="0"/>
                <w:spacing w:val="-6"/>
                <w:sz w:val="21"/>
              </w:rPr>
              <w:t> </w:t>
            </w:r>
            <w:r>
              <w:rPr>
                <w:rFonts w:ascii="Calibri Light"/>
                <w:b w:val="0"/>
                <w:sz w:val="21"/>
              </w:rPr>
              <w:t>in</w:t>
            </w:r>
            <w:r>
              <w:rPr>
                <w:rFonts w:ascii="Calibri Light"/>
                <w:b w:val="0"/>
                <w:spacing w:val="-1"/>
                <w:sz w:val="21"/>
              </w:rPr>
              <w:t> </w:t>
            </w:r>
            <w:r>
              <w:rPr>
                <w:rFonts w:ascii="Calibri Light"/>
                <w:b w:val="0"/>
                <w:sz w:val="21"/>
              </w:rPr>
              <w:t>the</w:t>
            </w:r>
            <w:r>
              <w:rPr>
                <w:rFonts w:ascii="Calibri Light"/>
                <w:b w:val="0"/>
                <w:spacing w:val="-1"/>
                <w:sz w:val="21"/>
              </w:rPr>
              <w:t> </w:t>
            </w:r>
            <w:r>
              <w:rPr>
                <w:rFonts w:ascii="Calibri Light"/>
                <w:b w:val="0"/>
                <w:sz w:val="21"/>
              </w:rPr>
              <w:t>2017</w:t>
            </w:r>
            <w:r>
              <w:rPr>
                <w:rFonts w:ascii="Calibri Light"/>
                <w:b w:val="0"/>
                <w:spacing w:val="-3"/>
                <w:sz w:val="21"/>
              </w:rPr>
              <w:t> </w:t>
            </w:r>
            <w:r>
              <w:rPr>
                <w:rFonts w:ascii="Calibri Light"/>
                <w:b w:val="0"/>
                <w:sz w:val="21"/>
              </w:rPr>
              <w:t>Performance Assessment Report</w:t>
            </w:r>
          </w:p>
        </w:tc>
        <w:tc>
          <w:tcPr>
            <w:tcW w:w="4017" w:type="dxa"/>
          </w:tcPr>
          <w:p>
            <w:pPr>
              <w:pStyle w:val="TableParagraph"/>
              <w:numPr>
                <w:ilvl w:val="0"/>
                <w:numId w:val="29"/>
              </w:numPr>
              <w:tabs>
                <w:tab w:pos="379" w:val="left" w:leader="none"/>
              </w:tabs>
              <w:spacing w:line="240" w:lineRule="auto" w:before="58" w:after="0"/>
              <w:ind w:left="378" w:right="321" w:hanging="274"/>
              <w:jc w:val="left"/>
              <w:rPr>
                <w:rFonts w:ascii="Calibri Light" w:hAnsi="Calibri Light"/>
                <w:b w:val="0"/>
                <w:sz w:val="21"/>
              </w:rPr>
            </w:pPr>
            <w:r>
              <w:rPr>
                <w:rFonts w:ascii="Calibri Light" w:hAnsi="Calibri Light"/>
                <w:b w:val="0"/>
                <w:sz w:val="21"/>
              </w:rPr>
              <w:t>Copy</w:t>
            </w:r>
            <w:r>
              <w:rPr>
                <w:rFonts w:ascii="Calibri Light" w:hAnsi="Calibri Light"/>
                <w:b w:val="0"/>
                <w:spacing w:val="-10"/>
                <w:sz w:val="21"/>
              </w:rPr>
              <w:t> </w:t>
            </w:r>
            <w:r>
              <w:rPr>
                <w:rFonts w:ascii="Calibri Light" w:hAnsi="Calibri Light"/>
                <w:b w:val="0"/>
                <w:sz w:val="21"/>
              </w:rPr>
              <w:t>of</w:t>
            </w:r>
            <w:r>
              <w:rPr>
                <w:rFonts w:ascii="Calibri Light" w:hAnsi="Calibri Light"/>
                <w:b w:val="0"/>
                <w:spacing w:val="-9"/>
                <w:sz w:val="21"/>
              </w:rPr>
              <w:t> </w:t>
            </w:r>
            <w:r>
              <w:rPr>
                <w:rFonts w:ascii="Calibri Light" w:hAnsi="Calibri Light"/>
                <w:b w:val="0"/>
                <w:sz w:val="21"/>
              </w:rPr>
              <w:t>2017</w:t>
            </w:r>
            <w:r>
              <w:rPr>
                <w:rFonts w:ascii="Calibri Light" w:hAnsi="Calibri Light"/>
                <w:b w:val="0"/>
                <w:spacing w:val="-9"/>
                <w:sz w:val="21"/>
              </w:rPr>
              <w:t> </w:t>
            </w:r>
            <w:r>
              <w:rPr>
                <w:rFonts w:ascii="Calibri Light" w:hAnsi="Calibri Light"/>
                <w:b w:val="0"/>
                <w:sz w:val="21"/>
              </w:rPr>
              <w:t>Performance</w:t>
            </w:r>
            <w:r>
              <w:rPr>
                <w:rFonts w:ascii="Calibri Light" w:hAnsi="Calibri Light"/>
                <w:b w:val="0"/>
                <w:spacing w:val="-7"/>
                <w:sz w:val="21"/>
              </w:rPr>
              <w:t> </w:t>
            </w:r>
            <w:r>
              <w:rPr>
                <w:rFonts w:ascii="Calibri Light" w:hAnsi="Calibri Light"/>
                <w:b w:val="0"/>
                <w:sz w:val="21"/>
              </w:rPr>
              <w:t>Assessment </w:t>
            </w:r>
            <w:r>
              <w:rPr>
                <w:rFonts w:ascii="Calibri Light" w:hAnsi="Calibri Light"/>
                <w:b w:val="0"/>
                <w:spacing w:val="-2"/>
                <w:sz w:val="21"/>
              </w:rPr>
              <w:t>Report</w:t>
            </w:r>
          </w:p>
        </w:tc>
      </w:tr>
      <w:tr>
        <w:trPr>
          <w:trHeight w:val="647"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43" w:type="dxa"/>
          </w:tcPr>
          <w:p>
            <w:pPr>
              <w:pStyle w:val="TableParagraph"/>
              <w:spacing w:before="59"/>
              <w:ind w:left="709" w:right="162" w:hanging="601"/>
              <w:rPr>
                <w:rFonts w:ascii="Calibri Light"/>
                <w:b w:val="0"/>
                <w:sz w:val="21"/>
              </w:rPr>
            </w:pPr>
            <w:r>
              <w:rPr>
                <w:rFonts w:ascii="Calibri Light"/>
                <w:b w:val="0"/>
                <w:sz w:val="21"/>
              </w:rPr>
              <w:t>3.2.4</w:t>
            </w:r>
            <w:r>
              <w:rPr>
                <w:rFonts w:ascii="Calibri Light"/>
                <w:b w:val="0"/>
                <w:spacing w:val="80"/>
                <w:w w:val="150"/>
                <w:sz w:val="21"/>
              </w:rPr>
              <w:t> </w:t>
            </w:r>
            <w:r>
              <w:rPr>
                <w:rFonts w:ascii="Calibri Light"/>
                <w:b w:val="0"/>
                <w:sz w:val="21"/>
              </w:rPr>
              <w:t>M&amp;E findings</w:t>
            </w:r>
            <w:r>
              <w:rPr>
                <w:rFonts w:ascii="Calibri Light"/>
                <w:b w:val="0"/>
                <w:spacing w:val="-7"/>
                <w:sz w:val="21"/>
              </w:rPr>
              <w:t> </w:t>
            </w:r>
            <w:r>
              <w:rPr>
                <w:rFonts w:ascii="Calibri Light"/>
                <w:b w:val="0"/>
                <w:sz w:val="21"/>
              </w:rPr>
              <w:t>are</w:t>
            </w:r>
            <w:r>
              <w:rPr>
                <w:rFonts w:ascii="Calibri Light"/>
                <w:b w:val="0"/>
                <w:spacing w:val="-6"/>
                <w:sz w:val="21"/>
              </w:rPr>
              <w:t> </w:t>
            </w:r>
            <w:r>
              <w:rPr>
                <w:rFonts w:ascii="Calibri Light"/>
                <w:b w:val="0"/>
                <w:sz w:val="21"/>
              </w:rPr>
              <w:t>used</w:t>
            </w:r>
            <w:r>
              <w:rPr>
                <w:rFonts w:ascii="Calibri Light"/>
                <w:b w:val="0"/>
                <w:spacing w:val="-6"/>
                <w:sz w:val="21"/>
              </w:rPr>
              <w:t> </w:t>
            </w:r>
            <w:r>
              <w:rPr>
                <w:rFonts w:ascii="Calibri Light"/>
                <w:b w:val="0"/>
                <w:sz w:val="21"/>
              </w:rPr>
              <w:t>to</w:t>
            </w:r>
            <w:r>
              <w:rPr>
                <w:rFonts w:ascii="Calibri Light"/>
                <w:b w:val="0"/>
                <w:spacing w:val="-2"/>
                <w:sz w:val="21"/>
              </w:rPr>
              <w:t> </w:t>
            </w:r>
            <w:r>
              <w:rPr>
                <w:rFonts w:ascii="Calibri Light"/>
                <w:b w:val="0"/>
                <w:sz w:val="21"/>
              </w:rPr>
              <w:t>develop</w:t>
            </w:r>
            <w:r>
              <w:rPr>
                <w:rFonts w:ascii="Calibri Light"/>
                <w:b w:val="0"/>
                <w:spacing w:val="-1"/>
                <w:sz w:val="21"/>
              </w:rPr>
              <w:t> </w:t>
            </w:r>
            <w:r>
              <w:rPr>
                <w:rFonts w:ascii="Calibri Light"/>
                <w:b w:val="0"/>
                <w:sz w:val="21"/>
              </w:rPr>
              <w:t>2018</w:t>
            </w:r>
            <w:r>
              <w:rPr>
                <w:rFonts w:ascii="Calibri Light"/>
                <w:b w:val="0"/>
                <w:spacing w:val="-3"/>
                <w:sz w:val="21"/>
              </w:rPr>
              <w:t> </w:t>
            </w:r>
            <w:r>
              <w:rPr>
                <w:rFonts w:ascii="Calibri Light"/>
                <w:b w:val="0"/>
                <w:sz w:val="21"/>
              </w:rPr>
              <w:t>NEAP</w:t>
            </w:r>
            <w:r>
              <w:rPr>
                <w:rFonts w:ascii="Calibri Light"/>
                <w:b w:val="0"/>
                <w:spacing w:val="-4"/>
                <w:sz w:val="21"/>
              </w:rPr>
              <w:t> </w:t>
            </w:r>
            <w:r>
              <w:rPr>
                <w:rFonts w:ascii="Calibri Light"/>
                <w:b w:val="0"/>
                <w:sz w:val="21"/>
              </w:rPr>
              <w:t>Annual</w:t>
            </w:r>
            <w:r>
              <w:rPr>
                <w:rFonts w:ascii="Calibri Light"/>
                <w:b w:val="0"/>
                <w:spacing w:val="-1"/>
                <w:sz w:val="21"/>
              </w:rPr>
              <w:t> </w:t>
            </w:r>
            <w:r>
              <w:rPr>
                <w:rFonts w:ascii="Calibri Light"/>
                <w:b w:val="0"/>
                <w:sz w:val="21"/>
              </w:rPr>
              <w:t>Work </w:t>
            </w:r>
            <w:r>
              <w:rPr>
                <w:rFonts w:ascii="Calibri Light"/>
                <w:b w:val="0"/>
                <w:spacing w:val="-2"/>
                <w:sz w:val="21"/>
              </w:rPr>
              <w:t>Plan.</w:t>
            </w:r>
          </w:p>
        </w:tc>
        <w:tc>
          <w:tcPr>
            <w:tcW w:w="4017" w:type="dxa"/>
          </w:tcPr>
          <w:p>
            <w:pPr>
              <w:pStyle w:val="TableParagraph"/>
              <w:numPr>
                <w:ilvl w:val="0"/>
                <w:numId w:val="30"/>
              </w:numPr>
              <w:tabs>
                <w:tab w:pos="379" w:val="left" w:leader="none"/>
              </w:tabs>
              <w:spacing w:line="242" w:lineRule="auto" w:before="57" w:after="0"/>
              <w:ind w:left="378" w:right="225" w:hanging="274"/>
              <w:jc w:val="left"/>
              <w:rPr>
                <w:rFonts w:ascii="Calibri Light" w:hAnsi="Calibri Light"/>
                <w:b w:val="0"/>
                <w:sz w:val="21"/>
              </w:rPr>
            </w:pPr>
            <w:r>
              <w:rPr>
                <w:rFonts w:ascii="Calibri Light" w:hAnsi="Calibri Light"/>
                <w:b w:val="0"/>
                <w:sz w:val="21"/>
              </w:rPr>
              <w:t>Analysis</w:t>
            </w:r>
            <w:r>
              <w:rPr>
                <w:rFonts w:ascii="Calibri Light" w:hAnsi="Calibri Light"/>
                <w:b w:val="0"/>
                <w:spacing w:val="-6"/>
                <w:sz w:val="21"/>
              </w:rPr>
              <w:t> </w:t>
            </w:r>
            <w:r>
              <w:rPr>
                <w:rFonts w:ascii="Calibri Light" w:hAnsi="Calibri Light"/>
                <w:b w:val="0"/>
                <w:sz w:val="21"/>
              </w:rPr>
              <w:t>of</w:t>
            </w:r>
            <w:r>
              <w:rPr>
                <w:rFonts w:ascii="Calibri Light" w:hAnsi="Calibri Light"/>
                <w:b w:val="0"/>
                <w:spacing w:val="-7"/>
                <w:sz w:val="21"/>
              </w:rPr>
              <w:t> </w:t>
            </w:r>
            <w:r>
              <w:rPr>
                <w:rFonts w:ascii="Calibri Light" w:hAnsi="Calibri Light"/>
                <w:b w:val="0"/>
                <w:sz w:val="21"/>
              </w:rPr>
              <w:t>2018</w:t>
            </w:r>
            <w:r>
              <w:rPr>
                <w:rFonts w:ascii="Calibri Light" w:hAnsi="Calibri Light"/>
                <w:b w:val="0"/>
                <w:spacing w:val="-7"/>
                <w:sz w:val="21"/>
              </w:rPr>
              <w:t> </w:t>
            </w:r>
            <w:r>
              <w:rPr>
                <w:rFonts w:ascii="Calibri Light" w:hAnsi="Calibri Light"/>
                <w:b w:val="0"/>
                <w:sz w:val="21"/>
              </w:rPr>
              <w:t>Work</w:t>
            </w:r>
            <w:r>
              <w:rPr>
                <w:rFonts w:ascii="Calibri Light" w:hAnsi="Calibri Light"/>
                <w:b w:val="0"/>
                <w:spacing w:val="-8"/>
                <w:sz w:val="21"/>
              </w:rPr>
              <w:t> </w:t>
            </w:r>
            <w:r>
              <w:rPr>
                <w:rFonts w:ascii="Calibri Light" w:hAnsi="Calibri Light"/>
                <w:b w:val="0"/>
                <w:sz w:val="21"/>
              </w:rPr>
              <w:t>Plan</w:t>
            </w:r>
            <w:r>
              <w:rPr>
                <w:rFonts w:ascii="Calibri Light" w:hAnsi="Calibri Light"/>
                <w:b w:val="0"/>
                <w:spacing w:val="-5"/>
                <w:sz w:val="21"/>
              </w:rPr>
              <w:t> </w:t>
            </w:r>
            <w:r>
              <w:rPr>
                <w:rFonts w:ascii="Calibri Light" w:hAnsi="Calibri Light"/>
                <w:b w:val="0"/>
                <w:sz w:val="21"/>
              </w:rPr>
              <w:t>against</w:t>
            </w:r>
            <w:r>
              <w:rPr>
                <w:rFonts w:ascii="Calibri Light" w:hAnsi="Calibri Light"/>
                <w:b w:val="0"/>
                <w:spacing w:val="-8"/>
                <w:sz w:val="21"/>
              </w:rPr>
              <w:t> </w:t>
            </w:r>
            <w:r>
              <w:rPr>
                <w:rFonts w:ascii="Calibri Light" w:hAnsi="Calibri Light"/>
                <w:b w:val="0"/>
                <w:sz w:val="21"/>
              </w:rPr>
              <w:t>M&amp;E Report and 2017 PAR.</w:t>
            </w:r>
          </w:p>
        </w:tc>
      </w:tr>
    </w:tbl>
    <w:p>
      <w:pPr>
        <w:spacing w:after="0" w:line="242" w:lineRule="auto"/>
        <w:jc w:val="left"/>
        <w:rPr>
          <w:rFonts w:ascii="Calibri Light" w:hAnsi="Calibri Light"/>
          <w:sz w:val="21"/>
        </w:rPr>
        <w:sectPr>
          <w:pgSz w:w="16840" w:h="11900" w:orient="landscape"/>
          <w:pgMar w:header="751" w:footer="1238" w:top="1400" w:bottom="1420" w:left="1320" w:right="1580"/>
        </w:sectPr>
      </w:pPr>
    </w:p>
    <w:p>
      <w:pPr>
        <w:pStyle w:val="BodyText"/>
        <w:rPr>
          <w:sz w:val="20"/>
        </w:rPr>
      </w:pPr>
    </w:p>
    <w:p>
      <w:pPr>
        <w:pStyle w:val="BodyText"/>
        <w:spacing w:before="8"/>
        <w:rPr>
          <w:sz w:val="13"/>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3077"/>
        <w:gridCol w:w="6048"/>
        <w:gridCol w:w="4013"/>
      </w:tblGrid>
      <w:tr>
        <w:trPr>
          <w:trHeight w:val="714" w:hRule="atLeast"/>
        </w:trPr>
        <w:tc>
          <w:tcPr>
            <w:tcW w:w="562" w:type="dxa"/>
            <w:shd w:val="clear" w:color="auto" w:fill="B4C6E7"/>
          </w:tcPr>
          <w:p>
            <w:pPr>
              <w:pStyle w:val="TableParagraph"/>
              <w:rPr>
                <w:rFonts w:ascii="Times New Roman"/>
                <w:sz w:val="20"/>
              </w:rPr>
            </w:pPr>
          </w:p>
        </w:tc>
        <w:tc>
          <w:tcPr>
            <w:tcW w:w="3077" w:type="dxa"/>
            <w:shd w:val="clear" w:color="auto" w:fill="B4C6E7"/>
          </w:tcPr>
          <w:p>
            <w:pPr>
              <w:pStyle w:val="TableParagraph"/>
              <w:spacing w:before="2"/>
              <w:rPr>
                <w:sz w:val="18"/>
              </w:rPr>
            </w:pPr>
          </w:p>
          <w:p>
            <w:pPr>
              <w:pStyle w:val="TableParagraph"/>
              <w:ind w:left="1117" w:right="1115"/>
              <w:jc w:val="center"/>
              <w:rPr>
                <w:rFonts w:ascii="Calibri Light"/>
                <w:b w:val="0"/>
                <w:sz w:val="22"/>
              </w:rPr>
            </w:pPr>
            <w:r>
              <w:rPr>
                <w:rFonts w:ascii="Calibri Light"/>
                <w:b w:val="0"/>
                <w:spacing w:val="-2"/>
                <w:sz w:val="22"/>
              </w:rPr>
              <w:t>TARGETS</w:t>
            </w:r>
          </w:p>
        </w:tc>
        <w:tc>
          <w:tcPr>
            <w:tcW w:w="6048" w:type="dxa"/>
            <w:shd w:val="clear" w:color="auto" w:fill="B4C6E7"/>
          </w:tcPr>
          <w:p>
            <w:pPr>
              <w:pStyle w:val="TableParagraph"/>
              <w:spacing w:before="2"/>
              <w:rPr>
                <w:sz w:val="18"/>
              </w:rPr>
            </w:pPr>
          </w:p>
          <w:p>
            <w:pPr>
              <w:pStyle w:val="TableParagraph"/>
              <w:ind w:left="1784"/>
              <w:rPr>
                <w:rFonts w:ascii="Calibri Light"/>
                <w:b w:val="0"/>
                <w:sz w:val="22"/>
              </w:rPr>
            </w:pPr>
            <w:r>
              <w:rPr>
                <w:rFonts w:ascii="Calibri Light"/>
                <w:b w:val="0"/>
                <w:spacing w:val="-4"/>
                <w:sz w:val="22"/>
              </w:rPr>
              <w:t>PERFORMANCE</w:t>
            </w:r>
            <w:r>
              <w:rPr>
                <w:rFonts w:ascii="Calibri Light"/>
                <w:b w:val="0"/>
                <w:spacing w:val="10"/>
                <w:sz w:val="22"/>
              </w:rPr>
              <w:t> </w:t>
            </w:r>
            <w:r>
              <w:rPr>
                <w:rFonts w:ascii="Calibri Light"/>
                <w:b w:val="0"/>
                <w:spacing w:val="-2"/>
                <w:sz w:val="22"/>
              </w:rPr>
              <w:t>INDICATORS</w:t>
            </w:r>
          </w:p>
        </w:tc>
        <w:tc>
          <w:tcPr>
            <w:tcW w:w="4013" w:type="dxa"/>
            <w:shd w:val="clear" w:color="auto" w:fill="B4C6E7"/>
          </w:tcPr>
          <w:p>
            <w:pPr>
              <w:pStyle w:val="TableParagraph"/>
              <w:spacing w:line="320" w:lineRule="atLeast" w:before="7"/>
              <w:ind w:left="906" w:right="885" w:firstLine="662"/>
              <w:rPr>
                <w:rFonts w:ascii="Calibri Light"/>
                <w:b w:val="0"/>
                <w:sz w:val="22"/>
              </w:rPr>
            </w:pPr>
            <w:r>
              <w:rPr>
                <w:rFonts w:ascii="Calibri Light"/>
                <w:b w:val="0"/>
                <w:spacing w:val="-2"/>
                <w:sz w:val="22"/>
              </w:rPr>
              <w:t>EVIDENCE</w:t>
            </w:r>
            <w:r>
              <w:rPr>
                <w:rFonts w:ascii="Calibri Light"/>
                <w:b w:val="0"/>
                <w:spacing w:val="40"/>
                <w:sz w:val="22"/>
              </w:rPr>
              <w:t> </w:t>
            </w:r>
            <w:r>
              <w:rPr>
                <w:rFonts w:ascii="Calibri Light"/>
                <w:b w:val="0"/>
                <w:spacing w:val="-2"/>
                <w:sz w:val="22"/>
              </w:rPr>
              <w:t>MEANS</w:t>
            </w:r>
            <w:r>
              <w:rPr>
                <w:rFonts w:ascii="Calibri Light"/>
                <w:b w:val="0"/>
                <w:spacing w:val="-11"/>
                <w:sz w:val="22"/>
              </w:rPr>
              <w:t> </w:t>
            </w:r>
            <w:r>
              <w:rPr>
                <w:rFonts w:ascii="Calibri Light"/>
                <w:b w:val="0"/>
                <w:spacing w:val="-2"/>
                <w:sz w:val="22"/>
              </w:rPr>
              <w:t>OF</w:t>
            </w:r>
            <w:r>
              <w:rPr>
                <w:rFonts w:ascii="Calibri Light"/>
                <w:b w:val="0"/>
                <w:spacing w:val="-10"/>
                <w:sz w:val="22"/>
              </w:rPr>
              <w:t> </w:t>
            </w:r>
            <w:r>
              <w:rPr>
                <w:rFonts w:ascii="Calibri Light"/>
                <w:b w:val="0"/>
                <w:spacing w:val="-2"/>
                <w:sz w:val="22"/>
              </w:rPr>
              <w:t>VERIFICATION</w:t>
            </w:r>
          </w:p>
        </w:tc>
      </w:tr>
      <w:tr>
        <w:trPr>
          <w:trHeight w:val="378" w:hRule="atLeast"/>
        </w:trPr>
        <w:tc>
          <w:tcPr>
            <w:tcW w:w="13700" w:type="dxa"/>
            <w:gridSpan w:val="4"/>
          </w:tcPr>
          <w:p>
            <w:pPr>
              <w:pStyle w:val="TableParagraph"/>
              <w:tabs>
                <w:tab w:pos="830" w:val="left" w:leader="none"/>
              </w:tabs>
              <w:spacing w:before="59"/>
              <w:ind w:left="110"/>
              <w:rPr>
                <w:rFonts w:ascii="Calibri Light"/>
                <w:b w:val="0"/>
                <w:sz w:val="21"/>
              </w:rPr>
            </w:pPr>
            <w:r>
              <w:rPr>
                <w:rFonts w:ascii="Calibri Light"/>
                <w:b w:val="0"/>
                <w:spacing w:val="-5"/>
                <w:sz w:val="21"/>
              </w:rPr>
              <w:t>4.</w:t>
            </w:r>
            <w:r>
              <w:rPr>
                <w:rFonts w:ascii="Calibri Light"/>
                <w:b w:val="0"/>
                <w:sz w:val="21"/>
              </w:rPr>
              <w:tab/>
            </w:r>
            <w:r>
              <w:rPr>
                <w:rFonts w:ascii="Calibri Light"/>
                <w:b w:val="0"/>
                <w:spacing w:val="-2"/>
                <w:sz w:val="21"/>
              </w:rPr>
              <w:t>Education</w:t>
            </w:r>
            <w:r>
              <w:rPr>
                <w:rFonts w:ascii="Calibri Light"/>
                <w:b w:val="0"/>
                <w:spacing w:val="-4"/>
                <w:sz w:val="21"/>
              </w:rPr>
              <w:t> </w:t>
            </w:r>
            <w:r>
              <w:rPr>
                <w:rFonts w:ascii="Calibri Light"/>
                <w:b w:val="0"/>
                <w:spacing w:val="-2"/>
                <w:sz w:val="21"/>
              </w:rPr>
              <w:t>Resourcing</w:t>
            </w:r>
          </w:p>
        </w:tc>
      </w:tr>
      <w:tr>
        <w:trPr>
          <w:trHeight w:val="1108" w:hRule="atLeast"/>
        </w:trPr>
        <w:tc>
          <w:tcPr>
            <w:tcW w:w="562" w:type="dxa"/>
          </w:tcPr>
          <w:p>
            <w:pPr>
              <w:pStyle w:val="TableParagraph"/>
              <w:spacing w:before="4"/>
              <w:rPr>
                <w:sz w:val="21"/>
              </w:rPr>
            </w:pPr>
          </w:p>
          <w:p>
            <w:pPr>
              <w:pStyle w:val="TableParagraph"/>
              <w:ind w:left="110"/>
              <w:rPr>
                <w:rFonts w:ascii="Calibri Light"/>
                <w:b w:val="0"/>
                <w:sz w:val="21"/>
              </w:rPr>
            </w:pPr>
            <w:r>
              <w:rPr>
                <w:rFonts w:ascii="Calibri Light"/>
                <w:b w:val="0"/>
                <w:spacing w:val="-5"/>
                <w:sz w:val="21"/>
              </w:rPr>
              <w:t>4.1</w:t>
            </w:r>
          </w:p>
        </w:tc>
        <w:tc>
          <w:tcPr>
            <w:tcW w:w="3077" w:type="dxa"/>
          </w:tcPr>
          <w:p>
            <w:pPr>
              <w:pStyle w:val="TableParagraph"/>
              <w:spacing w:before="169"/>
              <w:ind w:left="104"/>
              <w:rPr>
                <w:rFonts w:ascii="Calibri Light"/>
                <w:b w:val="0"/>
                <w:sz w:val="21"/>
              </w:rPr>
            </w:pPr>
            <w:r>
              <w:rPr>
                <w:rFonts w:ascii="Calibri Light"/>
                <w:b w:val="0"/>
                <w:sz w:val="21"/>
              </w:rPr>
              <w:t>The</w:t>
            </w:r>
            <w:r>
              <w:rPr>
                <w:rFonts w:ascii="Calibri Light"/>
                <w:b w:val="0"/>
                <w:spacing w:val="-11"/>
                <w:sz w:val="21"/>
              </w:rPr>
              <w:t> </w:t>
            </w:r>
            <w:r>
              <w:rPr>
                <w:rFonts w:ascii="Calibri Light"/>
                <w:b w:val="0"/>
                <w:sz w:val="21"/>
              </w:rPr>
              <w:t>Solomon</w:t>
            </w:r>
            <w:r>
              <w:rPr>
                <w:rFonts w:ascii="Calibri Light"/>
                <w:b w:val="0"/>
                <w:spacing w:val="-12"/>
                <w:sz w:val="21"/>
              </w:rPr>
              <w:t> </w:t>
            </w:r>
            <w:r>
              <w:rPr>
                <w:rFonts w:ascii="Calibri Light"/>
                <w:b w:val="0"/>
                <w:sz w:val="21"/>
              </w:rPr>
              <w:t>Islands</w:t>
            </w:r>
            <w:r>
              <w:rPr>
                <w:rFonts w:ascii="Calibri Light"/>
                <w:b w:val="0"/>
                <w:spacing w:val="-12"/>
                <w:sz w:val="21"/>
              </w:rPr>
              <w:t> </w:t>
            </w:r>
            <w:r>
              <w:rPr>
                <w:rFonts w:ascii="Calibri Light"/>
                <w:b w:val="0"/>
                <w:sz w:val="21"/>
              </w:rPr>
              <w:t>Government maintains its recurrent budget allocation for education in 2017</w:t>
            </w:r>
          </w:p>
        </w:tc>
        <w:tc>
          <w:tcPr>
            <w:tcW w:w="6048" w:type="dxa"/>
          </w:tcPr>
          <w:p>
            <w:pPr>
              <w:pStyle w:val="TableParagraph"/>
              <w:spacing w:before="6"/>
              <w:rPr>
                <w:sz w:val="24"/>
              </w:rPr>
            </w:pPr>
          </w:p>
          <w:p>
            <w:pPr>
              <w:pStyle w:val="TableParagraph"/>
              <w:ind w:left="704" w:right="247" w:hanging="601"/>
              <w:rPr>
                <w:rFonts w:ascii="Calibri Light"/>
                <w:b w:val="0"/>
                <w:sz w:val="21"/>
              </w:rPr>
            </w:pPr>
            <w:r>
              <w:rPr>
                <w:rFonts w:ascii="Calibri Light"/>
                <w:b w:val="0"/>
                <w:sz w:val="21"/>
              </w:rPr>
              <w:t>4.1.1</w:t>
            </w:r>
            <w:r>
              <w:rPr>
                <w:rFonts w:ascii="Calibri Light"/>
                <w:b w:val="0"/>
                <w:spacing w:val="80"/>
                <w:w w:val="150"/>
                <w:sz w:val="21"/>
              </w:rPr>
              <w:t> </w:t>
            </w:r>
            <w:r>
              <w:rPr>
                <w:rFonts w:ascii="Calibri Light"/>
                <w:b w:val="0"/>
                <w:sz w:val="21"/>
              </w:rPr>
              <w:t>At</w:t>
            </w:r>
            <w:r>
              <w:rPr>
                <w:rFonts w:ascii="Calibri Light"/>
                <w:b w:val="0"/>
                <w:spacing w:val="-4"/>
                <w:sz w:val="21"/>
              </w:rPr>
              <w:t> </w:t>
            </w:r>
            <w:r>
              <w:rPr>
                <w:rFonts w:ascii="Calibri Light"/>
                <w:b w:val="0"/>
                <w:sz w:val="21"/>
              </w:rPr>
              <w:t>least</w:t>
            </w:r>
            <w:r>
              <w:rPr>
                <w:rFonts w:ascii="Calibri Light"/>
                <w:b w:val="0"/>
                <w:spacing w:val="-4"/>
                <w:sz w:val="21"/>
              </w:rPr>
              <w:t> </w:t>
            </w:r>
            <w:r>
              <w:rPr>
                <w:rFonts w:ascii="Calibri Light"/>
                <w:b w:val="0"/>
                <w:sz w:val="21"/>
              </w:rPr>
              <w:t>23%</w:t>
            </w:r>
            <w:r>
              <w:rPr>
                <w:rFonts w:ascii="Calibri Light"/>
                <w:b w:val="0"/>
                <w:spacing w:val="-3"/>
                <w:sz w:val="21"/>
              </w:rPr>
              <w:t> </w:t>
            </w:r>
            <w:r>
              <w:rPr>
                <w:rFonts w:ascii="Calibri Light"/>
                <w:b w:val="0"/>
                <w:sz w:val="21"/>
              </w:rPr>
              <w:t>of</w:t>
            </w:r>
            <w:r>
              <w:rPr>
                <w:rFonts w:ascii="Calibri Light"/>
                <w:b w:val="0"/>
                <w:spacing w:val="-3"/>
                <w:sz w:val="21"/>
              </w:rPr>
              <w:t> </w:t>
            </w:r>
            <w:r>
              <w:rPr>
                <w:rFonts w:ascii="Calibri Light"/>
                <w:b w:val="0"/>
                <w:sz w:val="21"/>
              </w:rPr>
              <w:t>SIG</w:t>
            </w:r>
            <w:r>
              <w:rPr>
                <w:rFonts w:ascii="Calibri Light"/>
                <w:b w:val="0"/>
                <w:spacing w:val="-5"/>
                <w:sz w:val="21"/>
              </w:rPr>
              <w:t> </w:t>
            </w:r>
            <w:r>
              <w:rPr>
                <w:rFonts w:ascii="Calibri Light"/>
                <w:b w:val="0"/>
                <w:sz w:val="21"/>
              </w:rPr>
              <w:t>national</w:t>
            </w:r>
            <w:r>
              <w:rPr>
                <w:rFonts w:ascii="Calibri Light"/>
                <w:b w:val="0"/>
                <w:spacing w:val="-1"/>
                <w:sz w:val="21"/>
              </w:rPr>
              <w:t> </w:t>
            </w:r>
            <w:r>
              <w:rPr>
                <w:rFonts w:ascii="Calibri Light"/>
                <w:b w:val="0"/>
                <w:sz w:val="21"/>
              </w:rPr>
              <w:t>recurrent</w:t>
            </w:r>
            <w:r>
              <w:rPr>
                <w:rFonts w:ascii="Calibri Light"/>
                <w:b w:val="0"/>
                <w:spacing w:val="-4"/>
                <w:sz w:val="21"/>
              </w:rPr>
              <w:t> </w:t>
            </w:r>
            <w:r>
              <w:rPr>
                <w:rFonts w:ascii="Calibri Light"/>
                <w:b w:val="0"/>
                <w:sz w:val="21"/>
              </w:rPr>
              <w:t>budget</w:t>
            </w:r>
            <w:r>
              <w:rPr>
                <w:rFonts w:ascii="Calibri Light"/>
                <w:b w:val="0"/>
                <w:spacing w:val="-4"/>
                <w:sz w:val="21"/>
              </w:rPr>
              <w:t> </w:t>
            </w:r>
            <w:r>
              <w:rPr>
                <w:rFonts w:ascii="Calibri Light"/>
                <w:b w:val="0"/>
                <w:sz w:val="21"/>
              </w:rPr>
              <w:t>was</w:t>
            </w:r>
            <w:r>
              <w:rPr>
                <w:rFonts w:ascii="Calibri Light"/>
                <w:b w:val="0"/>
                <w:spacing w:val="-2"/>
                <w:sz w:val="21"/>
              </w:rPr>
              <w:t> </w:t>
            </w:r>
            <w:r>
              <w:rPr>
                <w:rFonts w:ascii="Calibri Light"/>
                <w:b w:val="0"/>
                <w:sz w:val="21"/>
              </w:rPr>
              <w:t>allocated to education.</w:t>
            </w:r>
          </w:p>
        </w:tc>
        <w:tc>
          <w:tcPr>
            <w:tcW w:w="4013" w:type="dxa"/>
          </w:tcPr>
          <w:p>
            <w:pPr>
              <w:pStyle w:val="TableParagraph"/>
              <w:spacing w:before="2"/>
              <w:rPr>
                <w:sz w:val="34"/>
              </w:rPr>
            </w:pPr>
          </w:p>
          <w:p>
            <w:pPr>
              <w:pStyle w:val="TableParagraph"/>
              <w:numPr>
                <w:ilvl w:val="0"/>
                <w:numId w:val="31"/>
              </w:numPr>
              <w:tabs>
                <w:tab w:pos="384" w:val="left" w:leader="none"/>
              </w:tabs>
              <w:spacing w:line="240" w:lineRule="auto" w:before="0" w:after="0"/>
              <w:ind w:left="383" w:right="0" w:hanging="275"/>
              <w:jc w:val="left"/>
              <w:rPr>
                <w:rFonts w:ascii="Calibri Light" w:hAnsi="Calibri Light"/>
                <w:b w:val="0"/>
                <w:sz w:val="21"/>
              </w:rPr>
            </w:pPr>
            <w:r>
              <w:rPr>
                <w:rFonts w:ascii="Calibri Light" w:hAnsi="Calibri Light"/>
                <w:b w:val="0"/>
                <w:sz w:val="21"/>
              </w:rPr>
              <w:t>SIG</w:t>
            </w:r>
            <w:r>
              <w:rPr>
                <w:rFonts w:ascii="Calibri Light" w:hAnsi="Calibri Light"/>
                <w:b w:val="0"/>
                <w:spacing w:val="-8"/>
                <w:sz w:val="21"/>
              </w:rPr>
              <w:t> </w:t>
            </w:r>
            <w:r>
              <w:rPr>
                <w:rFonts w:ascii="Calibri Light" w:hAnsi="Calibri Light"/>
                <w:b w:val="0"/>
                <w:sz w:val="21"/>
              </w:rPr>
              <w:t>and</w:t>
            </w:r>
            <w:r>
              <w:rPr>
                <w:rFonts w:ascii="Calibri Light" w:hAnsi="Calibri Light"/>
                <w:b w:val="0"/>
                <w:spacing w:val="-6"/>
                <w:sz w:val="21"/>
              </w:rPr>
              <w:t> </w:t>
            </w:r>
            <w:r>
              <w:rPr>
                <w:rFonts w:ascii="Calibri Light" w:hAnsi="Calibri Light"/>
                <w:b w:val="0"/>
                <w:sz w:val="21"/>
              </w:rPr>
              <w:t>Education</w:t>
            </w:r>
            <w:r>
              <w:rPr>
                <w:rFonts w:ascii="Calibri Light" w:hAnsi="Calibri Light"/>
                <w:b w:val="0"/>
                <w:spacing w:val="-2"/>
                <w:sz w:val="21"/>
              </w:rPr>
              <w:t> </w:t>
            </w:r>
            <w:r>
              <w:rPr>
                <w:rFonts w:ascii="Calibri Light" w:hAnsi="Calibri Light"/>
                <w:b w:val="0"/>
                <w:sz w:val="21"/>
              </w:rPr>
              <w:t>budgets</w:t>
            </w:r>
            <w:r>
              <w:rPr>
                <w:rFonts w:ascii="Calibri Light" w:hAnsi="Calibri Light"/>
                <w:b w:val="0"/>
                <w:spacing w:val="-4"/>
                <w:sz w:val="21"/>
              </w:rPr>
              <w:t> </w:t>
            </w:r>
            <w:r>
              <w:rPr>
                <w:rFonts w:ascii="Calibri Light" w:hAnsi="Calibri Light"/>
                <w:b w:val="0"/>
                <w:sz w:val="21"/>
              </w:rPr>
              <w:t>for</w:t>
            </w:r>
            <w:r>
              <w:rPr>
                <w:rFonts w:ascii="Calibri Light" w:hAnsi="Calibri Light"/>
                <w:b w:val="0"/>
                <w:spacing w:val="-3"/>
                <w:sz w:val="21"/>
              </w:rPr>
              <w:t> </w:t>
            </w:r>
            <w:r>
              <w:rPr>
                <w:rFonts w:ascii="Calibri Light" w:hAnsi="Calibri Light"/>
                <w:b w:val="0"/>
                <w:spacing w:val="-4"/>
                <w:sz w:val="21"/>
              </w:rPr>
              <w:t>2017</w:t>
            </w:r>
          </w:p>
        </w:tc>
      </w:tr>
      <w:tr>
        <w:trPr>
          <w:trHeight w:val="887" w:hRule="atLeast"/>
        </w:trPr>
        <w:tc>
          <w:tcPr>
            <w:tcW w:w="562" w:type="dxa"/>
            <w:vMerge w:val="restart"/>
          </w:tcPr>
          <w:p>
            <w:pPr>
              <w:pStyle w:val="TableParagraph"/>
              <w:rPr>
                <w:sz w:val="20"/>
              </w:rPr>
            </w:pPr>
          </w:p>
          <w:p>
            <w:pPr>
              <w:pStyle w:val="TableParagraph"/>
              <w:rPr>
                <w:sz w:val="20"/>
              </w:rPr>
            </w:pPr>
          </w:p>
          <w:p>
            <w:pPr>
              <w:pStyle w:val="TableParagraph"/>
              <w:spacing w:before="3"/>
              <w:rPr>
                <w:sz w:val="22"/>
              </w:rPr>
            </w:pPr>
          </w:p>
          <w:p>
            <w:pPr>
              <w:pStyle w:val="TableParagraph"/>
              <w:ind w:left="110"/>
              <w:rPr>
                <w:rFonts w:ascii="Calibri Light"/>
                <w:b w:val="0"/>
                <w:sz w:val="21"/>
              </w:rPr>
            </w:pPr>
            <w:r>
              <w:rPr>
                <w:rFonts w:ascii="Calibri Light"/>
                <w:b w:val="0"/>
                <w:spacing w:val="-5"/>
                <w:sz w:val="21"/>
              </w:rPr>
              <w:t>4.2</w:t>
            </w:r>
          </w:p>
        </w:tc>
        <w:tc>
          <w:tcPr>
            <w:tcW w:w="3077" w:type="dxa"/>
            <w:vMerge w:val="restart"/>
          </w:tcPr>
          <w:p>
            <w:pPr>
              <w:pStyle w:val="TableParagraph"/>
              <w:rPr>
                <w:sz w:val="20"/>
              </w:rPr>
            </w:pPr>
          </w:p>
          <w:p>
            <w:pPr>
              <w:pStyle w:val="TableParagraph"/>
              <w:spacing w:before="9"/>
              <w:rPr>
                <w:sz w:val="21"/>
              </w:rPr>
            </w:pPr>
          </w:p>
          <w:p>
            <w:pPr>
              <w:pStyle w:val="TableParagraph"/>
              <w:ind w:left="104" w:right="128"/>
              <w:rPr>
                <w:rFonts w:ascii="Calibri Light"/>
                <w:b w:val="0"/>
                <w:sz w:val="21"/>
              </w:rPr>
            </w:pPr>
            <w:r>
              <w:rPr>
                <w:rFonts w:ascii="Calibri Light"/>
                <w:b w:val="0"/>
                <w:sz w:val="21"/>
              </w:rPr>
              <w:t>The</w:t>
            </w:r>
            <w:r>
              <w:rPr>
                <w:rFonts w:ascii="Calibri Light"/>
                <w:b w:val="0"/>
                <w:spacing w:val="-8"/>
                <w:sz w:val="21"/>
              </w:rPr>
              <w:t> </w:t>
            </w:r>
            <w:r>
              <w:rPr>
                <w:rFonts w:ascii="Calibri Light"/>
                <w:b w:val="0"/>
                <w:sz w:val="21"/>
              </w:rPr>
              <w:t>2017</w:t>
            </w:r>
            <w:r>
              <w:rPr>
                <w:rFonts w:ascii="Calibri Light"/>
                <w:b w:val="0"/>
                <w:spacing w:val="-9"/>
                <w:sz w:val="21"/>
              </w:rPr>
              <w:t> </w:t>
            </w:r>
            <w:r>
              <w:rPr>
                <w:rFonts w:ascii="Calibri Light"/>
                <w:b w:val="0"/>
                <w:sz w:val="21"/>
              </w:rPr>
              <w:t>recurrent</w:t>
            </w:r>
            <w:r>
              <w:rPr>
                <w:rFonts w:ascii="Calibri Light"/>
                <w:b w:val="0"/>
                <w:spacing w:val="-10"/>
                <w:sz w:val="21"/>
              </w:rPr>
              <w:t> </w:t>
            </w:r>
            <w:r>
              <w:rPr>
                <w:rFonts w:ascii="Calibri Light"/>
                <w:b w:val="0"/>
                <w:sz w:val="21"/>
              </w:rPr>
              <w:t>allocation</w:t>
            </w:r>
            <w:r>
              <w:rPr>
                <w:rFonts w:ascii="Calibri Light"/>
                <w:b w:val="0"/>
                <w:spacing w:val="-8"/>
                <w:sz w:val="21"/>
              </w:rPr>
              <w:t> </w:t>
            </w:r>
            <w:r>
              <w:rPr>
                <w:rFonts w:ascii="Calibri Light"/>
                <w:b w:val="0"/>
                <w:sz w:val="21"/>
              </w:rPr>
              <w:t>for Basic Education is maintained or </w:t>
            </w:r>
            <w:r>
              <w:rPr>
                <w:rFonts w:ascii="Calibri Light"/>
                <w:b w:val="0"/>
                <w:spacing w:val="-2"/>
                <w:sz w:val="21"/>
              </w:rPr>
              <w:t>improved</w:t>
            </w:r>
          </w:p>
        </w:tc>
        <w:tc>
          <w:tcPr>
            <w:tcW w:w="6048" w:type="dxa"/>
          </w:tcPr>
          <w:p>
            <w:pPr>
              <w:pStyle w:val="TableParagraph"/>
              <w:spacing w:before="59"/>
              <w:ind w:left="704" w:right="247" w:hanging="601"/>
              <w:rPr>
                <w:rFonts w:ascii="Calibri Light"/>
                <w:b w:val="0"/>
                <w:sz w:val="21"/>
              </w:rPr>
            </w:pPr>
            <w:r>
              <w:rPr>
                <w:rFonts w:ascii="Calibri Light"/>
                <w:b w:val="0"/>
                <w:sz w:val="21"/>
              </w:rPr>
              <w:t>4.2.1</w:t>
            </w:r>
            <w:r>
              <w:rPr>
                <w:rFonts w:ascii="Calibri Light"/>
                <w:b w:val="0"/>
                <w:spacing w:val="80"/>
                <w:sz w:val="21"/>
              </w:rPr>
              <w:t> </w:t>
            </w:r>
            <w:r>
              <w:rPr>
                <w:rFonts w:ascii="Calibri Light"/>
                <w:b w:val="0"/>
                <w:sz w:val="21"/>
              </w:rPr>
              <w:t>Allowing</w:t>
            </w:r>
            <w:r>
              <w:rPr>
                <w:rFonts w:ascii="Calibri Light"/>
                <w:b w:val="0"/>
                <w:spacing w:val="-1"/>
                <w:sz w:val="21"/>
              </w:rPr>
              <w:t> </w:t>
            </w:r>
            <w:r>
              <w:rPr>
                <w:rFonts w:ascii="Calibri Light"/>
                <w:b w:val="0"/>
                <w:sz w:val="21"/>
              </w:rPr>
              <w:t>for</w:t>
            </w:r>
            <w:r>
              <w:rPr>
                <w:rFonts w:ascii="Calibri Light"/>
                <w:b w:val="0"/>
                <w:spacing w:val="-4"/>
                <w:sz w:val="21"/>
              </w:rPr>
              <w:t> </w:t>
            </w:r>
            <w:r>
              <w:rPr>
                <w:rFonts w:ascii="Calibri Light"/>
                <w:b w:val="0"/>
                <w:sz w:val="21"/>
              </w:rPr>
              <w:t>inflation</w:t>
            </w:r>
            <w:r>
              <w:rPr>
                <w:rFonts w:ascii="Calibri Light"/>
                <w:b w:val="0"/>
                <w:spacing w:val="-2"/>
                <w:sz w:val="21"/>
              </w:rPr>
              <w:t> </w:t>
            </w:r>
            <w:r>
              <w:rPr>
                <w:rFonts w:ascii="Calibri Light"/>
                <w:b w:val="0"/>
                <w:sz w:val="21"/>
              </w:rPr>
              <w:t>the</w:t>
            </w:r>
            <w:r>
              <w:rPr>
                <w:rFonts w:ascii="Calibri Light"/>
                <w:b w:val="0"/>
                <w:spacing w:val="-2"/>
                <w:sz w:val="21"/>
              </w:rPr>
              <w:t> </w:t>
            </w:r>
            <w:r>
              <w:rPr>
                <w:rFonts w:ascii="Calibri Light"/>
                <w:b w:val="0"/>
                <w:sz w:val="21"/>
              </w:rPr>
              <w:t>2017</w:t>
            </w:r>
            <w:r>
              <w:rPr>
                <w:rFonts w:ascii="Calibri Light"/>
                <w:b w:val="0"/>
                <w:spacing w:val="-4"/>
                <w:sz w:val="21"/>
              </w:rPr>
              <w:t> </w:t>
            </w:r>
            <w:r>
              <w:rPr>
                <w:rFonts w:ascii="Calibri Light"/>
                <w:b w:val="0"/>
                <w:sz w:val="21"/>
              </w:rPr>
              <w:t>recurrent</w:t>
            </w:r>
            <w:r>
              <w:rPr>
                <w:rFonts w:ascii="Calibri Light"/>
                <w:b w:val="0"/>
                <w:spacing w:val="-5"/>
                <w:sz w:val="21"/>
              </w:rPr>
              <w:t> </w:t>
            </w:r>
            <w:r>
              <w:rPr>
                <w:rFonts w:ascii="Calibri Light"/>
                <w:b w:val="0"/>
                <w:sz w:val="21"/>
              </w:rPr>
              <w:t>allocation</w:t>
            </w:r>
            <w:r>
              <w:rPr>
                <w:rFonts w:ascii="Calibri Light"/>
                <w:b w:val="0"/>
                <w:spacing w:val="-7"/>
                <w:sz w:val="21"/>
              </w:rPr>
              <w:t> </w:t>
            </w:r>
            <w:r>
              <w:rPr>
                <w:rFonts w:ascii="Calibri Light"/>
                <w:b w:val="0"/>
                <w:sz w:val="21"/>
              </w:rPr>
              <w:t>for</w:t>
            </w:r>
            <w:r>
              <w:rPr>
                <w:rFonts w:ascii="Calibri Light"/>
                <w:b w:val="0"/>
                <w:spacing w:val="-4"/>
                <w:sz w:val="21"/>
              </w:rPr>
              <w:t> </w:t>
            </w:r>
            <w:r>
              <w:rPr>
                <w:rFonts w:ascii="Calibri Light"/>
                <w:b w:val="0"/>
                <w:sz w:val="21"/>
              </w:rPr>
              <w:t>the per unit cost of primary education is at least equal to the 2016 per unit cost of primary education.</w:t>
            </w:r>
          </w:p>
        </w:tc>
        <w:tc>
          <w:tcPr>
            <w:tcW w:w="4013" w:type="dxa"/>
          </w:tcPr>
          <w:p>
            <w:pPr>
              <w:pStyle w:val="TableParagraph"/>
              <w:numPr>
                <w:ilvl w:val="0"/>
                <w:numId w:val="32"/>
              </w:numPr>
              <w:tabs>
                <w:tab w:pos="384" w:val="left" w:leader="none"/>
              </w:tabs>
              <w:spacing w:line="266" w:lineRule="exact" w:before="178" w:after="0"/>
              <w:ind w:left="383" w:right="0" w:hanging="275"/>
              <w:jc w:val="left"/>
              <w:rPr>
                <w:rFonts w:ascii="Calibri Light" w:hAnsi="Calibri Light"/>
                <w:b w:val="0"/>
                <w:sz w:val="21"/>
              </w:rPr>
            </w:pPr>
            <w:r>
              <w:rPr>
                <w:rFonts w:ascii="Calibri Light" w:hAnsi="Calibri Light"/>
                <w:b w:val="0"/>
                <w:sz w:val="21"/>
              </w:rPr>
              <w:t>Analysis</w:t>
            </w:r>
            <w:r>
              <w:rPr>
                <w:rFonts w:ascii="Calibri Light" w:hAnsi="Calibri Light"/>
                <w:b w:val="0"/>
                <w:spacing w:val="-3"/>
                <w:sz w:val="21"/>
              </w:rPr>
              <w:t> </w:t>
            </w:r>
            <w:r>
              <w:rPr>
                <w:rFonts w:ascii="Calibri Light" w:hAnsi="Calibri Light"/>
                <w:b w:val="0"/>
                <w:sz w:val="21"/>
              </w:rPr>
              <w:t>of</w:t>
            </w:r>
            <w:r>
              <w:rPr>
                <w:rFonts w:ascii="Calibri Light" w:hAnsi="Calibri Light"/>
                <w:b w:val="0"/>
                <w:spacing w:val="-4"/>
                <w:sz w:val="21"/>
              </w:rPr>
              <w:t> </w:t>
            </w:r>
            <w:r>
              <w:rPr>
                <w:rFonts w:ascii="Calibri Light" w:hAnsi="Calibri Light"/>
                <w:b w:val="0"/>
                <w:sz w:val="21"/>
              </w:rPr>
              <w:t>per</w:t>
            </w:r>
            <w:r>
              <w:rPr>
                <w:rFonts w:ascii="Calibri Light" w:hAnsi="Calibri Light"/>
                <w:b w:val="0"/>
                <w:spacing w:val="-4"/>
                <w:sz w:val="21"/>
              </w:rPr>
              <w:t> </w:t>
            </w:r>
            <w:r>
              <w:rPr>
                <w:rFonts w:ascii="Calibri Light" w:hAnsi="Calibri Light"/>
                <w:b w:val="0"/>
                <w:sz w:val="21"/>
              </w:rPr>
              <w:t>unit</w:t>
            </w:r>
            <w:r>
              <w:rPr>
                <w:rFonts w:ascii="Calibri Light" w:hAnsi="Calibri Light"/>
                <w:b w:val="0"/>
                <w:spacing w:val="-4"/>
                <w:sz w:val="21"/>
              </w:rPr>
              <w:t> </w:t>
            </w:r>
            <w:r>
              <w:rPr>
                <w:rFonts w:ascii="Calibri Light" w:hAnsi="Calibri Light"/>
                <w:b w:val="0"/>
                <w:spacing w:val="-2"/>
                <w:sz w:val="21"/>
              </w:rPr>
              <w:t>allocations</w:t>
            </w:r>
          </w:p>
          <w:p>
            <w:pPr>
              <w:pStyle w:val="TableParagraph"/>
              <w:numPr>
                <w:ilvl w:val="0"/>
                <w:numId w:val="32"/>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Evidence</w:t>
            </w:r>
            <w:r>
              <w:rPr>
                <w:rFonts w:ascii="Calibri Light" w:hAnsi="Calibri Light"/>
                <w:b w:val="0"/>
                <w:spacing w:val="-10"/>
                <w:sz w:val="21"/>
              </w:rPr>
              <w:t> </w:t>
            </w:r>
            <w:r>
              <w:rPr>
                <w:rFonts w:ascii="Calibri Light" w:hAnsi="Calibri Light"/>
                <w:b w:val="0"/>
                <w:sz w:val="21"/>
              </w:rPr>
              <w:t>of</w:t>
            </w:r>
            <w:r>
              <w:rPr>
                <w:rFonts w:ascii="Calibri Light" w:hAnsi="Calibri Light"/>
                <w:b w:val="0"/>
                <w:spacing w:val="-4"/>
                <w:sz w:val="21"/>
              </w:rPr>
              <w:t> </w:t>
            </w:r>
            <w:r>
              <w:rPr>
                <w:rFonts w:ascii="Calibri Light" w:hAnsi="Calibri Light"/>
                <w:b w:val="0"/>
                <w:sz w:val="21"/>
              </w:rPr>
              <w:t>2017</w:t>
            </w:r>
            <w:r>
              <w:rPr>
                <w:rFonts w:ascii="Calibri Light" w:hAnsi="Calibri Light"/>
                <w:b w:val="0"/>
                <w:spacing w:val="-4"/>
                <w:sz w:val="21"/>
              </w:rPr>
              <w:t> </w:t>
            </w:r>
            <w:r>
              <w:rPr>
                <w:rFonts w:ascii="Calibri Light" w:hAnsi="Calibri Light"/>
                <w:b w:val="0"/>
                <w:sz w:val="21"/>
              </w:rPr>
              <w:t>inflation</w:t>
            </w:r>
            <w:r>
              <w:rPr>
                <w:rFonts w:ascii="Calibri Light" w:hAnsi="Calibri Light"/>
                <w:b w:val="0"/>
                <w:spacing w:val="-2"/>
                <w:sz w:val="21"/>
              </w:rPr>
              <w:t> </w:t>
            </w:r>
            <w:r>
              <w:rPr>
                <w:rFonts w:ascii="Calibri Light" w:hAnsi="Calibri Light"/>
                <w:b w:val="0"/>
                <w:spacing w:val="-4"/>
                <w:sz w:val="21"/>
              </w:rPr>
              <w:t>rate</w:t>
            </w:r>
          </w:p>
        </w:tc>
      </w:tr>
      <w:tr>
        <w:trPr>
          <w:trHeight w:val="892" w:hRule="atLeast"/>
        </w:trPr>
        <w:tc>
          <w:tcPr>
            <w:tcW w:w="562" w:type="dxa"/>
            <w:vMerge/>
            <w:tcBorders>
              <w:top w:val="nil"/>
            </w:tcBorders>
          </w:tcPr>
          <w:p>
            <w:pPr>
              <w:rPr>
                <w:sz w:val="2"/>
                <w:szCs w:val="2"/>
              </w:rPr>
            </w:pPr>
          </w:p>
        </w:tc>
        <w:tc>
          <w:tcPr>
            <w:tcW w:w="3077" w:type="dxa"/>
            <w:vMerge/>
            <w:tcBorders>
              <w:top w:val="nil"/>
            </w:tcBorders>
          </w:tcPr>
          <w:p>
            <w:pPr>
              <w:rPr>
                <w:sz w:val="2"/>
                <w:szCs w:val="2"/>
              </w:rPr>
            </w:pPr>
          </w:p>
        </w:tc>
        <w:tc>
          <w:tcPr>
            <w:tcW w:w="6048" w:type="dxa"/>
          </w:tcPr>
          <w:p>
            <w:pPr>
              <w:pStyle w:val="TableParagraph"/>
              <w:spacing w:before="59"/>
              <w:ind w:left="704" w:right="131" w:hanging="601"/>
              <w:rPr>
                <w:rFonts w:ascii="Calibri Light"/>
                <w:b w:val="0"/>
                <w:sz w:val="21"/>
              </w:rPr>
            </w:pPr>
            <w:r>
              <w:rPr>
                <w:rFonts w:ascii="Calibri Light"/>
                <w:b w:val="0"/>
                <w:sz w:val="21"/>
              </w:rPr>
              <w:t>4.2.2</w:t>
            </w:r>
            <w:r>
              <w:rPr>
                <w:rFonts w:ascii="Calibri Light"/>
                <w:b w:val="0"/>
                <w:spacing w:val="40"/>
                <w:sz w:val="21"/>
              </w:rPr>
              <w:t>  </w:t>
            </w:r>
            <w:r>
              <w:rPr>
                <w:rFonts w:ascii="Calibri Light"/>
                <w:b w:val="0"/>
                <w:sz w:val="21"/>
              </w:rPr>
              <w:t>Allowing for inflation the 2017 recurrent allocation for the</w:t>
            </w:r>
            <w:r>
              <w:rPr>
                <w:rFonts w:ascii="Calibri Light"/>
                <w:b w:val="0"/>
                <w:spacing w:val="40"/>
                <w:sz w:val="21"/>
              </w:rPr>
              <w:t> </w:t>
            </w:r>
            <w:r>
              <w:rPr>
                <w:rFonts w:ascii="Calibri Light"/>
                <w:b w:val="0"/>
                <w:sz w:val="21"/>
              </w:rPr>
              <w:t>per</w:t>
            </w:r>
            <w:r>
              <w:rPr>
                <w:rFonts w:ascii="Calibri Light"/>
                <w:b w:val="0"/>
                <w:spacing w:val="-3"/>
                <w:sz w:val="21"/>
              </w:rPr>
              <w:t> </w:t>
            </w:r>
            <w:r>
              <w:rPr>
                <w:rFonts w:ascii="Calibri Light"/>
                <w:b w:val="0"/>
                <w:sz w:val="21"/>
              </w:rPr>
              <w:t>unit</w:t>
            </w:r>
            <w:r>
              <w:rPr>
                <w:rFonts w:ascii="Calibri Light"/>
                <w:b w:val="0"/>
                <w:spacing w:val="-4"/>
                <w:sz w:val="21"/>
              </w:rPr>
              <w:t> </w:t>
            </w:r>
            <w:r>
              <w:rPr>
                <w:rFonts w:ascii="Calibri Light"/>
                <w:b w:val="0"/>
                <w:sz w:val="21"/>
              </w:rPr>
              <w:t>cost</w:t>
            </w:r>
            <w:r>
              <w:rPr>
                <w:rFonts w:ascii="Calibri Light"/>
                <w:b w:val="0"/>
                <w:spacing w:val="-4"/>
                <w:sz w:val="21"/>
              </w:rPr>
              <w:t> </w:t>
            </w:r>
            <w:r>
              <w:rPr>
                <w:rFonts w:ascii="Calibri Light"/>
                <w:b w:val="0"/>
                <w:sz w:val="21"/>
              </w:rPr>
              <w:t>of</w:t>
            </w:r>
            <w:r>
              <w:rPr>
                <w:rFonts w:ascii="Calibri Light"/>
                <w:b w:val="0"/>
                <w:spacing w:val="-3"/>
                <w:sz w:val="21"/>
              </w:rPr>
              <w:t> </w:t>
            </w:r>
            <w:r>
              <w:rPr>
                <w:rFonts w:ascii="Calibri Light"/>
                <w:b w:val="0"/>
                <w:sz w:val="21"/>
              </w:rPr>
              <w:t>junior</w:t>
            </w:r>
            <w:r>
              <w:rPr>
                <w:rFonts w:ascii="Calibri Light"/>
                <w:b w:val="0"/>
                <w:spacing w:val="-3"/>
                <w:sz w:val="21"/>
              </w:rPr>
              <w:t> </w:t>
            </w:r>
            <w:r>
              <w:rPr>
                <w:rFonts w:ascii="Calibri Light"/>
                <w:b w:val="0"/>
                <w:sz w:val="21"/>
              </w:rPr>
              <w:t>secondary</w:t>
            </w:r>
            <w:r>
              <w:rPr>
                <w:rFonts w:ascii="Calibri Light"/>
                <w:b w:val="0"/>
                <w:spacing w:val="-4"/>
                <w:sz w:val="21"/>
              </w:rPr>
              <w:t> </w:t>
            </w:r>
            <w:r>
              <w:rPr>
                <w:rFonts w:ascii="Calibri Light"/>
                <w:b w:val="0"/>
                <w:sz w:val="21"/>
              </w:rPr>
              <w:t>education</w:t>
            </w:r>
            <w:r>
              <w:rPr>
                <w:rFonts w:ascii="Calibri Light"/>
                <w:b w:val="0"/>
                <w:spacing w:val="-1"/>
                <w:sz w:val="21"/>
              </w:rPr>
              <w:t> </w:t>
            </w:r>
            <w:r>
              <w:rPr>
                <w:rFonts w:ascii="Calibri Light"/>
                <w:b w:val="0"/>
                <w:sz w:val="21"/>
              </w:rPr>
              <w:t>is</w:t>
            </w:r>
            <w:r>
              <w:rPr>
                <w:rFonts w:ascii="Calibri Light"/>
                <w:b w:val="0"/>
                <w:spacing w:val="-7"/>
                <w:sz w:val="21"/>
              </w:rPr>
              <w:t> </w:t>
            </w:r>
            <w:r>
              <w:rPr>
                <w:rFonts w:ascii="Calibri Light"/>
                <w:b w:val="0"/>
                <w:sz w:val="21"/>
              </w:rPr>
              <w:t>at</w:t>
            </w:r>
            <w:r>
              <w:rPr>
                <w:rFonts w:ascii="Calibri Light"/>
                <w:b w:val="0"/>
                <w:spacing w:val="-4"/>
                <w:sz w:val="21"/>
              </w:rPr>
              <w:t> </w:t>
            </w:r>
            <w:r>
              <w:rPr>
                <w:rFonts w:ascii="Calibri Light"/>
                <w:b w:val="0"/>
                <w:sz w:val="21"/>
              </w:rPr>
              <w:t>least</w:t>
            </w:r>
            <w:r>
              <w:rPr>
                <w:rFonts w:ascii="Calibri Light"/>
                <w:b w:val="0"/>
                <w:spacing w:val="-4"/>
                <w:sz w:val="21"/>
              </w:rPr>
              <w:t> </w:t>
            </w:r>
            <w:r>
              <w:rPr>
                <w:rFonts w:ascii="Calibri Light"/>
                <w:b w:val="0"/>
                <w:sz w:val="21"/>
              </w:rPr>
              <w:t>equal</w:t>
            </w:r>
            <w:r>
              <w:rPr>
                <w:rFonts w:ascii="Calibri Light"/>
                <w:b w:val="0"/>
                <w:spacing w:val="-1"/>
                <w:sz w:val="21"/>
              </w:rPr>
              <w:t> </w:t>
            </w:r>
            <w:r>
              <w:rPr>
                <w:rFonts w:ascii="Calibri Light"/>
                <w:b w:val="0"/>
                <w:sz w:val="21"/>
              </w:rPr>
              <w:t>to the 2016 per unit cost of junior secondary education.</w:t>
            </w:r>
          </w:p>
        </w:tc>
        <w:tc>
          <w:tcPr>
            <w:tcW w:w="4013" w:type="dxa"/>
          </w:tcPr>
          <w:p>
            <w:pPr>
              <w:pStyle w:val="TableParagraph"/>
              <w:numPr>
                <w:ilvl w:val="0"/>
                <w:numId w:val="33"/>
              </w:numPr>
              <w:tabs>
                <w:tab w:pos="384" w:val="left" w:leader="none"/>
              </w:tabs>
              <w:spacing w:line="266" w:lineRule="exact" w:before="177" w:after="0"/>
              <w:ind w:left="383" w:right="0" w:hanging="275"/>
              <w:jc w:val="left"/>
              <w:rPr>
                <w:rFonts w:ascii="Calibri Light" w:hAnsi="Calibri Light"/>
                <w:b w:val="0"/>
                <w:sz w:val="21"/>
              </w:rPr>
            </w:pPr>
            <w:r>
              <w:rPr>
                <w:rFonts w:ascii="Calibri Light" w:hAnsi="Calibri Light"/>
                <w:b w:val="0"/>
                <w:sz w:val="21"/>
              </w:rPr>
              <w:t>Analysis</w:t>
            </w:r>
            <w:r>
              <w:rPr>
                <w:rFonts w:ascii="Calibri Light" w:hAnsi="Calibri Light"/>
                <w:b w:val="0"/>
                <w:spacing w:val="-3"/>
                <w:sz w:val="21"/>
              </w:rPr>
              <w:t> </w:t>
            </w:r>
            <w:r>
              <w:rPr>
                <w:rFonts w:ascii="Calibri Light" w:hAnsi="Calibri Light"/>
                <w:b w:val="0"/>
                <w:sz w:val="21"/>
              </w:rPr>
              <w:t>of</w:t>
            </w:r>
            <w:r>
              <w:rPr>
                <w:rFonts w:ascii="Calibri Light" w:hAnsi="Calibri Light"/>
                <w:b w:val="0"/>
                <w:spacing w:val="-4"/>
                <w:sz w:val="21"/>
              </w:rPr>
              <w:t> </w:t>
            </w:r>
            <w:r>
              <w:rPr>
                <w:rFonts w:ascii="Calibri Light" w:hAnsi="Calibri Light"/>
                <w:b w:val="0"/>
                <w:sz w:val="21"/>
              </w:rPr>
              <w:t>per</w:t>
            </w:r>
            <w:r>
              <w:rPr>
                <w:rFonts w:ascii="Calibri Light" w:hAnsi="Calibri Light"/>
                <w:b w:val="0"/>
                <w:spacing w:val="-4"/>
                <w:sz w:val="21"/>
              </w:rPr>
              <w:t> </w:t>
            </w:r>
            <w:r>
              <w:rPr>
                <w:rFonts w:ascii="Calibri Light" w:hAnsi="Calibri Light"/>
                <w:b w:val="0"/>
                <w:sz w:val="21"/>
              </w:rPr>
              <w:t>unit</w:t>
            </w:r>
            <w:r>
              <w:rPr>
                <w:rFonts w:ascii="Calibri Light" w:hAnsi="Calibri Light"/>
                <w:b w:val="0"/>
                <w:spacing w:val="-4"/>
                <w:sz w:val="21"/>
              </w:rPr>
              <w:t> </w:t>
            </w:r>
            <w:r>
              <w:rPr>
                <w:rFonts w:ascii="Calibri Light" w:hAnsi="Calibri Light"/>
                <w:b w:val="0"/>
                <w:spacing w:val="-2"/>
                <w:sz w:val="21"/>
              </w:rPr>
              <w:t>allocations</w:t>
            </w:r>
          </w:p>
          <w:p>
            <w:pPr>
              <w:pStyle w:val="TableParagraph"/>
              <w:numPr>
                <w:ilvl w:val="0"/>
                <w:numId w:val="33"/>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Evidence</w:t>
            </w:r>
            <w:r>
              <w:rPr>
                <w:rFonts w:ascii="Calibri Light" w:hAnsi="Calibri Light"/>
                <w:b w:val="0"/>
                <w:spacing w:val="-10"/>
                <w:sz w:val="21"/>
              </w:rPr>
              <w:t> </w:t>
            </w:r>
            <w:r>
              <w:rPr>
                <w:rFonts w:ascii="Calibri Light" w:hAnsi="Calibri Light"/>
                <w:b w:val="0"/>
                <w:sz w:val="21"/>
              </w:rPr>
              <w:t>of</w:t>
            </w:r>
            <w:r>
              <w:rPr>
                <w:rFonts w:ascii="Calibri Light" w:hAnsi="Calibri Light"/>
                <w:b w:val="0"/>
                <w:spacing w:val="-4"/>
                <w:sz w:val="21"/>
              </w:rPr>
              <w:t> </w:t>
            </w:r>
            <w:r>
              <w:rPr>
                <w:rFonts w:ascii="Calibri Light" w:hAnsi="Calibri Light"/>
                <w:b w:val="0"/>
                <w:sz w:val="21"/>
              </w:rPr>
              <w:t>2017</w:t>
            </w:r>
            <w:r>
              <w:rPr>
                <w:rFonts w:ascii="Calibri Light" w:hAnsi="Calibri Light"/>
                <w:b w:val="0"/>
                <w:spacing w:val="-4"/>
                <w:sz w:val="21"/>
              </w:rPr>
              <w:t> </w:t>
            </w:r>
            <w:r>
              <w:rPr>
                <w:rFonts w:ascii="Calibri Light" w:hAnsi="Calibri Light"/>
                <w:b w:val="0"/>
                <w:sz w:val="21"/>
              </w:rPr>
              <w:t>inflation</w:t>
            </w:r>
            <w:r>
              <w:rPr>
                <w:rFonts w:ascii="Calibri Light" w:hAnsi="Calibri Light"/>
                <w:b w:val="0"/>
                <w:spacing w:val="-2"/>
                <w:sz w:val="21"/>
              </w:rPr>
              <w:t> </w:t>
            </w:r>
            <w:r>
              <w:rPr>
                <w:rFonts w:ascii="Calibri Light" w:hAnsi="Calibri Light"/>
                <w:b w:val="0"/>
                <w:spacing w:val="-4"/>
                <w:sz w:val="21"/>
              </w:rPr>
              <w:t>rate</w:t>
            </w:r>
          </w:p>
        </w:tc>
      </w:tr>
      <w:tr>
        <w:trPr>
          <w:trHeight w:val="1142" w:hRule="atLeast"/>
        </w:trPr>
        <w:tc>
          <w:tcPr>
            <w:tcW w:w="562" w:type="dxa"/>
          </w:tcPr>
          <w:p>
            <w:pPr>
              <w:pStyle w:val="TableParagraph"/>
              <w:spacing w:before="54"/>
              <w:ind w:left="110"/>
              <w:rPr>
                <w:rFonts w:ascii="Calibri Light"/>
                <w:b w:val="0"/>
                <w:sz w:val="21"/>
              </w:rPr>
            </w:pPr>
            <w:r>
              <w:rPr>
                <w:rFonts w:ascii="Calibri Light"/>
                <w:b w:val="0"/>
                <w:spacing w:val="-5"/>
                <w:sz w:val="21"/>
              </w:rPr>
              <w:t>4.3</w:t>
            </w:r>
          </w:p>
        </w:tc>
        <w:tc>
          <w:tcPr>
            <w:tcW w:w="3077" w:type="dxa"/>
          </w:tcPr>
          <w:p>
            <w:pPr>
              <w:pStyle w:val="TableParagraph"/>
              <w:spacing w:before="59"/>
              <w:ind w:left="104" w:right="128"/>
              <w:rPr>
                <w:rFonts w:ascii="Calibri Light"/>
                <w:b w:val="0"/>
                <w:sz w:val="21"/>
              </w:rPr>
            </w:pPr>
            <w:r>
              <w:rPr>
                <w:rFonts w:ascii="Calibri Light"/>
                <w:b w:val="0"/>
                <w:sz w:val="21"/>
              </w:rPr>
              <w:t>Acquittal percentage of 2017 School Grants and distribution percentage</w:t>
            </w:r>
            <w:r>
              <w:rPr>
                <w:rFonts w:ascii="Calibri Light"/>
                <w:b w:val="0"/>
                <w:spacing w:val="-8"/>
                <w:sz w:val="21"/>
              </w:rPr>
              <w:t> </w:t>
            </w:r>
            <w:r>
              <w:rPr>
                <w:rFonts w:ascii="Calibri Light"/>
                <w:b w:val="0"/>
                <w:sz w:val="21"/>
              </w:rPr>
              <w:t>of</w:t>
            </w:r>
            <w:r>
              <w:rPr>
                <w:rFonts w:ascii="Calibri Light"/>
                <w:b w:val="0"/>
                <w:spacing w:val="-10"/>
                <w:sz w:val="21"/>
              </w:rPr>
              <w:t> </w:t>
            </w:r>
            <w:r>
              <w:rPr>
                <w:rFonts w:ascii="Calibri Light"/>
                <w:b w:val="0"/>
                <w:sz w:val="21"/>
              </w:rPr>
              <w:t>2018</w:t>
            </w:r>
            <w:r>
              <w:rPr>
                <w:rFonts w:ascii="Calibri Light"/>
                <w:b w:val="0"/>
                <w:spacing w:val="-10"/>
                <w:sz w:val="21"/>
              </w:rPr>
              <w:t> </w:t>
            </w:r>
            <w:r>
              <w:rPr>
                <w:rFonts w:ascii="Calibri Light"/>
                <w:b w:val="0"/>
                <w:sz w:val="21"/>
              </w:rPr>
              <w:t>first</w:t>
            </w:r>
            <w:r>
              <w:rPr>
                <w:rFonts w:ascii="Calibri Light"/>
                <w:b w:val="0"/>
                <w:spacing w:val="-10"/>
                <w:sz w:val="21"/>
              </w:rPr>
              <w:t> </w:t>
            </w:r>
            <w:r>
              <w:rPr>
                <w:rFonts w:ascii="Calibri Light"/>
                <w:b w:val="0"/>
                <w:sz w:val="21"/>
              </w:rPr>
              <w:t>tranche grants improve.</w:t>
            </w:r>
          </w:p>
        </w:tc>
        <w:tc>
          <w:tcPr>
            <w:tcW w:w="6048" w:type="dxa"/>
          </w:tcPr>
          <w:p>
            <w:pPr>
              <w:pStyle w:val="TableParagraph"/>
              <w:numPr>
                <w:ilvl w:val="2"/>
                <w:numId w:val="34"/>
              </w:numPr>
              <w:tabs>
                <w:tab w:pos="705" w:val="left" w:leader="none"/>
              </w:tabs>
              <w:spacing w:line="240" w:lineRule="auto" w:before="150" w:after="0"/>
              <w:ind w:left="704" w:right="0" w:hanging="601"/>
              <w:jc w:val="left"/>
              <w:rPr>
                <w:rFonts w:ascii="Calibri Light"/>
                <w:b w:val="0"/>
                <w:sz w:val="21"/>
              </w:rPr>
            </w:pPr>
            <w:r>
              <w:rPr>
                <w:rFonts w:ascii="Calibri Light"/>
                <w:b w:val="0"/>
                <w:sz w:val="21"/>
              </w:rPr>
              <w:t>At</w:t>
            </w:r>
            <w:r>
              <w:rPr>
                <w:rFonts w:ascii="Calibri Light"/>
                <w:b w:val="0"/>
                <w:spacing w:val="-5"/>
                <w:sz w:val="21"/>
              </w:rPr>
              <w:t> </w:t>
            </w:r>
            <w:r>
              <w:rPr>
                <w:rFonts w:ascii="Calibri Light"/>
                <w:b w:val="0"/>
                <w:sz w:val="21"/>
              </w:rPr>
              <w:t>least</w:t>
            </w:r>
            <w:r>
              <w:rPr>
                <w:rFonts w:ascii="Calibri Light"/>
                <w:b w:val="0"/>
                <w:spacing w:val="-4"/>
                <w:sz w:val="21"/>
              </w:rPr>
              <w:t> </w:t>
            </w:r>
            <w:r>
              <w:rPr>
                <w:rFonts w:ascii="Calibri Light"/>
                <w:b w:val="0"/>
                <w:sz w:val="21"/>
              </w:rPr>
              <w:t>80</w:t>
            </w:r>
            <w:r>
              <w:rPr>
                <w:rFonts w:ascii="Calibri Light"/>
                <w:b w:val="0"/>
                <w:spacing w:val="-4"/>
                <w:sz w:val="21"/>
              </w:rPr>
              <w:t> </w:t>
            </w:r>
            <w:r>
              <w:rPr>
                <w:rFonts w:ascii="Calibri Light"/>
                <w:b w:val="0"/>
                <w:sz w:val="21"/>
              </w:rPr>
              <w:t>%</w:t>
            </w:r>
            <w:r>
              <w:rPr>
                <w:rFonts w:ascii="Calibri Light"/>
                <w:b w:val="0"/>
                <w:spacing w:val="-4"/>
                <w:sz w:val="21"/>
              </w:rPr>
              <w:t> </w:t>
            </w:r>
            <w:r>
              <w:rPr>
                <w:rFonts w:ascii="Calibri Light"/>
                <w:b w:val="0"/>
                <w:sz w:val="21"/>
              </w:rPr>
              <w:t>of</w:t>
            </w:r>
            <w:r>
              <w:rPr>
                <w:rFonts w:ascii="Calibri Light"/>
                <w:b w:val="0"/>
                <w:spacing w:val="-3"/>
                <w:sz w:val="21"/>
              </w:rPr>
              <w:t> </w:t>
            </w:r>
            <w:r>
              <w:rPr>
                <w:rFonts w:ascii="Calibri Light"/>
                <w:b w:val="0"/>
                <w:sz w:val="21"/>
              </w:rPr>
              <w:t>2017</w:t>
            </w:r>
            <w:r>
              <w:rPr>
                <w:rFonts w:ascii="Calibri Light"/>
                <w:b w:val="0"/>
                <w:spacing w:val="-4"/>
                <w:sz w:val="21"/>
              </w:rPr>
              <w:t> </w:t>
            </w:r>
            <w:r>
              <w:rPr>
                <w:rFonts w:ascii="Calibri Light"/>
                <w:b w:val="0"/>
                <w:sz w:val="21"/>
              </w:rPr>
              <w:t>School</w:t>
            </w:r>
            <w:r>
              <w:rPr>
                <w:rFonts w:ascii="Calibri Light"/>
                <w:b w:val="0"/>
                <w:spacing w:val="-5"/>
                <w:sz w:val="21"/>
              </w:rPr>
              <w:t> </w:t>
            </w:r>
            <w:r>
              <w:rPr>
                <w:rFonts w:ascii="Calibri Light"/>
                <w:b w:val="0"/>
                <w:sz w:val="21"/>
              </w:rPr>
              <w:t>Grants</w:t>
            </w:r>
            <w:r>
              <w:rPr>
                <w:rFonts w:ascii="Calibri Light"/>
                <w:b w:val="0"/>
                <w:spacing w:val="-3"/>
                <w:sz w:val="21"/>
              </w:rPr>
              <w:t> </w:t>
            </w:r>
            <w:r>
              <w:rPr>
                <w:rFonts w:ascii="Calibri Light"/>
                <w:b w:val="0"/>
                <w:sz w:val="21"/>
              </w:rPr>
              <w:t>are</w:t>
            </w:r>
            <w:r>
              <w:rPr>
                <w:rFonts w:ascii="Calibri Light"/>
                <w:b w:val="0"/>
                <w:spacing w:val="-1"/>
                <w:sz w:val="21"/>
              </w:rPr>
              <w:t> </w:t>
            </w:r>
            <w:r>
              <w:rPr>
                <w:rFonts w:ascii="Calibri Light"/>
                <w:b w:val="0"/>
                <w:sz w:val="21"/>
              </w:rPr>
              <w:t>retired</w:t>
            </w:r>
            <w:r>
              <w:rPr>
                <w:rFonts w:ascii="Calibri Light"/>
                <w:b w:val="0"/>
                <w:spacing w:val="-2"/>
                <w:sz w:val="21"/>
              </w:rPr>
              <w:t> </w:t>
            </w:r>
            <w:r>
              <w:rPr>
                <w:rFonts w:ascii="Calibri Light"/>
                <w:b w:val="0"/>
                <w:sz w:val="21"/>
              </w:rPr>
              <w:t>on</w:t>
            </w:r>
            <w:r>
              <w:rPr>
                <w:rFonts w:ascii="Calibri Light"/>
                <w:b w:val="0"/>
                <w:spacing w:val="-1"/>
                <w:sz w:val="21"/>
              </w:rPr>
              <w:t> </w:t>
            </w:r>
            <w:r>
              <w:rPr>
                <w:rFonts w:ascii="Calibri Light"/>
                <w:b w:val="0"/>
                <w:spacing w:val="-4"/>
                <w:sz w:val="21"/>
              </w:rPr>
              <w:t>time</w:t>
            </w:r>
          </w:p>
          <w:p>
            <w:pPr>
              <w:pStyle w:val="TableParagraph"/>
              <w:numPr>
                <w:ilvl w:val="2"/>
                <w:numId w:val="34"/>
              </w:numPr>
              <w:tabs>
                <w:tab w:pos="705" w:val="left" w:leader="none"/>
              </w:tabs>
              <w:spacing w:line="240" w:lineRule="auto" w:before="66" w:after="0"/>
              <w:ind w:left="704" w:right="189" w:hanging="601"/>
              <w:jc w:val="left"/>
              <w:rPr>
                <w:rFonts w:ascii="Calibri Light"/>
                <w:b w:val="0"/>
                <w:sz w:val="21"/>
              </w:rPr>
            </w:pPr>
            <w:r>
              <w:rPr>
                <w:rFonts w:ascii="Calibri Light"/>
                <w:b w:val="0"/>
                <w:sz w:val="21"/>
              </w:rPr>
              <w:t>At</w:t>
            </w:r>
            <w:r>
              <w:rPr>
                <w:rFonts w:ascii="Calibri Light"/>
                <w:b w:val="0"/>
                <w:spacing w:val="-5"/>
                <w:sz w:val="21"/>
              </w:rPr>
              <w:t> </w:t>
            </w:r>
            <w:r>
              <w:rPr>
                <w:rFonts w:ascii="Calibri Light"/>
                <w:b w:val="0"/>
                <w:sz w:val="21"/>
              </w:rPr>
              <w:t>least</w:t>
            </w:r>
            <w:r>
              <w:rPr>
                <w:rFonts w:ascii="Calibri Light"/>
                <w:b w:val="0"/>
                <w:spacing w:val="-5"/>
                <w:sz w:val="21"/>
              </w:rPr>
              <w:t> </w:t>
            </w:r>
            <w:r>
              <w:rPr>
                <w:rFonts w:ascii="Calibri Light"/>
                <w:b w:val="0"/>
                <w:sz w:val="21"/>
              </w:rPr>
              <w:t>85%</w:t>
            </w:r>
            <w:r>
              <w:rPr>
                <w:rFonts w:ascii="Calibri Light"/>
                <w:b w:val="0"/>
                <w:spacing w:val="-4"/>
                <w:sz w:val="21"/>
              </w:rPr>
              <w:t> </w:t>
            </w:r>
            <w:r>
              <w:rPr>
                <w:rFonts w:ascii="Calibri Light"/>
                <w:b w:val="0"/>
                <w:sz w:val="21"/>
              </w:rPr>
              <w:t>of</w:t>
            </w:r>
            <w:r>
              <w:rPr>
                <w:rFonts w:ascii="Calibri Light"/>
                <w:b w:val="0"/>
                <w:spacing w:val="-4"/>
                <w:sz w:val="21"/>
              </w:rPr>
              <w:t> </w:t>
            </w:r>
            <w:r>
              <w:rPr>
                <w:rFonts w:ascii="Calibri Light"/>
                <w:b w:val="0"/>
                <w:sz w:val="21"/>
              </w:rPr>
              <w:t>schools</w:t>
            </w:r>
            <w:r>
              <w:rPr>
                <w:rFonts w:ascii="Calibri Light"/>
                <w:b w:val="0"/>
                <w:spacing w:val="-3"/>
                <w:sz w:val="21"/>
              </w:rPr>
              <w:t> </w:t>
            </w:r>
            <w:r>
              <w:rPr>
                <w:rFonts w:ascii="Calibri Light"/>
                <w:b w:val="0"/>
                <w:sz w:val="21"/>
              </w:rPr>
              <w:t>receive</w:t>
            </w:r>
            <w:r>
              <w:rPr>
                <w:rFonts w:ascii="Calibri Light"/>
                <w:b w:val="0"/>
                <w:spacing w:val="-2"/>
                <w:sz w:val="21"/>
              </w:rPr>
              <w:t> </w:t>
            </w:r>
            <w:r>
              <w:rPr>
                <w:rFonts w:ascii="Calibri Light"/>
                <w:b w:val="0"/>
                <w:sz w:val="21"/>
              </w:rPr>
              <w:t>the</w:t>
            </w:r>
            <w:r>
              <w:rPr>
                <w:rFonts w:ascii="Calibri Light"/>
                <w:b w:val="0"/>
                <w:spacing w:val="-2"/>
                <w:sz w:val="21"/>
              </w:rPr>
              <w:t> </w:t>
            </w:r>
            <w:r>
              <w:rPr>
                <w:rFonts w:ascii="Calibri Light"/>
                <w:b w:val="0"/>
                <w:sz w:val="21"/>
              </w:rPr>
              <w:t>first</w:t>
            </w:r>
            <w:r>
              <w:rPr>
                <w:rFonts w:ascii="Calibri Light"/>
                <w:b w:val="0"/>
                <w:spacing w:val="-5"/>
                <w:sz w:val="21"/>
              </w:rPr>
              <w:t> </w:t>
            </w:r>
            <w:r>
              <w:rPr>
                <w:rFonts w:ascii="Calibri Light"/>
                <w:b w:val="0"/>
                <w:sz w:val="21"/>
              </w:rPr>
              <w:t>tranche</w:t>
            </w:r>
            <w:r>
              <w:rPr>
                <w:rFonts w:ascii="Calibri Light"/>
                <w:b w:val="0"/>
                <w:spacing w:val="-2"/>
                <w:sz w:val="21"/>
              </w:rPr>
              <w:t> </w:t>
            </w:r>
            <w:r>
              <w:rPr>
                <w:rFonts w:ascii="Calibri Light"/>
                <w:b w:val="0"/>
                <w:sz w:val="21"/>
              </w:rPr>
              <w:t>of</w:t>
            </w:r>
            <w:r>
              <w:rPr>
                <w:rFonts w:ascii="Calibri Light"/>
                <w:b w:val="0"/>
                <w:spacing w:val="-9"/>
                <w:sz w:val="21"/>
              </w:rPr>
              <w:t> </w:t>
            </w:r>
            <w:r>
              <w:rPr>
                <w:rFonts w:ascii="Calibri Light"/>
                <w:b w:val="0"/>
                <w:sz w:val="21"/>
              </w:rPr>
              <w:t>their</w:t>
            </w:r>
            <w:r>
              <w:rPr>
                <w:rFonts w:ascii="Calibri Light"/>
                <w:b w:val="0"/>
                <w:spacing w:val="-4"/>
                <w:sz w:val="21"/>
              </w:rPr>
              <w:t> </w:t>
            </w:r>
            <w:r>
              <w:rPr>
                <w:rFonts w:ascii="Calibri Light"/>
                <w:b w:val="0"/>
                <w:sz w:val="21"/>
              </w:rPr>
              <w:t>2018 School Grant by the end of March 2018.</w:t>
            </w:r>
          </w:p>
        </w:tc>
        <w:tc>
          <w:tcPr>
            <w:tcW w:w="4013" w:type="dxa"/>
          </w:tcPr>
          <w:p>
            <w:pPr>
              <w:pStyle w:val="TableParagraph"/>
              <w:spacing w:before="9"/>
              <w:rPr>
                <w:sz w:val="24"/>
              </w:rPr>
            </w:pPr>
          </w:p>
          <w:p>
            <w:pPr>
              <w:pStyle w:val="TableParagraph"/>
              <w:numPr>
                <w:ilvl w:val="0"/>
                <w:numId w:val="35"/>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Record</w:t>
            </w:r>
            <w:r>
              <w:rPr>
                <w:rFonts w:ascii="Calibri Light" w:hAnsi="Calibri Light"/>
                <w:b w:val="0"/>
                <w:spacing w:val="-1"/>
                <w:sz w:val="21"/>
              </w:rPr>
              <w:t> </w:t>
            </w:r>
            <w:r>
              <w:rPr>
                <w:rFonts w:ascii="Calibri Light" w:hAnsi="Calibri Light"/>
                <w:b w:val="0"/>
                <w:sz w:val="21"/>
              </w:rPr>
              <w:t>of</w:t>
            </w:r>
            <w:r>
              <w:rPr>
                <w:rFonts w:ascii="Calibri Light" w:hAnsi="Calibri Light"/>
                <w:b w:val="0"/>
                <w:spacing w:val="-5"/>
                <w:sz w:val="21"/>
              </w:rPr>
              <w:t> </w:t>
            </w:r>
            <w:r>
              <w:rPr>
                <w:rFonts w:ascii="Calibri Light" w:hAnsi="Calibri Light"/>
                <w:b w:val="0"/>
                <w:spacing w:val="-2"/>
                <w:sz w:val="21"/>
              </w:rPr>
              <w:t>acquittals</w:t>
            </w:r>
          </w:p>
          <w:p>
            <w:pPr>
              <w:pStyle w:val="TableParagraph"/>
              <w:numPr>
                <w:ilvl w:val="0"/>
                <w:numId w:val="35"/>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Record</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6"/>
                <w:sz w:val="21"/>
              </w:rPr>
              <w:t> </w:t>
            </w:r>
            <w:r>
              <w:rPr>
                <w:rFonts w:ascii="Calibri Light" w:hAnsi="Calibri Light"/>
                <w:b w:val="0"/>
                <w:sz w:val="21"/>
              </w:rPr>
              <w:t>distribution</w:t>
            </w:r>
            <w:r>
              <w:rPr>
                <w:rFonts w:ascii="Calibri Light" w:hAnsi="Calibri Light"/>
                <w:b w:val="0"/>
                <w:spacing w:val="-4"/>
                <w:sz w:val="21"/>
              </w:rPr>
              <w:t> </w:t>
            </w:r>
            <w:r>
              <w:rPr>
                <w:rFonts w:ascii="Calibri Light" w:hAnsi="Calibri Light"/>
                <w:b w:val="0"/>
                <w:sz w:val="21"/>
              </w:rPr>
              <w:t>of</w:t>
            </w:r>
            <w:r>
              <w:rPr>
                <w:rFonts w:ascii="Calibri Light" w:hAnsi="Calibri Light"/>
                <w:b w:val="0"/>
                <w:spacing w:val="-6"/>
                <w:sz w:val="21"/>
              </w:rPr>
              <w:t> </w:t>
            </w:r>
            <w:r>
              <w:rPr>
                <w:rFonts w:ascii="Calibri Light" w:hAnsi="Calibri Light"/>
                <w:b w:val="0"/>
                <w:sz w:val="21"/>
              </w:rPr>
              <w:t>2018</w:t>
            </w:r>
            <w:r>
              <w:rPr>
                <w:rFonts w:ascii="Calibri Light" w:hAnsi="Calibri Light"/>
                <w:b w:val="0"/>
                <w:spacing w:val="-6"/>
                <w:sz w:val="21"/>
              </w:rPr>
              <w:t> </w:t>
            </w:r>
            <w:r>
              <w:rPr>
                <w:rFonts w:ascii="Calibri Light" w:hAnsi="Calibri Light"/>
                <w:b w:val="0"/>
                <w:sz w:val="21"/>
              </w:rPr>
              <w:t>Tranche</w:t>
            </w:r>
            <w:r>
              <w:rPr>
                <w:rFonts w:ascii="Calibri Light" w:hAnsi="Calibri Light"/>
                <w:b w:val="0"/>
                <w:spacing w:val="-3"/>
                <w:sz w:val="21"/>
              </w:rPr>
              <w:t> </w:t>
            </w:r>
            <w:r>
              <w:rPr>
                <w:rFonts w:ascii="Calibri Light" w:hAnsi="Calibri Light"/>
                <w:b w:val="0"/>
                <w:spacing w:val="-10"/>
                <w:sz w:val="21"/>
              </w:rPr>
              <w:t>1</w:t>
            </w:r>
          </w:p>
        </w:tc>
      </w:tr>
      <w:tr>
        <w:trPr>
          <w:trHeight w:val="657" w:hRule="atLeast"/>
        </w:trPr>
        <w:tc>
          <w:tcPr>
            <w:tcW w:w="562" w:type="dxa"/>
          </w:tcPr>
          <w:p>
            <w:pPr>
              <w:pStyle w:val="TableParagraph"/>
              <w:spacing w:before="54"/>
              <w:ind w:left="110"/>
              <w:rPr>
                <w:rFonts w:ascii="Calibri Light"/>
                <w:b w:val="0"/>
                <w:sz w:val="21"/>
              </w:rPr>
            </w:pPr>
            <w:r>
              <w:rPr>
                <w:rFonts w:ascii="Calibri Light"/>
                <w:b w:val="0"/>
                <w:spacing w:val="-5"/>
                <w:sz w:val="21"/>
              </w:rPr>
              <w:t>4.4</w:t>
            </w:r>
          </w:p>
        </w:tc>
        <w:tc>
          <w:tcPr>
            <w:tcW w:w="3077" w:type="dxa"/>
          </w:tcPr>
          <w:p>
            <w:pPr>
              <w:pStyle w:val="TableParagraph"/>
              <w:spacing w:before="59"/>
              <w:ind w:left="104" w:right="128"/>
              <w:rPr>
                <w:rFonts w:ascii="Calibri Light"/>
                <w:b w:val="0"/>
                <w:sz w:val="21"/>
              </w:rPr>
            </w:pPr>
            <w:r>
              <w:rPr>
                <w:rFonts w:ascii="Calibri Light"/>
                <w:b w:val="0"/>
                <w:sz w:val="21"/>
              </w:rPr>
              <w:t>External</w:t>
            </w:r>
            <w:r>
              <w:rPr>
                <w:rFonts w:ascii="Calibri Light"/>
                <w:b w:val="0"/>
                <w:spacing w:val="-12"/>
                <w:sz w:val="21"/>
              </w:rPr>
              <w:t> </w:t>
            </w:r>
            <w:r>
              <w:rPr>
                <w:rFonts w:ascii="Calibri Light"/>
                <w:b w:val="0"/>
                <w:sz w:val="21"/>
              </w:rPr>
              <w:t>Audits</w:t>
            </w:r>
            <w:r>
              <w:rPr>
                <w:rFonts w:ascii="Calibri Light"/>
                <w:b w:val="0"/>
                <w:spacing w:val="-10"/>
                <w:sz w:val="21"/>
              </w:rPr>
              <w:t> </w:t>
            </w:r>
            <w:r>
              <w:rPr>
                <w:rFonts w:ascii="Calibri Light"/>
                <w:b w:val="0"/>
                <w:sz w:val="21"/>
              </w:rPr>
              <w:t>of</w:t>
            </w:r>
            <w:r>
              <w:rPr>
                <w:rFonts w:ascii="Calibri Light"/>
                <w:b w:val="0"/>
                <w:spacing w:val="-11"/>
                <w:sz w:val="21"/>
              </w:rPr>
              <w:t> </w:t>
            </w:r>
            <w:r>
              <w:rPr>
                <w:rFonts w:ascii="Calibri Light"/>
                <w:b w:val="0"/>
                <w:sz w:val="21"/>
              </w:rPr>
              <w:t>MEHRD finances are conducted.</w:t>
            </w:r>
          </w:p>
        </w:tc>
        <w:tc>
          <w:tcPr>
            <w:tcW w:w="6048" w:type="dxa"/>
          </w:tcPr>
          <w:p>
            <w:pPr>
              <w:pStyle w:val="TableParagraph"/>
              <w:spacing w:before="73"/>
              <w:ind w:left="704" w:hanging="601"/>
              <w:rPr>
                <w:rFonts w:ascii="Calibri Light" w:hAnsi="Calibri Light"/>
                <w:b w:val="0"/>
                <w:sz w:val="21"/>
              </w:rPr>
            </w:pPr>
            <w:r>
              <w:rPr>
                <w:rFonts w:ascii="Calibri Light" w:hAnsi="Calibri Light"/>
                <w:b w:val="0"/>
                <w:sz w:val="21"/>
              </w:rPr>
              <w:t>4.4.1</w:t>
            </w:r>
            <w:r>
              <w:rPr>
                <w:rFonts w:ascii="Calibri Light" w:hAnsi="Calibri Light"/>
                <w:b w:val="0"/>
                <w:spacing w:val="80"/>
                <w:w w:val="150"/>
                <w:sz w:val="21"/>
              </w:rPr>
              <w:t> </w:t>
            </w:r>
            <w:r>
              <w:rPr>
                <w:rFonts w:ascii="Calibri Light" w:hAnsi="Calibri Light"/>
                <w:b w:val="0"/>
                <w:sz w:val="21"/>
              </w:rPr>
              <w:t>At least one external audit is conducted by the Auditor- General’s</w:t>
            </w:r>
            <w:r>
              <w:rPr>
                <w:rFonts w:ascii="Calibri Light" w:hAnsi="Calibri Light"/>
                <w:b w:val="0"/>
                <w:spacing w:val="-5"/>
                <w:sz w:val="21"/>
              </w:rPr>
              <w:t> </w:t>
            </w:r>
            <w:r>
              <w:rPr>
                <w:rFonts w:ascii="Calibri Light" w:hAnsi="Calibri Light"/>
                <w:b w:val="0"/>
                <w:sz w:val="21"/>
              </w:rPr>
              <w:t>Department</w:t>
            </w:r>
            <w:r>
              <w:rPr>
                <w:rFonts w:ascii="Calibri Light" w:hAnsi="Calibri Light"/>
                <w:b w:val="0"/>
                <w:spacing w:val="-6"/>
                <w:sz w:val="21"/>
              </w:rPr>
              <w:t> </w:t>
            </w:r>
            <w:r>
              <w:rPr>
                <w:rFonts w:ascii="Calibri Light" w:hAnsi="Calibri Light"/>
                <w:b w:val="0"/>
                <w:sz w:val="21"/>
              </w:rPr>
              <w:t>or</w:t>
            </w:r>
            <w:r>
              <w:rPr>
                <w:rFonts w:ascii="Calibri Light" w:hAnsi="Calibri Light"/>
                <w:b w:val="0"/>
                <w:spacing w:val="-6"/>
                <w:sz w:val="21"/>
              </w:rPr>
              <w:t> </w:t>
            </w:r>
            <w:r>
              <w:rPr>
                <w:rFonts w:ascii="Calibri Light" w:hAnsi="Calibri Light"/>
                <w:b w:val="0"/>
                <w:sz w:val="21"/>
              </w:rPr>
              <w:t>a</w:t>
            </w:r>
            <w:r>
              <w:rPr>
                <w:rFonts w:ascii="Calibri Light" w:hAnsi="Calibri Light"/>
                <w:b w:val="0"/>
                <w:spacing w:val="-4"/>
                <w:sz w:val="21"/>
              </w:rPr>
              <w:t> </w:t>
            </w:r>
            <w:r>
              <w:rPr>
                <w:rFonts w:ascii="Calibri Light" w:hAnsi="Calibri Light"/>
                <w:b w:val="0"/>
                <w:sz w:val="21"/>
              </w:rPr>
              <w:t>suitably</w:t>
            </w:r>
            <w:r>
              <w:rPr>
                <w:rFonts w:ascii="Calibri Light" w:hAnsi="Calibri Light"/>
                <w:b w:val="0"/>
                <w:spacing w:val="-6"/>
                <w:sz w:val="21"/>
              </w:rPr>
              <w:t> </w:t>
            </w:r>
            <w:r>
              <w:rPr>
                <w:rFonts w:ascii="Calibri Light" w:hAnsi="Calibri Light"/>
                <w:b w:val="0"/>
                <w:sz w:val="21"/>
              </w:rPr>
              <w:t>qualified</w:t>
            </w:r>
            <w:r>
              <w:rPr>
                <w:rFonts w:ascii="Calibri Light" w:hAnsi="Calibri Light"/>
                <w:b w:val="0"/>
                <w:spacing w:val="-4"/>
                <w:sz w:val="21"/>
              </w:rPr>
              <w:t> </w:t>
            </w:r>
            <w:r>
              <w:rPr>
                <w:rFonts w:ascii="Calibri Light" w:hAnsi="Calibri Light"/>
                <w:b w:val="0"/>
                <w:sz w:val="21"/>
              </w:rPr>
              <w:t>outside</w:t>
            </w:r>
            <w:r>
              <w:rPr>
                <w:rFonts w:ascii="Calibri Light" w:hAnsi="Calibri Light"/>
                <w:b w:val="0"/>
                <w:spacing w:val="-8"/>
                <w:sz w:val="21"/>
              </w:rPr>
              <w:t> </w:t>
            </w:r>
            <w:r>
              <w:rPr>
                <w:rFonts w:ascii="Calibri Light" w:hAnsi="Calibri Light"/>
                <w:b w:val="0"/>
                <w:sz w:val="21"/>
              </w:rPr>
              <w:t>provider.</w:t>
            </w:r>
          </w:p>
        </w:tc>
        <w:tc>
          <w:tcPr>
            <w:tcW w:w="4013" w:type="dxa"/>
          </w:tcPr>
          <w:p>
            <w:pPr>
              <w:pStyle w:val="TableParagraph"/>
              <w:numPr>
                <w:ilvl w:val="0"/>
                <w:numId w:val="36"/>
              </w:numPr>
              <w:tabs>
                <w:tab w:pos="384" w:val="left" w:leader="none"/>
              </w:tabs>
              <w:spacing w:line="240" w:lineRule="auto" w:before="58" w:after="0"/>
              <w:ind w:left="383" w:right="0" w:hanging="275"/>
              <w:jc w:val="left"/>
              <w:rPr>
                <w:rFonts w:ascii="Calibri Light" w:hAnsi="Calibri Light"/>
                <w:b w:val="0"/>
                <w:sz w:val="21"/>
              </w:rPr>
            </w:pPr>
            <w:r>
              <w:rPr>
                <w:rFonts w:ascii="Calibri Light" w:hAnsi="Calibri Light"/>
                <w:b w:val="0"/>
                <w:sz w:val="21"/>
              </w:rPr>
              <w:t>Audit</w:t>
            </w:r>
            <w:r>
              <w:rPr>
                <w:rFonts w:ascii="Calibri Light" w:hAnsi="Calibri Light"/>
                <w:b w:val="0"/>
                <w:spacing w:val="-2"/>
                <w:sz w:val="21"/>
              </w:rPr>
              <w:t> </w:t>
            </w:r>
            <w:r>
              <w:rPr>
                <w:rFonts w:ascii="Calibri Light" w:hAnsi="Calibri Light"/>
                <w:b w:val="0"/>
                <w:spacing w:val="-4"/>
                <w:sz w:val="21"/>
              </w:rPr>
              <w:t>Plan</w:t>
            </w:r>
          </w:p>
          <w:p>
            <w:pPr>
              <w:pStyle w:val="TableParagraph"/>
              <w:numPr>
                <w:ilvl w:val="0"/>
                <w:numId w:val="36"/>
              </w:numPr>
              <w:tabs>
                <w:tab w:pos="384" w:val="left" w:leader="none"/>
              </w:tabs>
              <w:spacing w:line="240" w:lineRule="auto" w:before="1" w:after="0"/>
              <w:ind w:left="383" w:right="0" w:hanging="275"/>
              <w:jc w:val="left"/>
              <w:rPr>
                <w:rFonts w:ascii="Calibri Light" w:hAnsi="Calibri Light"/>
                <w:b w:val="0"/>
                <w:sz w:val="21"/>
              </w:rPr>
            </w:pPr>
            <w:r>
              <w:rPr>
                <w:rFonts w:ascii="Calibri Light" w:hAnsi="Calibri Light"/>
                <w:b w:val="0"/>
                <w:sz w:val="21"/>
              </w:rPr>
              <w:t>Audit</w:t>
            </w:r>
            <w:r>
              <w:rPr>
                <w:rFonts w:ascii="Calibri Light" w:hAnsi="Calibri Light"/>
                <w:b w:val="0"/>
                <w:spacing w:val="-2"/>
                <w:sz w:val="21"/>
              </w:rPr>
              <w:t> Report</w:t>
            </w:r>
          </w:p>
        </w:tc>
      </w:tr>
      <w:tr>
        <w:trPr>
          <w:trHeight w:val="1146" w:hRule="atLeast"/>
        </w:trPr>
        <w:tc>
          <w:tcPr>
            <w:tcW w:w="562" w:type="dxa"/>
          </w:tcPr>
          <w:p>
            <w:pPr>
              <w:pStyle w:val="TableParagraph"/>
              <w:spacing w:before="54"/>
              <w:ind w:left="110"/>
              <w:rPr>
                <w:rFonts w:ascii="Calibri Light"/>
                <w:b w:val="0"/>
                <w:sz w:val="21"/>
              </w:rPr>
            </w:pPr>
            <w:r>
              <w:rPr>
                <w:rFonts w:ascii="Calibri Light"/>
                <w:b w:val="0"/>
                <w:spacing w:val="-5"/>
                <w:sz w:val="21"/>
              </w:rPr>
              <w:t>4.5</w:t>
            </w:r>
          </w:p>
        </w:tc>
        <w:tc>
          <w:tcPr>
            <w:tcW w:w="3077" w:type="dxa"/>
          </w:tcPr>
          <w:p>
            <w:pPr>
              <w:pStyle w:val="TableParagraph"/>
              <w:spacing w:before="59"/>
              <w:ind w:left="104" w:right="155"/>
              <w:rPr>
                <w:rFonts w:ascii="Calibri Light"/>
                <w:b w:val="0"/>
                <w:sz w:val="21"/>
              </w:rPr>
            </w:pPr>
            <w:r>
              <w:rPr>
                <w:rFonts w:ascii="Calibri Light"/>
                <w:b w:val="0"/>
                <w:sz w:val="21"/>
              </w:rPr>
              <w:t>The</w:t>
            </w:r>
            <w:r>
              <w:rPr>
                <w:rFonts w:ascii="Calibri Light"/>
                <w:b w:val="0"/>
                <w:spacing w:val="-9"/>
                <w:sz w:val="21"/>
              </w:rPr>
              <w:t> </w:t>
            </w:r>
            <w:r>
              <w:rPr>
                <w:rFonts w:ascii="Calibri Light"/>
                <w:b w:val="0"/>
                <w:sz w:val="21"/>
              </w:rPr>
              <w:t>economic</w:t>
            </w:r>
            <w:r>
              <w:rPr>
                <w:rFonts w:ascii="Calibri Light"/>
                <w:b w:val="0"/>
                <w:spacing w:val="-12"/>
                <w:sz w:val="21"/>
              </w:rPr>
              <w:t> </w:t>
            </w:r>
            <w:r>
              <w:rPr>
                <w:rFonts w:ascii="Calibri Light"/>
                <w:b w:val="0"/>
                <w:sz w:val="21"/>
              </w:rPr>
              <w:t>and</w:t>
            </w:r>
            <w:r>
              <w:rPr>
                <w:rFonts w:ascii="Calibri Light"/>
                <w:b w:val="0"/>
                <w:spacing w:val="-12"/>
                <w:sz w:val="21"/>
              </w:rPr>
              <w:t> </w:t>
            </w:r>
            <w:r>
              <w:rPr>
                <w:rFonts w:ascii="Calibri Light"/>
                <w:b w:val="0"/>
                <w:sz w:val="21"/>
              </w:rPr>
              <w:t>educational benefits of the SIG tertiary scholarship program are reviewed assessed.</w:t>
            </w:r>
          </w:p>
        </w:tc>
        <w:tc>
          <w:tcPr>
            <w:tcW w:w="6048" w:type="dxa"/>
          </w:tcPr>
          <w:p>
            <w:pPr>
              <w:pStyle w:val="TableParagraph"/>
              <w:spacing w:before="8"/>
              <w:rPr>
                <w:sz w:val="25"/>
              </w:rPr>
            </w:pPr>
          </w:p>
          <w:p>
            <w:pPr>
              <w:pStyle w:val="TableParagraph"/>
              <w:ind w:left="704" w:right="247" w:hanging="601"/>
              <w:rPr>
                <w:rFonts w:ascii="Calibri Light"/>
                <w:b w:val="0"/>
                <w:sz w:val="21"/>
              </w:rPr>
            </w:pPr>
            <w:r>
              <w:rPr>
                <w:rFonts w:ascii="Calibri Light"/>
                <w:b w:val="0"/>
                <w:sz w:val="21"/>
              </w:rPr>
              <w:t>4.5.1</w:t>
            </w:r>
            <w:r>
              <w:rPr>
                <w:rFonts w:ascii="Calibri Light"/>
                <w:b w:val="0"/>
                <w:spacing w:val="80"/>
                <w:w w:val="150"/>
                <w:sz w:val="21"/>
              </w:rPr>
              <w:t> </w:t>
            </w:r>
            <w:r>
              <w:rPr>
                <w:rFonts w:ascii="Calibri Light"/>
                <w:b w:val="0"/>
                <w:sz w:val="21"/>
              </w:rPr>
              <w:t>A</w:t>
            </w:r>
            <w:r>
              <w:rPr>
                <w:rFonts w:ascii="Calibri Light"/>
                <w:b w:val="0"/>
                <w:spacing w:val="-1"/>
                <w:sz w:val="21"/>
              </w:rPr>
              <w:t> </w:t>
            </w:r>
            <w:r>
              <w:rPr>
                <w:rFonts w:ascii="Calibri Light"/>
                <w:b w:val="0"/>
                <w:sz w:val="21"/>
              </w:rPr>
              <w:t>cost-benefit</w:t>
            </w:r>
            <w:r>
              <w:rPr>
                <w:rFonts w:ascii="Calibri Light"/>
                <w:b w:val="0"/>
                <w:spacing w:val="-4"/>
                <w:sz w:val="21"/>
              </w:rPr>
              <w:t> </w:t>
            </w:r>
            <w:r>
              <w:rPr>
                <w:rFonts w:ascii="Calibri Light"/>
                <w:b w:val="0"/>
                <w:sz w:val="21"/>
              </w:rPr>
              <w:t>analysis</w:t>
            </w:r>
            <w:r>
              <w:rPr>
                <w:rFonts w:ascii="Calibri Light"/>
                <w:b w:val="0"/>
                <w:spacing w:val="-7"/>
                <w:sz w:val="21"/>
              </w:rPr>
              <w:t> </w:t>
            </w:r>
            <w:r>
              <w:rPr>
                <w:rFonts w:ascii="Calibri Light"/>
                <w:b w:val="0"/>
                <w:sz w:val="21"/>
              </w:rPr>
              <w:t>of</w:t>
            </w:r>
            <w:r>
              <w:rPr>
                <w:rFonts w:ascii="Calibri Light"/>
                <w:b w:val="0"/>
                <w:spacing w:val="-3"/>
                <w:sz w:val="21"/>
              </w:rPr>
              <w:t> </w:t>
            </w:r>
            <w:r>
              <w:rPr>
                <w:rFonts w:ascii="Calibri Light"/>
                <w:b w:val="0"/>
                <w:sz w:val="21"/>
              </w:rPr>
              <w:t>the</w:t>
            </w:r>
            <w:r>
              <w:rPr>
                <w:rFonts w:ascii="Calibri Light"/>
                <w:b w:val="0"/>
                <w:spacing w:val="-1"/>
                <w:sz w:val="21"/>
              </w:rPr>
              <w:t> </w:t>
            </w:r>
            <w:r>
              <w:rPr>
                <w:rFonts w:ascii="Calibri Light"/>
                <w:b w:val="0"/>
                <w:sz w:val="21"/>
              </w:rPr>
              <w:t>scholarships</w:t>
            </w:r>
            <w:r>
              <w:rPr>
                <w:rFonts w:ascii="Calibri Light"/>
                <w:b w:val="0"/>
                <w:spacing w:val="-2"/>
                <w:sz w:val="21"/>
              </w:rPr>
              <w:t> </w:t>
            </w:r>
            <w:r>
              <w:rPr>
                <w:rFonts w:ascii="Calibri Light"/>
                <w:b w:val="0"/>
                <w:sz w:val="21"/>
              </w:rPr>
              <w:t>program</w:t>
            </w:r>
            <w:r>
              <w:rPr>
                <w:rFonts w:ascii="Calibri Light"/>
                <w:b w:val="0"/>
                <w:spacing w:val="-6"/>
                <w:sz w:val="21"/>
              </w:rPr>
              <w:t> </w:t>
            </w:r>
            <w:r>
              <w:rPr>
                <w:rFonts w:ascii="Calibri Light"/>
                <w:b w:val="0"/>
                <w:sz w:val="21"/>
              </w:rPr>
              <w:t>is designed and approved for implementation.</w:t>
            </w:r>
          </w:p>
        </w:tc>
        <w:tc>
          <w:tcPr>
            <w:tcW w:w="4013" w:type="dxa"/>
          </w:tcPr>
          <w:p>
            <w:pPr>
              <w:pStyle w:val="TableParagraph"/>
              <w:spacing w:before="9"/>
              <w:rPr>
                <w:sz w:val="24"/>
              </w:rPr>
            </w:pPr>
          </w:p>
          <w:p>
            <w:pPr>
              <w:pStyle w:val="TableParagraph"/>
              <w:numPr>
                <w:ilvl w:val="0"/>
                <w:numId w:val="37"/>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Study</w:t>
            </w:r>
            <w:r>
              <w:rPr>
                <w:rFonts w:ascii="Calibri Light" w:hAnsi="Calibri Light"/>
                <w:b w:val="0"/>
                <w:spacing w:val="-7"/>
                <w:sz w:val="21"/>
              </w:rPr>
              <w:t> </w:t>
            </w:r>
            <w:r>
              <w:rPr>
                <w:rFonts w:ascii="Calibri Light" w:hAnsi="Calibri Light"/>
                <w:b w:val="0"/>
                <w:spacing w:val="-2"/>
                <w:sz w:val="21"/>
              </w:rPr>
              <w:t>proposal</w:t>
            </w:r>
          </w:p>
          <w:p>
            <w:pPr>
              <w:pStyle w:val="TableParagraph"/>
              <w:numPr>
                <w:ilvl w:val="0"/>
                <w:numId w:val="37"/>
              </w:numPr>
              <w:tabs>
                <w:tab w:pos="384" w:val="left" w:leader="none"/>
              </w:tabs>
              <w:spacing w:line="266" w:lineRule="exact" w:before="0" w:after="0"/>
              <w:ind w:left="383" w:right="0" w:hanging="275"/>
              <w:jc w:val="left"/>
              <w:rPr>
                <w:rFonts w:ascii="Calibri Light" w:hAnsi="Calibri Light"/>
                <w:b w:val="0"/>
                <w:sz w:val="21"/>
              </w:rPr>
            </w:pPr>
            <w:r>
              <w:rPr>
                <w:rFonts w:ascii="Calibri Light" w:hAnsi="Calibri Light"/>
                <w:b w:val="0"/>
                <w:sz w:val="21"/>
              </w:rPr>
              <w:t>Minute</w:t>
            </w:r>
            <w:r>
              <w:rPr>
                <w:rFonts w:ascii="Calibri Light" w:hAnsi="Calibri Light"/>
                <w:b w:val="0"/>
                <w:spacing w:val="-1"/>
                <w:sz w:val="21"/>
              </w:rPr>
              <w:t> </w:t>
            </w:r>
            <w:r>
              <w:rPr>
                <w:rFonts w:ascii="Calibri Light" w:hAnsi="Calibri Light"/>
                <w:b w:val="0"/>
                <w:sz w:val="21"/>
              </w:rPr>
              <w:t>of</w:t>
            </w:r>
            <w:r>
              <w:rPr>
                <w:rFonts w:ascii="Calibri Light" w:hAnsi="Calibri Light"/>
                <w:b w:val="0"/>
                <w:spacing w:val="-3"/>
                <w:sz w:val="21"/>
              </w:rPr>
              <w:t> </w:t>
            </w:r>
            <w:r>
              <w:rPr>
                <w:rFonts w:ascii="Calibri Light" w:hAnsi="Calibri Light"/>
                <w:b w:val="0"/>
                <w:sz w:val="21"/>
              </w:rPr>
              <w:t>PS</w:t>
            </w:r>
            <w:r>
              <w:rPr>
                <w:rFonts w:ascii="Calibri Light" w:hAnsi="Calibri Light"/>
                <w:b w:val="0"/>
                <w:spacing w:val="-5"/>
                <w:sz w:val="21"/>
              </w:rPr>
              <w:t> </w:t>
            </w:r>
            <w:r>
              <w:rPr>
                <w:rFonts w:ascii="Calibri Light" w:hAnsi="Calibri Light"/>
                <w:b w:val="0"/>
                <w:spacing w:val="-2"/>
                <w:sz w:val="21"/>
              </w:rPr>
              <w:t>approval</w:t>
            </w:r>
          </w:p>
        </w:tc>
      </w:tr>
    </w:tbl>
    <w:p>
      <w:pPr>
        <w:spacing w:after="0" w:line="266" w:lineRule="exact"/>
        <w:jc w:val="left"/>
        <w:rPr>
          <w:rFonts w:ascii="Calibri Light" w:hAnsi="Calibri Light"/>
          <w:sz w:val="21"/>
        </w:rPr>
        <w:sectPr>
          <w:pgSz w:w="16840" w:h="11900" w:orient="landscape"/>
          <w:pgMar w:header="751" w:footer="1238" w:top="1400" w:bottom="1420" w:left="132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Heading1"/>
      </w:pPr>
      <w:bookmarkStart w:name="APPENDICES" w:id="37"/>
      <w:bookmarkEnd w:id="37"/>
      <w:r>
        <w:rPr/>
      </w:r>
      <w:bookmarkStart w:name="_bookmark18" w:id="38"/>
      <w:bookmarkEnd w:id="38"/>
      <w:r>
        <w:rPr/>
      </w:r>
      <w:r>
        <w:rPr>
          <w:spacing w:val="-2"/>
        </w:rPr>
        <w:t>APPENDICES</w:t>
      </w:r>
    </w:p>
    <w:p>
      <w:pPr>
        <w:spacing w:after="0"/>
        <w:sectPr>
          <w:headerReference w:type="default" r:id="rId12"/>
          <w:footerReference w:type="default" r:id="rId13"/>
          <w:pgSz w:w="11900" w:h="16840"/>
          <w:pgMar w:header="751" w:footer="1238" w:top="2000" w:bottom="1420" w:left="1340" w:right="1680"/>
        </w:sectPr>
      </w:pPr>
    </w:p>
    <w:p>
      <w:pPr>
        <w:pStyle w:val="BodyText"/>
        <w:rPr>
          <w:sz w:val="20"/>
        </w:rPr>
      </w:pPr>
    </w:p>
    <w:p>
      <w:pPr>
        <w:pStyle w:val="BodyText"/>
        <w:rPr>
          <w:sz w:val="20"/>
        </w:rPr>
      </w:pPr>
    </w:p>
    <w:p>
      <w:pPr>
        <w:spacing w:before="51"/>
        <w:ind w:left="100" w:right="0" w:firstLine="0"/>
        <w:jc w:val="left"/>
        <w:rPr>
          <w:rFonts w:ascii="Calibri Light"/>
          <w:b w:val="0"/>
          <w:sz w:val="24"/>
        </w:rPr>
      </w:pPr>
      <w:bookmarkStart w:name="Appendix 1 Education Performance Matrix " w:id="39"/>
      <w:bookmarkEnd w:id="39"/>
      <w:r>
        <w:rPr/>
      </w:r>
      <w:bookmarkStart w:name="_bookmark19" w:id="40"/>
      <w:bookmarkEnd w:id="40"/>
      <w:r>
        <w:rPr/>
      </w:r>
      <w:r>
        <w:rPr>
          <w:rFonts w:ascii="Calibri Light"/>
          <w:b w:val="0"/>
          <w:spacing w:val="-2"/>
          <w:sz w:val="24"/>
        </w:rPr>
        <w:t>A</w:t>
      </w:r>
      <w:r>
        <w:rPr>
          <w:rFonts w:ascii="Calibri Light"/>
          <w:b w:val="0"/>
          <w:spacing w:val="-2"/>
          <w:sz w:val="19"/>
        </w:rPr>
        <w:t>PPENDIX</w:t>
      </w:r>
      <w:r>
        <w:rPr>
          <w:rFonts w:ascii="Calibri Light"/>
          <w:b w:val="0"/>
          <w:spacing w:val="-1"/>
          <w:sz w:val="19"/>
        </w:rPr>
        <w:t> </w:t>
      </w:r>
      <w:r>
        <w:rPr>
          <w:rFonts w:ascii="Calibri Light"/>
          <w:b w:val="0"/>
          <w:spacing w:val="-10"/>
          <w:sz w:val="24"/>
        </w:rPr>
        <w:t>1</w:t>
      </w:r>
    </w:p>
    <w:p>
      <w:pPr>
        <w:pStyle w:val="Heading2"/>
        <w:spacing w:before="39"/>
        <w:ind w:left="100"/>
        <w:rPr>
          <w:b w:val="0"/>
        </w:rPr>
      </w:pPr>
      <w:r>
        <w:rPr>
          <w:b w:val="0"/>
          <w:smallCaps/>
          <w:spacing w:val="-2"/>
        </w:rPr>
        <w:t>Education</w:t>
      </w:r>
      <w:r>
        <w:rPr>
          <w:b w:val="0"/>
          <w:smallCaps/>
          <w:spacing w:val="-5"/>
        </w:rPr>
        <w:t> </w:t>
      </w:r>
      <w:r>
        <w:rPr>
          <w:b w:val="0"/>
          <w:smallCaps/>
          <w:spacing w:val="-2"/>
        </w:rPr>
        <w:t>Performance</w:t>
      </w:r>
      <w:r>
        <w:rPr>
          <w:b w:val="0"/>
          <w:smallCaps/>
          <w:spacing w:val="-5"/>
        </w:rPr>
        <w:t> </w:t>
      </w:r>
      <w:r>
        <w:rPr>
          <w:b w:val="0"/>
          <w:smallCaps/>
          <w:spacing w:val="-2"/>
        </w:rPr>
        <w:t>Matrix </w:t>
      </w:r>
      <w:r>
        <w:rPr>
          <w:b w:val="0"/>
          <w:smallCaps/>
          <w:spacing w:val="-4"/>
        </w:rPr>
        <w:t>2016</w:t>
      </w:r>
    </w:p>
    <w:p>
      <w:pPr>
        <w:spacing w:after="0"/>
        <w:sectPr>
          <w:pgSz w:w="11900" w:h="16840"/>
          <w:pgMar w:header="751" w:footer="1238" w:top="2000" w:bottom="1420" w:left="1340" w:right="1680"/>
        </w:sectPr>
      </w:pPr>
    </w:p>
    <w:p>
      <w:pPr>
        <w:pStyle w:val="Heading3"/>
        <w:spacing w:before="46"/>
        <w:ind w:left="820" w:firstLine="0"/>
        <w:rPr>
          <w:rFonts w:ascii="Calibri"/>
        </w:rPr>
      </w:pPr>
      <w:r>
        <w:rPr>
          <w:rFonts w:ascii="Calibri"/>
        </w:rPr>
        <w:t>Overarching</w:t>
      </w:r>
      <w:r>
        <w:rPr>
          <w:rFonts w:ascii="Calibri"/>
          <w:spacing w:val="-4"/>
        </w:rPr>
        <w:t> </w:t>
      </w:r>
      <w:r>
        <w:rPr>
          <w:rFonts w:ascii="Calibri"/>
        </w:rPr>
        <w:t>Target:</w:t>
      </w:r>
      <w:r>
        <w:rPr>
          <w:rFonts w:ascii="Calibri"/>
          <w:spacing w:val="-3"/>
        </w:rPr>
        <w:t> </w:t>
      </w:r>
      <w:r>
        <w:rPr>
          <w:rFonts w:ascii="Calibri"/>
        </w:rPr>
        <w:t>23%</w:t>
      </w:r>
      <w:r>
        <w:rPr>
          <w:rFonts w:ascii="Calibri"/>
          <w:spacing w:val="-3"/>
        </w:rPr>
        <w:t> </w:t>
      </w:r>
      <w:r>
        <w:rPr>
          <w:rFonts w:ascii="Calibri"/>
        </w:rPr>
        <w:t>of</w:t>
      </w:r>
      <w:r>
        <w:rPr>
          <w:rFonts w:ascii="Calibri"/>
          <w:spacing w:val="-3"/>
        </w:rPr>
        <w:t> </w:t>
      </w:r>
      <w:r>
        <w:rPr>
          <w:rFonts w:ascii="Calibri"/>
        </w:rPr>
        <w:t>SIG</w:t>
      </w:r>
      <w:r>
        <w:rPr>
          <w:rFonts w:ascii="Calibri"/>
          <w:spacing w:val="-6"/>
        </w:rPr>
        <w:t> </w:t>
      </w:r>
      <w:r>
        <w:rPr>
          <w:rFonts w:ascii="Calibri"/>
        </w:rPr>
        <w:t>national</w:t>
      </w:r>
      <w:r>
        <w:rPr>
          <w:rFonts w:ascii="Calibri"/>
          <w:spacing w:val="-6"/>
        </w:rPr>
        <w:t> </w:t>
      </w:r>
      <w:r>
        <w:rPr>
          <w:rFonts w:ascii="Calibri"/>
        </w:rPr>
        <w:t>recurrent</w:t>
      </w:r>
      <w:r>
        <w:rPr>
          <w:rFonts w:ascii="Calibri"/>
          <w:spacing w:val="-5"/>
        </w:rPr>
        <w:t> </w:t>
      </w:r>
      <w:r>
        <w:rPr>
          <w:rFonts w:ascii="Calibri"/>
        </w:rPr>
        <w:t>budget</w:t>
      </w:r>
      <w:r>
        <w:rPr>
          <w:rFonts w:ascii="Calibri"/>
          <w:spacing w:val="-4"/>
        </w:rPr>
        <w:t> </w:t>
      </w:r>
      <w:r>
        <w:rPr>
          <w:rFonts w:ascii="Calibri"/>
        </w:rPr>
        <w:t>was</w:t>
      </w:r>
      <w:r>
        <w:rPr>
          <w:rFonts w:ascii="Calibri"/>
          <w:spacing w:val="-7"/>
        </w:rPr>
        <w:t> </w:t>
      </w:r>
      <w:r>
        <w:rPr>
          <w:rFonts w:ascii="Calibri"/>
        </w:rPr>
        <w:t>spent</w:t>
      </w:r>
      <w:r>
        <w:rPr>
          <w:rFonts w:ascii="Calibri"/>
          <w:spacing w:val="-4"/>
        </w:rPr>
        <w:t> </w:t>
      </w:r>
      <w:r>
        <w:rPr>
          <w:rFonts w:ascii="Calibri"/>
        </w:rPr>
        <w:t>on</w:t>
      </w:r>
      <w:r>
        <w:rPr>
          <w:rFonts w:ascii="Calibri"/>
          <w:spacing w:val="-3"/>
        </w:rPr>
        <w:t> </w:t>
      </w:r>
      <w:r>
        <w:rPr>
          <w:rFonts w:ascii="Calibri"/>
        </w:rPr>
        <w:t>education</w:t>
      </w:r>
      <w:r>
        <w:rPr>
          <w:rFonts w:ascii="Calibri"/>
          <w:spacing w:val="-4"/>
        </w:rPr>
        <w:t> </w:t>
      </w:r>
      <w:r>
        <w:rPr>
          <w:rFonts w:ascii="Calibri"/>
        </w:rPr>
        <w:t>in</w:t>
      </w:r>
      <w:r>
        <w:rPr>
          <w:rFonts w:ascii="Calibri"/>
          <w:spacing w:val="-3"/>
        </w:rPr>
        <w:t> </w:t>
      </w:r>
      <w:r>
        <w:rPr>
          <w:rFonts w:ascii="Calibri"/>
          <w:spacing w:val="-4"/>
        </w:rPr>
        <w:t>2016</w:t>
      </w:r>
    </w:p>
    <w:p>
      <w:pPr>
        <w:pStyle w:val="BodyText"/>
        <w:spacing w:before="3"/>
        <w:rPr>
          <w:b/>
        </w:rPr>
      </w:pPr>
    </w:p>
    <w:tbl>
      <w:tblPr>
        <w:tblW w:w="0" w:type="auto"/>
        <w:jc w:val="left"/>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021"/>
        <w:gridCol w:w="3701"/>
        <w:gridCol w:w="3288"/>
        <w:gridCol w:w="2059"/>
        <w:gridCol w:w="2078"/>
      </w:tblGrid>
      <w:tr>
        <w:trPr>
          <w:trHeight w:val="489" w:hRule="atLeast"/>
        </w:trPr>
        <w:tc>
          <w:tcPr>
            <w:tcW w:w="552" w:type="dxa"/>
            <w:shd w:val="clear" w:color="auto" w:fill="FFFF99"/>
          </w:tcPr>
          <w:p>
            <w:pPr>
              <w:pStyle w:val="TableParagraph"/>
              <w:rPr>
                <w:rFonts w:ascii="Times New Roman"/>
                <w:sz w:val="20"/>
              </w:rPr>
            </w:pPr>
          </w:p>
        </w:tc>
        <w:tc>
          <w:tcPr>
            <w:tcW w:w="2021" w:type="dxa"/>
            <w:shd w:val="clear" w:color="auto" w:fill="99CCFF"/>
          </w:tcPr>
          <w:p>
            <w:pPr>
              <w:pStyle w:val="TableParagraph"/>
              <w:spacing w:before="1"/>
              <w:ind w:left="110"/>
              <w:rPr>
                <w:sz w:val="20"/>
              </w:rPr>
            </w:pPr>
            <w:r>
              <w:rPr>
                <w:spacing w:val="-2"/>
                <w:sz w:val="20"/>
              </w:rPr>
              <w:t>Objective</w:t>
            </w:r>
          </w:p>
        </w:tc>
        <w:tc>
          <w:tcPr>
            <w:tcW w:w="3701" w:type="dxa"/>
            <w:shd w:val="clear" w:color="auto" w:fill="99CCFF"/>
          </w:tcPr>
          <w:p>
            <w:pPr>
              <w:pStyle w:val="TableParagraph"/>
              <w:spacing w:line="240" w:lineRule="atLeast"/>
              <w:ind w:left="105" w:right="158"/>
              <w:rPr>
                <w:sz w:val="20"/>
              </w:rPr>
            </w:pPr>
            <w:r>
              <w:rPr>
                <w:sz w:val="20"/>
              </w:rPr>
              <w:t>2016/17</w:t>
            </w:r>
            <w:r>
              <w:rPr>
                <w:spacing w:val="-4"/>
                <w:sz w:val="20"/>
              </w:rPr>
              <w:t> </w:t>
            </w:r>
            <w:r>
              <w:rPr>
                <w:sz w:val="20"/>
              </w:rPr>
              <w:t>Target</w:t>
            </w:r>
            <w:r>
              <w:rPr>
                <w:spacing w:val="-7"/>
                <w:sz w:val="20"/>
              </w:rPr>
              <w:t> </w:t>
            </w:r>
            <w:r>
              <w:rPr>
                <w:sz w:val="20"/>
              </w:rPr>
              <w:t>–</w:t>
            </w:r>
            <w:r>
              <w:rPr>
                <w:spacing w:val="-2"/>
                <w:sz w:val="20"/>
              </w:rPr>
              <w:t> </w:t>
            </w:r>
            <w:r>
              <w:rPr>
                <w:sz w:val="20"/>
              </w:rPr>
              <w:t>to</w:t>
            </w:r>
            <w:r>
              <w:rPr>
                <w:spacing w:val="-7"/>
                <w:sz w:val="20"/>
              </w:rPr>
              <w:t> </w:t>
            </w:r>
            <w:r>
              <w:rPr>
                <w:sz w:val="20"/>
              </w:rPr>
              <w:t>be</w:t>
            </w:r>
            <w:r>
              <w:rPr>
                <w:spacing w:val="-6"/>
                <w:sz w:val="20"/>
              </w:rPr>
              <w:t> </w:t>
            </w:r>
            <w:r>
              <w:rPr>
                <w:sz w:val="20"/>
              </w:rPr>
              <w:t>achieved</w:t>
            </w:r>
            <w:r>
              <w:rPr>
                <w:spacing w:val="-3"/>
                <w:sz w:val="20"/>
              </w:rPr>
              <w:t> </w:t>
            </w:r>
            <w:r>
              <w:rPr>
                <w:sz w:val="20"/>
              </w:rPr>
              <w:t>by</w:t>
            </w:r>
            <w:r>
              <w:rPr>
                <w:spacing w:val="-7"/>
                <w:sz w:val="20"/>
              </w:rPr>
              <w:t> </w:t>
            </w:r>
            <w:r>
              <w:rPr>
                <w:sz w:val="20"/>
              </w:rPr>
              <w:t>30 May 2017</w:t>
            </w:r>
          </w:p>
        </w:tc>
        <w:tc>
          <w:tcPr>
            <w:tcW w:w="3288" w:type="dxa"/>
            <w:shd w:val="clear" w:color="auto" w:fill="99CCFF"/>
          </w:tcPr>
          <w:p>
            <w:pPr>
              <w:pStyle w:val="TableParagraph"/>
              <w:spacing w:before="1"/>
              <w:ind w:left="105"/>
              <w:rPr>
                <w:sz w:val="20"/>
              </w:rPr>
            </w:pPr>
            <w:r>
              <w:rPr>
                <w:spacing w:val="-2"/>
                <w:sz w:val="20"/>
              </w:rPr>
              <w:t>Measurement</w:t>
            </w:r>
          </w:p>
        </w:tc>
        <w:tc>
          <w:tcPr>
            <w:tcW w:w="2059" w:type="dxa"/>
            <w:shd w:val="clear" w:color="auto" w:fill="99CCFF"/>
          </w:tcPr>
          <w:p>
            <w:pPr>
              <w:pStyle w:val="TableParagraph"/>
              <w:spacing w:line="240" w:lineRule="atLeast"/>
              <w:ind w:left="105" w:right="677"/>
              <w:rPr>
                <w:sz w:val="20"/>
              </w:rPr>
            </w:pPr>
            <w:r>
              <w:rPr>
                <w:sz w:val="20"/>
              </w:rPr>
              <w:t>Specific</w:t>
            </w:r>
            <w:r>
              <w:rPr>
                <w:spacing w:val="-12"/>
                <w:sz w:val="20"/>
              </w:rPr>
              <w:t> </w:t>
            </w:r>
            <w:r>
              <w:rPr>
                <w:sz w:val="20"/>
              </w:rPr>
              <w:t>reports </w:t>
            </w:r>
            <w:r>
              <w:rPr>
                <w:spacing w:val="-2"/>
                <w:sz w:val="20"/>
              </w:rPr>
              <w:t>required</w:t>
            </w:r>
          </w:p>
        </w:tc>
        <w:tc>
          <w:tcPr>
            <w:tcW w:w="2078" w:type="dxa"/>
            <w:shd w:val="clear" w:color="auto" w:fill="99CCFF"/>
          </w:tcPr>
          <w:p>
            <w:pPr>
              <w:pStyle w:val="TableParagraph"/>
              <w:spacing w:before="1"/>
              <w:ind w:left="105"/>
              <w:rPr>
                <w:sz w:val="20"/>
              </w:rPr>
            </w:pPr>
            <w:r>
              <w:rPr>
                <w:spacing w:val="-2"/>
                <w:sz w:val="20"/>
              </w:rPr>
              <w:t>Responsible</w:t>
            </w:r>
          </w:p>
        </w:tc>
      </w:tr>
      <w:tr>
        <w:trPr>
          <w:trHeight w:val="1823" w:hRule="atLeast"/>
        </w:trPr>
        <w:tc>
          <w:tcPr>
            <w:tcW w:w="552" w:type="dxa"/>
            <w:shd w:val="clear" w:color="auto" w:fill="FFFF99"/>
          </w:tcPr>
          <w:p>
            <w:pPr>
              <w:pStyle w:val="TableParagraph"/>
              <w:spacing w:before="1"/>
              <w:ind w:left="110"/>
              <w:rPr>
                <w:sz w:val="20"/>
              </w:rPr>
            </w:pPr>
            <w:r>
              <w:rPr>
                <w:spacing w:val="-5"/>
                <w:sz w:val="20"/>
              </w:rPr>
              <w:t>1.1</w:t>
            </w:r>
          </w:p>
        </w:tc>
        <w:tc>
          <w:tcPr>
            <w:tcW w:w="2021" w:type="dxa"/>
          </w:tcPr>
          <w:p>
            <w:pPr>
              <w:pStyle w:val="TableParagraph"/>
              <w:spacing w:before="1"/>
              <w:ind w:left="110" w:right="232"/>
              <w:rPr>
                <w:b/>
                <w:sz w:val="20"/>
              </w:rPr>
            </w:pPr>
            <w:r>
              <w:rPr>
                <w:b/>
                <w:sz w:val="20"/>
              </w:rPr>
              <w:t>Learning</w:t>
            </w:r>
            <w:r>
              <w:rPr>
                <w:b/>
                <w:spacing w:val="-12"/>
                <w:sz w:val="20"/>
              </w:rPr>
              <w:t> </w:t>
            </w:r>
            <w:r>
              <w:rPr>
                <w:b/>
                <w:sz w:val="20"/>
              </w:rPr>
              <w:t>Outcomes: Teacher Training </w:t>
            </w:r>
            <w:r>
              <w:rPr>
                <w:b/>
                <w:spacing w:val="-2"/>
                <w:sz w:val="20"/>
              </w:rPr>
              <w:t>Quality</w:t>
            </w:r>
          </w:p>
        </w:tc>
        <w:tc>
          <w:tcPr>
            <w:tcW w:w="3701" w:type="dxa"/>
          </w:tcPr>
          <w:p>
            <w:pPr>
              <w:pStyle w:val="TableParagraph"/>
              <w:spacing w:before="121"/>
              <w:ind w:left="105"/>
              <w:rPr>
                <w:sz w:val="20"/>
              </w:rPr>
            </w:pPr>
            <w:r>
              <w:rPr>
                <w:sz w:val="20"/>
              </w:rPr>
              <w:t>10% additional teachers are assessed and appraised</w:t>
            </w:r>
            <w:r>
              <w:rPr>
                <w:spacing w:val="-7"/>
                <w:sz w:val="20"/>
              </w:rPr>
              <w:t> </w:t>
            </w:r>
            <w:r>
              <w:rPr>
                <w:sz w:val="20"/>
              </w:rPr>
              <w:t>as</w:t>
            </w:r>
            <w:r>
              <w:rPr>
                <w:spacing w:val="-8"/>
                <w:sz w:val="20"/>
              </w:rPr>
              <w:t> </w:t>
            </w:r>
            <w:r>
              <w:rPr>
                <w:sz w:val="20"/>
              </w:rPr>
              <w:t>meeting</w:t>
            </w:r>
            <w:r>
              <w:rPr>
                <w:spacing w:val="-5"/>
                <w:sz w:val="20"/>
              </w:rPr>
              <w:t> </w:t>
            </w:r>
            <w:r>
              <w:rPr>
                <w:sz w:val="20"/>
              </w:rPr>
              <w:t>the</w:t>
            </w:r>
            <w:r>
              <w:rPr>
                <w:spacing w:val="-6"/>
                <w:sz w:val="20"/>
              </w:rPr>
              <w:t> </w:t>
            </w:r>
            <w:r>
              <w:rPr>
                <w:sz w:val="20"/>
              </w:rPr>
              <w:t>standards</w:t>
            </w:r>
            <w:r>
              <w:rPr>
                <w:spacing w:val="-4"/>
                <w:sz w:val="20"/>
              </w:rPr>
              <w:t> </w:t>
            </w:r>
            <w:r>
              <w:rPr>
                <w:sz w:val="20"/>
              </w:rPr>
              <w:t>by</w:t>
            </w:r>
            <w:r>
              <w:rPr>
                <w:spacing w:val="-7"/>
                <w:sz w:val="20"/>
              </w:rPr>
              <w:t> </w:t>
            </w:r>
            <w:r>
              <w:rPr>
                <w:sz w:val="20"/>
              </w:rPr>
              <w:t>the </w:t>
            </w:r>
            <w:r>
              <w:rPr>
                <w:spacing w:val="-2"/>
                <w:sz w:val="20"/>
              </w:rPr>
              <w:t>Inspectorate.</w:t>
            </w:r>
          </w:p>
        </w:tc>
        <w:tc>
          <w:tcPr>
            <w:tcW w:w="3288" w:type="dxa"/>
          </w:tcPr>
          <w:p>
            <w:pPr>
              <w:pStyle w:val="TableParagraph"/>
              <w:spacing w:before="121"/>
              <w:ind w:left="104"/>
              <w:rPr>
                <w:sz w:val="20"/>
              </w:rPr>
            </w:pPr>
            <w:r>
              <w:rPr>
                <w:sz w:val="20"/>
              </w:rPr>
              <w:t>Inspectors</w:t>
            </w:r>
            <w:r>
              <w:rPr>
                <w:spacing w:val="-5"/>
                <w:sz w:val="20"/>
              </w:rPr>
              <w:t> </w:t>
            </w:r>
            <w:r>
              <w:rPr>
                <w:sz w:val="20"/>
              </w:rPr>
              <w:t>to</w:t>
            </w:r>
            <w:r>
              <w:rPr>
                <w:spacing w:val="-8"/>
                <w:sz w:val="20"/>
              </w:rPr>
              <w:t> </w:t>
            </w:r>
            <w:r>
              <w:rPr>
                <w:sz w:val="20"/>
              </w:rPr>
              <w:t>include</w:t>
            </w:r>
            <w:r>
              <w:rPr>
                <w:spacing w:val="-7"/>
                <w:sz w:val="20"/>
              </w:rPr>
              <w:t> </w:t>
            </w:r>
            <w:r>
              <w:rPr>
                <w:sz w:val="20"/>
              </w:rPr>
              <w:t>data</w:t>
            </w:r>
            <w:r>
              <w:rPr>
                <w:spacing w:val="-8"/>
                <w:sz w:val="20"/>
              </w:rPr>
              <w:t> </w:t>
            </w:r>
            <w:r>
              <w:rPr>
                <w:sz w:val="20"/>
              </w:rPr>
              <w:t>on</w:t>
            </w:r>
            <w:r>
              <w:rPr>
                <w:spacing w:val="-8"/>
                <w:sz w:val="20"/>
              </w:rPr>
              <w:t> </w:t>
            </w:r>
            <w:r>
              <w:rPr>
                <w:sz w:val="20"/>
              </w:rPr>
              <w:t>the quality of training for teachers.</w:t>
            </w:r>
          </w:p>
          <w:p>
            <w:pPr>
              <w:pStyle w:val="TableParagraph"/>
              <w:spacing w:before="121"/>
              <w:ind w:left="104"/>
              <w:rPr>
                <w:sz w:val="20"/>
              </w:rPr>
            </w:pPr>
            <w:r>
              <w:rPr>
                <w:sz w:val="20"/>
              </w:rPr>
              <w:t>Baseline</w:t>
            </w:r>
            <w:r>
              <w:rPr>
                <w:spacing w:val="-9"/>
                <w:sz w:val="20"/>
              </w:rPr>
              <w:t> </w:t>
            </w:r>
            <w:r>
              <w:rPr>
                <w:sz w:val="20"/>
              </w:rPr>
              <w:t>is:</w:t>
            </w:r>
            <w:r>
              <w:rPr>
                <w:spacing w:val="-4"/>
                <w:sz w:val="20"/>
              </w:rPr>
              <w:t> </w:t>
            </w:r>
            <w:r>
              <w:rPr>
                <w:spacing w:val="-5"/>
                <w:sz w:val="20"/>
              </w:rPr>
              <w:t>52%</w:t>
            </w:r>
          </w:p>
          <w:p>
            <w:pPr>
              <w:pStyle w:val="TableParagraph"/>
              <w:spacing w:line="240" w:lineRule="atLeast" w:before="96"/>
              <w:ind w:left="105"/>
              <w:rPr>
                <w:sz w:val="20"/>
              </w:rPr>
            </w:pPr>
            <w:r>
              <w:rPr>
                <w:sz w:val="20"/>
              </w:rPr>
              <w:t>Teacher</w:t>
            </w:r>
            <w:r>
              <w:rPr>
                <w:spacing w:val="-11"/>
                <w:sz w:val="20"/>
              </w:rPr>
              <w:t> </w:t>
            </w:r>
            <w:r>
              <w:rPr>
                <w:sz w:val="20"/>
              </w:rPr>
              <w:t>Workforce</w:t>
            </w:r>
            <w:r>
              <w:rPr>
                <w:spacing w:val="-12"/>
                <w:sz w:val="20"/>
              </w:rPr>
              <w:t> </w:t>
            </w:r>
            <w:r>
              <w:rPr>
                <w:sz w:val="20"/>
              </w:rPr>
              <w:t>Management</w:t>
            </w:r>
            <w:r>
              <w:rPr>
                <w:spacing w:val="-8"/>
                <w:sz w:val="20"/>
              </w:rPr>
              <w:t> </w:t>
            </w:r>
            <w:r>
              <w:rPr>
                <w:sz w:val="20"/>
              </w:rPr>
              <w:t>to contribute to the achievement of better quality of trained teachers</w:t>
            </w:r>
          </w:p>
        </w:tc>
        <w:tc>
          <w:tcPr>
            <w:tcW w:w="2059" w:type="dxa"/>
          </w:tcPr>
          <w:p>
            <w:pPr>
              <w:pStyle w:val="TableParagraph"/>
              <w:spacing w:before="121"/>
              <w:ind w:left="105" w:right="134"/>
              <w:rPr>
                <w:sz w:val="20"/>
              </w:rPr>
            </w:pPr>
            <w:r>
              <w:rPr>
                <w:sz w:val="20"/>
              </w:rPr>
              <w:t>Report</w:t>
            </w:r>
            <w:r>
              <w:rPr>
                <w:spacing w:val="-12"/>
                <w:sz w:val="20"/>
              </w:rPr>
              <w:t> </w:t>
            </w:r>
            <w:r>
              <w:rPr>
                <w:sz w:val="20"/>
              </w:rPr>
              <w:t>on</w:t>
            </w:r>
            <w:r>
              <w:rPr>
                <w:spacing w:val="-11"/>
                <w:sz w:val="20"/>
              </w:rPr>
              <w:t> </w:t>
            </w:r>
            <w:r>
              <w:rPr>
                <w:sz w:val="20"/>
              </w:rPr>
              <w:t>the</w:t>
            </w:r>
            <w:r>
              <w:rPr>
                <w:spacing w:val="-11"/>
                <w:sz w:val="20"/>
              </w:rPr>
              <w:t> </w:t>
            </w:r>
            <w:r>
              <w:rPr>
                <w:sz w:val="20"/>
              </w:rPr>
              <w:t>quality of training </w:t>
            </w:r>
            <w:r>
              <w:rPr>
                <w:spacing w:val="-2"/>
                <w:sz w:val="20"/>
              </w:rPr>
              <w:t>(Inspectorates)</w:t>
            </w:r>
          </w:p>
        </w:tc>
        <w:tc>
          <w:tcPr>
            <w:tcW w:w="2078" w:type="dxa"/>
          </w:tcPr>
          <w:p>
            <w:pPr>
              <w:pStyle w:val="TableParagraph"/>
              <w:spacing w:before="1"/>
              <w:ind w:left="105" w:right="1251"/>
              <w:rPr>
                <w:sz w:val="20"/>
              </w:rPr>
            </w:pPr>
            <w:r>
              <w:rPr>
                <w:spacing w:val="-4"/>
                <w:sz w:val="20"/>
              </w:rPr>
              <w:t>TPDD TSD</w:t>
            </w:r>
          </w:p>
          <w:p>
            <w:pPr>
              <w:pStyle w:val="TableParagraph"/>
              <w:spacing w:before="1"/>
              <w:ind w:left="105"/>
              <w:rPr>
                <w:sz w:val="20"/>
              </w:rPr>
            </w:pPr>
            <w:r>
              <w:rPr>
                <w:spacing w:val="-2"/>
                <w:sz w:val="20"/>
              </w:rPr>
              <w:t>Inspectorate</w:t>
            </w:r>
          </w:p>
        </w:tc>
      </w:tr>
      <w:tr>
        <w:trPr>
          <w:trHeight w:val="1098" w:hRule="atLeast"/>
        </w:trPr>
        <w:tc>
          <w:tcPr>
            <w:tcW w:w="552" w:type="dxa"/>
            <w:shd w:val="clear" w:color="auto" w:fill="FFFF99"/>
          </w:tcPr>
          <w:p>
            <w:pPr>
              <w:pStyle w:val="TableParagraph"/>
              <w:spacing w:before="1"/>
              <w:ind w:left="110"/>
              <w:rPr>
                <w:sz w:val="20"/>
              </w:rPr>
            </w:pPr>
            <w:r>
              <w:rPr>
                <w:spacing w:val="-5"/>
                <w:sz w:val="20"/>
              </w:rPr>
              <w:t>2.1</w:t>
            </w:r>
          </w:p>
        </w:tc>
        <w:tc>
          <w:tcPr>
            <w:tcW w:w="2021" w:type="dxa"/>
          </w:tcPr>
          <w:p>
            <w:pPr>
              <w:pStyle w:val="TableParagraph"/>
              <w:spacing w:before="121"/>
              <w:ind w:left="110" w:right="135"/>
              <w:rPr>
                <w:b/>
                <w:sz w:val="20"/>
              </w:rPr>
            </w:pPr>
            <w:r>
              <w:rPr>
                <w:b/>
                <w:sz w:val="20"/>
              </w:rPr>
              <w:t>Recurrent allocation to</w:t>
            </w:r>
            <w:r>
              <w:rPr>
                <w:b/>
                <w:spacing w:val="-12"/>
                <w:sz w:val="20"/>
              </w:rPr>
              <w:t> </w:t>
            </w:r>
            <w:r>
              <w:rPr>
                <w:b/>
                <w:sz w:val="20"/>
              </w:rPr>
              <w:t>primary</w:t>
            </w:r>
            <w:r>
              <w:rPr>
                <w:b/>
                <w:spacing w:val="-11"/>
                <w:sz w:val="20"/>
              </w:rPr>
              <w:t> </w:t>
            </w:r>
            <w:r>
              <w:rPr>
                <w:b/>
                <w:sz w:val="20"/>
              </w:rPr>
              <w:t>education is protected</w:t>
            </w:r>
          </w:p>
        </w:tc>
        <w:tc>
          <w:tcPr>
            <w:tcW w:w="3701" w:type="dxa"/>
          </w:tcPr>
          <w:p>
            <w:pPr>
              <w:pStyle w:val="TableParagraph"/>
              <w:spacing w:before="121"/>
              <w:ind w:left="105" w:right="158"/>
              <w:rPr>
                <w:sz w:val="20"/>
              </w:rPr>
            </w:pPr>
            <w:r>
              <w:rPr>
                <w:sz w:val="20"/>
              </w:rPr>
              <w:t>2016</w:t>
            </w:r>
            <w:r>
              <w:rPr>
                <w:spacing w:val="-2"/>
                <w:sz w:val="20"/>
              </w:rPr>
              <w:t> </w:t>
            </w:r>
            <w:r>
              <w:rPr>
                <w:sz w:val="20"/>
              </w:rPr>
              <w:t>per</w:t>
            </w:r>
            <w:r>
              <w:rPr>
                <w:spacing w:val="-4"/>
                <w:sz w:val="20"/>
              </w:rPr>
              <w:t> </w:t>
            </w:r>
            <w:r>
              <w:rPr>
                <w:sz w:val="20"/>
              </w:rPr>
              <w:t>unit</w:t>
            </w:r>
            <w:r>
              <w:rPr>
                <w:spacing w:val="-6"/>
                <w:sz w:val="20"/>
              </w:rPr>
              <w:t> </w:t>
            </w:r>
            <w:r>
              <w:rPr>
                <w:sz w:val="20"/>
              </w:rPr>
              <w:t>cost</w:t>
            </w:r>
            <w:r>
              <w:rPr>
                <w:spacing w:val="-6"/>
                <w:sz w:val="20"/>
              </w:rPr>
              <w:t> </w:t>
            </w:r>
            <w:r>
              <w:rPr>
                <w:sz w:val="20"/>
              </w:rPr>
              <w:t>of</w:t>
            </w:r>
            <w:r>
              <w:rPr>
                <w:spacing w:val="-5"/>
                <w:sz w:val="20"/>
              </w:rPr>
              <w:t> </w:t>
            </w:r>
            <w:r>
              <w:rPr>
                <w:sz w:val="20"/>
              </w:rPr>
              <w:t>primary</w:t>
            </w:r>
            <w:r>
              <w:rPr>
                <w:spacing w:val="-6"/>
                <w:sz w:val="20"/>
              </w:rPr>
              <w:t> </w:t>
            </w:r>
            <w:r>
              <w:rPr>
                <w:sz w:val="20"/>
              </w:rPr>
              <w:t>education</w:t>
            </w:r>
            <w:r>
              <w:rPr>
                <w:spacing w:val="-6"/>
                <w:sz w:val="20"/>
              </w:rPr>
              <w:t> </w:t>
            </w:r>
            <w:r>
              <w:rPr>
                <w:sz w:val="20"/>
              </w:rPr>
              <w:t>is at least equal to 2015 per unit cost of primary education indexed to inflation.</w:t>
            </w:r>
          </w:p>
        </w:tc>
        <w:tc>
          <w:tcPr>
            <w:tcW w:w="3288" w:type="dxa"/>
          </w:tcPr>
          <w:p>
            <w:pPr>
              <w:pStyle w:val="TableParagraph"/>
              <w:spacing w:before="121"/>
              <w:ind w:left="104"/>
              <w:rPr>
                <w:sz w:val="20"/>
              </w:rPr>
            </w:pPr>
            <w:r>
              <w:rPr>
                <w:sz w:val="20"/>
              </w:rPr>
              <w:t>Subsector</w:t>
            </w:r>
            <w:r>
              <w:rPr>
                <w:spacing w:val="-12"/>
                <w:sz w:val="20"/>
              </w:rPr>
              <w:t> </w:t>
            </w:r>
            <w:r>
              <w:rPr>
                <w:sz w:val="20"/>
              </w:rPr>
              <w:t>expenditure</w:t>
            </w:r>
            <w:r>
              <w:rPr>
                <w:spacing w:val="-10"/>
                <w:sz w:val="20"/>
              </w:rPr>
              <w:t> </w:t>
            </w:r>
            <w:r>
              <w:rPr>
                <w:sz w:val="20"/>
              </w:rPr>
              <w:t>analysis</w:t>
            </w:r>
            <w:r>
              <w:rPr>
                <w:spacing w:val="-11"/>
                <w:sz w:val="20"/>
              </w:rPr>
              <w:t> </w:t>
            </w:r>
            <w:r>
              <w:rPr>
                <w:sz w:val="20"/>
              </w:rPr>
              <w:t>using existing methodology confirms calculation</w:t>
            </w:r>
            <w:r>
              <w:rPr>
                <w:spacing w:val="-1"/>
                <w:sz w:val="20"/>
              </w:rPr>
              <w:t> </w:t>
            </w:r>
            <w:r>
              <w:rPr>
                <w:sz w:val="20"/>
              </w:rPr>
              <w:t>(abridged)</w:t>
            </w:r>
          </w:p>
        </w:tc>
        <w:tc>
          <w:tcPr>
            <w:tcW w:w="2059" w:type="dxa"/>
          </w:tcPr>
          <w:p>
            <w:pPr>
              <w:pStyle w:val="TableParagraph"/>
              <w:spacing w:line="240" w:lineRule="atLeast" w:before="102"/>
              <w:ind w:left="105" w:right="96"/>
              <w:rPr>
                <w:sz w:val="20"/>
              </w:rPr>
            </w:pPr>
            <w:r>
              <w:rPr>
                <w:sz w:val="20"/>
              </w:rPr>
              <w:t>Subsector</w:t>
            </w:r>
            <w:r>
              <w:rPr>
                <w:spacing w:val="-12"/>
                <w:sz w:val="20"/>
              </w:rPr>
              <w:t> </w:t>
            </w:r>
            <w:r>
              <w:rPr>
                <w:sz w:val="20"/>
              </w:rPr>
              <w:t>expenditure analysis</w:t>
            </w:r>
            <w:r>
              <w:rPr>
                <w:spacing w:val="-12"/>
                <w:sz w:val="20"/>
              </w:rPr>
              <w:t> </w:t>
            </w:r>
            <w:r>
              <w:rPr>
                <w:sz w:val="20"/>
              </w:rPr>
              <w:t>Report</w:t>
            </w:r>
            <w:r>
              <w:rPr>
                <w:spacing w:val="-8"/>
                <w:sz w:val="20"/>
              </w:rPr>
              <w:t> </w:t>
            </w:r>
            <w:r>
              <w:rPr>
                <w:sz w:val="20"/>
              </w:rPr>
              <w:t>for</w:t>
            </w:r>
            <w:r>
              <w:rPr>
                <w:spacing w:val="-10"/>
                <w:sz w:val="20"/>
              </w:rPr>
              <w:t> </w:t>
            </w:r>
            <w:r>
              <w:rPr>
                <w:sz w:val="20"/>
              </w:rPr>
              <w:t>the unit cost of primary </w:t>
            </w:r>
            <w:r>
              <w:rPr>
                <w:spacing w:val="-2"/>
                <w:sz w:val="20"/>
              </w:rPr>
              <w:t>education</w:t>
            </w:r>
          </w:p>
        </w:tc>
        <w:tc>
          <w:tcPr>
            <w:tcW w:w="2078" w:type="dxa"/>
          </w:tcPr>
          <w:p>
            <w:pPr>
              <w:pStyle w:val="TableParagraph"/>
              <w:spacing w:before="121"/>
              <w:ind w:left="105"/>
              <w:rPr>
                <w:sz w:val="20"/>
              </w:rPr>
            </w:pPr>
            <w:r>
              <w:rPr>
                <w:sz w:val="20"/>
              </w:rPr>
              <w:t>CESS</w:t>
            </w:r>
            <w:r>
              <w:rPr>
                <w:spacing w:val="-12"/>
                <w:sz w:val="20"/>
              </w:rPr>
              <w:t> </w:t>
            </w:r>
            <w:r>
              <w:rPr>
                <w:sz w:val="20"/>
              </w:rPr>
              <w:t>&amp;</w:t>
            </w:r>
            <w:r>
              <w:rPr>
                <w:spacing w:val="-11"/>
                <w:sz w:val="20"/>
              </w:rPr>
              <w:t> </w:t>
            </w:r>
            <w:r>
              <w:rPr>
                <w:sz w:val="20"/>
              </w:rPr>
              <w:t>Finance </w:t>
            </w:r>
            <w:r>
              <w:rPr>
                <w:spacing w:val="-2"/>
                <w:sz w:val="20"/>
              </w:rPr>
              <w:t>department</w:t>
            </w:r>
          </w:p>
        </w:tc>
      </w:tr>
      <w:tr>
        <w:trPr>
          <w:trHeight w:val="1662" w:hRule="atLeast"/>
        </w:trPr>
        <w:tc>
          <w:tcPr>
            <w:tcW w:w="552" w:type="dxa"/>
            <w:tcBorders>
              <w:bottom w:val="nil"/>
            </w:tcBorders>
            <w:shd w:val="clear" w:color="auto" w:fill="FFFF99"/>
          </w:tcPr>
          <w:p>
            <w:pPr>
              <w:pStyle w:val="TableParagraph"/>
              <w:spacing w:before="1"/>
              <w:ind w:left="110"/>
              <w:rPr>
                <w:sz w:val="20"/>
              </w:rPr>
            </w:pPr>
            <w:r>
              <w:rPr>
                <w:spacing w:val="-5"/>
                <w:sz w:val="20"/>
              </w:rPr>
              <w:t>2.2</w:t>
            </w:r>
          </w:p>
        </w:tc>
        <w:tc>
          <w:tcPr>
            <w:tcW w:w="2021" w:type="dxa"/>
            <w:tcBorders>
              <w:bottom w:val="nil"/>
            </w:tcBorders>
          </w:tcPr>
          <w:p>
            <w:pPr>
              <w:pStyle w:val="TableParagraph"/>
              <w:spacing w:line="237" w:lineRule="auto" w:before="123"/>
              <w:ind w:left="110" w:right="232"/>
              <w:rPr>
                <w:b/>
                <w:sz w:val="20"/>
              </w:rPr>
            </w:pPr>
            <w:r>
              <w:rPr>
                <w:b/>
                <w:sz w:val="20"/>
              </w:rPr>
              <w:t>School</w:t>
            </w:r>
            <w:r>
              <w:rPr>
                <w:b/>
                <w:spacing w:val="-12"/>
                <w:sz w:val="20"/>
              </w:rPr>
              <w:t> </w:t>
            </w:r>
            <w:r>
              <w:rPr>
                <w:b/>
                <w:sz w:val="20"/>
              </w:rPr>
              <w:t>finance</w:t>
            </w:r>
            <w:r>
              <w:rPr>
                <w:b/>
                <w:spacing w:val="-11"/>
                <w:sz w:val="20"/>
              </w:rPr>
              <w:t> </w:t>
            </w:r>
            <w:r>
              <w:rPr>
                <w:b/>
                <w:sz w:val="20"/>
              </w:rPr>
              <w:t>and management of </w:t>
            </w:r>
            <w:r>
              <w:rPr>
                <w:b/>
                <w:spacing w:val="-2"/>
                <w:sz w:val="20"/>
              </w:rPr>
              <w:t>grants</w:t>
            </w:r>
          </w:p>
        </w:tc>
        <w:tc>
          <w:tcPr>
            <w:tcW w:w="3701" w:type="dxa"/>
            <w:tcBorders>
              <w:bottom w:val="nil"/>
            </w:tcBorders>
          </w:tcPr>
          <w:p>
            <w:pPr>
              <w:pStyle w:val="TableParagraph"/>
              <w:spacing w:before="121"/>
              <w:ind w:left="105" w:right="124"/>
              <w:rPr>
                <w:sz w:val="20"/>
              </w:rPr>
            </w:pPr>
            <w:r>
              <w:rPr>
                <w:sz w:val="20"/>
              </w:rPr>
              <w:t>2.2.1 - 70% of retirements are received by MEHRD</w:t>
            </w:r>
            <w:r>
              <w:rPr>
                <w:spacing w:val="-3"/>
                <w:sz w:val="20"/>
              </w:rPr>
              <w:t> </w:t>
            </w:r>
            <w:r>
              <w:rPr>
                <w:sz w:val="20"/>
              </w:rPr>
              <w:t>on</w:t>
            </w:r>
            <w:r>
              <w:rPr>
                <w:spacing w:val="-4"/>
                <w:sz w:val="20"/>
              </w:rPr>
              <w:t> </w:t>
            </w:r>
            <w:r>
              <w:rPr>
                <w:sz w:val="20"/>
              </w:rPr>
              <w:t>time</w:t>
            </w:r>
            <w:r>
              <w:rPr>
                <w:spacing w:val="-7"/>
                <w:sz w:val="20"/>
              </w:rPr>
              <w:t> </w:t>
            </w:r>
            <w:r>
              <w:rPr>
                <w:i/>
                <w:sz w:val="20"/>
              </w:rPr>
              <w:t>(last</w:t>
            </w:r>
            <w:r>
              <w:rPr>
                <w:i/>
                <w:spacing w:val="-4"/>
                <w:sz w:val="20"/>
              </w:rPr>
              <w:t> </w:t>
            </w:r>
            <w:r>
              <w:rPr>
                <w:i/>
                <w:sz w:val="20"/>
              </w:rPr>
              <w:t>year’s</w:t>
            </w:r>
            <w:r>
              <w:rPr>
                <w:i/>
                <w:spacing w:val="-5"/>
                <w:sz w:val="20"/>
              </w:rPr>
              <w:t> </w:t>
            </w:r>
            <w:r>
              <w:rPr>
                <w:i/>
                <w:sz w:val="20"/>
              </w:rPr>
              <w:t>target</w:t>
            </w:r>
            <w:r>
              <w:rPr>
                <w:i/>
                <w:spacing w:val="-8"/>
                <w:sz w:val="20"/>
              </w:rPr>
              <w:t> </w:t>
            </w:r>
            <w:r>
              <w:rPr>
                <w:i/>
                <w:sz w:val="20"/>
              </w:rPr>
              <w:t>of</w:t>
            </w:r>
            <w:r>
              <w:rPr>
                <w:i/>
                <w:spacing w:val="-7"/>
                <w:sz w:val="20"/>
              </w:rPr>
              <w:t> </w:t>
            </w:r>
            <w:r>
              <w:rPr>
                <w:i/>
                <w:sz w:val="20"/>
              </w:rPr>
              <w:t>100%</w:t>
            </w:r>
            <w:r>
              <w:rPr>
                <w:i/>
                <w:sz w:val="20"/>
              </w:rPr>
              <w:t> included</w:t>
            </w:r>
            <w:r>
              <w:rPr>
                <w:i/>
                <w:spacing w:val="-1"/>
                <w:sz w:val="20"/>
              </w:rPr>
              <w:t> </w:t>
            </w:r>
            <w:r>
              <w:rPr>
                <w:i/>
                <w:sz w:val="20"/>
              </w:rPr>
              <w:t>follow-up</w:t>
            </w:r>
            <w:r>
              <w:rPr>
                <w:i/>
                <w:spacing w:val="-1"/>
                <w:sz w:val="20"/>
              </w:rPr>
              <w:t> </w:t>
            </w:r>
            <w:r>
              <w:rPr>
                <w:i/>
                <w:sz w:val="20"/>
              </w:rPr>
              <w:t>actions</w:t>
            </w:r>
            <w:r>
              <w:rPr>
                <w:i/>
                <w:spacing w:val="-4"/>
                <w:sz w:val="20"/>
              </w:rPr>
              <w:t> </w:t>
            </w:r>
            <w:r>
              <w:rPr>
                <w:i/>
                <w:sz w:val="20"/>
              </w:rPr>
              <w:t>by</w:t>
            </w:r>
            <w:r>
              <w:rPr>
                <w:i/>
                <w:spacing w:val="-1"/>
                <w:sz w:val="20"/>
              </w:rPr>
              <w:t> </w:t>
            </w:r>
            <w:r>
              <w:rPr>
                <w:i/>
                <w:sz w:val="20"/>
              </w:rPr>
              <w:t>MEHRD.</w:t>
            </w:r>
            <w:r>
              <w:rPr>
                <w:i/>
                <w:spacing w:val="-1"/>
                <w:sz w:val="20"/>
              </w:rPr>
              <w:t> </w:t>
            </w:r>
            <w:r>
              <w:rPr>
                <w:i/>
                <w:sz w:val="20"/>
              </w:rPr>
              <w:t>This year’s marker was unrealistic </w:t>
            </w:r>
            <w:r>
              <w:rPr>
                <w:sz w:val="20"/>
              </w:rPr>
              <w:t>and it is suggested that MERHD adjust the</w:t>
            </w:r>
            <w:r>
              <w:rPr>
                <w:spacing w:val="40"/>
                <w:sz w:val="20"/>
              </w:rPr>
              <w:t> </w:t>
            </w:r>
            <w:r>
              <w:rPr>
                <w:sz w:val="20"/>
              </w:rPr>
              <w:t>measure accordingly.</w:t>
            </w:r>
          </w:p>
        </w:tc>
        <w:tc>
          <w:tcPr>
            <w:tcW w:w="3288" w:type="dxa"/>
            <w:tcBorders>
              <w:bottom w:val="nil"/>
            </w:tcBorders>
          </w:tcPr>
          <w:p>
            <w:pPr>
              <w:pStyle w:val="TableParagraph"/>
              <w:spacing w:before="120"/>
              <w:ind w:left="104" w:right="121"/>
              <w:rPr>
                <w:sz w:val="20"/>
              </w:rPr>
            </w:pPr>
            <w:r>
              <w:rPr>
                <w:sz w:val="20"/>
              </w:rPr>
              <w:t>Plan approved and put into action including</w:t>
            </w:r>
            <w:r>
              <w:rPr>
                <w:spacing w:val="-9"/>
                <w:sz w:val="20"/>
              </w:rPr>
              <w:t> </w:t>
            </w:r>
            <w:r>
              <w:rPr>
                <w:sz w:val="20"/>
              </w:rPr>
              <w:t>monitoring</w:t>
            </w:r>
            <w:r>
              <w:rPr>
                <w:spacing w:val="-9"/>
                <w:sz w:val="20"/>
              </w:rPr>
              <w:t> </w:t>
            </w:r>
            <w:r>
              <w:rPr>
                <w:sz w:val="20"/>
              </w:rPr>
              <w:t>for</w:t>
            </w:r>
            <w:r>
              <w:rPr>
                <w:spacing w:val="-9"/>
                <w:sz w:val="20"/>
              </w:rPr>
              <w:t> </w:t>
            </w:r>
            <w:r>
              <w:rPr>
                <w:sz w:val="20"/>
              </w:rPr>
              <w:t>how</w:t>
            </w:r>
            <w:r>
              <w:rPr>
                <w:spacing w:val="-11"/>
                <w:sz w:val="20"/>
              </w:rPr>
              <w:t> </w:t>
            </w:r>
            <w:r>
              <w:rPr>
                <w:sz w:val="20"/>
              </w:rPr>
              <w:t>school grants contributes to improved learning outcomes</w:t>
            </w:r>
          </w:p>
        </w:tc>
        <w:tc>
          <w:tcPr>
            <w:tcW w:w="2059" w:type="dxa"/>
            <w:tcBorders>
              <w:bottom w:val="nil"/>
            </w:tcBorders>
          </w:tcPr>
          <w:p>
            <w:pPr>
              <w:pStyle w:val="TableParagraph"/>
              <w:spacing w:before="121"/>
              <w:ind w:left="105" w:right="134"/>
              <w:rPr>
                <w:sz w:val="20"/>
              </w:rPr>
            </w:pPr>
            <w:r>
              <w:rPr>
                <w:sz w:val="20"/>
              </w:rPr>
              <w:t>Report</w:t>
            </w:r>
            <w:r>
              <w:rPr>
                <w:spacing w:val="-5"/>
                <w:sz w:val="20"/>
              </w:rPr>
              <w:t> </w:t>
            </w:r>
            <w:r>
              <w:rPr>
                <w:sz w:val="20"/>
              </w:rPr>
              <w:t>on</w:t>
            </w:r>
            <w:r>
              <w:rPr>
                <w:spacing w:val="-5"/>
                <w:sz w:val="20"/>
              </w:rPr>
              <w:t> </w:t>
            </w:r>
            <w:r>
              <w:rPr>
                <w:sz w:val="20"/>
              </w:rPr>
              <w:t>the</w:t>
            </w:r>
            <w:r>
              <w:rPr>
                <w:spacing w:val="-4"/>
                <w:sz w:val="20"/>
              </w:rPr>
              <w:t> </w:t>
            </w:r>
            <w:r>
              <w:rPr>
                <w:sz w:val="20"/>
              </w:rPr>
              <w:t>review of the School Grant Retirement</w:t>
            </w:r>
            <w:r>
              <w:rPr>
                <w:spacing w:val="-12"/>
                <w:sz w:val="20"/>
              </w:rPr>
              <w:t> </w:t>
            </w:r>
            <w:r>
              <w:rPr>
                <w:sz w:val="20"/>
              </w:rPr>
              <w:t>to</w:t>
            </w:r>
            <w:r>
              <w:rPr>
                <w:spacing w:val="-11"/>
                <w:sz w:val="20"/>
              </w:rPr>
              <w:t> </w:t>
            </w:r>
            <w:r>
              <w:rPr>
                <w:sz w:val="20"/>
              </w:rPr>
              <w:t>ensure quality</w:t>
            </w:r>
            <w:r>
              <w:rPr>
                <w:spacing w:val="-1"/>
                <w:sz w:val="20"/>
              </w:rPr>
              <w:t> </w:t>
            </w:r>
            <w:r>
              <w:rPr>
                <w:sz w:val="20"/>
              </w:rPr>
              <w:t>spending</w:t>
            </w:r>
          </w:p>
        </w:tc>
        <w:tc>
          <w:tcPr>
            <w:tcW w:w="2078" w:type="dxa"/>
            <w:tcBorders>
              <w:bottom w:val="nil"/>
            </w:tcBorders>
          </w:tcPr>
          <w:p>
            <w:pPr>
              <w:pStyle w:val="TableParagraph"/>
              <w:spacing w:before="121"/>
              <w:ind w:left="105" w:right="316"/>
              <w:rPr>
                <w:sz w:val="20"/>
              </w:rPr>
            </w:pPr>
            <w:r>
              <w:rPr>
                <w:sz w:val="20"/>
              </w:rPr>
              <w:t>CESS, School</w:t>
            </w:r>
            <w:r>
              <w:rPr>
                <w:spacing w:val="-6"/>
                <w:sz w:val="20"/>
              </w:rPr>
              <w:t> </w:t>
            </w:r>
            <w:r>
              <w:rPr>
                <w:sz w:val="20"/>
              </w:rPr>
              <w:t>Grants division,</w:t>
            </w:r>
            <w:r>
              <w:rPr>
                <w:spacing w:val="-12"/>
                <w:sz w:val="20"/>
              </w:rPr>
              <w:t> </w:t>
            </w:r>
            <w:r>
              <w:rPr>
                <w:sz w:val="20"/>
              </w:rPr>
              <w:t>Retirement unit – Finance </w:t>
            </w:r>
            <w:r>
              <w:rPr>
                <w:spacing w:val="-2"/>
                <w:sz w:val="20"/>
              </w:rPr>
              <w:t>department</w:t>
            </w:r>
          </w:p>
        </w:tc>
      </w:tr>
      <w:tr>
        <w:trPr>
          <w:trHeight w:val="607" w:hRule="atLeast"/>
        </w:trPr>
        <w:tc>
          <w:tcPr>
            <w:tcW w:w="552" w:type="dxa"/>
            <w:tcBorders>
              <w:top w:val="nil"/>
              <w:bottom w:val="nil"/>
            </w:tcBorders>
            <w:shd w:val="clear" w:color="auto" w:fill="FFFF99"/>
          </w:tcPr>
          <w:p>
            <w:pPr>
              <w:pStyle w:val="TableParagraph"/>
              <w:rPr>
                <w:rFonts w:ascii="Times New Roman"/>
                <w:sz w:val="20"/>
              </w:rPr>
            </w:pPr>
          </w:p>
        </w:tc>
        <w:tc>
          <w:tcPr>
            <w:tcW w:w="2021" w:type="dxa"/>
            <w:tcBorders>
              <w:top w:val="nil"/>
              <w:bottom w:val="nil"/>
            </w:tcBorders>
          </w:tcPr>
          <w:p>
            <w:pPr>
              <w:pStyle w:val="TableParagraph"/>
              <w:rPr>
                <w:rFonts w:ascii="Times New Roman"/>
                <w:sz w:val="20"/>
              </w:rPr>
            </w:pPr>
          </w:p>
        </w:tc>
        <w:tc>
          <w:tcPr>
            <w:tcW w:w="3701" w:type="dxa"/>
            <w:tcBorders>
              <w:top w:val="nil"/>
              <w:bottom w:val="nil"/>
            </w:tcBorders>
          </w:tcPr>
          <w:p>
            <w:pPr>
              <w:pStyle w:val="TableParagraph"/>
              <w:spacing w:before="42"/>
              <w:ind w:left="105" w:right="158"/>
              <w:rPr>
                <w:sz w:val="20"/>
              </w:rPr>
            </w:pPr>
            <w:r>
              <w:rPr>
                <w:sz w:val="20"/>
              </w:rPr>
              <w:t>2.2.2.</w:t>
            </w:r>
            <w:r>
              <w:rPr>
                <w:spacing w:val="-7"/>
                <w:sz w:val="20"/>
              </w:rPr>
              <w:t> </w:t>
            </w:r>
            <w:r>
              <w:rPr>
                <w:sz w:val="20"/>
              </w:rPr>
              <w:t>MEHRD</w:t>
            </w:r>
            <w:r>
              <w:rPr>
                <w:spacing w:val="-4"/>
                <w:sz w:val="20"/>
              </w:rPr>
              <w:t> </w:t>
            </w:r>
            <w:r>
              <w:rPr>
                <w:sz w:val="20"/>
              </w:rPr>
              <w:t>disburses</w:t>
            </w:r>
            <w:r>
              <w:rPr>
                <w:spacing w:val="-11"/>
                <w:sz w:val="20"/>
              </w:rPr>
              <w:t> </w:t>
            </w:r>
            <w:r>
              <w:rPr>
                <w:sz w:val="20"/>
              </w:rPr>
              <w:t>first</w:t>
            </w:r>
            <w:r>
              <w:rPr>
                <w:spacing w:val="-5"/>
                <w:sz w:val="20"/>
              </w:rPr>
              <w:t> </w:t>
            </w:r>
            <w:r>
              <w:rPr>
                <w:sz w:val="20"/>
              </w:rPr>
              <w:t>tranche</w:t>
            </w:r>
            <w:r>
              <w:rPr>
                <w:spacing w:val="-8"/>
                <w:sz w:val="20"/>
              </w:rPr>
              <w:t> </w:t>
            </w:r>
            <w:r>
              <w:rPr>
                <w:sz w:val="20"/>
              </w:rPr>
              <w:t>of grants in timely manner.</w:t>
            </w:r>
          </w:p>
        </w:tc>
        <w:tc>
          <w:tcPr>
            <w:tcW w:w="3288" w:type="dxa"/>
            <w:tcBorders>
              <w:top w:val="nil"/>
              <w:bottom w:val="nil"/>
            </w:tcBorders>
          </w:tcPr>
          <w:p>
            <w:pPr>
              <w:pStyle w:val="TableParagraph"/>
              <w:rPr>
                <w:rFonts w:ascii="Times New Roman"/>
                <w:sz w:val="20"/>
              </w:rPr>
            </w:pPr>
          </w:p>
        </w:tc>
        <w:tc>
          <w:tcPr>
            <w:tcW w:w="2059" w:type="dxa"/>
            <w:tcBorders>
              <w:top w:val="nil"/>
              <w:bottom w:val="nil"/>
            </w:tcBorders>
          </w:tcPr>
          <w:p>
            <w:pPr>
              <w:pStyle w:val="TableParagraph"/>
              <w:rPr>
                <w:rFonts w:ascii="Times New Roman"/>
                <w:sz w:val="20"/>
              </w:rPr>
            </w:pPr>
          </w:p>
        </w:tc>
        <w:tc>
          <w:tcPr>
            <w:tcW w:w="2078" w:type="dxa"/>
            <w:tcBorders>
              <w:top w:val="nil"/>
              <w:bottom w:val="nil"/>
            </w:tcBorders>
          </w:tcPr>
          <w:p>
            <w:pPr>
              <w:pStyle w:val="TableParagraph"/>
              <w:spacing w:before="1"/>
              <w:rPr>
                <w:b/>
                <w:sz w:val="23"/>
              </w:rPr>
            </w:pPr>
          </w:p>
          <w:p>
            <w:pPr>
              <w:pStyle w:val="TableParagraph"/>
              <w:spacing w:before="1"/>
              <w:ind w:left="105"/>
              <w:rPr>
                <w:sz w:val="20"/>
              </w:rPr>
            </w:pPr>
            <w:r>
              <w:rPr>
                <w:sz w:val="20"/>
              </w:rPr>
              <w:t>School</w:t>
            </w:r>
            <w:r>
              <w:rPr>
                <w:spacing w:val="-8"/>
                <w:sz w:val="20"/>
              </w:rPr>
              <w:t> </w:t>
            </w:r>
            <w:r>
              <w:rPr>
                <w:sz w:val="20"/>
              </w:rPr>
              <w:t>Grants</w:t>
            </w:r>
            <w:r>
              <w:rPr>
                <w:spacing w:val="-4"/>
                <w:sz w:val="20"/>
              </w:rPr>
              <w:t> Unit</w:t>
            </w:r>
          </w:p>
        </w:tc>
      </w:tr>
      <w:tr>
        <w:trPr>
          <w:trHeight w:val="2236" w:hRule="atLeast"/>
        </w:trPr>
        <w:tc>
          <w:tcPr>
            <w:tcW w:w="552" w:type="dxa"/>
            <w:tcBorders>
              <w:top w:val="nil"/>
            </w:tcBorders>
            <w:shd w:val="clear" w:color="auto" w:fill="FFFF99"/>
          </w:tcPr>
          <w:p>
            <w:pPr>
              <w:pStyle w:val="TableParagraph"/>
              <w:rPr>
                <w:rFonts w:ascii="Times New Roman"/>
                <w:sz w:val="20"/>
              </w:rPr>
            </w:pPr>
          </w:p>
        </w:tc>
        <w:tc>
          <w:tcPr>
            <w:tcW w:w="2021" w:type="dxa"/>
            <w:tcBorders>
              <w:top w:val="nil"/>
            </w:tcBorders>
          </w:tcPr>
          <w:p>
            <w:pPr>
              <w:pStyle w:val="TableParagraph"/>
              <w:rPr>
                <w:rFonts w:ascii="Times New Roman"/>
                <w:sz w:val="20"/>
              </w:rPr>
            </w:pPr>
          </w:p>
        </w:tc>
        <w:tc>
          <w:tcPr>
            <w:tcW w:w="3701" w:type="dxa"/>
            <w:tcBorders>
              <w:top w:val="nil"/>
            </w:tcBorders>
          </w:tcPr>
          <w:p>
            <w:pPr>
              <w:pStyle w:val="TableParagraph"/>
              <w:spacing w:before="3"/>
              <w:rPr>
                <w:b/>
                <w:sz w:val="23"/>
              </w:rPr>
            </w:pPr>
          </w:p>
          <w:p>
            <w:pPr>
              <w:pStyle w:val="TableParagraph"/>
              <w:spacing w:before="1"/>
              <w:ind w:left="105" w:right="158"/>
              <w:rPr>
                <w:sz w:val="20"/>
              </w:rPr>
            </w:pPr>
            <w:r>
              <w:rPr>
                <w:sz w:val="20"/>
              </w:rPr>
              <w:t>2.2.3</w:t>
            </w:r>
            <w:r>
              <w:rPr>
                <w:spacing w:val="-5"/>
                <w:sz w:val="20"/>
              </w:rPr>
              <w:t> </w:t>
            </w:r>
            <w:r>
              <w:rPr>
                <w:sz w:val="20"/>
              </w:rPr>
              <w:t>Strengthen</w:t>
            </w:r>
            <w:r>
              <w:rPr>
                <w:spacing w:val="-4"/>
                <w:sz w:val="20"/>
              </w:rPr>
              <w:t> </w:t>
            </w:r>
            <w:r>
              <w:rPr>
                <w:sz w:val="20"/>
              </w:rPr>
              <w:t>skills</w:t>
            </w:r>
            <w:r>
              <w:rPr>
                <w:spacing w:val="-6"/>
                <w:sz w:val="20"/>
              </w:rPr>
              <w:t> </w:t>
            </w:r>
            <w:r>
              <w:rPr>
                <w:sz w:val="20"/>
              </w:rPr>
              <w:t>of</w:t>
            </w:r>
            <w:r>
              <w:rPr>
                <w:spacing w:val="-8"/>
                <w:sz w:val="20"/>
              </w:rPr>
              <w:t> </w:t>
            </w:r>
            <w:r>
              <w:rPr>
                <w:sz w:val="20"/>
              </w:rPr>
              <w:t>school</w:t>
            </w:r>
            <w:r>
              <w:rPr>
                <w:spacing w:val="-7"/>
                <w:sz w:val="20"/>
              </w:rPr>
              <w:t> </w:t>
            </w:r>
            <w:r>
              <w:rPr>
                <w:sz w:val="20"/>
              </w:rPr>
              <w:t>leaders</w:t>
            </w:r>
            <w:r>
              <w:rPr>
                <w:spacing w:val="-6"/>
                <w:sz w:val="20"/>
              </w:rPr>
              <w:t> </w:t>
            </w:r>
            <w:r>
              <w:rPr>
                <w:sz w:val="20"/>
              </w:rPr>
              <w:t>to effectively deploy and spend minimum 40% finances on learning material.</w:t>
            </w:r>
          </w:p>
        </w:tc>
        <w:tc>
          <w:tcPr>
            <w:tcW w:w="3288" w:type="dxa"/>
            <w:tcBorders>
              <w:top w:val="nil"/>
            </w:tcBorders>
          </w:tcPr>
          <w:p>
            <w:pPr>
              <w:pStyle w:val="TableParagraph"/>
              <w:rPr>
                <w:b/>
                <w:sz w:val="20"/>
              </w:rPr>
            </w:pPr>
          </w:p>
          <w:p>
            <w:pPr>
              <w:pStyle w:val="TableParagraph"/>
              <w:spacing w:line="235" w:lineRule="auto" w:before="164"/>
              <w:ind w:left="104"/>
              <w:rPr>
                <w:sz w:val="20"/>
              </w:rPr>
            </w:pPr>
            <w:r>
              <w:rPr>
                <w:sz w:val="20"/>
              </w:rPr>
              <w:t>Plan</w:t>
            </w:r>
            <w:r>
              <w:rPr>
                <w:spacing w:val="-10"/>
                <w:sz w:val="20"/>
              </w:rPr>
              <w:t> </w:t>
            </w:r>
            <w:r>
              <w:rPr>
                <w:sz w:val="20"/>
              </w:rPr>
              <w:t>approved</w:t>
            </w:r>
            <w:r>
              <w:rPr>
                <w:spacing w:val="-10"/>
                <w:sz w:val="20"/>
              </w:rPr>
              <w:t> </w:t>
            </w:r>
            <w:r>
              <w:rPr>
                <w:sz w:val="20"/>
              </w:rPr>
              <w:t>and</w:t>
            </w:r>
            <w:r>
              <w:rPr>
                <w:spacing w:val="-10"/>
                <w:sz w:val="20"/>
              </w:rPr>
              <w:t> </w:t>
            </w:r>
            <w:r>
              <w:rPr>
                <w:sz w:val="20"/>
              </w:rPr>
              <w:t>begun </w:t>
            </w:r>
            <w:r>
              <w:rPr>
                <w:spacing w:val="-2"/>
                <w:sz w:val="20"/>
              </w:rPr>
              <w:t>implementation</w:t>
            </w:r>
          </w:p>
        </w:tc>
        <w:tc>
          <w:tcPr>
            <w:tcW w:w="2059" w:type="dxa"/>
            <w:tcBorders>
              <w:top w:val="nil"/>
            </w:tcBorders>
          </w:tcPr>
          <w:p>
            <w:pPr>
              <w:pStyle w:val="TableParagraph"/>
              <w:spacing w:before="40"/>
              <w:ind w:left="105" w:right="134"/>
              <w:rPr>
                <w:sz w:val="20"/>
              </w:rPr>
            </w:pPr>
            <w:r>
              <w:rPr>
                <w:sz w:val="20"/>
              </w:rPr>
              <w:t>Plan</w:t>
            </w:r>
            <w:r>
              <w:rPr>
                <w:spacing w:val="-11"/>
                <w:sz w:val="20"/>
              </w:rPr>
              <w:t> </w:t>
            </w:r>
            <w:r>
              <w:rPr>
                <w:sz w:val="20"/>
              </w:rPr>
              <w:t>to</w:t>
            </w:r>
            <w:r>
              <w:rPr>
                <w:spacing w:val="-6"/>
                <w:sz w:val="20"/>
              </w:rPr>
              <w:t> </w:t>
            </w:r>
            <w:r>
              <w:rPr>
                <w:sz w:val="20"/>
              </w:rPr>
              <w:t>train</w:t>
            </w:r>
            <w:r>
              <w:rPr>
                <w:spacing w:val="-11"/>
                <w:sz w:val="20"/>
              </w:rPr>
              <w:t> </w:t>
            </w:r>
            <w:r>
              <w:rPr>
                <w:sz w:val="20"/>
              </w:rPr>
              <w:t>all</w:t>
            </w:r>
            <w:r>
              <w:rPr>
                <w:spacing w:val="-9"/>
                <w:sz w:val="20"/>
              </w:rPr>
              <w:t> </w:t>
            </w:r>
            <w:r>
              <w:rPr>
                <w:sz w:val="20"/>
              </w:rPr>
              <w:t>school leaders in the newly approved,</w:t>
            </w:r>
            <w:r>
              <w:rPr>
                <w:spacing w:val="40"/>
                <w:sz w:val="20"/>
              </w:rPr>
              <w:t> </w:t>
            </w:r>
            <w:r>
              <w:rPr>
                <w:sz w:val="20"/>
              </w:rPr>
              <w:t>revised School Financial </w:t>
            </w:r>
            <w:r>
              <w:rPr>
                <w:spacing w:val="-2"/>
                <w:sz w:val="20"/>
              </w:rPr>
              <w:t>Management Handbook.</w:t>
            </w:r>
          </w:p>
        </w:tc>
        <w:tc>
          <w:tcPr>
            <w:tcW w:w="2078" w:type="dxa"/>
            <w:tcBorders>
              <w:top w:val="nil"/>
            </w:tcBorders>
          </w:tcPr>
          <w:p>
            <w:pPr>
              <w:pStyle w:val="TableParagraph"/>
              <w:rPr>
                <w:rFonts w:ascii="Times New Roman"/>
                <w:sz w:val="20"/>
              </w:rPr>
            </w:pPr>
          </w:p>
        </w:tc>
      </w:tr>
    </w:tbl>
    <w:p>
      <w:pPr>
        <w:spacing w:after="0"/>
        <w:rPr>
          <w:rFonts w:ascii="Times New Roman"/>
          <w:sz w:val="20"/>
        </w:rPr>
        <w:sectPr>
          <w:headerReference w:type="default" r:id="rId14"/>
          <w:footerReference w:type="default" r:id="rId15"/>
          <w:pgSz w:w="16840" w:h="11900" w:orient="landscape"/>
          <w:pgMar w:header="751" w:footer="729" w:top="1380" w:bottom="920" w:left="1340" w:right="1440"/>
        </w:sectPr>
      </w:pPr>
    </w:p>
    <w:p>
      <w:pPr>
        <w:pStyle w:val="BodyText"/>
        <w:spacing w:before="7"/>
        <w:rPr>
          <w:b/>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021"/>
        <w:gridCol w:w="3701"/>
        <w:gridCol w:w="3288"/>
        <w:gridCol w:w="2059"/>
        <w:gridCol w:w="2078"/>
      </w:tblGrid>
      <w:tr>
        <w:trPr>
          <w:trHeight w:val="489" w:hRule="atLeast"/>
        </w:trPr>
        <w:tc>
          <w:tcPr>
            <w:tcW w:w="552" w:type="dxa"/>
            <w:shd w:val="clear" w:color="auto" w:fill="FFFF99"/>
          </w:tcPr>
          <w:p>
            <w:pPr>
              <w:pStyle w:val="TableParagraph"/>
              <w:rPr>
                <w:rFonts w:ascii="Times New Roman"/>
                <w:sz w:val="20"/>
              </w:rPr>
            </w:pPr>
          </w:p>
        </w:tc>
        <w:tc>
          <w:tcPr>
            <w:tcW w:w="2021" w:type="dxa"/>
            <w:shd w:val="clear" w:color="auto" w:fill="99CCFF"/>
          </w:tcPr>
          <w:p>
            <w:pPr>
              <w:pStyle w:val="TableParagraph"/>
              <w:spacing w:before="1"/>
              <w:ind w:left="110"/>
              <w:rPr>
                <w:sz w:val="20"/>
              </w:rPr>
            </w:pPr>
            <w:r>
              <w:rPr>
                <w:spacing w:val="-2"/>
                <w:sz w:val="20"/>
              </w:rPr>
              <w:t>Objective</w:t>
            </w:r>
          </w:p>
        </w:tc>
        <w:tc>
          <w:tcPr>
            <w:tcW w:w="3701" w:type="dxa"/>
            <w:shd w:val="clear" w:color="auto" w:fill="99CCFF"/>
          </w:tcPr>
          <w:p>
            <w:pPr>
              <w:pStyle w:val="TableParagraph"/>
              <w:spacing w:line="240" w:lineRule="atLeast"/>
              <w:ind w:left="105" w:right="158"/>
              <w:rPr>
                <w:sz w:val="20"/>
              </w:rPr>
            </w:pPr>
            <w:r>
              <w:rPr>
                <w:sz w:val="20"/>
              </w:rPr>
              <w:t>2016/17</w:t>
            </w:r>
            <w:r>
              <w:rPr>
                <w:spacing w:val="-4"/>
                <w:sz w:val="20"/>
              </w:rPr>
              <w:t> </w:t>
            </w:r>
            <w:r>
              <w:rPr>
                <w:sz w:val="20"/>
              </w:rPr>
              <w:t>Target</w:t>
            </w:r>
            <w:r>
              <w:rPr>
                <w:spacing w:val="-7"/>
                <w:sz w:val="20"/>
              </w:rPr>
              <w:t> </w:t>
            </w:r>
            <w:r>
              <w:rPr>
                <w:sz w:val="20"/>
              </w:rPr>
              <w:t>–</w:t>
            </w:r>
            <w:r>
              <w:rPr>
                <w:spacing w:val="-2"/>
                <w:sz w:val="20"/>
              </w:rPr>
              <w:t> </w:t>
            </w:r>
            <w:r>
              <w:rPr>
                <w:sz w:val="20"/>
              </w:rPr>
              <w:t>to</w:t>
            </w:r>
            <w:r>
              <w:rPr>
                <w:spacing w:val="-7"/>
                <w:sz w:val="20"/>
              </w:rPr>
              <w:t> </w:t>
            </w:r>
            <w:r>
              <w:rPr>
                <w:sz w:val="20"/>
              </w:rPr>
              <w:t>be</w:t>
            </w:r>
            <w:r>
              <w:rPr>
                <w:spacing w:val="-6"/>
                <w:sz w:val="20"/>
              </w:rPr>
              <w:t> </w:t>
            </w:r>
            <w:r>
              <w:rPr>
                <w:sz w:val="20"/>
              </w:rPr>
              <w:t>achieved</w:t>
            </w:r>
            <w:r>
              <w:rPr>
                <w:spacing w:val="-3"/>
                <w:sz w:val="20"/>
              </w:rPr>
              <w:t> </w:t>
            </w:r>
            <w:r>
              <w:rPr>
                <w:sz w:val="20"/>
              </w:rPr>
              <w:t>by</w:t>
            </w:r>
            <w:r>
              <w:rPr>
                <w:spacing w:val="-7"/>
                <w:sz w:val="20"/>
              </w:rPr>
              <w:t> </w:t>
            </w:r>
            <w:r>
              <w:rPr>
                <w:sz w:val="20"/>
              </w:rPr>
              <w:t>30 May 2017</w:t>
            </w:r>
          </w:p>
        </w:tc>
        <w:tc>
          <w:tcPr>
            <w:tcW w:w="3288" w:type="dxa"/>
            <w:shd w:val="clear" w:color="auto" w:fill="99CCFF"/>
          </w:tcPr>
          <w:p>
            <w:pPr>
              <w:pStyle w:val="TableParagraph"/>
              <w:spacing w:before="1"/>
              <w:ind w:left="105"/>
              <w:rPr>
                <w:sz w:val="20"/>
              </w:rPr>
            </w:pPr>
            <w:r>
              <w:rPr>
                <w:spacing w:val="-2"/>
                <w:sz w:val="20"/>
              </w:rPr>
              <w:t>Measurement</w:t>
            </w:r>
          </w:p>
        </w:tc>
        <w:tc>
          <w:tcPr>
            <w:tcW w:w="2059" w:type="dxa"/>
            <w:shd w:val="clear" w:color="auto" w:fill="99CCFF"/>
          </w:tcPr>
          <w:p>
            <w:pPr>
              <w:pStyle w:val="TableParagraph"/>
              <w:spacing w:line="240" w:lineRule="atLeast"/>
              <w:ind w:left="105" w:right="677"/>
              <w:rPr>
                <w:sz w:val="20"/>
              </w:rPr>
            </w:pPr>
            <w:r>
              <w:rPr>
                <w:sz w:val="20"/>
              </w:rPr>
              <w:t>Specific</w:t>
            </w:r>
            <w:r>
              <w:rPr>
                <w:spacing w:val="-12"/>
                <w:sz w:val="20"/>
              </w:rPr>
              <w:t> </w:t>
            </w:r>
            <w:r>
              <w:rPr>
                <w:sz w:val="20"/>
              </w:rPr>
              <w:t>reports </w:t>
            </w:r>
            <w:r>
              <w:rPr>
                <w:spacing w:val="-2"/>
                <w:sz w:val="20"/>
              </w:rPr>
              <w:t>required</w:t>
            </w:r>
          </w:p>
        </w:tc>
        <w:tc>
          <w:tcPr>
            <w:tcW w:w="2078" w:type="dxa"/>
            <w:shd w:val="clear" w:color="auto" w:fill="99CCFF"/>
          </w:tcPr>
          <w:p>
            <w:pPr>
              <w:pStyle w:val="TableParagraph"/>
              <w:spacing w:before="1"/>
              <w:ind w:left="105"/>
              <w:rPr>
                <w:sz w:val="20"/>
              </w:rPr>
            </w:pPr>
            <w:r>
              <w:rPr>
                <w:spacing w:val="-2"/>
                <w:sz w:val="20"/>
              </w:rPr>
              <w:t>Responsible</w:t>
            </w:r>
          </w:p>
        </w:tc>
      </w:tr>
      <w:tr>
        <w:trPr>
          <w:trHeight w:val="1093" w:hRule="atLeast"/>
        </w:trPr>
        <w:tc>
          <w:tcPr>
            <w:tcW w:w="552" w:type="dxa"/>
            <w:shd w:val="clear" w:color="auto" w:fill="FFFF99"/>
          </w:tcPr>
          <w:p>
            <w:pPr>
              <w:pStyle w:val="TableParagraph"/>
              <w:spacing w:before="1"/>
              <w:ind w:left="110"/>
              <w:rPr>
                <w:sz w:val="20"/>
              </w:rPr>
            </w:pPr>
            <w:r>
              <w:rPr>
                <w:spacing w:val="-5"/>
                <w:sz w:val="20"/>
              </w:rPr>
              <w:t>3.1</w:t>
            </w:r>
          </w:p>
        </w:tc>
        <w:tc>
          <w:tcPr>
            <w:tcW w:w="2021" w:type="dxa"/>
          </w:tcPr>
          <w:p>
            <w:pPr>
              <w:pStyle w:val="TableParagraph"/>
              <w:spacing w:line="237" w:lineRule="auto" w:before="123"/>
              <w:ind w:left="110" w:right="230"/>
              <w:rPr>
                <w:b/>
                <w:sz w:val="20"/>
              </w:rPr>
            </w:pPr>
            <w:r>
              <w:rPr>
                <w:b/>
                <w:sz w:val="20"/>
              </w:rPr>
              <w:t>PFM Action plan implementation</w:t>
            </w:r>
            <w:r>
              <w:rPr>
                <w:b/>
                <w:spacing w:val="-12"/>
                <w:sz w:val="20"/>
              </w:rPr>
              <w:t> </w:t>
            </w:r>
            <w:r>
              <w:rPr>
                <w:b/>
                <w:sz w:val="20"/>
              </w:rPr>
              <w:t>on- </w:t>
            </w:r>
            <w:r>
              <w:rPr>
                <w:b/>
                <w:spacing w:val="-2"/>
                <w:sz w:val="20"/>
              </w:rPr>
              <w:t>going</w:t>
            </w:r>
          </w:p>
        </w:tc>
        <w:tc>
          <w:tcPr>
            <w:tcW w:w="3701" w:type="dxa"/>
          </w:tcPr>
          <w:p>
            <w:pPr>
              <w:pStyle w:val="TableParagraph"/>
              <w:spacing w:line="237" w:lineRule="auto" w:before="123"/>
              <w:ind w:left="105" w:right="158"/>
              <w:rPr>
                <w:sz w:val="20"/>
              </w:rPr>
            </w:pPr>
            <w:r>
              <w:rPr>
                <w:sz w:val="20"/>
              </w:rPr>
              <w:t>100% of all activities scheduled for 2016 are</w:t>
            </w:r>
            <w:r>
              <w:rPr>
                <w:spacing w:val="-8"/>
                <w:sz w:val="20"/>
              </w:rPr>
              <w:t> </w:t>
            </w:r>
            <w:r>
              <w:rPr>
                <w:sz w:val="20"/>
              </w:rPr>
              <w:t>completed,</w:t>
            </w:r>
            <w:r>
              <w:rPr>
                <w:spacing w:val="-6"/>
                <w:sz w:val="20"/>
              </w:rPr>
              <w:t> </w:t>
            </w:r>
            <w:r>
              <w:rPr>
                <w:sz w:val="20"/>
              </w:rPr>
              <w:t>and</w:t>
            </w:r>
            <w:r>
              <w:rPr>
                <w:spacing w:val="-8"/>
                <w:sz w:val="20"/>
              </w:rPr>
              <w:t> </w:t>
            </w:r>
            <w:r>
              <w:rPr>
                <w:sz w:val="20"/>
              </w:rPr>
              <w:t>all</w:t>
            </w:r>
            <w:r>
              <w:rPr>
                <w:spacing w:val="-2"/>
                <w:sz w:val="20"/>
              </w:rPr>
              <w:t> </w:t>
            </w:r>
            <w:r>
              <w:rPr>
                <w:sz w:val="20"/>
              </w:rPr>
              <w:t>other</w:t>
            </w:r>
            <w:r>
              <w:rPr>
                <w:spacing w:val="-7"/>
                <w:sz w:val="20"/>
              </w:rPr>
              <w:t> </w:t>
            </w:r>
            <w:r>
              <w:rPr>
                <w:sz w:val="20"/>
              </w:rPr>
              <w:t>activities</w:t>
            </w:r>
            <w:r>
              <w:rPr>
                <w:spacing w:val="-6"/>
                <w:sz w:val="20"/>
              </w:rPr>
              <w:t> </w:t>
            </w:r>
            <w:r>
              <w:rPr>
                <w:sz w:val="20"/>
              </w:rPr>
              <w:t>are planned/</w:t>
            </w:r>
            <w:r>
              <w:rPr>
                <w:spacing w:val="-3"/>
                <w:sz w:val="20"/>
              </w:rPr>
              <w:t> </w:t>
            </w:r>
            <w:r>
              <w:rPr>
                <w:sz w:val="20"/>
              </w:rPr>
              <w:t>commenced.</w:t>
            </w:r>
          </w:p>
        </w:tc>
        <w:tc>
          <w:tcPr>
            <w:tcW w:w="3288" w:type="dxa"/>
          </w:tcPr>
          <w:p>
            <w:pPr>
              <w:pStyle w:val="TableParagraph"/>
              <w:spacing w:before="121"/>
              <w:ind w:left="104"/>
              <w:rPr>
                <w:sz w:val="20"/>
              </w:rPr>
            </w:pPr>
            <w:r>
              <w:rPr>
                <w:sz w:val="20"/>
              </w:rPr>
              <w:t>MEHRD</w:t>
            </w:r>
            <w:r>
              <w:rPr>
                <w:spacing w:val="-12"/>
                <w:sz w:val="20"/>
              </w:rPr>
              <w:t> </w:t>
            </w:r>
            <w:r>
              <w:rPr>
                <w:sz w:val="20"/>
              </w:rPr>
              <w:t>management</w:t>
            </w:r>
            <w:r>
              <w:rPr>
                <w:spacing w:val="-11"/>
                <w:sz w:val="20"/>
              </w:rPr>
              <w:t> </w:t>
            </w:r>
            <w:r>
              <w:rPr>
                <w:sz w:val="20"/>
              </w:rPr>
              <w:t>approves</w:t>
            </w:r>
            <w:r>
              <w:rPr>
                <w:spacing w:val="-11"/>
                <w:sz w:val="20"/>
              </w:rPr>
              <w:t> </w:t>
            </w:r>
            <w:r>
              <w:rPr>
                <w:sz w:val="20"/>
              </w:rPr>
              <w:t>the revised</w:t>
            </w:r>
            <w:r>
              <w:rPr>
                <w:spacing w:val="-12"/>
                <w:sz w:val="20"/>
              </w:rPr>
              <w:t> </w:t>
            </w:r>
            <w:r>
              <w:rPr>
                <w:sz w:val="20"/>
              </w:rPr>
              <w:t>PFM</w:t>
            </w:r>
            <w:r>
              <w:rPr>
                <w:spacing w:val="-1"/>
                <w:sz w:val="20"/>
              </w:rPr>
              <w:t> </w:t>
            </w:r>
            <w:r>
              <w:rPr>
                <w:sz w:val="20"/>
              </w:rPr>
              <w:t>Action</w:t>
            </w:r>
            <w:r>
              <w:rPr>
                <w:spacing w:val="-6"/>
                <w:sz w:val="20"/>
              </w:rPr>
              <w:t> </w:t>
            </w:r>
            <w:r>
              <w:rPr>
                <w:sz w:val="20"/>
              </w:rPr>
              <w:t>plan</w:t>
            </w:r>
            <w:r>
              <w:rPr>
                <w:spacing w:val="-2"/>
                <w:sz w:val="20"/>
              </w:rPr>
              <w:t> (abridged)</w:t>
            </w:r>
          </w:p>
        </w:tc>
        <w:tc>
          <w:tcPr>
            <w:tcW w:w="2059" w:type="dxa"/>
          </w:tcPr>
          <w:p>
            <w:pPr>
              <w:pStyle w:val="TableParagraph"/>
              <w:spacing w:line="237" w:lineRule="auto" w:before="123"/>
              <w:ind w:left="105" w:right="134"/>
              <w:rPr>
                <w:sz w:val="20"/>
              </w:rPr>
            </w:pPr>
            <w:r>
              <w:rPr>
                <w:sz w:val="20"/>
              </w:rPr>
              <w:t>Report on the approval of the revised</w:t>
            </w:r>
            <w:r>
              <w:rPr>
                <w:spacing w:val="-12"/>
                <w:sz w:val="20"/>
              </w:rPr>
              <w:t> </w:t>
            </w:r>
            <w:r>
              <w:rPr>
                <w:sz w:val="20"/>
              </w:rPr>
              <w:t>PFM</w:t>
            </w:r>
            <w:r>
              <w:rPr>
                <w:spacing w:val="-11"/>
                <w:sz w:val="20"/>
              </w:rPr>
              <w:t> </w:t>
            </w:r>
            <w:r>
              <w:rPr>
                <w:sz w:val="20"/>
              </w:rPr>
              <w:t>action</w:t>
            </w:r>
          </w:p>
          <w:p>
            <w:pPr>
              <w:pStyle w:val="TableParagraph"/>
              <w:spacing w:line="223" w:lineRule="exact" w:before="3"/>
              <w:ind w:left="105"/>
              <w:rPr>
                <w:sz w:val="20"/>
              </w:rPr>
            </w:pPr>
            <w:r>
              <w:rPr>
                <w:spacing w:val="-4"/>
                <w:sz w:val="20"/>
              </w:rPr>
              <w:t>plan</w:t>
            </w:r>
          </w:p>
        </w:tc>
        <w:tc>
          <w:tcPr>
            <w:tcW w:w="2078" w:type="dxa"/>
          </w:tcPr>
          <w:p>
            <w:pPr>
              <w:pStyle w:val="TableParagraph"/>
              <w:spacing w:before="121"/>
              <w:ind w:left="105"/>
              <w:rPr>
                <w:sz w:val="20"/>
              </w:rPr>
            </w:pPr>
            <w:r>
              <w:rPr>
                <w:sz w:val="20"/>
              </w:rPr>
              <w:t>Finance</w:t>
            </w:r>
            <w:r>
              <w:rPr>
                <w:spacing w:val="-5"/>
                <w:sz w:val="20"/>
              </w:rPr>
              <w:t> </w:t>
            </w:r>
            <w:r>
              <w:rPr>
                <w:spacing w:val="-2"/>
                <w:sz w:val="20"/>
              </w:rPr>
              <w:t>department</w:t>
            </w:r>
          </w:p>
        </w:tc>
      </w:tr>
      <w:tr>
        <w:trPr>
          <w:trHeight w:val="3047" w:hRule="atLeast"/>
        </w:trPr>
        <w:tc>
          <w:tcPr>
            <w:tcW w:w="552" w:type="dxa"/>
            <w:shd w:val="clear" w:color="auto" w:fill="FFFF99"/>
          </w:tcPr>
          <w:p>
            <w:pPr>
              <w:pStyle w:val="TableParagraph"/>
              <w:spacing w:before="1"/>
              <w:ind w:left="110"/>
              <w:rPr>
                <w:sz w:val="20"/>
              </w:rPr>
            </w:pPr>
            <w:r>
              <w:rPr>
                <w:spacing w:val="-5"/>
                <w:sz w:val="20"/>
              </w:rPr>
              <w:t>3.2</w:t>
            </w:r>
          </w:p>
        </w:tc>
        <w:tc>
          <w:tcPr>
            <w:tcW w:w="2021" w:type="dxa"/>
          </w:tcPr>
          <w:p>
            <w:pPr>
              <w:pStyle w:val="TableParagraph"/>
              <w:spacing w:before="121"/>
              <w:ind w:left="110" w:right="135"/>
              <w:rPr>
                <w:b/>
                <w:sz w:val="20"/>
              </w:rPr>
            </w:pPr>
            <w:r>
              <w:rPr>
                <w:b/>
                <w:sz w:val="20"/>
              </w:rPr>
              <w:t>MEHRD</w:t>
            </w:r>
            <w:r>
              <w:rPr>
                <w:b/>
                <w:spacing w:val="-12"/>
                <w:sz w:val="20"/>
              </w:rPr>
              <w:t> </w:t>
            </w:r>
            <w:r>
              <w:rPr>
                <w:b/>
                <w:sz w:val="20"/>
              </w:rPr>
              <w:t>commitment to an efficient allocation of tertiary budgets, including managing risks to </w:t>
            </w:r>
            <w:r>
              <w:rPr>
                <w:b/>
                <w:spacing w:val="-2"/>
                <w:sz w:val="20"/>
              </w:rPr>
              <w:t>scholarships</w:t>
            </w:r>
          </w:p>
        </w:tc>
        <w:tc>
          <w:tcPr>
            <w:tcW w:w="3701" w:type="dxa"/>
          </w:tcPr>
          <w:p>
            <w:pPr>
              <w:pStyle w:val="TableParagraph"/>
              <w:numPr>
                <w:ilvl w:val="2"/>
                <w:numId w:val="38"/>
              </w:numPr>
              <w:tabs>
                <w:tab w:pos="562" w:val="left" w:leader="none"/>
              </w:tabs>
              <w:spacing w:line="240" w:lineRule="auto" w:before="121" w:after="0"/>
              <w:ind w:left="105" w:right="130" w:firstLine="0"/>
              <w:jc w:val="left"/>
              <w:rPr>
                <w:sz w:val="20"/>
              </w:rPr>
            </w:pPr>
            <w:r>
              <w:rPr>
                <w:sz w:val="20"/>
              </w:rPr>
              <w:t>–</w:t>
            </w:r>
            <w:r>
              <w:rPr>
                <w:spacing w:val="-9"/>
                <w:sz w:val="20"/>
              </w:rPr>
              <w:t> </w:t>
            </w:r>
            <w:r>
              <w:rPr>
                <w:sz w:val="20"/>
              </w:rPr>
              <w:t>Using</w:t>
            </w:r>
            <w:r>
              <w:rPr>
                <w:spacing w:val="-8"/>
                <w:sz w:val="20"/>
              </w:rPr>
              <w:t> </w:t>
            </w:r>
            <w:r>
              <w:rPr>
                <w:sz w:val="20"/>
              </w:rPr>
              <w:t>business</w:t>
            </w:r>
            <w:r>
              <w:rPr>
                <w:spacing w:val="-7"/>
                <w:sz w:val="20"/>
              </w:rPr>
              <w:t> </w:t>
            </w:r>
            <w:r>
              <w:rPr>
                <w:sz w:val="20"/>
              </w:rPr>
              <w:t>as</w:t>
            </w:r>
            <w:r>
              <w:rPr>
                <w:spacing w:val="-11"/>
                <w:sz w:val="20"/>
              </w:rPr>
              <w:t> </w:t>
            </w:r>
            <w:r>
              <w:rPr>
                <w:sz w:val="20"/>
              </w:rPr>
              <w:t>usual</w:t>
            </w:r>
            <w:r>
              <w:rPr>
                <w:spacing w:val="-8"/>
                <w:sz w:val="20"/>
              </w:rPr>
              <w:t> </w:t>
            </w:r>
            <w:r>
              <w:rPr>
                <w:sz w:val="20"/>
              </w:rPr>
              <w:t>procedures 2016 scholarships budget is not higher than 2015 scholarships budget</w:t>
            </w:r>
          </w:p>
          <w:p>
            <w:pPr>
              <w:pStyle w:val="TableParagraph"/>
              <w:numPr>
                <w:ilvl w:val="2"/>
                <w:numId w:val="38"/>
              </w:numPr>
              <w:tabs>
                <w:tab w:pos="562" w:val="left" w:leader="none"/>
              </w:tabs>
              <w:spacing w:line="240" w:lineRule="auto" w:before="122" w:after="0"/>
              <w:ind w:left="105" w:right="230" w:firstLine="0"/>
              <w:jc w:val="left"/>
              <w:rPr>
                <w:sz w:val="20"/>
              </w:rPr>
            </w:pPr>
            <w:r>
              <w:rPr>
                <w:sz w:val="20"/>
              </w:rPr>
              <w:t>- Beyond</w:t>
            </w:r>
            <w:r>
              <w:rPr>
                <w:spacing w:val="-1"/>
                <w:sz w:val="20"/>
              </w:rPr>
              <w:t> </w:t>
            </w:r>
            <w:r>
              <w:rPr>
                <w:sz w:val="20"/>
              </w:rPr>
              <w:t>scholarships, the baseline figures for tertiary education need rebalancing</w:t>
            </w:r>
            <w:r>
              <w:rPr>
                <w:spacing w:val="-4"/>
                <w:sz w:val="20"/>
              </w:rPr>
              <w:t> </w:t>
            </w:r>
            <w:r>
              <w:rPr>
                <w:sz w:val="20"/>
              </w:rPr>
              <w:t>to</w:t>
            </w:r>
            <w:r>
              <w:rPr>
                <w:spacing w:val="-12"/>
                <w:sz w:val="20"/>
              </w:rPr>
              <w:t> </w:t>
            </w:r>
            <w:r>
              <w:rPr>
                <w:sz w:val="20"/>
              </w:rPr>
              <w:t>reflect</w:t>
            </w:r>
            <w:r>
              <w:rPr>
                <w:spacing w:val="-8"/>
                <w:sz w:val="20"/>
              </w:rPr>
              <w:t> </w:t>
            </w:r>
            <w:r>
              <w:rPr>
                <w:sz w:val="20"/>
              </w:rPr>
              <w:t>wider</w:t>
            </w:r>
            <w:r>
              <w:rPr>
                <w:spacing w:val="-6"/>
                <w:sz w:val="20"/>
              </w:rPr>
              <w:t> </w:t>
            </w:r>
            <w:r>
              <w:rPr>
                <w:sz w:val="20"/>
              </w:rPr>
              <w:t>skills</w:t>
            </w:r>
            <w:r>
              <w:rPr>
                <w:spacing w:val="-6"/>
                <w:sz w:val="20"/>
              </w:rPr>
              <w:t> </w:t>
            </w:r>
            <w:r>
              <w:rPr>
                <w:sz w:val="20"/>
              </w:rPr>
              <w:t>training </w:t>
            </w:r>
            <w:r>
              <w:rPr>
                <w:spacing w:val="-2"/>
                <w:sz w:val="20"/>
              </w:rPr>
              <w:t>needs.</w:t>
            </w:r>
          </w:p>
          <w:p>
            <w:pPr>
              <w:pStyle w:val="TableParagraph"/>
              <w:spacing w:before="118"/>
              <w:ind w:left="105" w:right="158"/>
              <w:rPr>
                <w:sz w:val="20"/>
              </w:rPr>
            </w:pPr>
            <w:r>
              <w:rPr>
                <w:sz w:val="20"/>
              </w:rPr>
              <w:t>3.2.3- Cost-sharing of scholarships is piloted,</w:t>
            </w:r>
            <w:r>
              <w:rPr>
                <w:spacing w:val="-10"/>
                <w:sz w:val="20"/>
              </w:rPr>
              <w:t> </w:t>
            </w:r>
            <w:r>
              <w:rPr>
                <w:sz w:val="20"/>
              </w:rPr>
              <w:t>and</w:t>
            </w:r>
            <w:r>
              <w:rPr>
                <w:spacing w:val="-9"/>
                <w:sz w:val="20"/>
              </w:rPr>
              <w:t> </w:t>
            </w:r>
            <w:r>
              <w:rPr>
                <w:sz w:val="20"/>
              </w:rPr>
              <w:t>transparency</w:t>
            </w:r>
            <w:r>
              <w:rPr>
                <w:spacing w:val="-9"/>
                <w:sz w:val="20"/>
              </w:rPr>
              <w:t> </w:t>
            </w:r>
            <w:r>
              <w:rPr>
                <w:sz w:val="20"/>
              </w:rPr>
              <w:t>in</w:t>
            </w:r>
            <w:r>
              <w:rPr>
                <w:spacing w:val="-4"/>
                <w:sz w:val="20"/>
              </w:rPr>
              <w:t> </w:t>
            </w:r>
            <w:r>
              <w:rPr>
                <w:sz w:val="20"/>
              </w:rPr>
              <w:t>awards</w:t>
            </w:r>
            <w:r>
              <w:rPr>
                <w:spacing w:val="-6"/>
                <w:sz w:val="20"/>
              </w:rPr>
              <w:t> </w:t>
            </w:r>
            <w:r>
              <w:rPr>
                <w:sz w:val="20"/>
              </w:rPr>
              <w:t>and procedures are robustly promoted.</w:t>
            </w:r>
          </w:p>
        </w:tc>
        <w:tc>
          <w:tcPr>
            <w:tcW w:w="3288" w:type="dxa"/>
          </w:tcPr>
          <w:p>
            <w:pPr>
              <w:pStyle w:val="TableParagraph"/>
              <w:spacing w:before="121"/>
              <w:ind w:left="105"/>
              <w:rPr>
                <w:sz w:val="20"/>
              </w:rPr>
            </w:pPr>
            <w:r>
              <w:rPr>
                <w:sz w:val="20"/>
              </w:rPr>
              <w:t>-Cabinet</w:t>
            </w:r>
            <w:r>
              <w:rPr>
                <w:spacing w:val="-8"/>
                <w:sz w:val="20"/>
              </w:rPr>
              <w:t> </w:t>
            </w:r>
            <w:r>
              <w:rPr>
                <w:sz w:val="20"/>
              </w:rPr>
              <w:t>approval</w:t>
            </w:r>
            <w:r>
              <w:rPr>
                <w:spacing w:val="-6"/>
                <w:sz w:val="20"/>
              </w:rPr>
              <w:t> </w:t>
            </w:r>
            <w:r>
              <w:rPr>
                <w:sz w:val="20"/>
              </w:rPr>
              <w:t>of</w:t>
            </w:r>
            <w:r>
              <w:rPr>
                <w:spacing w:val="-6"/>
                <w:sz w:val="20"/>
              </w:rPr>
              <w:t> </w:t>
            </w:r>
            <w:r>
              <w:rPr>
                <w:spacing w:val="-2"/>
                <w:sz w:val="20"/>
              </w:rPr>
              <w:t>policy</w:t>
            </w:r>
          </w:p>
          <w:p>
            <w:pPr>
              <w:pStyle w:val="TableParagraph"/>
              <w:spacing w:before="1"/>
              <w:ind w:left="105"/>
              <w:rPr>
                <w:sz w:val="20"/>
              </w:rPr>
            </w:pPr>
            <w:r>
              <w:rPr>
                <w:sz w:val="20"/>
              </w:rPr>
              <w:t>-SIMS</w:t>
            </w:r>
            <w:r>
              <w:rPr>
                <w:spacing w:val="-8"/>
                <w:sz w:val="20"/>
              </w:rPr>
              <w:t> </w:t>
            </w:r>
            <w:r>
              <w:rPr>
                <w:sz w:val="20"/>
              </w:rPr>
              <w:t>captures</w:t>
            </w:r>
            <w:r>
              <w:rPr>
                <w:spacing w:val="-4"/>
                <w:sz w:val="20"/>
              </w:rPr>
              <w:t> </w:t>
            </w:r>
            <w:r>
              <w:rPr>
                <w:sz w:val="20"/>
              </w:rPr>
              <w:t>all</w:t>
            </w:r>
            <w:r>
              <w:rPr>
                <w:spacing w:val="-5"/>
                <w:sz w:val="20"/>
              </w:rPr>
              <w:t> </w:t>
            </w:r>
            <w:r>
              <w:rPr>
                <w:sz w:val="20"/>
              </w:rPr>
              <w:t>info</w:t>
            </w:r>
            <w:r>
              <w:rPr>
                <w:spacing w:val="-3"/>
                <w:sz w:val="20"/>
              </w:rPr>
              <w:t> </w:t>
            </w:r>
            <w:r>
              <w:rPr>
                <w:sz w:val="20"/>
              </w:rPr>
              <w:t>on</w:t>
            </w:r>
            <w:r>
              <w:rPr>
                <w:spacing w:val="-7"/>
                <w:sz w:val="20"/>
              </w:rPr>
              <w:t> </w:t>
            </w:r>
            <w:r>
              <w:rPr>
                <w:sz w:val="20"/>
              </w:rPr>
              <w:t>new</w:t>
            </w:r>
            <w:r>
              <w:rPr>
                <w:spacing w:val="-7"/>
                <w:sz w:val="20"/>
              </w:rPr>
              <w:t> </w:t>
            </w:r>
            <w:r>
              <w:rPr>
                <w:sz w:val="20"/>
              </w:rPr>
              <w:t>and existing students, to aid decision making (abridged)</w:t>
            </w:r>
          </w:p>
          <w:p>
            <w:pPr>
              <w:pStyle w:val="TableParagraph"/>
              <w:spacing w:before="1"/>
              <w:ind w:left="104"/>
              <w:rPr>
                <w:sz w:val="20"/>
              </w:rPr>
            </w:pPr>
            <w:r>
              <w:rPr>
                <w:sz w:val="20"/>
              </w:rPr>
              <w:t>-2016</w:t>
            </w:r>
            <w:r>
              <w:rPr>
                <w:spacing w:val="-5"/>
                <w:sz w:val="20"/>
              </w:rPr>
              <w:t> </w:t>
            </w:r>
            <w:r>
              <w:rPr>
                <w:sz w:val="20"/>
              </w:rPr>
              <w:t>expense</w:t>
            </w:r>
            <w:r>
              <w:rPr>
                <w:spacing w:val="-7"/>
                <w:sz w:val="20"/>
              </w:rPr>
              <w:t> </w:t>
            </w:r>
            <w:r>
              <w:rPr>
                <w:sz w:val="20"/>
              </w:rPr>
              <w:t>less</w:t>
            </w:r>
            <w:r>
              <w:rPr>
                <w:spacing w:val="-6"/>
                <w:sz w:val="20"/>
              </w:rPr>
              <w:t> </w:t>
            </w:r>
            <w:r>
              <w:rPr>
                <w:sz w:val="20"/>
              </w:rPr>
              <w:t>than</w:t>
            </w:r>
            <w:r>
              <w:rPr>
                <w:spacing w:val="-4"/>
                <w:sz w:val="20"/>
              </w:rPr>
              <w:t> </w:t>
            </w:r>
            <w:r>
              <w:rPr>
                <w:sz w:val="20"/>
              </w:rPr>
              <w:t>2015</w:t>
            </w:r>
            <w:r>
              <w:rPr>
                <w:spacing w:val="-4"/>
                <w:sz w:val="20"/>
              </w:rPr>
              <w:t> </w:t>
            </w:r>
            <w:r>
              <w:rPr>
                <w:spacing w:val="-2"/>
                <w:sz w:val="20"/>
              </w:rPr>
              <w:t>budget</w:t>
            </w:r>
          </w:p>
        </w:tc>
        <w:tc>
          <w:tcPr>
            <w:tcW w:w="2059" w:type="dxa"/>
          </w:tcPr>
          <w:p>
            <w:pPr>
              <w:pStyle w:val="TableParagraph"/>
              <w:spacing w:before="121"/>
              <w:ind w:left="105" w:right="480"/>
              <w:rPr>
                <w:sz w:val="20"/>
              </w:rPr>
            </w:pPr>
            <w:r>
              <w:rPr>
                <w:sz w:val="20"/>
              </w:rPr>
              <w:t>Report on the progress of Scholarship</w:t>
            </w:r>
            <w:r>
              <w:rPr>
                <w:spacing w:val="-12"/>
                <w:sz w:val="20"/>
              </w:rPr>
              <w:t> </w:t>
            </w:r>
            <w:r>
              <w:rPr>
                <w:sz w:val="20"/>
              </w:rPr>
              <w:t>policy cabinet</w:t>
            </w:r>
            <w:r>
              <w:rPr>
                <w:spacing w:val="-1"/>
                <w:sz w:val="20"/>
              </w:rPr>
              <w:t> </w:t>
            </w:r>
            <w:r>
              <w:rPr>
                <w:sz w:val="20"/>
              </w:rPr>
              <w:t>approval</w:t>
            </w:r>
          </w:p>
        </w:tc>
        <w:tc>
          <w:tcPr>
            <w:tcW w:w="2078" w:type="dxa"/>
          </w:tcPr>
          <w:p>
            <w:pPr>
              <w:pStyle w:val="TableParagraph"/>
              <w:spacing w:before="120"/>
              <w:ind w:left="105"/>
              <w:rPr>
                <w:sz w:val="20"/>
              </w:rPr>
            </w:pPr>
            <w:r>
              <w:rPr>
                <w:spacing w:val="-5"/>
                <w:sz w:val="20"/>
              </w:rPr>
              <w:t>NTU</w:t>
            </w:r>
          </w:p>
          <w:p>
            <w:pPr>
              <w:pStyle w:val="TableParagraph"/>
              <w:rPr>
                <w:b/>
                <w:sz w:val="20"/>
              </w:rPr>
            </w:pPr>
          </w:p>
          <w:p>
            <w:pPr>
              <w:pStyle w:val="TableParagraph"/>
              <w:rPr>
                <w:b/>
                <w:sz w:val="20"/>
              </w:rPr>
            </w:pPr>
          </w:p>
          <w:p>
            <w:pPr>
              <w:pStyle w:val="TableParagraph"/>
              <w:spacing w:before="2"/>
              <w:rPr>
                <w:b/>
                <w:sz w:val="20"/>
              </w:rPr>
            </w:pPr>
          </w:p>
          <w:p>
            <w:pPr>
              <w:pStyle w:val="TableParagraph"/>
              <w:spacing w:before="1"/>
              <w:ind w:left="105"/>
              <w:rPr>
                <w:sz w:val="20"/>
              </w:rPr>
            </w:pPr>
            <w:r>
              <w:rPr>
                <w:spacing w:val="-5"/>
                <w:sz w:val="20"/>
              </w:rPr>
              <w:t>NTU</w:t>
            </w:r>
          </w:p>
          <w:p>
            <w:pPr>
              <w:pStyle w:val="TableParagraph"/>
              <w:rPr>
                <w:b/>
                <w:sz w:val="20"/>
              </w:rPr>
            </w:pPr>
          </w:p>
          <w:p>
            <w:pPr>
              <w:pStyle w:val="TableParagraph"/>
              <w:spacing w:before="9"/>
              <w:rPr>
                <w:b/>
                <w:sz w:val="19"/>
              </w:rPr>
            </w:pPr>
          </w:p>
          <w:p>
            <w:pPr>
              <w:pStyle w:val="TableParagraph"/>
              <w:ind w:left="105"/>
              <w:rPr>
                <w:sz w:val="20"/>
              </w:rPr>
            </w:pPr>
            <w:r>
              <w:rPr>
                <w:sz w:val="20"/>
              </w:rPr>
              <w:t>Finance</w:t>
            </w:r>
            <w:r>
              <w:rPr>
                <w:spacing w:val="-5"/>
                <w:sz w:val="20"/>
              </w:rPr>
              <w:t> </w:t>
            </w:r>
            <w:r>
              <w:rPr>
                <w:spacing w:val="-2"/>
                <w:sz w:val="20"/>
              </w:rPr>
              <w:t>department</w:t>
            </w:r>
          </w:p>
        </w:tc>
      </w:tr>
      <w:tr>
        <w:trPr>
          <w:trHeight w:val="2557" w:hRule="atLeast"/>
        </w:trPr>
        <w:tc>
          <w:tcPr>
            <w:tcW w:w="552" w:type="dxa"/>
            <w:shd w:val="clear" w:color="auto" w:fill="FFFF99"/>
          </w:tcPr>
          <w:p>
            <w:pPr>
              <w:pStyle w:val="TableParagraph"/>
              <w:spacing w:before="1"/>
              <w:ind w:left="110"/>
              <w:rPr>
                <w:sz w:val="20"/>
              </w:rPr>
            </w:pPr>
            <w:r>
              <w:rPr>
                <w:spacing w:val="-5"/>
                <w:sz w:val="20"/>
              </w:rPr>
              <w:t>3.3</w:t>
            </w:r>
          </w:p>
        </w:tc>
        <w:tc>
          <w:tcPr>
            <w:tcW w:w="2021" w:type="dxa"/>
          </w:tcPr>
          <w:p>
            <w:pPr>
              <w:pStyle w:val="TableParagraph"/>
              <w:spacing w:before="121"/>
              <w:ind w:left="110" w:right="106"/>
              <w:rPr>
                <w:b/>
                <w:sz w:val="20"/>
              </w:rPr>
            </w:pPr>
            <w:r>
              <w:rPr>
                <w:b/>
                <w:sz w:val="20"/>
              </w:rPr>
              <w:t>Partnership</w:t>
            </w:r>
            <w:r>
              <w:rPr>
                <w:b/>
                <w:spacing w:val="-5"/>
                <w:sz w:val="20"/>
              </w:rPr>
              <w:t> </w:t>
            </w:r>
            <w:r>
              <w:rPr>
                <w:b/>
                <w:sz w:val="20"/>
              </w:rPr>
              <w:t>between MEHRD and EAs as a shared</w:t>
            </w:r>
            <w:r>
              <w:rPr>
                <w:b/>
                <w:spacing w:val="-12"/>
                <w:sz w:val="20"/>
              </w:rPr>
              <w:t> </w:t>
            </w:r>
            <w:r>
              <w:rPr>
                <w:b/>
                <w:sz w:val="20"/>
              </w:rPr>
              <w:t>responsibility; and increasing the capacity of EAs to hold MEHRD to </w:t>
            </w:r>
            <w:r>
              <w:rPr>
                <w:b/>
                <w:spacing w:val="-2"/>
                <w:sz w:val="20"/>
              </w:rPr>
              <w:t>account</w:t>
            </w:r>
          </w:p>
        </w:tc>
        <w:tc>
          <w:tcPr>
            <w:tcW w:w="3701" w:type="dxa"/>
          </w:tcPr>
          <w:p>
            <w:pPr>
              <w:pStyle w:val="TableParagraph"/>
              <w:numPr>
                <w:ilvl w:val="1"/>
                <w:numId w:val="39"/>
              </w:numPr>
              <w:tabs>
                <w:tab w:pos="408" w:val="left" w:leader="none"/>
              </w:tabs>
              <w:spacing w:line="240" w:lineRule="auto" w:before="1" w:after="0"/>
              <w:ind w:left="105" w:right="551" w:firstLine="0"/>
              <w:jc w:val="left"/>
              <w:rPr>
                <w:sz w:val="20"/>
              </w:rPr>
            </w:pPr>
            <w:r>
              <w:rPr>
                <w:sz w:val="20"/>
              </w:rPr>
              <w:t>–</w:t>
            </w:r>
            <w:r>
              <w:rPr>
                <w:spacing w:val="-10"/>
                <w:sz w:val="20"/>
              </w:rPr>
              <w:t> </w:t>
            </w:r>
            <w:r>
              <w:rPr>
                <w:sz w:val="20"/>
              </w:rPr>
              <w:t>Baseline</w:t>
            </w:r>
            <w:r>
              <w:rPr>
                <w:spacing w:val="-10"/>
                <w:sz w:val="20"/>
              </w:rPr>
              <w:t> </w:t>
            </w:r>
            <w:r>
              <w:rPr>
                <w:sz w:val="20"/>
              </w:rPr>
              <w:t>of</w:t>
            </w:r>
            <w:r>
              <w:rPr>
                <w:spacing w:val="-10"/>
                <w:sz w:val="20"/>
              </w:rPr>
              <w:t> </w:t>
            </w:r>
            <w:r>
              <w:rPr>
                <w:sz w:val="20"/>
              </w:rPr>
              <w:t>Provincial</w:t>
            </w:r>
            <w:r>
              <w:rPr>
                <w:spacing w:val="-9"/>
                <w:sz w:val="20"/>
              </w:rPr>
              <w:t> </w:t>
            </w:r>
            <w:r>
              <w:rPr>
                <w:sz w:val="20"/>
              </w:rPr>
              <w:t>Education Authorities</w:t>
            </w:r>
            <w:r>
              <w:rPr>
                <w:spacing w:val="-5"/>
                <w:sz w:val="20"/>
              </w:rPr>
              <w:t> </w:t>
            </w:r>
            <w:r>
              <w:rPr>
                <w:sz w:val="20"/>
              </w:rPr>
              <w:t>capacity.</w:t>
            </w:r>
          </w:p>
        </w:tc>
        <w:tc>
          <w:tcPr>
            <w:tcW w:w="3288" w:type="dxa"/>
          </w:tcPr>
          <w:p>
            <w:pPr>
              <w:pStyle w:val="TableParagraph"/>
              <w:spacing w:before="121"/>
              <w:ind w:left="104"/>
              <w:rPr>
                <w:sz w:val="20"/>
              </w:rPr>
            </w:pPr>
            <w:r>
              <w:rPr>
                <w:sz w:val="20"/>
              </w:rPr>
              <w:t>Capacity</w:t>
            </w:r>
            <w:r>
              <w:rPr>
                <w:spacing w:val="-11"/>
                <w:sz w:val="20"/>
              </w:rPr>
              <w:t> </w:t>
            </w:r>
            <w:r>
              <w:rPr>
                <w:sz w:val="20"/>
              </w:rPr>
              <w:t>Evaluation</w:t>
            </w:r>
            <w:r>
              <w:rPr>
                <w:spacing w:val="-7"/>
                <w:sz w:val="20"/>
              </w:rPr>
              <w:t> </w:t>
            </w:r>
            <w:r>
              <w:rPr>
                <w:sz w:val="20"/>
              </w:rPr>
              <w:t>of</w:t>
            </w:r>
            <w:r>
              <w:rPr>
                <w:spacing w:val="-10"/>
                <w:sz w:val="20"/>
              </w:rPr>
              <w:t> </w:t>
            </w:r>
            <w:r>
              <w:rPr>
                <w:sz w:val="20"/>
              </w:rPr>
              <w:t>PEAs,</w:t>
            </w:r>
            <w:r>
              <w:rPr>
                <w:spacing w:val="-8"/>
                <w:sz w:val="20"/>
              </w:rPr>
              <w:t> </w:t>
            </w:r>
            <w:r>
              <w:rPr>
                <w:sz w:val="20"/>
              </w:rPr>
              <w:t>designed to plan EA capacity development</w:t>
            </w:r>
          </w:p>
        </w:tc>
        <w:tc>
          <w:tcPr>
            <w:tcW w:w="2059" w:type="dxa"/>
          </w:tcPr>
          <w:p>
            <w:pPr>
              <w:pStyle w:val="TableParagraph"/>
              <w:spacing w:before="121"/>
              <w:ind w:left="105" w:right="345"/>
              <w:rPr>
                <w:sz w:val="20"/>
              </w:rPr>
            </w:pPr>
            <w:r>
              <w:rPr>
                <w:sz w:val="20"/>
              </w:rPr>
              <w:t>Capacity</w:t>
            </w:r>
            <w:r>
              <w:rPr>
                <w:spacing w:val="-12"/>
                <w:sz w:val="20"/>
              </w:rPr>
              <w:t> </w:t>
            </w:r>
            <w:r>
              <w:rPr>
                <w:sz w:val="20"/>
              </w:rPr>
              <w:t>Evaluation </w:t>
            </w:r>
            <w:r>
              <w:rPr>
                <w:spacing w:val="-2"/>
                <w:sz w:val="20"/>
              </w:rPr>
              <w:t>Report</w:t>
            </w:r>
          </w:p>
        </w:tc>
        <w:tc>
          <w:tcPr>
            <w:tcW w:w="2078" w:type="dxa"/>
          </w:tcPr>
          <w:p>
            <w:pPr>
              <w:pStyle w:val="TableParagraph"/>
              <w:spacing w:before="121"/>
              <w:ind w:left="105"/>
              <w:rPr>
                <w:sz w:val="20"/>
              </w:rPr>
            </w:pPr>
            <w:r>
              <w:rPr>
                <w:sz w:val="20"/>
              </w:rPr>
              <w:t>EA</w:t>
            </w:r>
            <w:r>
              <w:rPr>
                <w:spacing w:val="-5"/>
                <w:sz w:val="20"/>
              </w:rPr>
              <w:t> </w:t>
            </w:r>
            <w:r>
              <w:rPr>
                <w:sz w:val="20"/>
              </w:rPr>
              <w:t>PE</w:t>
            </w:r>
            <w:r>
              <w:rPr>
                <w:spacing w:val="2"/>
                <w:sz w:val="20"/>
              </w:rPr>
              <w:t> </w:t>
            </w:r>
            <w:r>
              <w:rPr>
                <w:spacing w:val="-2"/>
                <w:sz w:val="20"/>
              </w:rPr>
              <w:t>Division</w:t>
            </w:r>
          </w:p>
          <w:p>
            <w:pPr>
              <w:pStyle w:val="TableParagraph"/>
              <w:rPr>
                <w:b/>
                <w:sz w:val="20"/>
              </w:rPr>
            </w:pPr>
          </w:p>
          <w:p>
            <w:pPr>
              <w:pStyle w:val="TableParagraph"/>
              <w:rPr>
                <w:b/>
                <w:sz w:val="20"/>
              </w:rPr>
            </w:pPr>
          </w:p>
          <w:p>
            <w:pPr>
              <w:pStyle w:val="TableParagraph"/>
              <w:spacing w:before="9"/>
              <w:rPr>
                <w:b/>
                <w:sz w:val="19"/>
              </w:rPr>
            </w:pPr>
          </w:p>
          <w:p>
            <w:pPr>
              <w:pStyle w:val="TableParagraph"/>
              <w:spacing w:line="480" w:lineRule="auto"/>
              <w:ind w:left="105" w:right="260"/>
              <w:rPr>
                <w:sz w:val="20"/>
              </w:rPr>
            </w:pPr>
            <w:r>
              <w:rPr>
                <w:sz w:val="20"/>
              </w:rPr>
              <w:t>Inspectorate</w:t>
            </w:r>
            <w:r>
              <w:rPr>
                <w:spacing w:val="-12"/>
                <w:sz w:val="20"/>
              </w:rPr>
              <w:t> </w:t>
            </w:r>
            <w:r>
              <w:rPr>
                <w:sz w:val="20"/>
              </w:rPr>
              <w:t>division EA</w:t>
            </w:r>
            <w:r>
              <w:rPr>
                <w:spacing w:val="-3"/>
                <w:sz w:val="20"/>
              </w:rPr>
              <w:t> </w:t>
            </w:r>
            <w:r>
              <w:rPr>
                <w:sz w:val="20"/>
              </w:rPr>
              <w:t>group</w:t>
            </w:r>
          </w:p>
        </w:tc>
      </w:tr>
    </w:tbl>
    <w:p>
      <w:pPr>
        <w:spacing w:after="0" w:line="480" w:lineRule="auto"/>
        <w:rPr>
          <w:sz w:val="20"/>
        </w:rPr>
        <w:sectPr>
          <w:pgSz w:w="16840" w:h="11900" w:orient="landscape"/>
          <w:pgMar w:header="751" w:footer="729" w:top="1380" w:bottom="920" w:left="1340" w:right="1440"/>
        </w:sectPr>
      </w:pPr>
    </w:p>
    <w:p>
      <w:pPr>
        <w:pStyle w:val="BodyText"/>
        <w:spacing w:before="7"/>
        <w:rPr>
          <w:b/>
          <w:sz w:val="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
        <w:gridCol w:w="324"/>
        <w:gridCol w:w="132"/>
        <w:gridCol w:w="2021"/>
        <w:gridCol w:w="3701"/>
        <w:gridCol w:w="3288"/>
        <w:gridCol w:w="2059"/>
        <w:gridCol w:w="2078"/>
      </w:tblGrid>
      <w:tr>
        <w:trPr>
          <w:trHeight w:val="499" w:hRule="exact"/>
        </w:trPr>
        <w:tc>
          <w:tcPr>
            <w:tcW w:w="552" w:type="dxa"/>
            <w:gridSpan w:val="3"/>
            <w:shd w:val="clear" w:color="auto" w:fill="FFFF99"/>
          </w:tcPr>
          <w:p>
            <w:pPr>
              <w:pStyle w:val="TableParagraph"/>
              <w:rPr>
                <w:rFonts w:ascii="Times New Roman"/>
                <w:sz w:val="20"/>
              </w:rPr>
            </w:pPr>
          </w:p>
        </w:tc>
        <w:tc>
          <w:tcPr>
            <w:tcW w:w="2021" w:type="dxa"/>
            <w:shd w:val="clear" w:color="auto" w:fill="99CCFF"/>
          </w:tcPr>
          <w:p>
            <w:pPr>
              <w:pStyle w:val="TableParagraph"/>
              <w:spacing w:before="1"/>
              <w:ind w:left="105"/>
              <w:rPr>
                <w:sz w:val="20"/>
              </w:rPr>
            </w:pPr>
            <w:r>
              <w:rPr>
                <w:spacing w:val="-2"/>
                <w:sz w:val="20"/>
              </w:rPr>
              <w:t>Objective</w:t>
            </w:r>
          </w:p>
        </w:tc>
        <w:tc>
          <w:tcPr>
            <w:tcW w:w="3701" w:type="dxa"/>
            <w:shd w:val="clear" w:color="auto" w:fill="99CCFF"/>
          </w:tcPr>
          <w:p>
            <w:pPr>
              <w:pStyle w:val="TableParagraph"/>
              <w:spacing w:line="240" w:lineRule="atLeast"/>
              <w:ind w:left="100" w:right="163"/>
              <w:rPr>
                <w:sz w:val="20"/>
              </w:rPr>
            </w:pPr>
            <w:r>
              <w:rPr>
                <w:sz w:val="20"/>
              </w:rPr>
              <w:t>2016/17</w:t>
            </w:r>
            <w:r>
              <w:rPr>
                <w:spacing w:val="-4"/>
                <w:sz w:val="20"/>
              </w:rPr>
              <w:t> </w:t>
            </w:r>
            <w:r>
              <w:rPr>
                <w:sz w:val="20"/>
              </w:rPr>
              <w:t>Target</w:t>
            </w:r>
            <w:r>
              <w:rPr>
                <w:spacing w:val="-7"/>
                <w:sz w:val="20"/>
              </w:rPr>
              <w:t> </w:t>
            </w:r>
            <w:r>
              <w:rPr>
                <w:sz w:val="20"/>
              </w:rPr>
              <w:t>–</w:t>
            </w:r>
            <w:r>
              <w:rPr>
                <w:spacing w:val="-2"/>
                <w:sz w:val="20"/>
              </w:rPr>
              <w:t> </w:t>
            </w:r>
            <w:r>
              <w:rPr>
                <w:sz w:val="20"/>
              </w:rPr>
              <w:t>to</w:t>
            </w:r>
            <w:r>
              <w:rPr>
                <w:spacing w:val="-7"/>
                <w:sz w:val="20"/>
              </w:rPr>
              <w:t> </w:t>
            </w:r>
            <w:r>
              <w:rPr>
                <w:sz w:val="20"/>
              </w:rPr>
              <w:t>be</w:t>
            </w:r>
            <w:r>
              <w:rPr>
                <w:spacing w:val="-6"/>
                <w:sz w:val="20"/>
              </w:rPr>
              <w:t> </w:t>
            </w:r>
            <w:r>
              <w:rPr>
                <w:sz w:val="20"/>
              </w:rPr>
              <w:t>achieved</w:t>
            </w:r>
            <w:r>
              <w:rPr>
                <w:spacing w:val="-3"/>
                <w:sz w:val="20"/>
              </w:rPr>
              <w:t> </w:t>
            </w:r>
            <w:r>
              <w:rPr>
                <w:sz w:val="20"/>
              </w:rPr>
              <w:t>by</w:t>
            </w:r>
            <w:r>
              <w:rPr>
                <w:spacing w:val="-7"/>
                <w:sz w:val="20"/>
              </w:rPr>
              <w:t> </w:t>
            </w:r>
            <w:r>
              <w:rPr>
                <w:sz w:val="20"/>
              </w:rPr>
              <w:t>30 May 2017</w:t>
            </w:r>
          </w:p>
        </w:tc>
        <w:tc>
          <w:tcPr>
            <w:tcW w:w="3288" w:type="dxa"/>
            <w:shd w:val="clear" w:color="auto" w:fill="99CCFF"/>
          </w:tcPr>
          <w:p>
            <w:pPr>
              <w:pStyle w:val="TableParagraph"/>
              <w:spacing w:before="1"/>
              <w:ind w:left="100"/>
              <w:rPr>
                <w:sz w:val="20"/>
              </w:rPr>
            </w:pPr>
            <w:r>
              <w:rPr>
                <w:spacing w:val="-2"/>
                <w:sz w:val="20"/>
              </w:rPr>
              <w:t>Measurement</w:t>
            </w:r>
          </w:p>
        </w:tc>
        <w:tc>
          <w:tcPr>
            <w:tcW w:w="2059" w:type="dxa"/>
            <w:shd w:val="clear" w:color="auto" w:fill="99CCFF"/>
          </w:tcPr>
          <w:p>
            <w:pPr>
              <w:pStyle w:val="TableParagraph"/>
              <w:spacing w:line="240" w:lineRule="atLeast"/>
              <w:ind w:left="100" w:right="480"/>
              <w:rPr>
                <w:sz w:val="20"/>
              </w:rPr>
            </w:pPr>
            <w:r>
              <w:rPr>
                <w:sz w:val="20"/>
              </w:rPr>
              <w:t>Specific</w:t>
            </w:r>
            <w:r>
              <w:rPr>
                <w:spacing w:val="-12"/>
                <w:sz w:val="20"/>
              </w:rPr>
              <w:t> </w:t>
            </w:r>
            <w:r>
              <w:rPr>
                <w:sz w:val="20"/>
              </w:rPr>
              <w:t>reports </w:t>
            </w:r>
            <w:r>
              <w:rPr>
                <w:spacing w:val="-2"/>
                <w:sz w:val="20"/>
              </w:rPr>
              <w:t>required</w:t>
            </w:r>
          </w:p>
        </w:tc>
        <w:tc>
          <w:tcPr>
            <w:tcW w:w="2078" w:type="dxa"/>
            <w:shd w:val="clear" w:color="auto" w:fill="99CCFF"/>
          </w:tcPr>
          <w:p>
            <w:pPr>
              <w:pStyle w:val="TableParagraph"/>
              <w:spacing w:before="1"/>
              <w:ind w:left="100"/>
              <w:rPr>
                <w:sz w:val="20"/>
              </w:rPr>
            </w:pPr>
            <w:r>
              <w:rPr>
                <w:spacing w:val="-2"/>
                <w:sz w:val="20"/>
              </w:rPr>
              <w:t>Responsible</w:t>
            </w:r>
          </w:p>
        </w:tc>
      </w:tr>
      <w:tr>
        <w:trPr>
          <w:trHeight w:val="249" w:hRule="exact"/>
        </w:trPr>
        <w:tc>
          <w:tcPr>
            <w:tcW w:w="96" w:type="dxa"/>
            <w:tcBorders>
              <w:bottom w:val="nil"/>
              <w:right w:val="single" w:sz="12" w:space="0" w:color="99CCFF"/>
            </w:tcBorders>
            <w:shd w:val="clear" w:color="auto" w:fill="FFFF99"/>
          </w:tcPr>
          <w:p>
            <w:pPr>
              <w:pStyle w:val="TableParagraph"/>
              <w:rPr>
                <w:rFonts w:ascii="Times New Roman"/>
                <w:sz w:val="16"/>
              </w:rPr>
            </w:pPr>
          </w:p>
        </w:tc>
        <w:tc>
          <w:tcPr>
            <w:tcW w:w="324" w:type="dxa"/>
            <w:tcBorders>
              <w:left w:val="single" w:sz="12" w:space="0" w:color="99CCFF"/>
              <w:bottom w:val="nil"/>
              <w:right w:val="single" w:sz="48" w:space="0" w:color="99CCFF"/>
            </w:tcBorders>
            <w:shd w:val="clear" w:color="auto" w:fill="FFFF99"/>
          </w:tcPr>
          <w:p>
            <w:pPr>
              <w:pStyle w:val="TableParagraph"/>
              <w:spacing w:line="223" w:lineRule="exact" w:before="1"/>
              <w:ind w:left="-1" w:right="-15"/>
              <w:rPr>
                <w:sz w:val="20"/>
              </w:rPr>
            </w:pPr>
            <w:r>
              <w:rPr>
                <w:spacing w:val="-5"/>
                <w:sz w:val="20"/>
              </w:rPr>
              <w:t>4.1</w:t>
            </w:r>
          </w:p>
        </w:tc>
        <w:tc>
          <w:tcPr>
            <w:tcW w:w="132" w:type="dxa"/>
            <w:tcBorders>
              <w:left w:val="single" w:sz="48" w:space="0" w:color="99CCFF"/>
              <w:bottom w:val="nil"/>
            </w:tcBorders>
            <w:shd w:val="clear" w:color="auto" w:fill="FFFF99"/>
          </w:tcPr>
          <w:p>
            <w:pPr>
              <w:pStyle w:val="TableParagraph"/>
              <w:rPr>
                <w:rFonts w:ascii="Times New Roman"/>
                <w:sz w:val="16"/>
              </w:rPr>
            </w:pPr>
          </w:p>
        </w:tc>
        <w:tc>
          <w:tcPr>
            <w:tcW w:w="2021" w:type="dxa"/>
            <w:vMerge w:val="restart"/>
            <w:tcBorders>
              <w:bottom w:val="nil"/>
            </w:tcBorders>
          </w:tcPr>
          <w:p>
            <w:pPr>
              <w:pStyle w:val="TableParagraph"/>
              <w:spacing w:line="237" w:lineRule="auto" w:before="123"/>
              <w:ind w:left="105"/>
              <w:rPr>
                <w:b/>
                <w:sz w:val="20"/>
              </w:rPr>
            </w:pPr>
            <w:r>
              <w:rPr>
                <w:b/>
                <w:sz w:val="20"/>
              </w:rPr>
              <w:t>Create a disability inclusive</w:t>
            </w:r>
            <w:r>
              <w:rPr>
                <w:b/>
                <w:spacing w:val="-12"/>
                <w:sz w:val="20"/>
              </w:rPr>
              <w:t> </w:t>
            </w:r>
            <w:r>
              <w:rPr>
                <w:b/>
                <w:sz w:val="20"/>
              </w:rPr>
              <w:t>culture</w:t>
            </w:r>
            <w:r>
              <w:rPr>
                <w:b/>
                <w:spacing w:val="-11"/>
                <w:sz w:val="20"/>
              </w:rPr>
              <w:t> </w:t>
            </w:r>
            <w:r>
              <w:rPr>
                <w:b/>
                <w:sz w:val="20"/>
              </w:rPr>
              <w:t>and gender inclusion</w:t>
            </w:r>
          </w:p>
        </w:tc>
        <w:tc>
          <w:tcPr>
            <w:tcW w:w="3701" w:type="dxa"/>
            <w:vMerge w:val="restart"/>
            <w:tcBorders>
              <w:bottom w:val="nil"/>
            </w:tcBorders>
          </w:tcPr>
          <w:p>
            <w:pPr>
              <w:pStyle w:val="TableParagraph"/>
              <w:spacing w:before="121"/>
              <w:ind w:left="100" w:right="158"/>
              <w:rPr>
                <w:sz w:val="20"/>
              </w:rPr>
            </w:pPr>
            <w:r>
              <w:rPr>
                <w:sz w:val="20"/>
              </w:rPr>
              <w:t>4.1.</w:t>
            </w:r>
            <w:r>
              <w:rPr>
                <w:spacing w:val="-4"/>
                <w:sz w:val="20"/>
              </w:rPr>
              <w:t> </w:t>
            </w:r>
            <w:r>
              <w:rPr>
                <w:sz w:val="20"/>
              </w:rPr>
              <w:t>–</w:t>
            </w:r>
            <w:r>
              <w:rPr>
                <w:spacing w:val="-5"/>
                <w:sz w:val="20"/>
              </w:rPr>
              <w:t> </w:t>
            </w:r>
            <w:r>
              <w:rPr>
                <w:sz w:val="20"/>
              </w:rPr>
              <w:t>Girls</w:t>
            </w:r>
            <w:r>
              <w:rPr>
                <w:spacing w:val="-7"/>
                <w:sz w:val="20"/>
              </w:rPr>
              <w:t> </w:t>
            </w:r>
            <w:r>
              <w:rPr>
                <w:sz w:val="20"/>
              </w:rPr>
              <w:t>transition</w:t>
            </w:r>
            <w:r>
              <w:rPr>
                <w:spacing w:val="-6"/>
                <w:sz w:val="20"/>
              </w:rPr>
              <w:t> </w:t>
            </w:r>
            <w:r>
              <w:rPr>
                <w:sz w:val="20"/>
              </w:rPr>
              <w:t>rate</w:t>
            </w:r>
            <w:r>
              <w:rPr>
                <w:spacing w:val="-5"/>
                <w:sz w:val="20"/>
              </w:rPr>
              <w:t> </w:t>
            </w:r>
            <w:r>
              <w:rPr>
                <w:sz w:val="20"/>
              </w:rPr>
              <w:t>from</w:t>
            </w:r>
            <w:r>
              <w:rPr>
                <w:spacing w:val="-7"/>
                <w:sz w:val="20"/>
              </w:rPr>
              <w:t> </w:t>
            </w:r>
            <w:r>
              <w:rPr>
                <w:sz w:val="20"/>
              </w:rPr>
              <w:t>Primary</w:t>
            </w:r>
            <w:r>
              <w:rPr>
                <w:spacing w:val="-1"/>
                <w:sz w:val="20"/>
              </w:rPr>
              <w:t> </w:t>
            </w:r>
            <w:r>
              <w:rPr>
                <w:sz w:val="20"/>
              </w:rPr>
              <w:t>to Secondary</w:t>
            </w:r>
            <w:r>
              <w:rPr>
                <w:spacing w:val="-1"/>
                <w:sz w:val="20"/>
              </w:rPr>
              <w:t> </w:t>
            </w:r>
            <w:r>
              <w:rPr>
                <w:sz w:val="20"/>
              </w:rPr>
              <w:t>increases.</w:t>
            </w:r>
          </w:p>
        </w:tc>
        <w:tc>
          <w:tcPr>
            <w:tcW w:w="3288" w:type="dxa"/>
            <w:vMerge w:val="restart"/>
            <w:tcBorders>
              <w:bottom w:val="nil"/>
            </w:tcBorders>
          </w:tcPr>
          <w:p>
            <w:pPr>
              <w:pStyle w:val="TableParagraph"/>
              <w:spacing w:before="1"/>
              <w:ind w:left="100"/>
              <w:rPr>
                <w:sz w:val="20"/>
              </w:rPr>
            </w:pPr>
            <w:r>
              <w:rPr>
                <w:sz w:val="20"/>
              </w:rPr>
              <w:t>Comparative</w:t>
            </w:r>
            <w:r>
              <w:rPr>
                <w:spacing w:val="-9"/>
                <w:sz w:val="20"/>
              </w:rPr>
              <w:t> </w:t>
            </w:r>
            <w:r>
              <w:rPr>
                <w:sz w:val="20"/>
              </w:rPr>
              <w:t>transition</w:t>
            </w:r>
            <w:r>
              <w:rPr>
                <w:spacing w:val="-10"/>
                <w:sz w:val="20"/>
              </w:rPr>
              <w:t> </w:t>
            </w:r>
            <w:r>
              <w:rPr>
                <w:sz w:val="20"/>
              </w:rPr>
              <w:t>rates</w:t>
            </w:r>
            <w:r>
              <w:rPr>
                <w:spacing w:val="-7"/>
                <w:sz w:val="20"/>
              </w:rPr>
              <w:t> </w:t>
            </w:r>
            <w:r>
              <w:rPr>
                <w:sz w:val="20"/>
              </w:rPr>
              <w:t>2015</w:t>
            </w:r>
            <w:r>
              <w:rPr>
                <w:spacing w:val="-7"/>
                <w:sz w:val="20"/>
              </w:rPr>
              <w:t> </w:t>
            </w:r>
            <w:r>
              <w:rPr>
                <w:sz w:val="20"/>
              </w:rPr>
              <w:t>to </w:t>
            </w:r>
            <w:r>
              <w:rPr>
                <w:spacing w:val="-2"/>
                <w:sz w:val="20"/>
              </w:rPr>
              <w:t>2016.</w:t>
            </w:r>
          </w:p>
        </w:tc>
        <w:tc>
          <w:tcPr>
            <w:tcW w:w="2059" w:type="dxa"/>
            <w:vMerge w:val="restart"/>
            <w:tcBorders>
              <w:bottom w:val="nil"/>
            </w:tcBorders>
          </w:tcPr>
          <w:p>
            <w:pPr>
              <w:pStyle w:val="TableParagraph"/>
              <w:spacing w:before="121"/>
              <w:ind w:left="100"/>
              <w:rPr>
                <w:sz w:val="20"/>
              </w:rPr>
            </w:pPr>
            <w:r>
              <w:rPr>
                <w:spacing w:val="-5"/>
                <w:sz w:val="20"/>
              </w:rPr>
              <w:t>PAR</w:t>
            </w:r>
          </w:p>
          <w:p>
            <w:pPr>
              <w:pStyle w:val="TableParagraph"/>
              <w:spacing w:before="121"/>
              <w:ind w:left="100"/>
              <w:rPr>
                <w:sz w:val="20"/>
              </w:rPr>
            </w:pPr>
            <w:r>
              <w:rPr>
                <w:sz w:val="20"/>
              </w:rPr>
              <w:t>SIEMIS</w:t>
            </w:r>
            <w:r>
              <w:rPr>
                <w:spacing w:val="-8"/>
                <w:sz w:val="20"/>
              </w:rPr>
              <w:t> </w:t>
            </w:r>
            <w:r>
              <w:rPr>
                <w:spacing w:val="-2"/>
                <w:sz w:val="20"/>
              </w:rPr>
              <w:t>reports</w:t>
            </w:r>
          </w:p>
        </w:tc>
        <w:tc>
          <w:tcPr>
            <w:tcW w:w="2078" w:type="dxa"/>
            <w:vMerge w:val="restart"/>
            <w:tcBorders>
              <w:bottom w:val="nil"/>
            </w:tcBorders>
          </w:tcPr>
          <w:p>
            <w:pPr>
              <w:pStyle w:val="TableParagraph"/>
              <w:spacing w:line="357" w:lineRule="auto" w:before="121"/>
              <w:ind w:left="100" w:right="1647"/>
              <w:rPr>
                <w:sz w:val="20"/>
              </w:rPr>
            </w:pPr>
            <w:r>
              <w:rPr>
                <w:spacing w:val="-4"/>
                <w:sz w:val="20"/>
              </w:rPr>
              <w:t>SSU </w:t>
            </w:r>
            <w:r>
              <w:rPr>
                <w:spacing w:val="-5"/>
                <w:sz w:val="20"/>
              </w:rPr>
              <w:t>SSU</w:t>
            </w:r>
          </w:p>
        </w:tc>
      </w:tr>
      <w:tr>
        <w:trPr>
          <w:trHeight w:val="686" w:hRule="exact"/>
        </w:trPr>
        <w:tc>
          <w:tcPr>
            <w:tcW w:w="552" w:type="dxa"/>
            <w:gridSpan w:val="3"/>
            <w:vMerge w:val="restart"/>
            <w:tcBorders>
              <w:top w:val="nil"/>
            </w:tcBorders>
            <w:shd w:val="clear" w:color="auto" w:fill="FFFF99"/>
          </w:tcPr>
          <w:p>
            <w:pPr>
              <w:pStyle w:val="TableParagraph"/>
              <w:rPr>
                <w:rFonts w:ascii="Times New Roman"/>
                <w:sz w:val="20"/>
              </w:rPr>
            </w:pPr>
          </w:p>
        </w:tc>
        <w:tc>
          <w:tcPr>
            <w:tcW w:w="2021" w:type="dxa"/>
            <w:vMerge/>
            <w:tcBorders>
              <w:top w:val="nil"/>
              <w:bottom w:val="nil"/>
            </w:tcBorders>
          </w:tcPr>
          <w:p>
            <w:pPr>
              <w:rPr>
                <w:sz w:val="2"/>
                <w:szCs w:val="2"/>
              </w:rPr>
            </w:pPr>
          </w:p>
        </w:tc>
        <w:tc>
          <w:tcPr>
            <w:tcW w:w="3701" w:type="dxa"/>
            <w:vMerge/>
            <w:tcBorders>
              <w:top w:val="nil"/>
              <w:bottom w:val="nil"/>
            </w:tcBorders>
          </w:tcPr>
          <w:p>
            <w:pPr>
              <w:rPr>
                <w:sz w:val="2"/>
                <w:szCs w:val="2"/>
              </w:rPr>
            </w:pPr>
          </w:p>
        </w:tc>
        <w:tc>
          <w:tcPr>
            <w:tcW w:w="3288" w:type="dxa"/>
            <w:vMerge/>
            <w:tcBorders>
              <w:top w:val="nil"/>
              <w:bottom w:val="nil"/>
            </w:tcBorders>
          </w:tcPr>
          <w:p>
            <w:pPr>
              <w:rPr>
                <w:sz w:val="2"/>
                <w:szCs w:val="2"/>
              </w:rPr>
            </w:pPr>
          </w:p>
        </w:tc>
        <w:tc>
          <w:tcPr>
            <w:tcW w:w="2059" w:type="dxa"/>
            <w:vMerge/>
            <w:tcBorders>
              <w:top w:val="nil"/>
              <w:bottom w:val="nil"/>
            </w:tcBorders>
          </w:tcPr>
          <w:p>
            <w:pPr>
              <w:rPr>
                <w:sz w:val="2"/>
                <w:szCs w:val="2"/>
              </w:rPr>
            </w:pPr>
          </w:p>
        </w:tc>
        <w:tc>
          <w:tcPr>
            <w:tcW w:w="2078" w:type="dxa"/>
            <w:vMerge/>
            <w:tcBorders>
              <w:top w:val="nil"/>
              <w:bottom w:val="nil"/>
            </w:tcBorders>
          </w:tcPr>
          <w:p>
            <w:pPr>
              <w:rPr>
                <w:sz w:val="2"/>
                <w:szCs w:val="2"/>
              </w:rPr>
            </w:pPr>
          </w:p>
        </w:tc>
      </w:tr>
      <w:tr>
        <w:trPr>
          <w:trHeight w:val="912" w:hRule="exact"/>
        </w:trPr>
        <w:tc>
          <w:tcPr>
            <w:tcW w:w="552" w:type="dxa"/>
            <w:gridSpan w:val="3"/>
            <w:vMerge/>
            <w:tcBorders>
              <w:top w:val="nil"/>
            </w:tcBorders>
            <w:shd w:val="clear" w:color="auto" w:fill="FFFF99"/>
          </w:tcPr>
          <w:p>
            <w:pPr>
              <w:rPr>
                <w:sz w:val="2"/>
                <w:szCs w:val="2"/>
              </w:rPr>
            </w:pPr>
          </w:p>
        </w:tc>
        <w:tc>
          <w:tcPr>
            <w:tcW w:w="2021" w:type="dxa"/>
            <w:tcBorders>
              <w:top w:val="nil"/>
              <w:bottom w:val="nil"/>
            </w:tcBorders>
          </w:tcPr>
          <w:p>
            <w:pPr>
              <w:pStyle w:val="TableParagraph"/>
              <w:rPr>
                <w:rFonts w:ascii="Times New Roman"/>
                <w:sz w:val="20"/>
              </w:rPr>
            </w:pPr>
          </w:p>
        </w:tc>
        <w:tc>
          <w:tcPr>
            <w:tcW w:w="3701" w:type="dxa"/>
            <w:tcBorders>
              <w:top w:val="nil"/>
              <w:bottom w:val="nil"/>
            </w:tcBorders>
          </w:tcPr>
          <w:p>
            <w:pPr>
              <w:pStyle w:val="TableParagraph"/>
              <w:spacing w:before="160"/>
              <w:ind w:left="100"/>
              <w:rPr>
                <w:sz w:val="20"/>
              </w:rPr>
            </w:pPr>
            <w:r>
              <w:rPr>
                <w:sz w:val="20"/>
              </w:rPr>
              <w:t>4.2</w:t>
            </w:r>
            <w:r>
              <w:rPr>
                <w:spacing w:val="-3"/>
                <w:sz w:val="20"/>
              </w:rPr>
              <w:t> </w:t>
            </w:r>
            <w:r>
              <w:rPr>
                <w:sz w:val="20"/>
              </w:rPr>
              <w:t>-</w:t>
            </w:r>
            <w:r>
              <w:rPr>
                <w:spacing w:val="-6"/>
                <w:sz w:val="20"/>
              </w:rPr>
              <w:t> </w:t>
            </w:r>
            <w:r>
              <w:rPr>
                <w:sz w:val="20"/>
              </w:rPr>
              <w:t>Data</w:t>
            </w:r>
            <w:r>
              <w:rPr>
                <w:spacing w:val="-6"/>
                <w:sz w:val="20"/>
              </w:rPr>
              <w:t> </w:t>
            </w:r>
            <w:r>
              <w:rPr>
                <w:sz w:val="20"/>
              </w:rPr>
              <w:t>on</w:t>
            </w:r>
            <w:r>
              <w:rPr>
                <w:spacing w:val="-7"/>
                <w:sz w:val="20"/>
              </w:rPr>
              <w:t> </w:t>
            </w:r>
            <w:r>
              <w:rPr>
                <w:sz w:val="20"/>
              </w:rPr>
              <w:t>disability</w:t>
            </w:r>
            <w:r>
              <w:rPr>
                <w:spacing w:val="-6"/>
                <w:sz w:val="20"/>
              </w:rPr>
              <w:t> </w:t>
            </w:r>
            <w:r>
              <w:rPr>
                <w:sz w:val="20"/>
              </w:rPr>
              <w:t>inclusive</w:t>
            </w:r>
            <w:r>
              <w:rPr>
                <w:spacing w:val="-5"/>
                <w:sz w:val="20"/>
              </w:rPr>
              <w:t> </w:t>
            </w:r>
            <w:r>
              <w:rPr>
                <w:spacing w:val="-2"/>
                <w:sz w:val="20"/>
              </w:rPr>
              <w:t>education</w:t>
            </w:r>
          </w:p>
        </w:tc>
        <w:tc>
          <w:tcPr>
            <w:tcW w:w="3288" w:type="dxa"/>
            <w:tcBorders>
              <w:top w:val="nil"/>
              <w:bottom w:val="nil"/>
            </w:tcBorders>
          </w:tcPr>
          <w:p>
            <w:pPr>
              <w:pStyle w:val="TableParagraph"/>
              <w:spacing w:before="44"/>
              <w:ind w:left="100" w:right="121"/>
              <w:rPr>
                <w:sz w:val="20"/>
              </w:rPr>
            </w:pPr>
            <w:r>
              <w:rPr>
                <w:sz w:val="20"/>
              </w:rPr>
              <w:t>Data</w:t>
            </w:r>
            <w:r>
              <w:rPr>
                <w:spacing w:val="-5"/>
                <w:sz w:val="20"/>
              </w:rPr>
              <w:t> </w:t>
            </w:r>
            <w:r>
              <w:rPr>
                <w:sz w:val="20"/>
              </w:rPr>
              <w:t>collected,</w:t>
            </w:r>
            <w:r>
              <w:rPr>
                <w:spacing w:val="-11"/>
                <w:sz w:val="20"/>
              </w:rPr>
              <w:t> </w:t>
            </w:r>
            <w:r>
              <w:rPr>
                <w:sz w:val="20"/>
              </w:rPr>
              <w:t>collated</w:t>
            </w:r>
            <w:r>
              <w:rPr>
                <w:spacing w:val="-10"/>
                <w:sz w:val="20"/>
              </w:rPr>
              <w:t> </w:t>
            </w:r>
            <w:r>
              <w:rPr>
                <w:sz w:val="20"/>
              </w:rPr>
              <w:t>and</w:t>
            </w:r>
            <w:r>
              <w:rPr>
                <w:spacing w:val="-10"/>
                <w:sz w:val="20"/>
              </w:rPr>
              <w:t> </w:t>
            </w:r>
            <w:r>
              <w:rPr>
                <w:sz w:val="20"/>
              </w:rPr>
              <w:t>analysed on student disability by disability type, school type.</w:t>
            </w:r>
          </w:p>
        </w:tc>
        <w:tc>
          <w:tcPr>
            <w:tcW w:w="2059" w:type="dxa"/>
            <w:tcBorders>
              <w:top w:val="nil"/>
              <w:bottom w:val="nil"/>
            </w:tcBorders>
          </w:tcPr>
          <w:p>
            <w:pPr>
              <w:pStyle w:val="TableParagraph"/>
              <w:spacing w:before="11"/>
              <w:rPr>
                <w:b/>
                <w:sz w:val="22"/>
              </w:rPr>
            </w:pPr>
          </w:p>
          <w:p>
            <w:pPr>
              <w:pStyle w:val="TableParagraph"/>
              <w:ind w:left="100"/>
              <w:rPr>
                <w:sz w:val="20"/>
              </w:rPr>
            </w:pPr>
            <w:r>
              <w:rPr>
                <w:spacing w:val="-5"/>
                <w:sz w:val="20"/>
              </w:rPr>
              <w:t>PAR</w:t>
            </w:r>
          </w:p>
        </w:tc>
        <w:tc>
          <w:tcPr>
            <w:tcW w:w="2078" w:type="dxa"/>
            <w:tcBorders>
              <w:top w:val="nil"/>
              <w:bottom w:val="nil"/>
            </w:tcBorders>
          </w:tcPr>
          <w:p>
            <w:pPr>
              <w:pStyle w:val="TableParagraph"/>
              <w:spacing w:before="12"/>
              <w:rPr>
                <w:b/>
                <w:sz w:val="22"/>
              </w:rPr>
            </w:pPr>
          </w:p>
          <w:p>
            <w:pPr>
              <w:pStyle w:val="TableParagraph"/>
              <w:ind w:left="100"/>
              <w:rPr>
                <w:sz w:val="20"/>
              </w:rPr>
            </w:pPr>
            <w:r>
              <w:rPr>
                <w:spacing w:val="-5"/>
                <w:sz w:val="20"/>
              </w:rPr>
              <w:t>SSU</w:t>
            </w:r>
          </w:p>
        </w:tc>
      </w:tr>
      <w:tr>
        <w:trPr>
          <w:trHeight w:val="852" w:hRule="exact"/>
        </w:trPr>
        <w:tc>
          <w:tcPr>
            <w:tcW w:w="552" w:type="dxa"/>
            <w:gridSpan w:val="3"/>
            <w:vMerge/>
            <w:tcBorders>
              <w:top w:val="nil"/>
            </w:tcBorders>
            <w:shd w:val="clear" w:color="auto" w:fill="FFFF99"/>
          </w:tcPr>
          <w:p>
            <w:pPr>
              <w:rPr>
                <w:sz w:val="2"/>
                <w:szCs w:val="2"/>
              </w:rPr>
            </w:pPr>
          </w:p>
        </w:tc>
        <w:tc>
          <w:tcPr>
            <w:tcW w:w="2021" w:type="dxa"/>
            <w:tcBorders>
              <w:top w:val="nil"/>
              <w:bottom w:val="nil"/>
            </w:tcBorders>
          </w:tcPr>
          <w:p>
            <w:pPr>
              <w:pStyle w:val="TableParagraph"/>
              <w:rPr>
                <w:rFonts w:ascii="Times New Roman"/>
                <w:sz w:val="20"/>
              </w:rPr>
            </w:pPr>
          </w:p>
        </w:tc>
        <w:tc>
          <w:tcPr>
            <w:tcW w:w="3701" w:type="dxa"/>
            <w:tcBorders>
              <w:top w:val="nil"/>
              <w:bottom w:val="nil"/>
            </w:tcBorders>
          </w:tcPr>
          <w:p>
            <w:pPr>
              <w:pStyle w:val="TableParagraph"/>
              <w:rPr>
                <w:rFonts w:ascii="Times New Roman"/>
                <w:sz w:val="20"/>
              </w:rPr>
            </w:pPr>
          </w:p>
        </w:tc>
        <w:tc>
          <w:tcPr>
            <w:tcW w:w="3288" w:type="dxa"/>
            <w:tcBorders>
              <w:top w:val="nil"/>
              <w:bottom w:val="nil"/>
            </w:tcBorders>
          </w:tcPr>
          <w:p>
            <w:pPr>
              <w:pStyle w:val="TableParagraph"/>
              <w:spacing w:before="111"/>
              <w:ind w:left="100"/>
              <w:rPr>
                <w:sz w:val="20"/>
              </w:rPr>
            </w:pPr>
            <w:r>
              <w:rPr>
                <w:sz w:val="20"/>
              </w:rPr>
              <w:t>Dialogue between Ministry and Education</w:t>
            </w:r>
            <w:r>
              <w:rPr>
                <w:spacing w:val="-12"/>
                <w:sz w:val="20"/>
              </w:rPr>
              <w:t> </w:t>
            </w:r>
            <w:r>
              <w:rPr>
                <w:sz w:val="20"/>
              </w:rPr>
              <w:t>Authorities</w:t>
            </w:r>
            <w:r>
              <w:rPr>
                <w:spacing w:val="-11"/>
                <w:sz w:val="20"/>
              </w:rPr>
              <w:t> </w:t>
            </w:r>
            <w:r>
              <w:rPr>
                <w:sz w:val="20"/>
              </w:rPr>
              <w:t>to</w:t>
            </w:r>
            <w:r>
              <w:rPr>
                <w:spacing w:val="-11"/>
                <w:sz w:val="20"/>
              </w:rPr>
              <w:t> </w:t>
            </w:r>
            <w:r>
              <w:rPr>
                <w:sz w:val="20"/>
              </w:rPr>
              <w:t>reinforce</w:t>
            </w:r>
          </w:p>
          <w:p>
            <w:pPr>
              <w:pStyle w:val="TableParagraph"/>
              <w:spacing w:line="232" w:lineRule="exact"/>
              <w:ind w:left="100"/>
              <w:rPr>
                <w:sz w:val="20"/>
              </w:rPr>
            </w:pPr>
            <w:r>
              <w:rPr>
                <w:sz w:val="20"/>
              </w:rPr>
              <w:t>girls’</w:t>
            </w:r>
            <w:r>
              <w:rPr>
                <w:spacing w:val="-4"/>
                <w:sz w:val="20"/>
              </w:rPr>
              <w:t> </w:t>
            </w:r>
            <w:r>
              <w:rPr>
                <w:spacing w:val="-2"/>
                <w:sz w:val="20"/>
              </w:rPr>
              <w:t>participation.</w:t>
            </w:r>
          </w:p>
        </w:tc>
        <w:tc>
          <w:tcPr>
            <w:tcW w:w="2059" w:type="dxa"/>
            <w:tcBorders>
              <w:top w:val="nil"/>
              <w:bottom w:val="nil"/>
            </w:tcBorders>
          </w:tcPr>
          <w:p>
            <w:pPr>
              <w:pStyle w:val="TableParagraph"/>
              <w:spacing w:before="98"/>
              <w:ind w:left="100" w:right="115"/>
              <w:jc w:val="both"/>
              <w:rPr>
                <w:sz w:val="20"/>
              </w:rPr>
            </w:pPr>
            <w:r>
              <w:rPr>
                <w:sz w:val="20"/>
              </w:rPr>
              <w:t>Report by Community Education</w:t>
            </w:r>
            <w:r>
              <w:rPr>
                <w:spacing w:val="-12"/>
                <w:sz w:val="20"/>
              </w:rPr>
              <w:t> </w:t>
            </w:r>
            <w:r>
              <w:rPr>
                <w:sz w:val="20"/>
              </w:rPr>
              <w:t>and</w:t>
            </w:r>
            <w:r>
              <w:rPr>
                <w:spacing w:val="-11"/>
                <w:sz w:val="20"/>
              </w:rPr>
              <w:t> </w:t>
            </w:r>
            <w:r>
              <w:rPr>
                <w:sz w:val="20"/>
              </w:rPr>
              <w:t>Schools </w:t>
            </w:r>
            <w:r>
              <w:rPr>
                <w:spacing w:val="-2"/>
                <w:sz w:val="20"/>
              </w:rPr>
              <w:t>Services</w:t>
            </w:r>
          </w:p>
        </w:tc>
        <w:tc>
          <w:tcPr>
            <w:tcW w:w="2078" w:type="dxa"/>
            <w:tcBorders>
              <w:top w:val="nil"/>
              <w:bottom w:val="nil"/>
            </w:tcBorders>
          </w:tcPr>
          <w:p>
            <w:pPr>
              <w:pStyle w:val="TableParagraph"/>
              <w:rPr>
                <w:rFonts w:ascii="Times New Roman"/>
                <w:sz w:val="20"/>
              </w:rPr>
            </w:pPr>
          </w:p>
        </w:tc>
      </w:tr>
      <w:tr>
        <w:trPr>
          <w:trHeight w:val="244" w:hRule="exact"/>
        </w:trPr>
        <w:tc>
          <w:tcPr>
            <w:tcW w:w="552" w:type="dxa"/>
            <w:gridSpan w:val="3"/>
            <w:vMerge/>
            <w:tcBorders>
              <w:top w:val="nil"/>
            </w:tcBorders>
            <w:shd w:val="clear" w:color="auto" w:fill="FFFF99"/>
          </w:tcPr>
          <w:p>
            <w:pPr>
              <w:rPr>
                <w:sz w:val="2"/>
                <w:szCs w:val="2"/>
              </w:rPr>
            </w:pPr>
          </w:p>
        </w:tc>
        <w:tc>
          <w:tcPr>
            <w:tcW w:w="2021" w:type="dxa"/>
            <w:tcBorders>
              <w:top w:val="nil"/>
              <w:bottom w:val="nil"/>
            </w:tcBorders>
          </w:tcPr>
          <w:p>
            <w:pPr>
              <w:pStyle w:val="TableParagraph"/>
              <w:rPr>
                <w:rFonts w:ascii="Times New Roman"/>
                <w:sz w:val="16"/>
              </w:rPr>
            </w:pPr>
          </w:p>
        </w:tc>
        <w:tc>
          <w:tcPr>
            <w:tcW w:w="3701" w:type="dxa"/>
            <w:tcBorders>
              <w:top w:val="nil"/>
              <w:bottom w:val="nil"/>
            </w:tcBorders>
          </w:tcPr>
          <w:p>
            <w:pPr>
              <w:pStyle w:val="TableParagraph"/>
              <w:rPr>
                <w:rFonts w:ascii="Times New Roman"/>
                <w:sz w:val="16"/>
              </w:rPr>
            </w:pPr>
          </w:p>
        </w:tc>
        <w:tc>
          <w:tcPr>
            <w:tcW w:w="3288" w:type="dxa"/>
            <w:tcBorders>
              <w:top w:val="nil"/>
              <w:bottom w:val="nil"/>
            </w:tcBorders>
          </w:tcPr>
          <w:p>
            <w:pPr>
              <w:pStyle w:val="TableParagraph"/>
              <w:rPr>
                <w:rFonts w:ascii="Times New Roman"/>
                <w:sz w:val="16"/>
              </w:rPr>
            </w:pPr>
          </w:p>
        </w:tc>
        <w:tc>
          <w:tcPr>
            <w:tcW w:w="2059" w:type="dxa"/>
            <w:tcBorders>
              <w:top w:val="nil"/>
              <w:bottom w:val="nil"/>
            </w:tcBorders>
          </w:tcPr>
          <w:p>
            <w:pPr>
              <w:pStyle w:val="TableParagraph"/>
              <w:rPr>
                <w:rFonts w:ascii="Times New Roman"/>
                <w:sz w:val="16"/>
              </w:rPr>
            </w:pPr>
          </w:p>
        </w:tc>
        <w:tc>
          <w:tcPr>
            <w:tcW w:w="2078" w:type="dxa"/>
            <w:tcBorders>
              <w:top w:val="nil"/>
              <w:bottom w:val="nil"/>
            </w:tcBorders>
          </w:tcPr>
          <w:p>
            <w:pPr>
              <w:pStyle w:val="TableParagraph"/>
              <w:spacing w:line="220" w:lineRule="exact"/>
              <w:ind w:left="100"/>
              <w:rPr>
                <w:sz w:val="20"/>
              </w:rPr>
            </w:pPr>
            <w:r>
              <w:rPr>
                <w:spacing w:val="-5"/>
                <w:sz w:val="20"/>
              </w:rPr>
              <w:t>AMD</w:t>
            </w:r>
          </w:p>
        </w:tc>
      </w:tr>
      <w:tr>
        <w:trPr>
          <w:trHeight w:val="1216" w:hRule="exact"/>
        </w:trPr>
        <w:tc>
          <w:tcPr>
            <w:tcW w:w="552" w:type="dxa"/>
            <w:gridSpan w:val="3"/>
            <w:vMerge/>
            <w:tcBorders>
              <w:top w:val="nil"/>
            </w:tcBorders>
            <w:shd w:val="clear" w:color="auto" w:fill="FFFF99"/>
          </w:tcPr>
          <w:p>
            <w:pPr>
              <w:rPr>
                <w:sz w:val="2"/>
                <w:szCs w:val="2"/>
              </w:rPr>
            </w:pPr>
          </w:p>
        </w:tc>
        <w:tc>
          <w:tcPr>
            <w:tcW w:w="2021" w:type="dxa"/>
            <w:tcBorders>
              <w:top w:val="nil"/>
            </w:tcBorders>
          </w:tcPr>
          <w:p>
            <w:pPr>
              <w:pStyle w:val="TableParagraph"/>
              <w:rPr>
                <w:rFonts w:ascii="Times New Roman"/>
                <w:sz w:val="20"/>
              </w:rPr>
            </w:pPr>
          </w:p>
        </w:tc>
        <w:tc>
          <w:tcPr>
            <w:tcW w:w="3701" w:type="dxa"/>
            <w:tcBorders>
              <w:top w:val="nil"/>
            </w:tcBorders>
          </w:tcPr>
          <w:p>
            <w:pPr>
              <w:pStyle w:val="TableParagraph"/>
              <w:rPr>
                <w:rFonts w:ascii="Times New Roman"/>
                <w:sz w:val="20"/>
              </w:rPr>
            </w:pPr>
          </w:p>
        </w:tc>
        <w:tc>
          <w:tcPr>
            <w:tcW w:w="3288" w:type="dxa"/>
            <w:tcBorders>
              <w:top w:val="nil"/>
            </w:tcBorders>
          </w:tcPr>
          <w:p>
            <w:pPr>
              <w:pStyle w:val="TableParagraph"/>
              <w:ind w:left="100"/>
              <w:rPr>
                <w:sz w:val="20"/>
              </w:rPr>
            </w:pPr>
            <w:r>
              <w:rPr>
                <w:sz w:val="20"/>
              </w:rPr>
              <w:t>New government investments in dormitories</w:t>
            </w:r>
            <w:r>
              <w:rPr>
                <w:spacing w:val="-7"/>
                <w:sz w:val="20"/>
              </w:rPr>
              <w:t> </w:t>
            </w:r>
            <w:r>
              <w:rPr>
                <w:sz w:val="20"/>
              </w:rPr>
              <w:t>to</w:t>
            </w:r>
            <w:r>
              <w:rPr>
                <w:spacing w:val="-10"/>
                <w:sz w:val="20"/>
              </w:rPr>
              <w:t> </w:t>
            </w:r>
            <w:r>
              <w:rPr>
                <w:sz w:val="20"/>
              </w:rPr>
              <w:t>include</w:t>
            </w:r>
            <w:r>
              <w:rPr>
                <w:spacing w:val="-9"/>
                <w:sz w:val="20"/>
              </w:rPr>
              <w:t> </w:t>
            </w:r>
            <w:r>
              <w:rPr>
                <w:sz w:val="20"/>
              </w:rPr>
              <w:t>more</w:t>
            </w:r>
            <w:r>
              <w:rPr>
                <w:spacing w:val="-9"/>
                <w:sz w:val="20"/>
              </w:rPr>
              <w:t> </w:t>
            </w:r>
            <w:r>
              <w:rPr>
                <w:sz w:val="20"/>
              </w:rPr>
              <w:t>balanced provision for girls and boys.</w:t>
            </w:r>
          </w:p>
        </w:tc>
        <w:tc>
          <w:tcPr>
            <w:tcW w:w="2059" w:type="dxa"/>
            <w:tcBorders>
              <w:top w:val="nil"/>
            </w:tcBorders>
          </w:tcPr>
          <w:p>
            <w:pPr>
              <w:pStyle w:val="TableParagraph"/>
              <w:spacing w:before="4"/>
              <w:rPr>
                <w:b/>
                <w:sz w:val="18"/>
              </w:rPr>
            </w:pPr>
          </w:p>
          <w:p>
            <w:pPr>
              <w:pStyle w:val="TableParagraph"/>
              <w:spacing w:line="235" w:lineRule="auto"/>
              <w:ind w:left="100" w:right="375"/>
              <w:rPr>
                <w:sz w:val="20"/>
              </w:rPr>
            </w:pPr>
            <w:r>
              <w:rPr>
                <w:sz w:val="20"/>
              </w:rPr>
              <w:t>Asset</w:t>
            </w:r>
            <w:r>
              <w:rPr>
                <w:spacing w:val="-12"/>
                <w:sz w:val="20"/>
              </w:rPr>
              <w:t> </w:t>
            </w:r>
            <w:r>
              <w:rPr>
                <w:sz w:val="20"/>
              </w:rPr>
              <w:t>management </w:t>
            </w:r>
            <w:r>
              <w:rPr>
                <w:spacing w:val="-2"/>
                <w:sz w:val="20"/>
              </w:rPr>
              <w:t>report</w:t>
            </w:r>
          </w:p>
        </w:tc>
        <w:tc>
          <w:tcPr>
            <w:tcW w:w="2078" w:type="dxa"/>
            <w:tcBorders>
              <w:top w:val="nil"/>
            </w:tcBorders>
          </w:tcPr>
          <w:p>
            <w:pPr>
              <w:pStyle w:val="TableParagraph"/>
              <w:rPr>
                <w:rFonts w:ascii="Times New Roman"/>
                <w:sz w:val="20"/>
              </w:rPr>
            </w:pPr>
          </w:p>
        </w:tc>
      </w:tr>
    </w:tbl>
    <w:p>
      <w:pPr>
        <w:spacing w:after="0"/>
        <w:rPr>
          <w:rFonts w:ascii="Times New Roman"/>
          <w:sz w:val="20"/>
        </w:rPr>
        <w:sectPr>
          <w:pgSz w:w="16840" w:h="11900" w:orient="landscape"/>
          <w:pgMar w:header="751" w:footer="729" w:top="1380" w:bottom="920" w:left="1340" w:right="1440"/>
        </w:sectPr>
      </w:pPr>
    </w:p>
    <w:p>
      <w:pPr>
        <w:pStyle w:val="BodyText"/>
        <w:rPr>
          <w:b/>
          <w:sz w:val="20"/>
        </w:rPr>
      </w:pPr>
    </w:p>
    <w:p>
      <w:pPr>
        <w:pStyle w:val="BodyText"/>
        <w:rPr>
          <w:b/>
          <w:sz w:val="20"/>
        </w:rPr>
      </w:pPr>
    </w:p>
    <w:p>
      <w:pPr>
        <w:pStyle w:val="BodyText"/>
        <w:rPr>
          <w:b/>
          <w:sz w:val="20"/>
        </w:rPr>
      </w:pPr>
    </w:p>
    <w:p>
      <w:pPr>
        <w:pStyle w:val="BodyText"/>
        <w:spacing w:before="9"/>
        <w:rPr>
          <w:b/>
          <w:sz w:val="26"/>
        </w:rPr>
      </w:pPr>
    </w:p>
    <w:p>
      <w:pPr>
        <w:spacing w:before="51"/>
        <w:ind w:left="120" w:right="0" w:firstLine="0"/>
        <w:jc w:val="left"/>
        <w:rPr>
          <w:rFonts w:ascii="Calibri Light"/>
          <w:b w:val="0"/>
          <w:sz w:val="24"/>
        </w:rPr>
      </w:pPr>
      <w:bookmarkStart w:name="Appendix 2 Terms of Reference" w:id="41"/>
      <w:bookmarkEnd w:id="41"/>
      <w:r>
        <w:rPr/>
      </w:r>
      <w:bookmarkStart w:name="_bookmark20" w:id="42"/>
      <w:bookmarkEnd w:id="42"/>
      <w:r>
        <w:rPr/>
      </w:r>
      <w:r>
        <w:rPr>
          <w:rFonts w:ascii="Calibri Light"/>
          <w:b w:val="0"/>
          <w:spacing w:val="-2"/>
          <w:sz w:val="24"/>
        </w:rPr>
        <w:t>A</w:t>
      </w:r>
      <w:r>
        <w:rPr>
          <w:rFonts w:ascii="Calibri Light"/>
          <w:b w:val="0"/>
          <w:spacing w:val="-2"/>
          <w:sz w:val="19"/>
        </w:rPr>
        <w:t>PPENDIX</w:t>
      </w:r>
      <w:r>
        <w:rPr>
          <w:rFonts w:ascii="Calibri Light"/>
          <w:b w:val="0"/>
          <w:spacing w:val="-1"/>
          <w:sz w:val="19"/>
        </w:rPr>
        <w:t> </w:t>
      </w:r>
      <w:r>
        <w:rPr>
          <w:rFonts w:ascii="Calibri Light"/>
          <w:b w:val="0"/>
          <w:spacing w:val="-10"/>
          <w:sz w:val="24"/>
        </w:rPr>
        <w:t>2</w:t>
      </w:r>
    </w:p>
    <w:p>
      <w:pPr>
        <w:pStyle w:val="Heading2"/>
        <w:spacing w:before="34"/>
        <w:rPr>
          <w:b w:val="0"/>
        </w:rPr>
      </w:pPr>
      <w:r>
        <w:rPr>
          <w:b w:val="0"/>
          <w:smallCaps/>
        </w:rPr>
        <w:t>Terms</w:t>
      </w:r>
      <w:r>
        <w:rPr>
          <w:b w:val="0"/>
          <w:smallCaps/>
          <w:spacing w:val="-9"/>
        </w:rPr>
        <w:t> </w:t>
      </w:r>
      <w:r>
        <w:rPr>
          <w:b w:val="0"/>
          <w:smallCaps/>
        </w:rPr>
        <w:t>of</w:t>
      </w:r>
      <w:r>
        <w:rPr>
          <w:b w:val="0"/>
          <w:smallCaps/>
          <w:spacing w:val="-10"/>
        </w:rPr>
        <w:t> </w:t>
      </w:r>
      <w:r>
        <w:rPr>
          <w:b w:val="0"/>
          <w:smallCaps/>
          <w:spacing w:val="-2"/>
        </w:rPr>
        <w:t>Reference</w:t>
      </w:r>
    </w:p>
    <w:p>
      <w:pPr>
        <w:spacing w:after="0"/>
        <w:sectPr>
          <w:headerReference w:type="default" r:id="rId16"/>
          <w:footerReference w:type="default" r:id="rId17"/>
          <w:pgSz w:w="11900" w:h="16840"/>
          <w:pgMar w:header="751" w:footer="729" w:top="1600" w:bottom="920" w:left="1320" w:right="1320"/>
        </w:sectPr>
      </w:pPr>
    </w:p>
    <w:p>
      <w:pPr>
        <w:spacing w:before="95"/>
        <w:ind w:left="537" w:right="0" w:firstLine="0"/>
        <w:jc w:val="left"/>
        <w:rPr>
          <w:rFonts w:ascii="Verdana"/>
          <w:b/>
          <w:sz w:val="22"/>
        </w:rPr>
      </w:pPr>
      <w:r>
        <w:rPr>
          <w:rFonts w:ascii="Verdana"/>
          <w:b/>
          <w:sz w:val="22"/>
        </w:rPr>
        <w:t>Independent</w:t>
      </w:r>
      <w:r>
        <w:rPr>
          <w:rFonts w:ascii="Verdana"/>
          <w:b/>
          <w:spacing w:val="-12"/>
          <w:sz w:val="22"/>
        </w:rPr>
        <w:t> </w:t>
      </w:r>
      <w:r>
        <w:rPr>
          <w:rFonts w:ascii="Verdana"/>
          <w:b/>
          <w:sz w:val="22"/>
        </w:rPr>
        <w:t>Assessor</w:t>
      </w:r>
      <w:r>
        <w:rPr>
          <w:rFonts w:ascii="Verdana"/>
          <w:b/>
          <w:spacing w:val="-4"/>
          <w:sz w:val="22"/>
        </w:rPr>
        <w:t> </w:t>
      </w:r>
      <w:r>
        <w:rPr>
          <w:rFonts w:ascii="Verdana"/>
          <w:b/>
          <w:sz w:val="22"/>
        </w:rPr>
        <w:t>for</w:t>
      </w:r>
      <w:r>
        <w:rPr>
          <w:rFonts w:ascii="Verdana"/>
          <w:b/>
          <w:spacing w:val="-4"/>
          <w:sz w:val="22"/>
        </w:rPr>
        <w:t> </w:t>
      </w:r>
      <w:r>
        <w:rPr>
          <w:rFonts w:ascii="Verdana"/>
          <w:b/>
          <w:sz w:val="22"/>
        </w:rPr>
        <w:t>the</w:t>
      </w:r>
      <w:r>
        <w:rPr>
          <w:rFonts w:ascii="Verdana"/>
          <w:b/>
          <w:spacing w:val="-8"/>
          <w:sz w:val="22"/>
        </w:rPr>
        <w:t> </w:t>
      </w:r>
      <w:r>
        <w:rPr>
          <w:rFonts w:ascii="Verdana"/>
          <w:b/>
          <w:sz w:val="22"/>
        </w:rPr>
        <w:t>2016</w:t>
      </w:r>
      <w:r>
        <w:rPr>
          <w:rFonts w:ascii="Verdana"/>
          <w:b/>
          <w:spacing w:val="-8"/>
          <w:sz w:val="22"/>
        </w:rPr>
        <w:t> </w:t>
      </w:r>
      <w:r>
        <w:rPr>
          <w:rFonts w:ascii="Verdana"/>
          <w:b/>
          <w:sz w:val="22"/>
        </w:rPr>
        <w:t>Education</w:t>
      </w:r>
      <w:r>
        <w:rPr>
          <w:rFonts w:ascii="Verdana"/>
          <w:b/>
          <w:spacing w:val="-7"/>
          <w:sz w:val="22"/>
        </w:rPr>
        <w:t> </w:t>
      </w:r>
      <w:r>
        <w:rPr>
          <w:rFonts w:ascii="Verdana"/>
          <w:b/>
          <w:sz w:val="22"/>
        </w:rPr>
        <w:t>Performance</w:t>
      </w:r>
      <w:r>
        <w:rPr>
          <w:rFonts w:ascii="Verdana"/>
          <w:b/>
          <w:spacing w:val="-3"/>
          <w:sz w:val="22"/>
        </w:rPr>
        <w:t> </w:t>
      </w:r>
      <w:r>
        <w:rPr>
          <w:rFonts w:ascii="Verdana"/>
          <w:b/>
          <w:spacing w:val="-2"/>
          <w:sz w:val="22"/>
        </w:rPr>
        <w:t>Matrix</w:t>
      </w:r>
    </w:p>
    <w:p>
      <w:pPr>
        <w:pStyle w:val="BodyText"/>
        <w:rPr>
          <w:rFonts w:ascii="Verdana"/>
          <w:b/>
          <w:sz w:val="20"/>
        </w:rPr>
      </w:pPr>
    </w:p>
    <w:p>
      <w:pPr>
        <w:pStyle w:val="BodyText"/>
        <w:rPr>
          <w:rFonts w:ascii="Verdana"/>
          <w:b/>
          <w:sz w:val="20"/>
        </w:rPr>
      </w:pPr>
    </w:p>
    <w:p>
      <w:pPr>
        <w:pStyle w:val="BodyText"/>
        <w:spacing w:before="4"/>
        <w:rPr>
          <w:rFonts w:ascii="Verdana"/>
          <w:b/>
          <w:sz w:val="21"/>
        </w:rPr>
      </w:pPr>
    </w:p>
    <w:p>
      <w:pPr>
        <w:spacing w:before="0"/>
        <w:ind w:left="3246" w:right="3244" w:firstLine="0"/>
        <w:jc w:val="center"/>
        <w:rPr>
          <w:rFonts w:ascii="Verdana"/>
          <w:b/>
          <w:sz w:val="22"/>
        </w:rPr>
      </w:pPr>
      <w:r>
        <w:rPr>
          <w:rFonts w:ascii="Verdana"/>
          <w:b/>
          <w:sz w:val="22"/>
        </w:rPr>
        <w:t>TERMS OF</w:t>
      </w:r>
      <w:r>
        <w:rPr>
          <w:rFonts w:ascii="Verdana"/>
          <w:b/>
          <w:spacing w:val="-4"/>
          <w:sz w:val="22"/>
        </w:rPr>
        <w:t> </w:t>
      </w:r>
      <w:r>
        <w:rPr>
          <w:rFonts w:ascii="Verdana"/>
          <w:b/>
          <w:spacing w:val="-2"/>
          <w:sz w:val="22"/>
        </w:rPr>
        <w:t>REFERENCE</w:t>
      </w:r>
    </w:p>
    <w:p>
      <w:pPr>
        <w:pStyle w:val="BodyText"/>
        <w:spacing w:before="11"/>
        <w:rPr>
          <w:rFonts w:ascii="Verdana"/>
          <w:b/>
          <w:sz w:val="19"/>
        </w:rPr>
      </w:pPr>
    </w:p>
    <w:p>
      <w:pPr>
        <w:pStyle w:val="ListParagraph"/>
        <w:numPr>
          <w:ilvl w:val="0"/>
          <w:numId w:val="40"/>
        </w:numPr>
        <w:tabs>
          <w:tab w:pos="437" w:val="left" w:leader="none"/>
        </w:tabs>
        <w:spacing w:line="240" w:lineRule="auto" w:before="0" w:after="0"/>
        <w:ind w:left="436" w:right="0" w:hanging="317"/>
        <w:jc w:val="left"/>
        <w:rPr>
          <w:rFonts w:ascii="Verdana"/>
          <w:b/>
          <w:sz w:val="22"/>
        </w:rPr>
      </w:pPr>
      <w:r>
        <w:rPr>
          <w:rFonts w:ascii="Verdana"/>
          <w:b/>
          <w:spacing w:val="-2"/>
          <w:sz w:val="22"/>
        </w:rPr>
        <w:t>Background</w:t>
      </w:r>
    </w:p>
    <w:p>
      <w:pPr>
        <w:pStyle w:val="BodyText"/>
        <w:spacing w:before="9"/>
        <w:rPr>
          <w:rFonts w:ascii="Verdana"/>
          <w:b/>
          <w:sz w:val="10"/>
        </w:rPr>
      </w:pPr>
    </w:p>
    <w:p>
      <w:pPr>
        <w:spacing w:line="271" w:lineRule="auto" w:before="102"/>
        <w:ind w:left="119" w:right="103" w:firstLine="0"/>
        <w:jc w:val="left"/>
        <w:rPr>
          <w:rFonts w:ascii="Verdana"/>
          <w:sz w:val="20"/>
        </w:rPr>
      </w:pPr>
      <w:bookmarkStart w:name="The National Education Action Plan (NEAP" w:id="43"/>
      <w:bookmarkEnd w:id="43"/>
      <w:r>
        <w:rPr/>
      </w:r>
      <w:r>
        <w:rPr>
          <w:rFonts w:ascii="Verdana"/>
          <w:sz w:val="20"/>
        </w:rPr>
        <w:t>The</w:t>
      </w:r>
      <w:r>
        <w:rPr>
          <w:rFonts w:ascii="Verdana"/>
          <w:spacing w:val="40"/>
          <w:sz w:val="20"/>
        </w:rPr>
        <w:t> </w:t>
      </w:r>
      <w:r>
        <w:rPr>
          <w:rFonts w:ascii="Verdana"/>
          <w:sz w:val="20"/>
        </w:rPr>
        <w:t>National</w:t>
      </w:r>
      <w:r>
        <w:rPr>
          <w:rFonts w:ascii="Verdana"/>
          <w:spacing w:val="37"/>
          <w:sz w:val="20"/>
        </w:rPr>
        <w:t> </w:t>
      </w:r>
      <w:r>
        <w:rPr>
          <w:rFonts w:ascii="Verdana"/>
          <w:sz w:val="20"/>
        </w:rPr>
        <w:t>Education</w:t>
      </w:r>
      <w:r>
        <w:rPr>
          <w:rFonts w:ascii="Verdana"/>
          <w:spacing w:val="37"/>
          <w:sz w:val="20"/>
        </w:rPr>
        <w:t> </w:t>
      </w:r>
      <w:r>
        <w:rPr>
          <w:rFonts w:ascii="Verdana"/>
          <w:sz w:val="20"/>
        </w:rPr>
        <w:t>Action</w:t>
      </w:r>
      <w:r>
        <w:rPr>
          <w:rFonts w:ascii="Verdana"/>
          <w:spacing w:val="37"/>
          <w:sz w:val="20"/>
        </w:rPr>
        <w:t> </w:t>
      </w:r>
      <w:r>
        <w:rPr>
          <w:rFonts w:ascii="Verdana"/>
          <w:sz w:val="20"/>
        </w:rPr>
        <w:t>Plan</w:t>
      </w:r>
      <w:r>
        <w:rPr>
          <w:rFonts w:ascii="Verdana"/>
          <w:spacing w:val="40"/>
          <w:sz w:val="20"/>
        </w:rPr>
        <w:t> </w:t>
      </w:r>
      <w:r>
        <w:rPr>
          <w:rFonts w:ascii="Verdana"/>
          <w:sz w:val="20"/>
        </w:rPr>
        <w:t>(NEAP),</w:t>
      </w:r>
      <w:r>
        <w:rPr>
          <w:rFonts w:ascii="Verdana"/>
          <w:spacing w:val="39"/>
          <w:sz w:val="20"/>
        </w:rPr>
        <w:t> </w:t>
      </w:r>
      <w:r>
        <w:rPr>
          <w:rFonts w:ascii="Verdana"/>
          <w:sz w:val="20"/>
        </w:rPr>
        <w:t>2016-2020</w:t>
      </w:r>
      <w:r>
        <w:rPr>
          <w:rFonts w:ascii="Verdana"/>
          <w:spacing w:val="40"/>
          <w:sz w:val="20"/>
        </w:rPr>
        <w:t> </w:t>
      </w:r>
      <w:r>
        <w:rPr>
          <w:rFonts w:ascii="Verdana"/>
          <w:sz w:val="20"/>
        </w:rPr>
        <w:t>and</w:t>
      </w:r>
      <w:r>
        <w:rPr>
          <w:rFonts w:ascii="Verdana"/>
          <w:spacing w:val="33"/>
          <w:sz w:val="20"/>
        </w:rPr>
        <w:t> </w:t>
      </w:r>
      <w:r>
        <w:rPr>
          <w:rFonts w:ascii="Verdana"/>
          <w:sz w:val="20"/>
        </w:rPr>
        <w:t>the</w:t>
      </w:r>
      <w:r>
        <w:rPr>
          <w:rFonts w:ascii="Verdana"/>
          <w:spacing w:val="35"/>
          <w:sz w:val="20"/>
        </w:rPr>
        <w:t> </w:t>
      </w:r>
      <w:r>
        <w:rPr>
          <w:rFonts w:ascii="Verdana"/>
          <w:sz w:val="20"/>
        </w:rPr>
        <w:t>Education</w:t>
      </w:r>
      <w:r>
        <w:rPr>
          <w:rFonts w:ascii="Verdana"/>
          <w:spacing w:val="37"/>
          <w:sz w:val="20"/>
        </w:rPr>
        <w:t> </w:t>
      </w:r>
      <w:r>
        <w:rPr>
          <w:rFonts w:ascii="Verdana"/>
          <w:sz w:val="20"/>
        </w:rPr>
        <w:t>Strategic Framework</w:t>
      </w:r>
      <w:r>
        <w:rPr>
          <w:rFonts w:ascii="Verdana"/>
          <w:spacing w:val="40"/>
          <w:sz w:val="20"/>
        </w:rPr>
        <w:t> </w:t>
      </w:r>
      <w:r>
        <w:rPr>
          <w:rFonts w:ascii="Verdana"/>
          <w:sz w:val="20"/>
        </w:rPr>
        <w:t>(ESF)</w:t>
      </w:r>
      <w:r>
        <w:rPr>
          <w:rFonts w:ascii="Verdana"/>
          <w:spacing w:val="40"/>
          <w:sz w:val="20"/>
        </w:rPr>
        <w:t> </w:t>
      </w:r>
      <w:r>
        <w:rPr>
          <w:rFonts w:ascii="Verdana"/>
          <w:sz w:val="20"/>
        </w:rPr>
        <w:t>2016-2030</w:t>
      </w:r>
      <w:r>
        <w:rPr>
          <w:rFonts w:ascii="Verdana"/>
          <w:spacing w:val="40"/>
          <w:sz w:val="20"/>
        </w:rPr>
        <w:t> </w:t>
      </w:r>
      <w:r>
        <w:rPr>
          <w:rFonts w:ascii="Verdana"/>
          <w:sz w:val="20"/>
        </w:rPr>
        <w:t>represent</w:t>
      </w:r>
      <w:r>
        <w:rPr>
          <w:rFonts w:ascii="Verdana"/>
          <w:spacing w:val="40"/>
          <w:sz w:val="20"/>
        </w:rPr>
        <w:t> </w:t>
      </w:r>
      <w:r>
        <w:rPr>
          <w:rFonts w:ascii="Verdana"/>
          <w:sz w:val="20"/>
        </w:rPr>
        <w:t>the</w:t>
      </w:r>
      <w:r>
        <w:rPr>
          <w:rFonts w:ascii="Verdana"/>
          <w:spacing w:val="40"/>
          <w:sz w:val="20"/>
        </w:rPr>
        <w:t> </w:t>
      </w:r>
      <w:r>
        <w:rPr>
          <w:rFonts w:ascii="Verdana"/>
          <w:sz w:val="20"/>
        </w:rPr>
        <w:t>strategic</w:t>
      </w:r>
      <w:r>
        <w:rPr>
          <w:rFonts w:ascii="Verdana"/>
          <w:spacing w:val="40"/>
          <w:sz w:val="20"/>
        </w:rPr>
        <w:t> </w:t>
      </w:r>
      <w:r>
        <w:rPr>
          <w:rFonts w:ascii="Verdana"/>
          <w:sz w:val="20"/>
        </w:rPr>
        <w:t>planning</w:t>
      </w:r>
      <w:r>
        <w:rPr>
          <w:rFonts w:ascii="Verdana"/>
          <w:spacing w:val="40"/>
          <w:sz w:val="20"/>
        </w:rPr>
        <w:t> </w:t>
      </w:r>
      <w:r>
        <w:rPr>
          <w:rFonts w:ascii="Verdana"/>
          <w:sz w:val="20"/>
        </w:rPr>
        <w:t>framework</w:t>
      </w:r>
      <w:r>
        <w:rPr>
          <w:rFonts w:ascii="Verdana"/>
          <w:spacing w:val="40"/>
          <w:sz w:val="20"/>
        </w:rPr>
        <w:t> </w:t>
      </w:r>
      <w:r>
        <w:rPr>
          <w:rFonts w:ascii="Verdana"/>
          <w:sz w:val="20"/>
        </w:rPr>
        <w:t>for</w:t>
      </w:r>
      <w:r>
        <w:rPr>
          <w:rFonts w:ascii="Verdana"/>
          <w:spacing w:val="40"/>
          <w:sz w:val="20"/>
        </w:rPr>
        <w:t> </w:t>
      </w:r>
      <w:r>
        <w:rPr>
          <w:rFonts w:ascii="Verdana"/>
          <w:sz w:val="20"/>
        </w:rPr>
        <w:t>the education</w:t>
      </w:r>
      <w:r>
        <w:rPr>
          <w:rFonts w:ascii="Verdana"/>
          <w:spacing w:val="40"/>
          <w:sz w:val="20"/>
        </w:rPr>
        <w:t> </w:t>
      </w:r>
      <w:r>
        <w:rPr>
          <w:rFonts w:ascii="Verdana"/>
          <w:sz w:val="20"/>
        </w:rPr>
        <w:t>sector</w:t>
      </w:r>
      <w:r>
        <w:rPr>
          <w:rFonts w:ascii="Verdana"/>
          <w:spacing w:val="40"/>
          <w:sz w:val="20"/>
        </w:rPr>
        <w:t> </w:t>
      </w:r>
      <w:r>
        <w:rPr>
          <w:rFonts w:ascii="Verdana"/>
          <w:sz w:val="20"/>
        </w:rPr>
        <w:t>in</w:t>
      </w:r>
      <w:r>
        <w:rPr>
          <w:rFonts w:ascii="Verdana"/>
          <w:spacing w:val="40"/>
          <w:sz w:val="20"/>
        </w:rPr>
        <w:t> </w:t>
      </w:r>
      <w:r>
        <w:rPr>
          <w:rFonts w:ascii="Verdana"/>
          <w:sz w:val="20"/>
        </w:rPr>
        <w:t>the</w:t>
      </w:r>
      <w:r>
        <w:rPr>
          <w:rFonts w:ascii="Verdana"/>
          <w:spacing w:val="40"/>
          <w:sz w:val="20"/>
        </w:rPr>
        <w:t> </w:t>
      </w:r>
      <w:r>
        <w:rPr>
          <w:rFonts w:ascii="Verdana"/>
          <w:sz w:val="20"/>
        </w:rPr>
        <w:t>Solomon</w:t>
      </w:r>
      <w:r>
        <w:rPr>
          <w:rFonts w:ascii="Verdana"/>
          <w:spacing w:val="40"/>
          <w:sz w:val="20"/>
        </w:rPr>
        <w:t> </w:t>
      </w:r>
      <w:r>
        <w:rPr>
          <w:rFonts w:ascii="Verdana"/>
          <w:sz w:val="20"/>
        </w:rPr>
        <w:t>Islands.</w:t>
      </w:r>
      <w:r>
        <w:rPr>
          <w:rFonts w:ascii="Verdana"/>
          <w:spacing w:val="37"/>
          <w:sz w:val="20"/>
        </w:rPr>
        <w:t> </w:t>
      </w:r>
      <w:r>
        <w:rPr>
          <w:rFonts w:ascii="Verdana"/>
          <w:sz w:val="20"/>
        </w:rPr>
        <w:t>They</w:t>
      </w:r>
      <w:r>
        <w:rPr>
          <w:rFonts w:ascii="Verdana"/>
          <w:spacing w:val="40"/>
          <w:sz w:val="20"/>
        </w:rPr>
        <w:t> </w:t>
      </w:r>
      <w:r>
        <w:rPr>
          <w:rFonts w:ascii="Verdana"/>
          <w:sz w:val="20"/>
        </w:rPr>
        <w:t>establish</w:t>
      </w:r>
      <w:r>
        <w:rPr>
          <w:rFonts w:ascii="Verdana"/>
          <w:spacing w:val="40"/>
          <w:sz w:val="20"/>
        </w:rPr>
        <w:t> </w:t>
      </w:r>
      <w:r>
        <w:rPr>
          <w:rFonts w:ascii="Verdana"/>
          <w:sz w:val="20"/>
        </w:rPr>
        <w:t>priorities</w:t>
      </w:r>
      <w:r>
        <w:rPr>
          <w:rFonts w:ascii="Verdana"/>
          <w:spacing w:val="40"/>
          <w:sz w:val="20"/>
        </w:rPr>
        <w:t> </w:t>
      </w:r>
      <w:r>
        <w:rPr>
          <w:rFonts w:ascii="Verdana"/>
          <w:sz w:val="20"/>
        </w:rPr>
        <w:t>and</w:t>
      </w:r>
      <w:r>
        <w:rPr>
          <w:rFonts w:ascii="Verdana"/>
          <w:spacing w:val="40"/>
          <w:sz w:val="20"/>
        </w:rPr>
        <w:t> </w:t>
      </w:r>
      <w:r>
        <w:rPr>
          <w:rFonts w:ascii="Verdana"/>
          <w:sz w:val="20"/>
        </w:rPr>
        <w:t>a</w:t>
      </w:r>
      <w:r>
        <w:rPr>
          <w:rFonts w:ascii="Verdana"/>
          <w:spacing w:val="40"/>
          <w:sz w:val="20"/>
        </w:rPr>
        <w:t> </w:t>
      </w:r>
      <w:r>
        <w:rPr>
          <w:rFonts w:ascii="Verdana"/>
          <w:sz w:val="20"/>
        </w:rPr>
        <w:t>plan</w:t>
      </w:r>
      <w:r>
        <w:rPr>
          <w:rFonts w:ascii="Verdana"/>
          <w:spacing w:val="40"/>
          <w:sz w:val="20"/>
        </w:rPr>
        <w:t> </w:t>
      </w:r>
      <w:r>
        <w:rPr>
          <w:rFonts w:ascii="Verdana"/>
          <w:sz w:val="20"/>
        </w:rPr>
        <w:t>of action</w:t>
      </w:r>
      <w:r>
        <w:rPr>
          <w:rFonts w:ascii="Verdana"/>
          <w:spacing w:val="33"/>
          <w:sz w:val="20"/>
        </w:rPr>
        <w:t> </w:t>
      </w:r>
      <w:r>
        <w:rPr>
          <w:rFonts w:ascii="Verdana"/>
          <w:sz w:val="20"/>
        </w:rPr>
        <w:t>to improve</w:t>
      </w:r>
      <w:r>
        <w:rPr>
          <w:rFonts w:ascii="Verdana"/>
          <w:spacing w:val="31"/>
          <w:sz w:val="20"/>
        </w:rPr>
        <w:t> </w:t>
      </w:r>
      <w:r>
        <w:rPr>
          <w:rFonts w:ascii="Verdana"/>
          <w:sz w:val="20"/>
        </w:rPr>
        <w:t>access,</w:t>
      </w:r>
      <w:r>
        <w:rPr>
          <w:rFonts w:ascii="Verdana"/>
          <w:spacing w:val="28"/>
          <w:sz w:val="20"/>
        </w:rPr>
        <w:t> </w:t>
      </w:r>
      <w:r>
        <w:rPr>
          <w:rFonts w:ascii="Verdana"/>
          <w:sz w:val="20"/>
        </w:rPr>
        <w:t>quality</w:t>
      </w:r>
      <w:r>
        <w:rPr>
          <w:rFonts w:ascii="Verdana"/>
          <w:spacing w:val="31"/>
          <w:sz w:val="20"/>
        </w:rPr>
        <w:t> </w:t>
      </w:r>
      <w:r>
        <w:rPr>
          <w:rFonts w:ascii="Verdana"/>
          <w:sz w:val="20"/>
        </w:rPr>
        <w:t>and</w:t>
      </w:r>
      <w:r>
        <w:rPr>
          <w:rFonts w:ascii="Verdana"/>
          <w:spacing w:val="23"/>
          <w:sz w:val="20"/>
        </w:rPr>
        <w:t> </w:t>
      </w:r>
      <w:r>
        <w:rPr>
          <w:rFonts w:ascii="Verdana"/>
          <w:sz w:val="20"/>
        </w:rPr>
        <w:t>management</w:t>
      </w:r>
      <w:r>
        <w:rPr>
          <w:rFonts w:ascii="Verdana"/>
          <w:spacing w:val="33"/>
          <w:sz w:val="20"/>
        </w:rPr>
        <w:t> </w:t>
      </w:r>
      <w:r>
        <w:rPr>
          <w:rFonts w:ascii="Verdana"/>
          <w:sz w:val="20"/>
        </w:rPr>
        <w:t>of</w:t>
      </w:r>
      <w:r>
        <w:rPr>
          <w:rFonts w:ascii="Verdana"/>
          <w:spacing w:val="32"/>
          <w:sz w:val="20"/>
        </w:rPr>
        <w:t> </w:t>
      </w:r>
      <w:r>
        <w:rPr>
          <w:rFonts w:ascii="Verdana"/>
          <w:sz w:val="20"/>
        </w:rPr>
        <w:t>education</w:t>
      </w:r>
      <w:r>
        <w:rPr>
          <w:rFonts w:ascii="Verdana"/>
          <w:spacing w:val="33"/>
          <w:sz w:val="20"/>
        </w:rPr>
        <w:t> </w:t>
      </w:r>
      <w:r>
        <w:rPr>
          <w:rFonts w:ascii="Verdana"/>
          <w:sz w:val="20"/>
        </w:rPr>
        <w:t>in</w:t>
      </w:r>
      <w:r>
        <w:rPr>
          <w:rFonts w:ascii="Verdana"/>
          <w:spacing w:val="27"/>
          <w:sz w:val="20"/>
        </w:rPr>
        <w:t> </w:t>
      </w:r>
      <w:r>
        <w:rPr>
          <w:rFonts w:ascii="Verdana"/>
          <w:sz w:val="20"/>
        </w:rPr>
        <w:t>the</w:t>
      </w:r>
      <w:r>
        <w:rPr>
          <w:rFonts w:ascii="Verdana"/>
          <w:spacing w:val="31"/>
          <w:sz w:val="20"/>
        </w:rPr>
        <w:t> </w:t>
      </w:r>
      <w:r>
        <w:rPr>
          <w:rFonts w:ascii="Verdana"/>
          <w:sz w:val="20"/>
        </w:rPr>
        <w:t>medium</w:t>
      </w:r>
      <w:r>
        <w:rPr>
          <w:rFonts w:ascii="Verdana"/>
          <w:spacing w:val="31"/>
          <w:sz w:val="20"/>
        </w:rPr>
        <w:t> </w:t>
      </w:r>
      <w:r>
        <w:rPr>
          <w:rFonts w:ascii="Verdana"/>
          <w:sz w:val="20"/>
        </w:rPr>
        <w:t>and longer term.</w:t>
      </w:r>
    </w:p>
    <w:p>
      <w:pPr>
        <w:spacing w:line="278" w:lineRule="auto" w:before="119"/>
        <w:ind w:left="119" w:right="103" w:firstLine="0"/>
        <w:jc w:val="left"/>
        <w:rPr>
          <w:rFonts w:ascii="Verdana"/>
          <w:sz w:val="20"/>
        </w:rPr>
      </w:pPr>
      <w:r>
        <w:rPr>
          <w:rFonts w:ascii="Verdana"/>
          <w:sz w:val="20"/>
        </w:rPr>
        <w:t>The</w:t>
      </w:r>
      <w:r>
        <w:rPr>
          <w:rFonts w:ascii="Verdana"/>
          <w:spacing w:val="-6"/>
          <w:sz w:val="20"/>
        </w:rPr>
        <w:t> </w:t>
      </w:r>
      <w:r>
        <w:rPr>
          <w:rFonts w:ascii="Verdana"/>
          <w:sz w:val="20"/>
        </w:rPr>
        <w:t>Ministry of</w:t>
      </w:r>
      <w:r>
        <w:rPr>
          <w:rFonts w:ascii="Verdana"/>
          <w:spacing w:val="-5"/>
          <w:sz w:val="20"/>
        </w:rPr>
        <w:t> </w:t>
      </w:r>
      <w:r>
        <w:rPr>
          <w:rFonts w:ascii="Verdana"/>
          <w:sz w:val="20"/>
        </w:rPr>
        <w:t>Education and</w:t>
      </w:r>
      <w:r>
        <w:rPr>
          <w:rFonts w:ascii="Verdana"/>
          <w:spacing w:val="-6"/>
          <w:sz w:val="20"/>
        </w:rPr>
        <w:t> </w:t>
      </w:r>
      <w:r>
        <w:rPr>
          <w:rFonts w:ascii="Verdana"/>
          <w:sz w:val="20"/>
        </w:rPr>
        <w:t>Human</w:t>
      </w:r>
      <w:r>
        <w:rPr>
          <w:rFonts w:ascii="Verdana"/>
          <w:spacing w:val="-4"/>
          <w:sz w:val="20"/>
        </w:rPr>
        <w:t> </w:t>
      </w:r>
      <w:r>
        <w:rPr>
          <w:rFonts w:ascii="Verdana"/>
          <w:sz w:val="20"/>
        </w:rPr>
        <w:t>Resources</w:t>
      </w:r>
      <w:r>
        <w:rPr>
          <w:rFonts w:ascii="Verdana"/>
          <w:spacing w:val="-5"/>
          <w:sz w:val="20"/>
        </w:rPr>
        <w:t> </w:t>
      </w:r>
      <w:r>
        <w:rPr>
          <w:rFonts w:ascii="Verdana"/>
          <w:sz w:val="20"/>
        </w:rPr>
        <w:t>Development</w:t>
      </w:r>
      <w:r>
        <w:rPr>
          <w:rFonts w:ascii="Verdana"/>
          <w:spacing w:val="-3"/>
          <w:sz w:val="20"/>
        </w:rPr>
        <w:t> </w:t>
      </w:r>
      <w:r>
        <w:rPr>
          <w:rFonts w:ascii="Verdana"/>
          <w:sz w:val="20"/>
        </w:rPr>
        <w:t>(MEHRD)</w:t>
      </w:r>
      <w:r>
        <w:rPr>
          <w:rFonts w:ascii="Verdana"/>
          <w:spacing w:val="-6"/>
          <w:sz w:val="20"/>
        </w:rPr>
        <w:t> </w:t>
      </w:r>
      <w:r>
        <w:rPr>
          <w:rFonts w:ascii="Verdana"/>
          <w:sz w:val="20"/>
        </w:rPr>
        <w:t>manages</w:t>
      </w:r>
      <w:r>
        <w:rPr>
          <w:rFonts w:ascii="Verdana"/>
          <w:spacing w:val="-5"/>
          <w:sz w:val="20"/>
        </w:rPr>
        <w:t> </w:t>
      </w:r>
      <w:r>
        <w:rPr>
          <w:rFonts w:ascii="Verdana"/>
          <w:sz w:val="20"/>
        </w:rPr>
        <w:t>the NEAP. Two Development Partners (DPs), New Zealand and Australia, provide sector budget support.</w:t>
      </w:r>
    </w:p>
    <w:p>
      <w:pPr>
        <w:spacing w:line="276" w:lineRule="auto" w:before="115"/>
        <w:ind w:left="119" w:right="0" w:firstLine="0"/>
        <w:jc w:val="left"/>
        <w:rPr>
          <w:rFonts w:ascii="Verdana"/>
          <w:sz w:val="20"/>
        </w:rPr>
      </w:pPr>
      <w:r>
        <w:rPr>
          <w:rFonts w:ascii="Verdana"/>
          <w:sz w:val="20"/>
        </w:rPr>
        <w:t>Australia and Solomon Islands Government have agreed to set annual targets in an </w:t>
      </w:r>
      <w:r>
        <w:rPr>
          <w:rFonts w:ascii="Verdana"/>
          <w:i/>
          <w:sz w:val="20"/>
        </w:rPr>
        <w:t>Education Performance</w:t>
      </w:r>
      <w:r>
        <w:rPr>
          <w:rFonts w:ascii="Verdana"/>
          <w:i/>
          <w:spacing w:val="-2"/>
          <w:sz w:val="20"/>
        </w:rPr>
        <w:t> </w:t>
      </w:r>
      <w:r>
        <w:rPr>
          <w:rFonts w:ascii="Verdana"/>
          <w:i/>
          <w:sz w:val="20"/>
        </w:rPr>
        <w:t>Matrix</w:t>
      </w:r>
      <w:r>
        <w:rPr>
          <w:rFonts w:ascii="Verdana"/>
          <w:i/>
          <w:spacing w:val="-1"/>
          <w:sz w:val="20"/>
        </w:rPr>
        <w:t> </w:t>
      </w:r>
      <w:r>
        <w:rPr>
          <w:rFonts w:ascii="Verdana"/>
          <w:sz w:val="20"/>
        </w:rPr>
        <w:t>attached</w:t>
      </w:r>
      <w:r>
        <w:rPr>
          <w:rFonts w:ascii="Verdana"/>
          <w:spacing w:val="-7"/>
          <w:sz w:val="20"/>
        </w:rPr>
        <w:t> </w:t>
      </w:r>
      <w:r>
        <w:rPr>
          <w:rFonts w:ascii="Verdana"/>
          <w:sz w:val="20"/>
        </w:rPr>
        <w:t>to</w:t>
      </w:r>
      <w:r>
        <w:rPr>
          <w:rFonts w:ascii="Verdana"/>
          <w:spacing w:val="-9"/>
          <w:sz w:val="20"/>
        </w:rPr>
        <w:t> </w:t>
      </w:r>
      <w:r>
        <w:rPr>
          <w:rFonts w:ascii="Verdana"/>
          <w:sz w:val="20"/>
        </w:rPr>
        <w:t>the</w:t>
      </w:r>
      <w:r>
        <w:rPr>
          <w:rFonts w:ascii="Verdana"/>
          <w:spacing w:val="-2"/>
          <w:sz w:val="20"/>
        </w:rPr>
        <w:t> </w:t>
      </w:r>
      <w:r>
        <w:rPr>
          <w:rFonts w:ascii="Verdana"/>
          <w:sz w:val="20"/>
        </w:rPr>
        <w:t>Direct</w:t>
      </w:r>
      <w:r>
        <w:rPr>
          <w:rFonts w:ascii="Verdana"/>
          <w:spacing w:val="-4"/>
          <w:sz w:val="20"/>
        </w:rPr>
        <w:t> </w:t>
      </w:r>
      <w:r>
        <w:rPr>
          <w:rFonts w:ascii="Verdana"/>
          <w:sz w:val="20"/>
        </w:rPr>
        <w:t>Funding</w:t>
      </w:r>
      <w:r>
        <w:rPr>
          <w:rFonts w:ascii="Verdana"/>
          <w:spacing w:val="-7"/>
          <w:sz w:val="20"/>
        </w:rPr>
        <w:t> </w:t>
      </w:r>
      <w:r>
        <w:rPr>
          <w:rFonts w:ascii="Verdana"/>
          <w:sz w:val="20"/>
        </w:rPr>
        <w:t>Agreement (DFA)</w:t>
      </w:r>
      <w:r>
        <w:rPr>
          <w:rFonts w:ascii="Verdana"/>
          <w:spacing w:val="-7"/>
          <w:sz w:val="20"/>
        </w:rPr>
        <w:t> </w:t>
      </w:r>
      <w:r>
        <w:rPr>
          <w:rFonts w:ascii="Verdana"/>
          <w:sz w:val="20"/>
        </w:rPr>
        <w:t>that</w:t>
      </w:r>
      <w:r>
        <w:rPr>
          <w:rFonts w:ascii="Verdana"/>
          <w:spacing w:val="-4"/>
          <w:sz w:val="20"/>
        </w:rPr>
        <w:t> </w:t>
      </w:r>
      <w:r>
        <w:rPr>
          <w:rFonts w:ascii="Verdana"/>
          <w:sz w:val="20"/>
        </w:rPr>
        <w:t>links performance payments to achievement of the agreed targets.</w:t>
      </w:r>
    </w:p>
    <w:p>
      <w:pPr>
        <w:spacing w:line="276" w:lineRule="auto" w:before="121"/>
        <w:ind w:left="119" w:right="103" w:firstLine="0"/>
        <w:jc w:val="left"/>
        <w:rPr>
          <w:rFonts w:ascii="Verdana"/>
          <w:sz w:val="20"/>
        </w:rPr>
      </w:pPr>
      <w:r>
        <w:rPr>
          <w:rFonts w:ascii="Verdana"/>
          <w:sz w:val="20"/>
        </w:rPr>
        <w:t>The</w:t>
      </w:r>
      <w:r>
        <w:rPr>
          <w:rFonts w:ascii="Verdana"/>
          <w:spacing w:val="-5"/>
          <w:sz w:val="20"/>
        </w:rPr>
        <w:t> </w:t>
      </w:r>
      <w:r>
        <w:rPr>
          <w:rFonts w:ascii="Verdana"/>
          <w:sz w:val="20"/>
        </w:rPr>
        <w:t>aim of</w:t>
      </w:r>
      <w:r>
        <w:rPr>
          <w:rFonts w:ascii="Verdana"/>
          <w:spacing w:val="-4"/>
          <w:sz w:val="20"/>
        </w:rPr>
        <w:t> </w:t>
      </w:r>
      <w:r>
        <w:rPr>
          <w:rFonts w:ascii="Verdana"/>
          <w:sz w:val="20"/>
        </w:rPr>
        <w:t>these</w:t>
      </w:r>
      <w:r>
        <w:rPr>
          <w:rFonts w:ascii="Verdana"/>
          <w:spacing w:val="-5"/>
          <w:sz w:val="20"/>
        </w:rPr>
        <w:t> </w:t>
      </w:r>
      <w:r>
        <w:rPr>
          <w:rFonts w:ascii="Verdana"/>
          <w:sz w:val="20"/>
        </w:rPr>
        <w:t>payments</w:t>
      </w:r>
      <w:r>
        <w:rPr>
          <w:rFonts w:ascii="Verdana"/>
          <w:spacing w:val="-4"/>
          <w:sz w:val="20"/>
        </w:rPr>
        <w:t> </w:t>
      </w:r>
      <w:r>
        <w:rPr>
          <w:rFonts w:ascii="Verdana"/>
          <w:sz w:val="20"/>
        </w:rPr>
        <w:t>is</w:t>
      </w:r>
      <w:r>
        <w:rPr>
          <w:rFonts w:ascii="Verdana"/>
          <w:spacing w:val="-4"/>
          <w:sz w:val="20"/>
        </w:rPr>
        <w:t> </w:t>
      </w:r>
      <w:r>
        <w:rPr>
          <w:rFonts w:ascii="Verdana"/>
          <w:sz w:val="20"/>
        </w:rPr>
        <w:t>to</w:t>
      </w:r>
      <w:r>
        <w:rPr>
          <w:rFonts w:ascii="Verdana"/>
          <w:spacing w:val="-7"/>
          <w:sz w:val="20"/>
        </w:rPr>
        <w:t> </w:t>
      </w:r>
      <w:r>
        <w:rPr>
          <w:rFonts w:ascii="Verdana"/>
          <w:sz w:val="20"/>
        </w:rPr>
        <w:t>incentivise</w:t>
      </w:r>
      <w:r>
        <w:rPr>
          <w:rFonts w:ascii="Verdana"/>
          <w:spacing w:val="-4"/>
          <w:sz w:val="20"/>
        </w:rPr>
        <w:t> </w:t>
      </w:r>
      <w:r>
        <w:rPr>
          <w:rFonts w:ascii="Verdana"/>
          <w:sz w:val="20"/>
        </w:rPr>
        <w:t>performance of</w:t>
      </w:r>
      <w:r>
        <w:rPr>
          <w:rFonts w:ascii="Verdana"/>
          <w:spacing w:val="-4"/>
          <w:sz w:val="20"/>
        </w:rPr>
        <w:t> </w:t>
      </w:r>
      <w:r>
        <w:rPr>
          <w:rFonts w:ascii="Verdana"/>
          <w:sz w:val="20"/>
        </w:rPr>
        <w:t>the education sector.</w:t>
      </w:r>
      <w:r>
        <w:rPr>
          <w:rFonts w:ascii="Verdana"/>
          <w:spacing w:val="40"/>
          <w:sz w:val="20"/>
        </w:rPr>
        <w:t> </w:t>
      </w:r>
      <w:r>
        <w:rPr>
          <w:rFonts w:ascii="Verdana"/>
          <w:sz w:val="20"/>
        </w:rPr>
        <w:t>A</w:t>
      </w:r>
      <w:r>
        <w:rPr>
          <w:rFonts w:ascii="Verdana"/>
          <w:spacing w:val="-3"/>
          <w:sz w:val="20"/>
        </w:rPr>
        <w:t> </w:t>
      </w:r>
      <w:r>
        <w:rPr>
          <w:rFonts w:ascii="Verdana"/>
          <w:sz w:val="20"/>
        </w:rPr>
        <w:t>pre requisite for any funding is that at least 22% of the SIG national recurrent budget is spent on education in the previous year.</w:t>
      </w:r>
      <w:r>
        <w:rPr>
          <w:rFonts w:ascii="Verdana"/>
          <w:spacing w:val="40"/>
          <w:sz w:val="20"/>
        </w:rPr>
        <w:t> </w:t>
      </w:r>
      <w:r>
        <w:rPr>
          <w:rFonts w:ascii="Verdana"/>
          <w:sz w:val="20"/>
        </w:rPr>
        <w:t>A further incentive payment will be provided annually on the achievement of annual agreed targets set out in the education performance matrix.</w:t>
      </w:r>
    </w:p>
    <w:p>
      <w:pPr>
        <w:spacing w:line="276" w:lineRule="auto" w:before="119"/>
        <w:ind w:left="119" w:right="0" w:firstLine="0"/>
        <w:jc w:val="left"/>
        <w:rPr>
          <w:rFonts w:ascii="Verdana"/>
          <w:sz w:val="20"/>
        </w:rPr>
      </w:pPr>
      <w:r>
        <w:rPr>
          <w:rFonts w:ascii="Verdana"/>
          <w:sz w:val="20"/>
        </w:rPr>
        <w:t>This</w:t>
      </w:r>
      <w:r>
        <w:rPr>
          <w:rFonts w:ascii="Verdana"/>
          <w:spacing w:val="-5"/>
          <w:sz w:val="20"/>
        </w:rPr>
        <w:t> </w:t>
      </w:r>
      <w:r>
        <w:rPr>
          <w:rFonts w:ascii="Verdana"/>
          <w:sz w:val="20"/>
        </w:rPr>
        <w:t>year will be</w:t>
      </w:r>
      <w:r>
        <w:rPr>
          <w:rFonts w:ascii="Verdana"/>
          <w:spacing w:val="-6"/>
          <w:sz w:val="20"/>
        </w:rPr>
        <w:t> </w:t>
      </w:r>
      <w:r>
        <w:rPr>
          <w:rFonts w:ascii="Verdana"/>
          <w:sz w:val="20"/>
        </w:rPr>
        <w:t>the</w:t>
      </w:r>
      <w:r>
        <w:rPr>
          <w:rFonts w:ascii="Verdana"/>
          <w:spacing w:val="-6"/>
          <w:sz w:val="20"/>
        </w:rPr>
        <w:t> </w:t>
      </w:r>
      <w:r>
        <w:rPr>
          <w:rFonts w:ascii="Verdana"/>
          <w:sz w:val="20"/>
        </w:rPr>
        <w:t>fifth</w:t>
      </w:r>
      <w:r>
        <w:rPr>
          <w:rFonts w:ascii="Verdana"/>
          <w:spacing w:val="-4"/>
          <w:sz w:val="20"/>
        </w:rPr>
        <w:t> </w:t>
      </w:r>
      <w:r>
        <w:rPr>
          <w:rFonts w:ascii="Verdana"/>
          <w:sz w:val="20"/>
        </w:rPr>
        <w:t>year</w:t>
      </w:r>
      <w:r>
        <w:rPr>
          <w:rFonts w:ascii="Verdana"/>
          <w:spacing w:val="-5"/>
          <w:sz w:val="20"/>
        </w:rPr>
        <w:t> </w:t>
      </w:r>
      <w:r>
        <w:rPr>
          <w:rFonts w:ascii="Verdana"/>
          <w:sz w:val="20"/>
        </w:rPr>
        <w:t>that</w:t>
      </w:r>
      <w:r>
        <w:rPr>
          <w:rFonts w:ascii="Verdana"/>
          <w:spacing w:val="-3"/>
          <w:sz w:val="20"/>
        </w:rPr>
        <w:t> </w:t>
      </w:r>
      <w:r>
        <w:rPr>
          <w:rFonts w:ascii="Verdana"/>
          <w:sz w:val="20"/>
        </w:rPr>
        <w:t>an</w:t>
      </w:r>
      <w:r>
        <w:rPr>
          <w:rFonts w:ascii="Verdana"/>
          <w:spacing w:val="-4"/>
          <w:sz w:val="20"/>
        </w:rPr>
        <w:t> </w:t>
      </w:r>
      <w:r>
        <w:rPr>
          <w:rFonts w:ascii="Verdana"/>
          <w:sz w:val="20"/>
        </w:rPr>
        <w:t>Independent</w:t>
      </w:r>
      <w:r>
        <w:rPr>
          <w:rFonts w:ascii="Verdana"/>
          <w:spacing w:val="-3"/>
          <w:sz w:val="20"/>
        </w:rPr>
        <w:t> </w:t>
      </w:r>
      <w:r>
        <w:rPr>
          <w:rFonts w:ascii="Verdana"/>
          <w:sz w:val="20"/>
        </w:rPr>
        <w:t>Assessor</w:t>
      </w:r>
      <w:r>
        <w:rPr>
          <w:rFonts w:ascii="Verdana"/>
          <w:spacing w:val="-5"/>
          <w:sz w:val="20"/>
        </w:rPr>
        <w:t> </w:t>
      </w:r>
      <w:r>
        <w:rPr>
          <w:rFonts w:ascii="Verdana"/>
          <w:sz w:val="20"/>
        </w:rPr>
        <w:t>has assessed</w:t>
      </w:r>
      <w:r>
        <w:rPr>
          <w:rFonts w:ascii="Verdana"/>
          <w:spacing w:val="-2"/>
          <w:sz w:val="20"/>
        </w:rPr>
        <w:t> </w:t>
      </w:r>
      <w:r>
        <w:rPr>
          <w:rFonts w:ascii="Verdana"/>
          <w:sz w:val="20"/>
        </w:rPr>
        <w:t>performance against the performance matrix.</w:t>
      </w:r>
    </w:p>
    <w:p>
      <w:pPr>
        <w:pStyle w:val="Heading3"/>
        <w:numPr>
          <w:ilvl w:val="0"/>
          <w:numId w:val="40"/>
        </w:numPr>
        <w:tabs>
          <w:tab w:pos="437" w:val="left" w:leader="none"/>
        </w:tabs>
        <w:spacing w:line="240" w:lineRule="auto" w:before="122" w:after="0"/>
        <w:ind w:left="436" w:right="0" w:hanging="317"/>
        <w:jc w:val="left"/>
      </w:pPr>
      <w:r>
        <w:rPr/>
        <w:t>Objective</w:t>
      </w:r>
      <w:r>
        <w:rPr>
          <w:spacing w:val="-8"/>
        </w:rPr>
        <w:t> </w:t>
      </w:r>
      <w:r>
        <w:rPr/>
        <w:t>and</w:t>
      </w:r>
      <w:r>
        <w:rPr>
          <w:spacing w:val="-7"/>
        </w:rPr>
        <w:t> </w:t>
      </w:r>
      <w:r>
        <w:rPr>
          <w:spacing w:val="-4"/>
        </w:rPr>
        <w:t>tasks</w:t>
      </w:r>
    </w:p>
    <w:p>
      <w:pPr>
        <w:pStyle w:val="BodyText"/>
        <w:spacing w:before="6"/>
        <w:rPr>
          <w:rFonts w:ascii="Verdana"/>
          <w:b/>
          <w:sz w:val="19"/>
        </w:rPr>
      </w:pPr>
    </w:p>
    <w:p>
      <w:pPr>
        <w:spacing w:line="276" w:lineRule="auto" w:before="0"/>
        <w:ind w:left="119" w:right="0" w:firstLine="0"/>
        <w:jc w:val="left"/>
        <w:rPr>
          <w:rFonts w:ascii="Verdana"/>
          <w:sz w:val="20"/>
        </w:rPr>
      </w:pPr>
      <w:r>
        <w:rPr>
          <w:rFonts w:ascii="Verdana"/>
          <w:sz w:val="20"/>
        </w:rPr>
        <w:t>Provide</w:t>
      </w:r>
      <w:r>
        <w:rPr>
          <w:rFonts w:ascii="Verdana"/>
          <w:spacing w:val="-2"/>
          <w:sz w:val="20"/>
        </w:rPr>
        <w:t> </w:t>
      </w:r>
      <w:r>
        <w:rPr>
          <w:rFonts w:ascii="Verdana"/>
          <w:sz w:val="20"/>
        </w:rPr>
        <w:t>advice</w:t>
      </w:r>
      <w:r>
        <w:rPr>
          <w:rFonts w:ascii="Verdana"/>
          <w:spacing w:val="-7"/>
          <w:sz w:val="20"/>
        </w:rPr>
        <w:t> </w:t>
      </w:r>
      <w:r>
        <w:rPr>
          <w:rFonts w:ascii="Verdana"/>
          <w:sz w:val="20"/>
        </w:rPr>
        <w:t>to</w:t>
      </w:r>
      <w:r>
        <w:rPr>
          <w:rFonts w:ascii="Verdana"/>
          <w:spacing w:val="-4"/>
          <w:sz w:val="20"/>
        </w:rPr>
        <w:t> </w:t>
      </w:r>
      <w:r>
        <w:rPr>
          <w:rFonts w:ascii="Verdana"/>
          <w:sz w:val="20"/>
        </w:rPr>
        <w:t>all parties</w:t>
      </w:r>
      <w:r>
        <w:rPr>
          <w:rFonts w:ascii="Verdana"/>
          <w:spacing w:val="-1"/>
          <w:sz w:val="20"/>
        </w:rPr>
        <w:t> </w:t>
      </w:r>
      <w:r>
        <w:rPr>
          <w:rFonts w:ascii="Verdana"/>
          <w:sz w:val="20"/>
        </w:rPr>
        <w:t>on</w:t>
      </w:r>
      <w:r>
        <w:rPr>
          <w:rFonts w:ascii="Verdana"/>
          <w:spacing w:val="-5"/>
          <w:sz w:val="20"/>
        </w:rPr>
        <w:t> </w:t>
      </w:r>
      <w:r>
        <w:rPr>
          <w:rFonts w:ascii="Verdana"/>
          <w:sz w:val="20"/>
        </w:rPr>
        <w:t>the</w:t>
      </w:r>
      <w:r>
        <w:rPr>
          <w:rFonts w:ascii="Verdana"/>
          <w:spacing w:val="-2"/>
          <w:sz w:val="20"/>
        </w:rPr>
        <w:t> </w:t>
      </w:r>
      <w:r>
        <w:rPr>
          <w:rFonts w:ascii="Verdana"/>
          <w:sz w:val="20"/>
        </w:rPr>
        <w:t>payment of</w:t>
      </w:r>
      <w:r>
        <w:rPr>
          <w:rFonts w:ascii="Verdana"/>
          <w:spacing w:val="-6"/>
          <w:sz w:val="20"/>
        </w:rPr>
        <w:t> </w:t>
      </w:r>
      <w:r>
        <w:rPr>
          <w:rFonts w:ascii="Verdana"/>
          <w:sz w:val="20"/>
        </w:rPr>
        <w:t>the</w:t>
      </w:r>
      <w:r>
        <w:rPr>
          <w:rFonts w:ascii="Verdana"/>
          <w:spacing w:val="-2"/>
          <w:sz w:val="20"/>
        </w:rPr>
        <w:t> </w:t>
      </w:r>
      <w:r>
        <w:rPr>
          <w:rFonts w:ascii="Verdana"/>
          <w:sz w:val="20"/>
        </w:rPr>
        <w:t>performance</w:t>
      </w:r>
      <w:r>
        <w:rPr>
          <w:rFonts w:ascii="Verdana"/>
          <w:spacing w:val="-7"/>
          <w:sz w:val="20"/>
        </w:rPr>
        <w:t> </w:t>
      </w:r>
      <w:r>
        <w:rPr>
          <w:rFonts w:ascii="Verdana"/>
          <w:sz w:val="20"/>
        </w:rPr>
        <w:t>component of the education sector budget support, specifically:</w:t>
      </w:r>
    </w:p>
    <w:p>
      <w:pPr>
        <w:pStyle w:val="ListParagraph"/>
        <w:numPr>
          <w:ilvl w:val="1"/>
          <w:numId w:val="40"/>
        </w:numPr>
        <w:tabs>
          <w:tab w:pos="1123" w:val="left" w:leader="none"/>
        </w:tabs>
        <w:spacing w:line="276" w:lineRule="auto" w:before="200" w:after="0"/>
        <w:ind w:left="839" w:right="954" w:firstLine="0"/>
        <w:jc w:val="left"/>
        <w:rPr>
          <w:rFonts w:ascii="Verdana"/>
          <w:sz w:val="20"/>
        </w:rPr>
      </w:pPr>
      <w:r>
        <w:rPr>
          <w:rFonts w:ascii="Verdana"/>
          <w:sz w:val="20"/>
        </w:rPr>
        <w:t>Review</w:t>
      </w:r>
      <w:r>
        <w:rPr>
          <w:rFonts w:ascii="Verdana"/>
          <w:spacing w:val="-8"/>
          <w:sz w:val="20"/>
        </w:rPr>
        <w:t> </w:t>
      </w:r>
      <w:r>
        <w:rPr>
          <w:rFonts w:ascii="Verdana"/>
          <w:sz w:val="20"/>
        </w:rPr>
        <w:t>SIG performance</w:t>
      </w:r>
      <w:r>
        <w:rPr>
          <w:rFonts w:ascii="Verdana"/>
          <w:spacing w:val="-7"/>
          <w:sz w:val="20"/>
        </w:rPr>
        <w:t> </w:t>
      </w:r>
      <w:r>
        <w:rPr>
          <w:rFonts w:ascii="Verdana"/>
          <w:sz w:val="20"/>
        </w:rPr>
        <w:t>against</w:t>
      </w:r>
      <w:r>
        <w:rPr>
          <w:rFonts w:ascii="Verdana"/>
          <w:spacing w:val="-4"/>
          <w:sz w:val="20"/>
        </w:rPr>
        <w:t> </w:t>
      </w:r>
      <w:r>
        <w:rPr>
          <w:rFonts w:ascii="Verdana"/>
          <w:sz w:val="20"/>
        </w:rPr>
        <w:t>the</w:t>
      </w:r>
      <w:r>
        <w:rPr>
          <w:rFonts w:ascii="Verdana"/>
          <w:spacing w:val="-2"/>
          <w:sz w:val="20"/>
        </w:rPr>
        <w:t> </w:t>
      </w:r>
      <w:r>
        <w:rPr>
          <w:rFonts w:ascii="Verdana"/>
          <w:sz w:val="20"/>
        </w:rPr>
        <w:t>agreed</w:t>
      </w:r>
      <w:r>
        <w:rPr>
          <w:rFonts w:ascii="Verdana"/>
          <w:spacing w:val="-7"/>
          <w:sz w:val="20"/>
        </w:rPr>
        <w:t> </w:t>
      </w:r>
      <w:r>
        <w:rPr>
          <w:rFonts w:ascii="Verdana"/>
          <w:sz w:val="20"/>
        </w:rPr>
        <w:t>milestones</w:t>
      </w:r>
      <w:r>
        <w:rPr>
          <w:rFonts w:ascii="Verdana"/>
          <w:spacing w:val="-1"/>
          <w:sz w:val="20"/>
        </w:rPr>
        <w:t> </w:t>
      </w:r>
      <w:r>
        <w:rPr>
          <w:rFonts w:ascii="Verdana"/>
          <w:sz w:val="20"/>
        </w:rPr>
        <w:t>for</w:t>
      </w:r>
      <w:r>
        <w:rPr>
          <w:rFonts w:ascii="Verdana"/>
          <w:spacing w:val="-6"/>
          <w:sz w:val="20"/>
        </w:rPr>
        <w:t> </w:t>
      </w:r>
      <w:r>
        <w:rPr>
          <w:rFonts w:ascii="Verdana"/>
          <w:sz w:val="20"/>
        </w:rPr>
        <w:t>2016 in</w:t>
      </w:r>
      <w:r>
        <w:rPr>
          <w:rFonts w:ascii="Verdana"/>
          <w:spacing w:val="-5"/>
          <w:sz w:val="20"/>
        </w:rPr>
        <w:t> </w:t>
      </w:r>
      <w:r>
        <w:rPr>
          <w:rFonts w:ascii="Verdana"/>
          <w:sz w:val="20"/>
        </w:rPr>
        <w:t>the attached performance matrix</w:t>
      </w:r>
    </w:p>
    <w:p>
      <w:pPr>
        <w:pStyle w:val="ListParagraph"/>
        <w:numPr>
          <w:ilvl w:val="1"/>
          <w:numId w:val="40"/>
        </w:numPr>
        <w:tabs>
          <w:tab w:pos="1128" w:val="left" w:leader="none"/>
        </w:tabs>
        <w:spacing w:line="280" w:lineRule="auto" w:before="199" w:after="0"/>
        <w:ind w:left="839" w:right="647" w:firstLine="0"/>
        <w:jc w:val="left"/>
        <w:rPr>
          <w:rFonts w:ascii="Verdana"/>
          <w:sz w:val="20"/>
        </w:rPr>
      </w:pPr>
      <w:r>
        <w:rPr>
          <w:rFonts w:ascii="Verdana"/>
          <w:sz w:val="20"/>
        </w:rPr>
        <w:t>Provide</w:t>
      </w:r>
      <w:r>
        <w:rPr>
          <w:rFonts w:ascii="Verdana"/>
          <w:spacing w:val="-8"/>
          <w:sz w:val="20"/>
        </w:rPr>
        <w:t> </w:t>
      </w:r>
      <w:r>
        <w:rPr>
          <w:rFonts w:ascii="Verdana"/>
          <w:sz w:val="20"/>
        </w:rPr>
        <w:t>a</w:t>
      </w:r>
      <w:r>
        <w:rPr>
          <w:rFonts w:ascii="Verdana"/>
          <w:spacing w:val="-5"/>
          <w:sz w:val="20"/>
        </w:rPr>
        <w:t> </w:t>
      </w:r>
      <w:r>
        <w:rPr>
          <w:rFonts w:ascii="Verdana"/>
          <w:sz w:val="20"/>
        </w:rPr>
        <w:t>recommendation</w:t>
      </w:r>
      <w:r>
        <w:rPr>
          <w:rFonts w:ascii="Verdana"/>
          <w:spacing w:val="-2"/>
          <w:sz w:val="20"/>
        </w:rPr>
        <w:t> </w:t>
      </w:r>
      <w:r>
        <w:rPr>
          <w:rFonts w:ascii="Verdana"/>
          <w:sz w:val="20"/>
        </w:rPr>
        <w:t>of</w:t>
      </w:r>
      <w:r>
        <w:rPr>
          <w:rFonts w:ascii="Verdana"/>
          <w:spacing w:val="-7"/>
          <w:sz w:val="20"/>
        </w:rPr>
        <w:t> </w:t>
      </w:r>
      <w:r>
        <w:rPr>
          <w:rFonts w:ascii="Verdana"/>
          <w:sz w:val="20"/>
        </w:rPr>
        <w:t>what</w:t>
      </w:r>
      <w:r>
        <w:rPr>
          <w:rFonts w:ascii="Verdana"/>
          <w:spacing w:val="-2"/>
          <w:sz w:val="20"/>
        </w:rPr>
        <w:t> </w:t>
      </w:r>
      <w:r>
        <w:rPr>
          <w:rFonts w:ascii="Verdana"/>
          <w:sz w:val="20"/>
        </w:rPr>
        <w:t>performance</w:t>
      </w:r>
      <w:r>
        <w:rPr>
          <w:rFonts w:ascii="Verdana"/>
          <w:spacing w:val="-8"/>
          <w:sz w:val="20"/>
        </w:rPr>
        <w:t> </w:t>
      </w:r>
      <w:r>
        <w:rPr>
          <w:rFonts w:ascii="Verdana"/>
          <w:sz w:val="20"/>
        </w:rPr>
        <w:t>payment</w:t>
      </w:r>
      <w:r>
        <w:rPr>
          <w:rFonts w:ascii="Verdana"/>
          <w:spacing w:val="-2"/>
          <w:sz w:val="20"/>
        </w:rPr>
        <w:t> </w:t>
      </w:r>
      <w:r>
        <w:rPr>
          <w:rFonts w:ascii="Verdana"/>
          <w:sz w:val="20"/>
        </w:rPr>
        <w:t>should</w:t>
      </w:r>
      <w:r>
        <w:rPr>
          <w:rFonts w:ascii="Verdana"/>
          <w:spacing w:val="-5"/>
          <w:sz w:val="20"/>
        </w:rPr>
        <w:t> </w:t>
      </w:r>
      <w:r>
        <w:rPr>
          <w:rFonts w:ascii="Verdana"/>
          <w:sz w:val="20"/>
        </w:rPr>
        <w:t>be</w:t>
      </w:r>
      <w:r>
        <w:rPr>
          <w:rFonts w:ascii="Verdana"/>
          <w:spacing w:val="-4"/>
          <w:sz w:val="20"/>
        </w:rPr>
        <w:t> </w:t>
      </w:r>
      <w:r>
        <w:rPr>
          <w:rFonts w:ascii="Verdana"/>
          <w:sz w:val="20"/>
        </w:rPr>
        <w:t>made based on the SIG performance</w:t>
      </w:r>
    </w:p>
    <w:p>
      <w:pPr>
        <w:pStyle w:val="ListParagraph"/>
        <w:numPr>
          <w:ilvl w:val="1"/>
          <w:numId w:val="40"/>
        </w:numPr>
        <w:tabs>
          <w:tab w:pos="1109" w:val="left" w:leader="none"/>
        </w:tabs>
        <w:spacing w:line="240" w:lineRule="auto" w:before="190" w:after="0"/>
        <w:ind w:left="1108" w:right="0" w:hanging="270"/>
        <w:jc w:val="left"/>
        <w:rPr>
          <w:rFonts w:ascii="Verdana"/>
          <w:sz w:val="20"/>
        </w:rPr>
      </w:pPr>
      <w:r>
        <w:rPr>
          <w:rFonts w:ascii="Verdana"/>
          <w:sz w:val="20"/>
        </w:rPr>
        <w:t>Provide</w:t>
      </w:r>
      <w:r>
        <w:rPr>
          <w:rFonts w:ascii="Verdana"/>
          <w:spacing w:val="-9"/>
          <w:sz w:val="20"/>
        </w:rPr>
        <w:t> </w:t>
      </w:r>
      <w:r>
        <w:rPr>
          <w:rFonts w:ascii="Verdana"/>
          <w:sz w:val="20"/>
        </w:rPr>
        <w:t>advice</w:t>
      </w:r>
      <w:r>
        <w:rPr>
          <w:rFonts w:ascii="Verdana"/>
          <w:spacing w:val="-11"/>
          <w:sz w:val="20"/>
        </w:rPr>
        <w:t> </w:t>
      </w:r>
      <w:r>
        <w:rPr>
          <w:rFonts w:ascii="Verdana"/>
          <w:sz w:val="20"/>
        </w:rPr>
        <w:t>on</w:t>
      </w:r>
      <w:r>
        <w:rPr>
          <w:rFonts w:ascii="Verdana"/>
          <w:spacing w:val="-9"/>
          <w:sz w:val="20"/>
        </w:rPr>
        <w:t> </w:t>
      </w:r>
      <w:r>
        <w:rPr>
          <w:rFonts w:ascii="Verdana"/>
          <w:sz w:val="20"/>
        </w:rPr>
        <w:t>the</w:t>
      </w:r>
      <w:r>
        <w:rPr>
          <w:rFonts w:ascii="Verdana"/>
          <w:spacing w:val="-11"/>
          <w:sz w:val="20"/>
        </w:rPr>
        <w:t> </w:t>
      </w:r>
      <w:r>
        <w:rPr>
          <w:rFonts w:ascii="Verdana"/>
          <w:sz w:val="20"/>
        </w:rPr>
        <w:t>strengths</w:t>
      </w:r>
      <w:r>
        <w:rPr>
          <w:rFonts w:ascii="Verdana"/>
          <w:spacing w:val="-6"/>
          <w:sz w:val="20"/>
        </w:rPr>
        <w:t> </w:t>
      </w:r>
      <w:r>
        <w:rPr>
          <w:rFonts w:ascii="Verdana"/>
          <w:sz w:val="20"/>
        </w:rPr>
        <w:t>and</w:t>
      </w:r>
      <w:r>
        <w:rPr>
          <w:rFonts w:ascii="Verdana"/>
          <w:spacing w:val="-7"/>
          <w:sz w:val="20"/>
        </w:rPr>
        <w:t> </w:t>
      </w:r>
      <w:r>
        <w:rPr>
          <w:rFonts w:ascii="Verdana"/>
          <w:sz w:val="20"/>
        </w:rPr>
        <w:t>weaknesses</w:t>
      </w:r>
      <w:r>
        <w:rPr>
          <w:rFonts w:ascii="Verdana"/>
          <w:spacing w:val="-6"/>
          <w:sz w:val="20"/>
        </w:rPr>
        <w:t> </w:t>
      </w:r>
      <w:r>
        <w:rPr>
          <w:rFonts w:ascii="Verdana"/>
          <w:sz w:val="20"/>
        </w:rPr>
        <w:t>of</w:t>
      </w:r>
      <w:r>
        <w:rPr>
          <w:rFonts w:ascii="Verdana"/>
          <w:spacing w:val="-10"/>
          <w:sz w:val="20"/>
        </w:rPr>
        <w:t> </w:t>
      </w:r>
      <w:r>
        <w:rPr>
          <w:rFonts w:ascii="Verdana"/>
          <w:sz w:val="20"/>
        </w:rPr>
        <w:t>2016</w:t>
      </w:r>
      <w:r>
        <w:rPr>
          <w:rFonts w:ascii="Verdana"/>
          <w:spacing w:val="-5"/>
          <w:sz w:val="20"/>
        </w:rPr>
        <w:t> </w:t>
      </w:r>
      <w:r>
        <w:rPr>
          <w:rFonts w:ascii="Verdana"/>
          <w:sz w:val="20"/>
        </w:rPr>
        <w:t>performance</w:t>
      </w:r>
      <w:r>
        <w:rPr>
          <w:rFonts w:ascii="Verdana"/>
          <w:spacing w:val="-10"/>
          <w:sz w:val="20"/>
        </w:rPr>
        <w:t> </w:t>
      </w:r>
      <w:r>
        <w:rPr>
          <w:rFonts w:ascii="Verdana"/>
          <w:spacing w:val="-2"/>
          <w:sz w:val="20"/>
        </w:rPr>
        <w:t>indictors</w:t>
      </w:r>
    </w:p>
    <w:p>
      <w:pPr>
        <w:pStyle w:val="BodyText"/>
        <w:spacing w:before="6"/>
        <w:rPr>
          <w:rFonts w:ascii="Verdana"/>
          <w:sz w:val="19"/>
        </w:rPr>
      </w:pPr>
    </w:p>
    <w:p>
      <w:pPr>
        <w:pStyle w:val="ListParagraph"/>
        <w:numPr>
          <w:ilvl w:val="1"/>
          <w:numId w:val="40"/>
        </w:numPr>
        <w:tabs>
          <w:tab w:pos="1128" w:val="left" w:leader="none"/>
        </w:tabs>
        <w:spacing w:line="280" w:lineRule="auto" w:before="0" w:after="0"/>
        <w:ind w:left="839" w:right="462" w:firstLine="0"/>
        <w:jc w:val="left"/>
        <w:rPr>
          <w:rFonts w:ascii="Verdana" w:hAnsi="Verdana"/>
          <w:sz w:val="20"/>
        </w:rPr>
      </w:pPr>
      <w:r>
        <w:rPr>
          <w:rFonts w:ascii="Verdana" w:hAnsi="Verdana"/>
          <w:sz w:val="20"/>
        </w:rPr>
        <w:t>Provide</w:t>
      </w:r>
      <w:r>
        <w:rPr>
          <w:rFonts w:ascii="Verdana" w:hAnsi="Verdana"/>
          <w:spacing w:val="-5"/>
          <w:sz w:val="20"/>
        </w:rPr>
        <w:t> </w:t>
      </w:r>
      <w:r>
        <w:rPr>
          <w:rFonts w:ascii="Verdana" w:hAnsi="Verdana"/>
          <w:sz w:val="20"/>
        </w:rPr>
        <w:t>advice</w:t>
      </w:r>
      <w:r>
        <w:rPr>
          <w:rFonts w:ascii="Verdana" w:hAnsi="Verdana"/>
          <w:spacing w:val="-5"/>
          <w:sz w:val="20"/>
        </w:rPr>
        <w:t> </w:t>
      </w:r>
      <w:r>
        <w:rPr>
          <w:rFonts w:ascii="Verdana" w:hAnsi="Verdana"/>
          <w:sz w:val="20"/>
        </w:rPr>
        <w:t>on</w:t>
      </w:r>
      <w:r>
        <w:rPr>
          <w:rFonts w:ascii="Verdana" w:hAnsi="Verdana"/>
          <w:spacing w:val="-3"/>
          <w:sz w:val="20"/>
        </w:rPr>
        <w:t> </w:t>
      </w:r>
      <w:r>
        <w:rPr>
          <w:rFonts w:ascii="Verdana" w:hAnsi="Verdana"/>
          <w:sz w:val="20"/>
        </w:rPr>
        <w:t>indicators</w:t>
      </w:r>
      <w:r>
        <w:rPr>
          <w:rFonts w:ascii="Verdana" w:hAnsi="Verdana"/>
          <w:spacing w:val="-4"/>
          <w:sz w:val="20"/>
        </w:rPr>
        <w:t> </w:t>
      </w:r>
      <w:r>
        <w:rPr>
          <w:rFonts w:ascii="Verdana" w:hAnsi="Verdana"/>
          <w:sz w:val="20"/>
        </w:rPr>
        <w:t>for</w:t>
      </w:r>
      <w:r>
        <w:rPr>
          <w:rFonts w:ascii="Verdana" w:hAnsi="Verdana"/>
          <w:spacing w:val="-4"/>
          <w:sz w:val="20"/>
        </w:rPr>
        <w:t> </w:t>
      </w:r>
      <w:r>
        <w:rPr>
          <w:rFonts w:ascii="Verdana" w:hAnsi="Verdana"/>
          <w:sz w:val="20"/>
        </w:rPr>
        <w:t>the</w:t>
      </w:r>
      <w:r>
        <w:rPr>
          <w:rFonts w:ascii="Verdana" w:hAnsi="Verdana"/>
          <w:spacing w:val="-5"/>
          <w:sz w:val="20"/>
        </w:rPr>
        <w:t> </w:t>
      </w:r>
      <w:r>
        <w:rPr>
          <w:rFonts w:ascii="Verdana" w:hAnsi="Verdana"/>
          <w:sz w:val="20"/>
        </w:rPr>
        <w:t>next year</w:t>
      </w:r>
      <w:r>
        <w:rPr>
          <w:rFonts w:ascii="Verdana" w:hAnsi="Verdana"/>
          <w:spacing w:val="-4"/>
          <w:sz w:val="20"/>
        </w:rPr>
        <w:t> </w:t>
      </w:r>
      <w:r>
        <w:rPr>
          <w:rFonts w:ascii="Verdana" w:hAnsi="Verdana"/>
          <w:sz w:val="20"/>
        </w:rPr>
        <w:t>2017,</w:t>
      </w:r>
      <w:r>
        <w:rPr>
          <w:rFonts w:ascii="Verdana" w:hAnsi="Verdana"/>
          <w:spacing w:val="-6"/>
          <w:sz w:val="20"/>
        </w:rPr>
        <w:t> </w:t>
      </w:r>
      <w:r>
        <w:rPr>
          <w:rFonts w:ascii="Verdana" w:hAnsi="Verdana"/>
          <w:sz w:val="20"/>
        </w:rPr>
        <w:t>based</w:t>
      </w:r>
      <w:r>
        <w:rPr>
          <w:rFonts w:ascii="Verdana" w:hAnsi="Verdana"/>
          <w:spacing w:val="-5"/>
          <w:sz w:val="20"/>
        </w:rPr>
        <w:t> </w:t>
      </w:r>
      <w:r>
        <w:rPr>
          <w:rFonts w:ascii="Verdana" w:hAnsi="Verdana"/>
          <w:sz w:val="20"/>
        </w:rPr>
        <w:t>on MEHRD’s</w:t>
      </w:r>
      <w:r>
        <w:rPr>
          <w:rFonts w:ascii="Verdana" w:hAnsi="Verdana"/>
          <w:spacing w:val="-4"/>
          <w:sz w:val="20"/>
        </w:rPr>
        <w:t> </w:t>
      </w:r>
      <w:r>
        <w:rPr>
          <w:rFonts w:ascii="Verdana" w:hAnsi="Verdana"/>
          <w:sz w:val="20"/>
        </w:rPr>
        <w:t>new M&amp;E framework</w:t>
      </w:r>
    </w:p>
    <w:p>
      <w:pPr>
        <w:pStyle w:val="Heading3"/>
        <w:numPr>
          <w:ilvl w:val="0"/>
          <w:numId w:val="40"/>
        </w:numPr>
        <w:tabs>
          <w:tab w:pos="437" w:val="left" w:leader="none"/>
        </w:tabs>
        <w:spacing w:line="240" w:lineRule="auto" w:before="198" w:after="0"/>
        <w:ind w:left="436" w:right="0" w:hanging="317"/>
        <w:jc w:val="left"/>
      </w:pPr>
      <w:r>
        <w:rPr/>
        <w:t>Qualifications</w:t>
      </w:r>
      <w:r>
        <w:rPr>
          <w:spacing w:val="-9"/>
        </w:rPr>
        <w:t> </w:t>
      </w:r>
      <w:r>
        <w:rPr/>
        <w:t>and</w:t>
      </w:r>
      <w:r>
        <w:rPr>
          <w:spacing w:val="-8"/>
        </w:rPr>
        <w:t> </w:t>
      </w:r>
      <w:r>
        <w:rPr>
          <w:spacing w:val="-2"/>
        </w:rPr>
        <w:t>experience</w:t>
      </w:r>
    </w:p>
    <w:p>
      <w:pPr>
        <w:pStyle w:val="BodyText"/>
        <w:spacing w:before="7"/>
        <w:rPr>
          <w:rFonts w:ascii="Verdana"/>
          <w:b/>
          <w:sz w:val="19"/>
        </w:rPr>
      </w:pPr>
    </w:p>
    <w:p>
      <w:pPr>
        <w:pStyle w:val="ListParagraph"/>
        <w:numPr>
          <w:ilvl w:val="1"/>
          <w:numId w:val="40"/>
        </w:numPr>
        <w:tabs>
          <w:tab w:pos="1201" w:val="left" w:leader="none"/>
        </w:tabs>
        <w:spacing w:line="240" w:lineRule="auto" w:before="0" w:after="0"/>
        <w:ind w:left="1200" w:right="647" w:hanging="361"/>
        <w:jc w:val="left"/>
        <w:rPr>
          <w:rFonts w:ascii="Verdana"/>
          <w:sz w:val="20"/>
        </w:rPr>
      </w:pPr>
      <w:r>
        <w:rPr>
          <w:rFonts w:ascii="Verdana"/>
          <w:sz w:val="20"/>
        </w:rPr>
        <w:t>Extensive experience in Sector Wide Approaches (SWAp)- design, implementation,</w:t>
      </w:r>
      <w:r>
        <w:rPr>
          <w:rFonts w:ascii="Verdana"/>
          <w:spacing w:val="-8"/>
          <w:sz w:val="20"/>
        </w:rPr>
        <w:t> </w:t>
      </w:r>
      <w:r>
        <w:rPr>
          <w:rFonts w:ascii="Verdana"/>
          <w:sz w:val="20"/>
        </w:rPr>
        <w:t>evaluation</w:t>
      </w:r>
      <w:r>
        <w:rPr>
          <w:rFonts w:ascii="Verdana"/>
          <w:spacing w:val="-1"/>
          <w:sz w:val="20"/>
        </w:rPr>
        <w:t> </w:t>
      </w:r>
      <w:r>
        <w:rPr>
          <w:rFonts w:ascii="Verdana"/>
          <w:sz w:val="20"/>
        </w:rPr>
        <w:t>and</w:t>
      </w:r>
      <w:r>
        <w:rPr>
          <w:rFonts w:ascii="Verdana"/>
          <w:spacing w:val="-3"/>
          <w:sz w:val="20"/>
        </w:rPr>
        <w:t> </w:t>
      </w:r>
      <w:r>
        <w:rPr>
          <w:rFonts w:ascii="Verdana"/>
          <w:sz w:val="20"/>
        </w:rPr>
        <w:t>review</w:t>
      </w:r>
      <w:r>
        <w:rPr>
          <w:rFonts w:ascii="Verdana"/>
          <w:spacing w:val="-8"/>
          <w:sz w:val="20"/>
        </w:rPr>
        <w:t> </w:t>
      </w:r>
      <w:r>
        <w:rPr>
          <w:rFonts w:ascii="Verdana"/>
          <w:sz w:val="20"/>
        </w:rPr>
        <w:t>particularly</w:t>
      </w:r>
      <w:r>
        <w:rPr>
          <w:rFonts w:ascii="Verdana"/>
          <w:spacing w:val="-6"/>
          <w:sz w:val="20"/>
        </w:rPr>
        <w:t> </w:t>
      </w:r>
      <w:r>
        <w:rPr>
          <w:rFonts w:ascii="Verdana"/>
          <w:sz w:val="20"/>
        </w:rPr>
        <w:t>in</w:t>
      </w:r>
      <w:r>
        <w:rPr>
          <w:rFonts w:ascii="Verdana"/>
          <w:spacing w:val="-5"/>
          <w:sz w:val="20"/>
        </w:rPr>
        <w:t> </w:t>
      </w:r>
      <w:r>
        <w:rPr>
          <w:rFonts w:ascii="Verdana"/>
          <w:sz w:val="20"/>
        </w:rPr>
        <w:t>the</w:t>
      </w:r>
      <w:r>
        <w:rPr>
          <w:rFonts w:ascii="Verdana"/>
          <w:spacing w:val="-7"/>
          <w:sz w:val="20"/>
        </w:rPr>
        <w:t> </w:t>
      </w:r>
      <w:r>
        <w:rPr>
          <w:rFonts w:ascii="Verdana"/>
          <w:sz w:val="20"/>
        </w:rPr>
        <w:t>service</w:t>
      </w:r>
      <w:r>
        <w:rPr>
          <w:rFonts w:ascii="Verdana"/>
          <w:spacing w:val="-2"/>
          <w:sz w:val="20"/>
        </w:rPr>
        <w:t> </w:t>
      </w:r>
      <w:r>
        <w:rPr>
          <w:rFonts w:ascii="Verdana"/>
          <w:sz w:val="20"/>
        </w:rPr>
        <w:t>delivery </w:t>
      </w:r>
      <w:r>
        <w:rPr>
          <w:rFonts w:ascii="Verdana"/>
          <w:spacing w:val="-2"/>
          <w:sz w:val="20"/>
        </w:rPr>
        <w:t>sectors.</w:t>
      </w:r>
    </w:p>
    <w:p>
      <w:pPr>
        <w:pStyle w:val="ListParagraph"/>
        <w:numPr>
          <w:ilvl w:val="1"/>
          <w:numId w:val="40"/>
        </w:numPr>
        <w:tabs>
          <w:tab w:pos="1201" w:val="left" w:leader="none"/>
        </w:tabs>
        <w:spacing w:line="241" w:lineRule="exact" w:before="0" w:after="0"/>
        <w:ind w:left="1200" w:right="0" w:hanging="361"/>
        <w:jc w:val="left"/>
        <w:rPr>
          <w:rFonts w:ascii="Verdana"/>
          <w:sz w:val="20"/>
        </w:rPr>
      </w:pPr>
      <w:r>
        <w:rPr>
          <w:rFonts w:ascii="Verdana"/>
          <w:sz w:val="20"/>
        </w:rPr>
        <w:t>Extensive</w:t>
      </w:r>
      <w:r>
        <w:rPr>
          <w:rFonts w:ascii="Verdana"/>
          <w:spacing w:val="-10"/>
          <w:sz w:val="20"/>
        </w:rPr>
        <w:t> </w:t>
      </w:r>
      <w:r>
        <w:rPr>
          <w:rFonts w:ascii="Verdana"/>
          <w:sz w:val="20"/>
        </w:rPr>
        <w:t>experience</w:t>
      </w:r>
      <w:r>
        <w:rPr>
          <w:rFonts w:ascii="Verdana"/>
          <w:spacing w:val="-8"/>
          <w:sz w:val="20"/>
        </w:rPr>
        <w:t> </w:t>
      </w:r>
      <w:r>
        <w:rPr>
          <w:rFonts w:ascii="Verdana"/>
          <w:sz w:val="20"/>
        </w:rPr>
        <w:t>of</w:t>
      </w:r>
      <w:r>
        <w:rPr>
          <w:rFonts w:ascii="Verdana"/>
          <w:spacing w:val="-10"/>
          <w:sz w:val="20"/>
        </w:rPr>
        <w:t> </w:t>
      </w:r>
      <w:r>
        <w:rPr>
          <w:rFonts w:ascii="Verdana"/>
          <w:sz w:val="20"/>
        </w:rPr>
        <w:t>performance</w:t>
      </w:r>
      <w:r>
        <w:rPr>
          <w:rFonts w:ascii="Verdana"/>
          <w:spacing w:val="-12"/>
          <w:sz w:val="20"/>
        </w:rPr>
        <w:t> </w:t>
      </w:r>
      <w:r>
        <w:rPr>
          <w:rFonts w:ascii="Verdana"/>
          <w:sz w:val="20"/>
        </w:rPr>
        <w:t>incentive</w:t>
      </w:r>
      <w:r>
        <w:rPr>
          <w:rFonts w:ascii="Verdana"/>
          <w:spacing w:val="-12"/>
          <w:sz w:val="20"/>
        </w:rPr>
        <w:t> </w:t>
      </w:r>
      <w:r>
        <w:rPr>
          <w:rFonts w:ascii="Verdana"/>
          <w:spacing w:val="-2"/>
          <w:sz w:val="20"/>
        </w:rPr>
        <w:t>programs/mechanisms.</w:t>
      </w:r>
    </w:p>
    <w:p>
      <w:pPr>
        <w:pStyle w:val="ListParagraph"/>
        <w:numPr>
          <w:ilvl w:val="1"/>
          <w:numId w:val="40"/>
        </w:numPr>
        <w:tabs>
          <w:tab w:pos="1201" w:val="left" w:leader="none"/>
        </w:tabs>
        <w:spacing w:line="240" w:lineRule="auto" w:before="0" w:after="0"/>
        <w:ind w:left="1200" w:right="312" w:hanging="361"/>
        <w:jc w:val="left"/>
        <w:rPr>
          <w:rFonts w:ascii="Verdana"/>
          <w:sz w:val="20"/>
        </w:rPr>
      </w:pPr>
      <w:r>
        <w:rPr>
          <w:rFonts w:ascii="Verdana"/>
          <w:sz w:val="20"/>
        </w:rPr>
        <w:t>Experience</w:t>
      </w:r>
      <w:r>
        <w:rPr>
          <w:rFonts w:ascii="Verdana"/>
          <w:spacing w:val="-7"/>
          <w:sz w:val="20"/>
        </w:rPr>
        <w:t> </w:t>
      </w:r>
      <w:r>
        <w:rPr>
          <w:rFonts w:ascii="Verdana"/>
          <w:sz w:val="20"/>
        </w:rPr>
        <w:t>in</w:t>
      </w:r>
      <w:r>
        <w:rPr>
          <w:rFonts w:ascii="Verdana"/>
          <w:spacing w:val="-5"/>
          <w:sz w:val="20"/>
        </w:rPr>
        <w:t> </w:t>
      </w:r>
      <w:r>
        <w:rPr>
          <w:rFonts w:ascii="Verdana"/>
          <w:sz w:val="20"/>
        </w:rPr>
        <w:t>the</w:t>
      </w:r>
      <w:r>
        <w:rPr>
          <w:rFonts w:ascii="Verdana"/>
          <w:spacing w:val="-2"/>
          <w:sz w:val="20"/>
        </w:rPr>
        <w:t> </w:t>
      </w:r>
      <w:r>
        <w:rPr>
          <w:rFonts w:ascii="Verdana"/>
          <w:sz w:val="20"/>
        </w:rPr>
        <w:t>education sector</w:t>
      </w:r>
      <w:r>
        <w:rPr>
          <w:rFonts w:ascii="Verdana"/>
          <w:spacing w:val="-6"/>
          <w:sz w:val="20"/>
        </w:rPr>
        <w:t> </w:t>
      </w:r>
      <w:r>
        <w:rPr>
          <w:rFonts w:ascii="Verdana"/>
          <w:sz w:val="20"/>
        </w:rPr>
        <w:t>important,</w:t>
      </w:r>
      <w:r>
        <w:rPr>
          <w:rFonts w:ascii="Verdana"/>
          <w:spacing w:val="-8"/>
          <w:sz w:val="20"/>
        </w:rPr>
        <w:t> </w:t>
      </w:r>
      <w:r>
        <w:rPr>
          <w:rFonts w:ascii="Verdana"/>
          <w:sz w:val="20"/>
        </w:rPr>
        <w:t>and</w:t>
      </w:r>
      <w:r>
        <w:rPr>
          <w:rFonts w:ascii="Verdana"/>
          <w:spacing w:val="-3"/>
          <w:sz w:val="20"/>
        </w:rPr>
        <w:t> </w:t>
      </w:r>
      <w:r>
        <w:rPr>
          <w:rFonts w:ascii="Verdana"/>
          <w:sz w:val="20"/>
        </w:rPr>
        <w:t>knowledge</w:t>
      </w:r>
      <w:r>
        <w:rPr>
          <w:rFonts w:ascii="Verdana"/>
          <w:spacing w:val="-2"/>
          <w:sz w:val="20"/>
        </w:rPr>
        <w:t> </w:t>
      </w:r>
      <w:r>
        <w:rPr>
          <w:rFonts w:ascii="Verdana"/>
          <w:sz w:val="20"/>
        </w:rPr>
        <w:t>of</w:t>
      </w:r>
      <w:r>
        <w:rPr>
          <w:rFonts w:ascii="Verdana"/>
          <w:spacing w:val="-6"/>
          <w:sz w:val="20"/>
        </w:rPr>
        <w:t> </w:t>
      </w:r>
      <w:r>
        <w:rPr>
          <w:rFonts w:ascii="Verdana"/>
          <w:sz w:val="20"/>
        </w:rPr>
        <w:t>education</w:t>
      </w:r>
      <w:r>
        <w:rPr>
          <w:rFonts w:ascii="Verdana"/>
          <w:spacing w:val="-5"/>
          <w:sz w:val="20"/>
        </w:rPr>
        <w:t> </w:t>
      </w:r>
      <w:r>
        <w:rPr>
          <w:rFonts w:ascii="Verdana"/>
          <w:sz w:val="20"/>
        </w:rPr>
        <w:t>in the Pacific and Solomon Islands an advantage</w:t>
      </w:r>
    </w:p>
    <w:p>
      <w:pPr>
        <w:spacing w:after="0" w:line="240" w:lineRule="auto"/>
        <w:jc w:val="left"/>
        <w:rPr>
          <w:rFonts w:ascii="Verdana"/>
          <w:sz w:val="20"/>
        </w:rPr>
        <w:sectPr>
          <w:headerReference w:type="default" r:id="rId18"/>
          <w:footerReference w:type="default" r:id="rId19"/>
          <w:pgSz w:w="11900" w:h="16840"/>
          <w:pgMar w:header="751" w:footer="729" w:top="1600" w:bottom="920" w:left="1320" w:right="1320"/>
          <w:pgNumType w:start="26"/>
        </w:sectPr>
      </w:pPr>
    </w:p>
    <w:p>
      <w:pPr>
        <w:pStyle w:val="ListParagraph"/>
        <w:numPr>
          <w:ilvl w:val="1"/>
          <w:numId w:val="40"/>
        </w:numPr>
        <w:tabs>
          <w:tab w:pos="1200" w:val="left" w:leader="none"/>
        </w:tabs>
        <w:spacing w:line="240" w:lineRule="auto" w:before="91" w:after="0"/>
        <w:ind w:left="1199" w:right="0" w:hanging="360"/>
        <w:jc w:val="left"/>
        <w:rPr>
          <w:rFonts w:ascii="Verdana" w:hAnsi="Verdana"/>
          <w:sz w:val="20"/>
        </w:rPr>
      </w:pPr>
      <w:r>
        <w:rPr>
          <w:rFonts w:ascii="Verdana" w:hAnsi="Verdana"/>
          <w:sz w:val="20"/>
        </w:rPr>
        <w:t>Academic</w:t>
      </w:r>
      <w:r>
        <w:rPr>
          <w:rFonts w:ascii="Verdana" w:hAnsi="Verdana"/>
          <w:spacing w:val="-11"/>
          <w:sz w:val="20"/>
        </w:rPr>
        <w:t> </w:t>
      </w:r>
      <w:r>
        <w:rPr>
          <w:rFonts w:ascii="Verdana" w:hAnsi="Verdana"/>
          <w:sz w:val="20"/>
        </w:rPr>
        <w:t>qualifications,</w:t>
      </w:r>
      <w:r>
        <w:rPr>
          <w:rFonts w:ascii="Verdana" w:hAnsi="Verdana"/>
          <w:spacing w:val="-5"/>
          <w:sz w:val="20"/>
        </w:rPr>
        <w:t> </w:t>
      </w:r>
      <w:r>
        <w:rPr>
          <w:rFonts w:ascii="Verdana" w:hAnsi="Verdana"/>
          <w:sz w:val="20"/>
        </w:rPr>
        <w:t>i.e.</w:t>
      </w:r>
      <w:r>
        <w:rPr>
          <w:rFonts w:ascii="Verdana" w:hAnsi="Verdana"/>
          <w:spacing w:val="-11"/>
          <w:sz w:val="20"/>
        </w:rPr>
        <w:t> </w:t>
      </w:r>
      <w:r>
        <w:rPr>
          <w:rFonts w:ascii="Verdana" w:hAnsi="Verdana"/>
          <w:sz w:val="20"/>
        </w:rPr>
        <w:t>master’s</w:t>
      </w:r>
      <w:r>
        <w:rPr>
          <w:rFonts w:ascii="Verdana" w:hAnsi="Verdana"/>
          <w:spacing w:val="-8"/>
          <w:sz w:val="20"/>
        </w:rPr>
        <w:t> </w:t>
      </w:r>
      <w:r>
        <w:rPr>
          <w:rFonts w:ascii="Verdana" w:hAnsi="Verdana"/>
          <w:sz w:val="20"/>
        </w:rPr>
        <w:t>degree</w:t>
      </w:r>
      <w:r>
        <w:rPr>
          <w:rFonts w:ascii="Verdana" w:hAnsi="Verdana"/>
          <w:spacing w:val="-4"/>
          <w:sz w:val="20"/>
        </w:rPr>
        <w:t> </w:t>
      </w:r>
      <w:r>
        <w:rPr>
          <w:rFonts w:ascii="Verdana" w:hAnsi="Verdana"/>
          <w:sz w:val="20"/>
        </w:rPr>
        <w:t>or</w:t>
      </w:r>
      <w:r>
        <w:rPr>
          <w:rFonts w:ascii="Verdana" w:hAnsi="Verdana"/>
          <w:spacing w:val="-9"/>
          <w:sz w:val="20"/>
        </w:rPr>
        <w:t> </w:t>
      </w:r>
      <w:r>
        <w:rPr>
          <w:rFonts w:ascii="Verdana" w:hAnsi="Verdana"/>
          <w:sz w:val="20"/>
        </w:rPr>
        <w:t>higher</w:t>
      </w:r>
      <w:r>
        <w:rPr>
          <w:rFonts w:ascii="Verdana" w:hAnsi="Verdana"/>
          <w:spacing w:val="-8"/>
          <w:sz w:val="20"/>
        </w:rPr>
        <w:t> </w:t>
      </w:r>
      <w:r>
        <w:rPr>
          <w:rFonts w:ascii="Verdana" w:hAnsi="Verdana"/>
          <w:sz w:val="20"/>
        </w:rPr>
        <w:t>in</w:t>
      </w:r>
      <w:r>
        <w:rPr>
          <w:rFonts w:ascii="Verdana" w:hAnsi="Verdana"/>
          <w:spacing w:val="-3"/>
          <w:sz w:val="20"/>
        </w:rPr>
        <w:t> </w:t>
      </w:r>
      <w:r>
        <w:rPr>
          <w:rFonts w:ascii="Verdana" w:hAnsi="Verdana"/>
          <w:sz w:val="20"/>
        </w:rPr>
        <w:t>a</w:t>
      </w:r>
      <w:r>
        <w:rPr>
          <w:rFonts w:ascii="Verdana" w:hAnsi="Verdana"/>
          <w:spacing w:val="-10"/>
          <w:sz w:val="20"/>
        </w:rPr>
        <w:t> </w:t>
      </w:r>
      <w:r>
        <w:rPr>
          <w:rFonts w:ascii="Verdana" w:hAnsi="Verdana"/>
          <w:sz w:val="20"/>
        </w:rPr>
        <w:t>relevant</w:t>
      </w:r>
      <w:r>
        <w:rPr>
          <w:rFonts w:ascii="Verdana" w:hAnsi="Verdana"/>
          <w:spacing w:val="-6"/>
          <w:sz w:val="20"/>
        </w:rPr>
        <w:t> </w:t>
      </w:r>
      <w:r>
        <w:rPr>
          <w:rFonts w:ascii="Verdana" w:hAnsi="Verdana"/>
          <w:spacing w:val="-2"/>
          <w:sz w:val="20"/>
        </w:rPr>
        <w:t>field.</w:t>
      </w:r>
    </w:p>
    <w:p>
      <w:pPr>
        <w:pStyle w:val="BodyText"/>
        <w:rPr>
          <w:rFonts w:ascii="Verdana"/>
          <w:sz w:val="24"/>
        </w:rPr>
      </w:pPr>
    </w:p>
    <w:p>
      <w:pPr>
        <w:pStyle w:val="BodyText"/>
        <w:spacing w:before="11"/>
        <w:rPr>
          <w:rFonts w:ascii="Verdana"/>
          <w:sz w:val="17"/>
        </w:rPr>
      </w:pPr>
    </w:p>
    <w:p>
      <w:pPr>
        <w:pStyle w:val="Heading3"/>
        <w:numPr>
          <w:ilvl w:val="0"/>
          <w:numId w:val="41"/>
        </w:numPr>
        <w:tabs>
          <w:tab w:pos="432" w:val="left" w:leader="none"/>
        </w:tabs>
        <w:spacing w:line="240" w:lineRule="auto" w:before="1" w:after="0"/>
        <w:ind w:left="432" w:right="0" w:hanging="312"/>
        <w:jc w:val="left"/>
      </w:pPr>
      <w:r>
        <w:rPr>
          <w:spacing w:val="-2"/>
        </w:rPr>
        <w:t>Process</w:t>
      </w:r>
    </w:p>
    <w:p>
      <w:pPr>
        <w:pStyle w:val="BodyText"/>
        <w:spacing w:before="6"/>
        <w:rPr>
          <w:rFonts w:ascii="Verdana"/>
          <w:b/>
          <w:sz w:val="19"/>
        </w:rPr>
      </w:pPr>
    </w:p>
    <w:p>
      <w:pPr>
        <w:pStyle w:val="ListParagraph"/>
        <w:numPr>
          <w:ilvl w:val="1"/>
          <w:numId w:val="41"/>
        </w:numPr>
        <w:tabs>
          <w:tab w:pos="1124" w:val="left" w:leader="none"/>
        </w:tabs>
        <w:spacing w:line="240" w:lineRule="auto" w:before="0" w:after="0"/>
        <w:ind w:left="1123" w:right="0" w:hanging="284"/>
        <w:jc w:val="left"/>
        <w:rPr>
          <w:rFonts w:ascii="Verdana"/>
          <w:sz w:val="20"/>
        </w:rPr>
      </w:pPr>
      <w:r>
        <w:rPr>
          <w:rFonts w:ascii="Verdana"/>
          <w:sz w:val="20"/>
        </w:rPr>
        <w:t>Document</w:t>
      </w:r>
      <w:r>
        <w:rPr>
          <w:rFonts w:ascii="Verdana"/>
          <w:spacing w:val="-5"/>
          <w:sz w:val="20"/>
        </w:rPr>
        <w:t> </w:t>
      </w:r>
      <w:r>
        <w:rPr>
          <w:rFonts w:ascii="Verdana"/>
          <w:sz w:val="20"/>
        </w:rPr>
        <w:t>review</w:t>
      </w:r>
      <w:r>
        <w:rPr>
          <w:rFonts w:ascii="Verdana"/>
          <w:spacing w:val="-9"/>
          <w:sz w:val="20"/>
        </w:rPr>
        <w:t> </w:t>
      </w:r>
      <w:r>
        <w:rPr>
          <w:rFonts w:ascii="Verdana"/>
          <w:sz w:val="20"/>
        </w:rPr>
        <w:t>(see</w:t>
      </w:r>
      <w:r>
        <w:rPr>
          <w:rFonts w:ascii="Verdana"/>
          <w:spacing w:val="-11"/>
          <w:sz w:val="20"/>
        </w:rPr>
        <w:t> </w:t>
      </w:r>
      <w:r>
        <w:rPr>
          <w:rFonts w:ascii="Verdana"/>
          <w:sz w:val="20"/>
        </w:rPr>
        <w:t>list</w:t>
      </w:r>
      <w:r>
        <w:rPr>
          <w:rFonts w:ascii="Verdana"/>
          <w:spacing w:val="-4"/>
          <w:sz w:val="20"/>
        </w:rPr>
        <w:t> </w:t>
      </w:r>
      <w:r>
        <w:rPr>
          <w:rFonts w:ascii="Verdana"/>
          <w:spacing w:val="-2"/>
          <w:sz w:val="20"/>
        </w:rPr>
        <w:t>attached)</w:t>
      </w:r>
    </w:p>
    <w:p>
      <w:pPr>
        <w:pStyle w:val="BodyText"/>
        <w:spacing w:before="1"/>
        <w:rPr>
          <w:rFonts w:ascii="Verdana"/>
          <w:sz w:val="19"/>
        </w:rPr>
      </w:pPr>
    </w:p>
    <w:p>
      <w:pPr>
        <w:pStyle w:val="ListParagraph"/>
        <w:numPr>
          <w:ilvl w:val="1"/>
          <w:numId w:val="41"/>
        </w:numPr>
        <w:tabs>
          <w:tab w:pos="1128" w:val="left" w:leader="none"/>
        </w:tabs>
        <w:spacing w:line="240" w:lineRule="auto" w:before="0" w:after="0"/>
        <w:ind w:left="1127" w:right="0" w:hanging="289"/>
        <w:jc w:val="left"/>
        <w:rPr>
          <w:rFonts w:ascii="Verdana"/>
          <w:sz w:val="20"/>
        </w:rPr>
      </w:pPr>
      <w:r>
        <w:rPr>
          <w:rFonts w:ascii="Verdana"/>
          <w:sz w:val="20"/>
        </w:rPr>
        <w:t>Consultations</w:t>
      </w:r>
      <w:r>
        <w:rPr>
          <w:rFonts w:ascii="Verdana"/>
          <w:spacing w:val="-9"/>
          <w:sz w:val="20"/>
        </w:rPr>
        <w:t> </w:t>
      </w:r>
      <w:r>
        <w:rPr>
          <w:rFonts w:ascii="Verdana"/>
          <w:sz w:val="20"/>
        </w:rPr>
        <w:t>with</w:t>
      </w:r>
      <w:r>
        <w:rPr>
          <w:rFonts w:ascii="Verdana"/>
          <w:spacing w:val="-7"/>
          <w:sz w:val="20"/>
        </w:rPr>
        <w:t> </w:t>
      </w:r>
      <w:r>
        <w:rPr>
          <w:rFonts w:ascii="Verdana"/>
          <w:sz w:val="20"/>
        </w:rPr>
        <w:t>key</w:t>
      </w:r>
      <w:r>
        <w:rPr>
          <w:rFonts w:ascii="Verdana"/>
          <w:spacing w:val="-12"/>
          <w:sz w:val="20"/>
        </w:rPr>
        <w:t> </w:t>
      </w:r>
      <w:r>
        <w:rPr>
          <w:rFonts w:ascii="Verdana"/>
          <w:spacing w:val="-2"/>
          <w:sz w:val="20"/>
        </w:rPr>
        <w:t>stakeholders:</w:t>
      </w:r>
    </w:p>
    <w:p>
      <w:pPr>
        <w:pStyle w:val="BodyText"/>
        <w:spacing w:before="11"/>
        <w:rPr>
          <w:rFonts w:ascii="Verdana"/>
          <w:sz w:val="19"/>
        </w:rPr>
      </w:pPr>
    </w:p>
    <w:p>
      <w:pPr>
        <w:pStyle w:val="ListParagraph"/>
        <w:numPr>
          <w:ilvl w:val="2"/>
          <w:numId w:val="41"/>
        </w:numPr>
        <w:tabs>
          <w:tab w:pos="1636" w:val="left" w:leader="none"/>
          <w:tab w:pos="1637" w:val="left" w:leader="none"/>
        </w:tabs>
        <w:spacing w:line="245" w:lineRule="exact" w:before="0" w:after="0"/>
        <w:ind w:left="1636" w:right="0" w:hanging="361"/>
        <w:jc w:val="left"/>
        <w:rPr>
          <w:rFonts w:ascii="Verdana" w:hAnsi="Verdana"/>
          <w:sz w:val="20"/>
        </w:rPr>
      </w:pPr>
      <w:r>
        <w:rPr>
          <w:rFonts w:ascii="Verdana" w:hAnsi="Verdana"/>
          <w:sz w:val="20"/>
        </w:rPr>
        <w:t>MEHRD</w:t>
      </w:r>
      <w:r>
        <w:rPr>
          <w:rFonts w:ascii="Verdana" w:hAnsi="Verdana"/>
          <w:spacing w:val="-13"/>
          <w:sz w:val="20"/>
        </w:rPr>
        <w:t> </w:t>
      </w:r>
      <w:r>
        <w:rPr>
          <w:rFonts w:ascii="Verdana" w:hAnsi="Verdana"/>
          <w:sz w:val="20"/>
        </w:rPr>
        <w:t>executive</w:t>
      </w:r>
      <w:r>
        <w:rPr>
          <w:rFonts w:ascii="Verdana" w:hAnsi="Verdana"/>
          <w:spacing w:val="-4"/>
          <w:sz w:val="20"/>
        </w:rPr>
        <w:t> </w:t>
      </w:r>
      <w:r>
        <w:rPr>
          <w:rFonts w:ascii="Verdana" w:hAnsi="Verdana"/>
          <w:sz w:val="20"/>
        </w:rPr>
        <w:t>and</w:t>
      </w:r>
      <w:r>
        <w:rPr>
          <w:rFonts w:ascii="Verdana" w:hAnsi="Verdana"/>
          <w:spacing w:val="-9"/>
          <w:sz w:val="20"/>
        </w:rPr>
        <w:t> </w:t>
      </w:r>
      <w:r>
        <w:rPr>
          <w:rFonts w:ascii="Verdana" w:hAnsi="Verdana"/>
          <w:sz w:val="20"/>
        </w:rPr>
        <w:t>key</w:t>
      </w:r>
      <w:r>
        <w:rPr>
          <w:rFonts w:ascii="Verdana" w:hAnsi="Verdana"/>
          <w:spacing w:val="-4"/>
          <w:sz w:val="20"/>
        </w:rPr>
        <w:t> </w:t>
      </w:r>
      <w:r>
        <w:rPr>
          <w:rFonts w:ascii="Verdana" w:hAnsi="Verdana"/>
          <w:sz w:val="20"/>
        </w:rPr>
        <w:t>division</w:t>
      </w:r>
      <w:r>
        <w:rPr>
          <w:rFonts w:ascii="Verdana" w:hAnsi="Verdana"/>
          <w:spacing w:val="-7"/>
          <w:sz w:val="20"/>
        </w:rPr>
        <w:t> </w:t>
      </w:r>
      <w:r>
        <w:rPr>
          <w:rFonts w:ascii="Verdana" w:hAnsi="Verdana"/>
          <w:spacing w:val="-4"/>
          <w:sz w:val="20"/>
        </w:rPr>
        <w:t>heads</w:t>
      </w:r>
    </w:p>
    <w:p>
      <w:pPr>
        <w:pStyle w:val="ListParagraph"/>
        <w:numPr>
          <w:ilvl w:val="2"/>
          <w:numId w:val="41"/>
        </w:numPr>
        <w:tabs>
          <w:tab w:pos="1636" w:val="left" w:leader="none"/>
          <w:tab w:pos="1637" w:val="left" w:leader="none"/>
        </w:tabs>
        <w:spacing w:line="240" w:lineRule="auto" w:before="0" w:after="0"/>
        <w:ind w:left="1636" w:right="0" w:hanging="361"/>
        <w:jc w:val="left"/>
        <w:rPr>
          <w:rFonts w:ascii="Verdana" w:hAnsi="Verdana"/>
          <w:sz w:val="20"/>
        </w:rPr>
      </w:pPr>
      <w:r>
        <w:rPr>
          <w:rFonts w:ascii="Verdana" w:hAnsi="Verdana"/>
          <w:sz w:val="20"/>
        </w:rPr>
        <w:t>Donor</w:t>
      </w:r>
      <w:r>
        <w:rPr>
          <w:rFonts w:ascii="Verdana" w:hAnsi="Verdana"/>
          <w:spacing w:val="-4"/>
          <w:sz w:val="20"/>
        </w:rPr>
        <w:t> </w:t>
      </w:r>
      <w:r>
        <w:rPr>
          <w:rFonts w:ascii="Verdana" w:hAnsi="Verdana"/>
          <w:spacing w:val="-2"/>
          <w:sz w:val="20"/>
        </w:rPr>
        <w:t>Partners</w:t>
      </w:r>
    </w:p>
    <w:p>
      <w:pPr>
        <w:pStyle w:val="BodyText"/>
        <w:rPr>
          <w:rFonts w:ascii="Verdana"/>
          <w:sz w:val="24"/>
        </w:rPr>
      </w:pPr>
    </w:p>
    <w:p>
      <w:pPr>
        <w:pStyle w:val="Heading3"/>
        <w:numPr>
          <w:ilvl w:val="0"/>
          <w:numId w:val="41"/>
        </w:numPr>
        <w:tabs>
          <w:tab w:pos="437" w:val="left" w:leader="none"/>
        </w:tabs>
        <w:spacing w:line="240" w:lineRule="auto" w:before="212" w:after="0"/>
        <w:ind w:left="436" w:right="0" w:hanging="317"/>
        <w:jc w:val="left"/>
      </w:pPr>
      <w:r>
        <w:rPr>
          <w:spacing w:val="-2"/>
        </w:rPr>
        <w:t>Reporting</w:t>
      </w:r>
    </w:p>
    <w:p>
      <w:pPr>
        <w:pStyle w:val="BodyText"/>
        <w:spacing w:before="11"/>
        <w:rPr>
          <w:rFonts w:ascii="Verdana"/>
          <w:b/>
          <w:sz w:val="19"/>
        </w:rPr>
      </w:pPr>
    </w:p>
    <w:p>
      <w:pPr>
        <w:pStyle w:val="ListParagraph"/>
        <w:numPr>
          <w:ilvl w:val="1"/>
          <w:numId w:val="41"/>
        </w:numPr>
        <w:tabs>
          <w:tab w:pos="1201" w:val="left" w:leader="none"/>
        </w:tabs>
        <w:spacing w:line="241" w:lineRule="exact" w:before="0" w:after="0"/>
        <w:ind w:left="1200" w:right="0" w:hanging="361"/>
        <w:jc w:val="left"/>
        <w:rPr>
          <w:rFonts w:ascii="Verdana"/>
          <w:sz w:val="20"/>
        </w:rPr>
      </w:pPr>
      <w:r>
        <w:rPr>
          <w:rFonts w:ascii="Verdana"/>
          <w:sz w:val="20"/>
        </w:rPr>
        <w:t>An</w:t>
      </w:r>
      <w:r>
        <w:rPr>
          <w:rFonts w:ascii="Verdana"/>
          <w:spacing w:val="-6"/>
          <w:sz w:val="20"/>
        </w:rPr>
        <w:t> </w:t>
      </w:r>
      <w:r>
        <w:rPr>
          <w:rFonts w:ascii="Verdana"/>
          <w:sz w:val="20"/>
        </w:rPr>
        <w:t>early</w:t>
      </w:r>
      <w:r>
        <w:rPr>
          <w:rFonts w:ascii="Verdana"/>
          <w:spacing w:val="-2"/>
          <w:sz w:val="20"/>
        </w:rPr>
        <w:t> </w:t>
      </w:r>
      <w:r>
        <w:rPr>
          <w:rFonts w:ascii="Verdana"/>
          <w:sz w:val="20"/>
        </w:rPr>
        <w:t>draft</w:t>
      </w:r>
      <w:r>
        <w:rPr>
          <w:rFonts w:ascii="Verdana"/>
          <w:spacing w:val="-4"/>
          <w:sz w:val="20"/>
        </w:rPr>
        <w:t> </w:t>
      </w:r>
      <w:r>
        <w:rPr>
          <w:rFonts w:ascii="Verdana"/>
          <w:spacing w:val="-2"/>
          <w:sz w:val="20"/>
        </w:rPr>
        <w:t>report.</w:t>
      </w:r>
    </w:p>
    <w:p>
      <w:pPr>
        <w:pStyle w:val="ListParagraph"/>
        <w:numPr>
          <w:ilvl w:val="1"/>
          <w:numId w:val="41"/>
        </w:numPr>
        <w:tabs>
          <w:tab w:pos="1200" w:val="left" w:leader="none"/>
        </w:tabs>
        <w:spacing w:line="241" w:lineRule="exact" w:before="0" w:after="0"/>
        <w:ind w:left="1199" w:right="0" w:hanging="360"/>
        <w:jc w:val="left"/>
        <w:rPr>
          <w:rFonts w:ascii="Verdana"/>
          <w:sz w:val="20"/>
        </w:rPr>
      </w:pPr>
      <w:r>
        <w:rPr>
          <w:rFonts w:ascii="Verdana"/>
          <w:sz w:val="20"/>
        </w:rPr>
        <w:t>A</w:t>
      </w:r>
      <w:r>
        <w:rPr>
          <w:rFonts w:ascii="Verdana"/>
          <w:spacing w:val="-5"/>
          <w:sz w:val="20"/>
        </w:rPr>
        <w:t> </w:t>
      </w:r>
      <w:r>
        <w:rPr>
          <w:rFonts w:ascii="Verdana"/>
          <w:sz w:val="20"/>
        </w:rPr>
        <w:t>20min</w:t>
      </w:r>
      <w:r>
        <w:rPr>
          <w:rFonts w:ascii="Verdana"/>
          <w:spacing w:val="-2"/>
          <w:sz w:val="20"/>
        </w:rPr>
        <w:t> </w:t>
      </w:r>
      <w:r>
        <w:rPr>
          <w:rFonts w:ascii="Verdana"/>
          <w:sz w:val="20"/>
        </w:rPr>
        <w:t>presentation</w:t>
      </w:r>
      <w:r>
        <w:rPr>
          <w:rFonts w:ascii="Verdana"/>
          <w:spacing w:val="-2"/>
          <w:sz w:val="20"/>
        </w:rPr>
        <w:t> </w:t>
      </w:r>
      <w:r>
        <w:rPr>
          <w:rFonts w:ascii="Verdana"/>
          <w:sz w:val="20"/>
        </w:rPr>
        <w:t>of</w:t>
      </w:r>
      <w:r>
        <w:rPr>
          <w:rFonts w:ascii="Verdana"/>
          <w:spacing w:val="-7"/>
          <w:sz w:val="20"/>
        </w:rPr>
        <w:t> </w:t>
      </w:r>
      <w:r>
        <w:rPr>
          <w:rFonts w:ascii="Verdana"/>
          <w:sz w:val="20"/>
        </w:rPr>
        <w:t>findings</w:t>
      </w:r>
      <w:r>
        <w:rPr>
          <w:rFonts w:ascii="Verdana"/>
          <w:spacing w:val="-8"/>
          <w:sz w:val="20"/>
        </w:rPr>
        <w:t> </w:t>
      </w:r>
      <w:r>
        <w:rPr>
          <w:rFonts w:ascii="Verdana"/>
          <w:sz w:val="20"/>
        </w:rPr>
        <w:t>to</w:t>
      </w:r>
      <w:r>
        <w:rPr>
          <w:rFonts w:ascii="Verdana"/>
          <w:spacing w:val="-10"/>
          <w:sz w:val="20"/>
        </w:rPr>
        <w:t> </w:t>
      </w:r>
      <w:r>
        <w:rPr>
          <w:rFonts w:ascii="Verdana"/>
          <w:sz w:val="20"/>
        </w:rPr>
        <w:t>the</w:t>
      </w:r>
      <w:r>
        <w:rPr>
          <w:rFonts w:ascii="Verdana"/>
          <w:spacing w:val="-4"/>
          <w:sz w:val="20"/>
        </w:rPr>
        <w:t> </w:t>
      </w:r>
      <w:r>
        <w:rPr>
          <w:rFonts w:ascii="Verdana"/>
          <w:sz w:val="20"/>
        </w:rPr>
        <w:t>Joint</w:t>
      </w:r>
      <w:r>
        <w:rPr>
          <w:rFonts w:ascii="Verdana"/>
          <w:spacing w:val="-2"/>
          <w:sz w:val="20"/>
        </w:rPr>
        <w:t> </w:t>
      </w:r>
      <w:r>
        <w:rPr>
          <w:rFonts w:ascii="Verdana"/>
          <w:sz w:val="20"/>
        </w:rPr>
        <w:t>Review</w:t>
      </w:r>
      <w:r>
        <w:rPr>
          <w:rFonts w:ascii="Verdana"/>
          <w:spacing w:val="-6"/>
          <w:sz w:val="20"/>
        </w:rPr>
        <w:t> </w:t>
      </w:r>
      <w:r>
        <w:rPr>
          <w:rFonts w:ascii="Verdana"/>
          <w:sz w:val="20"/>
        </w:rPr>
        <w:t>Meeting</w:t>
      </w:r>
      <w:r>
        <w:rPr>
          <w:rFonts w:ascii="Verdana"/>
          <w:spacing w:val="-8"/>
          <w:sz w:val="20"/>
        </w:rPr>
        <w:t> </w:t>
      </w:r>
      <w:r>
        <w:rPr>
          <w:rFonts w:ascii="Verdana"/>
          <w:sz w:val="20"/>
        </w:rPr>
        <w:t>8</w:t>
      </w:r>
      <w:r>
        <w:rPr>
          <w:rFonts w:ascii="Verdana"/>
          <w:spacing w:val="-7"/>
          <w:sz w:val="20"/>
        </w:rPr>
        <w:t> </w:t>
      </w:r>
      <w:r>
        <w:rPr>
          <w:rFonts w:ascii="Verdana"/>
          <w:sz w:val="20"/>
        </w:rPr>
        <w:t>June</w:t>
      </w:r>
      <w:r>
        <w:rPr>
          <w:rFonts w:ascii="Verdana"/>
          <w:spacing w:val="-8"/>
          <w:sz w:val="20"/>
        </w:rPr>
        <w:t> </w:t>
      </w:r>
      <w:r>
        <w:rPr>
          <w:rFonts w:ascii="Verdana"/>
          <w:spacing w:val="-2"/>
          <w:sz w:val="20"/>
        </w:rPr>
        <w:t>2017.</w:t>
      </w:r>
    </w:p>
    <w:p>
      <w:pPr>
        <w:pStyle w:val="ListParagraph"/>
        <w:numPr>
          <w:ilvl w:val="1"/>
          <w:numId w:val="41"/>
        </w:numPr>
        <w:tabs>
          <w:tab w:pos="1200" w:val="left" w:leader="none"/>
        </w:tabs>
        <w:spacing w:line="240" w:lineRule="auto" w:before="2" w:after="0"/>
        <w:ind w:left="1199" w:right="182" w:hanging="361"/>
        <w:jc w:val="left"/>
        <w:rPr>
          <w:rFonts w:ascii="Verdana"/>
          <w:sz w:val="20"/>
        </w:rPr>
      </w:pPr>
      <w:r>
        <w:rPr>
          <w:rFonts w:ascii="Verdana"/>
          <w:sz w:val="20"/>
        </w:rPr>
        <w:t>Final report</w:t>
      </w:r>
      <w:r>
        <w:rPr>
          <w:rFonts w:ascii="Verdana"/>
          <w:spacing w:val="-3"/>
          <w:sz w:val="20"/>
        </w:rPr>
        <w:t> </w:t>
      </w:r>
      <w:r>
        <w:rPr>
          <w:rFonts w:ascii="Verdana"/>
          <w:sz w:val="20"/>
        </w:rPr>
        <w:t>submitted</w:t>
      </w:r>
      <w:r>
        <w:rPr>
          <w:rFonts w:ascii="Verdana"/>
          <w:spacing w:val="-6"/>
          <w:sz w:val="20"/>
        </w:rPr>
        <w:t> </w:t>
      </w:r>
      <w:r>
        <w:rPr>
          <w:rFonts w:ascii="Verdana"/>
          <w:sz w:val="20"/>
        </w:rPr>
        <w:t>to</w:t>
      </w:r>
      <w:r>
        <w:rPr>
          <w:rFonts w:ascii="Verdana"/>
          <w:spacing w:val="-3"/>
          <w:sz w:val="20"/>
        </w:rPr>
        <w:t> </w:t>
      </w:r>
      <w:r>
        <w:rPr>
          <w:rFonts w:ascii="Verdana"/>
          <w:sz w:val="20"/>
        </w:rPr>
        <w:t>all parties</w:t>
      </w:r>
      <w:r>
        <w:rPr>
          <w:rFonts w:ascii="Verdana"/>
          <w:spacing w:val="-5"/>
          <w:sz w:val="20"/>
        </w:rPr>
        <w:t> </w:t>
      </w:r>
      <w:r>
        <w:rPr>
          <w:rFonts w:ascii="Verdana"/>
          <w:sz w:val="20"/>
        </w:rPr>
        <w:t>no</w:t>
      </w:r>
      <w:r>
        <w:rPr>
          <w:rFonts w:ascii="Verdana"/>
          <w:spacing w:val="-8"/>
          <w:sz w:val="20"/>
        </w:rPr>
        <w:t> </w:t>
      </w:r>
      <w:r>
        <w:rPr>
          <w:rFonts w:ascii="Verdana"/>
          <w:sz w:val="20"/>
        </w:rPr>
        <w:t>more</w:t>
      </w:r>
      <w:r>
        <w:rPr>
          <w:rFonts w:ascii="Verdana"/>
          <w:spacing w:val="-6"/>
          <w:sz w:val="20"/>
        </w:rPr>
        <w:t> </w:t>
      </w:r>
      <w:r>
        <w:rPr>
          <w:rFonts w:ascii="Verdana"/>
          <w:sz w:val="20"/>
        </w:rPr>
        <w:t>than</w:t>
      </w:r>
      <w:r>
        <w:rPr>
          <w:rFonts w:ascii="Verdana"/>
          <w:spacing w:val="-4"/>
          <w:sz w:val="20"/>
        </w:rPr>
        <w:t> </w:t>
      </w:r>
      <w:r>
        <w:rPr>
          <w:rFonts w:ascii="Verdana"/>
          <w:sz w:val="20"/>
        </w:rPr>
        <w:t>2 weeks after</w:t>
      </w:r>
      <w:r>
        <w:rPr>
          <w:rFonts w:ascii="Verdana"/>
          <w:spacing w:val="-5"/>
          <w:sz w:val="20"/>
        </w:rPr>
        <w:t> </w:t>
      </w:r>
      <w:r>
        <w:rPr>
          <w:rFonts w:ascii="Verdana"/>
          <w:sz w:val="20"/>
        </w:rPr>
        <w:t>the</w:t>
      </w:r>
      <w:r>
        <w:rPr>
          <w:rFonts w:ascii="Verdana"/>
          <w:spacing w:val="-6"/>
          <w:sz w:val="20"/>
        </w:rPr>
        <w:t> </w:t>
      </w:r>
      <w:r>
        <w:rPr>
          <w:rFonts w:ascii="Verdana"/>
          <w:sz w:val="20"/>
        </w:rPr>
        <w:t>review</w:t>
      </w:r>
      <w:r>
        <w:rPr>
          <w:rFonts w:ascii="Verdana"/>
          <w:spacing w:val="-3"/>
          <w:sz w:val="20"/>
        </w:rPr>
        <w:t> </w:t>
      </w:r>
      <w:r>
        <w:rPr>
          <w:rFonts w:ascii="Verdana"/>
          <w:sz w:val="20"/>
        </w:rPr>
        <w:t>on 8 June</w:t>
      </w:r>
    </w:p>
    <w:p>
      <w:pPr>
        <w:pStyle w:val="BodyText"/>
        <w:rPr>
          <w:rFonts w:ascii="Verdana"/>
          <w:sz w:val="24"/>
        </w:rPr>
      </w:pPr>
    </w:p>
    <w:p>
      <w:pPr>
        <w:pStyle w:val="ListParagraph"/>
        <w:numPr>
          <w:ilvl w:val="0"/>
          <w:numId w:val="41"/>
        </w:numPr>
        <w:tabs>
          <w:tab w:pos="437" w:val="left" w:leader="none"/>
        </w:tabs>
        <w:spacing w:line="240" w:lineRule="auto" w:before="191" w:after="0"/>
        <w:ind w:left="436" w:right="0" w:hanging="317"/>
        <w:jc w:val="left"/>
        <w:rPr>
          <w:rFonts w:ascii="Verdana" w:hAnsi="Verdana"/>
          <w:sz w:val="20"/>
        </w:rPr>
      </w:pPr>
      <w:r>
        <w:rPr>
          <w:rFonts w:ascii="Verdana" w:hAnsi="Verdana"/>
          <w:b/>
          <w:sz w:val="22"/>
        </w:rPr>
        <w:t>Timing</w:t>
      </w:r>
      <w:r>
        <w:rPr>
          <w:rFonts w:ascii="Verdana" w:hAnsi="Verdana"/>
          <w:b/>
          <w:spacing w:val="-6"/>
          <w:sz w:val="22"/>
        </w:rPr>
        <w:t> </w:t>
      </w:r>
      <w:r>
        <w:rPr>
          <w:rFonts w:ascii="Verdana" w:hAnsi="Verdana"/>
          <w:sz w:val="20"/>
        </w:rPr>
        <w:t>–</w:t>
      </w:r>
      <w:r>
        <w:rPr>
          <w:rFonts w:ascii="Verdana" w:hAnsi="Verdana"/>
          <w:spacing w:val="-4"/>
          <w:sz w:val="20"/>
        </w:rPr>
        <w:t> </w:t>
      </w:r>
      <w:r>
        <w:rPr>
          <w:rFonts w:ascii="Verdana" w:hAnsi="Verdana"/>
          <w:sz w:val="20"/>
        </w:rPr>
        <w:t>up</w:t>
      </w:r>
      <w:r>
        <w:rPr>
          <w:rFonts w:ascii="Verdana" w:hAnsi="Verdana"/>
          <w:spacing w:val="-6"/>
          <w:sz w:val="20"/>
        </w:rPr>
        <w:t> </w:t>
      </w:r>
      <w:r>
        <w:rPr>
          <w:rFonts w:ascii="Verdana" w:hAnsi="Verdana"/>
          <w:sz w:val="20"/>
        </w:rPr>
        <w:t>to</w:t>
      </w:r>
      <w:r>
        <w:rPr>
          <w:rFonts w:ascii="Verdana" w:hAnsi="Verdana"/>
          <w:spacing w:val="-7"/>
          <w:sz w:val="20"/>
        </w:rPr>
        <w:t> </w:t>
      </w:r>
      <w:r>
        <w:rPr>
          <w:rFonts w:ascii="Verdana" w:hAnsi="Verdana"/>
          <w:sz w:val="20"/>
        </w:rPr>
        <w:t>20</w:t>
      </w:r>
      <w:r>
        <w:rPr>
          <w:rFonts w:ascii="Verdana" w:hAnsi="Verdana"/>
          <w:spacing w:val="-4"/>
          <w:sz w:val="20"/>
        </w:rPr>
        <w:t> </w:t>
      </w:r>
      <w:r>
        <w:rPr>
          <w:rFonts w:ascii="Verdana" w:hAnsi="Verdana"/>
          <w:sz w:val="20"/>
        </w:rPr>
        <w:t>Days</w:t>
      </w:r>
      <w:r>
        <w:rPr>
          <w:rFonts w:ascii="Verdana" w:hAnsi="Verdana"/>
          <w:spacing w:val="-5"/>
          <w:sz w:val="20"/>
        </w:rPr>
        <w:t> </w:t>
      </w:r>
      <w:r>
        <w:rPr>
          <w:rFonts w:ascii="Verdana" w:hAnsi="Verdana"/>
          <w:sz w:val="20"/>
        </w:rPr>
        <w:t>(travel</w:t>
      </w:r>
      <w:r>
        <w:rPr>
          <w:rFonts w:ascii="Verdana" w:hAnsi="Verdana"/>
          <w:spacing w:val="3"/>
          <w:sz w:val="20"/>
        </w:rPr>
        <w:t> </w:t>
      </w:r>
      <w:r>
        <w:rPr>
          <w:rFonts w:ascii="Verdana" w:hAnsi="Verdana"/>
          <w:spacing w:val="-2"/>
          <w:sz w:val="20"/>
        </w:rPr>
        <w:t>inclusive)</w:t>
      </w:r>
    </w:p>
    <w:p>
      <w:pPr>
        <w:pStyle w:val="ListParagraph"/>
        <w:numPr>
          <w:ilvl w:val="1"/>
          <w:numId w:val="41"/>
        </w:numPr>
        <w:tabs>
          <w:tab w:pos="1124" w:val="left" w:leader="none"/>
        </w:tabs>
        <w:spacing w:line="240" w:lineRule="auto" w:before="232" w:after="0"/>
        <w:ind w:left="1123" w:right="0" w:hanging="285"/>
        <w:jc w:val="left"/>
        <w:rPr>
          <w:rFonts w:ascii="Verdana"/>
          <w:sz w:val="20"/>
        </w:rPr>
      </w:pPr>
      <w:r>
        <w:rPr>
          <w:rFonts w:ascii="Verdana"/>
          <w:sz w:val="20"/>
        </w:rPr>
        <w:t>In</w:t>
      </w:r>
      <w:r>
        <w:rPr>
          <w:rFonts w:ascii="Verdana"/>
          <w:spacing w:val="-1"/>
          <w:sz w:val="20"/>
        </w:rPr>
        <w:t> </w:t>
      </w:r>
      <w:r>
        <w:rPr>
          <w:rFonts w:ascii="Verdana"/>
          <w:sz w:val="20"/>
        </w:rPr>
        <w:t>country</w:t>
      </w:r>
      <w:r>
        <w:rPr>
          <w:rFonts w:ascii="Verdana"/>
          <w:spacing w:val="-7"/>
          <w:sz w:val="20"/>
        </w:rPr>
        <w:t> </w:t>
      </w:r>
      <w:r>
        <w:rPr>
          <w:rFonts w:ascii="Verdana"/>
          <w:sz w:val="20"/>
        </w:rPr>
        <w:t>visit</w:t>
      </w:r>
      <w:r>
        <w:rPr>
          <w:rFonts w:ascii="Verdana"/>
          <w:spacing w:val="-5"/>
          <w:sz w:val="20"/>
        </w:rPr>
        <w:t> </w:t>
      </w:r>
      <w:r>
        <w:rPr>
          <w:rFonts w:ascii="Verdana"/>
          <w:sz w:val="20"/>
        </w:rPr>
        <w:t>3</w:t>
      </w:r>
      <w:r>
        <w:rPr>
          <w:rFonts w:ascii="Verdana"/>
          <w:spacing w:val="-5"/>
          <w:sz w:val="20"/>
        </w:rPr>
        <w:t> </w:t>
      </w:r>
      <w:r>
        <w:rPr>
          <w:rFonts w:ascii="Verdana"/>
          <w:sz w:val="20"/>
        </w:rPr>
        <w:t>to</w:t>
      </w:r>
      <w:r>
        <w:rPr>
          <w:rFonts w:ascii="Verdana"/>
          <w:spacing w:val="-5"/>
          <w:sz w:val="20"/>
        </w:rPr>
        <w:t> </w:t>
      </w:r>
      <w:r>
        <w:rPr>
          <w:rFonts w:ascii="Verdana"/>
          <w:sz w:val="20"/>
        </w:rPr>
        <w:t>10</w:t>
      </w:r>
      <w:r>
        <w:rPr>
          <w:rFonts w:ascii="Verdana"/>
          <w:spacing w:val="-1"/>
          <w:sz w:val="20"/>
        </w:rPr>
        <w:t> </w:t>
      </w:r>
      <w:r>
        <w:rPr>
          <w:rFonts w:ascii="Verdana"/>
          <w:sz w:val="20"/>
        </w:rPr>
        <w:t>June</w:t>
      </w:r>
      <w:r>
        <w:rPr>
          <w:rFonts w:ascii="Verdana"/>
          <w:spacing w:val="-7"/>
          <w:sz w:val="20"/>
        </w:rPr>
        <w:t> </w:t>
      </w:r>
      <w:r>
        <w:rPr>
          <w:rFonts w:ascii="Verdana"/>
          <w:spacing w:val="-4"/>
          <w:sz w:val="20"/>
        </w:rPr>
        <w:t>2017</w:t>
      </w:r>
    </w:p>
    <w:p>
      <w:pPr>
        <w:pStyle w:val="BodyText"/>
        <w:spacing w:before="6"/>
        <w:rPr>
          <w:rFonts w:ascii="Verdana"/>
          <w:sz w:val="19"/>
        </w:rPr>
      </w:pPr>
    </w:p>
    <w:p>
      <w:pPr>
        <w:pStyle w:val="ListParagraph"/>
        <w:numPr>
          <w:ilvl w:val="1"/>
          <w:numId w:val="41"/>
        </w:numPr>
        <w:tabs>
          <w:tab w:pos="1128" w:val="left" w:leader="none"/>
        </w:tabs>
        <w:spacing w:line="240" w:lineRule="auto" w:before="0" w:after="0"/>
        <w:ind w:left="1127" w:right="0" w:hanging="289"/>
        <w:jc w:val="left"/>
        <w:rPr>
          <w:rFonts w:ascii="Verdana"/>
          <w:sz w:val="20"/>
        </w:rPr>
      </w:pPr>
      <w:r>
        <w:rPr>
          <w:rFonts w:ascii="Verdana"/>
          <w:sz w:val="20"/>
        </w:rPr>
        <w:t>Data</w:t>
      </w:r>
      <w:r>
        <w:rPr>
          <w:rFonts w:ascii="Verdana"/>
          <w:spacing w:val="-15"/>
          <w:sz w:val="20"/>
        </w:rPr>
        <w:t> </w:t>
      </w:r>
      <w:r>
        <w:rPr>
          <w:rFonts w:ascii="Verdana"/>
          <w:sz w:val="20"/>
        </w:rPr>
        <w:t>collection,</w:t>
      </w:r>
      <w:r>
        <w:rPr>
          <w:rFonts w:ascii="Verdana"/>
          <w:spacing w:val="-12"/>
          <w:sz w:val="20"/>
        </w:rPr>
        <w:t> </w:t>
      </w:r>
      <w:r>
        <w:rPr>
          <w:rFonts w:ascii="Verdana"/>
          <w:sz w:val="20"/>
        </w:rPr>
        <w:t>analysis,</w:t>
      </w:r>
      <w:r>
        <w:rPr>
          <w:rFonts w:ascii="Verdana"/>
          <w:spacing w:val="-13"/>
          <w:sz w:val="20"/>
        </w:rPr>
        <w:t> </w:t>
      </w:r>
      <w:r>
        <w:rPr>
          <w:rFonts w:ascii="Verdana"/>
          <w:sz w:val="20"/>
        </w:rPr>
        <w:t>consultations,</w:t>
      </w:r>
      <w:r>
        <w:rPr>
          <w:rFonts w:ascii="Verdana"/>
          <w:spacing w:val="-8"/>
          <w:sz w:val="20"/>
        </w:rPr>
        <w:t> </w:t>
      </w:r>
      <w:r>
        <w:rPr>
          <w:rFonts w:ascii="Verdana"/>
          <w:sz w:val="20"/>
        </w:rPr>
        <w:t>drafting,</w:t>
      </w:r>
      <w:r>
        <w:rPr>
          <w:rFonts w:ascii="Verdana"/>
          <w:spacing w:val="-8"/>
          <w:sz w:val="20"/>
        </w:rPr>
        <w:t> </w:t>
      </w:r>
      <w:r>
        <w:rPr>
          <w:rFonts w:ascii="Verdana"/>
          <w:sz w:val="20"/>
        </w:rPr>
        <w:t>[date</w:t>
      </w:r>
      <w:r>
        <w:rPr>
          <w:rFonts w:ascii="Verdana"/>
          <w:spacing w:val="-11"/>
          <w:sz w:val="20"/>
        </w:rPr>
        <w:t> </w:t>
      </w:r>
      <w:r>
        <w:rPr>
          <w:rFonts w:ascii="Verdana"/>
          <w:spacing w:val="-2"/>
          <w:sz w:val="20"/>
        </w:rPr>
        <w:t>tbc].</w:t>
      </w:r>
    </w:p>
    <w:p>
      <w:pPr>
        <w:pStyle w:val="BodyText"/>
        <w:spacing w:before="6"/>
        <w:rPr>
          <w:rFonts w:ascii="Verdana"/>
          <w:sz w:val="19"/>
        </w:rPr>
      </w:pPr>
    </w:p>
    <w:p>
      <w:pPr>
        <w:pStyle w:val="ListParagraph"/>
        <w:numPr>
          <w:ilvl w:val="1"/>
          <w:numId w:val="41"/>
        </w:numPr>
        <w:tabs>
          <w:tab w:pos="1109" w:val="left" w:leader="none"/>
        </w:tabs>
        <w:spacing w:line="240" w:lineRule="auto" w:before="0" w:after="0"/>
        <w:ind w:left="1108" w:right="0" w:hanging="270"/>
        <w:jc w:val="left"/>
        <w:rPr>
          <w:rFonts w:ascii="Verdana"/>
          <w:sz w:val="20"/>
        </w:rPr>
      </w:pPr>
      <w:r>
        <w:rPr>
          <w:rFonts w:ascii="Verdana"/>
          <w:sz w:val="20"/>
        </w:rPr>
        <w:t>Presentation</w:t>
      </w:r>
      <w:r>
        <w:rPr>
          <w:rFonts w:ascii="Verdana"/>
          <w:spacing w:val="-10"/>
          <w:sz w:val="20"/>
        </w:rPr>
        <w:t> </w:t>
      </w:r>
      <w:r>
        <w:rPr>
          <w:rFonts w:ascii="Verdana"/>
          <w:sz w:val="20"/>
        </w:rPr>
        <w:t>7/8</w:t>
      </w:r>
      <w:r>
        <w:rPr>
          <w:rFonts w:ascii="Verdana"/>
          <w:spacing w:val="-6"/>
          <w:sz w:val="20"/>
        </w:rPr>
        <w:t> </w:t>
      </w:r>
      <w:r>
        <w:rPr>
          <w:rFonts w:ascii="Verdana"/>
          <w:sz w:val="20"/>
        </w:rPr>
        <w:t>June</w:t>
      </w:r>
      <w:r>
        <w:rPr>
          <w:rFonts w:ascii="Verdana"/>
          <w:spacing w:val="-8"/>
          <w:sz w:val="20"/>
        </w:rPr>
        <w:t> </w:t>
      </w:r>
      <w:r>
        <w:rPr>
          <w:rFonts w:ascii="Verdana"/>
          <w:spacing w:val="-2"/>
          <w:sz w:val="20"/>
        </w:rPr>
        <w:t>2017.</w:t>
      </w:r>
    </w:p>
    <w:p>
      <w:pPr>
        <w:pStyle w:val="BodyText"/>
        <w:spacing w:before="6"/>
        <w:rPr>
          <w:rFonts w:ascii="Verdana"/>
          <w:sz w:val="19"/>
        </w:rPr>
      </w:pPr>
    </w:p>
    <w:p>
      <w:pPr>
        <w:pStyle w:val="ListParagraph"/>
        <w:numPr>
          <w:ilvl w:val="1"/>
          <w:numId w:val="41"/>
        </w:numPr>
        <w:tabs>
          <w:tab w:pos="1129" w:val="left" w:leader="none"/>
        </w:tabs>
        <w:spacing w:line="240" w:lineRule="auto" w:before="0" w:after="0"/>
        <w:ind w:left="1128" w:right="0" w:hanging="289"/>
        <w:jc w:val="left"/>
        <w:rPr>
          <w:rFonts w:ascii="Verdana"/>
          <w:sz w:val="20"/>
        </w:rPr>
      </w:pPr>
      <w:r>
        <w:rPr>
          <w:rFonts w:ascii="Verdana"/>
          <w:sz w:val="20"/>
        </w:rPr>
        <w:t>Final</w:t>
      </w:r>
      <w:r>
        <w:rPr>
          <w:rFonts w:ascii="Verdana"/>
          <w:spacing w:val="-5"/>
          <w:sz w:val="20"/>
        </w:rPr>
        <w:t> </w:t>
      </w:r>
      <w:r>
        <w:rPr>
          <w:rFonts w:ascii="Verdana"/>
          <w:sz w:val="20"/>
        </w:rPr>
        <w:t>Report</w:t>
      </w:r>
      <w:r>
        <w:rPr>
          <w:rFonts w:ascii="Verdana"/>
          <w:spacing w:val="-4"/>
          <w:sz w:val="20"/>
        </w:rPr>
        <w:t> </w:t>
      </w:r>
      <w:r>
        <w:rPr>
          <w:rFonts w:ascii="Verdana"/>
          <w:sz w:val="20"/>
        </w:rPr>
        <w:t>no</w:t>
      </w:r>
      <w:r>
        <w:rPr>
          <w:rFonts w:ascii="Verdana"/>
          <w:spacing w:val="-8"/>
          <w:sz w:val="20"/>
        </w:rPr>
        <w:t> </w:t>
      </w:r>
      <w:r>
        <w:rPr>
          <w:rFonts w:ascii="Verdana"/>
          <w:sz w:val="20"/>
        </w:rPr>
        <w:t>later</w:t>
      </w:r>
      <w:r>
        <w:rPr>
          <w:rFonts w:ascii="Verdana"/>
          <w:spacing w:val="-6"/>
          <w:sz w:val="20"/>
        </w:rPr>
        <w:t> </w:t>
      </w:r>
      <w:r>
        <w:rPr>
          <w:rFonts w:ascii="Verdana"/>
          <w:sz w:val="20"/>
        </w:rPr>
        <w:t>than</w:t>
      </w:r>
      <w:r>
        <w:rPr>
          <w:rFonts w:ascii="Verdana"/>
          <w:spacing w:val="-4"/>
          <w:sz w:val="20"/>
        </w:rPr>
        <w:t> </w:t>
      </w:r>
      <w:r>
        <w:rPr>
          <w:rFonts w:ascii="Verdana"/>
          <w:sz w:val="20"/>
        </w:rPr>
        <w:t>22</w:t>
      </w:r>
      <w:r>
        <w:rPr>
          <w:rFonts w:ascii="Verdana"/>
          <w:spacing w:val="-1"/>
          <w:sz w:val="20"/>
        </w:rPr>
        <w:t> </w:t>
      </w:r>
      <w:r>
        <w:rPr>
          <w:rFonts w:ascii="Verdana"/>
          <w:sz w:val="20"/>
        </w:rPr>
        <w:t>June</w:t>
      </w:r>
      <w:r>
        <w:rPr>
          <w:rFonts w:ascii="Verdana"/>
          <w:spacing w:val="-6"/>
          <w:sz w:val="20"/>
        </w:rPr>
        <w:t> </w:t>
      </w:r>
      <w:r>
        <w:rPr>
          <w:rFonts w:ascii="Verdana"/>
          <w:spacing w:val="-4"/>
          <w:sz w:val="20"/>
        </w:rPr>
        <w:t>2017.</w:t>
      </w:r>
    </w:p>
    <w:p>
      <w:pPr>
        <w:pStyle w:val="BodyText"/>
        <w:rPr>
          <w:rFonts w:ascii="Verdana"/>
          <w:sz w:val="24"/>
        </w:rPr>
      </w:pPr>
    </w:p>
    <w:p>
      <w:pPr>
        <w:pStyle w:val="BodyText"/>
        <w:rPr>
          <w:rFonts w:ascii="Verdana"/>
          <w:sz w:val="24"/>
        </w:rPr>
      </w:pPr>
    </w:p>
    <w:p>
      <w:pPr>
        <w:pStyle w:val="Heading3"/>
        <w:spacing w:before="167"/>
        <w:ind w:left="120" w:firstLine="0"/>
      </w:pPr>
      <w:r>
        <w:rPr/>
        <w:t>Key </w:t>
      </w:r>
      <w:r>
        <w:rPr>
          <w:spacing w:val="-2"/>
        </w:rPr>
        <w:t>Documents</w:t>
      </w:r>
    </w:p>
    <w:p>
      <w:pPr>
        <w:spacing w:before="232"/>
        <w:ind w:left="120" w:right="0" w:firstLine="0"/>
        <w:jc w:val="left"/>
        <w:rPr>
          <w:rFonts w:ascii="Verdana"/>
          <w:sz w:val="20"/>
        </w:rPr>
      </w:pPr>
      <w:r>
        <w:rPr>
          <w:rFonts w:ascii="Verdana"/>
          <w:sz w:val="20"/>
        </w:rPr>
        <w:t>Primary</w:t>
      </w:r>
      <w:r>
        <w:rPr>
          <w:rFonts w:ascii="Verdana"/>
          <w:spacing w:val="-5"/>
          <w:sz w:val="20"/>
        </w:rPr>
        <w:t> </w:t>
      </w:r>
      <w:r>
        <w:rPr>
          <w:rFonts w:ascii="Verdana"/>
          <w:spacing w:val="-2"/>
          <w:sz w:val="20"/>
        </w:rPr>
        <w:t>Documents</w:t>
      </w:r>
    </w:p>
    <w:p>
      <w:pPr>
        <w:pStyle w:val="BodyText"/>
        <w:spacing w:before="11"/>
        <w:rPr>
          <w:rFonts w:ascii="Verdana"/>
          <w:sz w:val="19"/>
        </w:rPr>
      </w:pPr>
    </w:p>
    <w:p>
      <w:pPr>
        <w:pStyle w:val="ListParagraph"/>
        <w:numPr>
          <w:ilvl w:val="0"/>
          <w:numId w:val="42"/>
        </w:numPr>
        <w:tabs>
          <w:tab w:pos="841" w:val="left" w:leader="none"/>
        </w:tabs>
        <w:spacing w:line="240" w:lineRule="auto" w:before="0" w:after="0"/>
        <w:ind w:left="840" w:right="0" w:hanging="361"/>
        <w:jc w:val="left"/>
        <w:rPr>
          <w:rFonts w:ascii="Verdana"/>
          <w:sz w:val="20"/>
        </w:rPr>
      </w:pPr>
      <w:r>
        <w:rPr>
          <w:rFonts w:ascii="Verdana"/>
          <w:sz w:val="20"/>
        </w:rPr>
        <w:t>Annual</w:t>
      </w:r>
      <w:r>
        <w:rPr>
          <w:rFonts w:ascii="Verdana"/>
          <w:spacing w:val="-7"/>
          <w:sz w:val="20"/>
        </w:rPr>
        <w:t> </w:t>
      </w:r>
      <w:r>
        <w:rPr>
          <w:rFonts w:ascii="Verdana"/>
          <w:sz w:val="20"/>
        </w:rPr>
        <w:t>Work</w:t>
      </w:r>
      <w:r>
        <w:rPr>
          <w:rFonts w:ascii="Verdana"/>
          <w:spacing w:val="-6"/>
          <w:sz w:val="20"/>
        </w:rPr>
        <w:t> </w:t>
      </w:r>
      <w:r>
        <w:rPr>
          <w:rFonts w:ascii="Verdana"/>
          <w:sz w:val="20"/>
        </w:rPr>
        <w:t>Plans</w:t>
      </w:r>
      <w:r>
        <w:rPr>
          <w:rFonts w:ascii="Verdana"/>
          <w:spacing w:val="-5"/>
          <w:sz w:val="20"/>
        </w:rPr>
        <w:t> </w:t>
      </w:r>
      <w:r>
        <w:rPr>
          <w:rFonts w:ascii="Verdana"/>
          <w:spacing w:val="-4"/>
          <w:sz w:val="20"/>
        </w:rPr>
        <w:t>2016</w:t>
      </w:r>
    </w:p>
    <w:p>
      <w:pPr>
        <w:pStyle w:val="ListParagraph"/>
        <w:numPr>
          <w:ilvl w:val="0"/>
          <w:numId w:val="42"/>
        </w:numPr>
        <w:tabs>
          <w:tab w:pos="841" w:val="left" w:leader="none"/>
        </w:tabs>
        <w:spacing w:line="241" w:lineRule="exact" w:before="2" w:after="0"/>
        <w:ind w:left="840" w:right="0" w:hanging="361"/>
        <w:jc w:val="left"/>
        <w:rPr>
          <w:rFonts w:ascii="Verdana"/>
          <w:sz w:val="20"/>
        </w:rPr>
      </w:pPr>
      <w:r>
        <w:rPr>
          <w:rFonts w:ascii="Verdana"/>
          <w:sz w:val="20"/>
        </w:rPr>
        <w:t>MOFT</w:t>
      </w:r>
      <w:r>
        <w:rPr>
          <w:rFonts w:ascii="Verdana"/>
          <w:spacing w:val="-5"/>
          <w:sz w:val="20"/>
        </w:rPr>
        <w:t> </w:t>
      </w:r>
      <w:r>
        <w:rPr>
          <w:rFonts w:ascii="Verdana"/>
          <w:sz w:val="20"/>
        </w:rPr>
        <w:t>Financial</w:t>
      </w:r>
      <w:r>
        <w:rPr>
          <w:rFonts w:ascii="Verdana"/>
          <w:spacing w:val="-7"/>
          <w:sz w:val="20"/>
        </w:rPr>
        <w:t> </w:t>
      </w:r>
      <w:r>
        <w:rPr>
          <w:rFonts w:ascii="Verdana"/>
          <w:sz w:val="20"/>
        </w:rPr>
        <w:t>Report,</w:t>
      </w:r>
      <w:r>
        <w:rPr>
          <w:rFonts w:ascii="Verdana"/>
          <w:spacing w:val="-11"/>
          <w:sz w:val="20"/>
        </w:rPr>
        <w:t> </w:t>
      </w:r>
      <w:r>
        <w:rPr>
          <w:rFonts w:ascii="Verdana"/>
          <w:spacing w:val="-4"/>
          <w:sz w:val="20"/>
        </w:rPr>
        <w:t>2016</w:t>
      </w:r>
    </w:p>
    <w:p>
      <w:pPr>
        <w:pStyle w:val="ListParagraph"/>
        <w:numPr>
          <w:ilvl w:val="0"/>
          <w:numId w:val="42"/>
        </w:numPr>
        <w:tabs>
          <w:tab w:pos="841" w:val="left" w:leader="none"/>
        </w:tabs>
        <w:spacing w:line="241" w:lineRule="exact" w:before="0" w:after="0"/>
        <w:ind w:left="840" w:right="0" w:hanging="361"/>
        <w:jc w:val="left"/>
        <w:rPr>
          <w:rFonts w:ascii="Verdana"/>
          <w:sz w:val="20"/>
        </w:rPr>
      </w:pPr>
      <w:r>
        <w:rPr>
          <w:rFonts w:ascii="Verdana"/>
          <w:sz w:val="20"/>
        </w:rPr>
        <w:t>Expenditure</w:t>
      </w:r>
      <w:r>
        <w:rPr>
          <w:rFonts w:ascii="Verdana"/>
          <w:spacing w:val="-13"/>
          <w:sz w:val="20"/>
        </w:rPr>
        <w:t> </w:t>
      </w:r>
      <w:r>
        <w:rPr>
          <w:rFonts w:ascii="Verdana"/>
          <w:sz w:val="20"/>
        </w:rPr>
        <w:t>Analysis</w:t>
      </w:r>
      <w:r>
        <w:rPr>
          <w:rFonts w:ascii="Verdana"/>
          <w:spacing w:val="-6"/>
          <w:sz w:val="20"/>
        </w:rPr>
        <w:t> </w:t>
      </w:r>
      <w:r>
        <w:rPr>
          <w:rFonts w:ascii="Verdana"/>
          <w:spacing w:val="-2"/>
          <w:sz w:val="20"/>
        </w:rPr>
        <w:t>Report</w:t>
      </w:r>
    </w:p>
    <w:p>
      <w:pPr>
        <w:pStyle w:val="ListParagraph"/>
        <w:numPr>
          <w:ilvl w:val="0"/>
          <w:numId w:val="42"/>
        </w:numPr>
        <w:tabs>
          <w:tab w:pos="841" w:val="left" w:leader="none"/>
        </w:tabs>
        <w:spacing w:line="241" w:lineRule="exact" w:before="2" w:after="0"/>
        <w:ind w:left="840" w:right="0" w:hanging="361"/>
        <w:jc w:val="left"/>
        <w:rPr>
          <w:rFonts w:ascii="Verdana"/>
          <w:sz w:val="20"/>
        </w:rPr>
      </w:pPr>
      <w:r>
        <w:rPr>
          <w:rFonts w:ascii="Verdana"/>
          <w:sz w:val="20"/>
        </w:rPr>
        <w:t>School</w:t>
      </w:r>
      <w:r>
        <w:rPr>
          <w:rFonts w:ascii="Verdana"/>
          <w:spacing w:val="-13"/>
          <w:sz w:val="20"/>
        </w:rPr>
        <w:t> </w:t>
      </w:r>
      <w:r>
        <w:rPr>
          <w:rFonts w:ascii="Verdana"/>
          <w:sz w:val="20"/>
        </w:rPr>
        <w:t>Grants</w:t>
      </w:r>
      <w:r>
        <w:rPr>
          <w:rFonts w:ascii="Verdana"/>
          <w:spacing w:val="-7"/>
          <w:sz w:val="20"/>
        </w:rPr>
        <w:t> </w:t>
      </w:r>
      <w:r>
        <w:rPr>
          <w:rFonts w:ascii="Verdana"/>
          <w:sz w:val="20"/>
        </w:rPr>
        <w:t>Retirement</w:t>
      </w:r>
      <w:r>
        <w:rPr>
          <w:rFonts w:ascii="Verdana"/>
          <w:spacing w:val="-6"/>
          <w:sz w:val="20"/>
        </w:rPr>
        <w:t> </w:t>
      </w:r>
      <w:r>
        <w:rPr>
          <w:rFonts w:ascii="Verdana"/>
          <w:sz w:val="20"/>
        </w:rPr>
        <w:t>Report</w:t>
      </w:r>
      <w:r>
        <w:rPr>
          <w:rFonts w:ascii="Verdana"/>
          <w:spacing w:val="-6"/>
          <w:sz w:val="20"/>
        </w:rPr>
        <w:t> </w:t>
      </w:r>
      <w:r>
        <w:rPr>
          <w:rFonts w:ascii="Verdana"/>
          <w:sz w:val="20"/>
        </w:rPr>
        <w:t>for</w:t>
      </w:r>
      <w:r>
        <w:rPr>
          <w:rFonts w:ascii="Verdana"/>
          <w:spacing w:val="-7"/>
          <w:sz w:val="20"/>
        </w:rPr>
        <w:t> </w:t>
      </w:r>
      <w:r>
        <w:rPr>
          <w:rFonts w:ascii="Verdana"/>
          <w:spacing w:val="-4"/>
          <w:sz w:val="20"/>
        </w:rPr>
        <w:t>2016</w:t>
      </w:r>
    </w:p>
    <w:p>
      <w:pPr>
        <w:pStyle w:val="ListParagraph"/>
        <w:numPr>
          <w:ilvl w:val="0"/>
          <w:numId w:val="42"/>
        </w:numPr>
        <w:tabs>
          <w:tab w:pos="841" w:val="left" w:leader="none"/>
        </w:tabs>
        <w:spacing w:line="241" w:lineRule="exact" w:before="0" w:after="0"/>
        <w:ind w:left="840" w:right="0" w:hanging="361"/>
        <w:jc w:val="left"/>
        <w:rPr>
          <w:rFonts w:ascii="Verdana"/>
          <w:sz w:val="20"/>
        </w:rPr>
      </w:pPr>
      <w:r>
        <w:rPr>
          <w:rFonts w:ascii="Verdana"/>
          <w:sz w:val="20"/>
        </w:rPr>
        <w:t>PFM</w:t>
      </w:r>
      <w:r>
        <w:rPr>
          <w:rFonts w:ascii="Verdana"/>
          <w:spacing w:val="-6"/>
          <w:sz w:val="20"/>
        </w:rPr>
        <w:t> </w:t>
      </w:r>
      <w:r>
        <w:rPr>
          <w:rFonts w:ascii="Verdana"/>
          <w:sz w:val="20"/>
        </w:rPr>
        <w:t>Action</w:t>
      </w:r>
      <w:r>
        <w:rPr>
          <w:rFonts w:ascii="Verdana"/>
          <w:spacing w:val="-6"/>
          <w:sz w:val="20"/>
        </w:rPr>
        <w:t> </w:t>
      </w:r>
      <w:r>
        <w:rPr>
          <w:rFonts w:ascii="Verdana"/>
          <w:sz w:val="20"/>
        </w:rPr>
        <w:t>Plan</w:t>
      </w:r>
      <w:r>
        <w:rPr>
          <w:rFonts w:ascii="Verdana"/>
          <w:spacing w:val="-1"/>
          <w:sz w:val="20"/>
        </w:rPr>
        <w:t> </w:t>
      </w:r>
      <w:r>
        <w:rPr>
          <w:rFonts w:ascii="Verdana"/>
          <w:sz w:val="20"/>
        </w:rPr>
        <w:t>(Road</w:t>
      </w:r>
      <w:r>
        <w:rPr>
          <w:rFonts w:ascii="Verdana"/>
          <w:spacing w:val="-5"/>
          <w:sz w:val="20"/>
        </w:rPr>
        <w:t> </w:t>
      </w:r>
      <w:r>
        <w:rPr>
          <w:rFonts w:ascii="Verdana"/>
          <w:sz w:val="20"/>
        </w:rPr>
        <w:t>Map),</w:t>
      </w:r>
      <w:r>
        <w:rPr>
          <w:rFonts w:ascii="Verdana"/>
          <w:spacing w:val="-8"/>
          <w:sz w:val="20"/>
        </w:rPr>
        <w:t> </w:t>
      </w:r>
      <w:r>
        <w:rPr>
          <w:rFonts w:ascii="Verdana"/>
          <w:sz w:val="20"/>
        </w:rPr>
        <w:t>and</w:t>
      </w:r>
      <w:r>
        <w:rPr>
          <w:rFonts w:ascii="Verdana"/>
          <w:spacing w:val="-8"/>
          <w:sz w:val="20"/>
        </w:rPr>
        <w:t> </w:t>
      </w:r>
      <w:r>
        <w:rPr>
          <w:rFonts w:ascii="Verdana"/>
          <w:spacing w:val="-2"/>
          <w:sz w:val="20"/>
        </w:rPr>
        <w:t>progress</w:t>
      </w:r>
    </w:p>
    <w:p>
      <w:pPr>
        <w:pStyle w:val="ListParagraph"/>
        <w:numPr>
          <w:ilvl w:val="0"/>
          <w:numId w:val="42"/>
        </w:numPr>
        <w:tabs>
          <w:tab w:pos="841" w:val="left" w:leader="none"/>
        </w:tabs>
        <w:spacing w:line="240" w:lineRule="auto" w:before="1" w:after="0"/>
        <w:ind w:left="840" w:right="0" w:hanging="361"/>
        <w:jc w:val="left"/>
        <w:rPr>
          <w:rFonts w:ascii="Verdana"/>
          <w:sz w:val="20"/>
        </w:rPr>
      </w:pPr>
      <w:r>
        <w:rPr>
          <w:rFonts w:ascii="Verdana"/>
          <w:sz w:val="20"/>
        </w:rPr>
        <w:t>Performance</w:t>
      </w:r>
      <w:r>
        <w:rPr>
          <w:rFonts w:ascii="Verdana"/>
          <w:spacing w:val="-14"/>
          <w:sz w:val="20"/>
        </w:rPr>
        <w:t> </w:t>
      </w:r>
      <w:r>
        <w:rPr>
          <w:rFonts w:ascii="Verdana"/>
          <w:sz w:val="20"/>
        </w:rPr>
        <w:t>Assessment</w:t>
      </w:r>
      <w:r>
        <w:rPr>
          <w:rFonts w:ascii="Verdana"/>
          <w:spacing w:val="-10"/>
          <w:sz w:val="20"/>
        </w:rPr>
        <w:t> </w:t>
      </w:r>
      <w:r>
        <w:rPr>
          <w:rFonts w:ascii="Verdana"/>
          <w:sz w:val="20"/>
        </w:rPr>
        <w:t>Report</w:t>
      </w:r>
      <w:r>
        <w:rPr>
          <w:rFonts w:ascii="Verdana"/>
          <w:spacing w:val="-10"/>
          <w:sz w:val="20"/>
        </w:rPr>
        <w:t> </w:t>
      </w:r>
      <w:r>
        <w:rPr>
          <w:rFonts w:ascii="Verdana"/>
          <w:spacing w:val="-4"/>
          <w:sz w:val="20"/>
        </w:rPr>
        <w:t>2016</w:t>
      </w:r>
    </w:p>
    <w:p>
      <w:pPr>
        <w:pStyle w:val="ListParagraph"/>
        <w:numPr>
          <w:ilvl w:val="0"/>
          <w:numId w:val="42"/>
        </w:numPr>
        <w:tabs>
          <w:tab w:pos="841" w:val="left" w:leader="none"/>
        </w:tabs>
        <w:spacing w:line="241" w:lineRule="exact" w:before="2" w:after="0"/>
        <w:ind w:left="840" w:right="0" w:hanging="361"/>
        <w:jc w:val="left"/>
        <w:rPr>
          <w:rFonts w:ascii="Verdana"/>
          <w:sz w:val="20"/>
        </w:rPr>
      </w:pPr>
      <w:r>
        <w:rPr>
          <w:rFonts w:ascii="Verdana"/>
          <w:sz w:val="20"/>
        </w:rPr>
        <w:t>DFAT</w:t>
      </w:r>
      <w:r>
        <w:rPr>
          <w:rFonts w:ascii="Verdana"/>
          <w:spacing w:val="-4"/>
          <w:sz w:val="20"/>
        </w:rPr>
        <w:t> </w:t>
      </w:r>
      <w:r>
        <w:rPr>
          <w:rFonts w:ascii="Verdana"/>
          <w:sz w:val="20"/>
        </w:rPr>
        <w:t>and</w:t>
      </w:r>
      <w:r>
        <w:rPr>
          <w:rFonts w:ascii="Verdana"/>
          <w:spacing w:val="-10"/>
          <w:sz w:val="20"/>
        </w:rPr>
        <w:t> </w:t>
      </w:r>
      <w:r>
        <w:rPr>
          <w:rFonts w:ascii="Verdana"/>
          <w:sz w:val="20"/>
        </w:rPr>
        <w:t>SIG</w:t>
      </w:r>
      <w:r>
        <w:rPr>
          <w:rFonts w:ascii="Verdana"/>
          <w:spacing w:val="-3"/>
          <w:sz w:val="20"/>
        </w:rPr>
        <w:t> </w:t>
      </w:r>
      <w:r>
        <w:rPr>
          <w:rFonts w:ascii="Verdana"/>
          <w:sz w:val="20"/>
        </w:rPr>
        <w:t>Direct</w:t>
      </w:r>
      <w:r>
        <w:rPr>
          <w:rFonts w:ascii="Verdana"/>
          <w:spacing w:val="-3"/>
          <w:sz w:val="20"/>
        </w:rPr>
        <w:t> </w:t>
      </w:r>
      <w:r>
        <w:rPr>
          <w:rFonts w:ascii="Verdana"/>
          <w:sz w:val="20"/>
        </w:rPr>
        <w:t>Funding</w:t>
      </w:r>
      <w:r>
        <w:rPr>
          <w:rFonts w:ascii="Verdana"/>
          <w:spacing w:val="-9"/>
          <w:sz w:val="20"/>
        </w:rPr>
        <w:t> </w:t>
      </w:r>
      <w:r>
        <w:rPr>
          <w:rFonts w:ascii="Verdana"/>
          <w:spacing w:val="-2"/>
          <w:sz w:val="20"/>
        </w:rPr>
        <w:t>Agreement</w:t>
      </w:r>
    </w:p>
    <w:p>
      <w:pPr>
        <w:pStyle w:val="ListParagraph"/>
        <w:numPr>
          <w:ilvl w:val="0"/>
          <w:numId w:val="42"/>
        </w:numPr>
        <w:tabs>
          <w:tab w:pos="841" w:val="left" w:leader="none"/>
        </w:tabs>
        <w:spacing w:line="241" w:lineRule="exact" w:before="0" w:after="0"/>
        <w:ind w:left="840" w:right="0" w:hanging="361"/>
        <w:jc w:val="left"/>
        <w:rPr>
          <w:rFonts w:ascii="Verdana"/>
          <w:sz w:val="20"/>
        </w:rPr>
      </w:pPr>
      <w:r>
        <w:rPr>
          <w:rFonts w:ascii="Verdana"/>
          <w:sz w:val="20"/>
        </w:rPr>
        <w:t>TSD</w:t>
      </w:r>
      <w:r>
        <w:rPr>
          <w:rFonts w:ascii="Verdana"/>
          <w:spacing w:val="-4"/>
          <w:sz w:val="20"/>
        </w:rPr>
        <w:t> </w:t>
      </w:r>
      <w:r>
        <w:rPr>
          <w:rFonts w:ascii="Verdana"/>
          <w:sz w:val="20"/>
        </w:rPr>
        <w:t>data</w:t>
      </w:r>
      <w:r>
        <w:rPr>
          <w:rFonts w:ascii="Verdana"/>
          <w:spacing w:val="-2"/>
          <w:sz w:val="20"/>
        </w:rPr>
        <w:t> </w:t>
      </w:r>
      <w:r>
        <w:rPr>
          <w:rFonts w:ascii="Verdana"/>
          <w:sz w:val="20"/>
        </w:rPr>
        <w:t>on</w:t>
      </w:r>
      <w:r>
        <w:rPr>
          <w:rFonts w:ascii="Verdana"/>
          <w:spacing w:val="-5"/>
          <w:sz w:val="20"/>
        </w:rPr>
        <w:t> </w:t>
      </w:r>
      <w:r>
        <w:rPr>
          <w:rFonts w:ascii="Verdana"/>
          <w:sz w:val="20"/>
        </w:rPr>
        <w:t>the</w:t>
      </w:r>
      <w:r>
        <w:rPr>
          <w:rFonts w:ascii="Verdana"/>
          <w:spacing w:val="-6"/>
          <w:sz w:val="20"/>
        </w:rPr>
        <w:t> </w:t>
      </w:r>
      <w:r>
        <w:rPr>
          <w:rFonts w:ascii="Verdana"/>
          <w:sz w:val="20"/>
        </w:rPr>
        <w:t>%</w:t>
      </w:r>
      <w:r>
        <w:rPr>
          <w:rFonts w:ascii="Verdana"/>
          <w:spacing w:val="-3"/>
          <w:sz w:val="20"/>
        </w:rPr>
        <w:t> </w:t>
      </w:r>
      <w:r>
        <w:rPr>
          <w:rFonts w:ascii="Verdana"/>
          <w:sz w:val="20"/>
        </w:rPr>
        <w:t>of</w:t>
      </w:r>
      <w:r>
        <w:rPr>
          <w:rFonts w:ascii="Verdana"/>
          <w:spacing w:val="-5"/>
          <w:sz w:val="20"/>
        </w:rPr>
        <w:t> </w:t>
      </w:r>
      <w:r>
        <w:rPr>
          <w:rFonts w:ascii="Verdana"/>
          <w:sz w:val="20"/>
        </w:rPr>
        <w:t>trained</w:t>
      </w:r>
      <w:r>
        <w:rPr>
          <w:rFonts w:ascii="Verdana"/>
          <w:spacing w:val="-6"/>
          <w:sz w:val="20"/>
        </w:rPr>
        <w:t> </w:t>
      </w:r>
      <w:r>
        <w:rPr>
          <w:rFonts w:ascii="Verdana"/>
          <w:spacing w:val="-2"/>
          <w:sz w:val="20"/>
        </w:rPr>
        <w:t>teachers</w:t>
      </w:r>
    </w:p>
    <w:p>
      <w:pPr>
        <w:pStyle w:val="BodyText"/>
        <w:rPr>
          <w:rFonts w:ascii="Verdana"/>
          <w:sz w:val="24"/>
        </w:rPr>
      </w:pPr>
    </w:p>
    <w:p>
      <w:pPr>
        <w:spacing w:before="185"/>
        <w:ind w:left="120" w:right="0" w:firstLine="0"/>
        <w:jc w:val="left"/>
        <w:rPr>
          <w:rFonts w:ascii="Verdana"/>
          <w:sz w:val="20"/>
        </w:rPr>
      </w:pPr>
      <w:r>
        <w:rPr>
          <w:rFonts w:ascii="Verdana"/>
          <w:sz w:val="20"/>
        </w:rPr>
        <w:t>Background</w:t>
      </w:r>
      <w:r>
        <w:rPr>
          <w:rFonts w:ascii="Verdana"/>
          <w:spacing w:val="-11"/>
          <w:sz w:val="20"/>
        </w:rPr>
        <w:t> </w:t>
      </w:r>
      <w:r>
        <w:rPr>
          <w:rFonts w:ascii="Verdana"/>
          <w:spacing w:val="-2"/>
          <w:sz w:val="20"/>
        </w:rPr>
        <w:t>Documents</w:t>
      </w:r>
    </w:p>
    <w:p>
      <w:pPr>
        <w:pStyle w:val="BodyText"/>
        <w:spacing w:before="11"/>
        <w:rPr>
          <w:rFonts w:ascii="Verdana"/>
          <w:sz w:val="19"/>
        </w:rPr>
      </w:pPr>
    </w:p>
    <w:p>
      <w:pPr>
        <w:pStyle w:val="ListParagraph"/>
        <w:numPr>
          <w:ilvl w:val="0"/>
          <w:numId w:val="42"/>
        </w:numPr>
        <w:tabs>
          <w:tab w:pos="841" w:val="left" w:leader="none"/>
        </w:tabs>
        <w:spacing w:line="240" w:lineRule="auto" w:before="0" w:after="0"/>
        <w:ind w:left="840" w:right="0" w:hanging="361"/>
        <w:jc w:val="left"/>
        <w:rPr>
          <w:rFonts w:ascii="Verdana"/>
          <w:sz w:val="20"/>
        </w:rPr>
      </w:pPr>
      <w:r>
        <w:rPr>
          <w:rFonts w:ascii="Verdana"/>
          <w:sz w:val="20"/>
        </w:rPr>
        <w:t>NEAP</w:t>
      </w:r>
      <w:r>
        <w:rPr>
          <w:rFonts w:ascii="Verdana"/>
          <w:spacing w:val="-8"/>
          <w:sz w:val="20"/>
        </w:rPr>
        <w:t> </w:t>
      </w:r>
      <w:r>
        <w:rPr>
          <w:rFonts w:ascii="Verdana"/>
          <w:sz w:val="20"/>
        </w:rPr>
        <w:t>2016</w:t>
      </w:r>
      <w:r>
        <w:rPr>
          <w:rFonts w:ascii="Verdana"/>
          <w:spacing w:val="-3"/>
          <w:sz w:val="20"/>
        </w:rPr>
        <w:t> </w:t>
      </w:r>
      <w:r>
        <w:rPr>
          <w:rFonts w:ascii="Verdana"/>
          <w:sz w:val="20"/>
        </w:rPr>
        <w:t>-</w:t>
      </w:r>
      <w:r>
        <w:rPr>
          <w:rFonts w:ascii="Verdana"/>
          <w:spacing w:val="-4"/>
          <w:sz w:val="20"/>
        </w:rPr>
        <w:t>2020</w:t>
      </w:r>
    </w:p>
    <w:p>
      <w:pPr>
        <w:spacing w:after="0" w:line="240" w:lineRule="auto"/>
        <w:jc w:val="left"/>
        <w:rPr>
          <w:rFonts w:ascii="Verdana"/>
          <w:sz w:val="20"/>
        </w:rPr>
        <w:sectPr>
          <w:pgSz w:w="11900" w:h="16840"/>
          <w:pgMar w:header="751" w:footer="729" w:top="1600" w:bottom="920" w:left="1320" w:right="1320"/>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4"/>
        <w:rPr>
          <w:rFonts w:ascii="Verdana"/>
          <w:sz w:val="24"/>
        </w:rPr>
      </w:pPr>
    </w:p>
    <w:p>
      <w:pPr>
        <w:spacing w:before="52"/>
        <w:ind w:left="120" w:right="0" w:firstLine="0"/>
        <w:jc w:val="left"/>
        <w:rPr>
          <w:rFonts w:ascii="Calibri Light"/>
          <w:b w:val="0"/>
          <w:sz w:val="24"/>
        </w:rPr>
      </w:pPr>
      <w:bookmarkStart w:name="Appendix 3 Mid-Year Review - Workshop Ag" w:id="44"/>
      <w:bookmarkEnd w:id="44"/>
      <w:r>
        <w:rPr/>
      </w:r>
      <w:bookmarkStart w:name="_bookmark21" w:id="45"/>
      <w:bookmarkEnd w:id="45"/>
      <w:r>
        <w:rPr/>
      </w:r>
      <w:r>
        <w:rPr>
          <w:rFonts w:ascii="Calibri Light"/>
          <w:b w:val="0"/>
          <w:spacing w:val="-2"/>
          <w:sz w:val="24"/>
        </w:rPr>
        <w:t>A</w:t>
      </w:r>
      <w:r>
        <w:rPr>
          <w:rFonts w:ascii="Calibri Light"/>
          <w:b w:val="0"/>
          <w:spacing w:val="-2"/>
          <w:sz w:val="19"/>
        </w:rPr>
        <w:t>PPENDIX</w:t>
      </w:r>
      <w:r>
        <w:rPr>
          <w:rFonts w:ascii="Calibri Light"/>
          <w:b w:val="0"/>
          <w:spacing w:val="-1"/>
          <w:sz w:val="19"/>
        </w:rPr>
        <w:t> </w:t>
      </w:r>
      <w:r>
        <w:rPr>
          <w:rFonts w:ascii="Calibri Light"/>
          <w:b w:val="0"/>
          <w:spacing w:val="-10"/>
          <w:sz w:val="24"/>
        </w:rPr>
        <w:t>3</w:t>
      </w:r>
    </w:p>
    <w:p>
      <w:pPr>
        <w:pStyle w:val="Heading2"/>
        <w:spacing w:before="38"/>
        <w:rPr>
          <w:b w:val="0"/>
        </w:rPr>
      </w:pPr>
      <w:r>
        <w:rPr>
          <w:b w:val="0"/>
          <w:smallCaps/>
          <w:spacing w:val="-2"/>
        </w:rPr>
        <w:t>Mid-Year</w:t>
      </w:r>
      <w:r>
        <w:rPr>
          <w:b w:val="0"/>
          <w:smallCaps/>
          <w:spacing w:val="-6"/>
        </w:rPr>
        <w:t> </w:t>
      </w:r>
      <w:r>
        <w:rPr>
          <w:b w:val="0"/>
          <w:smallCaps/>
          <w:spacing w:val="-2"/>
        </w:rPr>
        <w:t>Review</w:t>
      </w:r>
      <w:r>
        <w:rPr>
          <w:b w:val="0"/>
          <w:smallCaps/>
        </w:rPr>
        <w:t> </w:t>
      </w:r>
      <w:r>
        <w:rPr>
          <w:b w:val="0"/>
          <w:smallCaps/>
          <w:spacing w:val="-2"/>
        </w:rPr>
        <w:t>-</w:t>
      </w:r>
      <w:r>
        <w:rPr>
          <w:b w:val="0"/>
          <w:smallCaps/>
          <w:spacing w:val="-17"/>
        </w:rPr>
        <w:t> </w:t>
      </w:r>
      <w:r>
        <w:rPr>
          <w:b w:val="0"/>
          <w:smallCaps/>
          <w:spacing w:val="-2"/>
        </w:rPr>
        <w:t>Workshop</w:t>
      </w:r>
      <w:r>
        <w:rPr>
          <w:b w:val="0"/>
          <w:smallCaps/>
        </w:rPr>
        <w:t> </w:t>
      </w:r>
      <w:r>
        <w:rPr>
          <w:b w:val="0"/>
          <w:smallCaps/>
          <w:spacing w:val="-2"/>
        </w:rPr>
        <w:t>Agenda</w:t>
      </w:r>
    </w:p>
    <w:p>
      <w:pPr>
        <w:spacing w:after="0"/>
        <w:sectPr>
          <w:headerReference w:type="default" r:id="rId20"/>
          <w:footerReference w:type="default" r:id="rId21"/>
          <w:pgSz w:w="11900" w:h="16840"/>
          <w:pgMar w:header="751" w:footer="729" w:top="1600" w:bottom="920" w:left="1320" w:right="1320"/>
        </w:sectPr>
      </w:pPr>
    </w:p>
    <w:p>
      <w:pPr>
        <w:pStyle w:val="BodyText"/>
        <w:spacing w:before="5"/>
        <w:rPr>
          <w:rFonts w:ascii="Calibri Light"/>
          <w:b w:val="0"/>
          <w:sz w:val="7"/>
        </w:rPr>
      </w:pPr>
    </w:p>
    <w:p>
      <w:pPr>
        <w:pStyle w:val="BodyText"/>
        <w:ind w:left="120"/>
        <w:rPr>
          <w:rFonts w:ascii="Calibri Light"/>
          <w:sz w:val="20"/>
        </w:rPr>
      </w:pPr>
      <w:r>
        <w:rPr>
          <w:rFonts w:ascii="Calibri Light"/>
          <w:sz w:val="20"/>
        </w:rPr>
        <w:drawing>
          <wp:inline distT="0" distB="0" distL="0" distR="0">
            <wp:extent cx="5639325" cy="8173021"/>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24" cstate="print"/>
                    <a:stretch>
                      <a:fillRect/>
                    </a:stretch>
                  </pic:blipFill>
                  <pic:spPr>
                    <a:xfrm>
                      <a:off x="0" y="0"/>
                      <a:ext cx="5639325" cy="8173021"/>
                    </a:xfrm>
                    <a:prstGeom prst="rect">
                      <a:avLst/>
                    </a:prstGeom>
                  </pic:spPr>
                </pic:pic>
              </a:graphicData>
            </a:graphic>
          </wp:inline>
        </w:drawing>
      </w:r>
      <w:r>
        <w:rPr>
          <w:rFonts w:ascii="Calibri Light"/>
          <w:sz w:val="20"/>
        </w:rPr>
      </w:r>
    </w:p>
    <w:p>
      <w:pPr>
        <w:spacing w:after="0"/>
        <w:rPr>
          <w:rFonts w:ascii="Calibri Light"/>
          <w:sz w:val="20"/>
        </w:rPr>
        <w:sectPr>
          <w:headerReference w:type="default" r:id="rId22"/>
          <w:footerReference w:type="default" r:id="rId23"/>
          <w:pgSz w:w="11900" w:h="16840"/>
          <w:pgMar w:header="751" w:footer="729" w:top="1600" w:bottom="920" w:left="1320" w:right="1320"/>
        </w:sect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9"/>
        <w:rPr>
          <w:rFonts w:ascii="Calibri Light"/>
          <w:b w:val="0"/>
          <w:sz w:val="26"/>
        </w:rPr>
      </w:pPr>
    </w:p>
    <w:p>
      <w:pPr>
        <w:spacing w:before="51"/>
        <w:ind w:left="120" w:right="0" w:firstLine="0"/>
        <w:jc w:val="left"/>
        <w:rPr>
          <w:rFonts w:ascii="Calibri Light"/>
          <w:b w:val="0"/>
          <w:sz w:val="24"/>
        </w:rPr>
      </w:pPr>
      <w:bookmarkStart w:name="Appendix 4 Budget Allocation for Educati" w:id="46"/>
      <w:bookmarkEnd w:id="46"/>
      <w:r>
        <w:rPr/>
      </w:r>
      <w:bookmarkStart w:name="_bookmark22" w:id="47"/>
      <w:bookmarkEnd w:id="47"/>
      <w:r>
        <w:rPr/>
      </w:r>
      <w:r>
        <w:rPr>
          <w:rFonts w:ascii="Calibri Light"/>
          <w:b w:val="0"/>
          <w:spacing w:val="-2"/>
          <w:sz w:val="24"/>
        </w:rPr>
        <w:t>A</w:t>
      </w:r>
      <w:r>
        <w:rPr>
          <w:rFonts w:ascii="Calibri Light"/>
          <w:b w:val="0"/>
          <w:spacing w:val="-2"/>
          <w:sz w:val="19"/>
        </w:rPr>
        <w:t>PPENDIX</w:t>
      </w:r>
      <w:r>
        <w:rPr>
          <w:rFonts w:ascii="Calibri Light"/>
          <w:b w:val="0"/>
          <w:spacing w:val="-1"/>
          <w:sz w:val="19"/>
        </w:rPr>
        <w:t> </w:t>
      </w:r>
      <w:r>
        <w:rPr>
          <w:rFonts w:ascii="Calibri Light"/>
          <w:b w:val="0"/>
          <w:spacing w:val="-10"/>
          <w:sz w:val="24"/>
        </w:rPr>
        <w:t>4</w:t>
      </w:r>
    </w:p>
    <w:p>
      <w:pPr>
        <w:pStyle w:val="Heading2"/>
        <w:spacing w:before="34"/>
        <w:rPr>
          <w:b w:val="0"/>
        </w:rPr>
      </w:pPr>
      <w:r>
        <w:rPr>
          <w:b w:val="0"/>
          <w:smallCaps/>
          <w:spacing w:val="-2"/>
        </w:rPr>
        <w:t>Budget</w:t>
      </w:r>
      <w:r>
        <w:rPr>
          <w:b w:val="0"/>
          <w:smallCaps/>
          <w:spacing w:val="-9"/>
        </w:rPr>
        <w:t> </w:t>
      </w:r>
      <w:r>
        <w:rPr>
          <w:b w:val="0"/>
          <w:smallCaps/>
          <w:spacing w:val="-2"/>
        </w:rPr>
        <w:t>Allocation</w:t>
      </w:r>
      <w:r>
        <w:rPr>
          <w:b w:val="0"/>
          <w:smallCaps/>
        </w:rPr>
        <w:t> </w:t>
      </w:r>
      <w:r>
        <w:rPr>
          <w:b w:val="0"/>
          <w:smallCaps/>
          <w:spacing w:val="-2"/>
        </w:rPr>
        <w:t>for</w:t>
      </w:r>
      <w:r>
        <w:rPr>
          <w:b w:val="0"/>
          <w:smallCaps/>
          <w:spacing w:val="-4"/>
        </w:rPr>
        <w:t> </w:t>
      </w:r>
      <w:r>
        <w:rPr>
          <w:b w:val="0"/>
          <w:smallCaps/>
          <w:spacing w:val="-2"/>
        </w:rPr>
        <w:t>Education</w:t>
      </w:r>
      <w:r>
        <w:rPr>
          <w:b w:val="0"/>
          <w:smallCaps/>
          <w:spacing w:val="1"/>
        </w:rPr>
        <w:t> </w:t>
      </w:r>
      <w:r>
        <w:rPr>
          <w:b w:val="0"/>
          <w:smallCaps/>
          <w:spacing w:val="-2"/>
        </w:rPr>
        <w:t>2015</w:t>
      </w:r>
      <w:r>
        <w:rPr>
          <w:b w:val="0"/>
          <w:smallCaps/>
          <w:spacing w:val="-18"/>
        </w:rPr>
        <w:t> </w:t>
      </w:r>
      <w:r>
        <w:rPr>
          <w:b w:val="0"/>
          <w:smallCaps/>
          <w:spacing w:val="-2"/>
        </w:rPr>
        <w:t>&amp;</w:t>
      </w:r>
      <w:r>
        <w:rPr>
          <w:b w:val="0"/>
          <w:smallCaps/>
          <w:spacing w:val="-9"/>
        </w:rPr>
        <w:t> </w:t>
      </w:r>
      <w:r>
        <w:rPr>
          <w:b w:val="0"/>
          <w:smallCaps/>
          <w:spacing w:val="-4"/>
        </w:rPr>
        <w:t>2016</w:t>
      </w:r>
    </w:p>
    <w:p>
      <w:pPr>
        <w:spacing w:after="0"/>
        <w:sectPr>
          <w:headerReference w:type="default" r:id="rId25"/>
          <w:footerReference w:type="default" r:id="rId26"/>
          <w:pgSz w:w="11900" w:h="16840"/>
          <w:pgMar w:header="751" w:footer="729" w:top="1600" w:bottom="920" w:left="1320" w:right="1320"/>
        </w:sectPr>
      </w:pPr>
    </w:p>
    <w:p>
      <w:pPr>
        <w:pStyle w:val="BodyText"/>
        <w:spacing w:before="4"/>
        <w:rPr>
          <w:rFonts w:ascii="Calibri Light"/>
          <w:b w:val="0"/>
          <w:sz w:val="1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5"/>
        <w:gridCol w:w="3197"/>
        <w:gridCol w:w="3197"/>
      </w:tblGrid>
      <w:tr>
        <w:trPr>
          <w:trHeight w:val="232" w:hRule="atLeast"/>
        </w:trPr>
        <w:tc>
          <w:tcPr>
            <w:tcW w:w="8069" w:type="dxa"/>
            <w:gridSpan w:val="3"/>
            <w:tcBorders>
              <w:top w:val="nil"/>
              <w:left w:val="nil"/>
              <w:right w:val="nil"/>
            </w:tcBorders>
          </w:tcPr>
          <w:p>
            <w:pPr>
              <w:pStyle w:val="TableParagraph"/>
              <w:spacing w:line="205" w:lineRule="exact"/>
              <w:ind w:left="110"/>
              <w:rPr>
                <w:b/>
                <w:sz w:val="20"/>
              </w:rPr>
            </w:pPr>
            <w:r>
              <w:rPr>
                <w:b/>
                <w:spacing w:val="-2"/>
                <w:sz w:val="20"/>
              </w:rPr>
              <w:t>Payroll</w:t>
            </w:r>
          </w:p>
        </w:tc>
      </w:tr>
      <w:tr>
        <w:trPr>
          <w:trHeight w:val="301" w:hRule="atLeast"/>
        </w:trPr>
        <w:tc>
          <w:tcPr>
            <w:tcW w:w="1675" w:type="dxa"/>
            <w:shd w:val="clear" w:color="auto" w:fill="AEAAAA"/>
          </w:tcPr>
          <w:p>
            <w:pPr>
              <w:pStyle w:val="TableParagraph"/>
              <w:rPr>
                <w:rFonts w:ascii="Times New Roman"/>
                <w:sz w:val="20"/>
              </w:rPr>
            </w:pPr>
          </w:p>
        </w:tc>
        <w:tc>
          <w:tcPr>
            <w:tcW w:w="3197" w:type="dxa"/>
          </w:tcPr>
          <w:p>
            <w:pPr>
              <w:pStyle w:val="TableParagraph"/>
              <w:spacing w:before="30"/>
              <w:ind w:left="1396"/>
              <w:rPr>
                <w:b/>
                <w:sz w:val="20"/>
              </w:rPr>
            </w:pPr>
            <w:r>
              <w:rPr>
                <w:b/>
                <w:spacing w:val="-4"/>
                <w:sz w:val="20"/>
              </w:rPr>
              <w:t>2015</w:t>
            </w:r>
          </w:p>
        </w:tc>
        <w:tc>
          <w:tcPr>
            <w:tcW w:w="3197" w:type="dxa"/>
          </w:tcPr>
          <w:p>
            <w:pPr>
              <w:pStyle w:val="TableParagraph"/>
              <w:spacing w:before="30"/>
              <w:ind w:left="1396"/>
              <w:rPr>
                <w:b/>
                <w:sz w:val="20"/>
              </w:rPr>
            </w:pPr>
            <w:r>
              <w:rPr>
                <w:b/>
                <w:spacing w:val="-4"/>
                <w:sz w:val="20"/>
              </w:rPr>
              <w:t>2016</w:t>
            </w:r>
          </w:p>
        </w:tc>
      </w:tr>
      <w:tr>
        <w:trPr>
          <w:trHeight w:val="297" w:hRule="atLeast"/>
        </w:trPr>
        <w:tc>
          <w:tcPr>
            <w:tcW w:w="1675" w:type="dxa"/>
          </w:tcPr>
          <w:p>
            <w:pPr>
              <w:pStyle w:val="TableParagraph"/>
              <w:spacing w:before="25"/>
              <w:ind w:left="105"/>
              <w:rPr>
                <w:b/>
                <w:sz w:val="20"/>
              </w:rPr>
            </w:pPr>
            <w:r>
              <w:rPr>
                <w:b/>
                <w:spacing w:val="-2"/>
                <w:sz w:val="20"/>
              </w:rPr>
              <w:t>Admin</w:t>
            </w:r>
          </w:p>
        </w:tc>
        <w:tc>
          <w:tcPr>
            <w:tcW w:w="3197" w:type="dxa"/>
          </w:tcPr>
          <w:p>
            <w:pPr>
              <w:pStyle w:val="TableParagraph"/>
              <w:spacing w:before="25"/>
              <w:ind w:right="93"/>
              <w:jc w:val="right"/>
              <w:rPr>
                <w:sz w:val="20"/>
              </w:rPr>
            </w:pPr>
            <w:r>
              <w:rPr>
                <w:spacing w:val="-2"/>
                <w:sz w:val="20"/>
              </w:rPr>
              <w:t>3,646,419.00</w:t>
            </w:r>
          </w:p>
        </w:tc>
        <w:tc>
          <w:tcPr>
            <w:tcW w:w="3197" w:type="dxa"/>
          </w:tcPr>
          <w:p>
            <w:pPr>
              <w:pStyle w:val="TableParagraph"/>
              <w:spacing w:before="25"/>
              <w:ind w:right="93"/>
              <w:jc w:val="right"/>
              <w:rPr>
                <w:sz w:val="20"/>
              </w:rPr>
            </w:pPr>
            <w:r>
              <w:rPr>
                <w:spacing w:val="-2"/>
                <w:sz w:val="20"/>
              </w:rPr>
              <w:t>5,556,382.00</w:t>
            </w:r>
          </w:p>
        </w:tc>
      </w:tr>
      <w:tr>
        <w:trPr>
          <w:trHeight w:val="301" w:hRule="atLeast"/>
        </w:trPr>
        <w:tc>
          <w:tcPr>
            <w:tcW w:w="1675" w:type="dxa"/>
          </w:tcPr>
          <w:p>
            <w:pPr>
              <w:pStyle w:val="TableParagraph"/>
              <w:spacing w:before="30"/>
              <w:ind w:left="105"/>
              <w:rPr>
                <w:b/>
                <w:sz w:val="20"/>
              </w:rPr>
            </w:pPr>
            <w:r>
              <w:rPr>
                <w:b/>
                <w:spacing w:val="-5"/>
                <w:sz w:val="20"/>
              </w:rPr>
              <w:t>ECE</w:t>
            </w:r>
          </w:p>
        </w:tc>
        <w:tc>
          <w:tcPr>
            <w:tcW w:w="3197" w:type="dxa"/>
          </w:tcPr>
          <w:p>
            <w:pPr>
              <w:pStyle w:val="TableParagraph"/>
              <w:spacing w:before="30"/>
              <w:ind w:right="93"/>
              <w:jc w:val="right"/>
              <w:rPr>
                <w:sz w:val="20"/>
              </w:rPr>
            </w:pPr>
            <w:r>
              <w:rPr>
                <w:spacing w:val="-2"/>
                <w:sz w:val="20"/>
              </w:rPr>
              <w:t>27,571,458.35</w:t>
            </w:r>
          </w:p>
        </w:tc>
        <w:tc>
          <w:tcPr>
            <w:tcW w:w="3197" w:type="dxa"/>
          </w:tcPr>
          <w:p>
            <w:pPr>
              <w:pStyle w:val="TableParagraph"/>
              <w:spacing w:before="30"/>
              <w:ind w:right="93"/>
              <w:jc w:val="right"/>
              <w:rPr>
                <w:sz w:val="20"/>
              </w:rPr>
            </w:pPr>
            <w:r>
              <w:rPr>
                <w:spacing w:val="-2"/>
                <w:sz w:val="20"/>
              </w:rPr>
              <w:t>29,635,612.87</w:t>
            </w:r>
          </w:p>
        </w:tc>
      </w:tr>
      <w:tr>
        <w:trPr>
          <w:trHeight w:val="297" w:hRule="atLeast"/>
        </w:trPr>
        <w:tc>
          <w:tcPr>
            <w:tcW w:w="1675" w:type="dxa"/>
          </w:tcPr>
          <w:p>
            <w:pPr>
              <w:pStyle w:val="TableParagraph"/>
              <w:spacing w:before="30"/>
              <w:ind w:left="105"/>
              <w:rPr>
                <w:b/>
                <w:sz w:val="20"/>
              </w:rPr>
            </w:pPr>
            <w:r>
              <w:rPr>
                <w:b/>
                <w:spacing w:val="-2"/>
                <w:sz w:val="20"/>
              </w:rPr>
              <w:t>Primary</w:t>
            </w:r>
          </w:p>
        </w:tc>
        <w:tc>
          <w:tcPr>
            <w:tcW w:w="3197" w:type="dxa"/>
          </w:tcPr>
          <w:p>
            <w:pPr>
              <w:pStyle w:val="TableParagraph"/>
              <w:spacing w:before="30"/>
              <w:ind w:right="93"/>
              <w:jc w:val="right"/>
              <w:rPr>
                <w:sz w:val="20"/>
              </w:rPr>
            </w:pPr>
            <w:r>
              <w:rPr>
                <w:spacing w:val="-2"/>
                <w:sz w:val="20"/>
              </w:rPr>
              <w:t>209,011,075.83</w:t>
            </w:r>
          </w:p>
        </w:tc>
        <w:tc>
          <w:tcPr>
            <w:tcW w:w="3197" w:type="dxa"/>
          </w:tcPr>
          <w:p>
            <w:pPr>
              <w:pStyle w:val="TableParagraph"/>
              <w:spacing w:before="30"/>
              <w:ind w:right="93"/>
              <w:jc w:val="right"/>
              <w:rPr>
                <w:sz w:val="20"/>
              </w:rPr>
            </w:pPr>
            <w:r>
              <w:rPr>
                <w:spacing w:val="-2"/>
                <w:sz w:val="20"/>
              </w:rPr>
              <w:t>218,541,623.51</w:t>
            </w:r>
          </w:p>
        </w:tc>
      </w:tr>
      <w:tr>
        <w:trPr>
          <w:trHeight w:val="301" w:hRule="atLeast"/>
        </w:trPr>
        <w:tc>
          <w:tcPr>
            <w:tcW w:w="1675" w:type="dxa"/>
          </w:tcPr>
          <w:p>
            <w:pPr>
              <w:pStyle w:val="TableParagraph"/>
              <w:spacing w:before="30"/>
              <w:ind w:left="105"/>
              <w:rPr>
                <w:b/>
                <w:sz w:val="20"/>
              </w:rPr>
            </w:pPr>
            <w:r>
              <w:rPr>
                <w:b/>
                <w:spacing w:val="-2"/>
                <w:sz w:val="20"/>
              </w:rPr>
              <w:t>Secondary</w:t>
            </w:r>
          </w:p>
        </w:tc>
        <w:tc>
          <w:tcPr>
            <w:tcW w:w="3197" w:type="dxa"/>
          </w:tcPr>
          <w:p>
            <w:pPr>
              <w:pStyle w:val="TableParagraph"/>
              <w:spacing w:before="30"/>
              <w:ind w:right="93"/>
              <w:jc w:val="right"/>
              <w:rPr>
                <w:sz w:val="20"/>
              </w:rPr>
            </w:pPr>
            <w:r>
              <w:rPr>
                <w:spacing w:val="-2"/>
                <w:sz w:val="20"/>
              </w:rPr>
              <w:t>142,863,967.43</w:t>
            </w:r>
          </w:p>
        </w:tc>
        <w:tc>
          <w:tcPr>
            <w:tcW w:w="3197" w:type="dxa"/>
          </w:tcPr>
          <w:p>
            <w:pPr>
              <w:pStyle w:val="TableParagraph"/>
              <w:spacing w:before="30"/>
              <w:ind w:right="93"/>
              <w:jc w:val="right"/>
              <w:rPr>
                <w:sz w:val="20"/>
              </w:rPr>
            </w:pPr>
            <w:r>
              <w:rPr>
                <w:spacing w:val="-2"/>
                <w:sz w:val="20"/>
              </w:rPr>
              <w:t>159,577,863.93</w:t>
            </w:r>
          </w:p>
        </w:tc>
      </w:tr>
      <w:tr>
        <w:trPr>
          <w:trHeight w:val="302" w:hRule="atLeast"/>
        </w:trPr>
        <w:tc>
          <w:tcPr>
            <w:tcW w:w="1675" w:type="dxa"/>
          </w:tcPr>
          <w:p>
            <w:pPr>
              <w:pStyle w:val="TableParagraph"/>
              <w:spacing w:before="30"/>
              <w:ind w:left="105"/>
              <w:rPr>
                <w:b/>
                <w:sz w:val="20"/>
              </w:rPr>
            </w:pPr>
            <w:r>
              <w:rPr>
                <w:b/>
                <w:spacing w:val="-4"/>
                <w:sz w:val="20"/>
              </w:rPr>
              <w:t>TVET</w:t>
            </w:r>
          </w:p>
        </w:tc>
        <w:tc>
          <w:tcPr>
            <w:tcW w:w="3197" w:type="dxa"/>
          </w:tcPr>
          <w:p>
            <w:pPr>
              <w:pStyle w:val="TableParagraph"/>
              <w:spacing w:before="30"/>
              <w:ind w:right="93"/>
              <w:jc w:val="right"/>
              <w:rPr>
                <w:sz w:val="20"/>
              </w:rPr>
            </w:pPr>
            <w:r>
              <w:rPr>
                <w:spacing w:val="-2"/>
                <w:sz w:val="20"/>
              </w:rPr>
              <w:t>15,992,033.19</w:t>
            </w:r>
          </w:p>
        </w:tc>
        <w:tc>
          <w:tcPr>
            <w:tcW w:w="3197" w:type="dxa"/>
          </w:tcPr>
          <w:p>
            <w:pPr>
              <w:pStyle w:val="TableParagraph"/>
              <w:spacing w:before="30"/>
              <w:ind w:right="93"/>
              <w:jc w:val="right"/>
              <w:rPr>
                <w:sz w:val="20"/>
              </w:rPr>
            </w:pPr>
            <w:r>
              <w:rPr>
                <w:spacing w:val="-2"/>
                <w:sz w:val="20"/>
              </w:rPr>
              <w:t>17,470,229.70</w:t>
            </w:r>
          </w:p>
        </w:tc>
      </w:tr>
      <w:tr>
        <w:trPr>
          <w:trHeight w:val="297" w:hRule="atLeast"/>
        </w:trPr>
        <w:tc>
          <w:tcPr>
            <w:tcW w:w="1675" w:type="dxa"/>
          </w:tcPr>
          <w:p>
            <w:pPr>
              <w:pStyle w:val="TableParagraph"/>
              <w:spacing w:before="25"/>
              <w:ind w:left="105"/>
              <w:rPr>
                <w:b/>
                <w:sz w:val="20"/>
              </w:rPr>
            </w:pPr>
            <w:r>
              <w:rPr>
                <w:b/>
                <w:spacing w:val="-2"/>
                <w:sz w:val="20"/>
              </w:rPr>
              <w:t>Tertiary</w:t>
            </w:r>
          </w:p>
        </w:tc>
        <w:tc>
          <w:tcPr>
            <w:tcW w:w="3197" w:type="dxa"/>
          </w:tcPr>
          <w:p>
            <w:pPr>
              <w:pStyle w:val="TableParagraph"/>
              <w:spacing w:before="25"/>
              <w:ind w:right="93"/>
              <w:jc w:val="right"/>
              <w:rPr>
                <w:sz w:val="20"/>
              </w:rPr>
            </w:pPr>
            <w:r>
              <w:rPr>
                <w:spacing w:val="-2"/>
                <w:sz w:val="20"/>
              </w:rPr>
              <w:t>698,500.20</w:t>
            </w:r>
          </w:p>
        </w:tc>
        <w:tc>
          <w:tcPr>
            <w:tcW w:w="3197" w:type="dxa"/>
          </w:tcPr>
          <w:p>
            <w:pPr>
              <w:pStyle w:val="TableParagraph"/>
              <w:spacing w:before="25"/>
              <w:ind w:right="93"/>
              <w:jc w:val="right"/>
              <w:rPr>
                <w:sz w:val="20"/>
              </w:rPr>
            </w:pPr>
            <w:r>
              <w:rPr>
                <w:spacing w:val="-2"/>
                <w:sz w:val="20"/>
              </w:rPr>
              <w:t>692,083.00</w:t>
            </w:r>
          </w:p>
        </w:tc>
      </w:tr>
      <w:tr>
        <w:trPr>
          <w:trHeight w:val="302" w:hRule="atLeast"/>
        </w:trPr>
        <w:tc>
          <w:tcPr>
            <w:tcW w:w="1675" w:type="dxa"/>
          </w:tcPr>
          <w:p>
            <w:pPr>
              <w:pStyle w:val="TableParagraph"/>
              <w:spacing w:before="30"/>
              <w:ind w:left="105"/>
              <w:rPr>
                <w:b/>
                <w:sz w:val="20"/>
              </w:rPr>
            </w:pPr>
            <w:r>
              <w:rPr>
                <w:b/>
                <w:spacing w:val="-2"/>
                <w:sz w:val="20"/>
              </w:rPr>
              <w:t>Total</w:t>
            </w:r>
          </w:p>
        </w:tc>
        <w:tc>
          <w:tcPr>
            <w:tcW w:w="3197" w:type="dxa"/>
          </w:tcPr>
          <w:p>
            <w:pPr>
              <w:pStyle w:val="TableParagraph"/>
              <w:spacing w:before="30"/>
              <w:ind w:right="93"/>
              <w:jc w:val="right"/>
              <w:rPr>
                <w:b/>
                <w:sz w:val="20"/>
              </w:rPr>
            </w:pPr>
            <w:r>
              <w:rPr>
                <w:b/>
                <w:spacing w:val="-2"/>
                <w:sz w:val="20"/>
              </w:rPr>
              <w:t>399,783,454.00</w:t>
            </w:r>
          </w:p>
        </w:tc>
        <w:tc>
          <w:tcPr>
            <w:tcW w:w="3197" w:type="dxa"/>
          </w:tcPr>
          <w:p>
            <w:pPr>
              <w:pStyle w:val="TableParagraph"/>
              <w:spacing w:before="30"/>
              <w:ind w:right="93"/>
              <w:jc w:val="right"/>
              <w:rPr>
                <w:b/>
                <w:sz w:val="20"/>
              </w:rPr>
            </w:pPr>
            <w:r>
              <w:rPr>
                <w:b/>
                <w:spacing w:val="-2"/>
                <w:sz w:val="20"/>
              </w:rPr>
              <w:t>431,473,795.00</w:t>
            </w:r>
          </w:p>
        </w:tc>
      </w:tr>
      <w:tr>
        <w:trPr>
          <w:trHeight w:val="599" w:hRule="atLeast"/>
        </w:trPr>
        <w:tc>
          <w:tcPr>
            <w:tcW w:w="8069" w:type="dxa"/>
            <w:gridSpan w:val="3"/>
            <w:tcBorders>
              <w:left w:val="nil"/>
              <w:right w:val="nil"/>
            </w:tcBorders>
          </w:tcPr>
          <w:p>
            <w:pPr>
              <w:pStyle w:val="TableParagraph"/>
              <w:spacing w:before="10"/>
              <w:rPr>
                <w:rFonts w:ascii="Calibri Light"/>
                <w:b w:val="0"/>
                <w:sz w:val="26"/>
              </w:rPr>
            </w:pPr>
          </w:p>
          <w:p>
            <w:pPr>
              <w:pStyle w:val="TableParagraph"/>
              <w:ind w:left="110"/>
              <w:rPr>
                <w:b/>
                <w:sz w:val="20"/>
              </w:rPr>
            </w:pPr>
            <w:r>
              <w:rPr>
                <w:b/>
                <w:spacing w:val="-2"/>
                <w:sz w:val="20"/>
              </w:rPr>
              <w:t>Other</w:t>
            </w:r>
          </w:p>
        </w:tc>
      </w:tr>
      <w:tr>
        <w:trPr>
          <w:trHeight w:val="297" w:hRule="atLeast"/>
        </w:trPr>
        <w:tc>
          <w:tcPr>
            <w:tcW w:w="1675" w:type="dxa"/>
            <w:shd w:val="clear" w:color="auto" w:fill="AEAAAA"/>
          </w:tcPr>
          <w:p>
            <w:pPr>
              <w:pStyle w:val="TableParagraph"/>
              <w:rPr>
                <w:rFonts w:ascii="Times New Roman"/>
                <w:sz w:val="20"/>
              </w:rPr>
            </w:pPr>
          </w:p>
        </w:tc>
        <w:tc>
          <w:tcPr>
            <w:tcW w:w="3197" w:type="dxa"/>
          </w:tcPr>
          <w:p>
            <w:pPr>
              <w:pStyle w:val="TableParagraph"/>
              <w:spacing w:before="30"/>
              <w:ind w:left="1396"/>
              <w:rPr>
                <w:b/>
                <w:sz w:val="20"/>
              </w:rPr>
            </w:pPr>
            <w:r>
              <w:rPr>
                <w:b/>
                <w:spacing w:val="-4"/>
                <w:sz w:val="20"/>
              </w:rPr>
              <w:t>2015</w:t>
            </w:r>
          </w:p>
        </w:tc>
        <w:tc>
          <w:tcPr>
            <w:tcW w:w="3197" w:type="dxa"/>
          </w:tcPr>
          <w:p>
            <w:pPr>
              <w:pStyle w:val="TableParagraph"/>
              <w:spacing w:before="30"/>
              <w:ind w:left="1396"/>
              <w:rPr>
                <w:b/>
                <w:sz w:val="20"/>
              </w:rPr>
            </w:pPr>
            <w:r>
              <w:rPr>
                <w:b/>
                <w:spacing w:val="-4"/>
                <w:sz w:val="20"/>
              </w:rPr>
              <w:t>2016</w:t>
            </w:r>
          </w:p>
        </w:tc>
      </w:tr>
      <w:tr>
        <w:trPr>
          <w:trHeight w:val="301" w:hRule="atLeast"/>
        </w:trPr>
        <w:tc>
          <w:tcPr>
            <w:tcW w:w="1675" w:type="dxa"/>
          </w:tcPr>
          <w:p>
            <w:pPr>
              <w:pStyle w:val="TableParagraph"/>
              <w:spacing w:before="30"/>
              <w:ind w:left="105"/>
              <w:rPr>
                <w:b/>
                <w:sz w:val="20"/>
              </w:rPr>
            </w:pPr>
            <w:r>
              <w:rPr>
                <w:b/>
                <w:spacing w:val="-2"/>
                <w:sz w:val="20"/>
              </w:rPr>
              <w:t>Admin</w:t>
            </w:r>
          </w:p>
        </w:tc>
        <w:tc>
          <w:tcPr>
            <w:tcW w:w="3197" w:type="dxa"/>
          </w:tcPr>
          <w:p>
            <w:pPr>
              <w:pStyle w:val="TableParagraph"/>
              <w:spacing w:before="30"/>
              <w:ind w:right="93"/>
              <w:jc w:val="right"/>
              <w:rPr>
                <w:sz w:val="20"/>
              </w:rPr>
            </w:pPr>
            <w:r>
              <w:rPr>
                <w:spacing w:val="-2"/>
                <w:sz w:val="20"/>
              </w:rPr>
              <w:t>19,995,330.00</w:t>
            </w:r>
          </w:p>
        </w:tc>
        <w:tc>
          <w:tcPr>
            <w:tcW w:w="3197" w:type="dxa"/>
          </w:tcPr>
          <w:p>
            <w:pPr>
              <w:pStyle w:val="TableParagraph"/>
              <w:spacing w:before="30"/>
              <w:ind w:right="93"/>
              <w:jc w:val="right"/>
              <w:rPr>
                <w:sz w:val="20"/>
              </w:rPr>
            </w:pPr>
            <w:r>
              <w:rPr>
                <w:spacing w:val="-2"/>
                <w:sz w:val="20"/>
              </w:rPr>
              <w:t>18,016,877.00</w:t>
            </w:r>
          </w:p>
        </w:tc>
      </w:tr>
      <w:tr>
        <w:trPr>
          <w:trHeight w:val="302" w:hRule="atLeast"/>
        </w:trPr>
        <w:tc>
          <w:tcPr>
            <w:tcW w:w="1675" w:type="dxa"/>
          </w:tcPr>
          <w:p>
            <w:pPr>
              <w:pStyle w:val="TableParagraph"/>
              <w:spacing w:before="30"/>
              <w:ind w:left="105"/>
              <w:rPr>
                <w:b/>
                <w:sz w:val="20"/>
              </w:rPr>
            </w:pPr>
            <w:r>
              <w:rPr>
                <w:b/>
                <w:spacing w:val="-5"/>
                <w:sz w:val="20"/>
              </w:rPr>
              <w:t>ECE</w:t>
            </w:r>
          </w:p>
        </w:tc>
        <w:tc>
          <w:tcPr>
            <w:tcW w:w="3197" w:type="dxa"/>
          </w:tcPr>
          <w:p>
            <w:pPr>
              <w:pStyle w:val="TableParagraph"/>
              <w:spacing w:before="30"/>
              <w:ind w:right="93"/>
              <w:jc w:val="right"/>
              <w:rPr>
                <w:sz w:val="20"/>
              </w:rPr>
            </w:pPr>
            <w:r>
              <w:rPr>
                <w:spacing w:val="-2"/>
                <w:sz w:val="20"/>
              </w:rPr>
              <w:t>29,960,642.89</w:t>
            </w:r>
          </w:p>
        </w:tc>
        <w:tc>
          <w:tcPr>
            <w:tcW w:w="3197" w:type="dxa"/>
          </w:tcPr>
          <w:p>
            <w:pPr>
              <w:pStyle w:val="TableParagraph"/>
              <w:spacing w:before="30"/>
              <w:ind w:right="93"/>
              <w:jc w:val="right"/>
              <w:rPr>
                <w:sz w:val="20"/>
              </w:rPr>
            </w:pPr>
            <w:r>
              <w:rPr>
                <w:spacing w:val="-2"/>
                <w:sz w:val="20"/>
              </w:rPr>
              <w:t>20,583,733.06</w:t>
            </w:r>
          </w:p>
        </w:tc>
      </w:tr>
      <w:tr>
        <w:trPr>
          <w:trHeight w:val="297" w:hRule="atLeast"/>
        </w:trPr>
        <w:tc>
          <w:tcPr>
            <w:tcW w:w="1675" w:type="dxa"/>
          </w:tcPr>
          <w:p>
            <w:pPr>
              <w:pStyle w:val="TableParagraph"/>
              <w:spacing w:before="25"/>
              <w:ind w:left="105"/>
              <w:rPr>
                <w:b/>
                <w:sz w:val="20"/>
              </w:rPr>
            </w:pPr>
            <w:r>
              <w:rPr>
                <w:b/>
                <w:spacing w:val="-2"/>
                <w:sz w:val="20"/>
              </w:rPr>
              <w:t>Primary</w:t>
            </w:r>
          </w:p>
        </w:tc>
        <w:tc>
          <w:tcPr>
            <w:tcW w:w="3197" w:type="dxa"/>
          </w:tcPr>
          <w:p>
            <w:pPr>
              <w:pStyle w:val="TableParagraph"/>
              <w:spacing w:before="25"/>
              <w:ind w:right="93"/>
              <w:jc w:val="right"/>
              <w:rPr>
                <w:sz w:val="20"/>
              </w:rPr>
            </w:pPr>
            <w:r>
              <w:rPr>
                <w:spacing w:val="-2"/>
                <w:sz w:val="20"/>
              </w:rPr>
              <w:t>126,786,611.97</w:t>
            </w:r>
          </w:p>
        </w:tc>
        <w:tc>
          <w:tcPr>
            <w:tcW w:w="3197" w:type="dxa"/>
          </w:tcPr>
          <w:p>
            <w:pPr>
              <w:pStyle w:val="TableParagraph"/>
              <w:spacing w:before="25"/>
              <w:ind w:right="93"/>
              <w:jc w:val="right"/>
              <w:rPr>
                <w:sz w:val="20"/>
              </w:rPr>
            </w:pPr>
            <w:r>
              <w:rPr>
                <w:spacing w:val="-2"/>
                <w:sz w:val="20"/>
              </w:rPr>
              <w:t>135,092,086.90</w:t>
            </w:r>
          </w:p>
        </w:tc>
      </w:tr>
      <w:tr>
        <w:trPr>
          <w:trHeight w:val="302" w:hRule="atLeast"/>
        </w:trPr>
        <w:tc>
          <w:tcPr>
            <w:tcW w:w="1675" w:type="dxa"/>
          </w:tcPr>
          <w:p>
            <w:pPr>
              <w:pStyle w:val="TableParagraph"/>
              <w:spacing w:before="30"/>
              <w:ind w:left="105"/>
              <w:rPr>
                <w:b/>
                <w:sz w:val="20"/>
              </w:rPr>
            </w:pPr>
            <w:r>
              <w:rPr>
                <w:b/>
                <w:spacing w:val="-2"/>
                <w:sz w:val="20"/>
              </w:rPr>
              <w:t>Secondary</w:t>
            </w:r>
          </w:p>
        </w:tc>
        <w:tc>
          <w:tcPr>
            <w:tcW w:w="3197" w:type="dxa"/>
          </w:tcPr>
          <w:p>
            <w:pPr>
              <w:pStyle w:val="TableParagraph"/>
              <w:spacing w:before="30"/>
              <w:ind w:right="93"/>
              <w:jc w:val="right"/>
              <w:rPr>
                <w:sz w:val="20"/>
              </w:rPr>
            </w:pPr>
            <w:r>
              <w:rPr>
                <w:spacing w:val="-2"/>
                <w:sz w:val="20"/>
              </w:rPr>
              <w:t>117,329,963.48</w:t>
            </w:r>
          </w:p>
        </w:tc>
        <w:tc>
          <w:tcPr>
            <w:tcW w:w="3197" w:type="dxa"/>
          </w:tcPr>
          <w:p>
            <w:pPr>
              <w:pStyle w:val="TableParagraph"/>
              <w:spacing w:before="30"/>
              <w:ind w:right="93"/>
              <w:jc w:val="right"/>
              <w:rPr>
                <w:sz w:val="20"/>
              </w:rPr>
            </w:pPr>
            <w:r>
              <w:rPr>
                <w:spacing w:val="-2"/>
                <w:sz w:val="20"/>
              </w:rPr>
              <w:t>133,616,669.99</w:t>
            </w:r>
          </w:p>
        </w:tc>
      </w:tr>
      <w:tr>
        <w:trPr>
          <w:trHeight w:val="297" w:hRule="atLeast"/>
        </w:trPr>
        <w:tc>
          <w:tcPr>
            <w:tcW w:w="1675" w:type="dxa"/>
          </w:tcPr>
          <w:p>
            <w:pPr>
              <w:pStyle w:val="TableParagraph"/>
              <w:spacing w:before="25"/>
              <w:ind w:left="105"/>
              <w:rPr>
                <w:b/>
                <w:sz w:val="20"/>
              </w:rPr>
            </w:pPr>
            <w:r>
              <w:rPr>
                <w:b/>
                <w:spacing w:val="-4"/>
                <w:sz w:val="20"/>
              </w:rPr>
              <w:t>TVET</w:t>
            </w:r>
          </w:p>
        </w:tc>
        <w:tc>
          <w:tcPr>
            <w:tcW w:w="3197" w:type="dxa"/>
          </w:tcPr>
          <w:p>
            <w:pPr>
              <w:pStyle w:val="TableParagraph"/>
              <w:spacing w:before="25"/>
              <w:ind w:right="93"/>
              <w:jc w:val="right"/>
              <w:rPr>
                <w:sz w:val="20"/>
              </w:rPr>
            </w:pPr>
            <w:r>
              <w:rPr>
                <w:spacing w:val="-2"/>
                <w:sz w:val="20"/>
              </w:rPr>
              <w:t>3,500,436.86</w:t>
            </w:r>
          </w:p>
        </w:tc>
        <w:tc>
          <w:tcPr>
            <w:tcW w:w="3197" w:type="dxa"/>
          </w:tcPr>
          <w:p>
            <w:pPr>
              <w:pStyle w:val="TableParagraph"/>
              <w:spacing w:before="25"/>
              <w:ind w:right="93"/>
              <w:jc w:val="right"/>
              <w:rPr>
                <w:sz w:val="20"/>
              </w:rPr>
            </w:pPr>
            <w:r>
              <w:rPr>
                <w:spacing w:val="-2"/>
                <w:sz w:val="20"/>
              </w:rPr>
              <w:t>3,782,914.67</w:t>
            </w:r>
          </w:p>
        </w:tc>
      </w:tr>
      <w:tr>
        <w:trPr>
          <w:trHeight w:val="302" w:hRule="atLeast"/>
        </w:trPr>
        <w:tc>
          <w:tcPr>
            <w:tcW w:w="1675" w:type="dxa"/>
          </w:tcPr>
          <w:p>
            <w:pPr>
              <w:pStyle w:val="TableParagraph"/>
              <w:spacing w:before="30"/>
              <w:ind w:left="105"/>
              <w:rPr>
                <w:b/>
                <w:sz w:val="20"/>
              </w:rPr>
            </w:pPr>
            <w:r>
              <w:rPr>
                <w:b/>
                <w:spacing w:val="-2"/>
                <w:sz w:val="20"/>
              </w:rPr>
              <w:t>Tertiary</w:t>
            </w:r>
          </w:p>
        </w:tc>
        <w:tc>
          <w:tcPr>
            <w:tcW w:w="3197" w:type="dxa"/>
          </w:tcPr>
          <w:p>
            <w:pPr>
              <w:pStyle w:val="TableParagraph"/>
              <w:spacing w:before="30"/>
              <w:ind w:right="93"/>
              <w:jc w:val="right"/>
              <w:rPr>
                <w:sz w:val="20"/>
              </w:rPr>
            </w:pPr>
            <w:r>
              <w:rPr>
                <w:spacing w:val="-2"/>
                <w:sz w:val="20"/>
              </w:rPr>
              <w:t>224,513,957.80</w:t>
            </w:r>
          </w:p>
        </w:tc>
        <w:tc>
          <w:tcPr>
            <w:tcW w:w="3197" w:type="dxa"/>
          </w:tcPr>
          <w:p>
            <w:pPr>
              <w:pStyle w:val="TableParagraph"/>
              <w:spacing w:before="30"/>
              <w:ind w:right="93"/>
              <w:jc w:val="right"/>
              <w:rPr>
                <w:sz w:val="20"/>
              </w:rPr>
            </w:pPr>
            <w:r>
              <w:rPr>
                <w:spacing w:val="-2"/>
                <w:sz w:val="20"/>
              </w:rPr>
              <w:t>323,208,301.38</w:t>
            </w:r>
          </w:p>
        </w:tc>
      </w:tr>
      <w:tr>
        <w:trPr>
          <w:trHeight w:val="297" w:hRule="atLeast"/>
        </w:trPr>
        <w:tc>
          <w:tcPr>
            <w:tcW w:w="1675" w:type="dxa"/>
          </w:tcPr>
          <w:p>
            <w:pPr>
              <w:pStyle w:val="TableParagraph"/>
              <w:spacing w:before="30"/>
              <w:ind w:left="105"/>
              <w:rPr>
                <w:b/>
                <w:sz w:val="20"/>
              </w:rPr>
            </w:pPr>
            <w:r>
              <w:rPr>
                <w:b/>
                <w:spacing w:val="-2"/>
                <w:sz w:val="20"/>
              </w:rPr>
              <w:t>Total</w:t>
            </w:r>
          </w:p>
        </w:tc>
        <w:tc>
          <w:tcPr>
            <w:tcW w:w="3197" w:type="dxa"/>
          </w:tcPr>
          <w:p>
            <w:pPr>
              <w:pStyle w:val="TableParagraph"/>
              <w:spacing w:before="30"/>
              <w:ind w:right="93"/>
              <w:jc w:val="right"/>
              <w:rPr>
                <w:b/>
                <w:sz w:val="20"/>
              </w:rPr>
            </w:pPr>
            <w:r>
              <w:rPr>
                <w:b/>
                <w:spacing w:val="-2"/>
                <w:sz w:val="20"/>
              </w:rPr>
              <w:t>522,086,943.00</w:t>
            </w:r>
          </w:p>
        </w:tc>
        <w:tc>
          <w:tcPr>
            <w:tcW w:w="3197" w:type="dxa"/>
          </w:tcPr>
          <w:p>
            <w:pPr>
              <w:pStyle w:val="TableParagraph"/>
              <w:spacing w:before="30"/>
              <w:ind w:right="93"/>
              <w:jc w:val="right"/>
              <w:rPr>
                <w:b/>
                <w:sz w:val="20"/>
              </w:rPr>
            </w:pPr>
            <w:r>
              <w:rPr>
                <w:b/>
                <w:spacing w:val="-2"/>
                <w:sz w:val="20"/>
              </w:rPr>
              <w:t>634,300,583.00</w:t>
            </w:r>
          </w:p>
        </w:tc>
      </w:tr>
      <w:tr>
        <w:trPr>
          <w:trHeight w:val="902" w:hRule="atLeast"/>
        </w:trPr>
        <w:tc>
          <w:tcPr>
            <w:tcW w:w="8069" w:type="dxa"/>
            <w:gridSpan w:val="3"/>
            <w:tcBorders>
              <w:left w:val="nil"/>
              <w:right w:val="nil"/>
            </w:tcBorders>
          </w:tcPr>
          <w:p>
            <w:pPr>
              <w:pStyle w:val="TableParagraph"/>
              <w:rPr>
                <w:rFonts w:ascii="Calibri Light"/>
                <w:b w:val="0"/>
                <w:sz w:val="20"/>
              </w:rPr>
            </w:pPr>
          </w:p>
          <w:p>
            <w:pPr>
              <w:pStyle w:val="TableParagraph"/>
              <w:rPr>
                <w:rFonts w:ascii="Calibri Light"/>
                <w:b w:val="0"/>
                <w:sz w:val="20"/>
              </w:rPr>
            </w:pPr>
          </w:p>
          <w:p>
            <w:pPr>
              <w:pStyle w:val="TableParagraph"/>
              <w:spacing w:before="142"/>
              <w:ind w:left="110"/>
              <w:rPr>
                <w:b/>
                <w:sz w:val="20"/>
              </w:rPr>
            </w:pPr>
            <w:r>
              <w:rPr>
                <w:b/>
                <w:spacing w:val="-2"/>
                <w:sz w:val="20"/>
              </w:rPr>
              <w:t>TOTAL</w:t>
            </w:r>
          </w:p>
        </w:tc>
      </w:tr>
      <w:tr>
        <w:trPr>
          <w:trHeight w:val="301" w:hRule="atLeast"/>
        </w:trPr>
        <w:tc>
          <w:tcPr>
            <w:tcW w:w="1675" w:type="dxa"/>
            <w:shd w:val="clear" w:color="auto" w:fill="AEAAAA"/>
          </w:tcPr>
          <w:p>
            <w:pPr>
              <w:pStyle w:val="TableParagraph"/>
              <w:rPr>
                <w:rFonts w:ascii="Times New Roman"/>
                <w:sz w:val="20"/>
              </w:rPr>
            </w:pPr>
          </w:p>
        </w:tc>
        <w:tc>
          <w:tcPr>
            <w:tcW w:w="3197" w:type="dxa"/>
          </w:tcPr>
          <w:p>
            <w:pPr>
              <w:pStyle w:val="TableParagraph"/>
              <w:spacing w:before="30"/>
              <w:ind w:left="1396"/>
              <w:rPr>
                <w:b/>
                <w:sz w:val="20"/>
              </w:rPr>
            </w:pPr>
            <w:r>
              <w:rPr>
                <w:b/>
                <w:spacing w:val="-4"/>
                <w:sz w:val="20"/>
              </w:rPr>
              <w:t>2015</w:t>
            </w:r>
          </w:p>
        </w:tc>
        <w:tc>
          <w:tcPr>
            <w:tcW w:w="3197" w:type="dxa"/>
          </w:tcPr>
          <w:p>
            <w:pPr>
              <w:pStyle w:val="TableParagraph"/>
              <w:spacing w:before="30"/>
              <w:ind w:left="1396"/>
              <w:rPr>
                <w:b/>
                <w:sz w:val="20"/>
              </w:rPr>
            </w:pPr>
            <w:r>
              <w:rPr>
                <w:b/>
                <w:spacing w:val="-4"/>
                <w:sz w:val="20"/>
              </w:rPr>
              <w:t>2016</w:t>
            </w:r>
          </w:p>
        </w:tc>
      </w:tr>
      <w:tr>
        <w:trPr>
          <w:trHeight w:val="297" w:hRule="atLeast"/>
        </w:trPr>
        <w:tc>
          <w:tcPr>
            <w:tcW w:w="1675" w:type="dxa"/>
          </w:tcPr>
          <w:p>
            <w:pPr>
              <w:pStyle w:val="TableParagraph"/>
              <w:spacing w:before="25"/>
              <w:ind w:left="105"/>
              <w:rPr>
                <w:b/>
                <w:sz w:val="20"/>
              </w:rPr>
            </w:pPr>
            <w:r>
              <w:rPr>
                <w:b/>
                <w:spacing w:val="-2"/>
                <w:sz w:val="20"/>
              </w:rPr>
              <w:t>Admin</w:t>
            </w:r>
          </w:p>
        </w:tc>
        <w:tc>
          <w:tcPr>
            <w:tcW w:w="3197" w:type="dxa"/>
          </w:tcPr>
          <w:p>
            <w:pPr>
              <w:pStyle w:val="TableParagraph"/>
              <w:spacing w:before="25"/>
              <w:ind w:right="93"/>
              <w:jc w:val="right"/>
              <w:rPr>
                <w:sz w:val="20"/>
              </w:rPr>
            </w:pPr>
            <w:r>
              <w:rPr>
                <w:spacing w:val="-2"/>
                <w:sz w:val="20"/>
              </w:rPr>
              <w:t>23,641,749.00</w:t>
            </w:r>
          </w:p>
        </w:tc>
        <w:tc>
          <w:tcPr>
            <w:tcW w:w="3197" w:type="dxa"/>
          </w:tcPr>
          <w:p>
            <w:pPr>
              <w:pStyle w:val="TableParagraph"/>
              <w:spacing w:before="25"/>
              <w:ind w:right="93"/>
              <w:jc w:val="right"/>
              <w:rPr>
                <w:sz w:val="20"/>
              </w:rPr>
            </w:pPr>
            <w:r>
              <w:rPr>
                <w:spacing w:val="-2"/>
                <w:sz w:val="20"/>
              </w:rPr>
              <w:t>23,573,259.00</w:t>
            </w:r>
          </w:p>
        </w:tc>
      </w:tr>
      <w:tr>
        <w:trPr>
          <w:trHeight w:val="301" w:hRule="atLeast"/>
        </w:trPr>
        <w:tc>
          <w:tcPr>
            <w:tcW w:w="1675" w:type="dxa"/>
          </w:tcPr>
          <w:p>
            <w:pPr>
              <w:pStyle w:val="TableParagraph"/>
              <w:spacing w:before="30"/>
              <w:ind w:left="105"/>
              <w:rPr>
                <w:b/>
                <w:sz w:val="20"/>
              </w:rPr>
            </w:pPr>
            <w:r>
              <w:rPr>
                <w:b/>
                <w:spacing w:val="-5"/>
                <w:sz w:val="20"/>
              </w:rPr>
              <w:t>ECE</w:t>
            </w:r>
          </w:p>
        </w:tc>
        <w:tc>
          <w:tcPr>
            <w:tcW w:w="3197" w:type="dxa"/>
          </w:tcPr>
          <w:p>
            <w:pPr>
              <w:pStyle w:val="TableParagraph"/>
              <w:spacing w:before="30"/>
              <w:ind w:right="93"/>
              <w:jc w:val="right"/>
              <w:rPr>
                <w:sz w:val="20"/>
              </w:rPr>
            </w:pPr>
            <w:r>
              <w:rPr>
                <w:spacing w:val="-2"/>
                <w:sz w:val="20"/>
              </w:rPr>
              <w:t>57,532,101.24</w:t>
            </w:r>
          </w:p>
        </w:tc>
        <w:tc>
          <w:tcPr>
            <w:tcW w:w="3197" w:type="dxa"/>
          </w:tcPr>
          <w:p>
            <w:pPr>
              <w:pStyle w:val="TableParagraph"/>
              <w:spacing w:before="30"/>
              <w:ind w:right="93"/>
              <w:jc w:val="right"/>
              <w:rPr>
                <w:sz w:val="20"/>
              </w:rPr>
            </w:pPr>
            <w:r>
              <w:rPr>
                <w:spacing w:val="-2"/>
                <w:sz w:val="20"/>
              </w:rPr>
              <w:t>50,219,345.92</w:t>
            </w:r>
          </w:p>
        </w:tc>
      </w:tr>
      <w:tr>
        <w:trPr>
          <w:trHeight w:val="297" w:hRule="atLeast"/>
        </w:trPr>
        <w:tc>
          <w:tcPr>
            <w:tcW w:w="1675" w:type="dxa"/>
          </w:tcPr>
          <w:p>
            <w:pPr>
              <w:pStyle w:val="TableParagraph"/>
              <w:spacing w:before="30"/>
              <w:ind w:left="105"/>
              <w:rPr>
                <w:b/>
                <w:sz w:val="20"/>
              </w:rPr>
            </w:pPr>
            <w:r>
              <w:rPr>
                <w:b/>
                <w:spacing w:val="-2"/>
                <w:sz w:val="20"/>
              </w:rPr>
              <w:t>Primary</w:t>
            </w:r>
          </w:p>
        </w:tc>
        <w:tc>
          <w:tcPr>
            <w:tcW w:w="3197" w:type="dxa"/>
          </w:tcPr>
          <w:p>
            <w:pPr>
              <w:pStyle w:val="TableParagraph"/>
              <w:spacing w:before="30"/>
              <w:ind w:right="93"/>
              <w:jc w:val="right"/>
              <w:rPr>
                <w:sz w:val="20"/>
              </w:rPr>
            </w:pPr>
            <w:r>
              <w:rPr>
                <w:spacing w:val="-2"/>
                <w:sz w:val="20"/>
              </w:rPr>
              <w:t>335,797,687.80</w:t>
            </w:r>
          </w:p>
        </w:tc>
        <w:tc>
          <w:tcPr>
            <w:tcW w:w="3197" w:type="dxa"/>
          </w:tcPr>
          <w:p>
            <w:pPr>
              <w:pStyle w:val="TableParagraph"/>
              <w:spacing w:before="30"/>
              <w:ind w:right="93"/>
              <w:jc w:val="right"/>
              <w:rPr>
                <w:sz w:val="20"/>
              </w:rPr>
            </w:pPr>
            <w:r>
              <w:rPr>
                <w:spacing w:val="-2"/>
                <w:sz w:val="20"/>
              </w:rPr>
              <w:t>353,633,710.40</w:t>
            </w:r>
          </w:p>
        </w:tc>
      </w:tr>
      <w:tr>
        <w:trPr>
          <w:trHeight w:val="301" w:hRule="atLeast"/>
        </w:trPr>
        <w:tc>
          <w:tcPr>
            <w:tcW w:w="1675" w:type="dxa"/>
          </w:tcPr>
          <w:p>
            <w:pPr>
              <w:pStyle w:val="TableParagraph"/>
              <w:spacing w:before="30"/>
              <w:ind w:left="105"/>
              <w:rPr>
                <w:b/>
                <w:sz w:val="20"/>
              </w:rPr>
            </w:pPr>
            <w:r>
              <w:rPr>
                <w:b/>
                <w:spacing w:val="-2"/>
                <w:sz w:val="20"/>
              </w:rPr>
              <w:t>Secondary</w:t>
            </w:r>
          </w:p>
        </w:tc>
        <w:tc>
          <w:tcPr>
            <w:tcW w:w="3197" w:type="dxa"/>
          </w:tcPr>
          <w:p>
            <w:pPr>
              <w:pStyle w:val="TableParagraph"/>
              <w:spacing w:before="30"/>
              <w:ind w:right="93"/>
              <w:jc w:val="right"/>
              <w:rPr>
                <w:sz w:val="20"/>
              </w:rPr>
            </w:pPr>
            <w:r>
              <w:rPr>
                <w:spacing w:val="-2"/>
                <w:sz w:val="20"/>
              </w:rPr>
              <w:t>260,193,930.91</w:t>
            </w:r>
          </w:p>
        </w:tc>
        <w:tc>
          <w:tcPr>
            <w:tcW w:w="3197" w:type="dxa"/>
          </w:tcPr>
          <w:p>
            <w:pPr>
              <w:pStyle w:val="TableParagraph"/>
              <w:spacing w:before="30"/>
              <w:ind w:right="93"/>
              <w:jc w:val="right"/>
              <w:rPr>
                <w:sz w:val="20"/>
              </w:rPr>
            </w:pPr>
            <w:r>
              <w:rPr>
                <w:spacing w:val="-2"/>
                <w:sz w:val="20"/>
              </w:rPr>
              <w:t>293,194,533.92</w:t>
            </w:r>
          </w:p>
        </w:tc>
      </w:tr>
      <w:tr>
        <w:trPr>
          <w:trHeight w:val="302" w:hRule="atLeast"/>
        </w:trPr>
        <w:tc>
          <w:tcPr>
            <w:tcW w:w="1675" w:type="dxa"/>
          </w:tcPr>
          <w:p>
            <w:pPr>
              <w:pStyle w:val="TableParagraph"/>
              <w:spacing w:before="30"/>
              <w:ind w:left="105"/>
              <w:rPr>
                <w:b/>
                <w:sz w:val="20"/>
              </w:rPr>
            </w:pPr>
            <w:r>
              <w:rPr>
                <w:b/>
                <w:spacing w:val="-4"/>
                <w:sz w:val="20"/>
              </w:rPr>
              <w:t>TVET</w:t>
            </w:r>
          </w:p>
        </w:tc>
        <w:tc>
          <w:tcPr>
            <w:tcW w:w="3197" w:type="dxa"/>
          </w:tcPr>
          <w:p>
            <w:pPr>
              <w:pStyle w:val="TableParagraph"/>
              <w:spacing w:before="30"/>
              <w:ind w:right="93"/>
              <w:jc w:val="right"/>
              <w:rPr>
                <w:sz w:val="20"/>
              </w:rPr>
            </w:pPr>
            <w:r>
              <w:rPr>
                <w:spacing w:val="-2"/>
                <w:sz w:val="20"/>
              </w:rPr>
              <w:t>19,492,470.05</w:t>
            </w:r>
          </w:p>
        </w:tc>
        <w:tc>
          <w:tcPr>
            <w:tcW w:w="3197" w:type="dxa"/>
          </w:tcPr>
          <w:p>
            <w:pPr>
              <w:pStyle w:val="TableParagraph"/>
              <w:spacing w:before="30"/>
              <w:ind w:right="93"/>
              <w:jc w:val="right"/>
              <w:rPr>
                <w:sz w:val="20"/>
              </w:rPr>
            </w:pPr>
            <w:r>
              <w:rPr>
                <w:spacing w:val="-2"/>
                <w:sz w:val="20"/>
              </w:rPr>
              <w:t>21,253,144.37</w:t>
            </w:r>
          </w:p>
        </w:tc>
      </w:tr>
      <w:tr>
        <w:trPr>
          <w:trHeight w:val="297" w:hRule="atLeast"/>
        </w:trPr>
        <w:tc>
          <w:tcPr>
            <w:tcW w:w="1675" w:type="dxa"/>
          </w:tcPr>
          <w:p>
            <w:pPr>
              <w:pStyle w:val="TableParagraph"/>
              <w:spacing w:before="25"/>
              <w:ind w:left="105"/>
              <w:rPr>
                <w:b/>
                <w:sz w:val="20"/>
              </w:rPr>
            </w:pPr>
            <w:r>
              <w:rPr>
                <w:b/>
                <w:spacing w:val="-2"/>
                <w:sz w:val="20"/>
              </w:rPr>
              <w:t>Tertiary</w:t>
            </w:r>
          </w:p>
        </w:tc>
        <w:tc>
          <w:tcPr>
            <w:tcW w:w="3197" w:type="dxa"/>
          </w:tcPr>
          <w:p>
            <w:pPr>
              <w:pStyle w:val="TableParagraph"/>
              <w:spacing w:before="25"/>
              <w:ind w:right="93"/>
              <w:jc w:val="right"/>
              <w:rPr>
                <w:sz w:val="20"/>
              </w:rPr>
            </w:pPr>
            <w:r>
              <w:rPr>
                <w:spacing w:val="-2"/>
                <w:sz w:val="20"/>
              </w:rPr>
              <w:t>225,212,458.00</w:t>
            </w:r>
          </w:p>
        </w:tc>
        <w:tc>
          <w:tcPr>
            <w:tcW w:w="3197" w:type="dxa"/>
          </w:tcPr>
          <w:p>
            <w:pPr>
              <w:pStyle w:val="TableParagraph"/>
              <w:spacing w:before="25"/>
              <w:ind w:right="93"/>
              <w:jc w:val="right"/>
              <w:rPr>
                <w:sz w:val="20"/>
              </w:rPr>
            </w:pPr>
            <w:r>
              <w:rPr>
                <w:spacing w:val="-2"/>
                <w:sz w:val="20"/>
              </w:rPr>
              <w:t>323,900,384.38</w:t>
            </w:r>
          </w:p>
        </w:tc>
      </w:tr>
      <w:tr>
        <w:trPr>
          <w:trHeight w:val="302" w:hRule="atLeast"/>
        </w:trPr>
        <w:tc>
          <w:tcPr>
            <w:tcW w:w="1675" w:type="dxa"/>
          </w:tcPr>
          <w:p>
            <w:pPr>
              <w:pStyle w:val="TableParagraph"/>
              <w:spacing w:before="30"/>
              <w:ind w:left="105"/>
              <w:rPr>
                <w:b/>
                <w:sz w:val="20"/>
              </w:rPr>
            </w:pPr>
            <w:r>
              <w:rPr>
                <w:b/>
                <w:spacing w:val="-2"/>
                <w:sz w:val="20"/>
              </w:rPr>
              <w:t>Total</w:t>
            </w:r>
          </w:p>
        </w:tc>
        <w:tc>
          <w:tcPr>
            <w:tcW w:w="3197" w:type="dxa"/>
          </w:tcPr>
          <w:p>
            <w:pPr>
              <w:pStyle w:val="TableParagraph"/>
              <w:spacing w:before="30"/>
              <w:ind w:right="93"/>
              <w:jc w:val="right"/>
              <w:rPr>
                <w:b/>
                <w:sz w:val="20"/>
              </w:rPr>
            </w:pPr>
            <w:r>
              <w:rPr>
                <w:b/>
                <w:spacing w:val="-2"/>
                <w:sz w:val="20"/>
              </w:rPr>
              <w:t>921,870,397.00</w:t>
            </w:r>
          </w:p>
        </w:tc>
        <w:tc>
          <w:tcPr>
            <w:tcW w:w="3197" w:type="dxa"/>
          </w:tcPr>
          <w:p>
            <w:pPr>
              <w:pStyle w:val="TableParagraph"/>
              <w:spacing w:before="30"/>
              <w:ind w:right="95"/>
              <w:jc w:val="right"/>
              <w:rPr>
                <w:b/>
                <w:sz w:val="20"/>
              </w:rPr>
            </w:pPr>
            <w:r>
              <w:rPr>
                <w:b/>
                <w:spacing w:val="-2"/>
                <w:sz w:val="20"/>
              </w:rPr>
              <w:t>1,065,774,378.00</w:t>
            </w:r>
          </w:p>
        </w:tc>
      </w:tr>
    </w:tbl>
    <w:p>
      <w:pPr>
        <w:spacing w:after="0"/>
        <w:jc w:val="right"/>
        <w:rPr>
          <w:sz w:val="20"/>
        </w:rPr>
        <w:sectPr>
          <w:headerReference w:type="default" r:id="rId27"/>
          <w:footerReference w:type="default" r:id="rId28"/>
          <w:pgSz w:w="11900" w:h="16840"/>
          <w:pgMar w:header="751" w:footer="729" w:top="1600" w:bottom="920" w:left="1320" w:right="1320"/>
        </w:sect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spacing w:before="215"/>
        <w:ind w:left="120" w:right="0" w:firstLine="0"/>
        <w:jc w:val="left"/>
        <w:rPr>
          <w:rFonts w:ascii="Calibri Light"/>
          <w:b w:val="0"/>
          <w:sz w:val="24"/>
        </w:rPr>
      </w:pPr>
      <w:bookmarkStart w:name="Appendix 5 Scholarships Allocations – 20" w:id="48"/>
      <w:bookmarkEnd w:id="48"/>
      <w:r>
        <w:rPr/>
      </w:r>
      <w:bookmarkStart w:name="_bookmark23" w:id="49"/>
      <w:bookmarkEnd w:id="49"/>
      <w:r>
        <w:rPr/>
      </w:r>
      <w:r>
        <w:rPr>
          <w:rFonts w:ascii="Calibri Light"/>
          <w:b w:val="0"/>
          <w:spacing w:val="-2"/>
          <w:sz w:val="24"/>
        </w:rPr>
        <w:t>A</w:t>
      </w:r>
      <w:r>
        <w:rPr>
          <w:rFonts w:ascii="Calibri Light"/>
          <w:b w:val="0"/>
          <w:spacing w:val="-2"/>
          <w:sz w:val="19"/>
        </w:rPr>
        <w:t>PPENDIX</w:t>
      </w:r>
      <w:r>
        <w:rPr>
          <w:rFonts w:ascii="Calibri Light"/>
          <w:b w:val="0"/>
          <w:spacing w:val="-1"/>
          <w:sz w:val="19"/>
        </w:rPr>
        <w:t> </w:t>
      </w:r>
      <w:r>
        <w:rPr>
          <w:rFonts w:ascii="Calibri Light"/>
          <w:b w:val="0"/>
          <w:spacing w:val="-10"/>
          <w:sz w:val="24"/>
        </w:rPr>
        <w:t>5</w:t>
      </w:r>
    </w:p>
    <w:p>
      <w:pPr>
        <w:pStyle w:val="Heading2"/>
        <w:spacing w:before="38"/>
        <w:rPr>
          <w:b w:val="0"/>
        </w:rPr>
      </w:pPr>
      <w:r>
        <w:rPr>
          <w:b w:val="0"/>
          <w:smallCaps/>
          <w:spacing w:val="-2"/>
        </w:rPr>
        <w:t>Scholarships</w:t>
      </w:r>
      <w:r>
        <w:rPr>
          <w:b w:val="0"/>
          <w:smallCaps/>
          <w:spacing w:val="-5"/>
        </w:rPr>
        <w:t> </w:t>
      </w:r>
      <w:r>
        <w:rPr>
          <w:b w:val="0"/>
          <w:smallCaps/>
          <w:spacing w:val="-2"/>
        </w:rPr>
        <w:t>Allocations</w:t>
      </w:r>
      <w:r>
        <w:rPr>
          <w:b w:val="0"/>
          <w:smallCaps/>
          <w:spacing w:val="-5"/>
        </w:rPr>
        <w:t> </w:t>
      </w:r>
      <w:r>
        <w:rPr>
          <w:b w:val="0"/>
          <w:smallCaps/>
          <w:spacing w:val="-2"/>
        </w:rPr>
        <w:t>–</w:t>
      </w:r>
      <w:r>
        <w:rPr>
          <w:b w:val="0"/>
          <w:smallCaps/>
          <w:spacing w:val="-9"/>
        </w:rPr>
        <w:t> </w:t>
      </w:r>
      <w:r>
        <w:rPr>
          <w:b w:val="0"/>
          <w:smallCaps/>
          <w:spacing w:val="-2"/>
        </w:rPr>
        <w:t>2015</w:t>
      </w:r>
      <w:r>
        <w:rPr>
          <w:b w:val="0"/>
          <w:smallCaps/>
          <w:spacing w:val="-18"/>
        </w:rPr>
        <w:t> </w:t>
      </w:r>
      <w:r>
        <w:rPr>
          <w:b w:val="0"/>
          <w:smallCaps/>
          <w:spacing w:val="-2"/>
        </w:rPr>
        <w:t>&amp;</w:t>
      </w:r>
      <w:r>
        <w:rPr>
          <w:b w:val="0"/>
          <w:smallCaps/>
          <w:spacing w:val="-7"/>
        </w:rPr>
        <w:t> </w:t>
      </w:r>
      <w:r>
        <w:rPr>
          <w:b w:val="0"/>
          <w:smallCaps/>
          <w:spacing w:val="-4"/>
        </w:rPr>
        <w:t>2016</w:t>
      </w:r>
    </w:p>
    <w:p>
      <w:pPr>
        <w:spacing w:after="0"/>
        <w:sectPr>
          <w:headerReference w:type="default" r:id="rId29"/>
          <w:footerReference w:type="default" r:id="rId30"/>
          <w:pgSz w:w="11900" w:h="16840"/>
          <w:pgMar w:header="751" w:footer="729" w:top="1600" w:bottom="920" w:left="1320" w:right="1320"/>
        </w:sectPr>
      </w:pPr>
    </w:p>
    <w:p>
      <w:pPr>
        <w:pStyle w:val="BodyText"/>
        <w:spacing w:before="28"/>
        <w:ind w:left="1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p>
      <w:pPr>
        <w:pStyle w:val="BodyText"/>
        <w:rPr>
          <w:rFonts w:ascii="Calibri Light"/>
          <w:b w:val="0"/>
          <w:sz w:val="20"/>
        </w:rPr>
      </w:pPr>
    </w:p>
    <w:p>
      <w:pPr>
        <w:pStyle w:val="BodyText"/>
        <w:spacing w:before="8"/>
        <w:rPr>
          <w:rFonts w:ascii="Calibri Light"/>
          <w:b w:val="0"/>
          <w:sz w:val="25"/>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1"/>
        <w:gridCol w:w="1095"/>
        <w:gridCol w:w="932"/>
        <w:gridCol w:w="2127"/>
        <w:gridCol w:w="2026"/>
        <w:gridCol w:w="1800"/>
        <w:gridCol w:w="1560"/>
        <w:gridCol w:w="1594"/>
        <w:gridCol w:w="1560"/>
      </w:tblGrid>
      <w:tr>
        <w:trPr>
          <w:trHeight w:val="501" w:hRule="atLeast"/>
        </w:trPr>
        <w:tc>
          <w:tcPr>
            <w:tcW w:w="13755" w:type="dxa"/>
            <w:gridSpan w:val="9"/>
            <w:tcBorders>
              <w:top w:val="nil"/>
              <w:left w:val="nil"/>
              <w:right w:val="nil"/>
            </w:tcBorders>
          </w:tcPr>
          <w:p>
            <w:pPr>
              <w:pStyle w:val="TableParagraph"/>
              <w:spacing w:line="205" w:lineRule="exact"/>
              <w:ind w:left="552"/>
              <w:rPr>
                <w:b/>
                <w:sz w:val="20"/>
              </w:rPr>
            </w:pPr>
            <w:r>
              <w:rPr>
                <w:b/>
                <w:spacing w:val="-4"/>
                <w:sz w:val="20"/>
              </w:rPr>
              <w:t>2016</w:t>
            </w:r>
          </w:p>
        </w:tc>
      </w:tr>
      <w:tr>
        <w:trPr>
          <w:trHeight w:val="561" w:hRule="atLeast"/>
        </w:trPr>
        <w:tc>
          <w:tcPr>
            <w:tcW w:w="1061" w:type="dxa"/>
            <w:shd w:val="clear" w:color="auto" w:fill="FFF8DC"/>
          </w:tcPr>
          <w:p>
            <w:pPr>
              <w:pStyle w:val="TableParagraph"/>
              <w:spacing w:before="159"/>
              <w:ind w:right="302"/>
              <w:jc w:val="right"/>
              <w:rPr>
                <w:b/>
                <w:sz w:val="20"/>
              </w:rPr>
            </w:pPr>
            <w:r>
              <w:rPr>
                <w:b/>
                <w:spacing w:val="-4"/>
                <w:sz w:val="20"/>
              </w:rPr>
              <w:t>Head</w:t>
            </w:r>
          </w:p>
        </w:tc>
        <w:tc>
          <w:tcPr>
            <w:tcW w:w="1095" w:type="dxa"/>
            <w:shd w:val="clear" w:color="auto" w:fill="FFF8DC"/>
          </w:tcPr>
          <w:p>
            <w:pPr>
              <w:pStyle w:val="TableParagraph"/>
              <w:spacing w:before="159"/>
              <w:ind w:left="172"/>
              <w:rPr>
                <w:b/>
                <w:sz w:val="20"/>
              </w:rPr>
            </w:pPr>
            <w:r>
              <w:rPr>
                <w:b/>
                <w:spacing w:val="-2"/>
                <w:sz w:val="20"/>
              </w:rPr>
              <w:t>SubHead</w:t>
            </w:r>
          </w:p>
        </w:tc>
        <w:tc>
          <w:tcPr>
            <w:tcW w:w="932" w:type="dxa"/>
            <w:shd w:val="clear" w:color="auto" w:fill="FFF8DC"/>
          </w:tcPr>
          <w:p>
            <w:pPr>
              <w:pStyle w:val="TableParagraph"/>
              <w:spacing w:before="159"/>
              <w:ind w:left="123"/>
              <w:rPr>
                <w:b/>
                <w:sz w:val="20"/>
              </w:rPr>
            </w:pPr>
            <w:r>
              <w:rPr>
                <w:b/>
                <w:spacing w:val="-2"/>
                <w:sz w:val="20"/>
              </w:rPr>
              <w:t>Account</w:t>
            </w:r>
          </w:p>
        </w:tc>
        <w:tc>
          <w:tcPr>
            <w:tcW w:w="2127" w:type="dxa"/>
            <w:shd w:val="clear" w:color="auto" w:fill="FFF8DC"/>
          </w:tcPr>
          <w:p>
            <w:pPr>
              <w:pStyle w:val="TableParagraph"/>
              <w:spacing w:before="159"/>
              <w:ind w:right="218"/>
              <w:jc w:val="right"/>
              <w:rPr>
                <w:b/>
                <w:sz w:val="20"/>
              </w:rPr>
            </w:pPr>
            <w:r>
              <w:rPr>
                <w:b/>
                <w:sz w:val="20"/>
              </w:rPr>
              <w:t>Account</w:t>
            </w:r>
            <w:r>
              <w:rPr>
                <w:b/>
                <w:spacing w:val="-3"/>
                <w:sz w:val="20"/>
              </w:rPr>
              <w:t> </w:t>
            </w:r>
            <w:r>
              <w:rPr>
                <w:b/>
                <w:spacing w:val="-2"/>
                <w:sz w:val="20"/>
              </w:rPr>
              <w:t>Description</w:t>
            </w:r>
          </w:p>
        </w:tc>
        <w:tc>
          <w:tcPr>
            <w:tcW w:w="2026" w:type="dxa"/>
            <w:shd w:val="clear" w:color="auto" w:fill="FFF8DC"/>
          </w:tcPr>
          <w:p>
            <w:pPr>
              <w:pStyle w:val="TableParagraph"/>
              <w:spacing w:before="159"/>
              <w:ind w:left="516"/>
              <w:rPr>
                <w:b/>
                <w:sz w:val="20"/>
              </w:rPr>
            </w:pPr>
            <w:r>
              <w:rPr>
                <w:b/>
                <w:sz w:val="20"/>
              </w:rPr>
              <w:t>Original</w:t>
            </w:r>
            <w:r>
              <w:rPr>
                <w:b/>
                <w:spacing w:val="-9"/>
                <w:sz w:val="20"/>
              </w:rPr>
              <w:t> </w:t>
            </w:r>
            <w:r>
              <w:rPr>
                <w:b/>
                <w:spacing w:val="-5"/>
                <w:sz w:val="20"/>
              </w:rPr>
              <w:t>SET</w:t>
            </w:r>
          </w:p>
        </w:tc>
        <w:tc>
          <w:tcPr>
            <w:tcW w:w="1800" w:type="dxa"/>
            <w:shd w:val="clear" w:color="auto" w:fill="FFF8DC"/>
          </w:tcPr>
          <w:p>
            <w:pPr>
              <w:pStyle w:val="TableParagraph"/>
              <w:spacing w:before="159"/>
              <w:ind w:left="251"/>
              <w:rPr>
                <w:b/>
                <w:sz w:val="20"/>
              </w:rPr>
            </w:pPr>
            <w:r>
              <w:rPr>
                <w:b/>
                <w:sz w:val="20"/>
              </w:rPr>
              <w:t>Revised</w:t>
            </w:r>
            <w:r>
              <w:rPr>
                <w:b/>
                <w:spacing w:val="-7"/>
                <w:sz w:val="20"/>
              </w:rPr>
              <w:t> </w:t>
            </w:r>
            <w:r>
              <w:rPr>
                <w:b/>
                <w:spacing w:val="-2"/>
                <w:sz w:val="20"/>
              </w:rPr>
              <w:t>Budget</w:t>
            </w:r>
          </w:p>
        </w:tc>
        <w:tc>
          <w:tcPr>
            <w:tcW w:w="1560" w:type="dxa"/>
            <w:shd w:val="clear" w:color="auto" w:fill="FFF8DC"/>
          </w:tcPr>
          <w:p>
            <w:pPr>
              <w:pStyle w:val="TableParagraph"/>
              <w:spacing w:before="159"/>
              <w:ind w:left="328"/>
              <w:rPr>
                <w:b/>
                <w:sz w:val="20"/>
              </w:rPr>
            </w:pPr>
            <w:r>
              <w:rPr>
                <w:b/>
                <w:sz w:val="20"/>
              </w:rPr>
              <w:t>YTD </w:t>
            </w:r>
            <w:r>
              <w:rPr>
                <w:b/>
                <w:spacing w:val="-2"/>
                <w:sz w:val="20"/>
              </w:rPr>
              <w:t>Actual</w:t>
            </w:r>
          </w:p>
        </w:tc>
        <w:tc>
          <w:tcPr>
            <w:tcW w:w="1594" w:type="dxa"/>
            <w:shd w:val="clear" w:color="auto" w:fill="FFF8DC"/>
          </w:tcPr>
          <w:p>
            <w:pPr>
              <w:pStyle w:val="TableParagraph"/>
              <w:spacing w:before="159"/>
              <w:ind w:left="410"/>
              <w:rPr>
                <w:b/>
                <w:sz w:val="20"/>
              </w:rPr>
            </w:pPr>
            <w:r>
              <w:rPr>
                <w:b/>
                <w:spacing w:val="-2"/>
                <w:sz w:val="20"/>
              </w:rPr>
              <w:t>Reserved</w:t>
            </w:r>
          </w:p>
        </w:tc>
        <w:tc>
          <w:tcPr>
            <w:tcW w:w="1560" w:type="dxa"/>
            <w:shd w:val="clear" w:color="auto" w:fill="FFF8DC"/>
          </w:tcPr>
          <w:p>
            <w:pPr>
              <w:pStyle w:val="TableParagraph"/>
              <w:spacing w:before="159"/>
              <w:ind w:left="212"/>
              <w:rPr>
                <w:b/>
                <w:sz w:val="20"/>
              </w:rPr>
            </w:pPr>
            <w:r>
              <w:rPr>
                <w:b/>
                <w:sz w:val="20"/>
              </w:rPr>
              <w:t>Budget</w:t>
            </w:r>
            <w:r>
              <w:rPr>
                <w:b/>
                <w:spacing w:val="-3"/>
                <w:sz w:val="20"/>
              </w:rPr>
              <w:t> </w:t>
            </w:r>
            <w:r>
              <w:rPr>
                <w:b/>
                <w:sz w:val="20"/>
              </w:rPr>
              <w:t>To</w:t>
            </w:r>
            <w:r>
              <w:rPr>
                <w:b/>
                <w:spacing w:val="-2"/>
                <w:sz w:val="20"/>
              </w:rPr>
              <w:t> </w:t>
            </w:r>
            <w:r>
              <w:rPr>
                <w:b/>
                <w:spacing w:val="-5"/>
                <w:sz w:val="20"/>
              </w:rPr>
              <w:t>Go</w:t>
            </w:r>
          </w:p>
        </w:tc>
      </w:tr>
      <w:tr>
        <w:trPr>
          <w:trHeight w:val="297" w:hRule="atLeast"/>
        </w:trPr>
        <w:tc>
          <w:tcPr>
            <w:tcW w:w="1061" w:type="dxa"/>
            <w:shd w:val="clear" w:color="auto" w:fill="FFF8DC"/>
          </w:tcPr>
          <w:p>
            <w:pPr>
              <w:pStyle w:val="TableParagraph"/>
              <w:spacing w:line="223" w:lineRule="exact" w:before="54"/>
              <w:ind w:left="105"/>
              <w:rPr>
                <w:sz w:val="20"/>
              </w:rPr>
            </w:pPr>
            <w:r>
              <w:rPr>
                <w:spacing w:val="-5"/>
                <w:sz w:val="20"/>
              </w:rPr>
              <w:t>272</w:t>
            </w:r>
          </w:p>
        </w:tc>
        <w:tc>
          <w:tcPr>
            <w:tcW w:w="1095" w:type="dxa"/>
          </w:tcPr>
          <w:p>
            <w:pPr>
              <w:pStyle w:val="TableParagraph"/>
              <w:spacing w:line="223" w:lineRule="exact" w:before="54"/>
              <w:ind w:left="105"/>
              <w:rPr>
                <w:sz w:val="20"/>
              </w:rPr>
            </w:pPr>
            <w:r>
              <w:rPr>
                <w:spacing w:val="-4"/>
                <w:sz w:val="20"/>
              </w:rPr>
              <w:t>0191</w:t>
            </w:r>
          </w:p>
        </w:tc>
        <w:tc>
          <w:tcPr>
            <w:tcW w:w="932" w:type="dxa"/>
          </w:tcPr>
          <w:p>
            <w:pPr>
              <w:pStyle w:val="TableParagraph"/>
              <w:spacing w:line="223" w:lineRule="exact" w:before="54"/>
              <w:ind w:left="109"/>
              <w:rPr>
                <w:sz w:val="20"/>
              </w:rPr>
            </w:pPr>
            <w:r>
              <w:rPr>
                <w:spacing w:val="-4"/>
                <w:sz w:val="20"/>
              </w:rPr>
              <w:t>2604</w:t>
            </w:r>
          </w:p>
        </w:tc>
        <w:tc>
          <w:tcPr>
            <w:tcW w:w="2127" w:type="dxa"/>
          </w:tcPr>
          <w:p>
            <w:pPr>
              <w:pStyle w:val="TableParagraph"/>
              <w:spacing w:line="223" w:lineRule="exact" w:before="54"/>
              <w:ind w:left="103"/>
              <w:rPr>
                <w:sz w:val="20"/>
              </w:rPr>
            </w:pPr>
            <w:r>
              <w:rPr>
                <w:sz w:val="20"/>
              </w:rPr>
              <w:t>Training</w:t>
            </w:r>
            <w:r>
              <w:rPr>
                <w:spacing w:val="-8"/>
                <w:sz w:val="20"/>
              </w:rPr>
              <w:t> </w:t>
            </w:r>
            <w:r>
              <w:rPr>
                <w:sz w:val="20"/>
              </w:rPr>
              <w:t>-</w:t>
            </w:r>
            <w:r>
              <w:rPr>
                <w:spacing w:val="-5"/>
                <w:sz w:val="20"/>
              </w:rPr>
              <w:t> </w:t>
            </w:r>
            <w:r>
              <w:rPr>
                <w:spacing w:val="-4"/>
                <w:sz w:val="20"/>
              </w:rPr>
              <w:t>Other</w:t>
            </w:r>
          </w:p>
        </w:tc>
        <w:tc>
          <w:tcPr>
            <w:tcW w:w="2026" w:type="dxa"/>
          </w:tcPr>
          <w:p>
            <w:pPr>
              <w:pStyle w:val="TableParagraph"/>
              <w:spacing w:line="223" w:lineRule="exact" w:before="54"/>
              <w:ind w:right="96"/>
              <w:jc w:val="right"/>
              <w:rPr>
                <w:sz w:val="20"/>
              </w:rPr>
            </w:pPr>
            <w:r>
              <w:rPr>
                <w:spacing w:val="-2"/>
                <w:sz w:val="20"/>
              </w:rPr>
              <w:t>37,521,876.00</w:t>
            </w:r>
          </w:p>
        </w:tc>
        <w:tc>
          <w:tcPr>
            <w:tcW w:w="1800" w:type="dxa"/>
          </w:tcPr>
          <w:p>
            <w:pPr>
              <w:pStyle w:val="TableParagraph"/>
              <w:spacing w:line="223" w:lineRule="exact" w:before="54"/>
              <w:ind w:right="101"/>
              <w:jc w:val="right"/>
              <w:rPr>
                <w:sz w:val="20"/>
              </w:rPr>
            </w:pPr>
            <w:r>
              <w:rPr>
                <w:spacing w:val="-2"/>
                <w:sz w:val="20"/>
              </w:rPr>
              <w:t>64,812,511.00</w:t>
            </w:r>
          </w:p>
        </w:tc>
        <w:tc>
          <w:tcPr>
            <w:tcW w:w="1560" w:type="dxa"/>
          </w:tcPr>
          <w:p>
            <w:pPr>
              <w:pStyle w:val="TableParagraph"/>
              <w:spacing w:line="223" w:lineRule="exact" w:before="54"/>
              <w:ind w:right="96"/>
              <w:jc w:val="right"/>
              <w:rPr>
                <w:sz w:val="20"/>
              </w:rPr>
            </w:pPr>
            <w:r>
              <w:rPr>
                <w:spacing w:val="-2"/>
                <w:sz w:val="20"/>
              </w:rPr>
              <w:t>21,579,873.76</w:t>
            </w:r>
          </w:p>
        </w:tc>
        <w:tc>
          <w:tcPr>
            <w:tcW w:w="1594" w:type="dxa"/>
          </w:tcPr>
          <w:p>
            <w:pPr>
              <w:pStyle w:val="TableParagraph"/>
              <w:spacing w:line="223" w:lineRule="exact" w:before="54"/>
              <w:ind w:right="96"/>
              <w:jc w:val="right"/>
              <w:rPr>
                <w:sz w:val="20"/>
              </w:rPr>
            </w:pPr>
            <w:r>
              <w:rPr>
                <w:spacing w:val="-2"/>
                <w:sz w:val="20"/>
              </w:rPr>
              <w:t>21,579,873.76</w:t>
            </w:r>
          </w:p>
        </w:tc>
        <w:tc>
          <w:tcPr>
            <w:tcW w:w="1560" w:type="dxa"/>
          </w:tcPr>
          <w:p>
            <w:pPr>
              <w:pStyle w:val="TableParagraph"/>
              <w:spacing w:line="223" w:lineRule="exact" w:before="54"/>
              <w:ind w:right="101"/>
              <w:jc w:val="right"/>
              <w:rPr>
                <w:sz w:val="20"/>
              </w:rPr>
            </w:pPr>
            <w:r>
              <w:rPr>
                <w:spacing w:val="-2"/>
                <w:sz w:val="20"/>
              </w:rPr>
              <w:t>43,232,637.24</w:t>
            </w:r>
          </w:p>
        </w:tc>
      </w:tr>
      <w:tr>
        <w:trPr>
          <w:trHeight w:val="302" w:hRule="atLeast"/>
        </w:trPr>
        <w:tc>
          <w:tcPr>
            <w:tcW w:w="1061" w:type="dxa"/>
            <w:shd w:val="clear" w:color="auto" w:fill="FFF8DC"/>
          </w:tcPr>
          <w:p>
            <w:pPr>
              <w:pStyle w:val="TableParagraph"/>
              <w:spacing w:line="223" w:lineRule="exact" w:before="59"/>
              <w:ind w:left="105"/>
              <w:rPr>
                <w:sz w:val="20"/>
              </w:rPr>
            </w:pPr>
            <w:r>
              <w:rPr>
                <w:spacing w:val="-5"/>
                <w:sz w:val="20"/>
              </w:rPr>
              <w:t>272</w:t>
            </w:r>
          </w:p>
        </w:tc>
        <w:tc>
          <w:tcPr>
            <w:tcW w:w="1095" w:type="dxa"/>
          </w:tcPr>
          <w:p>
            <w:pPr>
              <w:pStyle w:val="TableParagraph"/>
              <w:spacing w:line="223" w:lineRule="exact" w:before="59"/>
              <w:ind w:left="105"/>
              <w:rPr>
                <w:sz w:val="20"/>
              </w:rPr>
            </w:pPr>
            <w:r>
              <w:rPr>
                <w:spacing w:val="-4"/>
                <w:sz w:val="20"/>
              </w:rPr>
              <w:t>0191</w:t>
            </w:r>
          </w:p>
        </w:tc>
        <w:tc>
          <w:tcPr>
            <w:tcW w:w="932" w:type="dxa"/>
          </w:tcPr>
          <w:p>
            <w:pPr>
              <w:pStyle w:val="TableParagraph"/>
              <w:spacing w:line="223" w:lineRule="exact" w:before="59"/>
              <w:ind w:left="109"/>
              <w:rPr>
                <w:sz w:val="20"/>
              </w:rPr>
            </w:pPr>
            <w:r>
              <w:rPr>
                <w:spacing w:val="-4"/>
                <w:sz w:val="20"/>
              </w:rPr>
              <w:t>2605</w:t>
            </w:r>
          </w:p>
        </w:tc>
        <w:tc>
          <w:tcPr>
            <w:tcW w:w="2127" w:type="dxa"/>
          </w:tcPr>
          <w:p>
            <w:pPr>
              <w:pStyle w:val="TableParagraph"/>
              <w:spacing w:line="223" w:lineRule="exact" w:before="59"/>
              <w:ind w:left="103"/>
              <w:rPr>
                <w:sz w:val="20"/>
              </w:rPr>
            </w:pPr>
            <w:r>
              <w:rPr>
                <w:sz w:val="20"/>
              </w:rPr>
              <w:t>Training</w:t>
            </w:r>
            <w:r>
              <w:rPr>
                <w:spacing w:val="-6"/>
                <w:sz w:val="20"/>
              </w:rPr>
              <w:t> </w:t>
            </w:r>
            <w:r>
              <w:rPr>
                <w:sz w:val="20"/>
              </w:rPr>
              <w:t>-</w:t>
            </w:r>
            <w:r>
              <w:rPr>
                <w:spacing w:val="-5"/>
                <w:sz w:val="20"/>
              </w:rPr>
              <w:t> </w:t>
            </w:r>
            <w:r>
              <w:rPr>
                <w:spacing w:val="-2"/>
                <w:sz w:val="20"/>
              </w:rPr>
              <w:t>Overseas</w:t>
            </w:r>
          </w:p>
        </w:tc>
        <w:tc>
          <w:tcPr>
            <w:tcW w:w="2026" w:type="dxa"/>
          </w:tcPr>
          <w:p>
            <w:pPr>
              <w:pStyle w:val="TableParagraph"/>
              <w:spacing w:line="223" w:lineRule="exact" w:before="59"/>
              <w:ind w:right="101"/>
              <w:jc w:val="right"/>
              <w:rPr>
                <w:sz w:val="20"/>
              </w:rPr>
            </w:pPr>
            <w:r>
              <w:rPr>
                <w:spacing w:val="-2"/>
                <w:sz w:val="20"/>
              </w:rPr>
              <w:t>110,588,962.00</w:t>
            </w:r>
          </w:p>
        </w:tc>
        <w:tc>
          <w:tcPr>
            <w:tcW w:w="1800" w:type="dxa"/>
          </w:tcPr>
          <w:p>
            <w:pPr>
              <w:pStyle w:val="TableParagraph"/>
              <w:spacing w:line="223" w:lineRule="exact" w:before="59"/>
              <w:ind w:right="105"/>
              <w:jc w:val="right"/>
              <w:rPr>
                <w:sz w:val="20"/>
              </w:rPr>
            </w:pPr>
            <w:r>
              <w:rPr>
                <w:spacing w:val="-2"/>
                <w:sz w:val="20"/>
              </w:rPr>
              <w:t>184,820,135.00</w:t>
            </w:r>
          </w:p>
        </w:tc>
        <w:tc>
          <w:tcPr>
            <w:tcW w:w="1560" w:type="dxa"/>
          </w:tcPr>
          <w:p>
            <w:pPr>
              <w:pStyle w:val="TableParagraph"/>
              <w:spacing w:line="223" w:lineRule="exact" w:before="59"/>
              <w:ind w:right="101"/>
              <w:jc w:val="right"/>
              <w:rPr>
                <w:sz w:val="20"/>
              </w:rPr>
            </w:pPr>
            <w:r>
              <w:rPr>
                <w:spacing w:val="-2"/>
                <w:sz w:val="20"/>
              </w:rPr>
              <w:t>174,619,589.84</w:t>
            </w:r>
          </w:p>
        </w:tc>
        <w:tc>
          <w:tcPr>
            <w:tcW w:w="1594" w:type="dxa"/>
          </w:tcPr>
          <w:p>
            <w:pPr>
              <w:pStyle w:val="TableParagraph"/>
              <w:spacing w:line="223" w:lineRule="exact" w:before="59"/>
              <w:ind w:right="101"/>
              <w:jc w:val="right"/>
              <w:rPr>
                <w:sz w:val="20"/>
              </w:rPr>
            </w:pPr>
            <w:r>
              <w:rPr>
                <w:spacing w:val="-2"/>
                <w:sz w:val="20"/>
              </w:rPr>
              <w:t>174,619,589.84</w:t>
            </w:r>
          </w:p>
        </w:tc>
        <w:tc>
          <w:tcPr>
            <w:tcW w:w="1560" w:type="dxa"/>
          </w:tcPr>
          <w:p>
            <w:pPr>
              <w:pStyle w:val="TableParagraph"/>
              <w:spacing w:line="223" w:lineRule="exact" w:before="59"/>
              <w:ind w:right="101"/>
              <w:jc w:val="right"/>
              <w:rPr>
                <w:sz w:val="20"/>
              </w:rPr>
            </w:pPr>
            <w:r>
              <w:rPr>
                <w:spacing w:val="-2"/>
                <w:sz w:val="20"/>
              </w:rPr>
              <w:t>10,200,545.16</w:t>
            </w:r>
          </w:p>
        </w:tc>
      </w:tr>
      <w:tr>
        <w:trPr>
          <w:trHeight w:val="489" w:hRule="atLeast"/>
        </w:trPr>
        <w:tc>
          <w:tcPr>
            <w:tcW w:w="1061" w:type="dxa"/>
            <w:shd w:val="clear" w:color="auto" w:fill="FFF8DC"/>
          </w:tcPr>
          <w:p>
            <w:pPr>
              <w:pStyle w:val="TableParagraph"/>
              <w:spacing w:before="2"/>
              <w:rPr>
                <w:rFonts w:ascii="Calibri Light"/>
                <w:b w:val="0"/>
                <w:sz w:val="20"/>
              </w:rPr>
            </w:pPr>
          </w:p>
          <w:p>
            <w:pPr>
              <w:pStyle w:val="TableParagraph"/>
              <w:spacing w:line="223" w:lineRule="exact"/>
              <w:ind w:left="105"/>
              <w:rPr>
                <w:sz w:val="20"/>
              </w:rPr>
            </w:pPr>
            <w:r>
              <w:rPr>
                <w:spacing w:val="-5"/>
                <w:sz w:val="20"/>
              </w:rPr>
              <w:t>272</w:t>
            </w:r>
          </w:p>
        </w:tc>
        <w:tc>
          <w:tcPr>
            <w:tcW w:w="1095" w:type="dxa"/>
          </w:tcPr>
          <w:p>
            <w:pPr>
              <w:pStyle w:val="TableParagraph"/>
              <w:spacing w:before="2"/>
              <w:rPr>
                <w:rFonts w:ascii="Calibri Light"/>
                <w:b w:val="0"/>
                <w:sz w:val="20"/>
              </w:rPr>
            </w:pPr>
          </w:p>
          <w:p>
            <w:pPr>
              <w:pStyle w:val="TableParagraph"/>
              <w:spacing w:line="223" w:lineRule="exact"/>
              <w:ind w:left="105"/>
              <w:rPr>
                <w:sz w:val="20"/>
              </w:rPr>
            </w:pPr>
            <w:r>
              <w:rPr>
                <w:spacing w:val="-4"/>
                <w:sz w:val="20"/>
              </w:rPr>
              <w:t>0191</w:t>
            </w:r>
          </w:p>
        </w:tc>
        <w:tc>
          <w:tcPr>
            <w:tcW w:w="932" w:type="dxa"/>
          </w:tcPr>
          <w:p>
            <w:pPr>
              <w:pStyle w:val="TableParagraph"/>
              <w:spacing w:before="2"/>
              <w:rPr>
                <w:rFonts w:ascii="Calibri Light"/>
                <w:b w:val="0"/>
                <w:sz w:val="20"/>
              </w:rPr>
            </w:pPr>
          </w:p>
          <w:p>
            <w:pPr>
              <w:pStyle w:val="TableParagraph"/>
              <w:spacing w:line="223" w:lineRule="exact"/>
              <w:ind w:left="109"/>
              <w:rPr>
                <w:sz w:val="20"/>
              </w:rPr>
            </w:pPr>
            <w:r>
              <w:rPr>
                <w:spacing w:val="-4"/>
                <w:sz w:val="20"/>
              </w:rPr>
              <w:t>2718</w:t>
            </w:r>
          </w:p>
        </w:tc>
        <w:tc>
          <w:tcPr>
            <w:tcW w:w="2127" w:type="dxa"/>
          </w:tcPr>
          <w:p>
            <w:pPr>
              <w:pStyle w:val="TableParagraph"/>
              <w:spacing w:line="240" w:lineRule="atLeast"/>
              <w:ind w:left="103" w:right="184"/>
              <w:rPr>
                <w:sz w:val="20"/>
              </w:rPr>
            </w:pPr>
            <w:r>
              <w:rPr>
                <w:sz w:val="20"/>
              </w:rPr>
              <w:t>Others</w:t>
            </w:r>
            <w:r>
              <w:rPr>
                <w:spacing w:val="-12"/>
                <w:sz w:val="20"/>
              </w:rPr>
              <w:t> </w:t>
            </w:r>
            <w:r>
              <w:rPr>
                <w:sz w:val="20"/>
              </w:rPr>
              <w:t>-</w:t>
            </w:r>
            <w:r>
              <w:rPr>
                <w:spacing w:val="-11"/>
                <w:sz w:val="20"/>
              </w:rPr>
              <w:t> </w:t>
            </w:r>
            <w:r>
              <w:rPr>
                <w:sz w:val="20"/>
              </w:rPr>
              <w:t>Overseas </w:t>
            </w:r>
            <w:r>
              <w:rPr>
                <w:spacing w:val="-2"/>
                <w:sz w:val="20"/>
              </w:rPr>
              <w:t>Fares</w:t>
            </w:r>
          </w:p>
        </w:tc>
        <w:tc>
          <w:tcPr>
            <w:tcW w:w="2026" w:type="dxa"/>
          </w:tcPr>
          <w:p>
            <w:pPr>
              <w:pStyle w:val="TableParagraph"/>
              <w:spacing w:before="2"/>
              <w:rPr>
                <w:rFonts w:ascii="Calibri Light"/>
                <w:b w:val="0"/>
                <w:sz w:val="20"/>
              </w:rPr>
            </w:pPr>
          </w:p>
          <w:p>
            <w:pPr>
              <w:pStyle w:val="TableParagraph"/>
              <w:spacing w:line="223" w:lineRule="exact"/>
              <w:ind w:right="96"/>
              <w:jc w:val="right"/>
              <w:rPr>
                <w:sz w:val="20"/>
              </w:rPr>
            </w:pPr>
            <w:r>
              <w:rPr>
                <w:spacing w:val="-2"/>
                <w:sz w:val="20"/>
              </w:rPr>
              <w:t>9,594,000.00</w:t>
            </w:r>
          </w:p>
        </w:tc>
        <w:tc>
          <w:tcPr>
            <w:tcW w:w="1800" w:type="dxa"/>
          </w:tcPr>
          <w:p>
            <w:pPr>
              <w:pStyle w:val="TableParagraph"/>
              <w:spacing w:before="2"/>
              <w:rPr>
                <w:rFonts w:ascii="Calibri Light"/>
                <w:b w:val="0"/>
                <w:sz w:val="20"/>
              </w:rPr>
            </w:pPr>
          </w:p>
          <w:p>
            <w:pPr>
              <w:pStyle w:val="TableParagraph"/>
              <w:spacing w:line="223" w:lineRule="exact"/>
              <w:ind w:right="101"/>
              <w:jc w:val="right"/>
              <w:rPr>
                <w:sz w:val="20"/>
              </w:rPr>
            </w:pPr>
            <w:r>
              <w:rPr>
                <w:spacing w:val="-2"/>
                <w:sz w:val="20"/>
              </w:rPr>
              <w:t>9,594,000.00</w:t>
            </w:r>
          </w:p>
        </w:tc>
        <w:tc>
          <w:tcPr>
            <w:tcW w:w="1560" w:type="dxa"/>
          </w:tcPr>
          <w:p>
            <w:pPr>
              <w:pStyle w:val="TableParagraph"/>
              <w:spacing w:before="2"/>
              <w:rPr>
                <w:rFonts w:ascii="Calibri Light"/>
                <w:b w:val="0"/>
                <w:sz w:val="20"/>
              </w:rPr>
            </w:pPr>
          </w:p>
          <w:p>
            <w:pPr>
              <w:pStyle w:val="TableParagraph"/>
              <w:spacing w:line="223" w:lineRule="exact"/>
              <w:ind w:right="96"/>
              <w:jc w:val="right"/>
              <w:rPr>
                <w:sz w:val="20"/>
              </w:rPr>
            </w:pPr>
            <w:r>
              <w:rPr>
                <w:spacing w:val="-2"/>
                <w:sz w:val="20"/>
              </w:rPr>
              <w:t>7,628,134.27</w:t>
            </w:r>
          </w:p>
        </w:tc>
        <w:tc>
          <w:tcPr>
            <w:tcW w:w="1594" w:type="dxa"/>
          </w:tcPr>
          <w:p>
            <w:pPr>
              <w:pStyle w:val="TableParagraph"/>
              <w:spacing w:before="2"/>
              <w:rPr>
                <w:rFonts w:ascii="Calibri Light"/>
                <w:b w:val="0"/>
                <w:sz w:val="20"/>
              </w:rPr>
            </w:pPr>
          </w:p>
          <w:p>
            <w:pPr>
              <w:pStyle w:val="TableParagraph"/>
              <w:spacing w:line="223" w:lineRule="exact"/>
              <w:ind w:right="96"/>
              <w:jc w:val="right"/>
              <w:rPr>
                <w:sz w:val="20"/>
              </w:rPr>
            </w:pPr>
            <w:r>
              <w:rPr>
                <w:spacing w:val="-2"/>
                <w:sz w:val="20"/>
              </w:rPr>
              <w:t>7,628,134.27</w:t>
            </w:r>
          </w:p>
        </w:tc>
        <w:tc>
          <w:tcPr>
            <w:tcW w:w="1560" w:type="dxa"/>
          </w:tcPr>
          <w:p>
            <w:pPr>
              <w:pStyle w:val="TableParagraph"/>
              <w:spacing w:before="2"/>
              <w:rPr>
                <w:rFonts w:ascii="Calibri Light"/>
                <w:b w:val="0"/>
                <w:sz w:val="20"/>
              </w:rPr>
            </w:pPr>
          </w:p>
          <w:p>
            <w:pPr>
              <w:pStyle w:val="TableParagraph"/>
              <w:spacing w:line="223" w:lineRule="exact"/>
              <w:ind w:right="101"/>
              <w:jc w:val="right"/>
              <w:rPr>
                <w:sz w:val="20"/>
              </w:rPr>
            </w:pPr>
            <w:r>
              <w:rPr>
                <w:spacing w:val="-2"/>
                <w:sz w:val="20"/>
              </w:rPr>
              <w:t>1,965,865.73</w:t>
            </w:r>
          </w:p>
        </w:tc>
      </w:tr>
      <w:tr>
        <w:trPr>
          <w:trHeight w:val="556" w:hRule="atLeast"/>
        </w:trPr>
        <w:tc>
          <w:tcPr>
            <w:tcW w:w="1061" w:type="dxa"/>
            <w:shd w:val="clear" w:color="auto" w:fill="FFF8DC"/>
          </w:tcPr>
          <w:p>
            <w:pPr>
              <w:pStyle w:val="TableParagraph"/>
              <w:spacing w:before="8"/>
              <w:rPr>
                <w:rFonts w:ascii="Calibri Light"/>
                <w:b w:val="0"/>
                <w:sz w:val="25"/>
              </w:rPr>
            </w:pPr>
          </w:p>
          <w:p>
            <w:pPr>
              <w:pStyle w:val="TableParagraph"/>
              <w:spacing w:line="223" w:lineRule="exact"/>
              <w:ind w:left="105"/>
              <w:rPr>
                <w:sz w:val="20"/>
              </w:rPr>
            </w:pPr>
            <w:r>
              <w:rPr>
                <w:spacing w:val="-5"/>
                <w:sz w:val="20"/>
              </w:rPr>
              <w:t>272</w:t>
            </w:r>
          </w:p>
        </w:tc>
        <w:tc>
          <w:tcPr>
            <w:tcW w:w="1095" w:type="dxa"/>
          </w:tcPr>
          <w:p>
            <w:pPr>
              <w:pStyle w:val="TableParagraph"/>
              <w:spacing w:before="8"/>
              <w:rPr>
                <w:rFonts w:ascii="Calibri Light"/>
                <w:b w:val="0"/>
                <w:sz w:val="25"/>
              </w:rPr>
            </w:pPr>
          </w:p>
          <w:p>
            <w:pPr>
              <w:pStyle w:val="TableParagraph"/>
              <w:spacing w:line="223" w:lineRule="exact"/>
              <w:ind w:left="105"/>
              <w:rPr>
                <w:sz w:val="20"/>
              </w:rPr>
            </w:pPr>
            <w:r>
              <w:rPr>
                <w:spacing w:val="-4"/>
                <w:sz w:val="20"/>
              </w:rPr>
              <w:t>0191</w:t>
            </w:r>
          </w:p>
        </w:tc>
        <w:tc>
          <w:tcPr>
            <w:tcW w:w="932" w:type="dxa"/>
          </w:tcPr>
          <w:p>
            <w:pPr>
              <w:pStyle w:val="TableParagraph"/>
              <w:spacing w:before="8"/>
              <w:rPr>
                <w:rFonts w:ascii="Calibri Light"/>
                <w:b w:val="0"/>
                <w:sz w:val="25"/>
              </w:rPr>
            </w:pPr>
          </w:p>
          <w:p>
            <w:pPr>
              <w:pStyle w:val="TableParagraph"/>
              <w:spacing w:line="223" w:lineRule="exact"/>
              <w:ind w:left="109"/>
              <w:rPr>
                <w:sz w:val="20"/>
              </w:rPr>
            </w:pPr>
            <w:r>
              <w:rPr>
                <w:spacing w:val="-4"/>
                <w:sz w:val="20"/>
              </w:rPr>
              <w:t>2720</w:t>
            </w:r>
          </w:p>
        </w:tc>
        <w:tc>
          <w:tcPr>
            <w:tcW w:w="2127" w:type="dxa"/>
          </w:tcPr>
          <w:p>
            <w:pPr>
              <w:pStyle w:val="TableParagraph"/>
              <w:spacing w:line="240" w:lineRule="exact" w:before="56"/>
              <w:ind w:left="103" w:right="184"/>
              <w:rPr>
                <w:sz w:val="20"/>
              </w:rPr>
            </w:pPr>
            <w:r>
              <w:rPr>
                <w:sz w:val="20"/>
              </w:rPr>
              <w:t>Others</w:t>
            </w:r>
            <w:r>
              <w:rPr>
                <w:spacing w:val="-12"/>
                <w:sz w:val="20"/>
              </w:rPr>
              <w:t> </w:t>
            </w:r>
            <w:r>
              <w:rPr>
                <w:sz w:val="20"/>
              </w:rPr>
              <w:t>-</w:t>
            </w:r>
            <w:r>
              <w:rPr>
                <w:spacing w:val="-11"/>
                <w:sz w:val="20"/>
              </w:rPr>
              <w:t> </w:t>
            </w:r>
            <w:r>
              <w:rPr>
                <w:sz w:val="20"/>
              </w:rPr>
              <w:t>Overseas Other Costs</w:t>
            </w:r>
          </w:p>
        </w:tc>
        <w:tc>
          <w:tcPr>
            <w:tcW w:w="2026" w:type="dxa"/>
          </w:tcPr>
          <w:p>
            <w:pPr>
              <w:pStyle w:val="TableParagraph"/>
              <w:spacing w:before="8"/>
              <w:rPr>
                <w:rFonts w:ascii="Calibri Light"/>
                <w:b w:val="0"/>
                <w:sz w:val="25"/>
              </w:rPr>
            </w:pPr>
          </w:p>
          <w:p>
            <w:pPr>
              <w:pStyle w:val="TableParagraph"/>
              <w:spacing w:line="223" w:lineRule="exact"/>
              <w:ind w:right="96"/>
              <w:jc w:val="right"/>
              <w:rPr>
                <w:sz w:val="20"/>
              </w:rPr>
            </w:pPr>
            <w:r>
              <w:rPr>
                <w:spacing w:val="-2"/>
                <w:sz w:val="20"/>
              </w:rPr>
              <w:t>1,189,500.00</w:t>
            </w:r>
          </w:p>
        </w:tc>
        <w:tc>
          <w:tcPr>
            <w:tcW w:w="1800" w:type="dxa"/>
          </w:tcPr>
          <w:p>
            <w:pPr>
              <w:pStyle w:val="TableParagraph"/>
              <w:spacing w:before="8"/>
              <w:rPr>
                <w:rFonts w:ascii="Calibri Light"/>
                <w:b w:val="0"/>
                <w:sz w:val="25"/>
              </w:rPr>
            </w:pPr>
          </w:p>
          <w:p>
            <w:pPr>
              <w:pStyle w:val="TableParagraph"/>
              <w:spacing w:line="223" w:lineRule="exact"/>
              <w:ind w:right="101"/>
              <w:jc w:val="right"/>
              <w:rPr>
                <w:sz w:val="20"/>
              </w:rPr>
            </w:pPr>
            <w:r>
              <w:rPr>
                <w:spacing w:val="-2"/>
                <w:sz w:val="20"/>
              </w:rPr>
              <w:t>1,189,500.00</w:t>
            </w:r>
          </w:p>
        </w:tc>
        <w:tc>
          <w:tcPr>
            <w:tcW w:w="1560" w:type="dxa"/>
          </w:tcPr>
          <w:p>
            <w:pPr>
              <w:pStyle w:val="TableParagraph"/>
              <w:spacing w:before="8"/>
              <w:rPr>
                <w:rFonts w:ascii="Calibri Light"/>
                <w:b w:val="0"/>
                <w:sz w:val="25"/>
              </w:rPr>
            </w:pPr>
          </w:p>
          <w:p>
            <w:pPr>
              <w:pStyle w:val="TableParagraph"/>
              <w:spacing w:line="223" w:lineRule="exact"/>
              <w:ind w:right="96"/>
              <w:jc w:val="right"/>
              <w:rPr>
                <w:sz w:val="20"/>
              </w:rPr>
            </w:pPr>
            <w:r>
              <w:rPr>
                <w:spacing w:val="-2"/>
                <w:sz w:val="20"/>
              </w:rPr>
              <w:t>1,185,969.76</w:t>
            </w:r>
          </w:p>
        </w:tc>
        <w:tc>
          <w:tcPr>
            <w:tcW w:w="1594" w:type="dxa"/>
          </w:tcPr>
          <w:p>
            <w:pPr>
              <w:pStyle w:val="TableParagraph"/>
              <w:spacing w:before="8"/>
              <w:rPr>
                <w:rFonts w:ascii="Calibri Light"/>
                <w:b w:val="0"/>
                <w:sz w:val="25"/>
              </w:rPr>
            </w:pPr>
          </w:p>
          <w:p>
            <w:pPr>
              <w:pStyle w:val="TableParagraph"/>
              <w:spacing w:line="223" w:lineRule="exact"/>
              <w:ind w:right="96"/>
              <w:jc w:val="right"/>
              <w:rPr>
                <w:sz w:val="20"/>
              </w:rPr>
            </w:pPr>
            <w:r>
              <w:rPr>
                <w:spacing w:val="-2"/>
                <w:sz w:val="20"/>
              </w:rPr>
              <w:t>1,185,969.76</w:t>
            </w:r>
          </w:p>
        </w:tc>
        <w:tc>
          <w:tcPr>
            <w:tcW w:w="1560" w:type="dxa"/>
          </w:tcPr>
          <w:p>
            <w:pPr>
              <w:pStyle w:val="TableParagraph"/>
              <w:spacing w:before="8"/>
              <w:rPr>
                <w:rFonts w:ascii="Calibri Light"/>
                <w:b w:val="0"/>
                <w:sz w:val="25"/>
              </w:rPr>
            </w:pPr>
          </w:p>
          <w:p>
            <w:pPr>
              <w:pStyle w:val="TableParagraph"/>
              <w:spacing w:line="223" w:lineRule="exact"/>
              <w:ind w:right="106"/>
              <w:jc w:val="right"/>
              <w:rPr>
                <w:sz w:val="20"/>
              </w:rPr>
            </w:pPr>
            <w:r>
              <w:rPr>
                <w:spacing w:val="-2"/>
                <w:sz w:val="20"/>
              </w:rPr>
              <w:t>3,530.24</w:t>
            </w:r>
          </w:p>
        </w:tc>
      </w:tr>
      <w:tr>
        <w:trPr>
          <w:trHeight w:val="561" w:hRule="atLeast"/>
        </w:trPr>
        <w:tc>
          <w:tcPr>
            <w:tcW w:w="1061" w:type="dxa"/>
            <w:shd w:val="clear" w:color="auto" w:fill="FFF8DC"/>
          </w:tcPr>
          <w:p>
            <w:pPr>
              <w:pStyle w:val="TableParagraph"/>
              <w:rPr>
                <w:rFonts w:ascii="Calibri Light"/>
                <w:b w:val="0"/>
                <w:sz w:val="26"/>
              </w:rPr>
            </w:pPr>
          </w:p>
          <w:p>
            <w:pPr>
              <w:pStyle w:val="TableParagraph"/>
              <w:spacing w:line="223" w:lineRule="exact"/>
              <w:ind w:left="105"/>
              <w:rPr>
                <w:sz w:val="20"/>
              </w:rPr>
            </w:pPr>
            <w:r>
              <w:rPr>
                <w:spacing w:val="-5"/>
                <w:sz w:val="20"/>
              </w:rPr>
              <w:t>272</w:t>
            </w:r>
          </w:p>
        </w:tc>
        <w:tc>
          <w:tcPr>
            <w:tcW w:w="1095" w:type="dxa"/>
          </w:tcPr>
          <w:p>
            <w:pPr>
              <w:pStyle w:val="TableParagraph"/>
              <w:rPr>
                <w:rFonts w:ascii="Calibri Light"/>
                <w:b w:val="0"/>
                <w:sz w:val="26"/>
              </w:rPr>
            </w:pPr>
          </w:p>
          <w:p>
            <w:pPr>
              <w:pStyle w:val="TableParagraph"/>
              <w:spacing w:line="223" w:lineRule="exact"/>
              <w:ind w:left="105"/>
              <w:rPr>
                <w:sz w:val="20"/>
              </w:rPr>
            </w:pPr>
            <w:r>
              <w:rPr>
                <w:spacing w:val="-4"/>
                <w:sz w:val="20"/>
              </w:rPr>
              <w:t>0191</w:t>
            </w:r>
          </w:p>
        </w:tc>
        <w:tc>
          <w:tcPr>
            <w:tcW w:w="932" w:type="dxa"/>
          </w:tcPr>
          <w:p>
            <w:pPr>
              <w:pStyle w:val="TableParagraph"/>
              <w:rPr>
                <w:rFonts w:ascii="Calibri Light"/>
                <w:b w:val="0"/>
                <w:sz w:val="26"/>
              </w:rPr>
            </w:pPr>
          </w:p>
          <w:p>
            <w:pPr>
              <w:pStyle w:val="TableParagraph"/>
              <w:spacing w:line="223" w:lineRule="exact"/>
              <w:ind w:left="109"/>
              <w:rPr>
                <w:sz w:val="20"/>
              </w:rPr>
            </w:pPr>
            <w:r>
              <w:rPr>
                <w:spacing w:val="-4"/>
                <w:sz w:val="20"/>
              </w:rPr>
              <w:t>4043</w:t>
            </w:r>
          </w:p>
        </w:tc>
        <w:tc>
          <w:tcPr>
            <w:tcW w:w="2127" w:type="dxa"/>
          </w:tcPr>
          <w:p>
            <w:pPr>
              <w:pStyle w:val="TableParagraph"/>
              <w:spacing w:line="240" w:lineRule="atLeast" w:before="53"/>
              <w:ind w:left="103"/>
              <w:rPr>
                <w:sz w:val="20"/>
              </w:rPr>
            </w:pPr>
            <w:r>
              <w:rPr>
                <w:sz w:val="20"/>
              </w:rPr>
              <w:t>MP</w:t>
            </w:r>
            <w:r>
              <w:rPr>
                <w:spacing w:val="-12"/>
                <w:sz w:val="20"/>
              </w:rPr>
              <w:t> </w:t>
            </w:r>
            <w:r>
              <w:rPr>
                <w:sz w:val="20"/>
              </w:rPr>
              <w:t>Scholarships</w:t>
            </w:r>
            <w:r>
              <w:rPr>
                <w:spacing w:val="-11"/>
                <w:sz w:val="20"/>
              </w:rPr>
              <w:t> </w:t>
            </w:r>
            <w:r>
              <w:rPr>
                <w:sz w:val="20"/>
              </w:rPr>
              <w:t>Award </w:t>
            </w:r>
            <w:r>
              <w:rPr>
                <w:spacing w:val="-2"/>
                <w:sz w:val="20"/>
              </w:rPr>
              <w:t>Grant</w:t>
            </w:r>
          </w:p>
        </w:tc>
        <w:tc>
          <w:tcPr>
            <w:tcW w:w="2026"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15,000,000.00</w:t>
            </w:r>
          </w:p>
        </w:tc>
        <w:tc>
          <w:tcPr>
            <w:tcW w:w="1800" w:type="dxa"/>
          </w:tcPr>
          <w:p>
            <w:pPr>
              <w:pStyle w:val="TableParagraph"/>
              <w:rPr>
                <w:rFonts w:ascii="Calibri Light"/>
                <w:b w:val="0"/>
                <w:sz w:val="26"/>
              </w:rPr>
            </w:pPr>
          </w:p>
          <w:p>
            <w:pPr>
              <w:pStyle w:val="TableParagraph"/>
              <w:spacing w:line="223" w:lineRule="exact"/>
              <w:ind w:right="101"/>
              <w:jc w:val="right"/>
              <w:rPr>
                <w:sz w:val="20"/>
              </w:rPr>
            </w:pPr>
            <w:r>
              <w:rPr>
                <w:spacing w:val="-2"/>
                <w:sz w:val="20"/>
              </w:rPr>
              <w:t>15,000,000.00</w:t>
            </w:r>
          </w:p>
        </w:tc>
        <w:tc>
          <w:tcPr>
            <w:tcW w:w="1560"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14,100,000.00</w:t>
            </w:r>
          </w:p>
        </w:tc>
        <w:tc>
          <w:tcPr>
            <w:tcW w:w="1594"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14,100,000.00</w:t>
            </w:r>
          </w:p>
        </w:tc>
        <w:tc>
          <w:tcPr>
            <w:tcW w:w="1560" w:type="dxa"/>
          </w:tcPr>
          <w:p>
            <w:pPr>
              <w:pStyle w:val="TableParagraph"/>
              <w:rPr>
                <w:rFonts w:ascii="Calibri Light"/>
                <w:b w:val="0"/>
                <w:sz w:val="26"/>
              </w:rPr>
            </w:pPr>
          </w:p>
          <w:p>
            <w:pPr>
              <w:pStyle w:val="TableParagraph"/>
              <w:spacing w:line="223" w:lineRule="exact"/>
              <w:ind w:right="106"/>
              <w:jc w:val="right"/>
              <w:rPr>
                <w:sz w:val="20"/>
              </w:rPr>
            </w:pPr>
            <w:r>
              <w:rPr>
                <w:spacing w:val="-2"/>
                <w:sz w:val="20"/>
              </w:rPr>
              <w:t>900,000.00</w:t>
            </w:r>
          </w:p>
        </w:tc>
      </w:tr>
      <w:tr>
        <w:trPr>
          <w:trHeight w:val="302" w:hRule="atLeast"/>
        </w:trPr>
        <w:tc>
          <w:tcPr>
            <w:tcW w:w="5215" w:type="dxa"/>
            <w:gridSpan w:val="4"/>
            <w:tcBorders>
              <w:left w:val="nil"/>
              <w:bottom w:val="nil"/>
            </w:tcBorders>
          </w:tcPr>
          <w:p>
            <w:pPr>
              <w:pStyle w:val="TableParagraph"/>
              <w:rPr>
                <w:rFonts w:ascii="Times New Roman"/>
                <w:sz w:val="20"/>
              </w:rPr>
            </w:pPr>
          </w:p>
        </w:tc>
        <w:tc>
          <w:tcPr>
            <w:tcW w:w="2026" w:type="dxa"/>
            <w:shd w:val="clear" w:color="auto" w:fill="FFFF00"/>
          </w:tcPr>
          <w:p>
            <w:pPr>
              <w:pStyle w:val="TableParagraph"/>
              <w:spacing w:line="223" w:lineRule="exact" w:before="59"/>
              <w:ind w:right="101"/>
              <w:jc w:val="right"/>
              <w:rPr>
                <w:b/>
                <w:sz w:val="20"/>
              </w:rPr>
            </w:pPr>
            <w:r>
              <w:rPr>
                <w:b/>
                <w:spacing w:val="-2"/>
                <w:sz w:val="20"/>
              </w:rPr>
              <w:t>173,894,338.00</w:t>
            </w:r>
          </w:p>
        </w:tc>
        <w:tc>
          <w:tcPr>
            <w:tcW w:w="1800" w:type="dxa"/>
            <w:shd w:val="clear" w:color="auto" w:fill="FFFF00"/>
          </w:tcPr>
          <w:p>
            <w:pPr>
              <w:pStyle w:val="TableParagraph"/>
              <w:spacing w:line="223" w:lineRule="exact" w:before="59"/>
              <w:ind w:right="105"/>
              <w:jc w:val="right"/>
              <w:rPr>
                <w:b/>
                <w:sz w:val="20"/>
              </w:rPr>
            </w:pPr>
            <w:r>
              <w:rPr>
                <w:b/>
                <w:spacing w:val="-2"/>
                <w:sz w:val="20"/>
              </w:rPr>
              <w:t>275,416,146.00</w:t>
            </w:r>
          </w:p>
        </w:tc>
        <w:tc>
          <w:tcPr>
            <w:tcW w:w="1560" w:type="dxa"/>
          </w:tcPr>
          <w:p>
            <w:pPr>
              <w:pStyle w:val="TableParagraph"/>
              <w:spacing w:line="223" w:lineRule="exact" w:before="59"/>
              <w:ind w:right="101"/>
              <w:jc w:val="right"/>
              <w:rPr>
                <w:b/>
                <w:sz w:val="20"/>
              </w:rPr>
            </w:pPr>
            <w:r>
              <w:rPr>
                <w:b/>
                <w:spacing w:val="-2"/>
                <w:sz w:val="20"/>
              </w:rPr>
              <w:t>219,113,567.63</w:t>
            </w:r>
          </w:p>
        </w:tc>
        <w:tc>
          <w:tcPr>
            <w:tcW w:w="1594" w:type="dxa"/>
          </w:tcPr>
          <w:p>
            <w:pPr>
              <w:pStyle w:val="TableParagraph"/>
              <w:spacing w:line="223" w:lineRule="exact" w:before="59"/>
              <w:ind w:right="101"/>
              <w:jc w:val="right"/>
              <w:rPr>
                <w:b/>
                <w:sz w:val="20"/>
              </w:rPr>
            </w:pPr>
            <w:r>
              <w:rPr>
                <w:b/>
                <w:spacing w:val="-2"/>
                <w:sz w:val="20"/>
              </w:rPr>
              <w:t>219,113,567.63</w:t>
            </w:r>
          </w:p>
        </w:tc>
        <w:tc>
          <w:tcPr>
            <w:tcW w:w="1560" w:type="dxa"/>
          </w:tcPr>
          <w:p>
            <w:pPr>
              <w:pStyle w:val="TableParagraph"/>
              <w:spacing w:line="223" w:lineRule="exact" w:before="59"/>
              <w:ind w:right="106"/>
              <w:jc w:val="right"/>
              <w:rPr>
                <w:b/>
                <w:sz w:val="20"/>
              </w:rPr>
            </w:pPr>
            <w:r>
              <w:rPr>
                <w:b/>
                <w:spacing w:val="-2"/>
                <w:sz w:val="20"/>
              </w:rPr>
              <w:t>56,302,578.37</w:t>
            </w:r>
          </w:p>
        </w:tc>
      </w:tr>
      <w:tr>
        <w:trPr>
          <w:trHeight w:val="897" w:hRule="atLeast"/>
        </w:trPr>
        <w:tc>
          <w:tcPr>
            <w:tcW w:w="13755" w:type="dxa"/>
            <w:gridSpan w:val="9"/>
            <w:tcBorders>
              <w:top w:val="nil"/>
              <w:left w:val="nil"/>
              <w:right w:val="nil"/>
            </w:tcBorders>
          </w:tcPr>
          <w:p>
            <w:pPr>
              <w:pStyle w:val="TableParagraph"/>
              <w:spacing w:before="2"/>
              <w:rPr>
                <w:rFonts w:ascii="Calibri Light"/>
                <w:b w:val="0"/>
                <w:sz w:val="29"/>
              </w:rPr>
            </w:pPr>
          </w:p>
          <w:p>
            <w:pPr>
              <w:pStyle w:val="TableParagraph"/>
              <w:ind w:left="552"/>
              <w:rPr>
                <w:b/>
                <w:sz w:val="20"/>
              </w:rPr>
            </w:pPr>
            <w:r>
              <w:rPr>
                <w:b/>
                <w:spacing w:val="-4"/>
                <w:sz w:val="20"/>
              </w:rPr>
              <w:t>2015</w:t>
            </w:r>
          </w:p>
        </w:tc>
      </w:tr>
      <w:tr>
        <w:trPr>
          <w:trHeight w:val="561" w:hRule="atLeast"/>
        </w:trPr>
        <w:tc>
          <w:tcPr>
            <w:tcW w:w="1061" w:type="dxa"/>
            <w:shd w:val="clear" w:color="auto" w:fill="FFF8DC"/>
          </w:tcPr>
          <w:p>
            <w:pPr>
              <w:pStyle w:val="TableParagraph"/>
              <w:spacing w:before="159"/>
              <w:ind w:right="302"/>
              <w:jc w:val="right"/>
              <w:rPr>
                <w:b/>
                <w:sz w:val="20"/>
              </w:rPr>
            </w:pPr>
            <w:r>
              <w:rPr>
                <w:b/>
                <w:spacing w:val="-4"/>
                <w:sz w:val="20"/>
              </w:rPr>
              <w:t>Head</w:t>
            </w:r>
          </w:p>
        </w:tc>
        <w:tc>
          <w:tcPr>
            <w:tcW w:w="1095" w:type="dxa"/>
            <w:shd w:val="clear" w:color="auto" w:fill="FFF8DC"/>
          </w:tcPr>
          <w:p>
            <w:pPr>
              <w:pStyle w:val="TableParagraph"/>
              <w:spacing w:before="159"/>
              <w:ind w:left="172"/>
              <w:rPr>
                <w:b/>
                <w:sz w:val="20"/>
              </w:rPr>
            </w:pPr>
            <w:r>
              <w:rPr>
                <w:b/>
                <w:spacing w:val="-2"/>
                <w:sz w:val="20"/>
              </w:rPr>
              <w:t>SubHead</w:t>
            </w:r>
          </w:p>
        </w:tc>
        <w:tc>
          <w:tcPr>
            <w:tcW w:w="932" w:type="dxa"/>
            <w:shd w:val="clear" w:color="auto" w:fill="FFF8DC"/>
          </w:tcPr>
          <w:p>
            <w:pPr>
              <w:pStyle w:val="TableParagraph"/>
              <w:spacing w:before="159"/>
              <w:ind w:left="123"/>
              <w:rPr>
                <w:b/>
                <w:sz w:val="20"/>
              </w:rPr>
            </w:pPr>
            <w:r>
              <w:rPr>
                <w:b/>
                <w:spacing w:val="-2"/>
                <w:sz w:val="20"/>
              </w:rPr>
              <w:t>Account</w:t>
            </w:r>
          </w:p>
        </w:tc>
        <w:tc>
          <w:tcPr>
            <w:tcW w:w="2127" w:type="dxa"/>
            <w:shd w:val="clear" w:color="auto" w:fill="FFF8DC"/>
          </w:tcPr>
          <w:p>
            <w:pPr>
              <w:pStyle w:val="TableParagraph"/>
              <w:spacing w:before="159"/>
              <w:ind w:right="218"/>
              <w:jc w:val="right"/>
              <w:rPr>
                <w:b/>
                <w:sz w:val="20"/>
              </w:rPr>
            </w:pPr>
            <w:r>
              <w:rPr>
                <w:b/>
                <w:sz w:val="20"/>
              </w:rPr>
              <w:t>Account</w:t>
            </w:r>
            <w:r>
              <w:rPr>
                <w:b/>
                <w:spacing w:val="-3"/>
                <w:sz w:val="20"/>
              </w:rPr>
              <w:t> </w:t>
            </w:r>
            <w:r>
              <w:rPr>
                <w:b/>
                <w:spacing w:val="-2"/>
                <w:sz w:val="20"/>
              </w:rPr>
              <w:t>Description</w:t>
            </w:r>
          </w:p>
        </w:tc>
        <w:tc>
          <w:tcPr>
            <w:tcW w:w="2026" w:type="dxa"/>
            <w:shd w:val="clear" w:color="auto" w:fill="FFF8DC"/>
          </w:tcPr>
          <w:p>
            <w:pPr>
              <w:pStyle w:val="TableParagraph"/>
              <w:spacing w:before="159"/>
              <w:ind w:left="516"/>
              <w:rPr>
                <w:b/>
                <w:sz w:val="20"/>
              </w:rPr>
            </w:pPr>
            <w:r>
              <w:rPr>
                <w:b/>
                <w:sz w:val="20"/>
              </w:rPr>
              <w:t>Original</w:t>
            </w:r>
            <w:r>
              <w:rPr>
                <w:b/>
                <w:spacing w:val="-9"/>
                <w:sz w:val="20"/>
              </w:rPr>
              <w:t> </w:t>
            </w:r>
            <w:r>
              <w:rPr>
                <w:b/>
                <w:spacing w:val="-5"/>
                <w:sz w:val="20"/>
              </w:rPr>
              <w:t>SET</w:t>
            </w:r>
          </w:p>
        </w:tc>
        <w:tc>
          <w:tcPr>
            <w:tcW w:w="1800" w:type="dxa"/>
            <w:shd w:val="clear" w:color="auto" w:fill="FFF8DC"/>
          </w:tcPr>
          <w:p>
            <w:pPr>
              <w:pStyle w:val="TableParagraph"/>
              <w:spacing w:before="159"/>
              <w:ind w:left="251"/>
              <w:rPr>
                <w:b/>
                <w:sz w:val="20"/>
              </w:rPr>
            </w:pPr>
            <w:r>
              <w:rPr>
                <w:b/>
                <w:sz w:val="20"/>
              </w:rPr>
              <w:t>Revised</w:t>
            </w:r>
            <w:r>
              <w:rPr>
                <w:b/>
                <w:spacing w:val="-7"/>
                <w:sz w:val="20"/>
              </w:rPr>
              <w:t> </w:t>
            </w:r>
            <w:r>
              <w:rPr>
                <w:b/>
                <w:spacing w:val="-2"/>
                <w:sz w:val="20"/>
              </w:rPr>
              <w:t>Budget</w:t>
            </w:r>
          </w:p>
        </w:tc>
        <w:tc>
          <w:tcPr>
            <w:tcW w:w="1560" w:type="dxa"/>
            <w:shd w:val="clear" w:color="auto" w:fill="FFF8DC"/>
          </w:tcPr>
          <w:p>
            <w:pPr>
              <w:pStyle w:val="TableParagraph"/>
              <w:spacing w:before="159"/>
              <w:ind w:left="328"/>
              <w:rPr>
                <w:b/>
                <w:sz w:val="20"/>
              </w:rPr>
            </w:pPr>
            <w:r>
              <w:rPr>
                <w:b/>
                <w:sz w:val="20"/>
              </w:rPr>
              <w:t>YTD </w:t>
            </w:r>
            <w:r>
              <w:rPr>
                <w:b/>
                <w:spacing w:val="-2"/>
                <w:sz w:val="20"/>
              </w:rPr>
              <w:t>Actual</w:t>
            </w:r>
          </w:p>
        </w:tc>
        <w:tc>
          <w:tcPr>
            <w:tcW w:w="1594" w:type="dxa"/>
            <w:shd w:val="clear" w:color="auto" w:fill="FFF8DC"/>
          </w:tcPr>
          <w:p>
            <w:pPr>
              <w:pStyle w:val="TableParagraph"/>
              <w:spacing w:before="159"/>
              <w:ind w:left="410"/>
              <w:rPr>
                <w:b/>
                <w:sz w:val="20"/>
              </w:rPr>
            </w:pPr>
            <w:r>
              <w:rPr>
                <w:b/>
                <w:spacing w:val="-2"/>
                <w:sz w:val="20"/>
              </w:rPr>
              <w:t>Reserved</w:t>
            </w:r>
          </w:p>
        </w:tc>
        <w:tc>
          <w:tcPr>
            <w:tcW w:w="1560" w:type="dxa"/>
            <w:shd w:val="clear" w:color="auto" w:fill="FFF8DC"/>
          </w:tcPr>
          <w:p>
            <w:pPr>
              <w:pStyle w:val="TableParagraph"/>
              <w:spacing w:before="159"/>
              <w:ind w:left="212"/>
              <w:rPr>
                <w:b/>
                <w:sz w:val="20"/>
              </w:rPr>
            </w:pPr>
            <w:r>
              <w:rPr>
                <w:b/>
                <w:sz w:val="20"/>
              </w:rPr>
              <w:t>Budget</w:t>
            </w:r>
            <w:r>
              <w:rPr>
                <w:b/>
                <w:spacing w:val="-3"/>
                <w:sz w:val="20"/>
              </w:rPr>
              <w:t> </w:t>
            </w:r>
            <w:r>
              <w:rPr>
                <w:b/>
                <w:sz w:val="20"/>
              </w:rPr>
              <w:t>To</w:t>
            </w:r>
            <w:r>
              <w:rPr>
                <w:b/>
                <w:spacing w:val="-2"/>
                <w:sz w:val="20"/>
              </w:rPr>
              <w:t> </w:t>
            </w:r>
            <w:r>
              <w:rPr>
                <w:b/>
                <w:spacing w:val="-5"/>
                <w:sz w:val="20"/>
              </w:rPr>
              <w:t>Go</w:t>
            </w:r>
          </w:p>
        </w:tc>
      </w:tr>
      <w:tr>
        <w:trPr>
          <w:trHeight w:val="301" w:hRule="atLeast"/>
        </w:trPr>
        <w:tc>
          <w:tcPr>
            <w:tcW w:w="1061" w:type="dxa"/>
            <w:shd w:val="clear" w:color="auto" w:fill="FFF8DC"/>
          </w:tcPr>
          <w:p>
            <w:pPr>
              <w:pStyle w:val="TableParagraph"/>
              <w:spacing w:line="223" w:lineRule="exact" w:before="59"/>
              <w:ind w:left="105"/>
              <w:rPr>
                <w:sz w:val="20"/>
              </w:rPr>
            </w:pPr>
            <w:r>
              <w:rPr>
                <w:spacing w:val="-5"/>
                <w:sz w:val="20"/>
              </w:rPr>
              <w:t>272</w:t>
            </w:r>
          </w:p>
        </w:tc>
        <w:tc>
          <w:tcPr>
            <w:tcW w:w="1095" w:type="dxa"/>
          </w:tcPr>
          <w:p>
            <w:pPr>
              <w:pStyle w:val="TableParagraph"/>
              <w:spacing w:line="223" w:lineRule="exact" w:before="59"/>
              <w:ind w:left="105"/>
              <w:rPr>
                <w:sz w:val="20"/>
              </w:rPr>
            </w:pPr>
            <w:r>
              <w:rPr>
                <w:spacing w:val="-4"/>
                <w:sz w:val="20"/>
              </w:rPr>
              <w:t>0191</w:t>
            </w:r>
          </w:p>
        </w:tc>
        <w:tc>
          <w:tcPr>
            <w:tcW w:w="932" w:type="dxa"/>
          </w:tcPr>
          <w:p>
            <w:pPr>
              <w:pStyle w:val="TableParagraph"/>
              <w:spacing w:line="223" w:lineRule="exact" w:before="59"/>
              <w:ind w:left="109"/>
              <w:rPr>
                <w:sz w:val="20"/>
              </w:rPr>
            </w:pPr>
            <w:r>
              <w:rPr>
                <w:spacing w:val="-4"/>
                <w:sz w:val="20"/>
              </w:rPr>
              <w:t>2604</w:t>
            </w:r>
          </w:p>
        </w:tc>
        <w:tc>
          <w:tcPr>
            <w:tcW w:w="2127" w:type="dxa"/>
          </w:tcPr>
          <w:p>
            <w:pPr>
              <w:pStyle w:val="TableParagraph"/>
              <w:spacing w:line="223" w:lineRule="exact" w:before="59"/>
              <w:ind w:left="103"/>
              <w:rPr>
                <w:sz w:val="20"/>
              </w:rPr>
            </w:pPr>
            <w:r>
              <w:rPr>
                <w:sz w:val="20"/>
              </w:rPr>
              <w:t>Training</w:t>
            </w:r>
            <w:r>
              <w:rPr>
                <w:spacing w:val="-8"/>
                <w:sz w:val="20"/>
              </w:rPr>
              <w:t> </w:t>
            </w:r>
            <w:r>
              <w:rPr>
                <w:sz w:val="20"/>
              </w:rPr>
              <w:t>-</w:t>
            </w:r>
            <w:r>
              <w:rPr>
                <w:spacing w:val="-5"/>
                <w:sz w:val="20"/>
              </w:rPr>
              <w:t> </w:t>
            </w:r>
            <w:r>
              <w:rPr>
                <w:spacing w:val="-4"/>
                <w:sz w:val="20"/>
              </w:rPr>
              <w:t>Other</w:t>
            </w:r>
          </w:p>
        </w:tc>
        <w:tc>
          <w:tcPr>
            <w:tcW w:w="2026" w:type="dxa"/>
          </w:tcPr>
          <w:p>
            <w:pPr>
              <w:pStyle w:val="TableParagraph"/>
              <w:spacing w:line="223" w:lineRule="exact" w:before="59"/>
              <w:ind w:right="96"/>
              <w:jc w:val="right"/>
              <w:rPr>
                <w:sz w:val="20"/>
              </w:rPr>
            </w:pPr>
            <w:r>
              <w:rPr>
                <w:spacing w:val="-2"/>
                <w:sz w:val="20"/>
              </w:rPr>
              <w:t>38,510,372.00</w:t>
            </w:r>
          </w:p>
        </w:tc>
        <w:tc>
          <w:tcPr>
            <w:tcW w:w="1800" w:type="dxa"/>
          </w:tcPr>
          <w:p>
            <w:pPr>
              <w:pStyle w:val="TableParagraph"/>
              <w:spacing w:line="223" w:lineRule="exact" w:before="59"/>
              <w:ind w:right="101"/>
              <w:jc w:val="right"/>
              <w:rPr>
                <w:sz w:val="20"/>
              </w:rPr>
            </w:pPr>
            <w:r>
              <w:rPr>
                <w:spacing w:val="-2"/>
                <w:sz w:val="20"/>
              </w:rPr>
              <w:t>18,510,372.00</w:t>
            </w:r>
          </w:p>
        </w:tc>
        <w:tc>
          <w:tcPr>
            <w:tcW w:w="1560" w:type="dxa"/>
          </w:tcPr>
          <w:p>
            <w:pPr>
              <w:pStyle w:val="TableParagraph"/>
              <w:spacing w:line="223" w:lineRule="exact" w:before="59"/>
              <w:ind w:right="96"/>
              <w:jc w:val="right"/>
              <w:rPr>
                <w:sz w:val="20"/>
              </w:rPr>
            </w:pPr>
            <w:r>
              <w:rPr>
                <w:spacing w:val="-2"/>
                <w:sz w:val="20"/>
              </w:rPr>
              <w:t>16,791,114.63</w:t>
            </w:r>
          </w:p>
        </w:tc>
        <w:tc>
          <w:tcPr>
            <w:tcW w:w="1594" w:type="dxa"/>
          </w:tcPr>
          <w:p>
            <w:pPr>
              <w:pStyle w:val="TableParagraph"/>
              <w:spacing w:line="223" w:lineRule="exact" w:before="59"/>
              <w:ind w:right="96"/>
              <w:jc w:val="right"/>
              <w:rPr>
                <w:sz w:val="20"/>
              </w:rPr>
            </w:pPr>
            <w:r>
              <w:rPr>
                <w:spacing w:val="-2"/>
                <w:sz w:val="20"/>
              </w:rPr>
              <w:t>16,791,114.63</w:t>
            </w:r>
          </w:p>
        </w:tc>
        <w:tc>
          <w:tcPr>
            <w:tcW w:w="1560" w:type="dxa"/>
          </w:tcPr>
          <w:p>
            <w:pPr>
              <w:pStyle w:val="TableParagraph"/>
              <w:spacing w:line="223" w:lineRule="exact" w:before="59"/>
              <w:ind w:right="101"/>
              <w:jc w:val="right"/>
              <w:rPr>
                <w:sz w:val="20"/>
              </w:rPr>
            </w:pPr>
            <w:r>
              <w:rPr>
                <w:spacing w:val="-2"/>
                <w:sz w:val="20"/>
              </w:rPr>
              <w:t>1,719,257.37</w:t>
            </w:r>
          </w:p>
        </w:tc>
      </w:tr>
      <w:tr>
        <w:trPr>
          <w:trHeight w:val="297" w:hRule="atLeast"/>
        </w:trPr>
        <w:tc>
          <w:tcPr>
            <w:tcW w:w="1061" w:type="dxa"/>
            <w:shd w:val="clear" w:color="auto" w:fill="FFF8DC"/>
          </w:tcPr>
          <w:p>
            <w:pPr>
              <w:pStyle w:val="TableParagraph"/>
              <w:spacing w:line="223" w:lineRule="exact" w:before="54"/>
              <w:ind w:left="105"/>
              <w:rPr>
                <w:sz w:val="20"/>
              </w:rPr>
            </w:pPr>
            <w:r>
              <w:rPr>
                <w:spacing w:val="-5"/>
                <w:sz w:val="20"/>
              </w:rPr>
              <w:t>272</w:t>
            </w:r>
          </w:p>
        </w:tc>
        <w:tc>
          <w:tcPr>
            <w:tcW w:w="1095" w:type="dxa"/>
          </w:tcPr>
          <w:p>
            <w:pPr>
              <w:pStyle w:val="TableParagraph"/>
              <w:spacing w:line="223" w:lineRule="exact" w:before="54"/>
              <w:ind w:left="105"/>
              <w:rPr>
                <w:sz w:val="20"/>
              </w:rPr>
            </w:pPr>
            <w:r>
              <w:rPr>
                <w:spacing w:val="-4"/>
                <w:sz w:val="20"/>
              </w:rPr>
              <w:t>0191</w:t>
            </w:r>
          </w:p>
        </w:tc>
        <w:tc>
          <w:tcPr>
            <w:tcW w:w="932" w:type="dxa"/>
          </w:tcPr>
          <w:p>
            <w:pPr>
              <w:pStyle w:val="TableParagraph"/>
              <w:spacing w:line="223" w:lineRule="exact" w:before="54"/>
              <w:ind w:left="109"/>
              <w:rPr>
                <w:sz w:val="20"/>
              </w:rPr>
            </w:pPr>
            <w:r>
              <w:rPr>
                <w:spacing w:val="-4"/>
                <w:sz w:val="20"/>
              </w:rPr>
              <w:t>2605</w:t>
            </w:r>
          </w:p>
        </w:tc>
        <w:tc>
          <w:tcPr>
            <w:tcW w:w="2127" w:type="dxa"/>
          </w:tcPr>
          <w:p>
            <w:pPr>
              <w:pStyle w:val="TableParagraph"/>
              <w:spacing w:line="223" w:lineRule="exact" w:before="54"/>
              <w:ind w:left="103"/>
              <w:rPr>
                <w:sz w:val="20"/>
              </w:rPr>
            </w:pPr>
            <w:r>
              <w:rPr>
                <w:sz w:val="20"/>
              </w:rPr>
              <w:t>Training</w:t>
            </w:r>
            <w:r>
              <w:rPr>
                <w:spacing w:val="-6"/>
                <w:sz w:val="20"/>
              </w:rPr>
              <w:t> </w:t>
            </w:r>
            <w:r>
              <w:rPr>
                <w:sz w:val="20"/>
              </w:rPr>
              <w:t>-</w:t>
            </w:r>
            <w:r>
              <w:rPr>
                <w:spacing w:val="-5"/>
                <w:sz w:val="20"/>
              </w:rPr>
              <w:t> </w:t>
            </w:r>
            <w:r>
              <w:rPr>
                <w:spacing w:val="-2"/>
                <w:sz w:val="20"/>
              </w:rPr>
              <w:t>Overseas</w:t>
            </w:r>
          </w:p>
        </w:tc>
        <w:tc>
          <w:tcPr>
            <w:tcW w:w="2026" w:type="dxa"/>
          </w:tcPr>
          <w:p>
            <w:pPr>
              <w:pStyle w:val="TableParagraph"/>
              <w:spacing w:line="223" w:lineRule="exact" w:before="54"/>
              <w:ind w:right="101"/>
              <w:jc w:val="right"/>
              <w:rPr>
                <w:sz w:val="20"/>
              </w:rPr>
            </w:pPr>
            <w:r>
              <w:rPr>
                <w:spacing w:val="-2"/>
                <w:sz w:val="20"/>
              </w:rPr>
              <w:t>133,981,715.00</w:t>
            </w:r>
          </w:p>
        </w:tc>
        <w:tc>
          <w:tcPr>
            <w:tcW w:w="1800" w:type="dxa"/>
          </w:tcPr>
          <w:p>
            <w:pPr>
              <w:pStyle w:val="TableParagraph"/>
              <w:spacing w:line="223" w:lineRule="exact" w:before="54"/>
              <w:ind w:right="105"/>
              <w:jc w:val="right"/>
              <w:rPr>
                <w:sz w:val="20"/>
              </w:rPr>
            </w:pPr>
            <w:r>
              <w:rPr>
                <w:spacing w:val="-2"/>
                <w:sz w:val="20"/>
              </w:rPr>
              <w:t>153,981,715.00</w:t>
            </w:r>
          </w:p>
        </w:tc>
        <w:tc>
          <w:tcPr>
            <w:tcW w:w="1560" w:type="dxa"/>
          </w:tcPr>
          <w:p>
            <w:pPr>
              <w:pStyle w:val="TableParagraph"/>
              <w:spacing w:line="223" w:lineRule="exact" w:before="54"/>
              <w:ind w:right="101"/>
              <w:jc w:val="right"/>
              <w:rPr>
                <w:sz w:val="20"/>
              </w:rPr>
            </w:pPr>
            <w:r>
              <w:rPr>
                <w:spacing w:val="-2"/>
                <w:sz w:val="20"/>
              </w:rPr>
              <w:t>134,797,348.58</w:t>
            </w:r>
          </w:p>
        </w:tc>
        <w:tc>
          <w:tcPr>
            <w:tcW w:w="1594" w:type="dxa"/>
          </w:tcPr>
          <w:p>
            <w:pPr>
              <w:pStyle w:val="TableParagraph"/>
              <w:spacing w:line="223" w:lineRule="exact" w:before="54"/>
              <w:ind w:right="101"/>
              <w:jc w:val="right"/>
              <w:rPr>
                <w:sz w:val="20"/>
              </w:rPr>
            </w:pPr>
            <w:r>
              <w:rPr>
                <w:spacing w:val="-2"/>
                <w:sz w:val="20"/>
              </w:rPr>
              <w:t>134,797,348.58</w:t>
            </w:r>
          </w:p>
        </w:tc>
        <w:tc>
          <w:tcPr>
            <w:tcW w:w="1560" w:type="dxa"/>
          </w:tcPr>
          <w:p>
            <w:pPr>
              <w:pStyle w:val="TableParagraph"/>
              <w:spacing w:line="223" w:lineRule="exact" w:before="54"/>
              <w:ind w:right="101"/>
              <w:jc w:val="right"/>
              <w:rPr>
                <w:sz w:val="20"/>
              </w:rPr>
            </w:pPr>
            <w:r>
              <w:rPr>
                <w:spacing w:val="-2"/>
                <w:sz w:val="20"/>
              </w:rPr>
              <w:t>19,184,366.42</w:t>
            </w:r>
          </w:p>
        </w:tc>
      </w:tr>
      <w:tr>
        <w:trPr>
          <w:trHeight w:val="489" w:hRule="atLeast"/>
        </w:trPr>
        <w:tc>
          <w:tcPr>
            <w:tcW w:w="1061" w:type="dxa"/>
            <w:shd w:val="clear" w:color="auto" w:fill="FFF8DC"/>
          </w:tcPr>
          <w:p>
            <w:pPr>
              <w:pStyle w:val="TableParagraph"/>
              <w:spacing w:before="2"/>
              <w:rPr>
                <w:rFonts w:ascii="Calibri Light"/>
                <w:b w:val="0"/>
                <w:sz w:val="20"/>
              </w:rPr>
            </w:pPr>
          </w:p>
          <w:p>
            <w:pPr>
              <w:pStyle w:val="TableParagraph"/>
              <w:spacing w:line="223" w:lineRule="exact"/>
              <w:ind w:left="105"/>
              <w:rPr>
                <w:sz w:val="20"/>
              </w:rPr>
            </w:pPr>
            <w:r>
              <w:rPr>
                <w:spacing w:val="-5"/>
                <w:sz w:val="20"/>
              </w:rPr>
              <w:t>272</w:t>
            </w:r>
          </w:p>
        </w:tc>
        <w:tc>
          <w:tcPr>
            <w:tcW w:w="1095" w:type="dxa"/>
          </w:tcPr>
          <w:p>
            <w:pPr>
              <w:pStyle w:val="TableParagraph"/>
              <w:spacing w:before="2"/>
              <w:rPr>
                <w:rFonts w:ascii="Calibri Light"/>
                <w:b w:val="0"/>
                <w:sz w:val="20"/>
              </w:rPr>
            </w:pPr>
          </w:p>
          <w:p>
            <w:pPr>
              <w:pStyle w:val="TableParagraph"/>
              <w:spacing w:line="223" w:lineRule="exact"/>
              <w:ind w:left="105"/>
              <w:rPr>
                <w:sz w:val="20"/>
              </w:rPr>
            </w:pPr>
            <w:r>
              <w:rPr>
                <w:spacing w:val="-4"/>
                <w:sz w:val="20"/>
              </w:rPr>
              <w:t>0191</w:t>
            </w:r>
          </w:p>
        </w:tc>
        <w:tc>
          <w:tcPr>
            <w:tcW w:w="932" w:type="dxa"/>
          </w:tcPr>
          <w:p>
            <w:pPr>
              <w:pStyle w:val="TableParagraph"/>
              <w:spacing w:before="2"/>
              <w:rPr>
                <w:rFonts w:ascii="Calibri Light"/>
                <w:b w:val="0"/>
                <w:sz w:val="20"/>
              </w:rPr>
            </w:pPr>
          </w:p>
          <w:p>
            <w:pPr>
              <w:pStyle w:val="TableParagraph"/>
              <w:spacing w:line="223" w:lineRule="exact"/>
              <w:ind w:left="109"/>
              <w:rPr>
                <w:sz w:val="20"/>
              </w:rPr>
            </w:pPr>
            <w:r>
              <w:rPr>
                <w:spacing w:val="-4"/>
                <w:sz w:val="20"/>
              </w:rPr>
              <w:t>2718</w:t>
            </w:r>
          </w:p>
        </w:tc>
        <w:tc>
          <w:tcPr>
            <w:tcW w:w="2127" w:type="dxa"/>
          </w:tcPr>
          <w:p>
            <w:pPr>
              <w:pStyle w:val="TableParagraph"/>
              <w:spacing w:line="240" w:lineRule="atLeast"/>
              <w:ind w:left="103" w:right="184"/>
              <w:rPr>
                <w:sz w:val="20"/>
              </w:rPr>
            </w:pPr>
            <w:r>
              <w:rPr>
                <w:sz w:val="20"/>
              </w:rPr>
              <w:t>Others</w:t>
            </w:r>
            <w:r>
              <w:rPr>
                <w:spacing w:val="-12"/>
                <w:sz w:val="20"/>
              </w:rPr>
              <w:t> </w:t>
            </w:r>
            <w:r>
              <w:rPr>
                <w:sz w:val="20"/>
              </w:rPr>
              <w:t>-</w:t>
            </w:r>
            <w:r>
              <w:rPr>
                <w:spacing w:val="-11"/>
                <w:sz w:val="20"/>
              </w:rPr>
              <w:t> </w:t>
            </w:r>
            <w:r>
              <w:rPr>
                <w:sz w:val="20"/>
              </w:rPr>
              <w:t>Overseas </w:t>
            </w:r>
            <w:r>
              <w:rPr>
                <w:spacing w:val="-2"/>
                <w:sz w:val="20"/>
              </w:rPr>
              <w:t>Fares</w:t>
            </w:r>
          </w:p>
        </w:tc>
        <w:tc>
          <w:tcPr>
            <w:tcW w:w="2026" w:type="dxa"/>
          </w:tcPr>
          <w:p>
            <w:pPr>
              <w:pStyle w:val="TableParagraph"/>
              <w:spacing w:before="2"/>
              <w:rPr>
                <w:rFonts w:ascii="Calibri Light"/>
                <w:b w:val="0"/>
                <w:sz w:val="20"/>
              </w:rPr>
            </w:pPr>
          </w:p>
          <w:p>
            <w:pPr>
              <w:pStyle w:val="TableParagraph"/>
              <w:spacing w:line="223" w:lineRule="exact"/>
              <w:ind w:right="96"/>
              <w:jc w:val="right"/>
              <w:rPr>
                <w:sz w:val="20"/>
              </w:rPr>
            </w:pPr>
            <w:r>
              <w:rPr>
                <w:spacing w:val="-2"/>
                <w:sz w:val="20"/>
              </w:rPr>
              <w:t>9,594,000.00</w:t>
            </w:r>
          </w:p>
        </w:tc>
        <w:tc>
          <w:tcPr>
            <w:tcW w:w="1800" w:type="dxa"/>
          </w:tcPr>
          <w:p>
            <w:pPr>
              <w:pStyle w:val="TableParagraph"/>
              <w:spacing w:before="2"/>
              <w:rPr>
                <w:rFonts w:ascii="Calibri Light"/>
                <w:b w:val="0"/>
                <w:sz w:val="20"/>
              </w:rPr>
            </w:pPr>
          </w:p>
          <w:p>
            <w:pPr>
              <w:pStyle w:val="TableParagraph"/>
              <w:spacing w:line="223" w:lineRule="exact"/>
              <w:ind w:right="101"/>
              <w:jc w:val="right"/>
              <w:rPr>
                <w:sz w:val="20"/>
              </w:rPr>
            </w:pPr>
            <w:r>
              <w:rPr>
                <w:spacing w:val="-2"/>
                <w:sz w:val="20"/>
              </w:rPr>
              <w:t>9,594,000.00</w:t>
            </w:r>
          </w:p>
        </w:tc>
        <w:tc>
          <w:tcPr>
            <w:tcW w:w="1560" w:type="dxa"/>
          </w:tcPr>
          <w:p>
            <w:pPr>
              <w:pStyle w:val="TableParagraph"/>
              <w:spacing w:before="2"/>
              <w:rPr>
                <w:rFonts w:ascii="Calibri Light"/>
                <w:b w:val="0"/>
                <w:sz w:val="20"/>
              </w:rPr>
            </w:pPr>
          </w:p>
          <w:p>
            <w:pPr>
              <w:pStyle w:val="TableParagraph"/>
              <w:spacing w:line="223" w:lineRule="exact"/>
              <w:ind w:right="96"/>
              <w:jc w:val="right"/>
              <w:rPr>
                <w:sz w:val="20"/>
              </w:rPr>
            </w:pPr>
            <w:r>
              <w:rPr>
                <w:spacing w:val="-2"/>
                <w:sz w:val="20"/>
              </w:rPr>
              <w:t>5,787,787.89</w:t>
            </w:r>
          </w:p>
        </w:tc>
        <w:tc>
          <w:tcPr>
            <w:tcW w:w="1594" w:type="dxa"/>
          </w:tcPr>
          <w:p>
            <w:pPr>
              <w:pStyle w:val="TableParagraph"/>
              <w:spacing w:before="2"/>
              <w:rPr>
                <w:rFonts w:ascii="Calibri Light"/>
                <w:b w:val="0"/>
                <w:sz w:val="20"/>
              </w:rPr>
            </w:pPr>
          </w:p>
          <w:p>
            <w:pPr>
              <w:pStyle w:val="TableParagraph"/>
              <w:spacing w:line="223" w:lineRule="exact"/>
              <w:ind w:right="96"/>
              <w:jc w:val="right"/>
              <w:rPr>
                <w:sz w:val="20"/>
              </w:rPr>
            </w:pPr>
            <w:r>
              <w:rPr>
                <w:spacing w:val="-2"/>
                <w:sz w:val="20"/>
              </w:rPr>
              <w:t>5,787,787.89</w:t>
            </w:r>
          </w:p>
        </w:tc>
        <w:tc>
          <w:tcPr>
            <w:tcW w:w="1560" w:type="dxa"/>
          </w:tcPr>
          <w:p>
            <w:pPr>
              <w:pStyle w:val="TableParagraph"/>
              <w:spacing w:before="2"/>
              <w:rPr>
                <w:rFonts w:ascii="Calibri Light"/>
                <w:b w:val="0"/>
                <w:sz w:val="20"/>
              </w:rPr>
            </w:pPr>
          </w:p>
          <w:p>
            <w:pPr>
              <w:pStyle w:val="TableParagraph"/>
              <w:spacing w:line="223" w:lineRule="exact"/>
              <w:ind w:right="101"/>
              <w:jc w:val="right"/>
              <w:rPr>
                <w:sz w:val="20"/>
              </w:rPr>
            </w:pPr>
            <w:r>
              <w:rPr>
                <w:spacing w:val="-2"/>
                <w:sz w:val="20"/>
              </w:rPr>
              <w:t>3,806,212.11</w:t>
            </w:r>
          </w:p>
        </w:tc>
      </w:tr>
      <w:tr>
        <w:trPr>
          <w:trHeight w:val="561" w:hRule="atLeast"/>
        </w:trPr>
        <w:tc>
          <w:tcPr>
            <w:tcW w:w="1061" w:type="dxa"/>
            <w:shd w:val="clear" w:color="auto" w:fill="FFF8DC"/>
          </w:tcPr>
          <w:p>
            <w:pPr>
              <w:pStyle w:val="TableParagraph"/>
              <w:rPr>
                <w:rFonts w:ascii="Calibri Light"/>
                <w:b w:val="0"/>
                <w:sz w:val="26"/>
              </w:rPr>
            </w:pPr>
          </w:p>
          <w:p>
            <w:pPr>
              <w:pStyle w:val="TableParagraph"/>
              <w:spacing w:line="223" w:lineRule="exact"/>
              <w:ind w:left="105"/>
              <w:rPr>
                <w:sz w:val="20"/>
              </w:rPr>
            </w:pPr>
            <w:r>
              <w:rPr>
                <w:spacing w:val="-5"/>
                <w:sz w:val="20"/>
              </w:rPr>
              <w:t>272</w:t>
            </w:r>
          </w:p>
        </w:tc>
        <w:tc>
          <w:tcPr>
            <w:tcW w:w="1095" w:type="dxa"/>
          </w:tcPr>
          <w:p>
            <w:pPr>
              <w:pStyle w:val="TableParagraph"/>
              <w:rPr>
                <w:rFonts w:ascii="Calibri Light"/>
                <w:b w:val="0"/>
                <w:sz w:val="26"/>
              </w:rPr>
            </w:pPr>
          </w:p>
          <w:p>
            <w:pPr>
              <w:pStyle w:val="TableParagraph"/>
              <w:spacing w:line="223" w:lineRule="exact"/>
              <w:ind w:left="105"/>
              <w:rPr>
                <w:sz w:val="20"/>
              </w:rPr>
            </w:pPr>
            <w:r>
              <w:rPr>
                <w:spacing w:val="-4"/>
                <w:sz w:val="20"/>
              </w:rPr>
              <w:t>0191</w:t>
            </w:r>
          </w:p>
        </w:tc>
        <w:tc>
          <w:tcPr>
            <w:tcW w:w="932" w:type="dxa"/>
          </w:tcPr>
          <w:p>
            <w:pPr>
              <w:pStyle w:val="TableParagraph"/>
              <w:rPr>
                <w:rFonts w:ascii="Calibri Light"/>
                <w:b w:val="0"/>
                <w:sz w:val="26"/>
              </w:rPr>
            </w:pPr>
          </w:p>
          <w:p>
            <w:pPr>
              <w:pStyle w:val="TableParagraph"/>
              <w:spacing w:line="223" w:lineRule="exact"/>
              <w:ind w:left="109"/>
              <w:rPr>
                <w:sz w:val="20"/>
              </w:rPr>
            </w:pPr>
            <w:r>
              <w:rPr>
                <w:spacing w:val="-4"/>
                <w:sz w:val="20"/>
              </w:rPr>
              <w:t>2720</w:t>
            </w:r>
          </w:p>
        </w:tc>
        <w:tc>
          <w:tcPr>
            <w:tcW w:w="2127" w:type="dxa"/>
          </w:tcPr>
          <w:p>
            <w:pPr>
              <w:pStyle w:val="TableParagraph"/>
              <w:spacing w:line="240" w:lineRule="atLeast" w:before="53"/>
              <w:ind w:left="103" w:right="184"/>
              <w:rPr>
                <w:sz w:val="20"/>
              </w:rPr>
            </w:pPr>
            <w:r>
              <w:rPr>
                <w:sz w:val="20"/>
              </w:rPr>
              <w:t>Others</w:t>
            </w:r>
            <w:r>
              <w:rPr>
                <w:spacing w:val="-12"/>
                <w:sz w:val="20"/>
              </w:rPr>
              <w:t> </w:t>
            </w:r>
            <w:r>
              <w:rPr>
                <w:sz w:val="20"/>
              </w:rPr>
              <w:t>-</w:t>
            </w:r>
            <w:r>
              <w:rPr>
                <w:spacing w:val="-11"/>
                <w:sz w:val="20"/>
              </w:rPr>
              <w:t> </w:t>
            </w:r>
            <w:r>
              <w:rPr>
                <w:sz w:val="20"/>
              </w:rPr>
              <w:t>Overseas Other Costs</w:t>
            </w:r>
          </w:p>
        </w:tc>
        <w:tc>
          <w:tcPr>
            <w:tcW w:w="2026"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1,189,500.00</w:t>
            </w:r>
          </w:p>
        </w:tc>
        <w:tc>
          <w:tcPr>
            <w:tcW w:w="1800" w:type="dxa"/>
          </w:tcPr>
          <w:p>
            <w:pPr>
              <w:pStyle w:val="TableParagraph"/>
              <w:rPr>
                <w:rFonts w:ascii="Calibri Light"/>
                <w:b w:val="0"/>
                <w:sz w:val="26"/>
              </w:rPr>
            </w:pPr>
          </w:p>
          <w:p>
            <w:pPr>
              <w:pStyle w:val="TableParagraph"/>
              <w:spacing w:line="223" w:lineRule="exact"/>
              <w:ind w:right="101"/>
              <w:jc w:val="right"/>
              <w:rPr>
                <w:sz w:val="20"/>
              </w:rPr>
            </w:pPr>
            <w:r>
              <w:rPr>
                <w:spacing w:val="-2"/>
                <w:sz w:val="20"/>
              </w:rPr>
              <w:t>1,189,500.00</w:t>
            </w:r>
          </w:p>
        </w:tc>
        <w:tc>
          <w:tcPr>
            <w:tcW w:w="1560"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1,198,153.22</w:t>
            </w:r>
          </w:p>
        </w:tc>
        <w:tc>
          <w:tcPr>
            <w:tcW w:w="1594"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1,198,153.22</w:t>
            </w:r>
          </w:p>
        </w:tc>
        <w:tc>
          <w:tcPr>
            <w:tcW w:w="1560" w:type="dxa"/>
          </w:tcPr>
          <w:p>
            <w:pPr>
              <w:pStyle w:val="TableParagraph"/>
              <w:rPr>
                <w:rFonts w:ascii="Calibri Light"/>
                <w:b w:val="0"/>
                <w:sz w:val="26"/>
              </w:rPr>
            </w:pPr>
          </w:p>
          <w:p>
            <w:pPr>
              <w:pStyle w:val="TableParagraph"/>
              <w:spacing w:line="223" w:lineRule="exact"/>
              <w:ind w:right="101"/>
              <w:jc w:val="right"/>
              <w:rPr>
                <w:sz w:val="20"/>
              </w:rPr>
            </w:pPr>
            <w:r>
              <w:rPr>
                <w:sz w:val="20"/>
              </w:rPr>
              <w:t>-</w:t>
            </w:r>
            <w:r>
              <w:rPr>
                <w:spacing w:val="-2"/>
                <w:sz w:val="20"/>
              </w:rPr>
              <w:t>8,653.22</w:t>
            </w:r>
          </w:p>
        </w:tc>
      </w:tr>
      <w:tr>
        <w:trPr>
          <w:trHeight w:val="561" w:hRule="atLeast"/>
        </w:trPr>
        <w:tc>
          <w:tcPr>
            <w:tcW w:w="1061" w:type="dxa"/>
            <w:shd w:val="clear" w:color="auto" w:fill="FFF8DC"/>
          </w:tcPr>
          <w:p>
            <w:pPr>
              <w:pStyle w:val="TableParagraph"/>
              <w:rPr>
                <w:rFonts w:ascii="Calibri Light"/>
                <w:b w:val="0"/>
                <w:sz w:val="26"/>
              </w:rPr>
            </w:pPr>
          </w:p>
          <w:p>
            <w:pPr>
              <w:pStyle w:val="TableParagraph"/>
              <w:spacing w:line="223" w:lineRule="exact"/>
              <w:ind w:left="105"/>
              <w:rPr>
                <w:sz w:val="20"/>
              </w:rPr>
            </w:pPr>
            <w:r>
              <w:rPr>
                <w:spacing w:val="-5"/>
                <w:sz w:val="20"/>
              </w:rPr>
              <w:t>272</w:t>
            </w:r>
          </w:p>
        </w:tc>
        <w:tc>
          <w:tcPr>
            <w:tcW w:w="1095" w:type="dxa"/>
          </w:tcPr>
          <w:p>
            <w:pPr>
              <w:pStyle w:val="TableParagraph"/>
              <w:rPr>
                <w:rFonts w:ascii="Calibri Light"/>
                <w:b w:val="0"/>
                <w:sz w:val="26"/>
              </w:rPr>
            </w:pPr>
          </w:p>
          <w:p>
            <w:pPr>
              <w:pStyle w:val="TableParagraph"/>
              <w:spacing w:line="223" w:lineRule="exact"/>
              <w:ind w:left="105"/>
              <w:rPr>
                <w:sz w:val="20"/>
              </w:rPr>
            </w:pPr>
            <w:r>
              <w:rPr>
                <w:spacing w:val="-4"/>
                <w:sz w:val="20"/>
              </w:rPr>
              <w:t>0191</w:t>
            </w:r>
          </w:p>
        </w:tc>
        <w:tc>
          <w:tcPr>
            <w:tcW w:w="932" w:type="dxa"/>
          </w:tcPr>
          <w:p>
            <w:pPr>
              <w:pStyle w:val="TableParagraph"/>
              <w:rPr>
                <w:rFonts w:ascii="Calibri Light"/>
                <w:b w:val="0"/>
                <w:sz w:val="26"/>
              </w:rPr>
            </w:pPr>
          </w:p>
          <w:p>
            <w:pPr>
              <w:pStyle w:val="TableParagraph"/>
              <w:spacing w:line="223" w:lineRule="exact"/>
              <w:ind w:left="109"/>
              <w:rPr>
                <w:sz w:val="20"/>
              </w:rPr>
            </w:pPr>
            <w:r>
              <w:rPr>
                <w:spacing w:val="-4"/>
                <w:sz w:val="20"/>
              </w:rPr>
              <w:t>4043</w:t>
            </w:r>
          </w:p>
        </w:tc>
        <w:tc>
          <w:tcPr>
            <w:tcW w:w="2127" w:type="dxa"/>
          </w:tcPr>
          <w:p>
            <w:pPr>
              <w:pStyle w:val="TableParagraph"/>
              <w:spacing w:line="240" w:lineRule="atLeast" w:before="53"/>
              <w:ind w:left="103"/>
              <w:rPr>
                <w:sz w:val="20"/>
              </w:rPr>
            </w:pPr>
            <w:r>
              <w:rPr>
                <w:sz w:val="20"/>
              </w:rPr>
              <w:t>MP</w:t>
            </w:r>
            <w:r>
              <w:rPr>
                <w:spacing w:val="-12"/>
                <w:sz w:val="20"/>
              </w:rPr>
              <w:t> </w:t>
            </w:r>
            <w:r>
              <w:rPr>
                <w:sz w:val="20"/>
              </w:rPr>
              <w:t>Scholarships</w:t>
            </w:r>
            <w:r>
              <w:rPr>
                <w:spacing w:val="-11"/>
                <w:sz w:val="20"/>
              </w:rPr>
              <w:t> </w:t>
            </w:r>
            <w:r>
              <w:rPr>
                <w:sz w:val="20"/>
              </w:rPr>
              <w:t>Award </w:t>
            </w:r>
            <w:r>
              <w:rPr>
                <w:spacing w:val="-2"/>
                <w:sz w:val="20"/>
              </w:rPr>
              <w:t>Grant</w:t>
            </w:r>
          </w:p>
        </w:tc>
        <w:tc>
          <w:tcPr>
            <w:tcW w:w="2026"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15,000,000.00</w:t>
            </w:r>
          </w:p>
        </w:tc>
        <w:tc>
          <w:tcPr>
            <w:tcW w:w="1800" w:type="dxa"/>
          </w:tcPr>
          <w:p>
            <w:pPr>
              <w:pStyle w:val="TableParagraph"/>
              <w:rPr>
                <w:rFonts w:ascii="Calibri Light"/>
                <w:b w:val="0"/>
                <w:sz w:val="26"/>
              </w:rPr>
            </w:pPr>
          </w:p>
          <w:p>
            <w:pPr>
              <w:pStyle w:val="TableParagraph"/>
              <w:spacing w:line="223" w:lineRule="exact"/>
              <w:ind w:right="101"/>
              <w:jc w:val="right"/>
              <w:rPr>
                <w:sz w:val="20"/>
              </w:rPr>
            </w:pPr>
            <w:r>
              <w:rPr>
                <w:spacing w:val="-2"/>
                <w:sz w:val="20"/>
              </w:rPr>
              <w:t>15,000,000.00</w:t>
            </w:r>
          </w:p>
        </w:tc>
        <w:tc>
          <w:tcPr>
            <w:tcW w:w="1560"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14,650,000.00</w:t>
            </w:r>
          </w:p>
        </w:tc>
        <w:tc>
          <w:tcPr>
            <w:tcW w:w="1594" w:type="dxa"/>
          </w:tcPr>
          <w:p>
            <w:pPr>
              <w:pStyle w:val="TableParagraph"/>
              <w:rPr>
                <w:rFonts w:ascii="Calibri Light"/>
                <w:b w:val="0"/>
                <w:sz w:val="26"/>
              </w:rPr>
            </w:pPr>
          </w:p>
          <w:p>
            <w:pPr>
              <w:pStyle w:val="TableParagraph"/>
              <w:spacing w:line="223" w:lineRule="exact"/>
              <w:ind w:right="96"/>
              <w:jc w:val="right"/>
              <w:rPr>
                <w:sz w:val="20"/>
              </w:rPr>
            </w:pPr>
            <w:r>
              <w:rPr>
                <w:spacing w:val="-2"/>
                <w:sz w:val="20"/>
              </w:rPr>
              <w:t>14,650,000.00</w:t>
            </w:r>
          </w:p>
        </w:tc>
        <w:tc>
          <w:tcPr>
            <w:tcW w:w="1560" w:type="dxa"/>
          </w:tcPr>
          <w:p>
            <w:pPr>
              <w:pStyle w:val="TableParagraph"/>
              <w:rPr>
                <w:rFonts w:ascii="Calibri Light"/>
                <w:b w:val="0"/>
                <w:sz w:val="26"/>
              </w:rPr>
            </w:pPr>
          </w:p>
          <w:p>
            <w:pPr>
              <w:pStyle w:val="TableParagraph"/>
              <w:spacing w:line="223" w:lineRule="exact"/>
              <w:ind w:right="106"/>
              <w:jc w:val="right"/>
              <w:rPr>
                <w:sz w:val="20"/>
              </w:rPr>
            </w:pPr>
            <w:r>
              <w:rPr>
                <w:spacing w:val="-2"/>
                <w:sz w:val="20"/>
              </w:rPr>
              <w:t>350,000.00</w:t>
            </w:r>
          </w:p>
        </w:tc>
      </w:tr>
      <w:tr>
        <w:trPr>
          <w:trHeight w:val="297" w:hRule="atLeast"/>
        </w:trPr>
        <w:tc>
          <w:tcPr>
            <w:tcW w:w="5215" w:type="dxa"/>
            <w:gridSpan w:val="4"/>
            <w:tcBorders>
              <w:left w:val="nil"/>
              <w:bottom w:val="nil"/>
            </w:tcBorders>
          </w:tcPr>
          <w:p>
            <w:pPr>
              <w:pStyle w:val="TableParagraph"/>
              <w:rPr>
                <w:rFonts w:ascii="Times New Roman"/>
                <w:sz w:val="20"/>
              </w:rPr>
            </w:pPr>
          </w:p>
        </w:tc>
        <w:tc>
          <w:tcPr>
            <w:tcW w:w="2026" w:type="dxa"/>
          </w:tcPr>
          <w:p>
            <w:pPr>
              <w:pStyle w:val="TableParagraph"/>
              <w:spacing w:line="223" w:lineRule="exact" w:before="54"/>
              <w:ind w:right="101"/>
              <w:jc w:val="right"/>
              <w:rPr>
                <w:b/>
                <w:sz w:val="20"/>
              </w:rPr>
            </w:pPr>
            <w:r>
              <w:rPr>
                <w:b/>
                <w:spacing w:val="-2"/>
                <w:sz w:val="20"/>
              </w:rPr>
              <w:t>198,275,587.00</w:t>
            </w:r>
          </w:p>
        </w:tc>
        <w:tc>
          <w:tcPr>
            <w:tcW w:w="1800" w:type="dxa"/>
            <w:shd w:val="clear" w:color="auto" w:fill="FFFF00"/>
          </w:tcPr>
          <w:p>
            <w:pPr>
              <w:pStyle w:val="TableParagraph"/>
              <w:spacing w:line="223" w:lineRule="exact" w:before="54"/>
              <w:ind w:right="105"/>
              <w:jc w:val="right"/>
              <w:rPr>
                <w:b/>
                <w:sz w:val="20"/>
              </w:rPr>
            </w:pPr>
            <w:r>
              <w:rPr>
                <w:b/>
                <w:spacing w:val="-2"/>
                <w:sz w:val="20"/>
              </w:rPr>
              <w:t>198,275,587.00</w:t>
            </w:r>
          </w:p>
        </w:tc>
        <w:tc>
          <w:tcPr>
            <w:tcW w:w="1560" w:type="dxa"/>
          </w:tcPr>
          <w:p>
            <w:pPr>
              <w:pStyle w:val="TableParagraph"/>
              <w:spacing w:line="223" w:lineRule="exact" w:before="54"/>
              <w:ind w:right="101"/>
              <w:jc w:val="right"/>
              <w:rPr>
                <w:b/>
                <w:sz w:val="20"/>
              </w:rPr>
            </w:pPr>
            <w:r>
              <w:rPr>
                <w:b/>
                <w:spacing w:val="-2"/>
                <w:sz w:val="20"/>
              </w:rPr>
              <w:t>173,224,404.32</w:t>
            </w:r>
          </w:p>
        </w:tc>
        <w:tc>
          <w:tcPr>
            <w:tcW w:w="1594" w:type="dxa"/>
          </w:tcPr>
          <w:p>
            <w:pPr>
              <w:pStyle w:val="TableParagraph"/>
              <w:spacing w:line="223" w:lineRule="exact" w:before="54"/>
              <w:ind w:right="101"/>
              <w:jc w:val="right"/>
              <w:rPr>
                <w:b/>
                <w:sz w:val="20"/>
              </w:rPr>
            </w:pPr>
            <w:r>
              <w:rPr>
                <w:b/>
                <w:spacing w:val="-2"/>
                <w:sz w:val="20"/>
              </w:rPr>
              <w:t>173,224,404.32</w:t>
            </w:r>
          </w:p>
        </w:tc>
        <w:tc>
          <w:tcPr>
            <w:tcW w:w="1560" w:type="dxa"/>
          </w:tcPr>
          <w:p>
            <w:pPr>
              <w:pStyle w:val="TableParagraph"/>
              <w:spacing w:line="223" w:lineRule="exact" w:before="54"/>
              <w:ind w:right="106"/>
              <w:jc w:val="right"/>
              <w:rPr>
                <w:b/>
                <w:sz w:val="20"/>
              </w:rPr>
            </w:pPr>
            <w:r>
              <w:rPr>
                <w:b/>
                <w:spacing w:val="-2"/>
                <w:sz w:val="20"/>
              </w:rPr>
              <w:t>25,051,182.68</w:t>
            </w:r>
          </w:p>
        </w:tc>
      </w:tr>
    </w:tbl>
    <w:p>
      <w:pPr>
        <w:spacing w:after="0" w:line="223" w:lineRule="exact"/>
        <w:jc w:val="right"/>
        <w:rPr>
          <w:sz w:val="20"/>
        </w:rPr>
        <w:sectPr>
          <w:headerReference w:type="default" r:id="rId31"/>
          <w:footerReference w:type="default" r:id="rId32"/>
          <w:pgSz w:w="16840" w:h="11900" w:orient="landscape"/>
          <w:pgMar w:header="0" w:footer="729" w:top="660" w:bottom="920" w:left="1320" w:right="1540"/>
        </w:sectPr>
      </w:pPr>
    </w:p>
    <w:p>
      <w:pPr>
        <w:pStyle w:val="BodyText"/>
        <w:spacing w:before="29"/>
        <w:ind w:left="10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1"/>
        <w:rPr>
          <w:rFonts w:ascii="Calibri Light"/>
          <w:b w:val="0"/>
          <w:sz w:val="18"/>
        </w:rPr>
      </w:pPr>
    </w:p>
    <w:p>
      <w:pPr>
        <w:spacing w:before="52"/>
        <w:ind w:left="100" w:right="0" w:firstLine="0"/>
        <w:jc w:val="left"/>
        <w:rPr>
          <w:rFonts w:ascii="Calibri Light"/>
          <w:b w:val="0"/>
          <w:sz w:val="24"/>
        </w:rPr>
      </w:pPr>
      <w:bookmarkStart w:name="Appendix 6 Transition rates - Boys &amp; Gir" w:id="50"/>
      <w:bookmarkEnd w:id="50"/>
      <w:r>
        <w:rPr/>
      </w:r>
      <w:bookmarkStart w:name="_bookmark24" w:id="51"/>
      <w:bookmarkEnd w:id="51"/>
      <w:r>
        <w:rPr/>
      </w:r>
      <w:r>
        <w:rPr>
          <w:rFonts w:ascii="Calibri Light"/>
          <w:b w:val="0"/>
          <w:spacing w:val="-2"/>
          <w:sz w:val="24"/>
        </w:rPr>
        <w:t>A</w:t>
      </w:r>
      <w:r>
        <w:rPr>
          <w:rFonts w:ascii="Calibri Light"/>
          <w:b w:val="0"/>
          <w:spacing w:val="-2"/>
          <w:sz w:val="19"/>
        </w:rPr>
        <w:t>PPENDIX</w:t>
      </w:r>
      <w:r>
        <w:rPr>
          <w:rFonts w:ascii="Calibri Light"/>
          <w:b w:val="0"/>
          <w:spacing w:val="-1"/>
          <w:sz w:val="19"/>
        </w:rPr>
        <w:t> </w:t>
      </w:r>
      <w:r>
        <w:rPr>
          <w:rFonts w:ascii="Calibri Light"/>
          <w:b w:val="0"/>
          <w:spacing w:val="-10"/>
          <w:sz w:val="24"/>
        </w:rPr>
        <w:t>6</w:t>
      </w:r>
    </w:p>
    <w:p>
      <w:pPr>
        <w:pStyle w:val="Heading2"/>
        <w:ind w:left="100"/>
        <w:rPr>
          <w:b w:val="0"/>
        </w:rPr>
      </w:pPr>
      <w:r>
        <w:rPr>
          <w:b w:val="0"/>
          <w:smallCaps/>
          <w:spacing w:val="-2"/>
        </w:rPr>
        <w:t>Transition</w:t>
      </w:r>
      <w:r>
        <w:rPr>
          <w:b w:val="0"/>
          <w:smallCaps/>
          <w:spacing w:val="-1"/>
        </w:rPr>
        <w:t> </w:t>
      </w:r>
      <w:r>
        <w:rPr>
          <w:b w:val="0"/>
          <w:smallCaps/>
          <w:spacing w:val="-2"/>
        </w:rPr>
        <w:t>rates</w:t>
      </w:r>
      <w:r>
        <w:rPr>
          <w:b w:val="0"/>
          <w:smallCaps/>
          <w:spacing w:val="2"/>
        </w:rPr>
        <w:t> </w:t>
      </w:r>
      <w:r>
        <w:rPr>
          <w:b w:val="0"/>
          <w:smallCaps/>
          <w:spacing w:val="-2"/>
        </w:rPr>
        <w:t>-</w:t>
      </w:r>
      <w:r>
        <w:rPr>
          <w:b w:val="0"/>
          <w:smallCaps/>
          <w:spacing w:val="-17"/>
        </w:rPr>
        <w:t> </w:t>
      </w:r>
      <w:r>
        <w:rPr>
          <w:b w:val="0"/>
          <w:smallCaps/>
          <w:spacing w:val="-2"/>
        </w:rPr>
        <w:t>Boys</w:t>
      </w:r>
      <w:r>
        <w:rPr>
          <w:b w:val="0"/>
          <w:smallCaps/>
          <w:spacing w:val="-4"/>
        </w:rPr>
        <w:t> </w:t>
      </w:r>
      <w:r>
        <w:rPr>
          <w:b w:val="0"/>
          <w:smallCaps/>
          <w:spacing w:val="-2"/>
        </w:rPr>
        <w:t>&amp;</w:t>
      </w:r>
      <w:r>
        <w:rPr>
          <w:b w:val="0"/>
          <w:smallCaps/>
          <w:spacing w:val="-6"/>
        </w:rPr>
        <w:t> </w:t>
      </w:r>
      <w:r>
        <w:rPr>
          <w:b w:val="0"/>
          <w:smallCaps/>
          <w:spacing w:val="-2"/>
        </w:rPr>
        <w:t>Girls:</w:t>
      </w:r>
      <w:r>
        <w:rPr>
          <w:b w:val="0"/>
          <w:smallCaps/>
          <w:spacing w:val="-16"/>
        </w:rPr>
        <w:t> </w:t>
      </w:r>
      <w:r>
        <w:rPr>
          <w:b w:val="0"/>
          <w:smallCaps/>
          <w:spacing w:val="-2"/>
        </w:rPr>
        <w:t>2012</w:t>
      </w:r>
      <w:r>
        <w:rPr>
          <w:b w:val="0"/>
          <w:smallCaps/>
          <w:spacing w:val="-16"/>
        </w:rPr>
        <w:t> </w:t>
      </w:r>
      <w:r>
        <w:rPr>
          <w:b w:val="0"/>
          <w:smallCaps/>
          <w:spacing w:val="-2"/>
        </w:rPr>
        <w:t>to</w:t>
      </w:r>
      <w:r>
        <w:rPr>
          <w:b w:val="0"/>
          <w:smallCaps/>
          <w:spacing w:val="-4"/>
        </w:rPr>
        <w:t> 2016</w:t>
      </w:r>
    </w:p>
    <w:p>
      <w:pPr>
        <w:spacing w:after="0"/>
        <w:sectPr>
          <w:headerReference w:type="default" r:id="rId33"/>
          <w:footerReference w:type="default" r:id="rId34"/>
          <w:pgSz w:w="11900" w:h="16840"/>
          <w:pgMar w:header="0" w:footer="729" w:top="660" w:bottom="920" w:left="1340" w:right="1680"/>
        </w:sectPr>
      </w:pPr>
    </w:p>
    <w:p>
      <w:pPr>
        <w:pStyle w:val="BodyText"/>
        <w:spacing w:before="28"/>
        <w:ind w:left="10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p>
      <w:pPr>
        <w:pStyle w:val="BodyText"/>
        <w:rPr>
          <w:rFonts w:ascii="Calibri Light"/>
          <w:b w:val="0"/>
          <w:sz w:val="20"/>
        </w:rPr>
      </w:pPr>
    </w:p>
    <w:p>
      <w:pPr>
        <w:pStyle w:val="BodyText"/>
        <w:rPr>
          <w:rFonts w:ascii="Calibri Light"/>
          <w:b w:val="0"/>
          <w:sz w:val="20"/>
        </w:rPr>
      </w:pPr>
    </w:p>
    <w:p>
      <w:pPr>
        <w:pStyle w:val="BodyText"/>
        <w:rPr>
          <w:rFonts w:ascii="Calibri Light"/>
          <w:b w:val="0"/>
          <w:sz w:val="20"/>
        </w:rPr>
      </w:pPr>
    </w:p>
    <w:p>
      <w:pPr>
        <w:pStyle w:val="BodyText"/>
        <w:spacing w:before="8"/>
        <w:rPr>
          <w:rFonts w:ascii="Calibri Light"/>
          <w:b w:val="0"/>
          <w:sz w:val="19"/>
        </w:rPr>
      </w:pPr>
    </w:p>
    <w:tbl>
      <w:tblPr>
        <w:tblW w:w="0" w:type="auto"/>
        <w:jc w:val="left"/>
        <w:tblInd w:w="158"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top w:w="0" w:type="dxa"/>
          <w:left w:w="0" w:type="dxa"/>
          <w:bottom w:w="0" w:type="dxa"/>
          <w:right w:w="0" w:type="dxa"/>
        </w:tblCellMar>
        <w:tblLook w:val="01E0"/>
      </w:tblPr>
      <w:tblGrid>
        <w:gridCol w:w="784"/>
        <w:gridCol w:w="1219"/>
        <w:gridCol w:w="1089"/>
        <w:gridCol w:w="1003"/>
        <w:gridCol w:w="1089"/>
        <w:gridCol w:w="1060"/>
        <w:gridCol w:w="1060"/>
        <w:gridCol w:w="1055"/>
        <w:gridCol w:w="1060"/>
        <w:gridCol w:w="1060"/>
        <w:gridCol w:w="1060"/>
        <w:gridCol w:w="1060"/>
        <w:gridCol w:w="1060"/>
        <w:gridCol w:w="1055"/>
      </w:tblGrid>
      <w:tr>
        <w:trPr>
          <w:trHeight w:val="301"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D9E2F3"/>
          </w:tcPr>
          <w:p>
            <w:pPr>
              <w:pStyle w:val="TableParagraph"/>
              <w:rPr>
                <w:rFonts w:ascii="Times New Roman"/>
                <w:sz w:val="18"/>
              </w:rPr>
            </w:pPr>
          </w:p>
        </w:tc>
        <w:tc>
          <w:tcPr>
            <w:tcW w:w="3181" w:type="dxa"/>
            <w:gridSpan w:val="3"/>
            <w:shd w:val="clear" w:color="auto" w:fill="D9E2F3"/>
          </w:tcPr>
          <w:p>
            <w:pPr>
              <w:pStyle w:val="TableParagraph"/>
              <w:spacing w:line="202" w:lineRule="exact" w:before="80"/>
              <w:ind w:left="1231" w:right="1210"/>
              <w:jc w:val="center"/>
              <w:rPr>
                <w:rFonts w:ascii="Trebuchet MS"/>
                <w:b/>
                <w:sz w:val="18"/>
              </w:rPr>
            </w:pPr>
            <w:r>
              <w:rPr>
                <w:rFonts w:ascii="Trebuchet MS"/>
                <w:b/>
                <w:spacing w:val="-2"/>
                <w:sz w:val="18"/>
              </w:rPr>
              <w:t>2012/13</w:t>
            </w:r>
          </w:p>
        </w:tc>
        <w:tc>
          <w:tcPr>
            <w:tcW w:w="3175" w:type="dxa"/>
            <w:gridSpan w:val="3"/>
            <w:shd w:val="clear" w:color="auto" w:fill="D9E2F3"/>
          </w:tcPr>
          <w:p>
            <w:pPr>
              <w:pStyle w:val="TableParagraph"/>
              <w:spacing w:line="202" w:lineRule="exact" w:before="80"/>
              <w:ind w:left="1218" w:right="1207"/>
              <w:jc w:val="center"/>
              <w:rPr>
                <w:rFonts w:ascii="Trebuchet MS"/>
                <w:b/>
                <w:sz w:val="18"/>
              </w:rPr>
            </w:pPr>
            <w:r>
              <w:rPr>
                <w:rFonts w:ascii="Trebuchet MS"/>
                <w:b/>
                <w:spacing w:val="-2"/>
                <w:sz w:val="18"/>
              </w:rPr>
              <w:t>2013/14</w:t>
            </w:r>
          </w:p>
        </w:tc>
        <w:tc>
          <w:tcPr>
            <w:tcW w:w="3180" w:type="dxa"/>
            <w:gridSpan w:val="3"/>
            <w:shd w:val="clear" w:color="auto" w:fill="D9E2F3"/>
          </w:tcPr>
          <w:p>
            <w:pPr>
              <w:pStyle w:val="TableParagraph"/>
              <w:spacing w:line="202" w:lineRule="exact" w:before="80"/>
              <w:ind w:left="1230" w:right="1209"/>
              <w:jc w:val="center"/>
              <w:rPr>
                <w:rFonts w:ascii="Trebuchet MS"/>
                <w:b/>
                <w:sz w:val="18"/>
              </w:rPr>
            </w:pPr>
            <w:r>
              <w:rPr>
                <w:rFonts w:ascii="Trebuchet MS"/>
                <w:b/>
                <w:spacing w:val="-2"/>
                <w:sz w:val="18"/>
              </w:rPr>
              <w:t>2014/15</w:t>
            </w:r>
          </w:p>
        </w:tc>
        <w:tc>
          <w:tcPr>
            <w:tcW w:w="3175" w:type="dxa"/>
            <w:gridSpan w:val="3"/>
            <w:shd w:val="clear" w:color="auto" w:fill="D9E2F3"/>
          </w:tcPr>
          <w:p>
            <w:pPr>
              <w:pStyle w:val="TableParagraph"/>
              <w:spacing w:line="202" w:lineRule="exact" w:before="80"/>
              <w:ind w:left="1223" w:right="1202"/>
              <w:jc w:val="center"/>
              <w:rPr>
                <w:rFonts w:ascii="Trebuchet MS"/>
                <w:b/>
                <w:sz w:val="18"/>
              </w:rPr>
            </w:pPr>
            <w:r>
              <w:rPr>
                <w:rFonts w:ascii="Trebuchet MS"/>
                <w:b/>
                <w:spacing w:val="-2"/>
                <w:sz w:val="18"/>
              </w:rPr>
              <w:t>2015/16</w:t>
            </w:r>
          </w:p>
        </w:tc>
      </w:tr>
      <w:tr>
        <w:trPr>
          <w:trHeight w:val="297"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D9E2F3"/>
          </w:tcPr>
          <w:p>
            <w:pPr>
              <w:pStyle w:val="TableParagraph"/>
              <w:spacing w:line="202" w:lineRule="exact" w:before="75"/>
              <w:ind w:left="158"/>
              <w:rPr>
                <w:rFonts w:ascii="Trebuchet MS" w:hAnsi="Trebuchet MS"/>
                <w:sz w:val="18"/>
              </w:rPr>
            </w:pPr>
            <w:r>
              <w:rPr>
                <w:rFonts w:ascii="Trebuchet MS" w:hAnsi="Trebuchet MS"/>
                <w:sz w:val="18"/>
              </w:rPr>
              <w:t>from</w:t>
            </w:r>
            <w:r>
              <w:rPr>
                <w:rFonts w:ascii="Trebuchet MS" w:hAnsi="Trebuchet MS"/>
                <w:spacing w:val="1"/>
                <w:sz w:val="18"/>
              </w:rPr>
              <w:t> </w:t>
            </w:r>
            <w:r>
              <w:rPr>
                <w:rFonts w:ascii="Trebuchet MS" w:hAnsi="Trebuchet MS"/>
                <w:spacing w:val="-2"/>
                <w:sz w:val="18"/>
              </w:rPr>
              <w:t>class…</w:t>
            </w:r>
          </w:p>
        </w:tc>
        <w:tc>
          <w:tcPr>
            <w:tcW w:w="1089" w:type="dxa"/>
            <w:shd w:val="clear" w:color="auto" w:fill="D9E2F3"/>
          </w:tcPr>
          <w:p>
            <w:pPr>
              <w:pStyle w:val="TableParagraph"/>
              <w:spacing w:line="202" w:lineRule="exact" w:before="75"/>
              <w:ind w:left="110"/>
              <w:rPr>
                <w:rFonts w:ascii="Trebuchet MS"/>
                <w:sz w:val="18"/>
              </w:rPr>
            </w:pPr>
            <w:r>
              <w:rPr>
                <w:rFonts w:ascii="Trebuchet MS"/>
                <w:w w:val="101"/>
                <w:sz w:val="18"/>
              </w:rPr>
              <w:t>M</w:t>
            </w:r>
          </w:p>
        </w:tc>
        <w:tc>
          <w:tcPr>
            <w:tcW w:w="1003" w:type="dxa"/>
            <w:shd w:val="clear" w:color="auto" w:fill="D9E2F3"/>
          </w:tcPr>
          <w:p>
            <w:pPr>
              <w:pStyle w:val="TableParagraph"/>
              <w:spacing w:line="202" w:lineRule="exact" w:before="75"/>
              <w:ind w:left="111"/>
              <w:rPr>
                <w:rFonts w:ascii="Trebuchet MS"/>
                <w:sz w:val="18"/>
              </w:rPr>
            </w:pPr>
            <w:r>
              <w:rPr>
                <w:rFonts w:ascii="Trebuchet MS"/>
                <w:w w:val="101"/>
                <w:sz w:val="18"/>
              </w:rPr>
              <w:t>F</w:t>
            </w:r>
          </w:p>
        </w:tc>
        <w:tc>
          <w:tcPr>
            <w:tcW w:w="1089" w:type="dxa"/>
            <w:shd w:val="clear" w:color="auto" w:fill="D9E2F3"/>
          </w:tcPr>
          <w:p>
            <w:pPr>
              <w:pStyle w:val="TableParagraph"/>
              <w:spacing w:line="202" w:lineRule="exact" w:before="75"/>
              <w:ind w:left="111"/>
              <w:rPr>
                <w:rFonts w:ascii="Trebuchet MS"/>
                <w:sz w:val="18"/>
              </w:rPr>
            </w:pPr>
            <w:r>
              <w:rPr>
                <w:rFonts w:ascii="Trebuchet MS"/>
                <w:spacing w:val="-5"/>
                <w:sz w:val="18"/>
              </w:rPr>
              <w:t>Tot</w:t>
            </w:r>
          </w:p>
        </w:tc>
        <w:tc>
          <w:tcPr>
            <w:tcW w:w="1060" w:type="dxa"/>
            <w:shd w:val="clear" w:color="auto" w:fill="D9E2F3"/>
          </w:tcPr>
          <w:p>
            <w:pPr>
              <w:pStyle w:val="TableParagraph"/>
              <w:spacing w:line="202" w:lineRule="exact" w:before="75"/>
              <w:ind w:left="107"/>
              <w:rPr>
                <w:rFonts w:ascii="Trebuchet MS"/>
                <w:sz w:val="18"/>
              </w:rPr>
            </w:pPr>
            <w:r>
              <w:rPr>
                <w:rFonts w:ascii="Trebuchet MS"/>
                <w:w w:val="101"/>
                <w:sz w:val="18"/>
              </w:rPr>
              <w:t>M</w:t>
            </w:r>
          </w:p>
        </w:tc>
        <w:tc>
          <w:tcPr>
            <w:tcW w:w="1060" w:type="dxa"/>
            <w:shd w:val="clear" w:color="auto" w:fill="D9E2F3"/>
          </w:tcPr>
          <w:p>
            <w:pPr>
              <w:pStyle w:val="TableParagraph"/>
              <w:spacing w:line="202" w:lineRule="exact" w:before="75"/>
              <w:ind w:left="108"/>
              <w:rPr>
                <w:rFonts w:ascii="Trebuchet MS"/>
                <w:sz w:val="18"/>
              </w:rPr>
            </w:pPr>
            <w:r>
              <w:rPr>
                <w:rFonts w:ascii="Trebuchet MS"/>
                <w:w w:val="101"/>
                <w:sz w:val="18"/>
              </w:rPr>
              <w:t>F</w:t>
            </w:r>
          </w:p>
        </w:tc>
        <w:tc>
          <w:tcPr>
            <w:tcW w:w="1055" w:type="dxa"/>
            <w:shd w:val="clear" w:color="auto" w:fill="D9E2F3"/>
          </w:tcPr>
          <w:p>
            <w:pPr>
              <w:pStyle w:val="TableParagraph"/>
              <w:spacing w:line="202" w:lineRule="exact" w:before="75"/>
              <w:ind w:left="109"/>
              <w:rPr>
                <w:rFonts w:ascii="Trebuchet MS"/>
                <w:sz w:val="18"/>
              </w:rPr>
            </w:pPr>
            <w:r>
              <w:rPr>
                <w:rFonts w:ascii="Trebuchet MS"/>
                <w:spacing w:val="-5"/>
                <w:sz w:val="18"/>
              </w:rPr>
              <w:t>Tot</w:t>
            </w:r>
          </w:p>
        </w:tc>
        <w:tc>
          <w:tcPr>
            <w:tcW w:w="1060" w:type="dxa"/>
            <w:shd w:val="clear" w:color="auto" w:fill="D9E2F3"/>
          </w:tcPr>
          <w:p>
            <w:pPr>
              <w:pStyle w:val="TableParagraph"/>
              <w:spacing w:line="202" w:lineRule="exact" w:before="75"/>
              <w:ind w:left="114"/>
              <w:rPr>
                <w:rFonts w:ascii="Trebuchet MS"/>
                <w:sz w:val="18"/>
              </w:rPr>
            </w:pPr>
            <w:r>
              <w:rPr>
                <w:rFonts w:ascii="Trebuchet MS"/>
                <w:w w:val="101"/>
                <w:sz w:val="18"/>
              </w:rPr>
              <w:t>M</w:t>
            </w:r>
          </w:p>
        </w:tc>
        <w:tc>
          <w:tcPr>
            <w:tcW w:w="1060" w:type="dxa"/>
            <w:shd w:val="clear" w:color="auto" w:fill="D9E2F3"/>
          </w:tcPr>
          <w:p>
            <w:pPr>
              <w:pStyle w:val="TableParagraph"/>
              <w:spacing w:line="202" w:lineRule="exact" w:before="75"/>
              <w:ind w:left="115"/>
              <w:rPr>
                <w:rFonts w:ascii="Trebuchet MS"/>
                <w:sz w:val="18"/>
              </w:rPr>
            </w:pPr>
            <w:r>
              <w:rPr>
                <w:rFonts w:ascii="Trebuchet MS"/>
                <w:w w:val="101"/>
                <w:sz w:val="18"/>
              </w:rPr>
              <w:t>F</w:t>
            </w:r>
          </w:p>
        </w:tc>
        <w:tc>
          <w:tcPr>
            <w:tcW w:w="1060" w:type="dxa"/>
            <w:shd w:val="clear" w:color="auto" w:fill="D9E2F3"/>
          </w:tcPr>
          <w:p>
            <w:pPr>
              <w:pStyle w:val="TableParagraph"/>
              <w:spacing w:line="202" w:lineRule="exact" w:before="75"/>
              <w:ind w:left="116"/>
              <w:rPr>
                <w:rFonts w:ascii="Trebuchet MS"/>
                <w:sz w:val="18"/>
              </w:rPr>
            </w:pPr>
            <w:r>
              <w:rPr>
                <w:rFonts w:ascii="Trebuchet MS"/>
                <w:spacing w:val="-5"/>
                <w:sz w:val="18"/>
              </w:rPr>
              <w:t>Tot</w:t>
            </w:r>
          </w:p>
        </w:tc>
        <w:tc>
          <w:tcPr>
            <w:tcW w:w="1060" w:type="dxa"/>
            <w:shd w:val="clear" w:color="auto" w:fill="D9E2F3"/>
          </w:tcPr>
          <w:p>
            <w:pPr>
              <w:pStyle w:val="TableParagraph"/>
              <w:spacing w:line="202" w:lineRule="exact" w:before="75"/>
              <w:ind w:left="112"/>
              <w:rPr>
                <w:rFonts w:ascii="Trebuchet MS"/>
                <w:sz w:val="18"/>
              </w:rPr>
            </w:pPr>
            <w:r>
              <w:rPr>
                <w:rFonts w:ascii="Trebuchet MS"/>
                <w:w w:val="101"/>
                <w:sz w:val="18"/>
              </w:rPr>
              <w:t>M</w:t>
            </w:r>
          </w:p>
        </w:tc>
        <w:tc>
          <w:tcPr>
            <w:tcW w:w="1060" w:type="dxa"/>
            <w:shd w:val="clear" w:color="auto" w:fill="D9E2F3"/>
          </w:tcPr>
          <w:p>
            <w:pPr>
              <w:pStyle w:val="TableParagraph"/>
              <w:spacing w:line="202" w:lineRule="exact" w:before="75"/>
              <w:ind w:left="113"/>
              <w:rPr>
                <w:rFonts w:ascii="Trebuchet MS"/>
                <w:sz w:val="18"/>
              </w:rPr>
            </w:pPr>
            <w:r>
              <w:rPr>
                <w:rFonts w:ascii="Trebuchet MS"/>
                <w:w w:val="101"/>
                <w:sz w:val="18"/>
              </w:rPr>
              <w:t>F</w:t>
            </w:r>
          </w:p>
        </w:tc>
        <w:tc>
          <w:tcPr>
            <w:tcW w:w="1055" w:type="dxa"/>
            <w:shd w:val="clear" w:color="auto" w:fill="D9E2F3"/>
          </w:tcPr>
          <w:p>
            <w:pPr>
              <w:pStyle w:val="TableParagraph"/>
              <w:spacing w:line="202" w:lineRule="exact" w:before="75"/>
              <w:ind w:left="114"/>
              <w:rPr>
                <w:rFonts w:ascii="Trebuchet MS"/>
                <w:sz w:val="18"/>
              </w:rPr>
            </w:pPr>
            <w:r>
              <w:rPr>
                <w:rFonts w:ascii="Trebuchet MS"/>
                <w:spacing w:val="-5"/>
                <w:sz w:val="18"/>
              </w:rPr>
              <w:t>Tot</w:t>
            </w:r>
          </w:p>
        </w:tc>
      </w:tr>
      <w:tr>
        <w:trPr>
          <w:trHeight w:val="301"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FFFFCC"/>
          </w:tcPr>
          <w:p>
            <w:pPr>
              <w:pStyle w:val="TableParagraph"/>
              <w:spacing w:line="202" w:lineRule="exact" w:before="80"/>
              <w:ind w:left="105"/>
              <w:rPr>
                <w:rFonts w:ascii="Trebuchet MS"/>
                <w:b/>
                <w:sz w:val="18"/>
              </w:rPr>
            </w:pPr>
            <w:r>
              <w:rPr>
                <w:rFonts w:ascii="Trebuchet MS"/>
                <w:b/>
                <w:spacing w:val="-4"/>
                <w:sz w:val="18"/>
              </w:rPr>
              <w:t>Prep</w:t>
            </w:r>
          </w:p>
        </w:tc>
        <w:tc>
          <w:tcPr>
            <w:tcW w:w="1089" w:type="dxa"/>
          </w:tcPr>
          <w:p>
            <w:pPr>
              <w:pStyle w:val="TableParagraph"/>
              <w:spacing w:line="202" w:lineRule="exact" w:before="80"/>
              <w:ind w:right="88"/>
              <w:jc w:val="right"/>
              <w:rPr>
                <w:rFonts w:ascii="Trebuchet MS"/>
                <w:sz w:val="18"/>
              </w:rPr>
            </w:pPr>
            <w:r>
              <w:rPr>
                <w:rFonts w:ascii="Trebuchet MS"/>
                <w:spacing w:val="-2"/>
                <w:sz w:val="18"/>
              </w:rPr>
              <w:t>88.3%</w:t>
            </w:r>
          </w:p>
        </w:tc>
        <w:tc>
          <w:tcPr>
            <w:tcW w:w="1003" w:type="dxa"/>
          </w:tcPr>
          <w:p>
            <w:pPr>
              <w:pStyle w:val="TableParagraph"/>
              <w:spacing w:line="202" w:lineRule="exact" w:before="80"/>
              <w:ind w:right="88"/>
              <w:jc w:val="right"/>
              <w:rPr>
                <w:rFonts w:ascii="Trebuchet MS"/>
                <w:sz w:val="18"/>
              </w:rPr>
            </w:pPr>
            <w:r>
              <w:rPr>
                <w:rFonts w:ascii="Trebuchet MS"/>
                <w:spacing w:val="-2"/>
                <w:sz w:val="18"/>
              </w:rPr>
              <w:t>88.3%</w:t>
            </w:r>
          </w:p>
        </w:tc>
        <w:tc>
          <w:tcPr>
            <w:tcW w:w="1089" w:type="dxa"/>
          </w:tcPr>
          <w:p>
            <w:pPr>
              <w:pStyle w:val="TableParagraph"/>
              <w:spacing w:line="202" w:lineRule="exact" w:before="80"/>
              <w:ind w:right="88"/>
              <w:jc w:val="right"/>
              <w:rPr>
                <w:rFonts w:ascii="Trebuchet MS"/>
                <w:sz w:val="18"/>
              </w:rPr>
            </w:pPr>
            <w:r>
              <w:rPr>
                <w:rFonts w:ascii="Trebuchet MS"/>
                <w:spacing w:val="-2"/>
                <w:sz w:val="18"/>
              </w:rPr>
              <w:t>88.3%</w:t>
            </w:r>
          </w:p>
        </w:tc>
        <w:tc>
          <w:tcPr>
            <w:tcW w:w="1060" w:type="dxa"/>
          </w:tcPr>
          <w:p>
            <w:pPr>
              <w:pStyle w:val="TableParagraph"/>
              <w:spacing w:line="202" w:lineRule="exact" w:before="80"/>
              <w:ind w:right="92"/>
              <w:jc w:val="right"/>
              <w:rPr>
                <w:rFonts w:ascii="Trebuchet MS"/>
                <w:sz w:val="18"/>
              </w:rPr>
            </w:pPr>
            <w:r>
              <w:rPr>
                <w:rFonts w:ascii="Trebuchet MS"/>
                <w:spacing w:val="-2"/>
                <w:sz w:val="18"/>
              </w:rPr>
              <w:t>91.7%</w:t>
            </w:r>
          </w:p>
        </w:tc>
        <w:tc>
          <w:tcPr>
            <w:tcW w:w="1060" w:type="dxa"/>
          </w:tcPr>
          <w:p>
            <w:pPr>
              <w:pStyle w:val="TableParagraph"/>
              <w:spacing w:line="202" w:lineRule="exact" w:before="80"/>
              <w:ind w:right="91"/>
              <w:jc w:val="right"/>
              <w:rPr>
                <w:rFonts w:ascii="Trebuchet MS"/>
                <w:sz w:val="18"/>
              </w:rPr>
            </w:pPr>
            <w:r>
              <w:rPr>
                <w:rFonts w:ascii="Trebuchet MS"/>
                <w:spacing w:val="-2"/>
                <w:sz w:val="18"/>
              </w:rPr>
              <w:t>87.6%</w:t>
            </w:r>
          </w:p>
        </w:tc>
        <w:tc>
          <w:tcPr>
            <w:tcW w:w="1055" w:type="dxa"/>
          </w:tcPr>
          <w:p>
            <w:pPr>
              <w:pStyle w:val="TableParagraph"/>
              <w:spacing w:line="202" w:lineRule="exact" w:before="80"/>
              <w:ind w:right="85"/>
              <w:jc w:val="right"/>
              <w:rPr>
                <w:rFonts w:ascii="Trebuchet MS"/>
                <w:sz w:val="18"/>
              </w:rPr>
            </w:pPr>
            <w:r>
              <w:rPr>
                <w:rFonts w:ascii="Trebuchet MS"/>
                <w:spacing w:val="-2"/>
                <w:sz w:val="18"/>
              </w:rPr>
              <w:t>89.7%</w:t>
            </w:r>
          </w:p>
        </w:tc>
        <w:tc>
          <w:tcPr>
            <w:tcW w:w="1060" w:type="dxa"/>
          </w:tcPr>
          <w:p>
            <w:pPr>
              <w:pStyle w:val="TableParagraph"/>
              <w:spacing w:line="202" w:lineRule="exact" w:before="80"/>
              <w:ind w:right="84"/>
              <w:jc w:val="right"/>
              <w:rPr>
                <w:rFonts w:ascii="Trebuchet MS"/>
                <w:sz w:val="18"/>
              </w:rPr>
            </w:pPr>
            <w:r>
              <w:rPr>
                <w:rFonts w:ascii="Trebuchet MS"/>
                <w:spacing w:val="-2"/>
                <w:sz w:val="18"/>
              </w:rPr>
              <w:t>93.4%</w:t>
            </w:r>
          </w:p>
        </w:tc>
        <w:tc>
          <w:tcPr>
            <w:tcW w:w="1060" w:type="dxa"/>
          </w:tcPr>
          <w:p>
            <w:pPr>
              <w:pStyle w:val="TableParagraph"/>
              <w:spacing w:line="202" w:lineRule="exact" w:before="80"/>
              <w:ind w:right="83"/>
              <w:jc w:val="right"/>
              <w:rPr>
                <w:rFonts w:ascii="Trebuchet MS"/>
                <w:sz w:val="18"/>
              </w:rPr>
            </w:pPr>
            <w:r>
              <w:rPr>
                <w:rFonts w:ascii="Trebuchet MS"/>
                <w:spacing w:val="-2"/>
                <w:sz w:val="18"/>
              </w:rPr>
              <w:t>91.2%</w:t>
            </w:r>
          </w:p>
        </w:tc>
        <w:tc>
          <w:tcPr>
            <w:tcW w:w="1060" w:type="dxa"/>
          </w:tcPr>
          <w:p>
            <w:pPr>
              <w:pStyle w:val="TableParagraph"/>
              <w:spacing w:line="202" w:lineRule="exact" w:before="80"/>
              <w:ind w:right="83"/>
              <w:jc w:val="right"/>
              <w:rPr>
                <w:rFonts w:ascii="Trebuchet MS"/>
                <w:sz w:val="18"/>
              </w:rPr>
            </w:pPr>
            <w:r>
              <w:rPr>
                <w:rFonts w:ascii="Trebuchet MS"/>
                <w:spacing w:val="-2"/>
                <w:sz w:val="18"/>
              </w:rPr>
              <w:t>92.3%</w:t>
            </w:r>
          </w:p>
        </w:tc>
        <w:tc>
          <w:tcPr>
            <w:tcW w:w="1060" w:type="dxa"/>
          </w:tcPr>
          <w:p>
            <w:pPr>
              <w:pStyle w:val="TableParagraph"/>
              <w:spacing w:line="202" w:lineRule="exact" w:before="80"/>
              <w:ind w:right="87"/>
              <w:jc w:val="right"/>
              <w:rPr>
                <w:rFonts w:ascii="Trebuchet MS"/>
                <w:sz w:val="18"/>
              </w:rPr>
            </w:pPr>
            <w:r>
              <w:rPr>
                <w:rFonts w:ascii="Trebuchet MS"/>
                <w:spacing w:val="-2"/>
                <w:sz w:val="18"/>
              </w:rPr>
              <w:t>89.6%</w:t>
            </w:r>
          </w:p>
        </w:tc>
        <w:tc>
          <w:tcPr>
            <w:tcW w:w="1060" w:type="dxa"/>
          </w:tcPr>
          <w:p>
            <w:pPr>
              <w:pStyle w:val="TableParagraph"/>
              <w:spacing w:line="202" w:lineRule="exact" w:before="80"/>
              <w:ind w:right="86"/>
              <w:jc w:val="right"/>
              <w:rPr>
                <w:rFonts w:ascii="Trebuchet MS"/>
                <w:sz w:val="18"/>
              </w:rPr>
            </w:pPr>
            <w:r>
              <w:rPr>
                <w:rFonts w:ascii="Trebuchet MS"/>
                <w:spacing w:val="-2"/>
                <w:sz w:val="18"/>
              </w:rPr>
              <w:t>90.9%</w:t>
            </w:r>
          </w:p>
        </w:tc>
        <w:tc>
          <w:tcPr>
            <w:tcW w:w="1055" w:type="dxa"/>
            <w:shd w:val="clear" w:color="auto" w:fill="FFFFCC"/>
          </w:tcPr>
          <w:p>
            <w:pPr>
              <w:pStyle w:val="TableParagraph"/>
              <w:spacing w:line="202" w:lineRule="exact" w:before="80"/>
              <w:ind w:right="80"/>
              <w:jc w:val="right"/>
              <w:rPr>
                <w:rFonts w:ascii="Trebuchet MS"/>
                <w:sz w:val="18"/>
              </w:rPr>
            </w:pPr>
            <w:r>
              <w:rPr>
                <w:rFonts w:ascii="Trebuchet MS"/>
                <w:spacing w:val="-2"/>
                <w:sz w:val="18"/>
              </w:rPr>
              <w:t>90.2%</w:t>
            </w:r>
          </w:p>
        </w:tc>
      </w:tr>
      <w:tr>
        <w:trPr>
          <w:trHeight w:val="297"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FFFFCC"/>
          </w:tcPr>
          <w:p>
            <w:pPr>
              <w:pStyle w:val="TableParagraph"/>
              <w:spacing w:line="202" w:lineRule="exact" w:before="75"/>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1</w:t>
            </w:r>
          </w:p>
        </w:tc>
        <w:tc>
          <w:tcPr>
            <w:tcW w:w="1089" w:type="dxa"/>
          </w:tcPr>
          <w:p>
            <w:pPr>
              <w:pStyle w:val="TableParagraph"/>
              <w:spacing w:line="202" w:lineRule="exact" w:before="75"/>
              <w:ind w:right="88"/>
              <w:jc w:val="right"/>
              <w:rPr>
                <w:rFonts w:ascii="Trebuchet MS"/>
                <w:sz w:val="18"/>
              </w:rPr>
            </w:pPr>
            <w:r>
              <w:rPr>
                <w:rFonts w:ascii="Trebuchet MS"/>
                <w:spacing w:val="-2"/>
                <w:sz w:val="18"/>
              </w:rPr>
              <w:t>96.0%</w:t>
            </w:r>
          </w:p>
        </w:tc>
        <w:tc>
          <w:tcPr>
            <w:tcW w:w="1003" w:type="dxa"/>
          </w:tcPr>
          <w:p>
            <w:pPr>
              <w:pStyle w:val="TableParagraph"/>
              <w:spacing w:line="202" w:lineRule="exact" w:before="75"/>
              <w:ind w:right="88"/>
              <w:jc w:val="right"/>
              <w:rPr>
                <w:rFonts w:ascii="Trebuchet MS"/>
                <w:sz w:val="18"/>
              </w:rPr>
            </w:pPr>
            <w:r>
              <w:rPr>
                <w:rFonts w:ascii="Trebuchet MS"/>
                <w:spacing w:val="-2"/>
                <w:sz w:val="18"/>
              </w:rPr>
              <w:t>94.8%</w:t>
            </w:r>
          </w:p>
        </w:tc>
        <w:tc>
          <w:tcPr>
            <w:tcW w:w="1089" w:type="dxa"/>
          </w:tcPr>
          <w:p>
            <w:pPr>
              <w:pStyle w:val="TableParagraph"/>
              <w:spacing w:line="202" w:lineRule="exact" w:before="75"/>
              <w:ind w:right="88"/>
              <w:jc w:val="right"/>
              <w:rPr>
                <w:rFonts w:ascii="Trebuchet MS"/>
                <w:sz w:val="18"/>
              </w:rPr>
            </w:pPr>
            <w:r>
              <w:rPr>
                <w:rFonts w:ascii="Trebuchet MS"/>
                <w:spacing w:val="-2"/>
                <w:sz w:val="18"/>
              </w:rPr>
              <w:t>95.4%</w:t>
            </w:r>
          </w:p>
        </w:tc>
        <w:tc>
          <w:tcPr>
            <w:tcW w:w="1060" w:type="dxa"/>
          </w:tcPr>
          <w:p>
            <w:pPr>
              <w:pStyle w:val="TableParagraph"/>
              <w:spacing w:line="202" w:lineRule="exact" w:before="75"/>
              <w:ind w:right="92"/>
              <w:jc w:val="right"/>
              <w:rPr>
                <w:rFonts w:ascii="Trebuchet MS"/>
                <w:sz w:val="18"/>
              </w:rPr>
            </w:pPr>
            <w:r>
              <w:rPr>
                <w:rFonts w:ascii="Trebuchet MS"/>
                <w:spacing w:val="-2"/>
                <w:sz w:val="18"/>
              </w:rPr>
              <w:t>94.7%</w:t>
            </w:r>
          </w:p>
        </w:tc>
        <w:tc>
          <w:tcPr>
            <w:tcW w:w="1060" w:type="dxa"/>
          </w:tcPr>
          <w:p>
            <w:pPr>
              <w:pStyle w:val="TableParagraph"/>
              <w:spacing w:line="202" w:lineRule="exact" w:before="75"/>
              <w:ind w:right="91"/>
              <w:jc w:val="right"/>
              <w:rPr>
                <w:rFonts w:ascii="Trebuchet MS"/>
                <w:sz w:val="18"/>
              </w:rPr>
            </w:pPr>
            <w:r>
              <w:rPr>
                <w:rFonts w:ascii="Trebuchet MS"/>
                <w:spacing w:val="-2"/>
                <w:sz w:val="18"/>
              </w:rPr>
              <w:t>92.0%</w:t>
            </w:r>
          </w:p>
        </w:tc>
        <w:tc>
          <w:tcPr>
            <w:tcW w:w="1055" w:type="dxa"/>
          </w:tcPr>
          <w:p>
            <w:pPr>
              <w:pStyle w:val="TableParagraph"/>
              <w:spacing w:line="202" w:lineRule="exact" w:before="75"/>
              <w:ind w:right="85"/>
              <w:jc w:val="right"/>
              <w:rPr>
                <w:rFonts w:ascii="Trebuchet MS"/>
                <w:sz w:val="18"/>
              </w:rPr>
            </w:pPr>
            <w:r>
              <w:rPr>
                <w:rFonts w:ascii="Trebuchet MS"/>
                <w:spacing w:val="-2"/>
                <w:sz w:val="18"/>
              </w:rPr>
              <w:t>93.4%</w:t>
            </w:r>
          </w:p>
        </w:tc>
        <w:tc>
          <w:tcPr>
            <w:tcW w:w="1060" w:type="dxa"/>
          </w:tcPr>
          <w:p>
            <w:pPr>
              <w:pStyle w:val="TableParagraph"/>
              <w:spacing w:line="202" w:lineRule="exact" w:before="75"/>
              <w:ind w:right="84"/>
              <w:jc w:val="right"/>
              <w:rPr>
                <w:rFonts w:ascii="Trebuchet MS"/>
                <w:sz w:val="18"/>
              </w:rPr>
            </w:pPr>
            <w:r>
              <w:rPr>
                <w:rFonts w:ascii="Trebuchet MS"/>
                <w:spacing w:val="-2"/>
                <w:sz w:val="18"/>
              </w:rPr>
              <w:t>93.5%</w:t>
            </w:r>
          </w:p>
        </w:tc>
        <w:tc>
          <w:tcPr>
            <w:tcW w:w="1060" w:type="dxa"/>
          </w:tcPr>
          <w:p>
            <w:pPr>
              <w:pStyle w:val="TableParagraph"/>
              <w:spacing w:line="202" w:lineRule="exact" w:before="75"/>
              <w:ind w:right="83"/>
              <w:jc w:val="right"/>
              <w:rPr>
                <w:rFonts w:ascii="Trebuchet MS"/>
                <w:sz w:val="18"/>
              </w:rPr>
            </w:pPr>
            <w:r>
              <w:rPr>
                <w:rFonts w:ascii="Trebuchet MS"/>
                <w:spacing w:val="-2"/>
                <w:sz w:val="18"/>
              </w:rPr>
              <w:t>94.9%</w:t>
            </w:r>
          </w:p>
        </w:tc>
        <w:tc>
          <w:tcPr>
            <w:tcW w:w="1060" w:type="dxa"/>
          </w:tcPr>
          <w:p>
            <w:pPr>
              <w:pStyle w:val="TableParagraph"/>
              <w:spacing w:line="202" w:lineRule="exact" w:before="75"/>
              <w:ind w:right="83"/>
              <w:jc w:val="right"/>
              <w:rPr>
                <w:rFonts w:ascii="Trebuchet MS"/>
                <w:sz w:val="18"/>
              </w:rPr>
            </w:pPr>
            <w:r>
              <w:rPr>
                <w:rFonts w:ascii="Trebuchet MS"/>
                <w:spacing w:val="-2"/>
                <w:sz w:val="18"/>
              </w:rPr>
              <w:t>94.2%</w:t>
            </w:r>
          </w:p>
        </w:tc>
        <w:tc>
          <w:tcPr>
            <w:tcW w:w="1060" w:type="dxa"/>
          </w:tcPr>
          <w:p>
            <w:pPr>
              <w:pStyle w:val="TableParagraph"/>
              <w:spacing w:line="202" w:lineRule="exact" w:before="75"/>
              <w:ind w:right="87"/>
              <w:jc w:val="right"/>
              <w:rPr>
                <w:rFonts w:ascii="Trebuchet MS"/>
                <w:sz w:val="18"/>
              </w:rPr>
            </w:pPr>
            <w:r>
              <w:rPr>
                <w:rFonts w:ascii="Trebuchet MS"/>
                <w:spacing w:val="-2"/>
                <w:sz w:val="18"/>
              </w:rPr>
              <w:t>93.5%</w:t>
            </w:r>
          </w:p>
        </w:tc>
        <w:tc>
          <w:tcPr>
            <w:tcW w:w="1060" w:type="dxa"/>
          </w:tcPr>
          <w:p>
            <w:pPr>
              <w:pStyle w:val="TableParagraph"/>
              <w:spacing w:line="202" w:lineRule="exact" w:before="75"/>
              <w:ind w:right="86"/>
              <w:jc w:val="right"/>
              <w:rPr>
                <w:rFonts w:ascii="Trebuchet MS"/>
                <w:sz w:val="18"/>
              </w:rPr>
            </w:pPr>
            <w:r>
              <w:rPr>
                <w:rFonts w:ascii="Trebuchet MS"/>
                <w:spacing w:val="-2"/>
                <w:sz w:val="18"/>
              </w:rPr>
              <w:t>93.3%</w:t>
            </w:r>
          </w:p>
        </w:tc>
        <w:tc>
          <w:tcPr>
            <w:tcW w:w="1055" w:type="dxa"/>
            <w:shd w:val="clear" w:color="auto" w:fill="FFFFCC"/>
          </w:tcPr>
          <w:p>
            <w:pPr>
              <w:pStyle w:val="TableParagraph"/>
              <w:spacing w:line="202" w:lineRule="exact" w:before="75"/>
              <w:ind w:right="80"/>
              <w:jc w:val="right"/>
              <w:rPr>
                <w:rFonts w:ascii="Trebuchet MS"/>
                <w:sz w:val="18"/>
              </w:rPr>
            </w:pPr>
            <w:r>
              <w:rPr>
                <w:rFonts w:ascii="Trebuchet MS"/>
                <w:spacing w:val="-2"/>
                <w:sz w:val="18"/>
              </w:rPr>
              <w:t>93.4%</w:t>
            </w:r>
          </w:p>
        </w:tc>
      </w:tr>
      <w:tr>
        <w:trPr>
          <w:trHeight w:val="301"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FFFFCC"/>
          </w:tcPr>
          <w:p>
            <w:pPr>
              <w:pStyle w:val="TableParagraph"/>
              <w:spacing w:line="202" w:lineRule="exact" w:before="80"/>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2</w:t>
            </w:r>
          </w:p>
        </w:tc>
        <w:tc>
          <w:tcPr>
            <w:tcW w:w="1089" w:type="dxa"/>
          </w:tcPr>
          <w:p>
            <w:pPr>
              <w:pStyle w:val="TableParagraph"/>
              <w:spacing w:line="202" w:lineRule="exact" w:before="80"/>
              <w:ind w:right="88"/>
              <w:jc w:val="right"/>
              <w:rPr>
                <w:rFonts w:ascii="Trebuchet MS"/>
                <w:sz w:val="18"/>
              </w:rPr>
            </w:pPr>
            <w:r>
              <w:rPr>
                <w:rFonts w:ascii="Trebuchet MS"/>
                <w:spacing w:val="-2"/>
                <w:sz w:val="18"/>
              </w:rPr>
              <w:t>96.8%</w:t>
            </w:r>
          </w:p>
        </w:tc>
        <w:tc>
          <w:tcPr>
            <w:tcW w:w="1003" w:type="dxa"/>
          </w:tcPr>
          <w:p>
            <w:pPr>
              <w:pStyle w:val="TableParagraph"/>
              <w:spacing w:line="202" w:lineRule="exact" w:before="80"/>
              <w:ind w:right="88"/>
              <w:jc w:val="right"/>
              <w:rPr>
                <w:rFonts w:ascii="Trebuchet MS"/>
                <w:sz w:val="18"/>
              </w:rPr>
            </w:pPr>
            <w:r>
              <w:rPr>
                <w:rFonts w:ascii="Trebuchet MS"/>
                <w:spacing w:val="-2"/>
                <w:sz w:val="18"/>
              </w:rPr>
              <w:t>98.5%</w:t>
            </w:r>
          </w:p>
        </w:tc>
        <w:tc>
          <w:tcPr>
            <w:tcW w:w="1089" w:type="dxa"/>
          </w:tcPr>
          <w:p>
            <w:pPr>
              <w:pStyle w:val="TableParagraph"/>
              <w:spacing w:line="202" w:lineRule="exact" w:before="80"/>
              <w:ind w:right="88"/>
              <w:jc w:val="right"/>
              <w:rPr>
                <w:rFonts w:ascii="Trebuchet MS"/>
                <w:sz w:val="18"/>
              </w:rPr>
            </w:pPr>
            <w:r>
              <w:rPr>
                <w:rFonts w:ascii="Trebuchet MS"/>
                <w:spacing w:val="-2"/>
                <w:sz w:val="18"/>
              </w:rPr>
              <w:t>97.6%</w:t>
            </w:r>
          </w:p>
        </w:tc>
        <w:tc>
          <w:tcPr>
            <w:tcW w:w="1060" w:type="dxa"/>
          </w:tcPr>
          <w:p>
            <w:pPr>
              <w:pStyle w:val="TableParagraph"/>
              <w:spacing w:line="202" w:lineRule="exact" w:before="80"/>
              <w:ind w:right="92"/>
              <w:jc w:val="right"/>
              <w:rPr>
                <w:rFonts w:ascii="Trebuchet MS"/>
                <w:sz w:val="18"/>
              </w:rPr>
            </w:pPr>
            <w:r>
              <w:rPr>
                <w:rFonts w:ascii="Trebuchet MS"/>
                <w:spacing w:val="-2"/>
                <w:sz w:val="18"/>
              </w:rPr>
              <w:t>97.9%</w:t>
            </w:r>
          </w:p>
        </w:tc>
        <w:tc>
          <w:tcPr>
            <w:tcW w:w="1060" w:type="dxa"/>
          </w:tcPr>
          <w:p>
            <w:pPr>
              <w:pStyle w:val="TableParagraph"/>
              <w:spacing w:line="202" w:lineRule="exact" w:before="80"/>
              <w:ind w:right="91"/>
              <w:jc w:val="right"/>
              <w:rPr>
                <w:rFonts w:ascii="Trebuchet MS"/>
                <w:sz w:val="18"/>
              </w:rPr>
            </w:pPr>
            <w:r>
              <w:rPr>
                <w:rFonts w:ascii="Trebuchet MS"/>
                <w:spacing w:val="-2"/>
                <w:sz w:val="18"/>
              </w:rPr>
              <w:t>96.5%</w:t>
            </w:r>
          </w:p>
        </w:tc>
        <w:tc>
          <w:tcPr>
            <w:tcW w:w="1055" w:type="dxa"/>
          </w:tcPr>
          <w:p>
            <w:pPr>
              <w:pStyle w:val="TableParagraph"/>
              <w:spacing w:line="202" w:lineRule="exact" w:before="80"/>
              <w:ind w:right="85"/>
              <w:jc w:val="right"/>
              <w:rPr>
                <w:rFonts w:ascii="Trebuchet MS"/>
                <w:sz w:val="18"/>
              </w:rPr>
            </w:pPr>
            <w:r>
              <w:rPr>
                <w:rFonts w:ascii="Trebuchet MS"/>
                <w:spacing w:val="-2"/>
                <w:sz w:val="18"/>
              </w:rPr>
              <w:t>97.2%</w:t>
            </w:r>
          </w:p>
        </w:tc>
        <w:tc>
          <w:tcPr>
            <w:tcW w:w="1060" w:type="dxa"/>
          </w:tcPr>
          <w:p>
            <w:pPr>
              <w:pStyle w:val="TableParagraph"/>
              <w:spacing w:line="202" w:lineRule="exact" w:before="80"/>
              <w:ind w:right="84"/>
              <w:jc w:val="right"/>
              <w:rPr>
                <w:rFonts w:ascii="Trebuchet MS"/>
                <w:sz w:val="18"/>
              </w:rPr>
            </w:pPr>
            <w:r>
              <w:rPr>
                <w:rFonts w:ascii="Trebuchet MS"/>
                <w:spacing w:val="-2"/>
                <w:sz w:val="18"/>
              </w:rPr>
              <w:t>97.9%</w:t>
            </w:r>
          </w:p>
        </w:tc>
        <w:tc>
          <w:tcPr>
            <w:tcW w:w="1060" w:type="dxa"/>
          </w:tcPr>
          <w:p>
            <w:pPr>
              <w:pStyle w:val="TableParagraph"/>
              <w:spacing w:line="202" w:lineRule="exact" w:before="80"/>
              <w:ind w:right="83"/>
              <w:jc w:val="right"/>
              <w:rPr>
                <w:rFonts w:ascii="Trebuchet MS"/>
                <w:sz w:val="18"/>
              </w:rPr>
            </w:pPr>
            <w:r>
              <w:rPr>
                <w:rFonts w:ascii="Trebuchet MS"/>
                <w:spacing w:val="-2"/>
                <w:sz w:val="18"/>
              </w:rPr>
              <w:t>98.8%</w:t>
            </w:r>
          </w:p>
        </w:tc>
        <w:tc>
          <w:tcPr>
            <w:tcW w:w="1060" w:type="dxa"/>
          </w:tcPr>
          <w:p>
            <w:pPr>
              <w:pStyle w:val="TableParagraph"/>
              <w:spacing w:line="202" w:lineRule="exact" w:before="80"/>
              <w:ind w:right="83"/>
              <w:jc w:val="right"/>
              <w:rPr>
                <w:rFonts w:ascii="Trebuchet MS"/>
                <w:sz w:val="18"/>
              </w:rPr>
            </w:pPr>
            <w:r>
              <w:rPr>
                <w:rFonts w:ascii="Trebuchet MS"/>
                <w:spacing w:val="-2"/>
                <w:sz w:val="18"/>
              </w:rPr>
              <w:t>98.3%</w:t>
            </w:r>
          </w:p>
        </w:tc>
        <w:tc>
          <w:tcPr>
            <w:tcW w:w="1060" w:type="dxa"/>
          </w:tcPr>
          <w:p>
            <w:pPr>
              <w:pStyle w:val="TableParagraph"/>
              <w:spacing w:line="202" w:lineRule="exact" w:before="80"/>
              <w:ind w:right="87"/>
              <w:jc w:val="right"/>
              <w:rPr>
                <w:rFonts w:ascii="Trebuchet MS"/>
                <w:sz w:val="18"/>
              </w:rPr>
            </w:pPr>
            <w:r>
              <w:rPr>
                <w:rFonts w:ascii="Trebuchet MS"/>
                <w:spacing w:val="-2"/>
                <w:sz w:val="18"/>
              </w:rPr>
              <w:t>99.9%</w:t>
            </w:r>
          </w:p>
        </w:tc>
        <w:tc>
          <w:tcPr>
            <w:tcW w:w="1060" w:type="dxa"/>
          </w:tcPr>
          <w:p>
            <w:pPr>
              <w:pStyle w:val="TableParagraph"/>
              <w:spacing w:line="202" w:lineRule="exact" w:before="80"/>
              <w:ind w:right="86"/>
              <w:jc w:val="right"/>
              <w:rPr>
                <w:rFonts w:ascii="Trebuchet MS"/>
                <w:sz w:val="18"/>
              </w:rPr>
            </w:pPr>
            <w:r>
              <w:rPr>
                <w:rFonts w:ascii="Trebuchet MS"/>
                <w:spacing w:val="-2"/>
                <w:sz w:val="18"/>
              </w:rPr>
              <w:t>99.6%</w:t>
            </w:r>
          </w:p>
        </w:tc>
        <w:tc>
          <w:tcPr>
            <w:tcW w:w="1055" w:type="dxa"/>
            <w:shd w:val="clear" w:color="auto" w:fill="FFFFCC"/>
          </w:tcPr>
          <w:p>
            <w:pPr>
              <w:pStyle w:val="TableParagraph"/>
              <w:spacing w:line="202" w:lineRule="exact" w:before="80"/>
              <w:ind w:right="80"/>
              <w:jc w:val="right"/>
              <w:rPr>
                <w:rFonts w:ascii="Trebuchet MS"/>
                <w:sz w:val="18"/>
              </w:rPr>
            </w:pPr>
            <w:r>
              <w:rPr>
                <w:rFonts w:ascii="Trebuchet MS"/>
                <w:spacing w:val="-2"/>
                <w:sz w:val="18"/>
              </w:rPr>
              <w:t>99.7%</w:t>
            </w:r>
          </w:p>
        </w:tc>
      </w:tr>
      <w:tr>
        <w:trPr>
          <w:trHeight w:val="302"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FFFFCC"/>
          </w:tcPr>
          <w:p>
            <w:pPr>
              <w:pStyle w:val="TableParagraph"/>
              <w:spacing w:line="202" w:lineRule="exact" w:before="80"/>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3</w:t>
            </w:r>
          </w:p>
        </w:tc>
        <w:tc>
          <w:tcPr>
            <w:tcW w:w="1089" w:type="dxa"/>
          </w:tcPr>
          <w:p>
            <w:pPr>
              <w:pStyle w:val="TableParagraph"/>
              <w:spacing w:line="202" w:lineRule="exact" w:before="80"/>
              <w:ind w:right="88"/>
              <w:jc w:val="right"/>
              <w:rPr>
                <w:rFonts w:ascii="Trebuchet MS"/>
                <w:sz w:val="18"/>
              </w:rPr>
            </w:pPr>
            <w:r>
              <w:rPr>
                <w:rFonts w:ascii="Trebuchet MS"/>
                <w:spacing w:val="-2"/>
                <w:sz w:val="18"/>
              </w:rPr>
              <w:t>95.1%</w:t>
            </w:r>
          </w:p>
        </w:tc>
        <w:tc>
          <w:tcPr>
            <w:tcW w:w="1003" w:type="dxa"/>
          </w:tcPr>
          <w:p>
            <w:pPr>
              <w:pStyle w:val="TableParagraph"/>
              <w:spacing w:line="202" w:lineRule="exact" w:before="80"/>
              <w:ind w:right="88"/>
              <w:jc w:val="right"/>
              <w:rPr>
                <w:rFonts w:ascii="Trebuchet MS"/>
                <w:sz w:val="18"/>
              </w:rPr>
            </w:pPr>
            <w:r>
              <w:rPr>
                <w:rFonts w:ascii="Trebuchet MS"/>
                <w:spacing w:val="-2"/>
                <w:sz w:val="18"/>
              </w:rPr>
              <w:t>95.2%</w:t>
            </w:r>
          </w:p>
        </w:tc>
        <w:tc>
          <w:tcPr>
            <w:tcW w:w="1089" w:type="dxa"/>
          </w:tcPr>
          <w:p>
            <w:pPr>
              <w:pStyle w:val="TableParagraph"/>
              <w:spacing w:line="202" w:lineRule="exact" w:before="80"/>
              <w:ind w:right="88"/>
              <w:jc w:val="right"/>
              <w:rPr>
                <w:rFonts w:ascii="Trebuchet MS"/>
                <w:sz w:val="18"/>
              </w:rPr>
            </w:pPr>
            <w:r>
              <w:rPr>
                <w:rFonts w:ascii="Trebuchet MS"/>
                <w:spacing w:val="-2"/>
                <w:sz w:val="18"/>
              </w:rPr>
              <w:t>95.1%</w:t>
            </w:r>
          </w:p>
        </w:tc>
        <w:tc>
          <w:tcPr>
            <w:tcW w:w="1060" w:type="dxa"/>
          </w:tcPr>
          <w:p>
            <w:pPr>
              <w:pStyle w:val="TableParagraph"/>
              <w:spacing w:line="202" w:lineRule="exact" w:before="80"/>
              <w:ind w:right="92"/>
              <w:jc w:val="right"/>
              <w:rPr>
                <w:rFonts w:ascii="Trebuchet MS"/>
                <w:sz w:val="18"/>
              </w:rPr>
            </w:pPr>
            <w:r>
              <w:rPr>
                <w:rFonts w:ascii="Trebuchet MS"/>
                <w:spacing w:val="-2"/>
                <w:sz w:val="18"/>
              </w:rPr>
              <w:t>94.6%</w:t>
            </w:r>
          </w:p>
        </w:tc>
        <w:tc>
          <w:tcPr>
            <w:tcW w:w="1060" w:type="dxa"/>
          </w:tcPr>
          <w:p>
            <w:pPr>
              <w:pStyle w:val="TableParagraph"/>
              <w:spacing w:line="202" w:lineRule="exact" w:before="80"/>
              <w:ind w:right="91"/>
              <w:jc w:val="right"/>
              <w:rPr>
                <w:rFonts w:ascii="Trebuchet MS"/>
                <w:sz w:val="18"/>
              </w:rPr>
            </w:pPr>
            <w:r>
              <w:rPr>
                <w:rFonts w:ascii="Trebuchet MS"/>
                <w:spacing w:val="-2"/>
                <w:sz w:val="18"/>
              </w:rPr>
              <w:t>93.9%</w:t>
            </w:r>
          </w:p>
        </w:tc>
        <w:tc>
          <w:tcPr>
            <w:tcW w:w="1055" w:type="dxa"/>
          </w:tcPr>
          <w:p>
            <w:pPr>
              <w:pStyle w:val="TableParagraph"/>
              <w:spacing w:line="202" w:lineRule="exact" w:before="80"/>
              <w:ind w:right="85"/>
              <w:jc w:val="right"/>
              <w:rPr>
                <w:rFonts w:ascii="Trebuchet MS"/>
                <w:sz w:val="18"/>
              </w:rPr>
            </w:pPr>
            <w:r>
              <w:rPr>
                <w:rFonts w:ascii="Trebuchet MS"/>
                <w:spacing w:val="-2"/>
                <w:sz w:val="18"/>
              </w:rPr>
              <w:t>94.2%</w:t>
            </w:r>
          </w:p>
        </w:tc>
        <w:tc>
          <w:tcPr>
            <w:tcW w:w="1060" w:type="dxa"/>
          </w:tcPr>
          <w:p>
            <w:pPr>
              <w:pStyle w:val="TableParagraph"/>
              <w:spacing w:line="202" w:lineRule="exact" w:before="80"/>
              <w:ind w:right="84"/>
              <w:jc w:val="right"/>
              <w:rPr>
                <w:rFonts w:ascii="Trebuchet MS"/>
                <w:sz w:val="18"/>
              </w:rPr>
            </w:pPr>
            <w:r>
              <w:rPr>
                <w:rFonts w:ascii="Trebuchet MS"/>
                <w:spacing w:val="-2"/>
                <w:sz w:val="18"/>
              </w:rPr>
              <w:t>93.5%</w:t>
            </w:r>
          </w:p>
        </w:tc>
        <w:tc>
          <w:tcPr>
            <w:tcW w:w="1060" w:type="dxa"/>
          </w:tcPr>
          <w:p>
            <w:pPr>
              <w:pStyle w:val="TableParagraph"/>
              <w:spacing w:line="202" w:lineRule="exact" w:before="80"/>
              <w:ind w:right="83"/>
              <w:jc w:val="right"/>
              <w:rPr>
                <w:rFonts w:ascii="Trebuchet MS"/>
                <w:sz w:val="18"/>
              </w:rPr>
            </w:pPr>
            <w:r>
              <w:rPr>
                <w:rFonts w:ascii="Trebuchet MS"/>
                <w:spacing w:val="-2"/>
                <w:sz w:val="18"/>
              </w:rPr>
              <w:t>97.7%</w:t>
            </w:r>
          </w:p>
        </w:tc>
        <w:tc>
          <w:tcPr>
            <w:tcW w:w="1060" w:type="dxa"/>
          </w:tcPr>
          <w:p>
            <w:pPr>
              <w:pStyle w:val="TableParagraph"/>
              <w:spacing w:line="202" w:lineRule="exact" w:before="80"/>
              <w:ind w:right="83"/>
              <w:jc w:val="right"/>
              <w:rPr>
                <w:rFonts w:ascii="Trebuchet MS"/>
                <w:sz w:val="18"/>
              </w:rPr>
            </w:pPr>
            <w:r>
              <w:rPr>
                <w:rFonts w:ascii="Trebuchet MS"/>
                <w:spacing w:val="-2"/>
                <w:sz w:val="18"/>
              </w:rPr>
              <w:t>95.5%</w:t>
            </w:r>
          </w:p>
        </w:tc>
        <w:tc>
          <w:tcPr>
            <w:tcW w:w="1060" w:type="dxa"/>
          </w:tcPr>
          <w:p>
            <w:pPr>
              <w:pStyle w:val="TableParagraph"/>
              <w:spacing w:line="202" w:lineRule="exact" w:before="80"/>
              <w:ind w:right="87"/>
              <w:jc w:val="right"/>
              <w:rPr>
                <w:rFonts w:ascii="Trebuchet MS"/>
                <w:sz w:val="18"/>
              </w:rPr>
            </w:pPr>
            <w:r>
              <w:rPr>
                <w:rFonts w:ascii="Trebuchet MS"/>
                <w:spacing w:val="-2"/>
                <w:sz w:val="18"/>
              </w:rPr>
              <w:t>93.7%</w:t>
            </w:r>
          </w:p>
        </w:tc>
        <w:tc>
          <w:tcPr>
            <w:tcW w:w="1060" w:type="dxa"/>
          </w:tcPr>
          <w:p>
            <w:pPr>
              <w:pStyle w:val="TableParagraph"/>
              <w:spacing w:line="202" w:lineRule="exact" w:before="80"/>
              <w:ind w:right="86"/>
              <w:jc w:val="right"/>
              <w:rPr>
                <w:rFonts w:ascii="Trebuchet MS"/>
                <w:sz w:val="18"/>
              </w:rPr>
            </w:pPr>
            <w:r>
              <w:rPr>
                <w:rFonts w:ascii="Trebuchet MS"/>
                <w:spacing w:val="-2"/>
                <w:sz w:val="18"/>
              </w:rPr>
              <w:t>95.6%</w:t>
            </w:r>
          </w:p>
        </w:tc>
        <w:tc>
          <w:tcPr>
            <w:tcW w:w="1055" w:type="dxa"/>
            <w:shd w:val="clear" w:color="auto" w:fill="FFFFCC"/>
          </w:tcPr>
          <w:p>
            <w:pPr>
              <w:pStyle w:val="TableParagraph"/>
              <w:spacing w:line="202" w:lineRule="exact" w:before="80"/>
              <w:ind w:right="80"/>
              <w:jc w:val="right"/>
              <w:rPr>
                <w:rFonts w:ascii="Trebuchet MS"/>
                <w:sz w:val="18"/>
              </w:rPr>
            </w:pPr>
            <w:r>
              <w:rPr>
                <w:rFonts w:ascii="Trebuchet MS"/>
                <w:spacing w:val="-2"/>
                <w:sz w:val="18"/>
              </w:rPr>
              <w:t>94.6%</w:t>
            </w:r>
          </w:p>
        </w:tc>
      </w:tr>
      <w:tr>
        <w:trPr>
          <w:trHeight w:val="297"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FFFFCC"/>
          </w:tcPr>
          <w:p>
            <w:pPr>
              <w:pStyle w:val="TableParagraph"/>
              <w:spacing w:line="202" w:lineRule="exact" w:before="75"/>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4</w:t>
            </w:r>
          </w:p>
        </w:tc>
        <w:tc>
          <w:tcPr>
            <w:tcW w:w="1089" w:type="dxa"/>
          </w:tcPr>
          <w:p>
            <w:pPr>
              <w:pStyle w:val="TableParagraph"/>
              <w:spacing w:line="202" w:lineRule="exact" w:before="75"/>
              <w:ind w:right="88"/>
              <w:jc w:val="right"/>
              <w:rPr>
                <w:rFonts w:ascii="Trebuchet MS"/>
                <w:sz w:val="18"/>
              </w:rPr>
            </w:pPr>
            <w:r>
              <w:rPr>
                <w:rFonts w:ascii="Trebuchet MS"/>
                <w:spacing w:val="-2"/>
                <w:sz w:val="18"/>
              </w:rPr>
              <w:t>93.5%</w:t>
            </w:r>
          </w:p>
        </w:tc>
        <w:tc>
          <w:tcPr>
            <w:tcW w:w="1003" w:type="dxa"/>
          </w:tcPr>
          <w:p>
            <w:pPr>
              <w:pStyle w:val="TableParagraph"/>
              <w:spacing w:line="202" w:lineRule="exact" w:before="75"/>
              <w:ind w:right="88"/>
              <w:jc w:val="right"/>
              <w:rPr>
                <w:rFonts w:ascii="Trebuchet MS"/>
                <w:sz w:val="18"/>
              </w:rPr>
            </w:pPr>
            <w:r>
              <w:rPr>
                <w:rFonts w:ascii="Trebuchet MS"/>
                <w:spacing w:val="-2"/>
                <w:sz w:val="18"/>
              </w:rPr>
              <w:t>95.8%</w:t>
            </w:r>
          </w:p>
        </w:tc>
        <w:tc>
          <w:tcPr>
            <w:tcW w:w="1089" w:type="dxa"/>
          </w:tcPr>
          <w:p>
            <w:pPr>
              <w:pStyle w:val="TableParagraph"/>
              <w:spacing w:line="202" w:lineRule="exact" w:before="75"/>
              <w:ind w:right="88"/>
              <w:jc w:val="right"/>
              <w:rPr>
                <w:rFonts w:ascii="Trebuchet MS"/>
                <w:sz w:val="18"/>
              </w:rPr>
            </w:pPr>
            <w:r>
              <w:rPr>
                <w:rFonts w:ascii="Trebuchet MS"/>
                <w:spacing w:val="-2"/>
                <w:sz w:val="18"/>
              </w:rPr>
              <w:t>94.6%</w:t>
            </w:r>
          </w:p>
        </w:tc>
        <w:tc>
          <w:tcPr>
            <w:tcW w:w="1060" w:type="dxa"/>
          </w:tcPr>
          <w:p>
            <w:pPr>
              <w:pStyle w:val="TableParagraph"/>
              <w:spacing w:line="202" w:lineRule="exact" w:before="75"/>
              <w:ind w:right="92"/>
              <w:jc w:val="right"/>
              <w:rPr>
                <w:rFonts w:ascii="Trebuchet MS"/>
                <w:sz w:val="18"/>
              </w:rPr>
            </w:pPr>
            <w:r>
              <w:rPr>
                <w:rFonts w:ascii="Trebuchet MS"/>
                <w:spacing w:val="-2"/>
                <w:sz w:val="18"/>
              </w:rPr>
              <w:t>94.0%</w:t>
            </w:r>
          </w:p>
        </w:tc>
        <w:tc>
          <w:tcPr>
            <w:tcW w:w="1060" w:type="dxa"/>
          </w:tcPr>
          <w:p>
            <w:pPr>
              <w:pStyle w:val="TableParagraph"/>
              <w:spacing w:line="202" w:lineRule="exact" w:before="75"/>
              <w:ind w:right="91"/>
              <w:jc w:val="right"/>
              <w:rPr>
                <w:rFonts w:ascii="Trebuchet MS"/>
                <w:sz w:val="18"/>
              </w:rPr>
            </w:pPr>
            <w:r>
              <w:rPr>
                <w:rFonts w:ascii="Trebuchet MS"/>
                <w:spacing w:val="-2"/>
                <w:sz w:val="18"/>
              </w:rPr>
              <w:t>93.1%</w:t>
            </w:r>
          </w:p>
        </w:tc>
        <w:tc>
          <w:tcPr>
            <w:tcW w:w="1055" w:type="dxa"/>
          </w:tcPr>
          <w:p>
            <w:pPr>
              <w:pStyle w:val="TableParagraph"/>
              <w:spacing w:line="202" w:lineRule="exact" w:before="75"/>
              <w:ind w:right="85"/>
              <w:jc w:val="right"/>
              <w:rPr>
                <w:rFonts w:ascii="Trebuchet MS"/>
                <w:sz w:val="18"/>
              </w:rPr>
            </w:pPr>
            <w:r>
              <w:rPr>
                <w:rFonts w:ascii="Trebuchet MS"/>
                <w:spacing w:val="-2"/>
                <w:sz w:val="18"/>
              </w:rPr>
              <w:t>93.6%</w:t>
            </w:r>
          </w:p>
        </w:tc>
        <w:tc>
          <w:tcPr>
            <w:tcW w:w="1060" w:type="dxa"/>
          </w:tcPr>
          <w:p>
            <w:pPr>
              <w:pStyle w:val="TableParagraph"/>
              <w:spacing w:line="202" w:lineRule="exact" w:before="75"/>
              <w:ind w:right="84"/>
              <w:jc w:val="right"/>
              <w:rPr>
                <w:rFonts w:ascii="Trebuchet MS"/>
                <w:sz w:val="18"/>
              </w:rPr>
            </w:pPr>
            <w:r>
              <w:rPr>
                <w:rFonts w:ascii="Trebuchet MS"/>
                <w:spacing w:val="-2"/>
                <w:sz w:val="18"/>
              </w:rPr>
              <w:t>90.9%</w:t>
            </w:r>
          </w:p>
        </w:tc>
        <w:tc>
          <w:tcPr>
            <w:tcW w:w="1060" w:type="dxa"/>
          </w:tcPr>
          <w:p>
            <w:pPr>
              <w:pStyle w:val="TableParagraph"/>
              <w:spacing w:line="202" w:lineRule="exact" w:before="75"/>
              <w:ind w:right="83"/>
              <w:jc w:val="right"/>
              <w:rPr>
                <w:rFonts w:ascii="Trebuchet MS"/>
                <w:sz w:val="18"/>
              </w:rPr>
            </w:pPr>
            <w:r>
              <w:rPr>
                <w:rFonts w:ascii="Trebuchet MS"/>
                <w:spacing w:val="-2"/>
                <w:sz w:val="18"/>
              </w:rPr>
              <w:t>94.5%</w:t>
            </w:r>
          </w:p>
        </w:tc>
        <w:tc>
          <w:tcPr>
            <w:tcW w:w="1060" w:type="dxa"/>
          </w:tcPr>
          <w:p>
            <w:pPr>
              <w:pStyle w:val="TableParagraph"/>
              <w:spacing w:line="202" w:lineRule="exact" w:before="75"/>
              <w:ind w:right="83"/>
              <w:jc w:val="right"/>
              <w:rPr>
                <w:rFonts w:ascii="Trebuchet MS"/>
                <w:sz w:val="18"/>
              </w:rPr>
            </w:pPr>
            <w:r>
              <w:rPr>
                <w:rFonts w:ascii="Trebuchet MS"/>
                <w:spacing w:val="-2"/>
                <w:sz w:val="18"/>
              </w:rPr>
              <w:t>92.7%</w:t>
            </w:r>
          </w:p>
        </w:tc>
        <w:tc>
          <w:tcPr>
            <w:tcW w:w="1060" w:type="dxa"/>
          </w:tcPr>
          <w:p>
            <w:pPr>
              <w:pStyle w:val="TableParagraph"/>
              <w:spacing w:line="202" w:lineRule="exact" w:before="75"/>
              <w:ind w:right="87"/>
              <w:jc w:val="right"/>
              <w:rPr>
                <w:rFonts w:ascii="Trebuchet MS"/>
                <w:sz w:val="18"/>
              </w:rPr>
            </w:pPr>
            <w:r>
              <w:rPr>
                <w:rFonts w:ascii="Trebuchet MS"/>
                <w:spacing w:val="-2"/>
                <w:sz w:val="18"/>
              </w:rPr>
              <w:t>95.1%</w:t>
            </w:r>
          </w:p>
        </w:tc>
        <w:tc>
          <w:tcPr>
            <w:tcW w:w="1060" w:type="dxa"/>
          </w:tcPr>
          <w:p>
            <w:pPr>
              <w:pStyle w:val="TableParagraph"/>
              <w:spacing w:line="202" w:lineRule="exact" w:before="75"/>
              <w:ind w:right="86"/>
              <w:jc w:val="right"/>
              <w:rPr>
                <w:rFonts w:ascii="Trebuchet MS"/>
                <w:sz w:val="18"/>
              </w:rPr>
            </w:pPr>
            <w:r>
              <w:rPr>
                <w:rFonts w:ascii="Trebuchet MS"/>
                <w:spacing w:val="-2"/>
                <w:sz w:val="18"/>
              </w:rPr>
              <w:t>94.8%</w:t>
            </w:r>
          </w:p>
        </w:tc>
        <w:tc>
          <w:tcPr>
            <w:tcW w:w="1055" w:type="dxa"/>
            <w:shd w:val="clear" w:color="auto" w:fill="FFFFCC"/>
          </w:tcPr>
          <w:p>
            <w:pPr>
              <w:pStyle w:val="TableParagraph"/>
              <w:spacing w:line="202" w:lineRule="exact" w:before="75"/>
              <w:ind w:right="80"/>
              <w:jc w:val="right"/>
              <w:rPr>
                <w:rFonts w:ascii="Trebuchet MS"/>
                <w:sz w:val="18"/>
              </w:rPr>
            </w:pPr>
            <w:r>
              <w:rPr>
                <w:rFonts w:ascii="Trebuchet MS"/>
                <w:spacing w:val="-2"/>
                <w:sz w:val="18"/>
              </w:rPr>
              <w:t>95.0%</w:t>
            </w:r>
          </w:p>
        </w:tc>
      </w:tr>
      <w:tr>
        <w:trPr>
          <w:trHeight w:val="302"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FFFFCC"/>
          </w:tcPr>
          <w:p>
            <w:pPr>
              <w:pStyle w:val="TableParagraph"/>
              <w:spacing w:line="202" w:lineRule="exact" w:before="80"/>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5</w:t>
            </w:r>
          </w:p>
        </w:tc>
        <w:tc>
          <w:tcPr>
            <w:tcW w:w="1089" w:type="dxa"/>
          </w:tcPr>
          <w:p>
            <w:pPr>
              <w:pStyle w:val="TableParagraph"/>
              <w:spacing w:line="202" w:lineRule="exact" w:before="80"/>
              <w:ind w:right="88"/>
              <w:jc w:val="right"/>
              <w:rPr>
                <w:rFonts w:ascii="Trebuchet MS"/>
                <w:sz w:val="18"/>
              </w:rPr>
            </w:pPr>
            <w:r>
              <w:rPr>
                <w:rFonts w:ascii="Trebuchet MS"/>
                <w:spacing w:val="-2"/>
                <w:sz w:val="18"/>
              </w:rPr>
              <w:t>88.4%</w:t>
            </w:r>
          </w:p>
        </w:tc>
        <w:tc>
          <w:tcPr>
            <w:tcW w:w="1003" w:type="dxa"/>
          </w:tcPr>
          <w:p>
            <w:pPr>
              <w:pStyle w:val="TableParagraph"/>
              <w:spacing w:line="202" w:lineRule="exact" w:before="80"/>
              <w:ind w:right="88"/>
              <w:jc w:val="right"/>
              <w:rPr>
                <w:rFonts w:ascii="Trebuchet MS"/>
                <w:sz w:val="18"/>
              </w:rPr>
            </w:pPr>
            <w:r>
              <w:rPr>
                <w:rFonts w:ascii="Trebuchet MS"/>
                <w:spacing w:val="-2"/>
                <w:sz w:val="18"/>
              </w:rPr>
              <w:t>91.0%</w:t>
            </w:r>
          </w:p>
        </w:tc>
        <w:tc>
          <w:tcPr>
            <w:tcW w:w="1089" w:type="dxa"/>
          </w:tcPr>
          <w:p>
            <w:pPr>
              <w:pStyle w:val="TableParagraph"/>
              <w:spacing w:line="202" w:lineRule="exact" w:before="80"/>
              <w:ind w:right="88"/>
              <w:jc w:val="right"/>
              <w:rPr>
                <w:rFonts w:ascii="Trebuchet MS"/>
                <w:sz w:val="18"/>
              </w:rPr>
            </w:pPr>
            <w:r>
              <w:rPr>
                <w:rFonts w:ascii="Trebuchet MS"/>
                <w:spacing w:val="-2"/>
                <w:sz w:val="18"/>
              </w:rPr>
              <w:t>89.6%</w:t>
            </w:r>
          </w:p>
        </w:tc>
        <w:tc>
          <w:tcPr>
            <w:tcW w:w="1060" w:type="dxa"/>
          </w:tcPr>
          <w:p>
            <w:pPr>
              <w:pStyle w:val="TableParagraph"/>
              <w:spacing w:line="202" w:lineRule="exact" w:before="80"/>
              <w:ind w:right="92"/>
              <w:jc w:val="right"/>
              <w:rPr>
                <w:rFonts w:ascii="Trebuchet MS"/>
                <w:sz w:val="18"/>
              </w:rPr>
            </w:pPr>
            <w:r>
              <w:rPr>
                <w:rFonts w:ascii="Trebuchet MS"/>
                <w:spacing w:val="-2"/>
                <w:sz w:val="18"/>
              </w:rPr>
              <w:t>88.6%</w:t>
            </w:r>
          </w:p>
        </w:tc>
        <w:tc>
          <w:tcPr>
            <w:tcW w:w="1060" w:type="dxa"/>
          </w:tcPr>
          <w:p>
            <w:pPr>
              <w:pStyle w:val="TableParagraph"/>
              <w:spacing w:line="202" w:lineRule="exact" w:before="80"/>
              <w:ind w:right="91"/>
              <w:jc w:val="right"/>
              <w:rPr>
                <w:rFonts w:ascii="Trebuchet MS"/>
                <w:sz w:val="18"/>
              </w:rPr>
            </w:pPr>
            <w:r>
              <w:rPr>
                <w:rFonts w:ascii="Trebuchet MS"/>
                <w:spacing w:val="-2"/>
                <w:sz w:val="18"/>
              </w:rPr>
              <w:t>88.3%</w:t>
            </w:r>
          </w:p>
        </w:tc>
        <w:tc>
          <w:tcPr>
            <w:tcW w:w="1055" w:type="dxa"/>
          </w:tcPr>
          <w:p>
            <w:pPr>
              <w:pStyle w:val="TableParagraph"/>
              <w:spacing w:line="202" w:lineRule="exact" w:before="80"/>
              <w:ind w:right="85"/>
              <w:jc w:val="right"/>
              <w:rPr>
                <w:rFonts w:ascii="Trebuchet MS"/>
                <w:sz w:val="18"/>
              </w:rPr>
            </w:pPr>
            <w:r>
              <w:rPr>
                <w:rFonts w:ascii="Trebuchet MS"/>
                <w:spacing w:val="-2"/>
                <w:sz w:val="18"/>
              </w:rPr>
              <w:t>88.5%</w:t>
            </w:r>
          </w:p>
        </w:tc>
        <w:tc>
          <w:tcPr>
            <w:tcW w:w="1060" w:type="dxa"/>
          </w:tcPr>
          <w:p>
            <w:pPr>
              <w:pStyle w:val="TableParagraph"/>
              <w:spacing w:line="202" w:lineRule="exact" w:before="80"/>
              <w:ind w:right="84"/>
              <w:jc w:val="right"/>
              <w:rPr>
                <w:rFonts w:ascii="Trebuchet MS"/>
                <w:sz w:val="18"/>
              </w:rPr>
            </w:pPr>
            <w:r>
              <w:rPr>
                <w:rFonts w:ascii="Trebuchet MS"/>
                <w:spacing w:val="-2"/>
                <w:sz w:val="18"/>
              </w:rPr>
              <w:t>88.0%</w:t>
            </w:r>
          </w:p>
        </w:tc>
        <w:tc>
          <w:tcPr>
            <w:tcW w:w="1060" w:type="dxa"/>
          </w:tcPr>
          <w:p>
            <w:pPr>
              <w:pStyle w:val="TableParagraph"/>
              <w:spacing w:line="202" w:lineRule="exact" w:before="80"/>
              <w:ind w:right="83"/>
              <w:jc w:val="right"/>
              <w:rPr>
                <w:rFonts w:ascii="Trebuchet MS"/>
                <w:sz w:val="18"/>
              </w:rPr>
            </w:pPr>
            <w:r>
              <w:rPr>
                <w:rFonts w:ascii="Trebuchet MS"/>
                <w:spacing w:val="-2"/>
                <w:sz w:val="18"/>
              </w:rPr>
              <w:t>91.4%</w:t>
            </w:r>
          </w:p>
        </w:tc>
        <w:tc>
          <w:tcPr>
            <w:tcW w:w="1060" w:type="dxa"/>
          </w:tcPr>
          <w:p>
            <w:pPr>
              <w:pStyle w:val="TableParagraph"/>
              <w:spacing w:line="202" w:lineRule="exact" w:before="80"/>
              <w:ind w:right="83"/>
              <w:jc w:val="right"/>
              <w:rPr>
                <w:rFonts w:ascii="Trebuchet MS"/>
                <w:sz w:val="18"/>
              </w:rPr>
            </w:pPr>
            <w:r>
              <w:rPr>
                <w:rFonts w:ascii="Trebuchet MS"/>
                <w:spacing w:val="-2"/>
                <w:sz w:val="18"/>
              </w:rPr>
              <w:t>89.6%</w:t>
            </w:r>
          </w:p>
        </w:tc>
        <w:tc>
          <w:tcPr>
            <w:tcW w:w="1060" w:type="dxa"/>
          </w:tcPr>
          <w:p>
            <w:pPr>
              <w:pStyle w:val="TableParagraph"/>
              <w:spacing w:line="202" w:lineRule="exact" w:before="80"/>
              <w:ind w:right="87"/>
              <w:jc w:val="right"/>
              <w:rPr>
                <w:rFonts w:ascii="Trebuchet MS"/>
                <w:sz w:val="18"/>
              </w:rPr>
            </w:pPr>
            <w:r>
              <w:rPr>
                <w:rFonts w:ascii="Trebuchet MS"/>
                <w:spacing w:val="-2"/>
                <w:sz w:val="18"/>
              </w:rPr>
              <w:t>93.0%</w:t>
            </w:r>
          </w:p>
        </w:tc>
        <w:tc>
          <w:tcPr>
            <w:tcW w:w="1060" w:type="dxa"/>
          </w:tcPr>
          <w:p>
            <w:pPr>
              <w:pStyle w:val="TableParagraph"/>
              <w:spacing w:line="202" w:lineRule="exact" w:before="80"/>
              <w:ind w:right="86"/>
              <w:jc w:val="right"/>
              <w:rPr>
                <w:rFonts w:ascii="Trebuchet MS"/>
                <w:sz w:val="18"/>
              </w:rPr>
            </w:pPr>
            <w:r>
              <w:rPr>
                <w:rFonts w:ascii="Trebuchet MS"/>
                <w:spacing w:val="-2"/>
                <w:sz w:val="18"/>
              </w:rPr>
              <w:t>91.5%</w:t>
            </w:r>
          </w:p>
        </w:tc>
        <w:tc>
          <w:tcPr>
            <w:tcW w:w="1055" w:type="dxa"/>
            <w:shd w:val="clear" w:color="auto" w:fill="FFFFCC"/>
          </w:tcPr>
          <w:p>
            <w:pPr>
              <w:pStyle w:val="TableParagraph"/>
              <w:spacing w:line="202" w:lineRule="exact" w:before="80"/>
              <w:ind w:right="80"/>
              <w:jc w:val="right"/>
              <w:rPr>
                <w:rFonts w:ascii="Trebuchet MS"/>
                <w:sz w:val="18"/>
              </w:rPr>
            </w:pPr>
            <w:r>
              <w:rPr>
                <w:rFonts w:ascii="Trebuchet MS"/>
                <w:spacing w:val="-2"/>
                <w:sz w:val="18"/>
              </w:rPr>
              <w:t>92.3%</w:t>
            </w:r>
          </w:p>
        </w:tc>
      </w:tr>
      <w:tr>
        <w:trPr>
          <w:trHeight w:val="297" w:hRule="atLeast"/>
        </w:trPr>
        <w:tc>
          <w:tcPr>
            <w:tcW w:w="784" w:type="dxa"/>
            <w:tcBorders>
              <w:top w:val="nil"/>
              <w:left w:val="nil"/>
              <w:bottom w:val="nil"/>
            </w:tcBorders>
          </w:tcPr>
          <w:p>
            <w:pPr>
              <w:pStyle w:val="TableParagraph"/>
              <w:rPr>
                <w:rFonts w:ascii="Times New Roman"/>
                <w:sz w:val="18"/>
              </w:rPr>
            </w:pPr>
          </w:p>
        </w:tc>
        <w:tc>
          <w:tcPr>
            <w:tcW w:w="1219" w:type="dxa"/>
            <w:shd w:val="clear" w:color="auto" w:fill="9BC2E6"/>
          </w:tcPr>
          <w:p>
            <w:pPr>
              <w:pStyle w:val="TableParagraph"/>
              <w:spacing w:line="202" w:lineRule="exact" w:before="75"/>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6</w:t>
            </w:r>
          </w:p>
        </w:tc>
        <w:tc>
          <w:tcPr>
            <w:tcW w:w="1089" w:type="dxa"/>
            <w:shd w:val="clear" w:color="auto" w:fill="9BC2E6"/>
          </w:tcPr>
          <w:p>
            <w:pPr>
              <w:pStyle w:val="TableParagraph"/>
              <w:spacing w:line="202" w:lineRule="exact" w:before="75"/>
              <w:ind w:right="89"/>
              <w:jc w:val="right"/>
              <w:rPr>
                <w:rFonts w:ascii="Trebuchet MS"/>
                <w:b/>
                <w:sz w:val="18"/>
              </w:rPr>
            </w:pPr>
            <w:r>
              <w:rPr>
                <w:rFonts w:ascii="Trebuchet MS"/>
                <w:b/>
                <w:spacing w:val="-2"/>
                <w:sz w:val="18"/>
              </w:rPr>
              <w:t>92.9%</w:t>
            </w:r>
          </w:p>
        </w:tc>
        <w:tc>
          <w:tcPr>
            <w:tcW w:w="1003" w:type="dxa"/>
            <w:shd w:val="clear" w:color="auto" w:fill="9BC2E6"/>
          </w:tcPr>
          <w:p>
            <w:pPr>
              <w:pStyle w:val="TableParagraph"/>
              <w:spacing w:line="202" w:lineRule="exact" w:before="75"/>
              <w:ind w:right="88"/>
              <w:jc w:val="right"/>
              <w:rPr>
                <w:rFonts w:ascii="Trebuchet MS"/>
                <w:b/>
                <w:sz w:val="18"/>
              </w:rPr>
            </w:pPr>
            <w:r>
              <w:rPr>
                <w:rFonts w:ascii="Trebuchet MS"/>
                <w:b/>
                <w:spacing w:val="-2"/>
                <w:sz w:val="18"/>
              </w:rPr>
              <w:t>91.1%</w:t>
            </w:r>
          </w:p>
        </w:tc>
        <w:tc>
          <w:tcPr>
            <w:tcW w:w="1089" w:type="dxa"/>
            <w:shd w:val="clear" w:color="auto" w:fill="9BC2E6"/>
          </w:tcPr>
          <w:p>
            <w:pPr>
              <w:pStyle w:val="TableParagraph"/>
              <w:spacing w:line="202" w:lineRule="exact" w:before="75"/>
              <w:ind w:right="88"/>
              <w:jc w:val="right"/>
              <w:rPr>
                <w:rFonts w:ascii="Trebuchet MS"/>
                <w:b/>
                <w:sz w:val="18"/>
              </w:rPr>
            </w:pPr>
            <w:r>
              <w:rPr>
                <w:rFonts w:ascii="Trebuchet MS"/>
                <w:b/>
                <w:spacing w:val="-2"/>
                <w:sz w:val="18"/>
              </w:rPr>
              <w:t>92.0%</w:t>
            </w:r>
          </w:p>
        </w:tc>
        <w:tc>
          <w:tcPr>
            <w:tcW w:w="1060" w:type="dxa"/>
            <w:shd w:val="clear" w:color="auto" w:fill="9BC2E6"/>
          </w:tcPr>
          <w:p>
            <w:pPr>
              <w:pStyle w:val="TableParagraph"/>
              <w:spacing w:line="202" w:lineRule="exact" w:before="75"/>
              <w:ind w:right="92"/>
              <w:jc w:val="right"/>
              <w:rPr>
                <w:rFonts w:ascii="Trebuchet MS"/>
                <w:b/>
                <w:sz w:val="18"/>
              </w:rPr>
            </w:pPr>
            <w:r>
              <w:rPr>
                <w:rFonts w:ascii="Trebuchet MS"/>
                <w:b/>
                <w:spacing w:val="-2"/>
                <w:sz w:val="18"/>
              </w:rPr>
              <w:t>91.6%</w:t>
            </w:r>
          </w:p>
        </w:tc>
        <w:tc>
          <w:tcPr>
            <w:tcW w:w="1060" w:type="dxa"/>
            <w:shd w:val="clear" w:color="auto" w:fill="9BC2E6"/>
          </w:tcPr>
          <w:p>
            <w:pPr>
              <w:pStyle w:val="TableParagraph"/>
              <w:spacing w:line="202" w:lineRule="exact" w:before="75"/>
              <w:ind w:right="91"/>
              <w:jc w:val="right"/>
              <w:rPr>
                <w:rFonts w:ascii="Trebuchet MS"/>
                <w:b/>
                <w:sz w:val="18"/>
              </w:rPr>
            </w:pPr>
            <w:r>
              <w:rPr>
                <w:rFonts w:ascii="Trebuchet MS"/>
                <w:b/>
                <w:spacing w:val="-2"/>
                <w:sz w:val="18"/>
              </w:rPr>
              <w:t>94.0%</w:t>
            </w:r>
          </w:p>
        </w:tc>
        <w:tc>
          <w:tcPr>
            <w:tcW w:w="1055" w:type="dxa"/>
            <w:shd w:val="clear" w:color="auto" w:fill="9BC2E6"/>
          </w:tcPr>
          <w:p>
            <w:pPr>
              <w:pStyle w:val="TableParagraph"/>
              <w:spacing w:line="202" w:lineRule="exact" w:before="75"/>
              <w:ind w:right="85"/>
              <w:jc w:val="right"/>
              <w:rPr>
                <w:rFonts w:ascii="Trebuchet MS"/>
                <w:b/>
                <w:sz w:val="18"/>
              </w:rPr>
            </w:pPr>
            <w:r>
              <w:rPr>
                <w:rFonts w:ascii="Trebuchet MS"/>
                <w:b/>
                <w:spacing w:val="-2"/>
                <w:sz w:val="18"/>
              </w:rPr>
              <w:t>92.8%</w:t>
            </w:r>
          </w:p>
        </w:tc>
        <w:tc>
          <w:tcPr>
            <w:tcW w:w="1060" w:type="dxa"/>
            <w:shd w:val="clear" w:color="auto" w:fill="9BC2E6"/>
          </w:tcPr>
          <w:p>
            <w:pPr>
              <w:pStyle w:val="TableParagraph"/>
              <w:spacing w:line="202" w:lineRule="exact" w:before="75"/>
              <w:ind w:right="84"/>
              <w:jc w:val="right"/>
              <w:rPr>
                <w:rFonts w:ascii="Trebuchet MS"/>
                <w:b/>
                <w:sz w:val="18"/>
              </w:rPr>
            </w:pPr>
            <w:r>
              <w:rPr>
                <w:rFonts w:ascii="Trebuchet MS"/>
                <w:b/>
                <w:spacing w:val="-2"/>
                <w:sz w:val="18"/>
              </w:rPr>
              <w:t>93.4%</w:t>
            </w:r>
          </w:p>
        </w:tc>
        <w:tc>
          <w:tcPr>
            <w:tcW w:w="1060" w:type="dxa"/>
            <w:shd w:val="clear" w:color="auto" w:fill="9BC2E6"/>
          </w:tcPr>
          <w:p>
            <w:pPr>
              <w:pStyle w:val="TableParagraph"/>
              <w:spacing w:line="202" w:lineRule="exact" w:before="75"/>
              <w:ind w:right="84"/>
              <w:jc w:val="right"/>
              <w:rPr>
                <w:rFonts w:ascii="Trebuchet MS"/>
                <w:b/>
                <w:sz w:val="18"/>
              </w:rPr>
            </w:pPr>
            <w:r>
              <w:rPr>
                <w:rFonts w:ascii="Trebuchet MS"/>
                <w:b/>
                <w:spacing w:val="-2"/>
                <w:sz w:val="18"/>
              </w:rPr>
              <w:t>93.6%</w:t>
            </w:r>
          </w:p>
        </w:tc>
        <w:tc>
          <w:tcPr>
            <w:tcW w:w="1060" w:type="dxa"/>
            <w:shd w:val="clear" w:color="auto" w:fill="9BC2E6"/>
          </w:tcPr>
          <w:p>
            <w:pPr>
              <w:pStyle w:val="TableParagraph"/>
              <w:spacing w:line="202" w:lineRule="exact" w:before="75"/>
              <w:ind w:right="83"/>
              <w:jc w:val="right"/>
              <w:rPr>
                <w:rFonts w:ascii="Trebuchet MS"/>
                <w:b/>
                <w:sz w:val="18"/>
              </w:rPr>
            </w:pPr>
            <w:r>
              <w:rPr>
                <w:rFonts w:ascii="Trebuchet MS"/>
                <w:b/>
                <w:spacing w:val="-2"/>
                <w:sz w:val="18"/>
              </w:rPr>
              <w:t>93.5%</w:t>
            </w:r>
          </w:p>
        </w:tc>
        <w:tc>
          <w:tcPr>
            <w:tcW w:w="1060" w:type="dxa"/>
            <w:shd w:val="clear" w:color="auto" w:fill="9BC2E6"/>
          </w:tcPr>
          <w:p>
            <w:pPr>
              <w:pStyle w:val="TableParagraph"/>
              <w:spacing w:line="202" w:lineRule="exact" w:before="75"/>
              <w:ind w:right="87"/>
              <w:jc w:val="right"/>
              <w:rPr>
                <w:rFonts w:ascii="Trebuchet MS"/>
                <w:b/>
                <w:sz w:val="18"/>
              </w:rPr>
            </w:pPr>
            <w:r>
              <w:rPr>
                <w:rFonts w:ascii="Trebuchet MS"/>
                <w:b/>
                <w:spacing w:val="-2"/>
                <w:sz w:val="18"/>
              </w:rPr>
              <w:t>94.0%</w:t>
            </w:r>
          </w:p>
        </w:tc>
        <w:tc>
          <w:tcPr>
            <w:tcW w:w="1060" w:type="dxa"/>
            <w:shd w:val="clear" w:color="auto" w:fill="9BC2E6"/>
          </w:tcPr>
          <w:p>
            <w:pPr>
              <w:pStyle w:val="TableParagraph"/>
              <w:spacing w:line="202" w:lineRule="exact" w:before="75"/>
              <w:ind w:right="86"/>
              <w:jc w:val="right"/>
              <w:rPr>
                <w:rFonts w:ascii="Trebuchet MS"/>
                <w:b/>
                <w:sz w:val="18"/>
              </w:rPr>
            </w:pPr>
            <w:r>
              <w:rPr>
                <w:rFonts w:ascii="Trebuchet MS"/>
                <w:b/>
                <w:spacing w:val="-2"/>
                <w:sz w:val="18"/>
              </w:rPr>
              <w:t>93.9%</w:t>
            </w:r>
          </w:p>
        </w:tc>
        <w:tc>
          <w:tcPr>
            <w:tcW w:w="1055" w:type="dxa"/>
            <w:shd w:val="clear" w:color="auto" w:fill="9BC2E6"/>
          </w:tcPr>
          <w:p>
            <w:pPr>
              <w:pStyle w:val="TableParagraph"/>
              <w:spacing w:line="202" w:lineRule="exact" w:before="75"/>
              <w:ind w:right="80"/>
              <w:jc w:val="right"/>
              <w:rPr>
                <w:rFonts w:ascii="Trebuchet MS"/>
                <w:b/>
                <w:sz w:val="18"/>
              </w:rPr>
            </w:pPr>
            <w:r>
              <w:rPr>
                <w:rFonts w:ascii="Trebuchet MS"/>
                <w:b/>
                <w:spacing w:val="-2"/>
                <w:sz w:val="18"/>
              </w:rPr>
              <w:t>93.9%</w:t>
            </w:r>
          </w:p>
        </w:tc>
      </w:tr>
      <w:tr>
        <w:trPr>
          <w:trHeight w:val="537" w:hRule="atLeast"/>
        </w:trPr>
        <w:tc>
          <w:tcPr>
            <w:tcW w:w="784" w:type="dxa"/>
            <w:tcBorders>
              <w:top w:val="nil"/>
              <w:left w:val="nil"/>
              <w:bottom w:val="nil"/>
            </w:tcBorders>
          </w:tcPr>
          <w:p>
            <w:pPr>
              <w:pStyle w:val="TableParagraph"/>
              <w:spacing w:line="270" w:lineRule="atLeast"/>
              <w:ind w:left="49" w:right="194"/>
              <w:rPr>
                <w:sz w:val="22"/>
              </w:rPr>
            </w:pPr>
            <w:r>
              <w:rPr>
                <w:spacing w:val="-4"/>
                <w:sz w:val="22"/>
              </w:rPr>
              <w:t>Form </w:t>
            </w:r>
            <w:r>
              <w:rPr>
                <w:spacing w:val="-10"/>
                <w:sz w:val="22"/>
              </w:rPr>
              <w:t>1</w:t>
            </w:r>
          </w:p>
        </w:tc>
        <w:tc>
          <w:tcPr>
            <w:tcW w:w="1219" w:type="dxa"/>
            <w:shd w:val="clear" w:color="auto" w:fill="FFFFCC"/>
          </w:tcPr>
          <w:p>
            <w:pPr>
              <w:pStyle w:val="TableParagraph"/>
              <w:spacing w:before="10"/>
              <w:rPr>
                <w:rFonts w:ascii="Calibri Light"/>
                <w:b w:val="0"/>
                <w:sz w:val="25"/>
              </w:rPr>
            </w:pPr>
          </w:p>
          <w:p>
            <w:pPr>
              <w:pStyle w:val="TableParagraph"/>
              <w:spacing w:line="202" w:lineRule="exact"/>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7</w:t>
            </w:r>
          </w:p>
        </w:tc>
        <w:tc>
          <w:tcPr>
            <w:tcW w:w="1089" w:type="dxa"/>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90.4%</w:t>
            </w:r>
          </w:p>
        </w:tc>
        <w:tc>
          <w:tcPr>
            <w:tcW w:w="1003" w:type="dxa"/>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89.6%</w:t>
            </w:r>
          </w:p>
        </w:tc>
        <w:tc>
          <w:tcPr>
            <w:tcW w:w="1089" w:type="dxa"/>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90.0%</w:t>
            </w:r>
          </w:p>
        </w:tc>
        <w:tc>
          <w:tcPr>
            <w:tcW w:w="1060" w:type="dxa"/>
          </w:tcPr>
          <w:p>
            <w:pPr>
              <w:pStyle w:val="TableParagraph"/>
              <w:spacing w:before="10"/>
              <w:rPr>
                <w:rFonts w:ascii="Calibri Light"/>
                <w:b w:val="0"/>
                <w:sz w:val="25"/>
              </w:rPr>
            </w:pPr>
          </w:p>
          <w:p>
            <w:pPr>
              <w:pStyle w:val="TableParagraph"/>
              <w:spacing w:line="202" w:lineRule="exact"/>
              <w:ind w:right="92"/>
              <w:jc w:val="right"/>
              <w:rPr>
                <w:rFonts w:ascii="Trebuchet MS"/>
                <w:sz w:val="18"/>
              </w:rPr>
            </w:pPr>
            <w:r>
              <w:rPr>
                <w:rFonts w:ascii="Trebuchet MS"/>
                <w:spacing w:val="-2"/>
                <w:sz w:val="18"/>
              </w:rPr>
              <w:t>92.5%</w:t>
            </w:r>
          </w:p>
        </w:tc>
        <w:tc>
          <w:tcPr>
            <w:tcW w:w="1060" w:type="dxa"/>
          </w:tcPr>
          <w:p>
            <w:pPr>
              <w:pStyle w:val="TableParagraph"/>
              <w:spacing w:before="10"/>
              <w:rPr>
                <w:rFonts w:ascii="Calibri Light"/>
                <w:b w:val="0"/>
                <w:sz w:val="25"/>
              </w:rPr>
            </w:pPr>
          </w:p>
          <w:p>
            <w:pPr>
              <w:pStyle w:val="TableParagraph"/>
              <w:spacing w:line="202" w:lineRule="exact"/>
              <w:ind w:right="91"/>
              <w:jc w:val="right"/>
              <w:rPr>
                <w:rFonts w:ascii="Trebuchet MS"/>
                <w:sz w:val="18"/>
              </w:rPr>
            </w:pPr>
            <w:r>
              <w:rPr>
                <w:rFonts w:ascii="Trebuchet MS"/>
                <w:spacing w:val="-2"/>
                <w:sz w:val="18"/>
              </w:rPr>
              <w:t>94.9%</w:t>
            </w:r>
          </w:p>
        </w:tc>
        <w:tc>
          <w:tcPr>
            <w:tcW w:w="1055" w:type="dxa"/>
          </w:tcPr>
          <w:p>
            <w:pPr>
              <w:pStyle w:val="TableParagraph"/>
              <w:spacing w:before="10"/>
              <w:rPr>
                <w:rFonts w:ascii="Calibri Light"/>
                <w:b w:val="0"/>
                <w:sz w:val="25"/>
              </w:rPr>
            </w:pPr>
          </w:p>
          <w:p>
            <w:pPr>
              <w:pStyle w:val="TableParagraph"/>
              <w:spacing w:line="202" w:lineRule="exact"/>
              <w:ind w:right="85"/>
              <w:jc w:val="right"/>
              <w:rPr>
                <w:rFonts w:ascii="Trebuchet MS"/>
                <w:sz w:val="18"/>
              </w:rPr>
            </w:pPr>
            <w:r>
              <w:rPr>
                <w:rFonts w:ascii="Trebuchet MS"/>
                <w:spacing w:val="-2"/>
                <w:sz w:val="18"/>
              </w:rPr>
              <w:t>93.7%</w:t>
            </w:r>
          </w:p>
        </w:tc>
        <w:tc>
          <w:tcPr>
            <w:tcW w:w="1060" w:type="dxa"/>
          </w:tcPr>
          <w:p>
            <w:pPr>
              <w:pStyle w:val="TableParagraph"/>
              <w:spacing w:before="10"/>
              <w:rPr>
                <w:rFonts w:ascii="Calibri Light"/>
                <w:b w:val="0"/>
                <w:sz w:val="25"/>
              </w:rPr>
            </w:pPr>
          </w:p>
          <w:p>
            <w:pPr>
              <w:pStyle w:val="TableParagraph"/>
              <w:spacing w:line="202" w:lineRule="exact"/>
              <w:ind w:right="84"/>
              <w:jc w:val="right"/>
              <w:rPr>
                <w:rFonts w:ascii="Trebuchet MS"/>
                <w:sz w:val="18"/>
              </w:rPr>
            </w:pPr>
            <w:r>
              <w:rPr>
                <w:rFonts w:ascii="Trebuchet MS"/>
                <w:spacing w:val="-2"/>
                <w:sz w:val="18"/>
              </w:rPr>
              <w:t>94.1%</w:t>
            </w:r>
          </w:p>
        </w:tc>
        <w:tc>
          <w:tcPr>
            <w:tcW w:w="1060" w:type="dxa"/>
          </w:tcPr>
          <w:p>
            <w:pPr>
              <w:pStyle w:val="TableParagraph"/>
              <w:spacing w:before="10"/>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94.5%</w:t>
            </w:r>
          </w:p>
        </w:tc>
        <w:tc>
          <w:tcPr>
            <w:tcW w:w="1060" w:type="dxa"/>
          </w:tcPr>
          <w:p>
            <w:pPr>
              <w:pStyle w:val="TableParagraph"/>
              <w:spacing w:before="10"/>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94.3%</w:t>
            </w:r>
          </w:p>
        </w:tc>
        <w:tc>
          <w:tcPr>
            <w:tcW w:w="1060" w:type="dxa"/>
          </w:tcPr>
          <w:p>
            <w:pPr>
              <w:pStyle w:val="TableParagraph"/>
              <w:spacing w:before="10"/>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92.7%</w:t>
            </w:r>
          </w:p>
        </w:tc>
        <w:tc>
          <w:tcPr>
            <w:tcW w:w="1060" w:type="dxa"/>
          </w:tcPr>
          <w:p>
            <w:pPr>
              <w:pStyle w:val="TableParagraph"/>
              <w:spacing w:before="10"/>
              <w:rPr>
                <w:rFonts w:ascii="Calibri Light"/>
                <w:b w:val="0"/>
                <w:sz w:val="25"/>
              </w:rPr>
            </w:pPr>
          </w:p>
          <w:p>
            <w:pPr>
              <w:pStyle w:val="TableParagraph"/>
              <w:spacing w:line="202" w:lineRule="exact"/>
              <w:ind w:right="86"/>
              <w:jc w:val="right"/>
              <w:rPr>
                <w:rFonts w:ascii="Trebuchet MS"/>
                <w:sz w:val="18"/>
              </w:rPr>
            </w:pPr>
            <w:r>
              <w:rPr>
                <w:rFonts w:ascii="Trebuchet MS"/>
                <w:spacing w:val="-2"/>
                <w:sz w:val="18"/>
              </w:rPr>
              <w:t>93.1%</w:t>
            </w:r>
          </w:p>
        </w:tc>
        <w:tc>
          <w:tcPr>
            <w:tcW w:w="1055" w:type="dxa"/>
            <w:shd w:val="clear" w:color="auto" w:fill="FFFFCC"/>
          </w:tcPr>
          <w:p>
            <w:pPr>
              <w:pStyle w:val="TableParagraph"/>
              <w:spacing w:before="10"/>
              <w:rPr>
                <w:rFonts w:ascii="Calibri Light"/>
                <w:b w:val="0"/>
                <w:sz w:val="25"/>
              </w:rPr>
            </w:pPr>
          </w:p>
          <w:p>
            <w:pPr>
              <w:pStyle w:val="TableParagraph"/>
              <w:spacing w:line="202" w:lineRule="exact"/>
              <w:ind w:right="80"/>
              <w:jc w:val="right"/>
              <w:rPr>
                <w:rFonts w:ascii="Trebuchet MS"/>
                <w:sz w:val="18"/>
              </w:rPr>
            </w:pPr>
            <w:r>
              <w:rPr>
                <w:rFonts w:ascii="Trebuchet MS"/>
                <w:spacing w:val="-2"/>
                <w:sz w:val="18"/>
              </w:rPr>
              <w:t>92.9%</w:t>
            </w:r>
          </w:p>
        </w:tc>
      </w:tr>
      <w:tr>
        <w:trPr>
          <w:trHeight w:val="534" w:hRule="atLeast"/>
        </w:trPr>
        <w:tc>
          <w:tcPr>
            <w:tcW w:w="784" w:type="dxa"/>
            <w:tcBorders>
              <w:top w:val="nil"/>
              <w:left w:val="nil"/>
              <w:bottom w:val="nil"/>
            </w:tcBorders>
          </w:tcPr>
          <w:p>
            <w:pPr>
              <w:pStyle w:val="TableParagraph"/>
              <w:spacing w:line="267" w:lineRule="exact"/>
              <w:ind w:left="49"/>
              <w:rPr>
                <w:sz w:val="22"/>
              </w:rPr>
            </w:pPr>
            <w:r>
              <w:rPr>
                <w:spacing w:val="-4"/>
                <w:sz w:val="22"/>
              </w:rPr>
              <w:t>Form</w:t>
            </w:r>
          </w:p>
          <w:p>
            <w:pPr>
              <w:pStyle w:val="TableParagraph"/>
              <w:spacing w:line="247" w:lineRule="exact"/>
              <w:ind w:left="49"/>
              <w:rPr>
                <w:sz w:val="22"/>
              </w:rPr>
            </w:pPr>
            <w:r>
              <w:rPr>
                <w:w w:val="100"/>
                <w:sz w:val="22"/>
              </w:rPr>
              <w:t>2</w:t>
            </w:r>
          </w:p>
        </w:tc>
        <w:tc>
          <w:tcPr>
            <w:tcW w:w="1219" w:type="dxa"/>
            <w:shd w:val="clear" w:color="auto" w:fill="FFFFCC"/>
          </w:tcPr>
          <w:p>
            <w:pPr>
              <w:pStyle w:val="TableParagraph"/>
              <w:spacing w:before="7"/>
              <w:rPr>
                <w:rFonts w:ascii="Calibri Light"/>
                <w:b w:val="0"/>
                <w:sz w:val="25"/>
              </w:rPr>
            </w:pPr>
          </w:p>
          <w:p>
            <w:pPr>
              <w:pStyle w:val="TableParagraph"/>
              <w:spacing w:line="202" w:lineRule="exact"/>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8</w:t>
            </w:r>
          </w:p>
        </w:tc>
        <w:tc>
          <w:tcPr>
            <w:tcW w:w="1089" w:type="dxa"/>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89.7%</w:t>
            </w:r>
          </w:p>
        </w:tc>
        <w:tc>
          <w:tcPr>
            <w:tcW w:w="1003" w:type="dxa"/>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88.6%</w:t>
            </w:r>
          </w:p>
        </w:tc>
        <w:tc>
          <w:tcPr>
            <w:tcW w:w="1089" w:type="dxa"/>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89.2%</w:t>
            </w:r>
          </w:p>
        </w:tc>
        <w:tc>
          <w:tcPr>
            <w:tcW w:w="1060" w:type="dxa"/>
          </w:tcPr>
          <w:p>
            <w:pPr>
              <w:pStyle w:val="TableParagraph"/>
              <w:spacing w:before="7"/>
              <w:rPr>
                <w:rFonts w:ascii="Calibri Light"/>
                <w:b w:val="0"/>
                <w:sz w:val="25"/>
              </w:rPr>
            </w:pPr>
          </w:p>
          <w:p>
            <w:pPr>
              <w:pStyle w:val="TableParagraph"/>
              <w:spacing w:line="202" w:lineRule="exact"/>
              <w:ind w:right="92"/>
              <w:jc w:val="right"/>
              <w:rPr>
                <w:rFonts w:ascii="Trebuchet MS"/>
                <w:sz w:val="18"/>
              </w:rPr>
            </w:pPr>
            <w:r>
              <w:rPr>
                <w:rFonts w:ascii="Trebuchet MS"/>
                <w:spacing w:val="-2"/>
                <w:sz w:val="18"/>
              </w:rPr>
              <w:t>94.5%</w:t>
            </w:r>
          </w:p>
        </w:tc>
        <w:tc>
          <w:tcPr>
            <w:tcW w:w="1060" w:type="dxa"/>
          </w:tcPr>
          <w:p>
            <w:pPr>
              <w:pStyle w:val="TableParagraph"/>
              <w:spacing w:before="7"/>
              <w:rPr>
                <w:rFonts w:ascii="Calibri Light"/>
                <w:b w:val="0"/>
                <w:sz w:val="25"/>
              </w:rPr>
            </w:pPr>
          </w:p>
          <w:p>
            <w:pPr>
              <w:pStyle w:val="TableParagraph"/>
              <w:spacing w:line="202" w:lineRule="exact"/>
              <w:ind w:right="91"/>
              <w:jc w:val="right"/>
              <w:rPr>
                <w:rFonts w:ascii="Trebuchet MS"/>
                <w:sz w:val="18"/>
              </w:rPr>
            </w:pPr>
            <w:r>
              <w:rPr>
                <w:rFonts w:ascii="Trebuchet MS"/>
                <w:spacing w:val="-2"/>
                <w:sz w:val="18"/>
              </w:rPr>
              <w:t>93.2%</w:t>
            </w:r>
          </w:p>
        </w:tc>
        <w:tc>
          <w:tcPr>
            <w:tcW w:w="1055" w:type="dxa"/>
          </w:tcPr>
          <w:p>
            <w:pPr>
              <w:pStyle w:val="TableParagraph"/>
              <w:spacing w:before="7"/>
              <w:rPr>
                <w:rFonts w:ascii="Calibri Light"/>
                <w:b w:val="0"/>
                <w:sz w:val="25"/>
              </w:rPr>
            </w:pPr>
          </w:p>
          <w:p>
            <w:pPr>
              <w:pStyle w:val="TableParagraph"/>
              <w:spacing w:line="202" w:lineRule="exact"/>
              <w:ind w:right="85"/>
              <w:jc w:val="right"/>
              <w:rPr>
                <w:rFonts w:ascii="Trebuchet MS"/>
                <w:sz w:val="18"/>
              </w:rPr>
            </w:pPr>
            <w:r>
              <w:rPr>
                <w:rFonts w:ascii="Trebuchet MS"/>
                <w:spacing w:val="-2"/>
                <w:sz w:val="18"/>
              </w:rPr>
              <w:t>93.9%</w:t>
            </w:r>
          </w:p>
        </w:tc>
        <w:tc>
          <w:tcPr>
            <w:tcW w:w="1060" w:type="dxa"/>
          </w:tcPr>
          <w:p>
            <w:pPr>
              <w:pStyle w:val="TableParagraph"/>
              <w:spacing w:before="7"/>
              <w:rPr>
                <w:rFonts w:ascii="Calibri Light"/>
                <w:b w:val="0"/>
                <w:sz w:val="25"/>
              </w:rPr>
            </w:pPr>
          </w:p>
          <w:p>
            <w:pPr>
              <w:pStyle w:val="TableParagraph"/>
              <w:spacing w:line="202" w:lineRule="exact"/>
              <w:ind w:right="84"/>
              <w:jc w:val="right"/>
              <w:rPr>
                <w:rFonts w:ascii="Trebuchet MS"/>
                <w:sz w:val="18"/>
              </w:rPr>
            </w:pPr>
            <w:r>
              <w:rPr>
                <w:rFonts w:ascii="Trebuchet MS"/>
                <w:spacing w:val="-2"/>
                <w:sz w:val="18"/>
              </w:rPr>
              <w:t>95.0%</w:t>
            </w:r>
          </w:p>
        </w:tc>
        <w:tc>
          <w:tcPr>
            <w:tcW w:w="1060" w:type="dxa"/>
          </w:tcPr>
          <w:p>
            <w:pPr>
              <w:pStyle w:val="TableParagraph"/>
              <w:spacing w:before="7"/>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94.5%</w:t>
            </w:r>
          </w:p>
        </w:tc>
        <w:tc>
          <w:tcPr>
            <w:tcW w:w="1060" w:type="dxa"/>
          </w:tcPr>
          <w:p>
            <w:pPr>
              <w:pStyle w:val="TableParagraph"/>
              <w:spacing w:before="7"/>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94.8%</w:t>
            </w:r>
          </w:p>
        </w:tc>
        <w:tc>
          <w:tcPr>
            <w:tcW w:w="1060" w:type="dxa"/>
          </w:tcPr>
          <w:p>
            <w:pPr>
              <w:pStyle w:val="TableParagraph"/>
              <w:spacing w:before="7"/>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93.3%</w:t>
            </w:r>
          </w:p>
        </w:tc>
        <w:tc>
          <w:tcPr>
            <w:tcW w:w="1060" w:type="dxa"/>
          </w:tcPr>
          <w:p>
            <w:pPr>
              <w:pStyle w:val="TableParagraph"/>
              <w:spacing w:before="7"/>
              <w:rPr>
                <w:rFonts w:ascii="Calibri Light"/>
                <w:b w:val="0"/>
                <w:sz w:val="25"/>
              </w:rPr>
            </w:pPr>
          </w:p>
          <w:p>
            <w:pPr>
              <w:pStyle w:val="TableParagraph"/>
              <w:spacing w:line="202" w:lineRule="exact"/>
              <w:ind w:right="86"/>
              <w:jc w:val="right"/>
              <w:rPr>
                <w:rFonts w:ascii="Trebuchet MS"/>
                <w:sz w:val="18"/>
              </w:rPr>
            </w:pPr>
            <w:r>
              <w:rPr>
                <w:rFonts w:ascii="Trebuchet MS"/>
                <w:spacing w:val="-2"/>
                <w:sz w:val="18"/>
              </w:rPr>
              <w:t>91.4%</w:t>
            </w:r>
          </w:p>
        </w:tc>
        <w:tc>
          <w:tcPr>
            <w:tcW w:w="1055" w:type="dxa"/>
            <w:shd w:val="clear" w:color="auto" w:fill="FFFFCC"/>
          </w:tcPr>
          <w:p>
            <w:pPr>
              <w:pStyle w:val="TableParagraph"/>
              <w:spacing w:before="7"/>
              <w:rPr>
                <w:rFonts w:ascii="Calibri Light"/>
                <w:b w:val="0"/>
                <w:sz w:val="25"/>
              </w:rPr>
            </w:pPr>
          </w:p>
          <w:p>
            <w:pPr>
              <w:pStyle w:val="TableParagraph"/>
              <w:spacing w:line="202" w:lineRule="exact"/>
              <w:ind w:right="80"/>
              <w:jc w:val="right"/>
              <w:rPr>
                <w:rFonts w:ascii="Trebuchet MS"/>
                <w:sz w:val="18"/>
              </w:rPr>
            </w:pPr>
            <w:r>
              <w:rPr>
                <w:rFonts w:ascii="Trebuchet MS"/>
                <w:spacing w:val="-2"/>
                <w:sz w:val="18"/>
              </w:rPr>
              <w:t>92.4%</w:t>
            </w:r>
          </w:p>
        </w:tc>
      </w:tr>
      <w:tr>
        <w:trPr>
          <w:trHeight w:val="537" w:hRule="atLeast"/>
        </w:trPr>
        <w:tc>
          <w:tcPr>
            <w:tcW w:w="784" w:type="dxa"/>
            <w:tcBorders>
              <w:top w:val="nil"/>
              <w:left w:val="nil"/>
              <w:bottom w:val="nil"/>
            </w:tcBorders>
          </w:tcPr>
          <w:p>
            <w:pPr>
              <w:pStyle w:val="TableParagraph"/>
              <w:spacing w:line="270" w:lineRule="atLeast"/>
              <w:ind w:left="49" w:right="194"/>
              <w:rPr>
                <w:sz w:val="22"/>
              </w:rPr>
            </w:pPr>
            <w:r>
              <w:rPr>
                <w:spacing w:val="-4"/>
                <w:sz w:val="22"/>
              </w:rPr>
              <w:t>Form </w:t>
            </w:r>
            <w:r>
              <w:rPr>
                <w:spacing w:val="-10"/>
                <w:sz w:val="22"/>
              </w:rPr>
              <w:t>3</w:t>
            </w:r>
          </w:p>
        </w:tc>
        <w:tc>
          <w:tcPr>
            <w:tcW w:w="1219" w:type="dxa"/>
            <w:shd w:val="clear" w:color="auto" w:fill="9BC2E6"/>
          </w:tcPr>
          <w:p>
            <w:pPr>
              <w:pStyle w:val="TableParagraph"/>
              <w:spacing w:before="10"/>
              <w:rPr>
                <w:rFonts w:ascii="Calibri Light"/>
                <w:b w:val="0"/>
                <w:sz w:val="25"/>
              </w:rPr>
            </w:pPr>
          </w:p>
          <w:p>
            <w:pPr>
              <w:pStyle w:val="TableParagraph"/>
              <w:spacing w:line="202" w:lineRule="exact"/>
              <w:ind w:left="105"/>
              <w:rPr>
                <w:rFonts w:ascii="Trebuchet MS"/>
                <w:b/>
                <w:sz w:val="18"/>
              </w:rPr>
            </w:pPr>
            <w:r>
              <w:rPr>
                <w:rFonts w:ascii="Trebuchet MS"/>
                <w:b/>
                <w:sz w:val="18"/>
              </w:rPr>
              <w:t>Year</w:t>
            </w:r>
            <w:r>
              <w:rPr>
                <w:rFonts w:ascii="Trebuchet MS"/>
                <w:b/>
                <w:spacing w:val="-4"/>
                <w:sz w:val="18"/>
              </w:rPr>
              <w:t> </w:t>
            </w:r>
            <w:r>
              <w:rPr>
                <w:rFonts w:ascii="Trebuchet MS"/>
                <w:b/>
                <w:spacing w:val="-10"/>
                <w:sz w:val="18"/>
              </w:rPr>
              <w:t>9</w:t>
            </w:r>
          </w:p>
        </w:tc>
        <w:tc>
          <w:tcPr>
            <w:tcW w:w="1089" w:type="dxa"/>
            <w:shd w:val="clear" w:color="auto" w:fill="9BC2E6"/>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126.0%</w:t>
            </w:r>
          </w:p>
        </w:tc>
        <w:tc>
          <w:tcPr>
            <w:tcW w:w="1003" w:type="dxa"/>
            <w:shd w:val="clear" w:color="auto" w:fill="9BC2E6"/>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90.6%</w:t>
            </w:r>
          </w:p>
        </w:tc>
        <w:tc>
          <w:tcPr>
            <w:tcW w:w="1089" w:type="dxa"/>
            <w:shd w:val="clear" w:color="auto" w:fill="9BC2E6"/>
          </w:tcPr>
          <w:p>
            <w:pPr>
              <w:pStyle w:val="TableParagraph"/>
              <w:spacing w:before="10"/>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109.2%</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92"/>
              <w:jc w:val="right"/>
              <w:rPr>
                <w:rFonts w:ascii="Trebuchet MS"/>
                <w:sz w:val="18"/>
              </w:rPr>
            </w:pPr>
            <w:r>
              <w:rPr>
                <w:rFonts w:ascii="Trebuchet MS"/>
                <w:spacing w:val="-2"/>
                <w:sz w:val="18"/>
              </w:rPr>
              <w:t>91.3%</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91"/>
              <w:jc w:val="right"/>
              <w:rPr>
                <w:rFonts w:ascii="Trebuchet MS"/>
                <w:sz w:val="18"/>
              </w:rPr>
            </w:pPr>
            <w:r>
              <w:rPr>
                <w:rFonts w:ascii="Trebuchet MS"/>
                <w:spacing w:val="-2"/>
                <w:sz w:val="18"/>
              </w:rPr>
              <w:t>84.4%</w:t>
            </w:r>
          </w:p>
        </w:tc>
        <w:tc>
          <w:tcPr>
            <w:tcW w:w="1055" w:type="dxa"/>
            <w:shd w:val="clear" w:color="auto" w:fill="9BC2E6"/>
          </w:tcPr>
          <w:p>
            <w:pPr>
              <w:pStyle w:val="TableParagraph"/>
              <w:spacing w:before="10"/>
              <w:rPr>
                <w:rFonts w:ascii="Calibri Light"/>
                <w:b w:val="0"/>
                <w:sz w:val="25"/>
              </w:rPr>
            </w:pPr>
          </w:p>
          <w:p>
            <w:pPr>
              <w:pStyle w:val="TableParagraph"/>
              <w:spacing w:line="202" w:lineRule="exact"/>
              <w:ind w:right="85"/>
              <w:jc w:val="right"/>
              <w:rPr>
                <w:rFonts w:ascii="Trebuchet MS"/>
                <w:sz w:val="18"/>
              </w:rPr>
            </w:pPr>
            <w:r>
              <w:rPr>
                <w:rFonts w:ascii="Trebuchet MS"/>
                <w:spacing w:val="-2"/>
                <w:sz w:val="18"/>
              </w:rPr>
              <w:t>88.0%</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4"/>
              <w:jc w:val="right"/>
              <w:rPr>
                <w:rFonts w:ascii="Trebuchet MS"/>
                <w:sz w:val="18"/>
              </w:rPr>
            </w:pPr>
            <w:r>
              <w:rPr>
                <w:rFonts w:ascii="Trebuchet MS"/>
                <w:spacing w:val="-2"/>
                <w:sz w:val="18"/>
              </w:rPr>
              <w:t>80.0%</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79.8%</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79.9%</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79.0%</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6"/>
              <w:jc w:val="right"/>
              <w:rPr>
                <w:rFonts w:ascii="Trebuchet MS"/>
                <w:sz w:val="18"/>
              </w:rPr>
            </w:pPr>
            <w:r>
              <w:rPr>
                <w:rFonts w:ascii="Trebuchet MS"/>
                <w:spacing w:val="-2"/>
                <w:sz w:val="18"/>
              </w:rPr>
              <w:t>78.4%</w:t>
            </w:r>
          </w:p>
        </w:tc>
        <w:tc>
          <w:tcPr>
            <w:tcW w:w="1055" w:type="dxa"/>
            <w:shd w:val="clear" w:color="auto" w:fill="9BC2E6"/>
          </w:tcPr>
          <w:p>
            <w:pPr>
              <w:pStyle w:val="TableParagraph"/>
              <w:spacing w:before="10"/>
              <w:rPr>
                <w:rFonts w:ascii="Calibri Light"/>
                <w:b w:val="0"/>
                <w:sz w:val="25"/>
              </w:rPr>
            </w:pPr>
          </w:p>
          <w:p>
            <w:pPr>
              <w:pStyle w:val="TableParagraph"/>
              <w:spacing w:line="202" w:lineRule="exact"/>
              <w:ind w:right="80"/>
              <w:jc w:val="right"/>
              <w:rPr>
                <w:rFonts w:ascii="Trebuchet MS"/>
                <w:sz w:val="18"/>
              </w:rPr>
            </w:pPr>
            <w:r>
              <w:rPr>
                <w:rFonts w:ascii="Trebuchet MS"/>
                <w:spacing w:val="-2"/>
                <w:sz w:val="18"/>
              </w:rPr>
              <w:t>78.7%</w:t>
            </w:r>
          </w:p>
        </w:tc>
      </w:tr>
      <w:tr>
        <w:trPr>
          <w:trHeight w:val="534" w:hRule="atLeast"/>
        </w:trPr>
        <w:tc>
          <w:tcPr>
            <w:tcW w:w="784" w:type="dxa"/>
            <w:tcBorders>
              <w:top w:val="nil"/>
              <w:left w:val="nil"/>
              <w:bottom w:val="nil"/>
            </w:tcBorders>
          </w:tcPr>
          <w:p>
            <w:pPr>
              <w:pStyle w:val="TableParagraph"/>
              <w:spacing w:line="267" w:lineRule="exact"/>
              <w:ind w:left="49"/>
              <w:rPr>
                <w:sz w:val="22"/>
              </w:rPr>
            </w:pPr>
            <w:r>
              <w:rPr>
                <w:spacing w:val="-4"/>
                <w:sz w:val="22"/>
              </w:rPr>
              <w:t>Form</w:t>
            </w:r>
          </w:p>
          <w:p>
            <w:pPr>
              <w:pStyle w:val="TableParagraph"/>
              <w:spacing w:line="247" w:lineRule="exact"/>
              <w:ind w:left="49"/>
              <w:rPr>
                <w:sz w:val="22"/>
              </w:rPr>
            </w:pPr>
            <w:r>
              <w:rPr>
                <w:w w:val="100"/>
                <w:sz w:val="22"/>
              </w:rPr>
              <w:t>4</w:t>
            </w:r>
          </w:p>
        </w:tc>
        <w:tc>
          <w:tcPr>
            <w:tcW w:w="1219" w:type="dxa"/>
            <w:shd w:val="clear" w:color="auto" w:fill="FFFFCC"/>
          </w:tcPr>
          <w:p>
            <w:pPr>
              <w:pStyle w:val="TableParagraph"/>
              <w:spacing w:before="7"/>
              <w:rPr>
                <w:rFonts w:ascii="Calibri Light"/>
                <w:b w:val="0"/>
                <w:sz w:val="25"/>
              </w:rPr>
            </w:pPr>
          </w:p>
          <w:p>
            <w:pPr>
              <w:pStyle w:val="TableParagraph"/>
              <w:spacing w:line="202" w:lineRule="exact"/>
              <w:ind w:left="105"/>
              <w:rPr>
                <w:rFonts w:ascii="Trebuchet MS"/>
                <w:b/>
                <w:sz w:val="18"/>
              </w:rPr>
            </w:pPr>
            <w:r>
              <w:rPr>
                <w:rFonts w:ascii="Trebuchet MS"/>
                <w:b/>
                <w:sz w:val="18"/>
              </w:rPr>
              <w:t>Year</w:t>
            </w:r>
            <w:r>
              <w:rPr>
                <w:rFonts w:ascii="Trebuchet MS"/>
                <w:b/>
                <w:spacing w:val="-4"/>
                <w:sz w:val="18"/>
              </w:rPr>
              <w:t> </w:t>
            </w:r>
            <w:r>
              <w:rPr>
                <w:rFonts w:ascii="Trebuchet MS"/>
                <w:b/>
                <w:spacing w:val="-5"/>
                <w:sz w:val="18"/>
              </w:rPr>
              <w:t>10</w:t>
            </w:r>
          </w:p>
        </w:tc>
        <w:tc>
          <w:tcPr>
            <w:tcW w:w="1089" w:type="dxa"/>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88.8%</w:t>
            </w:r>
          </w:p>
        </w:tc>
        <w:tc>
          <w:tcPr>
            <w:tcW w:w="1003" w:type="dxa"/>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85.8%</w:t>
            </w:r>
          </w:p>
        </w:tc>
        <w:tc>
          <w:tcPr>
            <w:tcW w:w="1089" w:type="dxa"/>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87.4%</w:t>
            </w:r>
          </w:p>
        </w:tc>
        <w:tc>
          <w:tcPr>
            <w:tcW w:w="1060" w:type="dxa"/>
          </w:tcPr>
          <w:p>
            <w:pPr>
              <w:pStyle w:val="TableParagraph"/>
              <w:spacing w:before="7"/>
              <w:rPr>
                <w:rFonts w:ascii="Calibri Light"/>
                <w:b w:val="0"/>
                <w:sz w:val="25"/>
              </w:rPr>
            </w:pPr>
          </w:p>
          <w:p>
            <w:pPr>
              <w:pStyle w:val="TableParagraph"/>
              <w:spacing w:line="202" w:lineRule="exact"/>
              <w:ind w:right="92"/>
              <w:jc w:val="right"/>
              <w:rPr>
                <w:rFonts w:ascii="Trebuchet MS"/>
                <w:sz w:val="18"/>
              </w:rPr>
            </w:pPr>
            <w:r>
              <w:rPr>
                <w:rFonts w:ascii="Trebuchet MS"/>
                <w:spacing w:val="-2"/>
                <w:sz w:val="18"/>
              </w:rPr>
              <w:t>94.2%</w:t>
            </w:r>
          </w:p>
        </w:tc>
        <w:tc>
          <w:tcPr>
            <w:tcW w:w="1060" w:type="dxa"/>
          </w:tcPr>
          <w:p>
            <w:pPr>
              <w:pStyle w:val="TableParagraph"/>
              <w:spacing w:before="7"/>
              <w:rPr>
                <w:rFonts w:ascii="Calibri Light"/>
                <w:b w:val="0"/>
                <w:sz w:val="25"/>
              </w:rPr>
            </w:pPr>
          </w:p>
          <w:p>
            <w:pPr>
              <w:pStyle w:val="TableParagraph"/>
              <w:spacing w:line="202" w:lineRule="exact"/>
              <w:ind w:right="91"/>
              <w:jc w:val="right"/>
              <w:rPr>
                <w:rFonts w:ascii="Trebuchet MS"/>
                <w:sz w:val="18"/>
              </w:rPr>
            </w:pPr>
            <w:r>
              <w:rPr>
                <w:rFonts w:ascii="Trebuchet MS"/>
                <w:spacing w:val="-2"/>
                <w:sz w:val="18"/>
              </w:rPr>
              <w:t>90.9%</w:t>
            </w:r>
          </w:p>
        </w:tc>
        <w:tc>
          <w:tcPr>
            <w:tcW w:w="1055" w:type="dxa"/>
          </w:tcPr>
          <w:p>
            <w:pPr>
              <w:pStyle w:val="TableParagraph"/>
              <w:spacing w:before="7"/>
              <w:rPr>
                <w:rFonts w:ascii="Calibri Light"/>
                <w:b w:val="0"/>
                <w:sz w:val="25"/>
              </w:rPr>
            </w:pPr>
          </w:p>
          <w:p>
            <w:pPr>
              <w:pStyle w:val="TableParagraph"/>
              <w:spacing w:line="202" w:lineRule="exact"/>
              <w:ind w:right="85"/>
              <w:jc w:val="right"/>
              <w:rPr>
                <w:rFonts w:ascii="Trebuchet MS"/>
                <w:sz w:val="18"/>
              </w:rPr>
            </w:pPr>
            <w:r>
              <w:rPr>
                <w:rFonts w:ascii="Trebuchet MS"/>
                <w:spacing w:val="-2"/>
                <w:sz w:val="18"/>
              </w:rPr>
              <w:t>92.6%</w:t>
            </w:r>
          </w:p>
        </w:tc>
        <w:tc>
          <w:tcPr>
            <w:tcW w:w="1060" w:type="dxa"/>
          </w:tcPr>
          <w:p>
            <w:pPr>
              <w:pStyle w:val="TableParagraph"/>
              <w:spacing w:before="7"/>
              <w:rPr>
                <w:rFonts w:ascii="Calibri Light"/>
                <w:b w:val="0"/>
                <w:sz w:val="25"/>
              </w:rPr>
            </w:pPr>
          </w:p>
          <w:p>
            <w:pPr>
              <w:pStyle w:val="TableParagraph"/>
              <w:spacing w:line="202" w:lineRule="exact"/>
              <w:ind w:right="84"/>
              <w:jc w:val="right"/>
              <w:rPr>
                <w:rFonts w:ascii="Trebuchet MS"/>
                <w:sz w:val="18"/>
              </w:rPr>
            </w:pPr>
            <w:r>
              <w:rPr>
                <w:rFonts w:ascii="Trebuchet MS"/>
                <w:spacing w:val="-2"/>
                <w:sz w:val="18"/>
              </w:rPr>
              <w:t>92.4%</w:t>
            </w:r>
          </w:p>
        </w:tc>
        <w:tc>
          <w:tcPr>
            <w:tcW w:w="1060" w:type="dxa"/>
          </w:tcPr>
          <w:p>
            <w:pPr>
              <w:pStyle w:val="TableParagraph"/>
              <w:spacing w:before="7"/>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88.0%</w:t>
            </w:r>
          </w:p>
        </w:tc>
        <w:tc>
          <w:tcPr>
            <w:tcW w:w="1060" w:type="dxa"/>
          </w:tcPr>
          <w:p>
            <w:pPr>
              <w:pStyle w:val="TableParagraph"/>
              <w:spacing w:before="7"/>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90.3%</w:t>
            </w:r>
          </w:p>
        </w:tc>
        <w:tc>
          <w:tcPr>
            <w:tcW w:w="1060" w:type="dxa"/>
          </w:tcPr>
          <w:p>
            <w:pPr>
              <w:pStyle w:val="TableParagraph"/>
              <w:spacing w:before="7"/>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92.0%</w:t>
            </w:r>
          </w:p>
        </w:tc>
        <w:tc>
          <w:tcPr>
            <w:tcW w:w="1060" w:type="dxa"/>
          </w:tcPr>
          <w:p>
            <w:pPr>
              <w:pStyle w:val="TableParagraph"/>
              <w:spacing w:before="7"/>
              <w:rPr>
                <w:rFonts w:ascii="Calibri Light"/>
                <w:b w:val="0"/>
                <w:sz w:val="25"/>
              </w:rPr>
            </w:pPr>
          </w:p>
          <w:p>
            <w:pPr>
              <w:pStyle w:val="TableParagraph"/>
              <w:spacing w:line="202" w:lineRule="exact"/>
              <w:ind w:right="86"/>
              <w:jc w:val="right"/>
              <w:rPr>
                <w:rFonts w:ascii="Trebuchet MS"/>
                <w:sz w:val="18"/>
              </w:rPr>
            </w:pPr>
            <w:r>
              <w:rPr>
                <w:rFonts w:ascii="Trebuchet MS"/>
                <w:spacing w:val="-2"/>
                <w:sz w:val="18"/>
              </w:rPr>
              <w:t>89.4%</w:t>
            </w:r>
          </w:p>
        </w:tc>
        <w:tc>
          <w:tcPr>
            <w:tcW w:w="1055" w:type="dxa"/>
            <w:shd w:val="clear" w:color="auto" w:fill="FFFFCC"/>
          </w:tcPr>
          <w:p>
            <w:pPr>
              <w:pStyle w:val="TableParagraph"/>
              <w:spacing w:before="7"/>
              <w:rPr>
                <w:rFonts w:ascii="Calibri Light"/>
                <w:b w:val="0"/>
                <w:sz w:val="25"/>
              </w:rPr>
            </w:pPr>
          </w:p>
          <w:p>
            <w:pPr>
              <w:pStyle w:val="TableParagraph"/>
              <w:spacing w:line="202" w:lineRule="exact"/>
              <w:ind w:right="80"/>
              <w:jc w:val="right"/>
              <w:rPr>
                <w:rFonts w:ascii="Trebuchet MS"/>
                <w:sz w:val="18"/>
              </w:rPr>
            </w:pPr>
            <w:r>
              <w:rPr>
                <w:rFonts w:ascii="Trebuchet MS"/>
                <w:spacing w:val="-2"/>
                <w:sz w:val="18"/>
              </w:rPr>
              <w:t>90.7%</w:t>
            </w:r>
          </w:p>
        </w:tc>
      </w:tr>
      <w:tr>
        <w:trPr>
          <w:trHeight w:val="537" w:hRule="atLeast"/>
        </w:trPr>
        <w:tc>
          <w:tcPr>
            <w:tcW w:w="784" w:type="dxa"/>
            <w:tcBorders>
              <w:top w:val="nil"/>
              <w:left w:val="nil"/>
              <w:bottom w:val="nil"/>
            </w:tcBorders>
          </w:tcPr>
          <w:p>
            <w:pPr>
              <w:pStyle w:val="TableParagraph"/>
              <w:spacing w:line="270" w:lineRule="atLeast"/>
              <w:ind w:left="49" w:right="194"/>
              <w:rPr>
                <w:sz w:val="22"/>
              </w:rPr>
            </w:pPr>
            <w:r>
              <w:rPr>
                <w:spacing w:val="-4"/>
                <w:sz w:val="22"/>
              </w:rPr>
              <w:t>Form </w:t>
            </w:r>
            <w:r>
              <w:rPr>
                <w:spacing w:val="-10"/>
                <w:sz w:val="22"/>
              </w:rPr>
              <w:t>5</w:t>
            </w:r>
          </w:p>
        </w:tc>
        <w:tc>
          <w:tcPr>
            <w:tcW w:w="1219" w:type="dxa"/>
            <w:shd w:val="clear" w:color="auto" w:fill="9BC2E6"/>
          </w:tcPr>
          <w:p>
            <w:pPr>
              <w:pStyle w:val="TableParagraph"/>
              <w:spacing w:before="10"/>
              <w:rPr>
                <w:rFonts w:ascii="Calibri Light"/>
                <w:b w:val="0"/>
                <w:sz w:val="25"/>
              </w:rPr>
            </w:pPr>
          </w:p>
          <w:p>
            <w:pPr>
              <w:pStyle w:val="TableParagraph"/>
              <w:spacing w:line="202" w:lineRule="exact"/>
              <w:ind w:left="105"/>
              <w:rPr>
                <w:rFonts w:ascii="Trebuchet MS"/>
                <w:b/>
                <w:sz w:val="18"/>
              </w:rPr>
            </w:pPr>
            <w:r>
              <w:rPr>
                <w:rFonts w:ascii="Trebuchet MS"/>
                <w:b/>
                <w:sz w:val="18"/>
              </w:rPr>
              <w:t>Year</w:t>
            </w:r>
            <w:r>
              <w:rPr>
                <w:rFonts w:ascii="Trebuchet MS"/>
                <w:b/>
                <w:spacing w:val="-4"/>
                <w:sz w:val="18"/>
              </w:rPr>
              <w:t> </w:t>
            </w:r>
            <w:r>
              <w:rPr>
                <w:rFonts w:ascii="Trebuchet MS"/>
                <w:b/>
                <w:spacing w:val="-5"/>
                <w:sz w:val="18"/>
              </w:rPr>
              <w:t>11</w:t>
            </w:r>
          </w:p>
        </w:tc>
        <w:tc>
          <w:tcPr>
            <w:tcW w:w="1089" w:type="dxa"/>
            <w:shd w:val="clear" w:color="auto" w:fill="9BC2E6"/>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56.7%</w:t>
            </w:r>
          </w:p>
        </w:tc>
        <w:tc>
          <w:tcPr>
            <w:tcW w:w="1003" w:type="dxa"/>
            <w:shd w:val="clear" w:color="auto" w:fill="9BC2E6"/>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54.8%</w:t>
            </w:r>
          </w:p>
        </w:tc>
        <w:tc>
          <w:tcPr>
            <w:tcW w:w="1089" w:type="dxa"/>
            <w:shd w:val="clear" w:color="auto" w:fill="9BC2E6"/>
          </w:tcPr>
          <w:p>
            <w:pPr>
              <w:pStyle w:val="TableParagraph"/>
              <w:spacing w:before="10"/>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55.8%</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92"/>
              <w:jc w:val="right"/>
              <w:rPr>
                <w:rFonts w:ascii="Trebuchet MS"/>
                <w:sz w:val="18"/>
              </w:rPr>
            </w:pPr>
            <w:r>
              <w:rPr>
                <w:rFonts w:ascii="Trebuchet MS"/>
                <w:spacing w:val="-2"/>
                <w:sz w:val="18"/>
              </w:rPr>
              <w:t>60.2%</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91"/>
              <w:jc w:val="right"/>
              <w:rPr>
                <w:rFonts w:ascii="Trebuchet MS"/>
                <w:sz w:val="18"/>
              </w:rPr>
            </w:pPr>
            <w:r>
              <w:rPr>
                <w:rFonts w:ascii="Trebuchet MS"/>
                <w:spacing w:val="-2"/>
                <w:sz w:val="18"/>
              </w:rPr>
              <w:t>61.7%</w:t>
            </w:r>
          </w:p>
        </w:tc>
        <w:tc>
          <w:tcPr>
            <w:tcW w:w="1055" w:type="dxa"/>
            <w:shd w:val="clear" w:color="auto" w:fill="9BC2E6"/>
          </w:tcPr>
          <w:p>
            <w:pPr>
              <w:pStyle w:val="TableParagraph"/>
              <w:spacing w:before="10"/>
              <w:rPr>
                <w:rFonts w:ascii="Calibri Light"/>
                <w:b w:val="0"/>
                <w:sz w:val="25"/>
              </w:rPr>
            </w:pPr>
          </w:p>
          <w:p>
            <w:pPr>
              <w:pStyle w:val="TableParagraph"/>
              <w:spacing w:line="202" w:lineRule="exact"/>
              <w:ind w:right="85"/>
              <w:jc w:val="right"/>
              <w:rPr>
                <w:rFonts w:ascii="Trebuchet MS"/>
                <w:sz w:val="18"/>
              </w:rPr>
            </w:pPr>
            <w:r>
              <w:rPr>
                <w:rFonts w:ascii="Trebuchet MS"/>
                <w:spacing w:val="-2"/>
                <w:sz w:val="18"/>
              </w:rPr>
              <w:t>60.9%</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4"/>
              <w:jc w:val="right"/>
              <w:rPr>
                <w:rFonts w:ascii="Trebuchet MS"/>
                <w:sz w:val="18"/>
              </w:rPr>
            </w:pPr>
            <w:r>
              <w:rPr>
                <w:rFonts w:ascii="Trebuchet MS"/>
                <w:spacing w:val="-2"/>
                <w:sz w:val="18"/>
              </w:rPr>
              <w:t>60.7%</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56.9%</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58.9%</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61.2%</w:t>
            </w:r>
          </w:p>
        </w:tc>
        <w:tc>
          <w:tcPr>
            <w:tcW w:w="1060" w:type="dxa"/>
            <w:shd w:val="clear" w:color="auto" w:fill="9BC2E6"/>
          </w:tcPr>
          <w:p>
            <w:pPr>
              <w:pStyle w:val="TableParagraph"/>
              <w:spacing w:before="10"/>
              <w:rPr>
                <w:rFonts w:ascii="Calibri Light"/>
                <w:b w:val="0"/>
                <w:sz w:val="25"/>
              </w:rPr>
            </w:pPr>
          </w:p>
          <w:p>
            <w:pPr>
              <w:pStyle w:val="TableParagraph"/>
              <w:spacing w:line="202" w:lineRule="exact"/>
              <w:ind w:right="86"/>
              <w:jc w:val="right"/>
              <w:rPr>
                <w:rFonts w:ascii="Trebuchet MS"/>
                <w:sz w:val="18"/>
              </w:rPr>
            </w:pPr>
            <w:r>
              <w:rPr>
                <w:rFonts w:ascii="Trebuchet MS"/>
                <w:spacing w:val="-2"/>
                <w:sz w:val="18"/>
              </w:rPr>
              <w:t>58.4%</w:t>
            </w:r>
          </w:p>
        </w:tc>
        <w:tc>
          <w:tcPr>
            <w:tcW w:w="1055" w:type="dxa"/>
            <w:shd w:val="clear" w:color="auto" w:fill="9BC2E6"/>
          </w:tcPr>
          <w:p>
            <w:pPr>
              <w:pStyle w:val="TableParagraph"/>
              <w:spacing w:before="10"/>
              <w:rPr>
                <w:rFonts w:ascii="Calibri Light"/>
                <w:b w:val="0"/>
                <w:sz w:val="25"/>
              </w:rPr>
            </w:pPr>
          </w:p>
          <w:p>
            <w:pPr>
              <w:pStyle w:val="TableParagraph"/>
              <w:spacing w:line="202" w:lineRule="exact"/>
              <w:ind w:right="80"/>
              <w:jc w:val="right"/>
              <w:rPr>
                <w:rFonts w:ascii="Trebuchet MS"/>
                <w:sz w:val="18"/>
              </w:rPr>
            </w:pPr>
            <w:r>
              <w:rPr>
                <w:rFonts w:ascii="Trebuchet MS"/>
                <w:spacing w:val="-2"/>
                <w:sz w:val="18"/>
              </w:rPr>
              <w:t>59.9%</w:t>
            </w:r>
          </w:p>
        </w:tc>
      </w:tr>
      <w:tr>
        <w:trPr>
          <w:trHeight w:val="534" w:hRule="atLeast"/>
        </w:trPr>
        <w:tc>
          <w:tcPr>
            <w:tcW w:w="784" w:type="dxa"/>
            <w:tcBorders>
              <w:top w:val="nil"/>
              <w:left w:val="nil"/>
              <w:bottom w:val="nil"/>
            </w:tcBorders>
          </w:tcPr>
          <w:p>
            <w:pPr>
              <w:pStyle w:val="TableParagraph"/>
              <w:spacing w:line="267" w:lineRule="exact"/>
              <w:ind w:left="49"/>
              <w:rPr>
                <w:sz w:val="22"/>
              </w:rPr>
            </w:pPr>
            <w:r>
              <w:rPr>
                <w:spacing w:val="-4"/>
                <w:sz w:val="22"/>
              </w:rPr>
              <w:t>Form</w:t>
            </w:r>
          </w:p>
          <w:p>
            <w:pPr>
              <w:pStyle w:val="TableParagraph"/>
              <w:spacing w:line="247" w:lineRule="exact"/>
              <w:ind w:left="49"/>
              <w:rPr>
                <w:sz w:val="22"/>
              </w:rPr>
            </w:pPr>
            <w:r>
              <w:rPr>
                <w:w w:val="100"/>
                <w:sz w:val="22"/>
              </w:rPr>
              <w:t>6</w:t>
            </w:r>
          </w:p>
        </w:tc>
        <w:tc>
          <w:tcPr>
            <w:tcW w:w="1219" w:type="dxa"/>
            <w:shd w:val="clear" w:color="auto" w:fill="9BC2E6"/>
          </w:tcPr>
          <w:p>
            <w:pPr>
              <w:pStyle w:val="TableParagraph"/>
              <w:spacing w:before="7"/>
              <w:rPr>
                <w:rFonts w:ascii="Calibri Light"/>
                <w:b w:val="0"/>
                <w:sz w:val="25"/>
              </w:rPr>
            </w:pPr>
          </w:p>
          <w:p>
            <w:pPr>
              <w:pStyle w:val="TableParagraph"/>
              <w:spacing w:line="202" w:lineRule="exact"/>
              <w:ind w:left="105"/>
              <w:rPr>
                <w:rFonts w:ascii="Trebuchet MS"/>
                <w:b/>
                <w:sz w:val="18"/>
              </w:rPr>
            </w:pPr>
            <w:r>
              <w:rPr>
                <w:rFonts w:ascii="Trebuchet MS"/>
                <w:b/>
                <w:sz w:val="18"/>
              </w:rPr>
              <w:t>Year</w:t>
            </w:r>
            <w:r>
              <w:rPr>
                <w:rFonts w:ascii="Trebuchet MS"/>
                <w:b/>
                <w:spacing w:val="-4"/>
                <w:sz w:val="18"/>
              </w:rPr>
              <w:t> </w:t>
            </w:r>
            <w:r>
              <w:rPr>
                <w:rFonts w:ascii="Trebuchet MS"/>
                <w:b/>
                <w:spacing w:val="-5"/>
                <w:sz w:val="18"/>
              </w:rPr>
              <w:t>12</w:t>
            </w:r>
          </w:p>
        </w:tc>
        <w:tc>
          <w:tcPr>
            <w:tcW w:w="1089" w:type="dxa"/>
            <w:shd w:val="clear" w:color="auto" w:fill="9BC2E6"/>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29.3%</w:t>
            </w:r>
          </w:p>
        </w:tc>
        <w:tc>
          <w:tcPr>
            <w:tcW w:w="1003" w:type="dxa"/>
            <w:shd w:val="clear" w:color="auto" w:fill="9BC2E6"/>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26.4%</w:t>
            </w:r>
          </w:p>
        </w:tc>
        <w:tc>
          <w:tcPr>
            <w:tcW w:w="1089" w:type="dxa"/>
            <w:shd w:val="clear" w:color="auto" w:fill="9BC2E6"/>
          </w:tcPr>
          <w:p>
            <w:pPr>
              <w:pStyle w:val="TableParagraph"/>
              <w:spacing w:before="7"/>
              <w:rPr>
                <w:rFonts w:ascii="Calibri Light"/>
                <w:b w:val="0"/>
                <w:sz w:val="25"/>
              </w:rPr>
            </w:pPr>
          </w:p>
          <w:p>
            <w:pPr>
              <w:pStyle w:val="TableParagraph"/>
              <w:spacing w:line="202" w:lineRule="exact"/>
              <w:ind w:right="88"/>
              <w:jc w:val="right"/>
              <w:rPr>
                <w:rFonts w:ascii="Trebuchet MS"/>
                <w:sz w:val="18"/>
              </w:rPr>
            </w:pPr>
            <w:r>
              <w:rPr>
                <w:rFonts w:ascii="Trebuchet MS"/>
                <w:spacing w:val="-2"/>
                <w:sz w:val="18"/>
              </w:rPr>
              <w:t>28.1%</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92"/>
              <w:jc w:val="right"/>
              <w:rPr>
                <w:rFonts w:ascii="Trebuchet MS"/>
                <w:sz w:val="18"/>
              </w:rPr>
            </w:pPr>
            <w:r>
              <w:rPr>
                <w:rFonts w:ascii="Trebuchet MS"/>
                <w:spacing w:val="-2"/>
                <w:sz w:val="18"/>
              </w:rPr>
              <w:t>23.5%</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91"/>
              <w:jc w:val="right"/>
              <w:rPr>
                <w:rFonts w:ascii="Trebuchet MS"/>
                <w:sz w:val="18"/>
              </w:rPr>
            </w:pPr>
            <w:r>
              <w:rPr>
                <w:rFonts w:ascii="Trebuchet MS"/>
                <w:spacing w:val="-2"/>
                <w:sz w:val="18"/>
              </w:rPr>
              <w:t>23.3%</w:t>
            </w:r>
          </w:p>
        </w:tc>
        <w:tc>
          <w:tcPr>
            <w:tcW w:w="1055" w:type="dxa"/>
            <w:shd w:val="clear" w:color="auto" w:fill="9BC2E6"/>
          </w:tcPr>
          <w:p>
            <w:pPr>
              <w:pStyle w:val="TableParagraph"/>
              <w:spacing w:before="7"/>
              <w:rPr>
                <w:rFonts w:ascii="Calibri Light"/>
                <w:b w:val="0"/>
                <w:sz w:val="25"/>
              </w:rPr>
            </w:pPr>
          </w:p>
          <w:p>
            <w:pPr>
              <w:pStyle w:val="TableParagraph"/>
              <w:spacing w:line="202" w:lineRule="exact"/>
              <w:ind w:right="85"/>
              <w:jc w:val="right"/>
              <w:rPr>
                <w:rFonts w:ascii="Trebuchet MS"/>
                <w:sz w:val="18"/>
              </w:rPr>
            </w:pPr>
            <w:r>
              <w:rPr>
                <w:rFonts w:ascii="Trebuchet MS"/>
                <w:spacing w:val="-2"/>
                <w:sz w:val="18"/>
              </w:rPr>
              <w:t>23.4%</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84"/>
              <w:jc w:val="right"/>
              <w:rPr>
                <w:rFonts w:ascii="Trebuchet MS"/>
                <w:sz w:val="18"/>
              </w:rPr>
            </w:pPr>
            <w:r>
              <w:rPr>
                <w:rFonts w:ascii="Trebuchet MS"/>
                <w:spacing w:val="-2"/>
                <w:sz w:val="18"/>
              </w:rPr>
              <w:t>24.3%</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23.3%</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83"/>
              <w:jc w:val="right"/>
              <w:rPr>
                <w:rFonts w:ascii="Trebuchet MS"/>
                <w:sz w:val="18"/>
              </w:rPr>
            </w:pPr>
            <w:r>
              <w:rPr>
                <w:rFonts w:ascii="Trebuchet MS"/>
                <w:spacing w:val="-2"/>
                <w:sz w:val="18"/>
              </w:rPr>
              <w:t>23.8%</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87"/>
              <w:jc w:val="right"/>
              <w:rPr>
                <w:rFonts w:ascii="Trebuchet MS"/>
                <w:sz w:val="18"/>
              </w:rPr>
            </w:pPr>
            <w:r>
              <w:rPr>
                <w:rFonts w:ascii="Trebuchet MS"/>
                <w:spacing w:val="-2"/>
                <w:sz w:val="18"/>
              </w:rPr>
              <w:t>24.1%</w:t>
            </w:r>
          </w:p>
        </w:tc>
        <w:tc>
          <w:tcPr>
            <w:tcW w:w="1060" w:type="dxa"/>
            <w:shd w:val="clear" w:color="auto" w:fill="9BC2E6"/>
          </w:tcPr>
          <w:p>
            <w:pPr>
              <w:pStyle w:val="TableParagraph"/>
              <w:spacing w:before="7"/>
              <w:rPr>
                <w:rFonts w:ascii="Calibri Light"/>
                <w:b w:val="0"/>
                <w:sz w:val="25"/>
              </w:rPr>
            </w:pPr>
          </w:p>
          <w:p>
            <w:pPr>
              <w:pStyle w:val="TableParagraph"/>
              <w:spacing w:line="202" w:lineRule="exact"/>
              <w:ind w:right="86"/>
              <w:jc w:val="right"/>
              <w:rPr>
                <w:rFonts w:ascii="Trebuchet MS"/>
                <w:sz w:val="18"/>
              </w:rPr>
            </w:pPr>
            <w:r>
              <w:rPr>
                <w:rFonts w:ascii="Trebuchet MS"/>
                <w:spacing w:val="-2"/>
                <w:sz w:val="18"/>
              </w:rPr>
              <w:t>21.0%</w:t>
            </w:r>
          </w:p>
        </w:tc>
        <w:tc>
          <w:tcPr>
            <w:tcW w:w="1055" w:type="dxa"/>
            <w:shd w:val="clear" w:color="auto" w:fill="9BC2E6"/>
          </w:tcPr>
          <w:p>
            <w:pPr>
              <w:pStyle w:val="TableParagraph"/>
              <w:spacing w:before="7"/>
              <w:rPr>
                <w:rFonts w:ascii="Calibri Light"/>
                <w:b w:val="0"/>
                <w:sz w:val="25"/>
              </w:rPr>
            </w:pPr>
          </w:p>
          <w:p>
            <w:pPr>
              <w:pStyle w:val="TableParagraph"/>
              <w:spacing w:line="202" w:lineRule="exact"/>
              <w:ind w:right="80"/>
              <w:jc w:val="right"/>
              <w:rPr>
                <w:rFonts w:ascii="Trebuchet MS"/>
                <w:sz w:val="18"/>
              </w:rPr>
            </w:pPr>
            <w:r>
              <w:rPr>
                <w:rFonts w:ascii="Trebuchet MS"/>
                <w:spacing w:val="-2"/>
                <w:sz w:val="18"/>
              </w:rPr>
              <w:t>22.8%</w:t>
            </w:r>
          </w:p>
        </w:tc>
      </w:tr>
    </w:tbl>
    <w:sectPr>
      <w:headerReference w:type="default" r:id="rId35"/>
      <w:footerReference w:type="default" r:id="rId36"/>
      <w:pgSz w:w="16840" w:h="11900" w:orient="landscape"/>
      <w:pgMar w:header="0" w:footer="729" w:top="660" w:bottom="920" w:left="134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Trebuchet MS">
    <w:altName w:val="Trebuchet MS"/>
    <w:charset w:val="0"/>
    <w:family w:val="swiss"/>
    <w:pitch w:val="variable"/>
  </w:font>
  <w:font w:name="Calibri">
    <w:altName w:val="Calibri"/>
    <w:charset w:val="0"/>
    <w:family w:val="swiss"/>
    <w:pitch w:val="variable"/>
  </w:font>
  <w:font w:name="Symbol">
    <w:altName w:val="Symbol"/>
    <w:charset w:val="2"/>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6001pt;margin-top:794.47998pt;width:14.25pt;height:13.05pt;mso-position-horizontal-relative:page;mso-position-vertical-relative:page;z-index:-17797120" type="#_x0000_t202" id="docshape2"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 roman </w:instrText>
                </w:r>
                <w:r>
                  <w:rPr>
                    <w:rFonts w:ascii="Calibri Light"/>
                    <w:b w:val="0"/>
                    <w:spacing w:val="-5"/>
                  </w:rPr>
                  <w:fldChar w:fldCharType="separate"/>
                </w:r>
                <w:r>
                  <w:rPr>
                    <w:rFonts w:ascii="Calibri Light"/>
                    <w:b w:val="0"/>
                    <w:spacing w:val="-5"/>
                  </w:rPr>
                  <w:t>iii</w:t>
                </w:r>
                <w:r>
                  <w:rPr>
                    <w:rFonts w:ascii="Calibri Light"/>
                    <w:b w:val="0"/>
                    <w:spacing w:val="-5"/>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920013pt;margin-top:794.47998pt;width:18.05pt;height:13.05pt;mso-position-horizontal-relative:page;mso-position-vertical-relative:page;z-index:-17786368" type="#_x0000_t202" id="docshape37"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30</w:t>
                </w:r>
                <w:r>
                  <w:rPr>
                    <w:rFonts w:ascii="Calibri Light"/>
                    <w:b w:val="0"/>
                    <w:spacing w:val="-5"/>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94.47998pt;width:51.75pt;height:13.05pt;mso-position-horizontal-relative:page;mso-position-vertical-relative:page;z-index:-17785344" type="#_x0000_t202" id="docshape39" filled="false" stroked="false">
          <v:textbox inset="0,0,0,0">
            <w:txbxContent>
              <w:p>
                <w:pPr>
                  <w:pStyle w:val="BodyText"/>
                  <w:spacing w:line="245" w:lineRule="exact"/>
                  <w:ind w:left="20"/>
                  <w:rPr>
                    <w:rFonts w:ascii="Calibri Light"/>
                    <w:b w:val="0"/>
                  </w:rPr>
                </w:pPr>
                <w:r>
                  <w:rPr>
                    <w:rFonts w:ascii="Calibri Light"/>
                    <w:b w:val="0"/>
                  </w:rPr>
                  <w:t>Appendix</w:t>
                </w:r>
                <w:r>
                  <w:rPr>
                    <w:rFonts w:ascii="Calibri Light"/>
                    <w:b w:val="0"/>
                    <w:spacing w:val="-4"/>
                  </w:rPr>
                  <w:t> </w:t>
                </w:r>
                <w:r>
                  <w:rPr>
                    <w:rFonts w:ascii="Calibri Light"/>
                    <w:b w:val="0"/>
                    <w:spacing w:val="-10"/>
                  </w:rPr>
                  <w:t>4</w:t>
                </w:r>
              </w:p>
            </w:txbxContent>
          </v:textbox>
          <w10:wrap type="none"/>
        </v:shape>
      </w:pict>
    </w:r>
    <w:r>
      <w:rPr/>
      <w:pict>
        <v:shape style="position:absolute;margin-left:508.920013pt;margin-top:794.47998pt;width:18.05pt;height:13.05pt;mso-position-horizontal-relative:page;mso-position-vertical-relative:page;z-index:-17784832" type="#_x0000_t202" id="docshape40"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31</w:t>
                </w:r>
                <w:r>
                  <w:rPr>
                    <w:rFonts w:ascii="Calibri Light"/>
                    <w:b w:val="0"/>
                    <w:spacing w:val="-5"/>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920013pt;margin-top:794.47998pt;width:18.05pt;height:13.05pt;mso-position-horizontal-relative:page;mso-position-vertical-relative:page;z-index:-17783808" type="#_x0000_t202" id="docshape42"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32</w:t>
                </w:r>
                <w:r>
                  <w:rPr>
                    <w:rFonts w:ascii="Calibri Light"/>
                    <w:b w:val="0"/>
                    <w:spacing w:val="-5"/>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47.520020pt;width:51.75pt;height:13.05pt;mso-position-horizontal-relative:page;mso-position-vertical-relative:page;z-index:-17783296" type="#_x0000_t202" id="docshape43" filled="false" stroked="false">
          <v:textbox inset="0,0,0,0">
            <w:txbxContent>
              <w:p>
                <w:pPr>
                  <w:pStyle w:val="BodyText"/>
                  <w:spacing w:line="245" w:lineRule="exact"/>
                  <w:ind w:left="20"/>
                  <w:rPr>
                    <w:rFonts w:ascii="Calibri Light"/>
                    <w:b w:val="0"/>
                  </w:rPr>
                </w:pPr>
                <w:r>
                  <w:rPr>
                    <w:rFonts w:ascii="Calibri Light"/>
                    <w:b w:val="0"/>
                  </w:rPr>
                  <w:t>Appendix</w:t>
                </w:r>
                <w:r>
                  <w:rPr>
                    <w:rFonts w:ascii="Calibri Light"/>
                    <w:b w:val="0"/>
                    <w:spacing w:val="-4"/>
                  </w:rPr>
                  <w:t> </w:t>
                </w:r>
                <w:r>
                  <w:rPr>
                    <w:rFonts w:ascii="Calibri Light"/>
                    <w:b w:val="0"/>
                    <w:spacing w:val="-10"/>
                  </w:rPr>
                  <w:t>5</w:t>
                </w:r>
              </w:p>
            </w:txbxContent>
          </v:textbox>
          <w10:wrap type="none"/>
        </v:shape>
      </w:pict>
    </w:r>
    <w:r>
      <w:rPr/>
      <w:pict>
        <v:shape style="position:absolute;margin-left:745.159973pt;margin-top:547.520020pt;width:13.05pt;height:13.05pt;mso-position-horizontal-relative:page;mso-position-vertical-relative:page;z-index:-17782784" type="#_x0000_t202" id="docshape44" filled="false" stroked="false">
          <v:textbox inset="0,0,0,0">
            <w:txbxContent>
              <w:p>
                <w:pPr>
                  <w:pStyle w:val="BodyText"/>
                  <w:spacing w:line="245" w:lineRule="exact"/>
                  <w:ind w:left="20"/>
                  <w:rPr>
                    <w:rFonts w:ascii="Calibri Light"/>
                    <w:b w:val="0"/>
                  </w:rPr>
                </w:pPr>
                <w:r>
                  <w:rPr>
                    <w:rFonts w:ascii="Calibri Light"/>
                    <w:b w:val="0"/>
                    <w:spacing w:val="-5"/>
                  </w:rPr>
                  <w:t>33</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920013pt;margin-top:794.47998pt;width:13.05pt;height:13.05pt;mso-position-horizontal-relative:page;mso-position-vertical-relative:page;z-index:-17782272" type="#_x0000_t202" id="docshape45" filled="false" stroked="false">
          <v:textbox inset="0,0,0,0">
            <w:txbxContent>
              <w:p>
                <w:pPr>
                  <w:pStyle w:val="BodyText"/>
                  <w:spacing w:line="245" w:lineRule="exact"/>
                  <w:ind w:left="20"/>
                  <w:rPr>
                    <w:rFonts w:ascii="Calibri Light"/>
                    <w:b w:val="0"/>
                  </w:rPr>
                </w:pPr>
                <w:r>
                  <w:rPr>
                    <w:rFonts w:ascii="Calibri Light"/>
                    <w:b w:val="0"/>
                    <w:spacing w:val="-5"/>
                  </w:rPr>
                  <w:t>34</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47.520020pt;width:51.75pt;height:13.05pt;mso-position-horizontal-relative:page;mso-position-vertical-relative:page;z-index:-17781760" type="#_x0000_t202" id="docshape46" filled="false" stroked="false">
          <v:textbox inset="0,0,0,0">
            <w:txbxContent>
              <w:p>
                <w:pPr>
                  <w:pStyle w:val="BodyText"/>
                  <w:spacing w:line="245" w:lineRule="exact"/>
                  <w:ind w:left="20"/>
                  <w:rPr>
                    <w:rFonts w:ascii="Calibri Light"/>
                    <w:b w:val="0"/>
                  </w:rPr>
                </w:pPr>
                <w:r>
                  <w:rPr>
                    <w:rFonts w:ascii="Calibri Light"/>
                    <w:b w:val="0"/>
                  </w:rPr>
                  <w:t>Appendix</w:t>
                </w:r>
                <w:r>
                  <w:rPr>
                    <w:rFonts w:ascii="Calibri Light"/>
                    <w:b w:val="0"/>
                    <w:spacing w:val="-4"/>
                  </w:rPr>
                  <w:t> </w:t>
                </w:r>
                <w:r>
                  <w:rPr>
                    <w:rFonts w:ascii="Calibri Light"/>
                    <w:b w:val="0"/>
                    <w:spacing w:val="-10"/>
                  </w:rPr>
                  <w:t>6</w:t>
                </w:r>
              </w:p>
            </w:txbxContent>
          </v:textbox>
          <w10:wrap type="none"/>
        </v:shape>
      </w:pict>
    </w:r>
    <w:r>
      <w:rPr/>
      <w:pict>
        <v:shape style="position:absolute;margin-left:745.159973pt;margin-top:547.520020pt;width:13.05pt;height:13.05pt;mso-position-horizontal-relative:page;mso-position-vertical-relative:page;z-index:-17781248" type="#_x0000_t202" id="docshape47" filled="false" stroked="false">
          <v:textbox inset="0,0,0,0">
            <w:txbxContent>
              <w:p>
                <w:pPr>
                  <w:pStyle w:val="BodyText"/>
                  <w:spacing w:line="245" w:lineRule="exact"/>
                  <w:ind w:left="20"/>
                  <w:rPr>
                    <w:rFonts w:ascii="Calibri Light"/>
                    <w:b w:val="0"/>
                  </w:rPr>
                </w:pPr>
                <w:r>
                  <w:rPr>
                    <w:rFonts w:ascii="Calibri Light"/>
                    <w:b w:val="0"/>
                    <w:spacing w:val="-5"/>
                  </w:rPr>
                  <w:t>35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508.920013pt;margin-top:769.039978pt;width:18.05pt;height:13.05pt;mso-position-horizontal-relative:page;mso-position-vertical-relative:page;z-index:-17796096" type="#_x0000_t202" id="docshape4"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10</w:t>
                </w:r>
                <w:r>
                  <w:rPr>
                    <w:rFonts w:ascii="Calibri Light"/>
                    <w:b w:val="0"/>
                    <w:spacing w:val="-5"/>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159973pt;margin-top:522.080017pt;width:18.05pt;height:13.05pt;mso-position-horizontal-relative:page;mso-position-vertical-relative:page;z-index:-17795072" type="#_x0000_t202" id="docshape20"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16</w:t>
                </w:r>
                <w:r>
                  <w:rPr>
                    <w:rFonts w:ascii="Calibri Light"/>
                    <w:b w:val="0"/>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920013pt;margin-top:769.039978pt;width:18.05pt;height:13.05pt;mso-position-horizontal-relative:page;mso-position-vertical-relative:page;z-index:-17794048" type="#_x0000_t202" id="docshape22"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20</w:t>
                </w:r>
                <w:r>
                  <w:rPr>
                    <w:rFonts w:ascii="Calibri Light"/>
                    <w:b w:val="0"/>
                    <w:spacing w:val="-5"/>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547.520020pt;width:51.75pt;height:13.05pt;mso-position-horizontal-relative:page;mso-position-vertical-relative:page;z-index:-17793024" type="#_x0000_t202" id="docshape24" filled="false" stroked="false">
          <v:textbox inset="0,0,0,0">
            <w:txbxContent>
              <w:p>
                <w:pPr>
                  <w:pStyle w:val="BodyText"/>
                  <w:spacing w:line="245" w:lineRule="exact"/>
                  <w:ind w:left="20"/>
                  <w:rPr>
                    <w:rFonts w:ascii="Calibri Light"/>
                    <w:b w:val="0"/>
                  </w:rPr>
                </w:pPr>
                <w:r>
                  <w:rPr>
                    <w:rFonts w:ascii="Calibri Light"/>
                    <w:b w:val="0"/>
                  </w:rPr>
                  <w:t>Appendix</w:t>
                </w:r>
                <w:r>
                  <w:rPr>
                    <w:rFonts w:ascii="Calibri Light"/>
                    <w:b w:val="0"/>
                    <w:spacing w:val="-4"/>
                  </w:rPr>
                  <w:t> </w:t>
                </w:r>
                <w:r>
                  <w:rPr>
                    <w:rFonts w:ascii="Calibri Light"/>
                    <w:b w:val="0"/>
                    <w:spacing w:val="-10"/>
                  </w:rPr>
                  <w:t>1</w:t>
                </w:r>
              </w:p>
            </w:txbxContent>
          </v:textbox>
          <w10:wrap type="none"/>
        </v:shape>
      </w:pict>
    </w:r>
    <w:r>
      <w:rPr/>
      <w:pict>
        <v:shape style="position:absolute;margin-left:743.159973pt;margin-top:547.520020pt;width:18.05pt;height:13.05pt;mso-position-horizontal-relative:page;mso-position-vertical-relative:page;z-index:-17792512" type="#_x0000_t202" id="docshape25"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22</w:t>
                </w:r>
                <w:r>
                  <w:rPr>
                    <w:rFonts w:ascii="Calibri Light"/>
                    <w:b w:val="0"/>
                    <w:spacing w:val="-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0.920013pt;margin-top:794.47998pt;width:13.05pt;height:13.05pt;mso-position-horizontal-relative:page;mso-position-vertical-relative:page;z-index:-17791488" type="#_x0000_t202" id="docshape27" filled="false" stroked="false">
          <v:textbox inset="0,0,0,0">
            <w:txbxContent>
              <w:p>
                <w:pPr>
                  <w:pStyle w:val="BodyText"/>
                  <w:spacing w:line="245" w:lineRule="exact"/>
                  <w:ind w:left="20"/>
                  <w:rPr>
                    <w:rFonts w:ascii="Calibri Light"/>
                    <w:b w:val="0"/>
                  </w:rPr>
                </w:pPr>
                <w:r>
                  <w:rPr>
                    <w:rFonts w:ascii="Calibri Light"/>
                    <w:b w:val="0"/>
                    <w:spacing w:val="-5"/>
                  </w:rPr>
                  <w:t>25</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94.47998pt;width:51.75pt;height:13.05pt;mso-position-horizontal-relative:page;mso-position-vertical-relative:page;z-index:-17790464" type="#_x0000_t202" id="docshape29" filled="false" stroked="false">
          <v:textbox inset="0,0,0,0">
            <w:txbxContent>
              <w:p>
                <w:pPr>
                  <w:pStyle w:val="BodyText"/>
                  <w:spacing w:line="245" w:lineRule="exact"/>
                  <w:ind w:left="20"/>
                  <w:rPr>
                    <w:rFonts w:ascii="Calibri Light"/>
                    <w:b w:val="0"/>
                  </w:rPr>
                </w:pPr>
                <w:r>
                  <w:rPr>
                    <w:rFonts w:ascii="Calibri Light"/>
                    <w:b w:val="0"/>
                  </w:rPr>
                  <w:t>Appendix</w:t>
                </w:r>
                <w:r>
                  <w:rPr>
                    <w:rFonts w:ascii="Calibri Light"/>
                    <w:b w:val="0"/>
                    <w:spacing w:val="-4"/>
                  </w:rPr>
                  <w:t> </w:t>
                </w:r>
                <w:r>
                  <w:rPr>
                    <w:rFonts w:ascii="Calibri Light"/>
                    <w:b w:val="0"/>
                    <w:spacing w:val="-10"/>
                  </w:rPr>
                  <w:t>2</w:t>
                </w:r>
              </w:p>
            </w:txbxContent>
          </v:textbox>
          <w10:wrap type="none"/>
        </v:shape>
      </w:pict>
    </w:r>
    <w:r>
      <w:rPr/>
      <w:pict>
        <v:shape style="position:absolute;margin-left:508.920013pt;margin-top:794.47998pt;width:18.05pt;height:13.05pt;mso-position-horizontal-relative:page;mso-position-vertical-relative:page;z-index:-17789952" type="#_x0000_t202" id="docshape30"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26</w:t>
                </w:r>
                <w:r>
                  <w:rPr>
                    <w:rFonts w:ascii="Calibri Light"/>
                    <w:b w:val="0"/>
                    <w:spacing w:val="-5"/>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8.920013pt;margin-top:794.47998pt;width:18.05pt;height:13.05pt;mso-position-horizontal-relative:page;mso-position-vertical-relative:page;z-index:-17788928" type="#_x0000_t202" id="docshape32"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28</w:t>
                </w:r>
                <w:r>
                  <w:rPr>
                    <w:rFonts w:ascii="Calibri Light"/>
                    <w:b w:val="0"/>
                    <w:spacing w:val="-5"/>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794.47998pt;width:51.75pt;height:13.05pt;mso-position-horizontal-relative:page;mso-position-vertical-relative:page;z-index:-17787904" type="#_x0000_t202" id="docshape34" filled="false" stroked="false">
          <v:textbox inset="0,0,0,0">
            <w:txbxContent>
              <w:p>
                <w:pPr>
                  <w:pStyle w:val="BodyText"/>
                  <w:spacing w:line="245" w:lineRule="exact"/>
                  <w:ind w:left="20"/>
                  <w:rPr>
                    <w:rFonts w:ascii="Calibri Light"/>
                    <w:b w:val="0"/>
                  </w:rPr>
                </w:pPr>
                <w:r>
                  <w:rPr>
                    <w:rFonts w:ascii="Calibri Light"/>
                    <w:b w:val="0"/>
                  </w:rPr>
                  <w:t>Appendix</w:t>
                </w:r>
                <w:r>
                  <w:rPr>
                    <w:rFonts w:ascii="Calibri Light"/>
                    <w:b w:val="0"/>
                    <w:spacing w:val="-4"/>
                  </w:rPr>
                  <w:t> </w:t>
                </w:r>
                <w:r>
                  <w:rPr>
                    <w:rFonts w:ascii="Calibri Light"/>
                    <w:b w:val="0"/>
                    <w:spacing w:val="-10"/>
                  </w:rPr>
                  <w:t>3</w:t>
                </w:r>
              </w:p>
            </w:txbxContent>
          </v:textbox>
          <w10:wrap type="none"/>
        </v:shape>
      </w:pict>
    </w:r>
    <w:r>
      <w:rPr/>
      <w:pict>
        <v:shape style="position:absolute;margin-left:508.920013pt;margin-top:794.47998pt;width:18.05pt;height:13.05pt;mso-position-horizontal-relative:page;mso-position-vertical-relative:page;z-index:-17787392" type="#_x0000_t202" id="docshape35" filled="false" stroked="false">
          <v:textbox inset="0,0,0,0">
            <w:txbxContent>
              <w:p>
                <w:pPr>
                  <w:pStyle w:val="BodyText"/>
                  <w:spacing w:line="245" w:lineRule="exact"/>
                  <w:ind w:left="60"/>
                  <w:rPr>
                    <w:rFonts w:ascii="Calibri Light"/>
                    <w:b w:val="0"/>
                  </w:rPr>
                </w:pPr>
                <w:r>
                  <w:rPr>
                    <w:rFonts w:ascii="Calibri Light"/>
                    <w:b w:val="0"/>
                    <w:spacing w:val="-5"/>
                  </w:rPr>
                  <w:fldChar w:fldCharType="begin"/>
                </w:r>
                <w:r>
                  <w:rPr>
                    <w:rFonts w:ascii="Calibri Light"/>
                    <w:b w:val="0"/>
                    <w:spacing w:val="-5"/>
                  </w:rPr>
                  <w:instrText> PAGE </w:instrText>
                </w:r>
                <w:r>
                  <w:rPr>
                    <w:rFonts w:ascii="Calibri Light"/>
                    <w:b w:val="0"/>
                    <w:spacing w:val="-5"/>
                  </w:rPr>
                  <w:fldChar w:fldCharType="separate"/>
                </w:r>
                <w:r>
                  <w:rPr>
                    <w:rFonts w:ascii="Calibri Light"/>
                    <w:b w:val="0"/>
                    <w:spacing w:val="-5"/>
                  </w:rPr>
                  <w:t>29</w:t>
                </w:r>
                <w:r>
                  <w:rPr>
                    <w:rFonts w:ascii="Calibri Light"/>
                    <w:b w:val="0"/>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4.356163pt;margin-top:36.559982pt;width:187.9pt;height:13.05pt;mso-position-horizontal-relative:page;mso-position-vertical-relative:page;z-index:-17797632" type="#_x0000_t202" id="docshape1"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9pt;height:13.05pt;mso-position-horizontal-relative:page;mso-position-vertical-relative:page;z-index:-17786880" type="#_x0000_t202" id="docshape36"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9pt;height:13.05pt;mso-position-horizontal-relative:page;mso-position-vertical-relative:page;z-index:-17785856" type="#_x0000_t202" id="docshape38"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9pt;height:13.05pt;mso-position-horizontal-relative:page;mso-position-vertical-relative:page;z-index:-17784320" type="#_x0000_t202" id="docshape41"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56163pt;margin-top:36.559982pt;width:187.9pt;height:13.05pt;mso-position-horizontal-relative:page;mso-position-vertical-relative:page;z-index:-17796608" type="#_x0000_t202" id="docshape3"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56163pt;margin-top:36.560123pt;width:187.9pt;height:13.05pt;mso-position-horizontal-relative:page;mso-position-vertical-relative:page;z-index:-17795584" type="#_x0000_t202" id="docshape19"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56163pt;margin-top:36.559982pt;width:187.9pt;height:13.05pt;mso-position-horizontal-relative:page;mso-position-vertical-relative:page;z-index:-17794560" type="#_x0000_t202" id="docshape21"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356163pt;margin-top:36.560123pt;width:187.9pt;height:13.05pt;mso-position-horizontal-relative:page;mso-position-vertical-relative:page;z-index:-17793536" type="#_x0000_t202" id="docshape23"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9pt;height:13.05pt;mso-position-horizontal-relative:page;mso-position-vertical-relative:page;z-index:-17792000" type="#_x0000_t202" id="docshape26"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9pt;height:13.05pt;mso-position-horizontal-relative:page;mso-position-vertical-relative:page;z-index:-17790976" type="#_x0000_t202" id="docshape28"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85pt;height:13.05pt;mso-position-horizontal-relative:page;mso-position-vertical-relative:page;z-index:-17789440" type="#_x0000_t202" id="docshape31"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7"/>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pt;margin-top:36.559982pt;width:187.9pt;height:13.05pt;mso-position-horizontal-relative:page;mso-position-vertical-relative:page;z-index:-17788416" type="#_x0000_t202" id="docshape33" filled="false" stroked="false">
          <v:textbox inset="0,0,0,0">
            <w:txbxContent>
              <w:p>
                <w:pPr>
                  <w:pStyle w:val="BodyText"/>
                  <w:spacing w:line="245" w:lineRule="exact"/>
                  <w:ind w:left="20"/>
                  <w:rPr>
                    <w:rFonts w:ascii="Calibri Light"/>
                    <w:b w:val="0"/>
                  </w:rPr>
                </w:pPr>
                <w:r>
                  <w:rPr>
                    <w:rFonts w:ascii="Calibri Light"/>
                    <w:b w:val="0"/>
                    <w:color w:val="4472C4"/>
                    <w:spacing w:val="17"/>
                  </w:rPr>
                  <w:t>Independent</w:t>
                </w:r>
                <w:r>
                  <w:rPr>
                    <w:rFonts w:ascii="Calibri Light"/>
                    <w:b w:val="0"/>
                    <w:color w:val="4472C4"/>
                    <w:spacing w:val="38"/>
                  </w:rPr>
                  <w:t> </w:t>
                </w:r>
                <w:r>
                  <w:rPr>
                    <w:rFonts w:ascii="Calibri Light"/>
                    <w:b w:val="0"/>
                    <w:color w:val="4472C4"/>
                    <w:spacing w:val="17"/>
                  </w:rPr>
                  <w:t>Assessor</w:t>
                </w:r>
                <w:r>
                  <w:rPr>
                    <w:rFonts w:ascii="Calibri Light"/>
                    <w:b w:val="0"/>
                    <w:color w:val="4472C4"/>
                    <w:spacing w:val="39"/>
                  </w:rPr>
                  <w:t> </w:t>
                </w:r>
                <w:r>
                  <w:rPr>
                    <w:rFonts w:ascii="Calibri Light"/>
                    <w:b w:val="0"/>
                    <w:color w:val="4472C4"/>
                    <w:spacing w:val="15"/>
                  </w:rPr>
                  <w:t>Report</w:t>
                </w:r>
                <w:r>
                  <w:rPr>
                    <w:rFonts w:ascii="Calibri Light"/>
                    <w:b w:val="0"/>
                    <w:color w:val="4472C4"/>
                    <w:spacing w:val="44"/>
                  </w:rPr>
                  <w:t> </w:t>
                </w:r>
                <w:r>
                  <w:rPr>
                    <w:rFonts w:ascii="Calibri Light"/>
                    <w:b w:val="0"/>
                    <w:color w:val="4472C4"/>
                    <w:spacing w:val="10"/>
                  </w:rPr>
                  <w:t>2017</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840" w:hanging="361"/>
        <w:jc w:val="left"/>
      </w:pPr>
      <w:rPr>
        <w:rFonts w:hint="default" w:ascii="Verdana" w:hAnsi="Verdana" w:eastAsia="Verdana" w:cs="Verdana"/>
        <w:b w:val="0"/>
        <w:bCs w:val="0"/>
        <w:i w:val="0"/>
        <w:iCs w:val="0"/>
        <w:spacing w:val="0"/>
        <w:w w:val="100"/>
        <w:sz w:val="20"/>
        <w:szCs w:val="20"/>
        <w:lang w:val="en-US" w:eastAsia="en-US" w:bidi="ar-SA"/>
      </w:rPr>
    </w:lvl>
    <w:lvl w:ilvl="1">
      <w:start w:val="0"/>
      <w:numFmt w:val="bullet"/>
      <w:lvlText w:val="•"/>
      <w:lvlJc w:val="left"/>
      <w:pPr>
        <w:ind w:left="1681" w:hanging="361"/>
      </w:pPr>
      <w:rPr>
        <w:rFonts w:hint="default"/>
        <w:lang w:val="en-US" w:eastAsia="en-US" w:bidi="ar-SA"/>
      </w:rPr>
    </w:lvl>
    <w:lvl w:ilvl="2">
      <w:start w:val="0"/>
      <w:numFmt w:val="bullet"/>
      <w:lvlText w:val="•"/>
      <w:lvlJc w:val="left"/>
      <w:pPr>
        <w:ind w:left="2523" w:hanging="361"/>
      </w:pPr>
      <w:rPr>
        <w:rFonts w:hint="default"/>
        <w:lang w:val="en-US" w:eastAsia="en-US" w:bidi="ar-SA"/>
      </w:rPr>
    </w:lvl>
    <w:lvl w:ilvl="3">
      <w:start w:val="0"/>
      <w:numFmt w:val="bullet"/>
      <w:lvlText w:val="•"/>
      <w:lvlJc w:val="left"/>
      <w:pPr>
        <w:ind w:left="3365" w:hanging="361"/>
      </w:pPr>
      <w:rPr>
        <w:rFonts w:hint="default"/>
        <w:lang w:val="en-US" w:eastAsia="en-US" w:bidi="ar-SA"/>
      </w:rPr>
    </w:lvl>
    <w:lvl w:ilvl="4">
      <w:start w:val="0"/>
      <w:numFmt w:val="bullet"/>
      <w:lvlText w:val="•"/>
      <w:lvlJc w:val="left"/>
      <w:pPr>
        <w:ind w:left="4207" w:hanging="361"/>
      </w:pPr>
      <w:rPr>
        <w:rFonts w:hint="default"/>
        <w:lang w:val="en-US" w:eastAsia="en-US" w:bidi="ar-SA"/>
      </w:rPr>
    </w:lvl>
    <w:lvl w:ilvl="5">
      <w:start w:val="0"/>
      <w:numFmt w:val="bullet"/>
      <w:lvlText w:val="•"/>
      <w:lvlJc w:val="left"/>
      <w:pPr>
        <w:ind w:left="5049" w:hanging="361"/>
      </w:pPr>
      <w:rPr>
        <w:rFonts w:hint="default"/>
        <w:lang w:val="en-US" w:eastAsia="en-US" w:bidi="ar-SA"/>
      </w:rPr>
    </w:lvl>
    <w:lvl w:ilvl="6">
      <w:start w:val="0"/>
      <w:numFmt w:val="bullet"/>
      <w:lvlText w:val="•"/>
      <w:lvlJc w:val="left"/>
      <w:pPr>
        <w:ind w:left="5891" w:hanging="361"/>
      </w:pPr>
      <w:rPr>
        <w:rFonts w:hint="default"/>
        <w:lang w:val="en-US" w:eastAsia="en-US" w:bidi="ar-SA"/>
      </w:rPr>
    </w:lvl>
    <w:lvl w:ilvl="7">
      <w:start w:val="0"/>
      <w:numFmt w:val="bullet"/>
      <w:lvlText w:val="•"/>
      <w:lvlJc w:val="left"/>
      <w:pPr>
        <w:ind w:left="6733" w:hanging="361"/>
      </w:pPr>
      <w:rPr>
        <w:rFonts w:hint="default"/>
        <w:lang w:val="en-US" w:eastAsia="en-US" w:bidi="ar-SA"/>
      </w:rPr>
    </w:lvl>
    <w:lvl w:ilvl="8">
      <w:start w:val="0"/>
      <w:numFmt w:val="bullet"/>
      <w:lvlText w:val="•"/>
      <w:lvlJc w:val="left"/>
      <w:pPr>
        <w:ind w:left="7575" w:hanging="361"/>
      </w:pPr>
      <w:rPr>
        <w:rFonts w:hint="default"/>
        <w:lang w:val="en-US" w:eastAsia="en-US" w:bidi="ar-SA"/>
      </w:rPr>
    </w:lvl>
  </w:abstractNum>
  <w:abstractNum w:abstractNumId="40">
    <w:multiLevelType w:val="hybridMultilevel"/>
    <w:lvl w:ilvl="0">
      <w:start w:val="5"/>
      <w:numFmt w:val="decimal"/>
      <w:lvlText w:val="%1."/>
      <w:lvlJc w:val="left"/>
      <w:pPr>
        <w:ind w:left="432" w:hanging="312"/>
        <w:jc w:val="left"/>
      </w:pPr>
      <w:rPr>
        <w:rFonts w:hint="default" w:ascii="Verdana" w:hAnsi="Verdana" w:eastAsia="Verdana" w:cs="Verdana"/>
        <w:b/>
        <w:bCs/>
        <w:i w:val="0"/>
        <w:iCs w:val="0"/>
        <w:spacing w:val="0"/>
        <w:w w:val="100"/>
        <w:sz w:val="22"/>
        <w:szCs w:val="22"/>
        <w:lang w:val="en-US" w:eastAsia="en-US" w:bidi="ar-SA"/>
      </w:rPr>
    </w:lvl>
    <w:lvl w:ilvl="1">
      <w:start w:val="1"/>
      <w:numFmt w:val="lowerLetter"/>
      <w:lvlText w:val="%2)"/>
      <w:lvlJc w:val="left"/>
      <w:pPr>
        <w:ind w:left="1123" w:hanging="284"/>
        <w:jc w:val="left"/>
      </w:pPr>
      <w:rPr>
        <w:rFonts w:hint="default" w:ascii="Verdana" w:hAnsi="Verdana" w:eastAsia="Verdana" w:cs="Verdana"/>
        <w:b w:val="0"/>
        <w:bCs w:val="0"/>
        <w:i w:val="0"/>
        <w:iCs w:val="0"/>
        <w:spacing w:val="-2"/>
        <w:w w:val="100"/>
        <w:sz w:val="20"/>
        <w:szCs w:val="20"/>
        <w:lang w:val="en-US" w:eastAsia="en-US" w:bidi="ar-SA"/>
      </w:rPr>
    </w:lvl>
    <w:lvl w:ilvl="2">
      <w:start w:val="0"/>
      <w:numFmt w:val="bullet"/>
      <w:lvlText w:val=""/>
      <w:lvlJc w:val="left"/>
      <w:pPr>
        <w:ind w:left="1636" w:hanging="360"/>
      </w:pPr>
      <w:rPr>
        <w:rFonts w:hint="default" w:ascii="Symbol" w:hAnsi="Symbol" w:eastAsia="Symbol" w:cs="Symbol"/>
        <w:b w:val="0"/>
        <w:bCs w:val="0"/>
        <w:i w:val="0"/>
        <w:iCs w:val="0"/>
        <w:w w:val="100"/>
        <w:sz w:val="20"/>
        <w:szCs w:val="20"/>
        <w:lang w:val="en-US" w:eastAsia="en-US" w:bidi="ar-SA"/>
      </w:rPr>
    </w:lvl>
    <w:lvl w:ilvl="3">
      <w:start w:val="0"/>
      <w:numFmt w:val="bullet"/>
      <w:lvlText w:val="•"/>
      <w:lvlJc w:val="left"/>
      <w:pPr>
        <w:ind w:left="1640" w:hanging="360"/>
      </w:pPr>
      <w:rPr>
        <w:rFonts w:hint="default"/>
        <w:lang w:val="en-US" w:eastAsia="en-US" w:bidi="ar-SA"/>
      </w:rPr>
    </w:lvl>
    <w:lvl w:ilvl="4">
      <w:start w:val="0"/>
      <w:numFmt w:val="bullet"/>
      <w:lvlText w:val="•"/>
      <w:lvlJc w:val="left"/>
      <w:pPr>
        <w:ind w:left="2728" w:hanging="360"/>
      </w:pPr>
      <w:rPr>
        <w:rFonts w:hint="default"/>
        <w:lang w:val="en-US" w:eastAsia="en-US" w:bidi="ar-SA"/>
      </w:rPr>
    </w:lvl>
    <w:lvl w:ilvl="5">
      <w:start w:val="0"/>
      <w:numFmt w:val="bullet"/>
      <w:lvlText w:val="•"/>
      <w:lvlJc w:val="left"/>
      <w:pPr>
        <w:ind w:left="3816" w:hanging="360"/>
      </w:pPr>
      <w:rPr>
        <w:rFonts w:hint="default"/>
        <w:lang w:val="en-US" w:eastAsia="en-US" w:bidi="ar-SA"/>
      </w:rPr>
    </w:lvl>
    <w:lvl w:ilvl="6">
      <w:start w:val="0"/>
      <w:numFmt w:val="bullet"/>
      <w:lvlText w:val="•"/>
      <w:lvlJc w:val="left"/>
      <w:pPr>
        <w:ind w:left="4905" w:hanging="360"/>
      </w:pPr>
      <w:rPr>
        <w:rFonts w:hint="default"/>
        <w:lang w:val="en-US" w:eastAsia="en-US" w:bidi="ar-SA"/>
      </w:rPr>
    </w:lvl>
    <w:lvl w:ilvl="7">
      <w:start w:val="0"/>
      <w:numFmt w:val="bullet"/>
      <w:lvlText w:val="•"/>
      <w:lvlJc w:val="left"/>
      <w:pPr>
        <w:ind w:left="5993" w:hanging="360"/>
      </w:pPr>
      <w:rPr>
        <w:rFonts w:hint="default"/>
        <w:lang w:val="en-US" w:eastAsia="en-US" w:bidi="ar-SA"/>
      </w:rPr>
    </w:lvl>
    <w:lvl w:ilvl="8">
      <w:start w:val="0"/>
      <w:numFmt w:val="bullet"/>
      <w:lvlText w:val="•"/>
      <w:lvlJc w:val="left"/>
      <w:pPr>
        <w:ind w:left="7082" w:hanging="360"/>
      </w:pPr>
      <w:rPr>
        <w:rFonts w:hint="default"/>
        <w:lang w:val="en-US" w:eastAsia="en-US" w:bidi="ar-SA"/>
      </w:rPr>
    </w:lvl>
  </w:abstractNum>
  <w:abstractNum w:abstractNumId="39">
    <w:multiLevelType w:val="hybridMultilevel"/>
    <w:lvl w:ilvl="0">
      <w:start w:val="1"/>
      <w:numFmt w:val="decimal"/>
      <w:lvlText w:val="%1."/>
      <w:lvlJc w:val="left"/>
      <w:pPr>
        <w:ind w:left="436" w:hanging="317"/>
        <w:jc w:val="left"/>
      </w:pPr>
      <w:rPr>
        <w:rFonts w:hint="default" w:ascii="Verdana" w:hAnsi="Verdana" w:eastAsia="Verdana" w:cs="Verdana"/>
        <w:b/>
        <w:bCs/>
        <w:i w:val="0"/>
        <w:iCs w:val="0"/>
        <w:spacing w:val="0"/>
        <w:w w:val="100"/>
        <w:sz w:val="22"/>
        <w:szCs w:val="22"/>
        <w:lang w:val="en-US" w:eastAsia="en-US" w:bidi="ar-SA"/>
      </w:rPr>
    </w:lvl>
    <w:lvl w:ilvl="1">
      <w:start w:val="1"/>
      <w:numFmt w:val="lowerLetter"/>
      <w:lvlText w:val="%2)"/>
      <w:lvlJc w:val="left"/>
      <w:pPr>
        <w:ind w:left="839" w:hanging="284"/>
        <w:jc w:val="left"/>
      </w:pPr>
      <w:rPr>
        <w:rFonts w:hint="default" w:ascii="Verdana" w:hAnsi="Verdana" w:eastAsia="Verdana" w:cs="Verdana"/>
        <w:b w:val="0"/>
        <w:bCs w:val="0"/>
        <w:i w:val="0"/>
        <w:iCs w:val="0"/>
        <w:spacing w:val="-2"/>
        <w:w w:val="100"/>
        <w:sz w:val="20"/>
        <w:szCs w:val="20"/>
        <w:lang w:val="en-US" w:eastAsia="en-US" w:bidi="ar-SA"/>
      </w:rPr>
    </w:lvl>
    <w:lvl w:ilvl="2">
      <w:start w:val="0"/>
      <w:numFmt w:val="bullet"/>
      <w:lvlText w:val="•"/>
      <w:lvlJc w:val="left"/>
      <w:pPr>
        <w:ind w:left="1200" w:hanging="284"/>
      </w:pPr>
      <w:rPr>
        <w:rFonts w:hint="default"/>
        <w:lang w:val="en-US" w:eastAsia="en-US" w:bidi="ar-SA"/>
      </w:rPr>
    </w:lvl>
    <w:lvl w:ilvl="3">
      <w:start w:val="0"/>
      <w:numFmt w:val="bullet"/>
      <w:lvlText w:val="•"/>
      <w:lvlJc w:val="left"/>
      <w:pPr>
        <w:ind w:left="2207" w:hanging="284"/>
      </w:pPr>
      <w:rPr>
        <w:rFonts w:hint="default"/>
        <w:lang w:val="en-US" w:eastAsia="en-US" w:bidi="ar-SA"/>
      </w:rPr>
    </w:lvl>
    <w:lvl w:ilvl="4">
      <w:start w:val="0"/>
      <w:numFmt w:val="bullet"/>
      <w:lvlText w:val="•"/>
      <w:lvlJc w:val="left"/>
      <w:pPr>
        <w:ind w:left="3214" w:hanging="284"/>
      </w:pPr>
      <w:rPr>
        <w:rFonts w:hint="default"/>
        <w:lang w:val="en-US" w:eastAsia="en-US" w:bidi="ar-SA"/>
      </w:rPr>
    </w:lvl>
    <w:lvl w:ilvl="5">
      <w:start w:val="0"/>
      <w:numFmt w:val="bullet"/>
      <w:lvlText w:val="•"/>
      <w:lvlJc w:val="left"/>
      <w:pPr>
        <w:ind w:left="4222" w:hanging="284"/>
      </w:pPr>
      <w:rPr>
        <w:rFonts w:hint="default"/>
        <w:lang w:val="en-US" w:eastAsia="en-US" w:bidi="ar-SA"/>
      </w:rPr>
    </w:lvl>
    <w:lvl w:ilvl="6">
      <w:start w:val="0"/>
      <w:numFmt w:val="bullet"/>
      <w:lvlText w:val="•"/>
      <w:lvlJc w:val="left"/>
      <w:pPr>
        <w:ind w:left="5229" w:hanging="284"/>
      </w:pPr>
      <w:rPr>
        <w:rFonts w:hint="default"/>
        <w:lang w:val="en-US" w:eastAsia="en-US" w:bidi="ar-SA"/>
      </w:rPr>
    </w:lvl>
    <w:lvl w:ilvl="7">
      <w:start w:val="0"/>
      <w:numFmt w:val="bullet"/>
      <w:lvlText w:val="•"/>
      <w:lvlJc w:val="left"/>
      <w:pPr>
        <w:ind w:left="6237" w:hanging="284"/>
      </w:pPr>
      <w:rPr>
        <w:rFonts w:hint="default"/>
        <w:lang w:val="en-US" w:eastAsia="en-US" w:bidi="ar-SA"/>
      </w:rPr>
    </w:lvl>
    <w:lvl w:ilvl="8">
      <w:start w:val="0"/>
      <w:numFmt w:val="bullet"/>
      <w:lvlText w:val="•"/>
      <w:lvlJc w:val="left"/>
      <w:pPr>
        <w:ind w:left="7244" w:hanging="284"/>
      </w:pPr>
      <w:rPr>
        <w:rFonts w:hint="default"/>
        <w:lang w:val="en-US" w:eastAsia="en-US" w:bidi="ar-SA"/>
      </w:rPr>
    </w:lvl>
  </w:abstractNum>
  <w:abstractNum w:abstractNumId="38">
    <w:multiLevelType w:val="hybridMultilevel"/>
    <w:lvl w:ilvl="0">
      <w:start w:val="3"/>
      <w:numFmt w:val="decimal"/>
      <w:lvlText w:val="%1"/>
      <w:lvlJc w:val="left"/>
      <w:pPr>
        <w:ind w:left="105" w:hanging="303"/>
        <w:jc w:val="left"/>
      </w:pPr>
      <w:rPr>
        <w:rFonts w:hint="default"/>
        <w:lang w:val="en-US" w:eastAsia="en-US" w:bidi="ar-SA"/>
      </w:rPr>
    </w:lvl>
    <w:lvl w:ilvl="1">
      <w:start w:val="1"/>
      <w:numFmt w:val="decimal"/>
      <w:lvlText w:val="%1.%2"/>
      <w:lvlJc w:val="left"/>
      <w:pPr>
        <w:ind w:left="105" w:hanging="303"/>
        <w:jc w:val="left"/>
      </w:pPr>
      <w:rPr>
        <w:rFonts w:hint="default" w:ascii="Calibri" w:hAnsi="Calibri" w:eastAsia="Calibri" w:cs="Calibri"/>
        <w:b w:val="0"/>
        <w:bCs w:val="0"/>
        <w:i w:val="0"/>
        <w:iCs w:val="0"/>
        <w:spacing w:val="-2"/>
        <w:w w:val="100"/>
        <w:sz w:val="20"/>
        <w:szCs w:val="20"/>
        <w:lang w:val="en-US" w:eastAsia="en-US" w:bidi="ar-SA"/>
      </w:rPr>
    </w:lvl>
    <w:lvl w:ilvl="2">
      <w:start w:val="0"/>
      <w:numFmt w:val="bullet"/>
      <w:lvlText w:val="•"/>
      <w:lvlJc w:val="left"/>
      <w:pPr>
        <w:ind w:left="818" w:hanging="303"/>
      </w:pPr>
      <w:rPr>
        <w:rFonts w:hint="default"/>
        <w:lang w:val="en-US" w:eastAsia="en-US" w:bidi="ar-SA"/>
      </w:rPr>
    </w:lvl>
    <w:lvl w:ilvl="3">
      <w:start w:val="0"/>
      <w:numFmt w:val="bullet"/>
      <w:lvlText w:val="•"/>
      <w:lvlJc w:val="left"/>
      <w:pPr>
        <w:ind w:left="1177" w:hanging="303"/>
      </w:pPr>
      <w:rPr>
        <w:rFonts w:hint="default"/>
        <w:lang w:val="en-US" w:eastAsia="en-US" w:bidi="ar-SA"/>
      </w:rPr>
    </w:lvl>
    <w:lvl w:ilvl="4">
      <w:start w:val="0"/>
      <w:numFmt w:val="bullet"/>
      <w:lvlText w:val="•"/>
      <w:lvlJc w:val="left"/>
      <w:pPr>
        <w:ind w:left="1536" w:hanging="303"/>
      </w:pPr>
      <w:rPr>
        <w:rFonts w:hint="default"/>
        <w:lang w:val="en-US" w:eastAsia="en-US" w:bidi="ar-SA"/>
      </w:rPr>
    </w:lvl>
    <w:lvl w:ilvl="5">
      <w:start w:val="0"/>
      <w:numFmt w:val="bullet"/>
      <w:lvlText w:val="•"/>
      <w:lvlJc w:val="left"/>
      <w:pPr>
        <w:ind w:left="1895" w:hanging="303"/>
      </w:pPr>
      <w:rPr>
        <w:rFonts w:hint="default"/>
        <w:lang w:val="en-US" w:eastAsia="en-US" w:bidi="ar-SA"/>
      </w:rPr>
    </w:lvl>
    <w:lvl w:ilvl="6">
      <w:start w:val="0"/>
      <w:numFmt w:val="bullet"/>
      <w:lvlText w:val="•"/>
      <w:lvlJc w:val="left"/>
      <w:pPr>
        <w:ind w:left="2254" w:hanging="303"/>
      </w:pPr>
      <w:rPr>
        <w:rFonts w:hint="default"/>
        <w:lang w:val="en-US" w:eastAsia="en-US" w:bidi="ar-SA"/>
      </w:rPr>
    </w:lvl>
    <w:lvl w:ilvl="7">
      <w:start w:val="0"/>
      <w:numFmt w:val="bullet"/>
      <w:lvlText w:val="•"/>
      <w:lvlJc w:val="left"/>
      <w:pPr>
        <w:ind w:left="2613" w:hanging="303"/>
      </w:pPr>
      <w:rPr>
        <w:rFonts w:hint="default"/>
        <w:lang w:val="en-US" w:eastAsia="en-US" w:bidi="ar-SA"/>
      </w:rPr>
    </w:lvl>
    <w:lvl w:ilvl="8">
      <w:start w:val="0"/>
      <w:numFmt w:val="bullet"/>
      <w:lvlText w:val="•"/>
      <w:lvlJc w:val="left"/>
      <w:pPr>
        <w:ind w:left="2972" w:hanging="303"/>
      </w:pPr>
      <w:rPr>
        <w:rFonts w:hint="default"/>
        <w:lang w:val="en-US" w:eastAsia="en-US" w:bidi="ar-SA"/>
      </w:rPr>
    </w:lvl>
  </w:abstractNum>
  <w:abstractNum w:abstractNumId="37">
    <w:multiLevelType w:val="hybridMultilevel"/>
    <w:lvl w:ilvl="0">
      <w:start w:val="3"/>
      <w:numFmt w:val="decimal"/>
      <w:lvlText w:val="%1"/>
      <w:lvlJc w:val="left"/>
      <w:pPr>
        <w:ind w:left="105" w:hanging="457"/>
        <w:jc w:val="left"/>
      </w:pPr>
      <w:rPr>
        <w:rFonts w:hint="default"/>
        <w:lang w:val="en-US" w:eastAsia="en-US" w:bidi="ar-SA"/>
      </w:rPr>
    </w:lvl>
    <w:lvl w:ilvl="1">
      <w:start w:val="2"/>
      <w:numFmt w:val="decimal"/>
      <w:lvlText w:val="%1.%2"/>
      <w:lvlJc w:val="left"/>
      <w:pPr>
        <w:ind w:left="105" w:hanging="457"/>
        <w:jc w:val="left"/>
      </w:pPr>
      <w:rPr>
        <w:rFonts w:hint="default"/>
        <w:lang w:val="en-US" w:eastAsia="en-US" w:bidi="ar-SA"/>
      </w:rPr>
    </w:lvl>
    <w:lvl w:ilvl="2">
      <w:start w:val="1"/>
      <w:numFmt w:val="decimal"/>
      <w:lvlText w:val="%1.%2.%3"/>
      <w:lvlJc w:val="left"/>
      <w:pPr>
        <w:ind w:left="105" w:hanging="457"/>
        <w:jc w:val="left"/>
      </w:pPr>
      <w:rPr>
        <w:rFonts w:hint="default" w:ascii="Calibri" w:hAnsi="Calibri" w:eastAsia="Calibri" w:cs="Calibri"/>
        <w:b w:val="0"/>
        <w:bCs w:val="0"/>
        <w:i w:val="0"/>
        <w:iCs w:val="0"/>
        <w:spacing w:val="-2"/>
        <w:w w:val="100"/>
        <w:sz w:val="20"/>
        <w:szCs w:val="20"/>
        <w:lang w:val="en-US" w:eastAsia="en-US" w:bidi="ar-SA"/>
      </w:rPr>
    </w:lvl>
    <w:lvl w:ilvl="3">
      <w:start w:val="0"/>
      <w:numFmt w:val="bullet"/>
      <w:lvlText w:val="•"/>
      <w:lvlJc w:val="left"/>
      <w:pPr>
        <w:ind w:left="1177" w:hanging="457"/>
      </w:pPr>
      <w:rPr>
        <w:rFonts w:hint="default"/>
        <w:lang w:val="en-US" w:eastAsia="en-US" w:bidi="ar-SA"/>
      </w:rPr>
    </w:lvl>
    <w:lvl w:ilvl="4">
      <w:start w:val="0"/>
      <w:numFmt w:val="bullet"/>
      <w:lvlText w:val="•"/>
      <w:lvlJc w:val="left"/>
      <w:pPr>
        <w:ind w:left="1536" w:hanging="457"/>
      </w:pPr>
      <w:rPr>
        <w:rFonts w:hint="default"/>
        <w:lang w:val="en-US" w:eastAsia="en-US" w:bidi="ar-SA"/>
      </w:rPr>
    </w:lvl>
    <w:lvl w:ilvl="5">
      <w:start w:val="0"/>
      <w:numFmt w:val="bullet"/>
      <w:lvlText w:val="•"/>
      <w:lvlJc w:val="left"/>
      <w:pPr>
        <w:ind w:left="1895" w:hanging="457"/>
      </w:pPr>
      <w:rPr>
        <w:rFonts w:hint="default"/>
        <w:lang w:val="en-US" w:eastAsia="en-US" w:bidi="ar-SA"/>
      </w:rPr>
    </w:lvl>
    <w:lvl w:ilvl="6">
      <w:start w:val="0"/>
      <w:numFmt w:val="bullet"/>
      <w:lvlText w:val="•"/>
      <w:lvlJc w:val="left"/>
      <w:pPr>
        <w:ind w:left="2254" w:hanging="457"/>
      </w:pPr>
      <w:rPr>
        <w:rFonts w:hint="default"/>
        <w:lang w:val="en-US" w:eastAsia="en-US" w:bidi="ar-SA"/>
      </w:rPr>
    </w:lvl>
    <w:lvl w:ilvl="7">
      <w:start w:val="0"/>
      <w:numFmt w:val="bullet"/>
      <w:lvlText w:val="•"/>
      <w:lvlJc w:val="left"/>
      <w:pPr>
        <w:ind w:left="2613" w:hanging="457"/>
      </w:pPr>
      <w:rPr>
        <w:rFonts w:hint="default"/>
        <w:lang w:val="en-US" w:eastAsia="en-US" w:bidi="ar-SA"/>
      </w:rPr>
    </w:lvl>
    <w:lvl w:ilvl="8">
      <w:start w:val="0"/>
      <w:numFmt w:val="bullet"/>
      <w:lvlText w:val="•"/>
      <w:lvlJc w:val="left"/>
      <w:pPr>
        <w:ind w:left="2972" w:hanging="457"/>
      </w:pPr>
      <w:rPr>
        <w:rFonts w:hint="default"/>
        <w:lang w:val="en-US" w:eastAsia="en-US" w:bidi="ar-SA"/>
      </w:rPr>
    </w:lvl>
  </w:abstractNum>
  <w:abstractNum w:abstractNumId="36">
    <w:multiLevelType w:val="hybridMultilevel"/>
    <w:lvl w:ilvl="0">
      <w:start w:val="0"/>
      <w:numFmt w:val="bullet"/>
      <w:lvlText w:val=""/>
      <w:lvlJc w:val="left"/>
      <w:pPr>
        <w:ind w:left="383"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4" w:hanging="274"/>
      </w:pPr>
      <w:rPr>
        <w:rFonts w:hint="default"/>
        <w:lang w:val="en-US" w:eastAsia="en-US" w:bidi="ar-SA"/>
      </w:rPr>
    </w:lvl>
    <w:lvl w:ilvl="3">
      <w:start w:val="0"/>
      <w:numFmt w:val="bullet"/>
      <w:lvlText w:val="•"/>
      <w:lvlJc w:val="left"/>
      <w:pPr>
        <w:ind w:left="1466" w:hanging="274"/>
      </w:pPr>
      <w:rPr>
        <w:rFonts w:hint="default"/>
        <w:lang w:val="en-US" w:eastAsia="en-US" w:bidi="ar-SA"/>
      </w:rPr>
    </w:lvl>
    <w:lvl w:ilvl="4">
      <w:start w:val="0"/>
      <w:numFmt w:val="bullet"/>
      <w:lvlText w:val="•"/>
      <w:lvlJc w:val="left"/>
      <w:pPr>
        <w:ind w:left="1829" w:hanging="274"/>
      </w:pPr>
      <w:rPr>
        <w:rFonts w:hint="default"/>
        <w:lang w:val="en-US" w:eastAsia="en-US" w:bidi="ar-SA"/>
      </w:rPr>
    </w:lvl>
    <w:lvl w:ilvl="5">
      <w:start w:val="0"/>
      <w:numFmt w:val="bullet"/>
      <w:lvlText w:val="•"/>
      <w:lvlJc w:val="left"/>
      <w:pPr>
        <w:ind w:left="2191" w:hanging="274"/>
      </w:pPr>
      <w:rPr>
        <w:rFonts w:hint="default"/>
        <w:lang w:val="en-US" w:eastAsia="en-US" w:bidi="ar-SA"/>
      </w:rPr>
    </w:lvl>
    <w:lvl w:ilvl="6">
      <w:start w:val="0"/>
      <w:numFmt w:val="bullet"/>
      <w:lvlText w:val="•"/>
      <w:lvlJc w:val="left"/>
      <w:pPr>
        <w:ind w:left="2553" w:hanging="274"/>
      </w:pPr>
      <w:rPr>
        <w:rFonts w:hint="default"/>
        <w:lang w:val="en-US" w:eastAsia="en-US" w:bidi="ar-SA"/>
      </w:rPr>
    </w:lvl>
    <w:lvl w:ilvl="7">
      <w:start w:val="0"/>
      <w:numFmt w:val="bullet"/>
      <w:lvlText w:val="•"/>
      <w:lvlJc w:val="left"/>
      <w:pPr>
        <w:ind w:left="2916" w:hanging="274"/>
      </w:pPr>
      <w:rPr>
        <w:rFonts w:hint="default"/>
        <w:lang w:val="en-US" w:eastAsia="en-US" w:bidi="ar-SA"/>
      </w:rPr>
    </w:lvl>
    <w:lvl w:ilvl="8">
      <w:start w:val="0"/>
      <w:numFmt w:val="bullet"/>
      <w:lvlText w:val="•"/>
      <w:lvlJc w:val="left"/>
      <w:pPr>
        <w:ind w:left="3278" w:hanging="274"/>
      </w:pPr>
      <w:rPr>
        <w:rFonts w:hint="default"/>
        <w:lang w:val="en-US" w:eastAsia="en-US" w:bidi="ar-SA"/>
      </w:rPr>
    </w:lvl>
  </w:abstractNum>
  <w:abstractNum w:abstractNumId="35">
    <w:multiLevelType w:val="hybridMultilevel"/>
    <w:lvl w:ilvl="0">
      <w:start w:val="0"/>
      <w:numFmt w:val="bullet"/>
      <w:lvlText w:val=""/>
      <w:lvlJc w:val="left"/>
      <w:pPr>
        <w:ind w:left="383"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4" w:hanging="274"/>
      </w:pPr>
      <w:rPr>
        <w:rFonts w:hint="default"/>
        <w:lang w:val="en-US" w:eastAsia="en-US" w:bidi="ar-SA"/>
      </w:rPr>
    </w:lvl>
    <w:lvl w:ilvl="3">
      <w:start w:val="0"/>
      <w:numFmt w:val="bullet"/>
      <w:lvlText w:val="•"/>
      <w:lvlJc w:val="left"/>
      <w:pPr>
        <w:ind w:left="1466" w:hanging="274"/>
      </w:pPr>
      <w:rPr>
        <w:rFonts w:hint="default"/>
        <w:lang w:val="en-US" w:eastAsia="en-US" w:bidi="ar-SA"/>
      </w:rPr>
    </w:lvl>
    <w:lvl w:ilvl="4">
      <w:start w:val="0"/>
      <w:numFmt w:val="bullet"/>
      <w:lvlText w:val="•"/>
      <w:lvlJc w:val="left"/>
      <w:pPr>
        <w:ind w:left="1829" w:hanging="274"/>
      </w:pPr>
      <w:rPr>
        <w:rFonts w:hint="default"/>
        <w:lang w:val="en-US" w:eastAsia="en-US" w:bidi="ar-SA"/>
      </w:rPr>
    </w:lvl>
    <w:lvl w:ilvl="5">
      <w:start w:val="0"/>
      <w:numFmt w:val="bullet"/>
      <w:lvlText w:val="•"/>
      <w:lvlJc w:val="left"/>
      <w:pPr>
        <w:ind w:left="2191" w:hanging="274"/>
      </w:pPr>
      <w:rPr>
        <w:rFonts w:hint="default"/>
        <w:lang w:val="en-US" w:eastAsia="en-US" w:bidi="ar-SA"/>
      </w:rPr>
    </w:lvl>
    <w:lvl w:ilvl="6">
      <w:start w:val="0"/>
      <w:numFmt w:val="bullet"/>
      <w:lvlText w:val="•"/>
      <w:lvlJc w:val="left"/>
      <w:pPr>
        <w:ind w:left="2553" w:hanging="274"/>
      </w:pPr>
      <w:rPr>
        <w:rFonts w:hint="default"/>
        <w:lang w:val="en-US" w:eastAsia="en-US" w:bidi="ar-SA"/>
      </w:rPr>
    </w:lvl>
    <w:lvl w:ilvl="7">
      <w:start w:val="0"/>
      <w:numFmt w:val="bullet"/>
      <w:lvlText w:val="•"/>
      <w:lvlJc w:val="left"/>
      <w:pPr>
        <w:ind w:left="2916" w:hanging="274"/>
      </w:pPr>
      <w:rPr>
        <w:rFonts w:hint="default"/>
        <w:lang w:val="en-US" w:eastAsia="en-US" w:bidi="ar-SA"/>
      </w:rPr>
    </w:lvl>
    <w:lvl w:ilvl="8">
      <w:start w:val="0"/>
      <w:numFmt w:val="bullet"/>
      <w:lvlText w:val="•"/>
      <w:lvlJc w:val="left"/>
      <w:pPr>
        <w:ind w:left="3278" w:hanging="274"/>
      </w:pPr>
      <w:rPr>
        <w:rFonts w:hint="default"/>
        <w:lang w:val="en-US" w:eastAsia="en-US" w:bidi="ar-SA"/>
      </w:rPr>
    </w:lvl>
  </w:abstractNum>
  <w:abstractNum w:abstractNumId="34">
    <w:multiLevelType w:val="hybridMultilevel"/>
    <w:lvl w:ilvl="0">
      <w:start w:val="0"/>
      <w:numFmt w:val="bullet"/>
      <w:lvlText w:val=""/>
      <w:lvlJc w:val="left"/>
      <w:pPr>
        <w:ind w:left="383"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4" w:hanging="274"/>
      </w:pPr>
      <w:rPr>
        <w:rFonts w:hint="default"/>
        <w:lang w:val="en-US" w:eastAsia="en-US" w:bidi="ar-SA"/>
      </w:rPr>
    </w:lvl>
    <w:lvl w:ilvl="3">
      <w:start w:val="0"/>
      <w:numFmt w:val="bullet"/>
      <w:lvlText w:val="•"/>
      <w:lvlJc w:val="left"/>
      <w:pPr>
        <w:ind w:left="1466" w:hanging="274"/>
      </w:pPr>
      <w:rPr>
        <w:rFonts w:hint="default"/>
        <w:lang w:val="en-US" w:eastAsia="en-US" w:bidi="ar-SA"/>
      </w:rPr>
    </w:lvl>
    <w:lvl w:ilvl="4">
      <w:start w:val="0"/>
      <w:numFmt w:val="bullet"/>
      <w:lvlText w:val="•"/>
      <w:lvlJc w:val="left"/>
      <w:pPr>
        <w:ind w:left="1829" w:hanging="274"/>
      </w:pPr>
      <w:rPr>
        <w:rFonts w:hint="default"/>
        <w:lang w:val="en-US" w:eastAsia="en-US" w:bidi="ar-SA"/>
      </w:rPr>
    </w:lvl>
    <w:lvl w:ilvl="5">
      <w:start w:val="0"/>
      <w:numFmt w:val="bullet"/>
      <w:lvlText w:val="•"/>
      <w:lvlJc w:val="left"/>
      <w:pPr>
        <w:ind w:left="2191" w:hanging="274"/>
      </w:pPr>
      <w:rPr>
        <w:rFonts w:hint="default"/>
        <w:lang w:val="en-US" w:eastAsia="en-US" w:bidi="ar-SA"/>
      </w:rPr>
    </w:lvl>
    <w:lvl w:ilvl="6">
      <w:start w:val="0"/>
      <w:numFmt w:val="bullet"/>
      <w:lvlText w:val="•"/>
      <w:lvlJc w:val="left"/>
      <w:pPr>
        <w:ind w:left="2553" w:hanging="274"/>
      </w:pPr>
      <w:rPr>
        <w:rFonts w:hint="default"/>
        <w:lang w:val="en-US" w:eastAsia="en-US" w:bidi="ar-SA"/>
      </w:rPr>
    </w:lvl>
    <w:lvl w:ilvl="7">
      <w:start w:val="0"/>
      <w:numFmt w:val="bullet"/>
      <w:lvlText w:val="•"/>
      <w:lvlJc w:val="left"/>
      <w:pPr>
        <w:ind w:left="2916" w:hanging="274"/>
      </w:pPr>
      <w:rPr>
        <w:rFonts w:hint="default"/>
        <w:lang w:val="en-US" w:eastAsia="en-US" w:bidi="ar-SA"/>
      </w:rPr>
    </w:lvl>
    <w:lvl w:ilvl="8">
      <w:start w:val="0"/>
      <w:numFmt w:val="bullet"/>
      <w:lvlText w:val="•"/>
      <w:lvlJc w:val="left"/>
      <w:pPr>
        <w:ind w:left="3278" w:hanging="274"/>
      </w:pPr>
      <w:rPr>
        <w:rFonts w:hint="default"/>
        <w:lang w:val="en-US" w:eastAsia="en-US" w:bidi="ar-SA"/>
      </w:rPr>
    </w:lvl>
  </w:abstractNum>
  <w:abstractNum w:abstractNumId="33">
    <w:multiLevelType w:val="hybridMultilevel"/>
    <w:lvl w:ilvl="0">
      <w:start w:val="4"/>
      <w:numFmt w:val="decimal"/>
      <w:lvlText w:val="%1"/>
      <w:lvlJc w:val="left"/>
      <w:pPr>
        <w:ind w:left="704" w:hanging="601"/>
        <w:jc w:val="left"/>
      </w:pPr>
      <w:rPr>
        <w:rFonts w:hint="default"/>
        <w:lang w:val="en-US" w:eastAsia="en-US" w:bidi="ar-SA"/>
      </w:rPr>
    </w:lvl>
    <w:lvl w:ilvl="1">
      <w:start w:val="3"/>
      <w:numFmt w:val="decimal"/>
      <w:lvlText w:val="%1.%2"/>
      <w:lvlJc w:val="left"/>
      <w:pPr>
        <w:ind w:left="704" w:hanging="601"/>
        <w:jc w:val="left"/>
      </w:pPr>
      <w:rPr>
        <w:rFonts w:hint="default"/>
        <w:lang w:val="en-US" w:eastAsia="en-US" w:bidi="ar-SA"/>
      </w:rPr>
    </w:lvl>
    <w:lvl w:ilvl="2">
      <w:start w:val="1"/>
      <w:numFmt w:val="decimal"/>
      <w:lvlText w:val="%1.%2.%3"/>
      <w:lvlJc w:val="left"/>
      <w:pPr>
        <w:ind w:left="704" w:hanging="601"/>
        <w:jc w:val="left"/>
      </w:pPr>
      <w:rPr>
        <w:rFonts w:hint="default" w:ascii="Calibri Light" w:hAnsi="Calibri Light" w:eastAsia="Calibri Light" w:cs="Calibri Light"/>
        <w:b w:val="0"/>
        <w:bCs w:val="0"/>
        <w:i w:val="0"/>
        <w:iCs w:val="0"/>
        <w:spacing w:val="-2"/>
        <w:w w:val="100"/>
        <w:sz w:val="21"/>
        <w:szCs w:val="21"/>
        <w:lang w:val="en-US" w:eastAsia="en-US" w:bidi="ar-SA"/>
      </w:rPr>
    </w:lvl>
    <w:lvl w:ilvl="3">
      <w:start w:val="0"/>
      <w:numFmt w:val="bullet"/>
      <w:lvlText w:val="•"/>
      <w:lvlJc w:val="left"/>
      <w:pPr>
        <w:ind w:left="2301" w:hanging="601"/>
      </w:pPr>
      <w:rPr>
        <w:rFonts w:hint="default"/>
        <w:lang w:val="en-US" w:eastAsia="en-US" w:bidi="ar-SA"/>
      </w:rPr>
    </w:lvl>
    <w:lvl w:ilvl="4">
      <w:start w:val="0"/>
      <w:numFmt w:val="bullet"/>
      <w:lvlText w:val="•"/>
      <w:lvlJc w:val="left"/>
      <w:pPr>
        <w:ind w:left="2835" w:hanging="601"/>
      </w:pPr>
      <w:rPr>
        <w:rFonts w:hint="default"/>
        <w:lang w:val="en-US" w:eastAsia="en-US" w:bidi="ar-SA"/>
      </w:rPr>
    </w:lvl>
    <w:lvl w:ilvl="5">
      <w:start w:val="0"/>
      <w:numFmt w:val="bullet"/>
      <w:lvlText w:val="•"/>
      <w:lvlJc w:val="left"/>
      <w:pPr>
        <w:ind w:left="3369" w:hanging="601"/>
      </w:pPr>
      <w:rPr>
        <w:rFonts w:hint="default"/>
        <w:lang w:val="en-US" w:eastAsia="en-US" w:bidi="ar-SA"/>
      </w:rPr>
    </w:lvl>
    <w:lvl w:ilvl="6">
      <w:start w:val="0"/>
      <w:numFmt w:val="bullet"/>
      <w:lvlText w:val="•"/>
      <w:lvlJc w:val="left"/>
      <w:pPr>
        <w:ind w:left="3902" w:hanging="601"/>
      </w:pPr>
      <w:rPr>
        <w:rFonts w:hint="default"/>
        <w:lang w:val="en-US" w:eastAsia="en-US" w:bidi="ar-SA"/>
      </w:rPr>
    </w:lvl>
    <w:lvl w:ilvl="7">
      <w:start w:val="0"/>
      <w:numFmt w:val="bullet"/>
      <w:lvlText w:val="•"/>
      <w:lvlJc w:val="left"/>
      <w:pPr>
        <w:ind w:left="4436" w:hanging="601"/>
      </w:pPr>
      <w:rPr>
        <w:rFonts w:hint="default"/>
        <w:lang w:val="en-US" w:eastAsia="en-US" w:bidi="ar-SA"/>
      </w:rPr>
    </w:lvl>
    <w:lvl w:ilvl="8">
      <w:start w:val="0"/>
      <w:numFmt w:val="bullet"/>
      <w:lvlText w:val="•"/>
      <w:lvlJc w:val="left"/>
      <w:pPr>
        <w:ind w:left="4970" w:hanging="601"/>
      </w:pPr>
      <w:rPr>
        <w:rFonts w:hint="default"/>
        <w:lang w:val="en-US" w:eastAsia="en-US" w:bidi="ar-SA"/>
      </w:rPr>
    </w:lvl>
  </w:abstractNum>
  <w:abstractNum w:abstractNumId="32">
    <w:multiLevelType w:val="hybridMultilevel"/>
    <w:lvl w:ilvl="0">
      <w:start w:val="0"/>
      <w:numFmt w:val="bullet"/>
      <w:lvlText w:val=""/>
      <w:lvlJc w:val="left"/>
      <w:pPr>
        <w:ind w:left="383"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4" w:hanging="274"/>
      </w:pPr>
      <w:rPr>
        <w:rFonts w:hint="default"/>
        <w:lang w:val="en-US" w:eastAsia="en-US" w:bidi="ar-SA"/>
      </w:rPr>
    </w:lvl>
    <w:lvl w:ilvl="3">
      <w:start w:val="0"/>
      <w:numFmt w:val="bullet"/>
      <w:lvlText w:val="•"/>
      <w:lvlJc w:val="left"/>
      <w:pPr>
        <w:ind w:left="1466" w:hanging="274"/>
      </w:pPr>
      <w:rPr>
        <w:rFonts w:hint="default"/>
        <w:lang w:val="en-US" w:eastAsia="en-US" w:bidi="ar-SA"/>
      </w:rPr>
    </w:lvl>
    <w:lvl w:ilvl="4">
      <w:start w:val="0"/>
      <w:numFmt w:val="bullet"/>
      <w:lvlText w:val="•"/>
      <w:lvlJc w:val="left"/>
      <w:pPr>
        <w:ind w:left="1829" w:hanging="274"/>
      </w:pPr>
      <w:rPr>
        <w:rFonts w:hint="default"/>
        <w:lang w:val="en-US" w:eastAsia="en-US" w:bidi="ar-SA"/>
      </w:rPr>
    </w:lvl>
    <w:lvl w:ilvl="5">
      <w:start w:val="0"/>
      <w:numFmt w:val="bullet"/>
      <w:lvlText w:val="•"/>
      <w:lvlJc w:val="left"/>
      <w:pPr>
        <w:ind w:left="2191" w:hanging="274"/>
      </w:pPr>
      <w:rPr>
        <w:rFonts w:hint="default"/>
        <w:lang w:val="en-US" w:eastAsia="en-US" w:bidi="ar-SA"/>
      </w:rPr>
    </w:lvl>
    <w:lvl w:ilvl="6">
      <w:start w:val="0"/>
      <w:numFmt w:val="bullet"/>
      <w:lvlText w:val="•"/>
      <w:lvlJc w:val="left"/>
      <w:pPr>
        <w:ind w:left="2553" w:hanging="274"/>
      </w:pPr>
      <w:rPr>
        <w:rFonts w:hint="default"/>
        <w:lang w:val="en-US" w:eastAsia="en-US" w:bidi="ar-SA"/>
      </w:rPr>
    </w:lvl>
    <w:lvl w:ilvl="7">
      <w:start w:val="0"/>
      <w:numFmt w:val="bullet"/>
      <w:lvlText w:val="•"/>
      <w:lvlJc w:val="left"/>
      <w:pPr>
        <w:ind w:left="2916" w:hanging="274"/>
      </w:pPr>
      <w:rPr>
        <w:rFonts w:hint="default"/>
        <w:lang w:val="en-US" w:eastAsia="en-US" w:bidi="ar-SA"/>
      </w:rPr>
    </w:lvl>
    <w:lvl w:ilvl="8">
      <w:start w:val="0"/>
      <w:numFmt w:val="bullet"/>
      <w:lvlText w:val="•"/>
      <w:lvlJc w:val="left"/>
      <w:pPr>
        <w:ind w:left="3278" w:hanging="274"/>
      </w:pPr>
      <w:rPr>
        <w:rFonts w:hint="default"/>
        <w:lang w:val="en-US" w:eastAsia="en-US" w:bidi="ar-SA"/>
      </w:rPr>
    </w:lvl>
  </w:abstractNum>
  <w:abstractNum w:abstractNumId="31">
    <w:multiLevelType w:val="hybridMultilevel"/>
    <w:lvl w:ilvl="0">
      <w:start w:val="0"/>
      <w:numFmt w:val="bullet"/>
      <w:lvlText w:val=""/>
      <w:lvlJc w:val="left"/>
      <w:pPr>
        <w:ind w:left="383"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4" w:hanging="274"/>
      </w:pPr>
      <w:rPr>
        <w:rFonts w:hint="default"/>
        <w:lang w:val="en-US" w:eastAsia="en-US" w:bidi="ar-SA"/>
      </w:rPr>
    </w:lvl>
    <w:lvl w:ilvl="3">
      <w:start w:val="0"/>
      <w:numFmt w:val="bullet"/>
      <w:lvlText w:val="•"/>
      <w:lvlJc w:val="left"/>
      <w:pPr>
        <w:ind w:left="1466" w:hanging="274"/>
      </w:pPr>
      <w:rPr>
        <w:rFonts w:hint="default"/>
        <w:lang w:val="en-US" w:eastAsia="en-US" w:bidi="ar-SA"/>
      </w:rPr>
    </w:lvl>
    <w:lvl w:ilvl="4">
      <w:start w:val="0"/>
      <w:numFmt w:val="bullet"/>
      <w:lvlText w:val="•"/>
      <w:lvlJc w:val="left"/>
      <w:pPr>
        <w:ind w:left="1829" w:hanging="274"/>
      </w:pPr>
      <w:rPr>
        <w:rFonts w:hint="default"/>
        <w:lang w:val="en-US" w:eastAsia="en-US" w:bidi="ar-SA"/>
      </w:rPr>
    </w:lvl>
    <w:lvl w:ilvl="5">
      <w:start w:val="0"/>
      <w:numFmt w:val="bullet"/>
      <w:lvlText w:val="•"/>
      <w:lvlJc w:val="left"/>
      <w:pPr>
        <w:ind w:left="2191" w:hanging="274"/>
      </w:pPr>
      <w:rPr>
        <w:rFonts w:hint="default"/>
        <w:lang w:val="en-US" w:eastAsia="en-US" w:bidi="ar-SA"/>
      </w:rPr>
    </w:lvl>
    <w:lvl w:ilvl="6">
      <w:start w:val="0"/>
      <w:numFmt w:val="bullet"/>
      <w:lvlText w:val="•"/>
      <w:lvlJc w:val="left"/>
      <w:pPr>
        <w:ind w:left="2553" w:hanging="274"/>
      </w:pPr>
      <w:rPr>
        <w:rFonts w:hint="default"/>
        <w:lang w:val="en-US" w:eastAsia="en-US" w:bidi="ar-SA"/>
      </w:rPr>
    </w:lvl>
    <w:lvl w:ilvl="7">
      <w:start w:val="0"/>
      <w:numFmt w:val="bullet"/>
      <w:lvlText w:val="•"/>
      <w:lvlJc w:val="left"/>
      <w:pPr>
        <w:ind w:left="2916" w:hanging="274"/>
      </w:pPr>
      <w:rPr>
        <w:rFonts w:hint="default"/>
        <w:lang w:val="en-US" w:eastAsia="en-US" w:bidi="ar-SA"/>
      </w:rPr>
    </w:lvl>
    <w:lvl w:ilvl="8">
      <w:start w:val="0"/>
      <w:numFmt w:val="bullet"/>
      <w:lvlText w:val="•"/>
      <w:lvlJc w:val="left"/>
      <w:pPr>
        <w:ind w:left="3278" w:hanging="274"/>
      </w:pPr>
      <w:rPr>
        <w:rFonts w:hint="default"/>
        <w:lang w:val="en-US" w:eastAsia="en-US" w:bidi="ar-SA"/>
      </w:rPr>
    </w:lvl>
  </w:abstractNum>
  <w:abstractNum w:abstractNumId="30">
    <w:multiLevelType w:val="hybridMultilevel"/>
    <w:lvl w:ilvl="0">
      <w:start w:val="0"/>
      <w:numFmt w:val="bullet"/>
      <w:lvlText w:val=""/>
      <w:lvlJc w:val="left"/>
      <w:pPr>
        <w:ind w:left="383"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4" w:hanging="274"/>
      </w:pPr>
      <w:rPr>
        <w:rFonts w:hint="default"/>
        <w:lang w:val="en-US" w:eastAsia="en-US" w:bidi="ar-SA"/>
      </w:rPr>
    </w:lvl>
    <w:lvl w:ilvl="3">
      <w:start w:val="0"/>
      <w:numFmt w:val="bullet"/>
      <w:lvlText w:val="•"/>
      <w:lvlJc w:val="left"/>
      <w:pPr>
        <w:ind w:left="1466" w:hanging="274"/>
      </w:pPr>
      <w:rPr>
        <w:rFonts w:hint="default"/>
        <w:lang w:val="en-US" w:eastAsia="en-US" w:bidi="ar-SA"/>
      </w:rPr>
    </w:lvl>
    <w:lvl w:ilvl="4">
      <w:start w:val="0"/>
      <w:numFmt w:val="bullet"/>
      <w:lvlText w:val="•"/>
      <w:lvlJc w:val="left"/>
      <w:pPr>
        <w:ind w:left="1829" w:hanging="274"/>
      </w:pPr>
      <w:rPr>
        <w:rFonts w:hint="default"/>
        <w:lang w:val="en-US" w:eastAsia="en-US" w:bidi="ar-SA"/>
      </w:rPr>
    </w:lvl>
    <w:lvl w:ilvl="5">
      <w:start w:val="0"/>
      <w:numFmt w:val="bullet"/>
      <w:lvlText w:val="•"/>
      <w:lvlJc w:val="left"/>
      <w:pPr>
        <w:ind w:left="2191" w:hanging="274"/>
      </w:pPr>
      <w:rPr>
        <w:rFonts w:hint="default"/>
        <w:lang w:val="en-US" w:eastAsia="en-US" w:bidi="ar-SA"/>
      </w:rPr>
    </w:lvl>
    <w:lvl w:ilvl="6">
      <w:start w:val="0"/>
      <w:numFmt w:val="bullet"/>
      <w:lvlText w:val="•"/>
      <w:lvlJc w:val="left"/>
      <w:pPr>
        <w:ind w:left="2553" w:hanging="274"/>
      </w:pPr>
      <w:rPr>
        <w:rFonts w:hint="default"/>
        <w:lang w:val="en-US" w:eastAsia="en-US" w:bidi="ar-SA"/>
      </w:rPr>
    </w:lvl>
    <w:lvl w:ilvl="7">
      <w:start w:val="0"/>
      <w:numFmt w:val="bullet"/>
      <w:lvlText w:val="•"/>
      <w:lvlJc w:val="left"/>
      <w:pPr>
        <w:ind w:left="2916" w:hanging="274"/>
      </w:pPr>
      <w:rPr>
        <w:rFonts w:hint="default"/>
        <w:lang w:val="en-US" w:eastAsia="en-US" w:bidi="ar-SA"/>
      </w:rPr>
    </w:lvl>
    <w:lvl w:ilvl="8">
      <w:start w:val="0"/>
      <w:numFmt w:val="bullet"/>
      <w:lvlText w:val="•"/>
      <w:lvlJc w:val="left"/>
      <w:pPr>
        <w:ind w:left="3278" w:hanging="274"/>
      </w:pPr>
      <w:rPr>
        <w:rFonts w:hint="default"/>
        <w:lang w:val="en-US" w:eastAsia="en-US" w:bidi="ar-SA"/>
      </w:rPr>
    </w:lvl>
  </w:abstractNum>
  <w:abstractNum w:abstractNumId="29">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8">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7">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6">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5">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4">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3">
    <w:multiLevelType w:val="hybridMultilevel"/>
    <w:lvl w:ilvl="0">
      <w:start w:val="0"/>
      <w:numFmt w:val="bullet"/>
      <w:lvlText w:val=""/>
      <w:lvlJc w:val="left"/>
      <w:pPr>
        <w:ind w:left="378"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42" w:hanging="274"/>
      </w:pPr>
      <w:rPr>
        <w:rFonts w:hint="default"/>
        <w:lang w:val="en-US" w:eastAsia="en-US" w:bidi="ar-SA"/>
      </w:rPr>
    </w:lvl>
    <w:lvl w:ilvl="2">
      <w:start w:val="0"/>
      <w:numFmt w:val="bullet"/>
      <w:lvlText w:val="•"/>
      <w:lvlJc w:val="left"/>
      <w:pPr>
        <w:ind w:left="1105" w:hanging="274"/>
      </w:pPr>
      <w:rPr>
        <w:rFonts w:hint="default"/>
        <w:lang w:val="en-US" w:eastAsia="en-US" w:bidi="ar-SA"/>
      </w:rPr>
    </w:lvl>
    <w:lvl w:ilvl="3">
      <w:start w:val="0"/>
      <w:numFmt w:val="bullet"/>
      <w:lvlText w:val="•"/>
      <w:lvlJc w:val="left"/>
      <w:pPr>
        <w:ind w:left="1468" w:hanging="274"/>
      </w:pPr>
      <w:rPr>
        <w:rFonts w:hint="default"/>
        <w:lang w:val="en-US" w:eastAsia="en-US" w:bidi="ar-SA"/>
      </w:rPr>
    </w:lvl>
    <w:lvl w:ilvl="4">
      <w:start w:val="0"/>
      <w:numFmt w:val="bullet"/>
      <w:lvlText w:val="•"/>
      <w:lvlJc w:val="left"/>
      <w:pPr>
        <w:ind w:left="1830" w:hanging="274"/>
      </w:pPr>
      <w:rPr>
        <w:rFonts w:hint="default"/>
        <w:lang w:val="en-US" w:eastAsia="en-US" w:bidi="ar-SA"/>
      </w:rPr>
    </w:lvl>
    <w:lvl w:ilvl="5">
      <w:start w:val="0"/>
      <w:numFmt w:val="bullet"/>
      <w:lvlText w:val="•"/>
      <w:lvlJc w:val="left"/>
      <w:pPr>
        <w:ind w:left="2193" w:hanging="274"/>
      </w:pPr>
      <w:rPr>
        <w:rFonts w:hint="default"/>
        <w:lang w:val="en-US" w:eastAsia="en-US" w:bidi="ar-SA"/>
      </w:rPr>
    </w:lvl>
    <w:lvl w:ilvl="6">
      <w:start w:val="0"/>
      <w:numFmt w:val="bullet"/>
      <w:lvlText w:val="•"/>
      <w:lvlJc w:val="left"/>
      <w:pPr>
        <w:ind w:left="2556" w:hanging="274"/>
      </w:pPr>
      <w:rPr>
        <w:rFonts w:hint="default"/>
        <w:lang w:val="en-US" w:eastAsia="en-US" w:bidi="ar-SA"/>
      </w:rPr>
    </w:lvl>
    <w:lvl w:ilvl="7">
      <w:start w:val="0"/>
      <w:numFmt w:val="bullet"/>
      <w:lvlText w:val="•"/>
      <w:lvlJc w:val="left"/>
      <w:pPr>
        <w:ind w:left="2918" w:hanging="274"/>
      </w:pPr>
      <w:rPr>
        <w:rFonts w:hint="default"/>
        <w:lang w:val="en-US" w:eastAsia="en-US" w:bidi="ar-SA"/>
      </w:rPr>
    </w:lvl>
    <w:lvl w:ilvl="8">
      <w:start w:val="0"/>
      <w:numFmt w:val="bullet"/>
      <w:lvlText w:val="•"/>
      <w:lvlJc w:val="left"/>
      <w:pPr>
        <w:ind w:left="3281" w:hanging="274"/>
      </w:pPr>
      <w:rPr>
        <w:rFonts w:hint="default"/>
        <w:lang w:val="en-US" w:eastAsia="en-US" w:bidi="ar-SA"/>
      </w:rPr>
    </w:lvl>
  </w:abstractNum>
  <w:abstractNum w:abstractNumId="22">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21">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20">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9">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8">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7">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6">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5">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4">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3">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2">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1">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10">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9">
    <w:multiLevelType w:val="hybridMultilevel"/>
    <w:lvl w:ilvl="0">
      <w:start w:val="0"/>
      <w:numFmt w:val="bullet"/>
      <w:lvlText w:val=""/>
      <w:lvlJc w:val="left"/>
      <w:pPr>
        <w:ind w:left="382" w:hanging="274"/>
      </w:pPr>
      <w:rPr>
        <w:rFonts w:hint="default" w:ascii="Symbol" w:hAnsi="Symbol" w:eastAsia="Symbol" w:cs="Symbol"/>
        <w:b w:val="0"/>
        <w:bCs w:val="0"/>
        <w:i w:val="0"/>
        <w:iCs w:val="0"/>
        <w:w w:val="100"/>
        <w:sz w:val="21"/>
        <w:szCs w:val="21"/>
        <w:lang w:val="en-US" w:eastAsia="en-US" w:bidi="ar-SA"/>
      </w:rPr>
    </w:lvl>
    <w:lvl w:ilvl="1">
      <w:start w:val="0"/>
      <w:numFmt w:val="bullet"/>
      <w:lvlText w:val="•"/>
      <w:lvlJc w:val="left"/>
      <w:pPr>
        <w:ind w:left="733" w:hanging="274"/>
      </w:pPr>
      <w:rPr>
        <w:rFonts w:hint="default"/>
        <w:lang w:val="en-US" w:eastAsia="en-US" w:bidi="ar-SA"/>
      </w:rPr>
    </w:lvl>
    <w:lvl w:ilvl="2">
      <w:start w:val="0"/>
      <w:numFmt w:val="bullet"/>
      <w:lvlText w:val="•"/>
      <w:lvlJc w:val="left"/>
      <w:pPr>
        <w:ind w:left="1087" w:hanging="274"/>
      </w:pPr>
      <w:rPr>
        <w:rFonts w:hint="default"/>
        <w:lang w:val="en-US" w:eastAsia="en-US" w:bidi="ar-SA"/>
      </w:rPr>
    </w:lvl>
    <w:lvl w:ilvl="3">
      <w:start w:val="0"/>
      <w:numFmt w:val="bullet"/>
      <w:lvlText w:val="•"/>
      <w:lvlJc w:val="left"/>
      <w:pPr>
        <w:ind w:left="1441" w:hanging="274"/>
      </w:pPr>
      <w:rPr>
        <w:rFonts w:hint="default"/>
        <w:lang w:val="en-US" w:eastAsia="en-US" w:bidi="ar-SA"/>
      </w:rPr>
    </w:lvl>
    <w:lvl w:ilvl="4">
      <w:start w:val="0"/>
      <w:numFmt w:val="bullet"/>
      <w:lvlText w:val="•"/>
      <w:lvlJc w:val="left"/>
      <w:pPr>
        <w:ind w:left="1794" w:hanging="274"/>
      </w:pPr>
      <w:rPr>
        <w:rFonts w:hint="default"/>
        <w:lang w:val="en-US" w:eastAsia="en-US" w:bidi="ar-SA"/>
      </w:rPr>
    </w:lvl>
    <w:lvl w:ilvl="5">
      <w:start w:val="0"/>
      <w:numFmt w:val="bullet"/>
      <w:lvlText w:val="•"/>
      <w:lvlJc w:val="left"/>
      <w:pPr>
        <w:ind w:left="2148" w:hanging="274"/>
      </w:pPr>
      <w:rPr>
        <w:rFonts w:hint="default"/>
        <w:lang w:val="en-US" w:eastAsia="en-US" w:bidi="ar-SA"/>
      </w:rPr>
    </w:lvl>
    <w:lvl w:ilvl="6">
      <w:start w:val="0"/>
      <w:numFmt w:val="bullet"/>
      <w:lvlText w:val="•"/>
      <w:lvlJc w:val="left"/>
      <w:pPr>
        <w:ind w:left="2502" w:hanging="274"/>
      </w:pPr>
      <w:rPr>
        <w:rFonts w:hint="default"/>
        <w:lang w:val="en-US" w:eastAsia="en-US" w:bidi="ar-SA"/>
      </w:rPr>
    </w:lvl>
    <w:lvl w:ilvl="7">
      <w:start w:val="0"/>
      <w:numFmt w:val="bullet"/>
      <w:lvlText w:val="•"/>
      <w:lvlJc w:val="left"/>
      <w:pPr>
        <w:ind w:left="2855" w:hanging="274"/>
      </w:pPr>
      <w:rPr>
        <w:rFonts w:hint="default"/>
        <w:lang w:val="en-US" w:eastAsia="en-US" w:bidi="ar-SA"/>
      </w:rPr>
    </w:lvl>
    <w:lvl w:ilvl="8">
      <w:start w:val="0"/>
      <w:numFmt w:val="bullet"/>
      <w:lvlText w:val="•"/>
      <w:lvlJc w:val="left"/>
      <w:pPr>
        <w:ind w:left="3209" w:hanging="274"/>
      </w:pPr>
      <w:rPr>
        <w:rFonts w:hint="default"/>
        <w:lang w:val="en-US" w:eastAsia="en-US" w:bidi="ar-SA"/>
      </w:rPr>
    </w:lvl>
  </w:abstractNum>
  <w:abstractNum w:abstractNumId="8">
    <w:multiLevelType w:val="hybridMultilevel"/>
    <w:lvl w:ilvl="0">
      <w:start w:val="1"/>
      <w:numFmt w:val="decimal"/>
      <w:lvlText w:val="%1."/>
      <w:lvlJc w:val="left"/>
      <w:pPr>
        <w:ind w:left="1840"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787" w:hanging="361"/>
      </w:pPr>
      <w:rPr>
        <w:rFonts w:hint="default"/>
        <w:lang w:val="en-US" w:eastAsia="en-US" w:bidi="ar-SA"/>
      </w:rPr>
    </w:lvl>
    <w:lvl w:ilvl="2">
      <w:start w:val="0"/>
      <w:numFmt w:val="bullet"/>
      <w:lvlText w:val="•"/>
      <w:lvlJc w:val="left"/>
      <w:pPr>
        <w:ind w:left="3735" w:hanging="361"/>
      </w:pPr>
      <w:rPr>
        <w:rFonts w:hint="default"/>
        <w:lang w:val="en-US" w:eastAsia="en-US" w:bidi="ar-SA"/>
      </w:rPr>
    </w:lvl>
    <w:lvl w:ilvl="3">
      <w:start w:val="0"/>
      <w:numFmt w:val="bullet"/>
      <w:lvlText w:val="•"/>
      <w:lvlJc w:val="left"/>
      <w:pPr>
        <w:ind w:left="4683" w:hanging="361"/>
      </w:pPr>
      <w:rPr>
        <w:rFonts w:hint="default"/>
        <w:lang w:val="en-US" w:eastAsia="en-US" w:bidi="ar-SA"/>
      </w:rPr>
    </w:lvl>
    <w:lvl w:ilvl="4">
      <w:start w:val="0"/>
      <w:numFmt w:val="bullet"/>
      <w:lvlText w:val="•"/>
      <w:lvlJc w:val="left"/>
      <w:pPr>
        <w:ind w:left="5631" w:hanging="361"/>
      </w:pPr>
      <w:rPr>
        <w:rFonts w:hint="default"/>
        <w:lang w:val="en-US" w:eastAsia="en-US" w:bidi="ar-SA"/>
      </w:rPr>
    </w:lvl>
    <w:lvl w:ilvl="5">
      <w:start w:val="0"/>
      <w:numFmt w:val="bullet"/>
      <w:lvlText w:val="•"/>
      <w:lvlJc w:val="left"/>
      <w:pPr>
        <w:ind w:left="6579" w:hanging="361"/>
      </w:pPr>
      <w:rPr>
        <w:rFonts w:hint="default"/>
        <w:lang w:val="en-US" w:eastAsia="en-US" w:bidi="ar-SA"/>
      </w:rPr>
    </w:lvl>
    <w:lvl w:ilvl="6">
      <w:start w:val="0"/>
      <w:numFmt w:val="bullet"/>
      <w:lvlText w:val="•"/>
      <w:lvlJc w:val="left"/>
      <w:pPr>
        <w:ind w:left="7527" w:hanging="361"/>
      </w:pPr>
      <w:rPr>
        <w:rFonts w:hint="default"/>
        <w:lang w:val="en-US" w:eastAsia="en-US" w:bidi="ar-SA"/>
      </w:rPr>
    </w:lvl>
    <w:lvl w:ilvl="7">
      <w:start w:val="0"/>
      <w:numFmt w:val="bullet"/>
      <w:lvlText w:val="•"/>
      <w:lvlJc w:val="left"/>
      <w:pPr>
        <w:ind w:left="8475" w:hanging="361"/>
      </w:pPr>
      <w:rPr>
        <w:rFonts w:hint="default"/>
        <w:lang w:val="en-US" w:eastAsia="en-US" w:bidi="ar-SA"/>
      </w:rPr>
    </w:lvl>
    <w:lvl w:ilvl="8">
      <w:start w:val="0"/>
      <w:numFmt w:val="bullet"/>
      <w:lvlText w:val="•"/>
      <w:lvlJc w:val="left"/>
      <w:pPr>
        <w:ind w:left="9423" w:hanging="361"/>
      </w:pPr>
      <w:rPr>
        <w:rFonts w:hint="default"/>
        <w:lang w:val="en-US" w:eastAsia="en-US" w:bidi="ar-SA"/>
      </w:rPr>
    </w:lvl>
  </w:abstractNum>
  <w:abstractNum w:abstractNumId="7">
    <w:multiLevelType w:val="hybridMultilevel"/>
    <w:lvl w:ilvl="0">
      <w:start w:val="0"/>
      <w:numFmt w:val="bullet"/>
      <w:lvlText w:val=""/>
      <w:lvlJc w:val="left"/>
      <w:pPr>
        <w:ind w:left="1893"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841" w:hanging="361"/>
      </w:pPr>
      <w:rPr>
        <w:rFonts w:hint="default"/>
        <w:lang w:val="en-US" w:eastAsia="en-US" w:bidi="ar-SA"/>
      </w:rPr>
    </w:lvl>
    <w:lvl w:ilvl="2">
      <w:start w:val="0"/>
      <w:numFmt w:val="bullet"/>
      <w:lvlText w:val="•"/>
      <w:lvlJc w:val="left"/>
      <w:pPr>
        <w:ind w:left="3783" w:hanging="361"/>
      </w:pPr>
      <w:rPr>
        <w:rFonts w:hint="default"/>
        <w:lang w:val="en-US" w:eastAsia="en-US" w:bidi="ar-SA"/>
      </w:rPr>
    </w:lvl>
    <w:lvl w:ilvl="3">
      <w:start w:val="0"/>
      <w:numFmt w:val="bullet"/>
      <w:lvlText w:val="•"/>
      <w:lvlJc w:val="left"/>
      <w:pPr>
        <w:ind w:left="4725" w:hanging="361"/>
      </w:pPr>
      <w:rPr>
        <w:rFonts w:hint="default"/>
        <w:lang w:val="en-US" w:eastAsia="en-US" w:bidi="ar-SA"/>
      </w:rPr>
    </w:lvl>
    <w:lvl w:ilvl="4">
      <w:start w:val="0"/>
      <w:numFmt w:val="bullet"/>
      <w:lvlText w:val="•"/>
      <w:lvlJc w:val="left"/>
      <w:pPr>
        <w:ind w:left="5667" w:hanging="361"/>
      </w:pPr>
      <w:rPr>
        <w:rFonts w:hint="default"/>
        <w:lang w:val="en-US" w:eastAsia="en-US" w:bidi="ar-SA"/>
      </w:rPr>
    </w:lvl>
    <w:lvl w:ilvl="5">
      <w:start w:val="0"/>
      <w:numFmt w:val="bullet"/>
      <w:lvlText w:val="•"/>
      <w:lvlJc w:val="left"/>
      <w:pPr>
        <w:ind w:left="6609" w:hanging="361"/>
      </w:pPr>
      <w:rPr>
        <w:rFonts w:hint="default"/>
        <w:lang w:val="en-US" w:eastAsia="en-US" w:bidi="ar-SA"/>
      </w:rPr>
    </w:lvl>
    <w:lvl w:ilvl="6">
      <w:start w:val="0"/>
      <w:numFmt w:val="bullet"/>
      <w:lvlText w:val="•"/>
      <w:lvlJc w:val="left"/>
      <w:pPr>
        <w:ind w:left="7551" w:hanging="361"/>
      </w:pPr>
      <w:rPr>
        <w:rFonts w:hint="default"/>
        <w:lang w:val="en-US" w:eastAsia="en-US" w:bidi="ar-SA"/>
      </w:rPr>
    </w:lvl>
    <w:lvl w:ilvl="7">
      <w:start w:val="0"/>
      <w:numFmt w:val="bullet"/>
      <w:lvlText w:val="•"/>
      <w:lvlJc w:val="left"/>
      <w:pPr>
        <w:ind w:left="8493" w:hanging="361"/>
      </w:pPr>
      <w:rPr>
        <w:rFonts w:hint="default"/>
        <w:lang w:val="en-US" w:eastAsia="en-US" w:bidi="ar-SA"/>
      </w:rPr>
    </w:lvl>
    <w:lvl w:ilvl="8">
      <w:start w:val="0"/>
      <w:numFmt w:val="bullet"/>
      <w:lvlText w:val="•"/>
      <w:lvlJc w:val="left"/>
      <w:pPr>
        <w:ind w:left="9435" w:hanging="361"/>
      </w:pPr>
      <w:rPr>
        <w:rFonts w:hint="default"/>
        <w:lang w:val="en-US" w:eastAsia="en-US" w:bidi="ar-SA"/>
      </w:rPr>
    </w:lvl>
  </w:abstractNum>
  <w:abstractNum w:abstractNumId="6">
    <w:multiLevelType w:val="hybridMultilevel"/>
    <w:lvl w:ilvl="0">
      <w:start w:val="4"/>
      <w:numFmt w:val="decimal"/>
      <w:lvlText w:val="%1"/>
      <w:lvlJc w:val="left"/>
      <w:pPr>
        <w:ind w:left="1830" w:hanging="711"/>
        <w:jc w:val="left"/>
      </w:pPr>
      <w:rPr>
        <w:rFonts w:hint="default"/>
        <w:lang w:val="en-US" w:eastAsia="en-US" w:bidi="ar-SA"/>
      </w:rPr>
    </w:lvl>
    <w:lvl w:ilvl="1">
      <w:start w:val="6"/>
      <w:numFmt w:val="decimal"/>
      <w:lvlText w:val="%1.%2"/>
      <w:lvlJc w:val="left"/>
      <w:pPr>
        <w:ind w:left="1830" w:hanging="711"/>
        <w:jc w:val="left"/>
      </w:pPr>
      <w:rPr>
        <w:rFonts w:hint="default" w:ascii="Calibri Light" w:hAnsi="Calibri Light" w:eastAsia="Calibri Light" w:cs="Calibri Light"/>
        <w:b w:val="0"/>
        <w:bCs w:val="0"/>
        <w:i w:val="0"/>
        <w:iCs w:val="0"/>
        <w:spacing w:val="-2"/>
        <w:w w:val="100"/>
        <w:sz w:val="24"/>
        <w:szCs w:val="24"/>
        <w:lang w:val="en-US" w:eastAsia="en-US" w:bidi="ar-SA"/>
      </w:rPr>
    </w:lvl>
    <w:lvl w:ilvl="2">
      <w:start w:val="0"/>
      <w:numFmt w:val="bullet"/>
      <w:lvlText w:val="•"/>
      <w:lvlJc w:val="left"/>
      <w:pPr>
        <w:ind w:left="3735" w:hanging="711"/>
      </w:pPr>
      <w:rPr>
        <w:rFonts w:hint="default"/>
        <w:lang w:val="en-US" w:eastAsia="en-US" w:bidi="ar-SA"/>
      </w:rPr>
    </w:lvl>
    <w:lvl w:ilvl="3">
      <w:start w:val="0"/>
      <w:numFmt w:val="bullet"/>
      <w:lvlText w:val="•"/>
      <w:lvlJc w:val="left"/>
      <w:pPr>
        <w:ind w:left="4683" w:hanging="711"/>
      </w:pPr>
      <w:rPr>
        <w:rFonts w:hint="default"/>
        <w:lang w:val="en-US" w:eastAsia="en-US" w:bidi="ar-SA"/>
      </w:rPr>
    </w:lvl>
    <w:lvl w:ilvl="4">
      <w:start w:val="0"/>
      <w:numFmt w:val="bullet"/>
      <w:lvlText w:val="•"/>
      <w:lvlJc w:val="left"/>
      <w:pPr>
        <w:ind w:left="5631" w:hanging="711"/>
      </w:pPr>
      <w:rPr>
        <w:rFonts w:hint="default"/>
        <w:lang w:val="en-US" w:eastAsia="en-US" w:bidi="ar-SA"/>
      </w:rPr>
    </w:lvl>
    <w:lvl w:ilvl="5">
      <w:start w:val="0"/>
      <w:numFmt w:val="bullet"/>
      <w:lvlText w:val="•"/>
      <w:lvlJc w:val="left"/>
      <w:pPr>
        <w:ind w:left="6579" w:hanging="711"/>
      </w:pPr>
      <w:rPr>
        <w:rFonts w:hint="default"/>
        <w:lang w:val="en-US" w:eastAsia="en-US" w:bidi="ar-SA"/>
      </w:rPr>
    </w:lvl>
    <w:lvl w:ilvl="6">
      <w:start w:val="0"/>
      <w:numFmt w:val="bullet"/>
      <w:lvlText w:val="•"/>
      <w:lvlJc w:val="left"/>
      <w:pPr>
        <w:ind w:left="7527" w:hanging="711"/>
      </w:pPr>
      <w:rPr>
        <w:rFonts w:hint="default"/>
        <w:lang w:val="en-US" w:eastAsia="en-US" w:bidi="ar-SA"/>
      </w:rPr>
    </w:lvl>
    <w:lvl w:ilvl="7">
      <w:start w:val="0"/>
      <w:numFmt w:val="bullet"/>
      <w:lvlText w:val="•"/>
      <w:lvlJc w:val="left"/>
      <w:pPr>
        <w:ind w:left="8475" w:hanging="711"/>
      </w:pPr>
      <w:rPr>
        <w:rFonts w:hint="default"/>
        <w:lang w:val="en-US" w:eastAsia="en-US" w:bidi="ar-SA"/>
      </w:rPr>
    </w:lvl>
    <w:lvl w:ilvl="8">
      <w:start w:val="0"/>
      <w:numFmt w:val="bullet"/>
      <w:lvlText w:val="•"/>
      <w:lvlJc w:val="left"/>
      <w:pPr>
        <w:ind w:left="9423" w:hanging="711"/>
      </w:pPr>
      <w:rPr>
        <w:rFonts w:hint="default"/>
        <w:lang w:val="en-US" w:eastAsia="en-US" w:bidi="ar-SA"/>
      </w:rPr>
    </w:lvl>
  </w:abstractNum>
  <w:abstractNum w:abstractNumId="3">
    <w:multiLevelType w:val="hybridMultilevel"/>
    <w:lvl w:ilvl="0">
      <w:start w:val="1"/>
      <w:numFmt w:val="decimal"/>
      <w:lvlText w:val="%1."/>
      <w:lvlJc w:val="left"/>
      <w:pPr>
        <w:ind w:left="1835" w:hanging="361"/>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2787" w:hanging="361"/>
      </w:pPr>
      <w:rPr>
        <w:rFonts w:hint="default"/>
        <w:lang w:val="en-US" w:eastAsia="en-US" w:bidi="ar-SA"/>
      </w:rPr>
    </w:lvl>
    <w:lvl w:ilvl="2">
      <w:start w:val="0"/>
      <w:numFmt w:val="bullet"/>
      <w:lvlText w:val="•"/>
      <w:lvlJc w:val="left"/>
      <w:pPr>
        <w:ind w:left="3735" w:hanging="361"/>
      </w:pPr>
      <w:rPr>
        <w:rFonts w:hint="default"/>
        <w:lang w:val="en-US" w:eastAsia="en-US" w:bidi="ar-SA"/>
      </w:rPr>
    </w:lvl>
    <w:lvl w:ilvl="3">
      <w:start w:val="0"/>
      <w:numFmt w:val="bullet"/>
      <w:lvlText w:val="•"/>
      <w:lvlJc w:val="left"/>
      <w:pPr>
        <w:ind w:left="4683" w:hanging="361"/>
      </w:pPr>
      <w:rPr>
        <w:rFonts w:hint="default"/>
        <w:lang w:val="en-US" w:eastAsia="en-US" w:bidi="ar-SA"/>
      </w:rPr>
    </w:lvl>
    <w:lvl w:ilvl="4">
      <w:start w:val="0"/>
      <w:numFmt w:val="bullet"/>
      <w:lvlText w:val="•"/>
      <w:lvlJc w:val="left"/>
      <w:pPr>
        <w:ind w:left="5631" w:hanging="361"/>
      </w:pPr>
      <w:rPr>
        <w:rFonts w:hint="default"/>
        <w:lang w:val="en-US" w:eastAsia="en-US" w:bidi="ar-SA"/>
      </w:rPr>
    </w:lvl>
    <w:lvl w:ilvl="5">
      <w:start w:val="0"/>
      <w:numFmt w:val="bullet"/>
      <w:lvlText w:val="•"/>
      <w:lvlJc w:val="left"/>
      <w:pPr>
        <w:ind w:left="6579" w:hanging="361"/>
      </w:pPr>
      <w:rPr>
        <w:rFonts w:hint="default"/>
        <w:lang w:val="en-US" w:eastAsia="en-US" w:bidi="ar-SA"/>
      </w:rPr>
    </w:lvl>
    <w:lvl w:ilvl="6">
      <w:start w:val="0"/>
      <w:numFmt w:val="bullet"/>
      <w:lvlText w:val="•"/>
      <w:lvlJc w:val="left"/>
      <w:pPr>
        <w:ind w:left="7527" w:hanging="361"/>
      </w:pPr>
      <w:rPr>
        <w:rFonts w:hint="default"/>
        <w:lang w:val="en-US" w:eastAsia="en-US" w:bidi="ar-SA"/>
      </w:rPr>
    </w:lvl>
    <w:lvl w:ilvl="7">
      <w:start w:val="0"/>
      <w:numFmt w:val="bullet"/>
      <w:lvlText w:val="•"/>
      <w:lvlJc w:val="left"/>
      <w:pPr>
        <w:ind w:left="8475" w:hanging="361"/>
      </w:pPr>
      <w:rPr>
        <w:rFonts w:hint="default"/>
        <w:lang w:val="en-US" w:eastAsia="en-US" w:bidi="ar-SA"/>
      </w:rPr>
    </w:lvl>
    <w:lvl w:ilvl="8">
      <w:start w:val="0"/>
      <w:numFmt w:val="bullet"/>
      <w:lvlText w:val="•"/>
      <w:lvlJc w:val="left"/>
      <w:pPr>
        <w:ind w:left="9423" w:hanging="361"/>
      </w:pPr>
      <w:rPr>
        <w:rFonts w:hint="default"/>
        <w:lang w:val="en-US" w:eastAsia="en-US" w:bidi="ar-SA"/>
      </w:rPr>
    </w:lvl>
  </w:abstractNum>
  <w:abstractNum w:abstractNumId="5">
    <w:multiLevelType w:val="hybridMultilevel"/>
    <w:lvl w:ilvl="0">
      <w:start w:val="0"/>
      <w:numFmt w:val="bullet"/>
      <w:lvlText w:val=""/>
      <w:lvlJc w:val="left"/>
      <w:pPr>
        <w:ind w:left="1892"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841" w:hanging="361"/>
      </w:pPr>
      <w:rPr>
        <w:rFonts w:hint="default"/>
        <w:lang w:val="en-US" w:eastAsia="en-US" w:bidi="ar-SA"/>
      </w:rPr>
    </w:lvl>
    <w:lvl w:ilvl="2">
      <w:start w:val="0"/>
      <w:numFmt w:val="bullet"/>
      <w:lvlText w:val="•"/>
      <w:lvlJc w:val="left"/>
      <w:pPr>
        <w:ind w:left="3783" w:hanging="361"/>
      </w:pPr>
      <w:rPr>
        <w:rFonts w:hint="default"/>
        <w:lang w:val="en-US" w:eastAsia="en-US" w:bidi="ar-SA"/>
      </w:rPr>
    </w:lvl>
    <w:lvl w:ilvl="3">
      <w:start w:val="0"/>
      <w:numFmt w:val="bullet"/>
      <w:lvlText w:val="•"/>
      <w:lvlJc w:val="left"/>
      <w:pPr>
        <w:ind w:left="4725" w:hanging="361"/>
      </w:pPr>
      <w:rPr>
        <w:rFonts w:hint="default"/>
        <w:lang w:val="en-US" w:eastAsia="en-US" w:bidi="ar-SA"/>
      </w:rPr>
    </w:lvl>
    <w:lvl w:ilvl="4">
      <w:start w:val="0"/>
      <w:numFmt w:val="bullet"/>
      <w:lvlText w:val="•"/>
      <w:lvlJc w:val="left"/>
      <w:pPr>
        <w:ind w:left="5667" w:hanging="361"/>
      </w:pPr>
      <w:rPr>
        <w:rFonts w:hint="default"/>
        <w:lang w:val="en-US" w:eastAsia="en-US" w:bidi="ar-SA"/>
      </w:rPr>
    </w:lvl>
    <w:lvl w:ilvl="5">
      <w:start w:val="0"/>
      <w:numFmt w:val="bullet"/>
      <w:lvlText w:val="•"/>
      <w:lvlJc w:val="left"/>
      <w:pPr>
        <w:ind w:left="6609" w:hanging="361"/>
      </w:pPr>
      <w:rPr>
        <w:rFonts w:hint="default"/>
        <w:lang w:val="en-US" w:eastAsia="en-US" w:bidi="ar-SA"/>
      </w:rPr>
    </w:lvl>
    <w:lvl w:ilvl="6">
      <w:start w:val="0"/>
      <w:numFmt w:val="bullet"/>
      <w:lvlText w:val="•"/>
      <w:lvlJc w:val="left"/>
      <w:pPr>
        <w:ind w:left="7551" w:hanging="361"/>
      </w:pPr>
      <w:rPr>
        <w:rFonts w:hint="default"/>
        <w:lang w:val="en-US" w:eastAsia="en-US" w:bidi="ar-SA"/>
      </w:rPr>
    </w:lvl>
    <w:lvl w:ilvl="7">
      <w:start w:val="0"/>
      <w:numFmt w:val="bullet"/>
      <w:lvlText w:val="•"/>
      <w:lvlJc w:val="left"/>
      <w:pPr>
        <w:ind w:left="8493" w:hanging="361"/>
      </w:pPr>
      <w:rPr>
        <w:rFonts w:hint="default"/>
        <w:lang w:val="en-US" w:eastAsia="en-US" w:bidi="ar-SA"/>
      </w:rPr>
    </w:lvl>
    <w:lvl w:ilvl="8">
      <w:start w:val="0"/>
      <w:numFmt w:val="bullet"/>
      <w:lvlText w:val="•"/>
      <w:lvlJc w:val="left"/>
      <w:pPr>
        <w:ind w:left="9435" w:hanging="361"/>
      </w:pPr>
      <w:rPr>
        <w:rFonts w:hint="default"/>
        <w:lang w:val="en-US" w:eastAsia="en-US" w:bidi="ar-SA"/>
      </w:rPr>
    </w:lvl>
  </w:abstractNum>
  <w:abstractNum w:abstractNumId="4">
    <w:multiLevelType w:val="hybridMultilevel"/>
    <w:lvl w:ilvl="0">
      <w:start w:val="0"/>
      <w:numFmt w:val="bullet"/>
      <w:lvlText w:val=""/>
      <w:lvlJc w:val="left"/>
      <w:pPr>
        <w:ind w:left="184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2787" w:hanging="361"/>
      </w:pPr>
      <w:rPr>
        <w:rFonts w:hint="default"/>
        <w:lang w:val="en-US" w:eastAsia="en-US" w:bidi="ar-SA"/>
      </w:rPr>
    </w:lvl>
    <w:lvl w:ilvl="2">
      <w:start w:val="0"/>
      <w:numFmt w:val="bullet"/>
      <w:lvlText w:val="•"/>
      <w:lvlJc w:val="left"/>
      <w:pPr>
        <w:ind w:left="3735" w:hanging="361"/>
      </w:pPr>
      <w:rPr>
        <w:rFonts w:hint="default"/>
        <w:lang w:val="en-US" w:eastAsia="en-US" w:bidi="ar-SA"/>
      </w:rPr>
    </w:lvl>
    <w:lvl w:ilvl="3">
      <w:start w:val="0"/>
      <w:numFmt w:val="bullet"/>
      <w:lvlText w:val="•"/>
      <w:lvlJc w:val="left"/>
      <w:pPr>
        <w:ind w:left="4683" w:hanging="361"/>
      </w:pPr>
      <w:rPr>
        <w:rFonts w:hint="default"/>
        <w:lang w:val="en-US" w:eastAsia="en-US" w:bidi="ar-SA"/>
      </w:rPr>
    </w:lvl>
    <w:lvl w:ilvl="4">
      <w:start w:val="0"/>
      <w:numFmt w:val="bullet"/>
      <w:lvlText w:val="•"/>
      <w:lvlJc w:val="left"/>
      <w:pPr>
        <w:ind w:left="5631" w:hanging="361"/>
      </w:pPr>
      <w:rPr>
        <w:rFonts w:hint="default"/>
        <w:lang w:val="en-US" w:eastAsia="en-US" w:bidi="ar-SA"/>
      </w:rPr>
    </w:lvl>
    <w:lvl w:ilvl="5">
      <w:start w:val="0"/>
      <w:numFmt w:val="bullet"/>
      <w:lvlText w:val="•"/>
      <w:lvlJc w:val="left"/>
      <w:pPr>
        <w:ind w:left="6579" w:hanging="361"/>
      </w:pPr>
      <w:rPr>
        <w:rFonts w:hint="default"/>
        <w:lang w:val="en-US" w:eastAsia="en-US" w:bidi="ar-SA"/>
      </w:rPr>
    </w:lvl>
    <w:lvl w:ilvl="6">
      <w:start w:val="0"/>
      <w:numFmt w:val="bullet"/>
      <w:lvlText w:val="•"/>
      <w:lvlJc w:val="left"/>
      <w:pPr>
        <w:ind w:left="7527" w:hanging="361"/>
      </w:pPr>
      <w:rPr>
        <w:rFonts w:hint="default"/>
        <w:lang w:val="en-US" w:eastAsia="en-US" w:bidi="ar-SA"/>
      </w:rPr>
    </w:lvl>
    <w:lvl w:ilvl="7">
      <w:start w:val="0"/>
      <w:numFmt w:val="bullet"/>
      <w:lvlText w:val="•"/>
      <w:lvlJc w:val="left"/>
      <w:pPr>
        <w:ind w:left="8475" w:hanging="361"/>
      </w:pPr>
      <w:rPr>
        <w:rFonts w:hint="default"/>
        <w:lang w:val="en-US" w:eastAsia="en-US" w:bidi="ar-SA"/>
      </w:rPr>
    </w:lvl>
    <w:lvl w:ilvl="8">
      <w:start w:val="0"/>
      <w:numFmt w:val="bullet"/>
      <w:lvlText w:val="•"/>
      <w:lvlJc w:val="left"/>
      <w:pPr>
        <w:ind w:left="9423" w:hanging="361"/>
      </w:pPr>
      <w:rPr>
        <w:rFonts w:hint="default"/>
        <w:lang w:val="en-US" w:eastAsia="en-US" w:bidi="ar-SA"/>
      </w:rPr>
    </w:lvl>
  </w:abstractNum>
  <w:abstractNum w:abstractNumId="2">
    <w:multiLevelType w:val="hybridMultilevel"/>
    <w:lvl w:ilvl="0">
      <w:start w:val="1"/>
      <w:numFmt w:val="decimal"/>
      <w:lvlText w:val="%1."/>
      <w:lvlJc w:val="left"/>
      <w:pPr>
        <w:ind w:left="1839" w:hanging="360"/>
        <w:jc w:val="right"/>
      </w:pPr>
      <w:rPr>
        <w:rFonts w:hint="default"/>
        <w:spacing w:val="0"/>
        <w:w w:val="99"/>
        <w:lang w:val="en-US" w:eastAsia="en-US" w:bidi="ar-SA"/>
      </w:rPr>
    </w:lvl>
    <w:lvl w:ilvl="1">
      <w:start w:val="1"/>
      <w:numFmt w:val="decimal"/>
      <w:lvlText w:val="%1.%2"/>
      <w:lvlJc w:val="left"/>
      <w:pPr>
        <w:ind w:left="1840" w:hanging="720"/>
        <w:jc w:val="left"/>
      </w:pPr>
      <w:rPr>
        <w:rFonts w:hint="default" w:ascii="Calibri Light" w:hAnsi="Calibri Light" w:eastAsia="Calibri Light" w:cs="Calibri Light"/>
        <w:b w:val="0"/>
        <w:bCs w:val="0"/>
        <w:i w:val="0"/>
        <w:iCs w:val="0"/>
        <w:spacing w:val="-2"/>
        <w:w w:val="100"/>
        <w:sz w:val="24"/>
        <w:szCs w:val="24"/>
        <w:lang w:val="en-US" w:eastAsia="en-US" w:bidi="ar-SA"/>
      </w:rPr>
    </w:lvl>
    <w:lvl w:ilvl="2">
      <w:start w:val="0"/>
      <w:numFmt w:val="bullet"/>
      <w:lvlText w:val=""/>
      <w:lvlJc w:val="left"/>
      <w:pPr>
        <w:ind w:left="1893" w:hanging="361"/>
      </w:pPr>
      <w:rPr>
        <w:rFonts w:hint="default" w:ascii="Symbol" w:hAnsi="Symbol" w:eastAsia="Symbol" w:cs="Symbol"/>
        <w:b w:val="0"/>
        <w:bCs w:val="0"/>
        <w:i w:val="0"/>
        <w:iCs w:val="0"/>
        <w:w w:val="100"/>
        <w:sz w:val="22"/>
        <w:szCs w:val="22"/>
        <w:lang w:val="en-US" w:eastAsia="en-US" w:bidi="ar-SA"/>
      </w:rPr>
    </w:lvl>
    <w:lvl w:ilvl="3">
      <w:start w:val="0"/>
      <w:numFmt w:val="bullet"/>
      <w:lvlText w:val="•"/>
      <w:lvlJc w:val="left"/>
      <w:pPr>
        <w:ind w:left="3993" w:hanging="361"/>
      </w:pPr>
      <w:rPr>
        <w:rFonts w:hint="default"/>
        <w:lang w:val="en-US" w:eastAsia="en-US" w:bidi="ar-SA"/>
      </w:rPr>
    </w:lvl>
    <w:lvl w:ilvl="4">
      <w:start w:val="0"/>
      <w:numFmt w:val="bullet"/>
      <w:lvlText w:val="•"/>
      <w:lvlJc w:val="left"/>
      <w:pPr>
        <w:ind w:left="5039" w:hanging="361"/>
      </w:pPr>
      <w:rPr>
        <w:rFonts w:hint="default"/>
        <w:lang w:val="en-US" w:eastAsia="en-US" w:bidi="ar-SA"/>
      </w:rPr>
    </w:lvl>
    <w:lvl w:ilvl="5">
      <w:start w:val="0"/>
      <w:numFmt w:val="bullet"/>
      <w:lvlText w:val="•"/>
      <w:lvlJc w:val="left"/>
      <w:pPr>
        <w:ind w:left="6086" w:hanging="361"/>
      </w:pPr>
      <w:rPr>
        <w:rFonts w:hint="default"/>
        <w:lang w:val="en-US" w:eastAsia="en-US" w:bidi="ar-SA"/>
      </w:rPr>
    </w:lvl>
    <w:lvl w:ilvl="6">
      <w:start w:val="0"/>
      <w:numFmt w:val="bullet"/>
      <w:lvlText w:val="•"/>
      <w:lvlJc w:val="left"/>
      <w:pPr>
        <w:ind w:left="7132" w:hanging="361"/>
      </w:pPr>
      <w:rPr>
        <w:rFonts w:hint="default"/>
        <w:lang w:val="en-US" w:eastAsia="en-US" w:bidi="ar-SA"/>
      </w:rPr>
    </w:lvl>
    <w:lvl w:ilvl="7">
      <w:start w:val="0"/>
      <w:numFmt w:val="bullet"/>
      <w:lvlText w:val="•"/>
      <w:lvlJc w:val="left"/>
      <w:pPr>
        <w:ind w:left="8179" w:hanging="361"/>
      </w:pPr>
      <w:rPr>
        <w:rFonts w:hint="default"/>
        <w:lang w:val="en-US" w:eastAsia="en-US" w:bidi="ar-SA"/>
      </w:rPr>
    </w:lvl>
    <w:lvl w:ilvl="8">
      <w:start w:val="0"/>
      <w:numFmt w:val="bullet"/>
      <w:lvlText w:val="•"/>
      <w:lvlJc w:val="left"/>
      <w:pPr>
        <w:ind w:left="9226" w:hanging="361"/>
      </w:pPr>
      <w:rPr>
        <w:rFonts w:hint="default"/>
        <w:lang w:val="en-US" w:eastAsia="en-US" w:bidi="ar-SA"/>
      </w:rPr>
    </w:lvl>
  </w:abstractNum>
  <w:abstractNum w:abstractNumId="1">
    <w:multiLevelType w:val="hybridMultilevel"/>
    <w:lvl w:ilvl="0">
      <w:start w:val="4"/>
      <w:numFmt w:val="decimal"/>
      <w:lvlText w:val="%1"/>
      <w:lvlJc w:val="left"/>
      <w:pPr>
        <w:ind w:left="1998" w:hanging="658"/>
        <w:jc w:val="left"/>
      </w:pPr>
      <w:rPr>
        <w:rFonts w:hint="default"/>
        <w:lang w:val="en-US" w:eastAsia="en-US" w:bidi="ar-SA"/>
      </w:rPr>
    </w:lvl>
    <w:lvl w:ilvl="1">
      <w:start w:val="6"/>
      <w:numFmt w:val="decimal"/>
      <w:lvlText w:val="%1.%2"/>
      <w:lvlJc w:val="left"/>
      <w:pPr>
        <w:ind w:left="1998" w:hanging="658"/>
        <w:jc w:val="left"/>
      </w:pPr>
      <w:rPr>
        <w:rFonts w:hint="default" w:ascii="Calibri" w:hAnsi="Calibri" w:eastAsia="Calibri" w:cs="Calibri"/>
        <w:b w:val="0"/>
        <w:bCs w:val="0"/>
        <w:i w:val="0"/>
        <w:iCs w:val="0"/>
        <w:spacing w:val="-2"/>
        <w:w w:val="100"/>
        <w:sz w:val="22"/>
        <w:szCs w:val="22"/>
        <w:lang w:val="en-US" w:eastAsia="en-US" w:bidi="ar-SA"/>
      </w:rPr>
    </w:lvl>
    <w:lvl w:ilvl="2">
      <w:start w:val="0"/>
      <w:numFmt w:val="bullet"/>
      <w:lvlText w:val="•"/>
      <w:lvlJc w:val="left"/>
      <w:pPr>
        <w:ind w:left="3863" w:hanging="658"/>
      </w:pPr>
      <w:rPr>
        <w:rFonts w:hint="default"/>
        <w:lang w:val="en-US" w:eastAsia="en-US" w:bidi="ar-SA"/>
      </w:rPr>
    </w:lvl>
    <w:lvl w:ilvl="3">
      <w:start w:val="0"/>
      <w:numFmt w:val="bullet"/>
      <w:lvlText w:val="•"/>
      <w:lvlJc w:val="left"/>
      <w:pPr>
        <w:ind w:left="4795" w:hanging="658"/>
      </w:pPr>
      <w:rPr>
        <w:rFonts w:hint="default"/>
        <w:lang w:val="en-US" w:eastAsia="en-US" w:bidi="ar-SA"/>
      </w:rPr>
    </w:lvl>
    <w:lvl w:ilvl="4">
      <w:start w:val="0"/>
      <w:numFmt w:val="bullet"/>
      <w:lvlText w:val="•"/>
      <w:lvlJc w:val="left"/>
      <w:pPr>
        <w:ind w:left="5727" w:hanging="658"/>
      </w:pPr>
      <w:rPr>
        <w:rFonts w:hint="default"/>
        <w:lang w:val="en-US" w:eastAsia="en-US" w:bidi="ar-SA"/>
      </w:rPr>
    </w:lvl>
    <w:lvl w:ilvl="5">
      <w:start w:val="0"/>
      <w:numFmt w:val="bullet"/>
      <w:lvlText w:val="•"/>
      <w:lvlJc w:val="left"/>
      <w:pPr>
        <w:ind w:left="6659" w:hanging="658"/>
      </w:pPr>
      <w:rPr>
        <w:rFonts w:hint="default"/>
        <w:lang w:val="en-US" w:eastAsia="en-US" w:bidi="ar-SA"/>
      </w:rPr>
    </w:lvl>
    <w:lvl w:ilvl="6">
      <w:start w:val="0"/>
      <w:numFmt w:val="bullet"/>
      <w:lvlText w:val="•"/>
      <w:lvlJc w:val="left"/>
      <w:pPr>
        <w:ind w:left="7591" w:hanging="658"/>
      </w:pPr>
      <w:rPr>
        <w:rFonts w:hint="default"/>
        <w:lang w:val="en-US" w:eastAsia="en-US" w:bidi="ar-SA"/>
      </w:rPr>
    </w:lvl>
    <w:lvl w:ilvl="7">
      <w:start w:val="0"/>
      <w:numFmt w:val="bullet"/>
      <w:lvlText w:val="•"/>
      <w:lvlJc w:val="left"/>
      <w:pPr>
        <w:ind w:left="8523" w:hanging="658"/>
      </w:pPr>
      <w:rPr>
        <w:rFonts w:hint="default"/>
        <w:lang w:val="en-US" w:eastAsia="en-US" w:bidi="ar-SA"/>
      </w:rPr>
    </w:lvl>
    <w:lvl w:ilvl="8">
      <w:start w:val="0"/>
      <w:numFmt w:val="bullet"/>
      <w:lvlText w:val="•"/>
      <w:lvlJc w:val="left"/>
      <w:pPr>
        <w:ind w:left="9455" w:hanging="658"/>
      </w:pPr>
      <w:rPr>
        <w:rFonts w:hint="default"/>
        <w:lang w:val="en-US" w:eastAsia="en-US" w:bidi="ar-SA"/>
      </w:rPr>
    </w:lvl>
  </w:abstractNum>
  <w:abstractNum w:abstractNumId="0">
    <w:multiLevelType w:val="hybridMultilevel"/>
    <w:lvl w:ilvl="0">
      <w:start w:val="1"/>
      <w:numFmt w:val="decimal"/>
      <w:lvlText w:val="%1."/>
      <w:lvlJc w:val="left"/>
      <w:pPr>
        <w:ind w:left="1561" w:hanging="442"/>
        <w:jc w:val="left"/>
      </w:pPr>
      <w:rPr>
        <w:rFonts w:hint="default" w:ascii="Calibri" w:hAnsi="Calibri" w:eastAsia="Calibri" w:cs="Calibri"/>
        <w:b/>
        <w:bCs/>
        <w:i w:val="0"/>
        <w:iCs w:val="0"/>
        <w:spacing w:val="-2"/>
        <w:w w:val="100"/>
        <w:sz w:val="22"/>
        <w:szCs w:val="22"/>
        <w:lang w:val="en-US" w:eastAsia="en-US" w:bidi="ar-SA"/>
      </w:rPr>
    </w:lvl>
    <w:lvl w:ilvl="1">
      <w:start w:val="1"/>
      <w:numFmt w:val="decimal"/>
      <w:lvlText w:val="%1.%2"/>
      <w:lvlJc w:val="left"/>
      <w:pPr>
        <w:ind w:left="1998" w:hanging="658"/>
        <w:jc w:val="left"/>
      </w:pPr>
      <w:rPr>
        <w:rFonts w:hint="default" w:ascii="Calibri" w:hAnsi="Calibri" w:eastAsia="Calibri" w:cs="Calibri"/>
        <w:b w:val="0"/>
        <w:bCs w:val="0"/>
        <w:i w:val="0"/>
        <w:iCs w:val="0"/>
        <w:spacing w:val="-2"/>
        <w:w w:val="100"/>
        <w:sz w:val="22"/>
        <w:szCs w:val="22"/>
        <w:lang w:val="en-US" w:eastAsia="en-US" w:bidi="ar-SA"/>
      </w:rPr>
    </w:lvl>
    <w:lvl w:ilvl="2">
      <w:start w:val="0"/>
      <w:numFmt w:val="bullet"/>
      <w:lvlText w:val="•"/>
      <w:lvlJc w:val="left"/>
      <w:pPr>
        <w:ind w:left="3035" w:hanging="658"/>
      </w:pPr>
      <w:rPr>
        <w:rFonts w:hint="default"/>
        <w:lang w:val="en-US" w:eastAsia="en-US" w:bidi="ar-SA"/>
      </w:rPr>
    </w:lvl>
    <w:lvl w:ilvl="3">
      <w:start w:val="0"/>
      <w:numFmt w:val="bullet"/>
      <w:lvlText w:val="•"/>
      <w:lvlJc w:val="left"/>
      <w:pPr>
        <w:ind w:left="4070" w:hanging="658"/>
      </w:pPr>
      <w:rPr>
        <w:rFonts w:hint="default"/>
        <w:lang w:val="en-US" w:eastAsia="en-US" w:bidi="ar-SA"/>
      </w:rPr>
    </w:lvl>
    <w:lvl w:ilvl="4">
      <w:start w:val="0"/>
      <w:numFmt w:val="bullet"/>
      <w:lvlText w:val="•"/>
      <w:lvlJc w:val="left"/>
      <w:pPr>
        <w:ind w:left="5106" w:hanging="658"/>
      </w:pPr>
      <w:rPr>
        <w:rFonts w:hint="default"/>
        <w:lang w:val="en-US" w:eastAsia="en-US" w:bidi="ar-SA"/>
      </w:rPr>
    </w:lvl>
    <w:lvl w:ilvl="5">
      <w:start w:val="0"/>
      <w:numFmt w:val="bullet"/>
      <w:lvlText w:val="•"/>
      <w:lvlJc w:val="left"/>
      <w:pPr>
        <w:ind w:left="6141" w:hanging="658"/>
      </w:pPr>
      <w:rPr>
        <w:rFonts w:hint="default"/>
        <w:lang w:val="en-US" w:eastAsia="en-US" w:bidi="ar-SA"/>
      </w:rPr>
    </w:lvl>
    <w:lvl w:ilvl="6">
      <w:start w:val="0"/>
      <w:numFmt w:val="bullet"/>
      <w:lvlText w:val="•"/>
      <w:lvlJc w:val="left"/>
      <w:pPr>
        <w:ind w:left="7177" w:hanging="658"/>
      </w:pPr>
      <w:rPr>
        <w:rFonts w:hint="default"/>
        <w:lang w:val="en-US" w:eastAsia="en-US" w:bidi="ar-SA"/>
      </w:rPr>
    </w:lvl>
    <w:lvl w:ilvl="7">
      <w:start w:val="0"/>
      <w:numFmt w:val="bullet"/>
      <w:lvlText w:val="•"/>
      <w:lvlJc w:val="left"/>
      <w:pPr>
        <w:ind w:left="8212" w:hanging="658"/>
      </w:pPr>
      <w:rPr>
        <w:rFonts w:hint="default"/>
        <w:lang w:val="en-US" w:eastAsia="en-US" w:bidi="ar-SA"/>
      </w:rPr>
    </w:lvl>
    <w:lvl w:ilvl="8">
      <w:start w:val="0"/>
      <w:numFmt w:val="bullet"/>
      <w:lvlText w:val="•"/>
      <w:lvlJc w:val="left"/>
      <w:pPr>
        <w:ind w:left="9248" w:hanging="658"/>
      </w:pPr>
      <w:rPr>
        <w:rFonts w:hint="default"/>
        <w:lang w:val="en-US"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159"/>
      <w:ind w:left="1561" w:hanging="442"/>
    </w:pPr>
    <w:rPr>
      <w:rFonts w:ascii="Calibri" w:hAnsi="Calibri" w:eastAsia="Calibri" w:cs="Calibri"/>
      <w:b/>
      <w:bCs/>
      <w:sz w:val="22"/>
      <w:szCs w:val="22"/>
      <w:lang w:val="en-US" w:eastAsia="en-US" w:bidi="ar-SA"/>
    </w:rPr>
  </w:style>
  <w:style w:styleId="TOC2" w:type="paragraph">
    <w:name w:val="TOC 2"/>
    <w:basedOn w:val="Normal"/>
    <w:uiPriority w:val="1"/>
    <w:qFormat/>
    <w:pPr>
      <w:spacing w:before="39"/>
      <w:ind w:left="1998" w:hanging="659"/>
    </w:pPr>
    <w:rPr>
      <w:rFonts w:ascii="Calibri" w:hAnsi="Calibri" w:eastAsia="Calibri" w:cs="Calibri"/>
      <w:sz w:val="22"/>
      <w:szCs w:val="22"/>
      <w:lang w:val="en-US" w:eastAsia="en-US" w:bidi="ar-SA"/>
    </w:rPr>
  </w:style>
  <w:style w:styleId="TOC3" w:type="paragraph">
    <w:name w:val="TOC 3"/>
    <w:basedOn w:val="Normal"/>
    <w:uiPriority w:val="1"/>
    <w:qFormat/>
    <w:pPr>
      <w:spacing w:before="38"/>
      <w:ind w:left="1340"/>
    </w:pPr>
    <w:rPr>
      <w:rFonts w:ascii="Calibri" w:hAnsi="Calibri" w:eastAsia="Calibri" w:cs="Calibri"/>
      <w:sz w:val="22"/>
      <w:szCs w:val="22"/>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42"/>
      <w:ind w:left="100"/>
      <w:outlineLvl w:val="1"/>
    </w:pPr>
    <w:rPr>
      <w:rFonts w:ascii="Calibri" w:hAnsi="Calibri" w:eastAsia="Calibri" w:cs="Calibri"/>
      <w:sz w:val="28"/>
      <w:szCs w:val="28"/>
      <w:lang w:val="en-US" w:eastAsia="en-US" w:bidi="ar-SA"/>
    </w:rPr>
  </w:style>
  <w:style w:styleId="Heading2" w:type="paragraph">
    <w:name w:val="Heading 2"/>
    <w:basedOn w:val="Normal"/>
    <w:uiPriority w:val="1"/>
    <w:qFormat/>
    <w:pPr>
      <w:spacing w:before="33"/>
      <w:ind w:left="120"/>
      <w:outlineLvl w:val="2"/>
    </w:pPr>
    <w:rPr>
      <w:rFonts w:ascii="Calibri Light" w:hAnsi="Calibri Light" w:eastAsia="Calibri Light" w:cs="Calibri Light"/>
      <w:sz w:val="24"/>
      <w:szCs w:val="24"/>
      <w:lang w:val="en-US" w:eastAsia="en-US" w:bidi="ar-SA"/>
    </w:rPr>
  </w:style>
  <w:style w:styleId="Heading3" w:type="paragraph">
    <w:name w:val="Heading 3"/>
    <w:basedOn w:val="Normal"/>
    <w:uiPriority w:val="1"/>
    <w:qFormat/>
    <w:pPr>
      <w:ind w:left="436" w:hanging="317"/>
      <w:outlineLvl w:val="3"/>
    </w:pPr>
    <w:rPr>
      <w:rFonts w:ascii="Verdana" w:hAnsi="Verdana" w:eastAsia="Verdana" w:cs="Verdana"/>
      <w:b/>
      <w:bCs/>
      <w:sz w:val="22"/>
      <w:szCs w:val="22"/>
      <w:lang w:val="en-US" w:eastAsia="en-US" w:bidi="ar-SA"/>
    </w:rPr>
  </w:style>
  <w:style w:styleId="Title" w:type="paragraph">
    <w:name w:val="Title"/>
    <w:basedOn w:val="Normal"/>
    <w:uiPriority w:val="1"/>
    <w:qFormat/>
    <w:pPr>
      <w:ind w:left="1120"/>
    </w:pPr>
    <w:rPr>
      <w:rFonts w:ascii="Calibri Light" w:hAnsi="Calibri Light" w:eastAsia="Calibri Light" w:cs="Calibri Light"/>
      <w:sz w:val="52"/>
      <w:szCs w:val="52"/>
      <w:lang w:val="en-US" w:eastAsia="en-US" w:bidi="ar-SA"/>
    </w:rPr>
  </w:style>
  <w:style w:styleId="ListParagraph" w:type="paragraph">
    <w:name w:val="List Paragraph"/>
    <w:basedOn w:val="Normal"/>
    <w:uiPriority w:val="1"/>
    <w:qFormat/>
    <w:pPr>
      <w:ind w:left="1840" w:hanging="361"/>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image" Target="media/image2.png"/><Relationship Id="rId25" Type="http://schemas.openxmlformats.org/officeDocument/2006/relationships/header" Target="header10.xml"/><Relationship Id="rId26" Type="http://schemas.openxmlformats.org/officeDocument/2006/relationships/footer" Target="footer10.xml"/><Relationship Id="rId27" Type="http://schemas.openxmlformats.org/officeDocument/2006/relationships/header" Target="header11.xml"/><Relationship Id="rId28" Type="http://schemas.openxmlformats.org/officeDocument/2006/relationships/footer" Target="footer11.xml"/><Relationship Id="rId29" Type="http://schemas.openxmlformats.org/officeDocument/2006/relationships/header" Target="header12.xml"/><Relationship Id="rId30" Type="http://schemas.openxmlformats.org/officeDocument/2006/relationships/footer" Target="footer12.xml"/><Relationship Id="rId31" Type="http://schemas.openxmlformats.org/officeDocument/2006/relationships/header" Target="header13.xml"/><Relationship Id="rId32" Type="http://schemas.openxmlformats.org/officeDocument/2006/relationships/footer" Target="footer13.xml"/><Relationship Id="rId33" Type="http://schemas.openxmlformats.org/officeDocument/2006/relationships/header" Target="header14.xml"/><Relationship Id="rId34" Type="http://schemas.openxmlformats.org/officeDocument/2006/relationships/footer" Target="footer14.xml"/><Relationship Id="rId35" Type="http://schemas.openxmlformats.org/officeDocument/2006/relationships/header" Target="header15.xml"/><Relationship Id="rId36" Type="http://schemas.openxmlformats.org/officeDocument/2006/relationships/footer" Target="footer15.xm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2023-03-20T00:17:21Z</dcterms:created>
  <dcterms:modified xsi:type="dcterms:W3CDTF">2023-03-20T00:17:21Z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Acrobat PDFMaker 15 for Word</vt:lpwstr>
  </property>
  <property fmtid="{D5CDD505-2E9C-101B-9397-08002B2CF9AE}" pid="4" name="DLM">
    <vt:lpwstr>No DLM</vt:lpwstr>
  </property>
  <property fmtid="{D5CDD505-2E9C-101B-9397-08002B2CF9AE}" pid="5" name="LastSaved">
    <vt:filetime>2023-03-20T00:00:00Z</vt:filetime>
  </property>
  <property fmtid="{D5CDD505-2E9C-101B-9397-08002B2CF9AE}" pid="6" name="Producer">
    <vt:lpwstr>Adobe PDF Library 15.0</vt:lpwstr>
  </property>
  <property fmtid="{D5CDD505-2E9C-101B-9397-08002B2CF9AE}" pid="7" name="SEC">
    <vt:lpwstr>UNCLASSIFIED</vt:lpwstr>
  </property>
  <property fmtid="{D5CDD505-2E9C-101B-9397-08002B2CF9AE}" pid="8" name="SourceModified">
    <vt:lpwstr>D:20171221233659</vt:lpwstr>
  </property>
  <property fmtid="{D5CDD505-2E9C-101B-9397-08002B2CF9AE}" pid="9" name="TitusGUID">
    <vt:lpwstr>5fe93f39-ec42-4b07-a551-9debc9e88f64</vt:lpwstr>
  </property>
</Properties>
</file>