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747.25pt;height:41.1pt;mso-position-horizontal-relative:char;mso-position-vertical-relative:line" type="#_x0000_t202" id="docshape2" filled="true" fillcolor="#deeaf6" stroked="false">
            <w10:anchorlock/>
            <v:textbox inset="0,0,0,0">
              <w:txbxContent>
                <w:p>
                  <w:pPr>
                    <w:pStyle w:val="BodyText"/>
                    <w:spacing w:line="388" w:lineRule="exact"/>
                    <w:ind w:left="28"/>
                    <w:rPr>
                      <w:b w:val="0"/>
                      <w:color w:val="000000"/>
                    </w:rPr>
                  </w:pPr>
                  <w:r>
                    <w:rPr>
                      <w:b w:val="0"/>
                      <w:color w:val="2D74B5"/>
                      <w:spacing w:val="-2"/>
                    </w:rPr>
                    <w:t>2018</w:t>
                  </w:r>
                  <w:r>
                    <w:rPr>
                      <w:b w:val="0"/>
                      <w:color w:val="2D74B5"/>
                      <w:spacing w:val="-17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Solomon</w:t>
                  </w:r>
                  <w:r>
                    <w:rPr>
                      <w:b w:val="0"/>
                      <w:color w:val="2D74B5"/>
                      <w:spacing w:val="-16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Islands</w:t>
                  </w:r>
                  <w:r>
                    <w:rPr>
                      <w:b w:val="0"/>
                      <w:color w:val="2D74B5"/>
                      <w:spacing w:val="-16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Education</w:t>
                  </w:r>
                  <w:r>
                    <w:rPr>
                      <w:b w:val="0"/>
                      <w:color w:val="2D74B5"/>
                      <w:spacing w:val="-16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Sector</w:t>
                  </w:r>
                  <w:r>
                    <w:rPr>
                      <w:b w:val="0"/>
                      <w:color w:val="2D74B5"/>
                      <w:spacing w:val="-16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Program</w:t>
                  </w:r>
                  <w:r>
                    <w:rPr>
                      <w:b w:val="0"/>
                      <w:color w:val="2D74B5"/>
                      <w:spacing w:val="-15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2</w:t>
                  </w:r>
                  <w:r>
                    <w:rPr>
                      <w:b w:val="0"/>
                      <w:color w:val="2D74B5"/>
                      <w:spacing w:val="-16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Performance</w:t>
                  </w:r>
                  <w:r>
                    <w:rPr>
                      <w:b w:val="0"/>
                      <w:color w:val="2D74B5"/>
                      <w:spacing w:val="-14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Linked</w:t>
                  </w:r>
                  <w:r>
                    <w:rPr>
                      <w:b w:val="0"/>
                      <w:color w:val="2D74B5"/>
                      <w:spacing w:val="-16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Aid</w:t>
                  </w:r>
                  <w:r>
                    <w:rPr>
                      <w:b w:val="0"/>
                      <w:color w:val="2D74B5"/>
                      <w:spacing w:val="-17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Independent</w:t>
                  </w:r>
                  <w:r>
                    <w:rPr>
                      <w:b w:val="0"/>
                      <w:color w:val="2D74B5"/>
                      <w:spacing w:val="-16"/>
                    </w:rPr>
                    <w:t> </w:t>
                  </w:r>
                  <w:r>
                    <w:rPr>
                      <w:b w:val="0"/>
                      <w:color w:val="2D74B5"/>
                      <w:spacing w:val="-2"/>
                    </w:rPr>
                    <w:t>Assessment</w:t>
                  </w:r>
                </w:p>
                <w:p>
                  <w:pPr>
                    <w:pStyle w:val="BodyText"/>
                    <w:spacing w:before="41"/>
                    <w:ind w:left="28"/>
                    <w:rPr>
                      <w:b w:val="0"/>
                      <w:color w:val="000000"/>
                    </w:rPr>
                  </w:pPr>
                  <w:r>
                    <w:rPr>
                      <w:b w:val="0"/>
                      <w:color w:val="2D74B5"/>
                      <w:spacing w:val="-4"/>
                    </w:rPr>
                    <w:t>DFAT</w:t>
                  </w:r>
                  <w:r>
                    <w:rPr>
                      <w:b w:val="0"/>
                      <w:color w:val="2D74B5"/>
                      <w:spacing w:val="-8"/>
                    </w:rPr>
                    <w:t> </w:t>
                  </w:r>
                  <w:r>
                    <w:rPr>
                      <w:b w:val="0"/>
                      <w:color w:val="2D74B5"/>
                      <w:spacing w:val="-4"/>
                    </w:rPr>
                    <w:t>Management</w:t>
                  </w:r>
                  <w:r>
                    <w:rPr>
                      <w:b w:val="0"/>
                      <w:color w:val="2D74B5"/>
                      <w:spacing w:val="-8"/>
                    </w:rPr>
                    <w:t> </w:t>
                  </w:r>
                  <w:r>
                    <w:rPr>
                      <w:b w:val="0"/>
                      <w:color w:val="2D74B5"/>
                      <w:spacing w:val="-4"/>
                    </w:rPr>
                    <w:t>Response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2"/>
        <w:gridCol w:w="1211"/>
        <w:gridCol w:w="3948"/>
        <w:gridCol w:w="4085"/>
      </w:tblGrid>
      <w:tr>
        <w:trPr>
          <w:trHeight w:val="542" w:hRule="atLeast"/>
        </w:trPr>
        <w:tc>
          <w:tcPr>
            <w:tcW w:w="5672" w:type="dxa"/>
            <w:tcBorders>
              <w:bottom w:val="single" w:sz="4" w:space="0" w:color="44536A"/>
            </w:tcBorders>
            <w:shd w:val="clear" w:color="auto" w:fill="5B9BD4"/>
          </w:tcPr>
          <w:p>
            <w:pPr>
              <w:pStyle w:val="TableParagraph"/>
              <w:spacing w:before="107"/>
              <w:rPr>
                <w:rFonts w:ascii="Calibri Light"/>
                <w:b w:val="0"/>
                <w:sz w:val="26"/>
              </w:rPr>
            </w:pPr>
            <w:r>
              <w:rPr>
                <w:rFonts w:ascii="Calibri Light"/>
                <w:b w:val="0"/>
                <w:color w:val="FFFFFF"/>
                <w:spacing w:val="-4"/>
                <w:sz w:val="26"/>
              </w:rPr>
              <w:t>Recommendation/</w:t>
            </w:r>
            <w:r>
              <w:rPr>
                <w:rFonts w:ascii="Calibri Light"/>
                <w:b w:val="0"/>
                <w:color w:val="FFFFFF"/>
                <w:spacing w:val="3"/>
                <w:sz w:val="26"/>
              </w:rPr>
              <w:t> </w:t>
            </w:r>
            <w:r>
              <w:rPr>
                <w:rFonts w:ascii="Calibri Light"/>
                <w:b w:val="0"/>
                <w:color w:val="FFFFFF"/>
                <w:spacing w:val="-2"/>
                <w:sz w:val="26"/>
              </w:rPr>
              <w:t>Statement</w:t>
            </w:r>
          </w:p>
        </w:tc>
        <w:tc>
          <w:tcPr>
            <w:tcW w:w="1211" w:type="dxa"/>
            <w:tcBorders>
              <w:bottom w:val="single" w:sz="4" w:space="0" w:color="44536A"/>
            </w:tcBorders>
            <w:shd w:val="clear" w:color="auto" w:fill="5B9BD4"/>
          </w:tcPr>
          <w:p>
            <w:pPr>
              <w:pStyle w:val="TableParagraph"/>
              <w:spacing w:before="107"/>
              <w:ind w:left="108"/>
              <w:rPr>
                <w:rFonts w:ascii="Calibri Light"/>
                <w:b w:val="0"/>
                <w:sz w:val="26"/>
              </w:rPr>
            </w:pPr>
            <w:r>
              <w:rPr>
                <w:rFonts w:ascii="Calibri Light"/>
                <w:b w:val="0"/>
                <w:color w:val="FFFFFF"/>
                <w:spacing w:val="-2"/>
                <w:sz w:val="26"/>
              </w:rPr>
              <w:t>Response</w:t>
            </w:r>
          </w:p>
        </w:tc>
        <w:tc>
          <w:tcPr>
            <w:tcW w:w="3948" w:type="dxa"/>
            <w:tcBorders>
              <w:bottom w:val="single" w:sz="4" w:space="0" w:color="44536A"/>
            </w:tcBorders>
            <w:shd w:val="clear" w:color="auto" w:fill="5B9BD4"/>
          </w:tcPr>
          <w:p>
            <w:pPr>
              <w:pStyle w:val="TableParagraph"/>
              <w:spacing w:before="107"/>
              <w:ind w:left="116"/>
              <w:rPr>
                <w:rFonts w:ascii="Calibri Light"/>
                <w:b w:val="0"/>
                <w:sz w:val="26"/>
              </w:rPr>
            </w:pPr>
            <w:r>
              <w:rPr>
                <w:rFonts w:ascii="Calibri Light"/>
                <w:b w:val="0"/>
                <w:color w:val="FFFFFF"/>
                <w:spacing w:val="-2"/>
                <w:sz w:val="26"/>
              </w:rPr>
              <w:t>Explanation</w:t>
            </w:r>
          </w:p>
        </w:tc>
        <w:tc>
          <w:tcPr>
            <w:tcW w:w="4085" w:type="dxa"/>
            <w:tcBorders>
              <w:bottom w:val="single" w:sz="4" w:space="0" w:color="44536A"/>
            </w:tcBorders>
            <w:shd w:val="clear" w:color="auto" w:fill="5B9BD4"/>
          </w:tcPr>
          <w:p>
            <w:pPr>
              <w:pStyle w:val="TableParagraph"/>
              <w:spacing w:before="107"/>
              <w:ind w:left="143"/>
              <w:rPr>
                <w:rFonts w:ascii="Calibri Light"/>
                <w:b w:val="0"/>
                <w:sz w:val="26"/>
              </w:rPr>
            </w:pPr>
            <w:r>
              <w:rPr>
                <w:rFonts w:ascii="Calibri Light"/>
                <w:b w:val="0"/>
                <w:color w:val="FFFFFF"/>
                <w:spacing w:val="-2"/>
                <w:sz w:val="26"/>
              </w:rPr>
              <w:t>Action</w:t>
            </w:r>
            <w:r>
              <w:rPr>
                <w:rFonts w:ascii="Calibri Light"/>
                <w:b w:val="0"/>
                <w:color w:val="FFFFFF"/>
                <w:spacing w:val="-8"/>
                <w:sz w:val="26"/>
              </w:rPr>
              <w:t> </w:t>
            </w:r>
            <w:r>
              <w:rPr>
                <w:rFonts w:ascii="Calibri Light"/>
                <w:b w:val="0"/>
                <w:color w:val="FFFFFF"/>
                <w:spacing w:val="-4"/>
                <w:sz w:val="26"/>
              </w:rPr>
              <w:t>plan</w:t>
            </w:r>
          </w:p>
        </w:tc>
      </w:tr>
      <w:tr>
        <w:trPr>
          <w:trHeight w:val="3283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1: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Performance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payment</w:t>
            </w:r>
          </w:p>
          <w:p>
            <w:pPr>
              <w:pStyle w:val="TableParagraph"/>
              <w:spacing w:before="121"/>
              <w:ind w:right="2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recommended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Linked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2018 is 68.36 per cent.</w:t>
            </w:r>
          </w:p>
        </w:tc>
        <w:tc>
          <w:tcPr>
            <w:tcW w:w="1211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176"/>
              <w:ind w:left="108" w:right="394"/>
              <w:rPr>
                <w:sz w:val="20"/>
              </w:rPr>
            </w:pPr>
            <w:r>
              <w:rPr>
                <w:spacing w:val="-2"/>
                <w:sz w:val="20"/>
              </w:rPr>
              <w:t>Partially agree</w:t>
            </w:r>
          </w:p>
        </w:tc>
        <w:tc>
          <w:tcPr>
            <w:tcW w:w="3948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176"/>
              <w:ind w:left="116" w:right="125"/>
              <w:rPr>
                <w:sz w:val="20"/>
              </w:rPr>
            </w:pPr>
            <w:r>
              <w:rPr>
                <w:sz w:val="20"/>
              </w:rPr>
              <w:t>DFAT agrees with the assessor’s findings for all targets except target 2.3.2 (‘SISTA 2017 results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improvement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literacy and numeracy for both grades 4 and 6’). In</w:t>
            </w:r>
          </w:p>
          <w:p>
            <w:pPr>
              <w:pStyle w:val="TableParagraph"/>
              <w:spacing w:before="1"/>
              <w:ind w:left="116" w:right="125"/>
              <w:rPr>
                <w:sz w:val="20"/>
              </w:rPr>
            </w:pPr>
            <w:r>
              <w:rPr>
                <w:sz w:val="20"/>
              </w:rPr>
              <w:t>recognition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Solomon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Islands’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2018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Pacific Islands Literacy and Numeracy Assessment (PILNA) results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baseline"/>
              </w:rPr>
              <w:t> (released after the 2018 Independent Assessment Report was completed), DFAT believes MEHRD should achieve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100%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(not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10%)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target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2.3.2.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This gives an overall achievement of 70.29 per cent instead of 68.36 percent.</w:t>
            </w:r>
          </w:p>
        </w:tc>
        <w:tc>
          <w:tcPr>
            <w:tcW w:w="4085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176"/>
              <w:ind w:left="143" w:right="196"/>
              <w:rPr>
                <w:sz w:val="20"/>
              </w:rPr>
            </w:pPr>
            <w:r>
              <w:rPr>
                <w:sz w:val="20"/>
              </w:rPr>
              <w:t>Pending approval of Australia’s new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2019-2023 (ESSP,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joint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 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Zealand) and finalisation of a new Direct Funding Agreement with SIG, DFAT will make this payment in early 2020. As the level of annual budget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MEHRD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ESSP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 been confirmed, the ESSP PLA ceiling (i.e. 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percentage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ESSP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also yet to be confirmed.</w:t>
            </w:r>
          </w:p>
        </w:tc>
      </w:tr>
      <w:tr>
        <w:trPr>
          <w:trHeight w:val="2184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2: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improved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partnership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approach</w:t>
            </w:r>
          </w:p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Engage a skilled Partnership Broker to develop a genuinely agreed and understood Performance Matrix for PLA, and identify any corresponding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needed.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Broker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 build and strengthen partnerships to deliver impactful programs. Skilled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brokering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effectiveness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partnerships and programs.</w:t>
            </w:r>
          </w:p>
        </w:tc>
        <w:tc>
          <w:tcPr>
            <w:tcW w:w="1211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principle</w:t>
            </w:r>
          </w:p>
        </w:tc>
        <w:tc>
          <w:tcPr>
            <w:tcW w:w="3948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116" w:right="125"/>
              <w:rPr>
                <w:sz w:val="20"/>
              </w:rPr>
            </w:pPr>
            <w:r>
              <w:rPr>
                <w:sz w:val="20"/>
              </w:rPr>
              <w:t>Under ESSP, DFAT intends to engage a Program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(PMT)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whose role will include facilitation of the development of the PLA matrix in liaison/agreement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MEHRD,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DFAT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MFAT.</w:t>
            </w:r>
          </w:p>
        </w:tc>
        <w:tc>
          <w:tcPr>
            <w:tcW w:w="4085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143" w:right="279"/>
              <w:rPr>
                <w:sz w:val="20"/>
              </w:rPr>
            </w:pPr>
            <w:r>
              <w:rPr>
                <w:sz w:val="20"/>
              </w:rPr>
              <w:t>Pending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ESSP,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taken forward by the PMT.</w:t>
            </w:r>
          </w:p>
        </w:tc>
      </w:tr>
      <w:tr>
        <w:trPr>
          <w:trHeight w:val="2306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3: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Long-term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indicators</w:t>
            </w:r>
          </w:p>
          <w:p>
            <w:pPr>
              <w:pStyle w:val="TableParagraph"/>
              <w:spacing w:before="118"/>
              <w:ind w:right="208"/>
              <w:rPr>
                <w:sz w:val="20"/>
              </w:rPr>
            </w:pPr>
            <w:r>
              <w:rPr>
                <w:sz w:val="20"/>
              </w:rPr>
              <w:t>Develop a few strategically critical and agreed indicators from MEHRD’s NEAP [National Education Action Plan] and MELP [Monitoring,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constant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realistic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timeframe.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Access and Quality indicators that typically take longer to show improvements.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identified early and ‘cascaded’. Payment could be graduated over a 3 to 4-year</w:t>
            </w:r>
          </w:p>
        </w:tc>
        <w:tc>
          <w:tcPr>
            <w:tcW w:w="1211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176"/>
              <w:ind w:left="108" w:right="394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principle</w:t>
            </w:r>
          </w:p>
        </w:tc>
        <w:tc>
          <w:tcPr>
            <w:tcW w:w="3948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5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176"/>
              <w:ind w:left="143" w:right="279"/>
              <w:rPr>
                <w:sz w:val="20"/>
              </w:rPr>
            </w:pPr>
            <w:r>
              <w:rPr>
                <w:sz w:val="20"/>
              </w:rPr>
              <w:t>Pending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ESSP,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taken forward by the PMT.</w:t>
            </w:r>
          </w:p>
        </w:tc>
      </w:tr>
    </w:tbl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rect style="position:absolute;margin-left:49.560001pt;margin-top:12.645975pt;width:144.020pt;height:.72003pt;mso-position-horizontal-relative:page;mso-position-vertical-relative:paragraph;z-index:-15728128;mso-wrap-distance-left:0;mso-wrap-distance-right:0" id="docshape3" filled="true" fillcolor="#44536a" stroked="false">
            <v:fill type="solid"/>
            <w10:wrap type="topAndBottom"/>
          </v:rect>
        </w:pict>
      </w:r>
    </w:p>
    <w:p>
      <w:pPr>
        <w:spacing w:before="100"/>
        <w:ind w:left="131" w:right="0" w:firstLine="0"/>
        <w:jc w:val="left"/>
        <w:rPr>
          <w:sz w:val="20"/>
        </w:rPr>
      </w:pPr>
      <w:r>
        <w:rPr>
          <w:color w:val="44536A"/>
          <w:sz w:val="20"/>
          <w:vertAlign w:val="superscript"/>
        </w:rPr>
        <w:t>1</w:t>
      </w:r>
      <w:r>
        <w:rPr>
          <w:color w:val="44536A"/>
          <w:spacing w:val="-6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Solomon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Islands’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2018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PILNA</w:t>
      </w:r>
      <w:r>
        <w:rPr>
          <w:color w:val="44536A"/>
          <w:spacing w:val="-6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results</w:t>
      </w:r>
      <w:r>
        <w:rPr>
          <w:color w:val="44536A"/>
          <w:spacing w:val="-7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showed</w:t>
      </w:r>
      <w:r>
        <w:rPr>
          <w:color w:val="44536A"/>
          <w:spacing w:val="-4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increases</w:t>
      </w:r>
      <w:r>
        <w:rPr>
          <w:color w:val="44536A"/>
          <w:spacing w:val="-7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in</w:t>
      </w:r>
      <w:r>
        <w:rPr>
          <w:color w:val="44536A"/>
          <w:spacing w:val="-4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literacy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and</w:t>
      </w:r>
      <w:r>
        <w:rPr>
          <w:color w:val="44536A"/>
          <w:spacing w:val="-4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numeracy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for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grades</w:t>
      </w:r>
      <w:r>
        <w:rPr>
          <w:color w:val="44536A"/>
          <w:spacing w:val="-6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4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and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6</w:t>
      </w:r>
      <w:r>
        <w:rPr>
          <w:color w:val="44536A"/>
          <w:spacing w:val="-5"/>
          <w:sz w:val="20"/>
          <w:vertAlign w:val="baseline"/>
        </w:rPr>
        <w:t> </w:t>
      </w:r>
      <w:r>
        <w:rPr>
          <w:color w:val="44536A"/>
          <w:sz w:val="20"/>
          <w:vertAlign w:val="baseline"/>
        </w:rPr>
        <w:t>since</w:t>
      </w:r>
      <w:r>
        <w:rPr>
          <w:color w:val="44536A"/>
          <w:spacing w:val="-6"/>
          <w:sz w:val="20"/>
          <w:vertAlign w:val="baseline"/>
        </w:rPr>
        <w:t> </w:t>
      </w:r>
      <w:r>
        <w:rPr>
          <w:color w:val="44536A"/>
          <w:spacing w:val="-2"/>
          <w:sz w:val="20"/>
          <w:vertAlign w:val="baseline"/>
        </w:rPr>
        <w:t>2012.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6840" w:h="11910" w:orient="landscape"/>
          <w:pgMar w:footer="741" w:header="0" w:top="740" w:bottom="940" w:left="860" w:right="820"/>
          <w:pgNumType w:start="1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2"/>
        <w:gridCol w:w="1070"/>
        <w:gridCol w:w="4120"/>
        <w:gridCol w:w="3977"/>
      </w:tblGrid>
      <w:tr>
        <w:trPr>
          <w:trHeight w:val="1456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ESSP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design),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percentage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paid each year on achievements towards a longer-term target.</w:t>
            </w:r>
          </w:p>
          <w:p>
            <w:pPr>
              <w:pStyle w:val="TableParagraph"/>
              <w:spacing w:before="1"/>
              <w:ind w:right="208"/>
              <w:rPr>
                <w:sz w:val="20"/>
              </w:rPr>
            </w:pPr>
            <w:r>
              <w:rPr>
                <w:sz w:val="20"/>
              </w:rPr>
              <w:t>Indicators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trends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student performance, transition rates, numbers of certified teachers, numbers of teachers paid on time.</w:t>
            </w:r>
          </w:p>
        </w:tc>
        <w:tc>
          <w:tcPr>
            <w:tcW w:w="9167" w:type="dxa"/>
            <w:gridSpan w:val="3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181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4: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Annual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indicators</w:t>
            </w:r>
          </w:p>
          <w:p>
            <w:pPr>
              <w:pStyle w:val="TableParagraph"/>
              <w:spacing w:before="118"/>
              <w:ind w:right="208"/>
              <w:rPr>
                <w:rFonts w:ascii="Calibri Light"/>
                <w:b w:val="0"/>
                <w:sz w:val="20"/>
              </w:rPr>
            </w:pPr>
            <w:r>
              <w:rPr>
                <w:rFonts w:ascii="Calibri Light"/>
                <w:b w:val="0"/>
                <w:sz w:val="20"/>
              </w:rPr>
              <w:t>Identify 3 or 4 shorter-term annual indicators from MEHRD AWP [Annual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Work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Plan].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These</w:t>
            </w:r>
            <w:r>
              <w:rPr>
                <w:rFonts w:ascii="Calibri Light"/>
                <w:b w:val="0"/>
                <w:spacing w:val="-4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annual</w:t>
            </w:r>
            <w:r>
              <w:rPr>
                <w:rFonts w:asci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indicators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would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most</w:t>
            </w:r>
            <w:r>
              <w:rPr>
                <w:rFonts w:ascii="Calibri Light"/>
                <w:b w:val="0"/>
                <w:spacing w:val="-4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likely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fall into the Management Systems target area. For example, grants retirement, merit-based scholarships, systems/standards improvement</w:t>
            </w:r>
            <w:r>
              <w:rPr>
                <w:rFonts w:ascii="Calibri Light"/>
                <w:b w:val="0"/>
                <w:spacing w:val="-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and</w:t>
            </w:r>
            <w:r>
              <w:rPr>
                <w:rFonts w:ascii="Calibri Light"/>
                <w:b w:val="0"/>
                <w:spacing w:val="-2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responding to</w:t>
            </w:r>
            <w:r>
              <w:rPr>
                <w:rFonts w:ascii="Calibri Light"/>
                <w:b w:val="0"/>
                <w:spacing w:val="-3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audit</w:t>
            </w:r>
            <w:r>
              <w:rPr>
                <w:rFonts w:ascii="Calibri Light"/>
                <w:b w:val="0"/>
                <w:spacing w:val="-3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findings</w:t>
            </w:r>
            <w:r>
              <w:rPr>
                <w:rFonts w:ascii="Calibri Light"/>
                <w:b w:val="0"/>
                <w:spacing w:val="-2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are</w:t>
            </w:r>
            <w:r>
              <w:rPr>
                <w:rFonts w:ascii="Calibri Light"/>
                <w:b w:val="0"/>
                <w:spacing w:val="-3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within</w:t>
            </w:r>
            <w:r>
              <w:rPr>
                <w:rFonts w:ascii="Calibri Light"/>
                <w:b w:val="0"/>
                <w:spacing w:val="-2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MEHRD </w:t>
            </w:r>
            <w:r>
              <w:rPr>
                <w:rFonts w:ascii="Calibri Light"/>
                <w:b w:val="0"/>
                <w:spacing w:val="-2"/>
                <w:sz w:val="20"/>
              </w:rPr>
              <w:t>control.</w:t>
            </w:r>
          </w:p>
        </w:tc>
        <w:tc>
          <w:tcPr>
            <w:tcW w:w="107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spacing w:before="176"/>
              <w:ind w:left="108" w:right="253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principle</w:t>
            </w:r>
          </w:p>
        </w:tc>
        <w:tc>
          <w:tcPr>
            <w:tcW w:w="412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7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spacing w:before="176"/>
              <w:ind w:left="112" w:right="202"/>
              <w:rPr>
                <w:sz w:val="20"/>
              </w:rPr>
            </w:pPr>
            <w:r>
              <w:rPr>
                <w:sz w:val="20"/>
              </w:rPr>
              <w:t>Pending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ESSP,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taken forward by the PMT.</w:t>
            </w:r>
          </w:p>
        </w:tc>
      </w:tr>
      <w:tr>
        <w:trPr>
          <w:trHeight w:val="1451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5: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Maintain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sight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of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bigger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picture</w:t>
            </w:r>
          </w:p>
          <w:p>
            <w:pPr>
              <w:pStyle w:val="TableParagraph"/>
              <w:spacing w:before="120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DFA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[Direct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Agreement]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percent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 sector, controlled scholarship expenditure and audit as higher order triggers for DFA.</w:t>
            </w:r>
          </w:p>
        </w:tc>
        <w:tc>
          <w:tcPr>
            <w:tcW w:w="107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principle</w:t>
            </w:r>
          </w:p>
        </w:tc>
        <w:tc>
          <w:tcPr>
            <w:tcW w:w="412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7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ind w:left="112" w:right="202"/>
              <w:rPr>
                <w:sz w:val="20"/>
              </w:rPr>
            </w:pPr>
            <w:r>
              <w:rPr>
                <w:sz w:val="20"/>
              </w:rPr>
              <w:t>Pending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ESSP,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DFAT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include high level triggers (actual triggers to be negotiated with SIG) in the new DFA and implementation of ESSP.</w:t>
            </w:r>
          </w:p>
        </w:tc>
      </w:tr>
      <w:tr>
        <w:trPr>
          <w:trHeight w:val="1694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6: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Data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research</w:t>
            </w:r>
          </w:p>
          <w:p>
            <w:pPr>
              <w:pStyle w:val="TableParagraph"/>
              <w:spacing w:before="118"/>
              <w:ind w:right="208"/>
              <w:rPr>
                <w:sz w:val="20"/>
              </w:rPr>
            </w:pPr>
            <w:r>
              <w:rPr>
                <w:sz w:val="20"/>
              </w:rPr>
              <w:t>PLA verification rests on the quality of data being collected and analysed within MEHRD. It is suggested partners consider investment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verification.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MEHRD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Secretary is keen for research to inform decision making.</w:t>
            </w:r>
          </w:p>
        </w:tc>
        <w:tc>
          <w:tcPr>
            <w:tcW w:w="107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principle</w:t>
            </w:r>
          </w:p>
        </w:tc>
        <w:tc>
          <w:tcPr>
            <w:tcW w:w="412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7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112" w:right="202"/>
              <w:rPr>
                <w:sz w:val="20"/>
              </w:rPr>
            </w:pPr>
            <w:r>
              <w:rPr>
                <w:sz w:val="20"/>
              </w:rPr>
              <w:t>Pending approval of ESSP, to be taken forward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anticipated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 Development Framework.</w:t>
            </w:r>
          </w:p>
        </w:tc>
      </w:tr>
      <w:tr>
        <w:trPr>
          <w:trHeight w:val="1452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7: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Donor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performance</w:t>
            </w:r>
          </w:p>
          <w:p>
            <w:pPr>
              <w:pStyle w:val="TableParagraph"/>
              <w:spacing w:before="120"/>
              <w:ind w:right="208"/>
              <w:rPr>
                <w:sz w:val="20"/>
              </w:rPr>
            </w:pPr>
            <w:r>
              <w:rPr>
                <w:sz w:val="20"/>
              </w:rPr>
              <w:t>Donors could have PLA partner responsibilities, such as the identification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use of MEHRD systems (not financially linked).</w:t>
            </w:r>
          </w:p>
        </w:tc>
        <w:tc>
          <w:tcPr>
            <w:tcW w:w="107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principle</w:t>
            </w:r>
          </w:p>
        </w:tc>
        <w:tc>
          <w:tcPr>
            <w:tcW w:w="412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7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ind w:left="112" w:right="202"/>
              <w:rPr>
                <w:sz w:val="20"/>
              </w:rPr>
            </w:pPr>
            <w:r>
              <w:rPr>
                <w:sz w:val="20"/>
              </w:rPr>
              <w:t>Pending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ESSP,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taken forward by the PMT.</w:t>
            </w:r>
          </w:p>
        </w:tc>
      </w:tr>
      <w:tr>
        <w:trPr>
          <w:trHeight w:val="1573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8: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Assessment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as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partnership</w:t>
            </w:r>
          </w:p>
          <w:p>
            <w:pPr>
              <w:pStyle w:val="TableParagraph"/>
              <w:spacing w:before="118"/>
              <w:ind w:right="208"/>
              <w:rPr>
                <w:sz w:val="20"/>
              </w:rPr>
            </w:pPr>
            <w:r>
              <w:rPr>
                <w:sz w:val="20"/>
              </w:rPr>
              <w:t>In line with the development of indicators in a genuine partnership,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partnership too. This doesn’t mean the assessor is not independent or is not able to make recommendations with which MEHRD might not</w:t>
            </w:r>
          </w:p>
        </w:tc>
        <w:tc>
          <w:tcPr>
            <w:tcW w:w="107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principle</w:t>
            </w:r>
          </w:p>
        </w:tc>
        <w:tc>
          <w:tcPr>
            <w:tcW w:w="412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257" w:right="44"/>
              <w:rPr>
                <w:sz w:val="20"/>
              </w:rPr>
            </w:pPr>
            <w:r>
              <w:rPr>
                <w:sz w:val="20"/>
              </w:rPr>
              <w:t>The planned approach in ESSP to ensure consistency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minimise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duplication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effort is for MEHRD’s own systems to produce PLA assessment data (without an Independent Assessor) which the PMT will verify.</w:t>
            </w:r>
          </w:p>
        </w:tc>
        <w:tc>
          <w:tcPr>
            <w:tcW w:w="3977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112" w:right="202"/>
              <w:rPr>
                <w:sz w:val="20"/>
              </w:rPr>
            </w:pPr>
            <w:r>
              <w:rPr>
                <w:sz w:val="20"/>
              </w:rPr>
              <w:t>Pending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ESSP,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taken forward by the PMT.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741" w:top="680" w:bottom="940" w:left="860" w:right="82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2"/>
        <w:gridCol w:w="1070"/>
        <w:gridCol w:w="4061"/>
        <w:gridCol w:w="4036"/>
      </w:tblGrid>
      <w:tr>
        <w:trPr>
          <w:trHeight w:val="1456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spacing w:before="59"/>
              <w:ind w:right="208"/>
              <w:rPr>
                <w:sz w:val="20"/>
              </w:rPr>
            </w:pPr>
            <w:r>
              <w:rPr>
                <w:sz w:val="20"/>
              </w:rPr>
              <w:t>agree. It does include partners in the process of data collection, verification and analysis. Consideration could be given to an Independent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Assessor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engaged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3-year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period to ensure consistency of approach. This would not compromise independence if indicators were relatively consistent over time.</w:t>
            </w:r>
          </w:p>
        </w:tc>
        <w:tc>
          <w:tcPr>
            <w:tcW w:w="9167" w:type="dxa"/>
            <w:gridSpan w:val="3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39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Recommendation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on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3.5: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SIG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Scholarships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are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sustainable</w:t>
            </w:r>
          </w:p>
          <w:p>
            <w:pPr>
              <w:pStyle w:val="TableParagraph"/>
              <w:spacing w:before="118"/>
              <w:ind w:right="208"/>
              <w:rPr>
                <w:sz w:val="20"/>
              </w:rPr>
            </w:pPr>
            <w:r>
              <w:rPr>
                <w:sz w:val="20"/>
              </w:rPr>
              <w:t>“For future PLA and linked to any new DFA: Expenditure percentage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ratio 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local/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Rural Training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Centres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scholarships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recommended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 a better measure of results rather than raw numbers of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scholarships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awarded.”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(p.27)</w:t>
            </w:r>
          </w:p>
        </w:tc>
        <w:tc>
          <w:tcPr>
            <w:tcW w:w="107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176"/>
              <w:ind w:left="108" w:right="253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principle</w:t>
            </w:r>
          </w:p>
        </w:tc>
        <w:tc>
          <w:tcPr>
            <w:tcW w:w="4061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36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DEEAF6"/>
          </w:tcPr>
          <w:p>
            <w:pPr>
              <w:pStyle w:val="TableParagraph"/>
              <w:spacing w:before="176"/>
              <w:ind w:left="171" w:right="202"/>
              <w:rPr>
                <w:sz w:val="20"/>
              </w:rPr>
            </w:pPr>
            <w:r>
              <w:rPr>
                <w:sz w:val="20"/>
              </w:rPr>
              <w:t>Pending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ESSP,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taken forward by the PMT.</w:t>
            </w:r>
          </w:p>
        </w:tc>
      </w:tr>
      <w:tr>
        <w:trPr>
          <w:trHeight w:val="2063" w:hRule="atLeast"/>
        </w:trPr>
        <w:tc>
          <w:tcPr>
            <w:tcW w:w="5672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E7E6E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Statement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on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increasing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participation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rates</w:t>
            </w:r>
          </w:p>
          <w:p>
            <w:pPr>
              <w:pStyle w:val="TableParagraph"/>
              <w:spacing w:before="118"/>
              <w:ind w:right="80"/>
              <w:rPr>
                <w:sz w:val="20"/>
              </w:rPr>
            </w:pPr>
            <w:r>
              <w:rPr>
                <w:sz w:val="20"/>
              </w:rPr>
              <w:t>“There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barriers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access in the Solomon Islands for over a decade, with no corresponding strategy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rates.”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(Executive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Summary,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p.1)</w:t>
            </w:r>
          </w:p>
        </w:tc>
        <w:tc>
          <w:tcPr>
            <w:tcW w:w="1070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4061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spacing w:before="176"/>
              <w:ind w:left="257" w:right="212"/>
              <w:rPr>
                <w:sz w:val="20"/>
              </w:rPr>
            </w:pPr>
            <w:r>
              <w:rPr>
                <w:sz w:val="20"/>
              </w:rPr>
              <w:t>DFAT disagrees that there is “no corresponding strategy to increase participation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rates.”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MEHRD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operates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under the Education Strategic Framework 2016- 2030 and the Nation Education Action Plan 2016-2020 which both focus on increasing participation rates.</w:t>
            </w:r>
          </w:p>
        </w:tc>
        <w:tc>
          <w:tcPr>
            <w:tcW w:w="4036" w:type="dxa"/>
            <w:tcBorders>
              <w:top w:val="single" w:sz="4" w:space="0" w:color="44536A"/>
              <w:bottom w:val="single" w:sz="4" w:space="0" w:color="44536A"/>
            </w:tcBorders>
            <w:shd w:val="clear" w:color="auto" w:fill="BCD5ED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</w:tr>
    </w:tbl>
    <w:sectPr>
      <w:type w:val="continuous"/>
      <w:pgSz w:w="16840" w:h="11910" w:orient="landscape"/>
      <w:pgMar w:header="0" w:footer="741" w:top="680" w:bottom="940" w:left="8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6.01001pt;margin-top:547.255981pt;width:51.4pt;height:13.0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44536A"/>
                    <w:sz w:val="22"/>
                  </w:rPr>
                  <w:t>Page</w:t>
                </w:r>
                <w:r>
                  <w:rPr>
                    <w:color w:val="44536A"/>
                    <w:spacing w:val="-4"/>
                    <w:sz w:val="22"/>
                  </w:rPr>
                  <w:t> </w:t>
                </w:r>
                <w:r>
                  <w:rPr>
                    <w:b/>
                    <w:color w:val="44536A"/>
                    <w:sz w:val="22"/>
                  </w:rPr>
                  <w:fldChar w:fldCharType="begin"/>
                </w:r>
                <w:r>
                  <w:rPr>
                    <w:b/>
                    <w:color w:val="44536A"/>
                    <w:sz w:val="22"/>
                  </w:rPr>
                  <w:instrText> PAGE </w:instrText>
                </w:r>
                <w:r>
                  <w:rPr>
                    <w:b/>
                    <w:color w:val="44536A"/>
                    <w:sz w:val="22"/>
                  </w:rPr>
                  <w:fldChar w:fldCharType="separate"/>
                </w:r>
                <w:r>
                  <w:rPr>
                    <w:b/>
                    <w:color w:val="44536A"/>
                    <w:sz w:val="22"/>
                  </w:rPr>
                  <w:t>1</w:t>
                </w:r>
                <w:r>
                  <w:rPr>
                    <w:b/>
                    <w:color w:val="44536A"/>
                    <w:sz w:val="22"/>
                  </w:rPr>
                  <w:fldChar w:fldCharType="end"/>
                </w:r>
                <w:r>
                  <w:rPr>
                    <w:b/>
                    <w:color w:val="44536A"/>
                    <w:spacing w:val="-1"/>
                    <w:sz w:val="22"/>
                  </w:rPr>
                  <w:t> </w:t>
                </w:r>
                <w:r>
                  <w:rPr>
                    <w:color w:val="44536A"/>
                    <w:sz w:val="22"/>
                  </w:rPr>
                  <w:t>of</w:t>
                </w:r>
                <w:r>
                  <w:rPr>
                    <w:color w:val="44536A"/>
                    <w:spacing w:val="-2"/>
                    <w:sz w:val="22"/>
                  </w:rPr>
                  <w:t> </w:t>
                </w:r>
                <w:r>
                  <w:rPr>
                    <w:b/>
                    <w:color w:val="44536A"/>
                    <w:spacing w:val="-10"/>
                    <w:sz w:val="22"/>
                  </w:rPr>
                  <w:fldChar w:fldCharType="begin"/>
                </w:r>
                <w:r>
                  <w:rPr>
                    <w:b/>
                    <w:color w:val="44536A"/>
                    <w:spacing w:val="-10"/>
                    <w:sz w:val="22"/>
                  </w:rPr>
                  <w:instrText> NUMPAGES </w:instrText>
                </w:r>
                <w:r>
                  <w:rPr>
                    <w:b/>
                    <w:color w:val="44536A"/>
                    <w:spacing w:val="-10"/>
                    <w:sz w:val="22"/>
                  </w:rPr>
                  <w:fldChar w:fldCharType="separate"/>
                </w:r>
                <w:r>
                  <w:rPr>
                    <w:b/>
                    <w:color w:val="44536A"/>
                    <w:spacing w:val="-10"/>
                    <w:sz w:val="22"/>
                  </w:rPr>
                  <w:t>3</w:t>
                </w:r>
                <w:r>
                  <w:rPr>
                    <w:b/>
                    <w:color w:val="44536A"/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9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Solomon Islands Education Sector Program 2: management response</dc:title>
  <dcterms:created xsi:type="dcterms:W3CDTF">2023-03-19T23:22:25Z</dcterms:created>
  <dcterms:modified xsi:type="dcterms:W3CDTF">2023-03-19T23:22:25Z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2023-03-19T00:00:00Z</vt:filetime>
  </property>
</Properties>
</file>