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6160"/>
        <w:rPr>
          <w:rFonts w:ascii="Times New Roman"/>
          <w:sz w:val="20"/>
        </w:rPr>
      </w:pPr>
      <w:r>
        <w:rPr>
          <w:rFonts w:ascii="Times New Roman"/>
          <w:sz w:val="20"/>
        </w:rPr>
        <w:drawing>
          <wp:inline distT="0" distB="0" distL="0" distR="0">
            <wp:extent cx="2694328" cy="92659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694328" cy="92659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pStyle w:val="Title"/>
        <w:spacing w:line="670" w:lineRule="exact"/>
        <w:ind w:firstLine="0"/>
        <w:rPr>
          <w:b w:val="0"/>
        </w:rPr>
      </w:pPr>
      <w:r>
        <w:rPr>
          <w:b w:val="0"/>
        </w:rPr>
        <w:t>Independent</w:t>
      </w:r>
      <w:r>
        <w:rPr>
          <w:b w:val="0"/>
          <w:spacing w:val="-20"/>
        </w:rPr>
        <w:t> </w:t>
      </w:r>
      <w:r>
        <w:rPr>
          <w:b w:val="0"/>
        </w:rPr>
        <w:t>Assessment</w:t>
      </w:r>
      <w:r>
        <w:rPr>
          <w:b w:val="0"/>
          <w:spacing w:val="-20"/>
        </w:rPr>
        <w:t> </w:t>
      </w:r>
      <w:r>
        <w:rPr>
          <w:b w:val="0"/>
        </w:rPr>
        <w:t>Report</w:t>
      </w:r>
      <w:r>
        <w:rPr>
          <w:b w:val="0"/>
          <w:spacing w:val="-17"/>
        </w:rPr>
        <w:t> </w:t>
      </w:r>
      <w:r>
        <w:rPr>
          <w:b w:val="0"/>
        </w:rPr>
        <w:t>of</w:t>
      </w:r>
      <w:r>
        <w:rPr>
          <w:b w:val="0"/>
          <w:spacing w:val="-19"/>
        </w:rPr>
        <w:t> </w:t>
      </w:r>
      <w:r>
        <w:rPr>
          <w:b w:val="0"/>
          <w:spacing w:val="-5"/>
        </w:rPr>
        <w:t>the</w:t>
      </w:r>
    </w:p>
    <w:p>
      <w:pPr>
        <w:pStyle w:val="Title"/>
        <w:spacing w:line="276" w:lineRule="auto" w:before="103"/>
        <w:ind w:left="791" w:right="1827"/>
        <w:rPr>
          <w:b w:val="0"/>
        </w:rPr>
      </w:pPr>
      <w:r>
        <w:rPr>
          <w:b w:val="0"/>
        </w:rPr>
        <w:t>Solomon Islands Education Sector Program</w:t>
      </w:r>
      <w:r>
        <w:rPr>
          <w:b w:val="0"/>
          <w:spacing w:val="-15"/>
        </w:rPr>
        <w:t> </w:t>
      </w:r>
      <w:r>
        <w:rPr>
          <w:b w:val="0"/>
        </w:rPr>
        <w:t>2</w:t>
      </w:r>
      <w:r>
        <w:rPr>
          <w:b w:val="0"/>
          <w:spacing w:val="-11"/>
        </w:rPr>
        <w:t> </w:t>
      </w:r>
      <w:r>
        <w:rPr>
          <w:b w:val="0"/>
        </w:rPr>
        <w:t>Performance-Linked</w:t>
      </w:r>
      <w:r>
        <w:rPr>
          <w:b w:val="0"/>
          <w:spacing w:val="-13"/>
        </w:rPr>
        <w:t> </w:t>
      </w:r>
      <w:r>
        <w:rPr>
          <w:b w:val="0"/>
        </w:rPr>
        <w:t>Aid </w:t>
      </w:r>
      <w:r>
        <w:rPr>
          <w:b w:val="0"/>
          <w:spacing w:val="-2"/>
        </w:rPr>
        <w:t>Payment</w:t>
      </w:r>
    </w:p>
    <w:p>
      <w:pPr>
        <w:pStyle w:val="BodyText"/>
        <w:rPr>
          <w:rFonts w:ascii="Calibri Light"/>
          <w:b w:val="0"/>
          <w:sz w:val="56"/>
        </w:rPr>
      </w:pPr>
    </w:p>
    <w:p>
      <w:pPr>
        <w:pStyle w:val="BodyText"/>
        <w:rPr>
          <w:rFonts w:ascii="Calibri Light"/>
          <w:b w:val="0"/>
          <w:sz w:val="56"/>
        </w:rPr>
      </w:pPr>
    </w:p>
    <w:p>
      <w:pPr>
        <w:pStyle w:val="BodyText"/>
        <w:rPr>
          <w:rFonts w:ascii="Calibri Light"/>
          <w:b w:val="0"/>
          <w:sz w:val="56"/>
        </w:rPr>
      </w:pPr>
    </w:p>
    <w:p>
      <w:pPr>
        <w:pStyle w:val="BodyText"/>
        <w:rPr>
          <w:rFonts w:ascii="Calibri Light"/>
          <w:b w:val="0"/>
          <w:sz w:val="56"/>
        </w:rPr>
      </w:pPr>
    </w:p>
    <w:p>
      <w:pPr>
        <w:spacing w:before="427"/>
        <w:ind w:left="356" w:right="1389" w:firstLine="0"/>
        <w:jc w:val="center"/>
        <w:rPr>
          <w:sz w:val="36"/>
        </w:rPr>
      </w:pPr>
      <w:r>
        <w:rPr>
          <w:sz w:val="36"/>
        </w:rPr>
        <w:t>June</w:t>
      </w:r>
      <w:r>
        <w:rPr>
          <w:spacing w:val="1"/>
          <w:sz w:val="36"/>
        </w:rPr>
        <w:t> </w:t>
      </w:r>
      <w:r>
        <w:rPr>
          <w:spacing w:val="-4"/>
          <w:sz w:val="36"/>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77"/>
        <w:ind w:left="3309" w:firstLine="0"/>
        <w:rPr>
          <w:b w:val="0"/>
        </w:rPr>
      </w:pPr>
      <w:hyperlink r:id="rId6">
        <w:r>
          <w:rPr>
            <w:b w:val="0"/>
            <w:color w:val="4471C4"/>
            <w:spacing w:val="-5"/>
          </w:rPr>
          <w:t>www.metis-</w:t>
        </w:r>
        <w:r>
          <w:rPr>
            <w:b w:val="0"/>
            <w:color w:val="4471C4"/>
            <w:spacing w:val="-2"/>
          </w:rPr>
          <w:t>analytics.com</w:t>
        </w:r>
      </w:hyperlink>
    </w:p>
    <w:p>
      <w:pPr>
        <w:spacing w:after="0"/>
        <w:sectPr>
          <w:type w:val="continuous"/>
          <w:pgSz w:w="11900" w:h="16850"/>
          <w:pgMar w:top="540" w:bottom="280" w:left="1220" w:right="18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2"/>
        <w:rPr>
          <w:rFonts w:ascii="Calibri Light"/>
          <w:b w:val="0"/>
          <w:sz w:val="23"/>
        </w:rPr>
      </w:pPr>
    </w:p>
    <w:p>
      <w:pPr>
        <w:pStyle w:val="BodyText"/>
        <w:spacing w:before="57"/>
        <w:ind w:left="220" w:right="1251"/>
        <w:jc w:val="both"/>
      </w:pPr>
      <w:r>
        <w:rPr/>
        <w:t>This report has been prepared by Catherine Yates under the management of the Government of Australia’s (GoA) Department of Foreign Affairs and Trade (DFAT), through its consultancy arrangements with METIS Analytics. The report was commissioned through the Solomon Islands Resource Facility, managed by Cardno.</w:t>
      </w:r>
    </w:p>
    <w:p>
      <w:pPr>
        <w:pStyle w:val="BodyText"/>
        <w:spacing w:before="4"/>
        <w:rPr>
          <w:sz w:val="16"/>
        </w:rPr>
      </w:pPr>
    </w:p>
    <w:p>
      <w:pPr>
        <w:pStyle w:val="BodyText"/>
        <w:ind w:left="220" w:right="1252"/>
        <w:jc w:val="both"/>
      </w:pPr>
      <w:r>
        <w:rPr/>
        <w:t>The views expressed in the report are those of the independent assessor and do not necessarily represent the views and opinions of the Government of Australia, the Solomon Islands Government (SIG) or their agencies and personnel.</w:t>
      </w:r>
    </w:p>
    <w:p>
      <w:pPr>
        <w:pStyle w:val="BodyText"/>
        <w:spacing w:before="5"/>
        <w:rPr>
          <w:sz w:val="16"/>
        </w:rPr>
      </w:pPr>
    </w:p>
    <w:p>
      <w:pPr>
        <w:pStyle w:val="BodyText"/>
        <w:spacing w:before="1"/>
        <w:ind w:left="220" w:right="1252"/>
        <w:jc w:val="both"/>
      </w:pPr>
      <w:r>
        <w:rPr/>
        <w:t>The support provided by the Solomon Island’s Australian High Commission (AHC) personnel and personnel in the SIG Ministry of Education and Human Resources Development (MEHRD) is acknowledged and appreciated. The support of the MEHRD Strategic Support Unit in facilitating and managing the review process was invaluable.</w:t>
      </w:r>
    </w:p>
    <w:p>
      <w:pPr>
        <w:spacing w:after="0"/>
        <w:jc w:val="both"/>
        <w:sectPr>
          <w:headerReference w:type="default" r:id="rId7"/>
          <w:footerReference w:type="default" r:id="rId8"/>
          <w:pgSz w:w="11900" w:h="16850"/>
          <w:pgMar w:header="867" w:footer="873" w:top="1060" w:bottom="1060" w:left="1220" w:right="180"/>
          <w:pgNumType w:start="1"/>
        </w:sectPr>
      </w:pPr>
    </w:p>
    <w:p>
      <w:pPr>
        <w:pStyle w:val="BodyText"/>
        <w:rPr>
          <w:sz w:val="20"/>
        </w:rPr>
      </w:pPr>
    </w:p>
    <w:p>
      <w:pPr>
        <w:pStyle w:val="BodyText"/>
        <w:spacing w:before="4"/>
        <w:rPr>
          <w:sz w:val="28"/>
        </w:rPr>
      </w:pPr>
    </w:p>
    <w:p>
      <w:pPr>
        <w:pStyle w:val="Heading1"/>
        <w:rPr>
          <w:b w:val="0"/>
        </w:rPr>
      </w:pPr>
      <w:bookmarkStart w:name="_bookmark0" w:id="1"/>
      <w:bookmarkEnd w:id="1"/>
      <w:r>
        <w:rPr/>
      </w:r>
      <w:r>
        <w:rPr>
          <w:b w:val="0"/>
          <w:color w:val="4471C4"/>
        </w:rPr>
        <w:t>Table</w:t>
      </w:r>
      <w:r>
        <w:rPr>
          <w:b w:val="0"/>
          <w:color w:val="4471C4"/>
          <w:spacing w:val="15"/>
        </w:rPr>
        <w:t> </w:t>
      </w:r>
      <w:r>
        <w:rPr>
          <w:b w:val="0"/>
          <w:color w:val="4471C4"/>
        </w:rPr>
        <w:t>of</w:t>
      </w:r>
      <w:r>
        <w:rPr>
          <w:b w:val="0"/>
          <w:color w:val="4471C4"/>
          <w:spacing w:val="15"/>
        </w:rPr>
        <w:t> </w:t>
      </w:r>
      <w:r>
        <w:rPr>
          <w:b w:val="0"/>
          <w:color w:val="4471C4"/>
          <w:spacing w:val="-2"/>
        </w:rPr>
        <w:t>Contents</w:t>
      </w:r>
    </w:p>
    <w:sdt>
      <w:sdtPr>
        <w:docPartObj>
          <w:docPartGallery w:val="Table of Contents"/>
          <w:docPartUnique/>
        </w:docPartObj>
      </w:sdtPr>
      <w:sdtEndPr/>
      <w:sdtContent>
        <w:p>
          <w:pPr>
            <w:pStyle w:val="TOC2"/>
            <w:tabs>
              <w:tab w:pos="9133" w:val="left" w:leader="dot"/>
            </w:tabs>
            <w:spacing w:before="261"/>
            <w:rPr>
              <w:rFonts w:ascii="Calibri"/>
              <w:b/>
            </w:rPr>
          </w:pPr>
          <w:hyperlink w:history="true" w:anchor="_bookmark0">
            <w:r>
              <w:rPr>
                <w:b w:val="0"/>
              </w:rPr>
              <w:t>Table</w:t>
            </w:r>
            <w:r>
              <w:rPr>
                <w:b w:val="0"/>
                <w:spacing w:val="-10"/>
              </w:rPr>
              <w:t> </w:t>
            </w:r>
            <w:r>
              <w:rPr>
                <w:b w:val="0"/>
              </w:rPr>
              <w:t>of</w:t>
            </w:r>
            <w:r>
              <w:rPr>
                <w:b w:val="0"/>
                <w:spacing w:val="-11"/>
              </w:rPr>
              <w:t> </w:t>
            </w:r>
            <w:r>
              <w:rPr>
                <w:b w:val="0"/>
                <w:spacing w:val="-2"/>
              </w:rPr>
              <w:t>Contents</w:t>
            </w:r>
            <w:r>
              <w:rPr>
                <w:b w:val="0"/>
              </w:rPr>
              <w:tab/>
            </w:r>
            <w:r>
              <w:rPr>
                <w:rFonts w:ascii="Calibri"/>
                <w:b/>
                <w:spacing w:val="-5"/>
              </w:rPr>
              <w:t>ii</w:t>
            </w:r>
          </w:hyperlink>
        </w:p>
        <w:p>
          <w:pPr>
            <w:pStyle w:val="TOC2"/>
            <w:tabs>
              <w:tab w:pos="9085" w:val="left" w:leader="dot"/>
            </w:tabs>
            <w:spacing w:before="114"/>
            <w:rPr>
              <w:rFonts w:ascii="Calibri"/>
              <w:b/>
            </w:rPr>
          </w:pPr>
          <w:hyperlink w:history="true" w:anchor="_bookmark1">
            <w:r>
              <w:rPr>
                <w:b w:val="0"/>
                <w:spacing w:val="-2"/>
              </w:rPr>
              <w:t>List of tables,</w:t>
            </w:r>
            <w:r>
              <w:rPr>
                <w:b w:val="0"/>
                <w:spacing w:val="-4"/>
              </w:rPr>
              <w:t> </w:t>
            </w:r>
            <w:r>
              <w:rPr>
                <w:b w:val="0"/>
                <w:spacing w:val="-2"/>
              </w:rPr>
              <w:t>figures and</w:t>
            </w:r>
            <w:r>
              <w:rPr>
                <w:b w:val="0"/>
                <w:spacing w:val="-3"/>
              </w:rPr>
              <w:t> </w:t>
            </w:r>
            <w:r>
              <w:rPr>
                <w:b w:val="0"/>
                <w:spacing w:val="-2"/>
              </w:rPr>
              <w:t>diagrams</w:t>
            </w:r>
            <w:r>
              <w:rPr>
                <w:b w:val="0"/>
              </w:rPr>
              <w:tab/>
            </w:r>
            <w:r>
              <w:rPr>
                <w:rFonts w:ascii="Calibri"/>
                <w:b/>
                <w:spacing w:val="-5"/>
              </w:rPr>
              <w:t>iii</w:t>
            </w:r>
          </w:hyperlink>
        </w:p>
        <w:p>
          <w:pPr>
            <w:pStyle w:val="TOC2"/>
            <w:tabs>
              <w:tab w:pos="9087" w:val="left" w:leader="dot"/>
            </w:tabs>
            <w:spacing w:before="115"/>
            <w:rPr>
              <w:rFonts w:ascii="Calibri"/>
              <w:b/>
            </w:rPr>
          </w:pPr>
          <w:hyperlink w:history="true" w:anchor="_bookmark2">
            <w:r>
              <w:rPr>
                <w:b w:val="0"/>
                <w:spacing w:val="-2"/>
              </w:rPr>
              <w:t>Acronyms</w:t>
            </w:r>
            <w:r>
              <w:rPr>
                <w:b w:val="0"/>
                <w:spacing w:val="-7"/>
              </w:rPr>
              <w:t> </w:t>
            </w:r>
            <w:r>
              <w:rPr>
                <w:b w:val="0"/>
                <w:spacing w:val="-2"/>
              </w:rPr>
              <w:t>and</w:t>
            </w:r>
            <w:r>
              <w:rPr>
                <w:b w:val="0"/>
                <w:spacing w:val="-5"/>
              </w:rPr>
              <w:t> </w:t>
            </w:r>
            <w:r>
              <w:rPr>
                <w:b w:val="0"/>
                <w:spacing w:val="-2"/>
              </w:rPr>
              <w:t>Abbreviations</w:t>
            </w:r>
            <w:r>
              <w:rPr>
                <w:b w:val="0"/>
              </w:rPr>
              <w:tab/>
            </w:r>
            <w:r>
              <w:rPr>
                <w:rFonts w:ascii="Calibri"/>
                <w:b/>
                <w:spacing w:val="-5"/>
              </w:rPr>
              <w:t>iv</w:t>
            </w:r>
          </w:hyperlink>
        </w:p>
        <w:p>
          <w:pPr>
            <w:pStyle w:val="TOC2"/>
            <w:tabs>
              <w:tab w:pos="9130" w:val="left" w:leader="dot"/>
            </w:tabs>
            <w:spacing w:before="119"/>
            <w:rPr>
              <w:rFonts w:ascii="Calibri"/>
              <w:b/>
            </w:rPr>
          </w:pPr>
          <w:hyperlink w:history="true" w:anchor="_bookmark3">
            <w:r>
              <w:rPr>
                <w:b w:val="0"/>
                <w:spacing w:val="-2"/>
              </w:rPr>
              <w:t>Executive</w:t>
            </w:r>
            <w:r>
              <w:rPr>
                <w:b w:val="0"/>
                <w:spacing w:val="-4"/>
              </w:rPr>
              <w:t> </w:t>
            </w:r>
            <w:r>
              <w:rPr>
                <w:b w:val="0"/>
                <w:spacing w:val="-2"/>
              </w:rPr>
              <w:t>Summary</w:t>
            </w:r>
            <w:r>
              <w:rPr>
                <w:b w:val="0"/>
              </w:rPr>
              <w:tab/>
            </w:r>
            <w:r>
              <w:rPr>
                <w:rFonts w:ascii="Calibri"/>
                <w:b/>
                <w:spacing w:val="-10"/>
              </w:rPr>
              <w:t>1</w:t>
            </w:r>
          </w:hyperlink>
        </w:p>
        <w:p>
          <w:pPr>
            <w:pStyle w:val="TOC1"/>
            <w:numPr>
              <w:ilvl w:val="0"/>
              <w:numId w:val="1"/>
            </w:numPr>
            <w:tabs>
              <w:tab w:pos="659" w:val="left" w:leader="none"/>
              <w:tab w:pos="660" w:val="left" w:leader="none"/>
              <w:tab w:pos="9130" w:val="left" w:leader="dot"/>
            </w:tabs>
            <w:spacing w:line="240" w:lineRule="auto" w:before="116" w:after="0"/>
            <w:ind w:left="659" w:right="0" w:hanging="440"/>
            <w:jc w:val="left"/>
            <w:rPr>
              <w:b w:val="0"/>
            </w:rPr>
          </w:pPr>
          <w:hyperlink w:history="true" w:anchor="_bookmark4">
            <w:r>
              <w:rPr>
                <w:b w:val="0"/>
                <w:spacing w:val="-2"/>
              </w:rPr>
              <w:t>Introduction</w:t>
            </w:r>
            <w:r>
              <w:rPr>
                <w:b w:val="0"/>
              </w:rPr>
              <w:tab/>
            </w:r>
            <w:r>
              <w:rPr>
                <w:rFonts w:ascii="Calibri"/>
                <w:b/>
                <w:spacing w:val="-10"/>
              </w:rPr>
              <w:t>8</w:t>
            </w:r>
          </w:hyperlink>
        </w:p>
        <w:p>
          <w:pPr>
            <w:pStyle w:val="TOC1"/>
            <w:numPr>
              <w:ilvl w:val="0"/>
              <w:numId w:val="1"/>
            </w:numPr>
            <w:tabs>
              <w:tab w:pos="659" w:val="left" w:leader="none"/>
              <w:tab w:pos="660" w:val="left" w:leader="none"/>
              <w:tab w:pos="9130" w:val="left" w:leader="dot"/>
            </w:tabs>
            <w:spacing w:line="240" w:lineRule="auto" w:before="115" w:after="0"/>
            <w:ind w:left="659" w:right="0" w:hanging="440"/>
            <w:jc w:val="left"/>
            <w:rPr>
              <w:b w:val="0"/>
            </w:rPr>
          </w:pPr>
          <w:hyperlink w:history="true" w:anchor="_bookmark5">
            <w:r>
              <w:rPr>
                <w:b w:val="0"/>
                <w:spacing w:val="-2"/>
              </w:rPr>
              <w:t>Background</w:t>
            </w:r>
            <w:r>
              <w:rPr>
                <w:b w:val="0"/>
                <w:spacing w:val="-6"/>
              </w:rPr>
              <w:t> </w:t>
            </w:r>
            <w:r>
              <w:rPr>
                <w:b w:val="0"/>
                <w:spacing w:val="-2"/>
              </w:rPr>
              <w:t>and</w:t>
            </w:r>
            <w:r>
              <w:rPr>
                <w:b w:val="0"/>
                <w:spacing w:val="-5"/>
              </w:rPr>
              <w:t> </w:t>
            </w:r>
            <w:r>
              <w:rPr>
                <w:b w:val="0"/>
                <w:spacing w:val="-2"/>
              </w:rPr>
              <w:t>Context</w:t>
            </w:r>
            <w:r>
              <w:rPr>
                <w:b w:val="0"/>
              </w:rPr>
              <w:tab/>
            </w:r>
            <w:r>
              <w:rPr>
                <w:rFonts w:ascii="Calibri"/>
                <w:b/>
                <w:spacing w:val="-12"/>
              </w:rPr>
              <w:t>8</w:t>
            </w:r>
          </w:hyperlink>
        </w:p>
        <w:p>
          <w:pPr>
            <w:pStyle w:val="TOC1"/>
            <w:numPr>
              <w:ilvl w:val="0"/>
              <w:numId w:val="1"/>
            </w:numPr>
            <w:tabs>
              <w:tab w:pos="659" w:val="left" w:leader="none"/>
              <w:tab w:pos="660" w:val="left" w:leader="none"/>
              <w:tab w:pos="9130" w:val="left" w:leader="dot"/>
            </w:tabs>
            <w:spacing w:line="240" w:lineRule="auto" w:before="119" w:after="0"/>
            <w:ind w:left="659" w:right="0" w:hanging="440"/>
            <w:jc w:val="left"/>
            <w:rPr>
              <w:b w:val="0"/>
            </w:rPr>
          </w:pPr>
          <w:hyperlink w:history="true" w:anchor="_bookmark6">
            <w:r>
              <w:rPr>
                <w:b w:val="0"/>
                <w:spacing w:val="-2"/>
              </w:rPr>
              <w:t>The</w:t>
            </w:r>
            <w:r>
              <w:rPr>
                <w:b w:val="0"/>
                <w:spacing w:val="-5"/>
              </w:rPr>
              <w:t> </w:t>
            </w:r>
            <w:r>
              <w:rPr>
                <w:b w:val="0"/>
                <w:spacing w:val="-2"/>
              </w:rPr>
              <w:t>Assessment</w:t>
            </w:r>
            <w:r>
              <w:rPr>
                <w:b w:val="0"/>
                <w:spacing w:val="-7"/>
              </w:rPr>
              <w:t> </w:t>
            </w:r>
            <w:r>
              <w:rPr>
                <w:b w:val="0"/>
                <w:spacing w:val="-2"/>
              </w:rPr>
              <w:t>Methodology</w:t>
            </w:r>
            <w:r>
              <w:rPr>
                <w:b w:val="0"/>
              </w:rPr>
              <w:tab/>
            </w:r>
            <w:r>
              <w:rPr>
                <w:rFonts w:ascii="Calibri"/>
                <w:b/>
                <w:spacing w:val="-10"/>
              </w:rPr>
              <w:t>9</w:t>
            </w:r>
          </w:hyperlink>
        </w:p>
        <w:p>
          <w:pPr>
            <w:pStyle w:val="TOC1"/>
            <w:numPr>
              <w:ilvl w:val="0"/>
              <w:numId w:val="1"/>
            </w:numPr>
            <w:tabs>
              <w:tab w:pos="659" w:val="left" w:leader="none"/>
              <w:tab w:pos="660" w:val="left" w:leader="none"/>
              <w:tab w:pos="9029" w:val="left" w:leader="dot"/>
            </w:tabs>
            <w:spacing w:line="240" w:lineRule="auto" w:before="116" w:after="0"/>
            <w:ind w:left="659" w:right="0" w:hanging="440"/>
            <w:jc w:val="left"/>
            <w:rPr>
              <w:b w:val="0"/>
            </w:rPr>
          </w:pPr>
          <w:hyperlink w:history="true" w:anchor="_bookmark7">
            <w:r>
              <w:rPr>
                <w:b w:val="0"/>
                <w:spacing w:val="-2"/>
              </w:rPr>
              <w:t>Review</w:t>
            </w:r>
            <w:r>
              <w:rPr>
                <w:b w:val="0"/>
                <w:spacing w:val="-6"/>
              </w:rPr>
              <w:t> </w:t>
            </w:r>
            <w:r>
              <w:rPr>
                <w:b w:val="0"/>
                <w:spacing w:val="-2"/>
              </w:rPr>
              <w:t>of</w:t>
            </w:r>
            <w:r>
              <w:rPr>
                <w:b w:val="0"/>
                <w:spacing w:val="-4"/>
              </w:rPr>
              <w:t> </w:t>
            </w:r>
            <w:r>
              <w:rPr>
                <w:b w:val="0"/>
                <w:spacing w:val="-2"/>
              </w:rPr>
              <w:t>performance</w:t>
            </w:r>
            <w:r>
              <w:rPr>
                <w:b w:val="0"/>
                <w:spacing w:val="-5"/>
              </w:rPr>
              <w:t> </w:t>
            </w:r>
            <w:r>
              <w:rPr>
                <w:b w:val="0"/>
                <w:spacing w:val="-2"/>
              </w:rPr>
              <w:t>against</w:t>
            </w:r>
            <w:r>
              <w:rPr>
                <w:b w:val="0"/>
                <w:spacing w:val="-7"/>
              </w:rPr>
              <w:t> </w:t>
            </w:r>
            <w:r>
              <w:rPr>
                <w:b w:val="0"/>
                <w:spacing w:val="-2"/>
              </w:rPr>
              <w:t>2018</w:t>
            </w:r>
            <w:r>
              <w:rPr>
                <w:b w:val="0"/>
                <w:spacing w:val="-3"/>
              </w:rPr>
              <w:t> </w:t>
            </w:r>
            <w:r>
              <w:rPr>
                <w:b w:val="0"/>
                <w:spacing w:val="-2"/>
              </w:rPr>
              <w:t>Education</w:t>
            </w:r>
            <w:r>
              <w:rPr>
                <w:b w:val="0"/>
                <w:spacing w:val="-5"/>
              </w:rPr>
              <w:t> </w:t>
            </w:r>
            <w:r>
              <w:rPr>
                <w:b w:val="0"/>
                <w:spacing w:val="-2"/>
              </w:rPr>
              <w:t>Performance</w:t>
            </w:r>
            <w:r>
              <w:rPr>
                <w:b w:val="0"/>
                <w:spacing w:val="-6"/>
              </w:rPr>
              <w:t> </w:t>
            </w:r>
            <w:r>
              <w:rPr>
                <w:b w:val="0"/>
                <w:spacing w:val="-2"/>
              </w:rPr>
              <w:t>Matrix</w:t>
            </w:r>
            <w:r>
              <w:rPr>
                <w:b w:val="0"/>
              </w:rPr>
              <w:tab/>
            </w:r>
            <w:r>
              <w:rPr>
                <w:rFonts w:ascii="Calibri"/>
                <w:b/>
                <w:spacing w:val="-5"/>
              </w:rPr>
              <w:t>10</w:t>
            </w:r>
          </w:hyperlink>
        </w:p>
        <w:p>
          <w:pPr>
            <w:pStyle w:val="TOC3"/>
            <w:numPr>
              <w:ilvl w:val="1"/>
              <w:numId w:val="1"/>
            </w:numPr>
            <w:tabs>
              <w:tab w:pos="1101" w:val="left" w:leader="none"/>
              <w:tab w:pos="1102" w:val="left" w:leader="none"/>
              <w:tab w:pos="9029" w:val="left" w:leader="dot"/>
            </w:tabs>
            <w:spacing w:line="240" w:lineRule="auto" w:before="157" w:after="0"/>
            <w:ind w:left="1101" w:right="0" w:hanging="661"/>
            <w:jc w:val="left"/>
          </w:pPr>
          <w:hyperlink w:history="true" w:anchor="_bookmark8">
            <w:r>
              <w:rPr/>
              <w:t>Education</w:t>
            </w:r>
            <w:r>
              <w:rPr>
                <w:spacing w:val="-10"/>
              </w:rPr>
              <w:t> </w:t>
            </w:r>
            <w:r>
              <w:rPr>
                <w:spacing w:val="-2"/>
              </w:rPr>
              <w:t>Access</w:t>
            </w:r>
            <w:r>
              <w:rPr/>
              <w:tab/>
            </w:r>
            <w:r>
              <w:rPr>
                <w:spacing w:val="-5"/>
              </w:rPr>
              <w:t>11</w:t>
            </w:r>
          </w:hyperlink>
        </w:p>
        <w:p>
          <w:pPr>
            <w:pStyle w:val="TOC4"/>
            <w:numPr>
              <w:ilvl w:val="2"/>
              <w:numId w:val="1"/>
            </w:numPr>
            <w:tabs>
              <w:tab w:pos="1319" w:val="left" w:leader="none"/>
              <w:tab w:pos="1320" w:val="left" w:leader="none"/>
              <w:tab w:pos="9029" w:val="left" w:leader="dot"/>
            </w:tabs>
            <w:spacing w:line="240" w:lineRule="auto" w:before="39" w:after="0"/>
            <w:ind w:left="1319" w:right="0" w:hanging="661"/>
            <w:jc w:val="left"/>
          </w:pPr>
          <w:hyperlink w:history="true" w:anchor="_bookmark9">
            <w:r>
              <w:rPr/>
              <w:t>Target</w:t>
            </w:r>
            <w:r>
              <w:rPr>
                <w:spacing w:val="-5"/>
              </w:rPr>
              <w:t> </w:t>
            </w:r>
            <w:r>
              <w:rPr/>
              <w:t>1.1:</w:t>
            </w:r>
            <w:r>
              <w:rPr>
                <w:spacing w:val="-6"/>
              </w:rPr>
              <w:t> </w:t>
            </w:r>
            <w:r>
              <w:rPr/>
              <w:t>Transition</w:t>
            </w:r>
            <w:r>
              <w:rPr>
                <w:spacing w:val="-5"/>
              </w:rPr>
              <w:t> </w:t>
            </w:r>
            <w:r>
              <w:rPr/>
              <w:t>rates</w:t>
            </w:r>
            <w:r>
              <w:rPr>
                <w:spacing w:val="-6"/>
              </w:rPr>
              <w:t> </w:t>
            </w:r>
            <w:r>
              <w:rPr/>
              <w:t>by</w:t>
            </w:r>
            <w:r>
              <w:rPr>
                <w:spacing w:val="-2"/>
              </w:rPr>
              <w:t> </w:t>
            </w:r>
            <w:r>
              <w:rPr/>
              <w:t>level</w:t>
            </w:r>
            <w:r>
              <w:rPr>
                <w:spacing w:val="-5"/>
              </w:rPr>
              <w:t> </w:t>
            </w:r>
            <w:r>
              <w:rPr/>
              <w:t>and</w:t>
            </w:r>
            <w:r>
              <w:rPr>
                <w:spacing w:val="-5"/>
              </w:rPr>
              <w:t> </w:t>
            </w:r>
            <w:r>
              <w:rPr>
                <w:spacing w:val="-2"/>
              </w:rPr>
              <w:t>gender</w:t>
            </w:r>
            <w:r>
              <w:rPr/>
              <w:tab/>
            </w:r>
            <w:r>
              <w:rPr>
                <w:spacing w:val="-5"/>
              </w:rPr>
              <w:t>11</w:t>
            </w:r>
          </w:hyperlink>
        </w:p>
        <w:p>
          <w:pPr>
            <w:pStyle w:val="TOC4"/>
            <w:numPr>
              <w:ilvl w:val="2"/>
              <w:numId w:val="1"/>
            </w:numPr>
            <w:tabs>
              <w:tab w:pos="1319" w:val="left" w:leader="none"/>
              <w:tab w:pos="1320" w:val="left" w:leader="none"/>
              <w:tab w:pos="9029" w:val="left" w:leader="dot"/>
            </w:tabs>
            <w:spacing w:line="240" w:lineRule="auto" w:before="37" w:after="0"/>
            <w:ind w:left="1319" w:right="0" w:hanging="661"/>
            <w:jc w:val="left"/>
          </w:pPr>
          <w:hyperlink w:history="true" w:anchor="_bookmark11">
            <w:r>
              <w:rPr/>
              <w:t>Target</w:t>
            </w:r>
            <w:r>
              <w:rPr>
                <w:spacing w:val="-5"/>
              </w:rPr>
              <w:t> </w:t>
            </w:r>
            <w:r>
              <w:rPr/>
              <w:t>1.2:</w:t>
            </w:r>
            <w:r>
              <w:rPr>
                <w:spacing w:val="-6"/>
              </w:rPr>
              <w:t> </w:t>
            </w:r>
            <w:r>
              <w:rPr/>
              <w:t>Safe</w:t>
            </w:r>
            <w:r>
              <w:rPr>
                <w:spacing w:val="-5"/>
              </w:rPr>
              <w:t> </w:t>
            </w:r>
            <w:r>
              <w:rPr/>
              <w:t>and</w:t>
            </w:r>
            <w:r>
              <w:rPr>
                <w:spacing w:val="-5"/>
              </w:rPr>
              <w:t> </w:t>
            </w:r>
            <w:r>
              <w:rPr/>
              <w:t>equitable</w:t>
            </w:r>
            <w:r>
              <w:rPr>
                <w:spacing w:val="-6"/>
              </w:rPr>
              <w:t> </w:t>
            </w:r>
            <w:r>
              <w:rPr>
                <w:spacing w:val="-2"/>
              </w:rPr>
              <w:t>access</w:t>
            </w:r>
            <w:r>
              <w:rPr/>
              <w:tab/>
            </w:r>
            <w:r>
              <w:rPr>
                <w:spacing w:val="-5"/>
              </w:rPr>
              <w:t>14</w:t>
            </w:r>
          </w:hyperlink>
        </w:p>
        <w:p>
          <w:pPr>
            <w:pStyle w:val="TOC3"/>
            <w:numPr>
              <w:ilvl w:val="1"/>
              <w:numId w:val="1"/>
            </w:numPr>
            <w:tabs>
              <w:tab w:pos="1101" w:val="left" w:leader="none"/>
              <w:tab w:pos="1102" w:val="left" w:leader="none"/>
              <w:tab w:pos="9029" w:val="left" w:leader="dot"/>
            </w:tabs>
            <w:spacing w:line="240" w:lineRule="auto" w:before="156" w:after="0"/>
            <w:ind w:left="1101" w:right="0" w:hanging="661"/>
            <w:jc w:val="left"/>
          </w:pPr>
          <w:hyperlink w:history="true" w:anchor="_bookmark12">
            <w:r>
              <w:rPr/>
              <w:t>Education</w:t>
            </w:r>
            <w:r>
              <w:rPr>
                <w:spacing w:val="-10"/>
              </w:rPr>
              <w:t> </w:t>
            </w:r>
            <w:r>
              <w:rPr>
                <w:spacing w:val="-2"/>
              </w:rPr>
              <w:t>Quality</w:t>
            </w:r>
            <w:r>
              <w:rPr/>
              <w:tab/>
            </w:r>
            <w:r>
              <w:rPr>
                <w:spacing w:val="-5"/>
              </w:rPr>
              <w:t>15</w:t>
            </w:r>
          </w:hyperlink>
        </w:p>
        <w:p>
          <w:pPr>
            <w:pStyle w:val="TOC4"/>
            <w:numPr>
              <w:ilvl w:val="2"/>
              <w:numId w:val="1"/>
            </w:numPr>
            <w:tabs>
              <w:tab w:pos="1319" w:val="left" w:leader="none"/>
              <w:tab w:pos="1320" w:val="left" w:leader="none"/>
              <w:tab w:pos="9029" w:val="left" w:leader="dot"/>
            </w:tabs>
            <w:spacing w:line="240" w:lineRule="auto" w:before="37" w:after="0"/>
            <w:ind w:left="1319" w:right="0" w:hanging="661"/>
            <w:jc w:val="left"/>
          </w:pPr>
          <w:hyperlink w:history="true" w:anchor="_bookmark13">
            <w:r>
              <w:rPr/>
              <w:t>Target</w:t>
            </w:r>
            <w:r>
              <w:rPr>
                <w:spacing w:val="-6"/>
              </w:rPr>
              <w:t> </w:t>
            </w:r>
            <w:r>
              <w:rPr/>
              <w:t>2.1:</w:t>
            </w:r>
            <w:r>
              <w:rPr>
                <w:spacing w:val="-6"/>
              </w:rPr>
              <w:t> </w:t>
            </w:r>
            <w:r>
              <w:rPr/>
              <w:t>More</w:t>
            </w:r>
            <w:r>
              <w:rPr>
                <w:spacing w:val="-6"/>
              </w:rPr>
              <w:t> </w:t>
            </w:r>
            <w:r>
              <w:rPr/>
              <w:t>teachers</w:t>
            </w:r>
            <w:r>
              <w:rPr>
                <w:spacing w:val="-8"/>
              </w:rPr>
              <w:t> </w:t>
            </w:r>
            <w:r>
              <w:rPr/>
              <w:t>using</w:t>
            </w:r>
            <w:r>
              <w:rPr>
                <w:spacing w:val="-6"/>
              </w:rPr>
              <w:t> </w:t>
            </w:r>
            <w:r>
              <w:rPr/>
              <w:t>improved</w:t>
            </w:r>
            <w:r>
              <w:rPr>
                <w:spacing w:val="-5"/>
              </w:rPr>
              <w:t> </w:t>
            </w:r>
            <w:r>
              <w:rPr>
                <w:spacing w:val="-2"/>
              </w:rPr>
              <w:t>curriculum</w:t>
            </w:r>
            <w:r>
              <w:rPr/>
              <w:tab/>
            </w:r>
            <w:r>
              <w:rPr>
                <w:spacing w:val="-5"/>
              </w:rPr>
              <w:t>15</w:t>
            </w:r>
          </w:hyperlink>
        </w:p>
        <w:p>
          <w:pPr>
            <w:pStyle w:val="TOC4"/>
            <w:numPr>
              <w:ilvl w:val="2"/>
              <w:numId w:val="1"/>
            </w:numPr>
            <w:tabs>
              <w:tab w:pos="1319" w:val="left" w:leader="none"/>
              <w:tab w:pos="1320" w:val="left" w:leader="none"/>
              <w:tab w:pos="9029" w:val="left" w:leader="dot"/>
            </w:tabs>
            <w:spacing w:line="240" w:lineRule="auto" w:before="36" w:after="0"/>
            <w:ind w:left="1319" w:right="0" w:hanging="661"/>
            <w:jc w:val="left"/>
          </w:pPr>
          <w:hyperlink w:history="true" w:anchor="_bookmark14">
            <w:r>
              <w:rPr/>
              <w:t>Target</w:t>
            </w:r>
            <w:r>
              <w:rPr>
                <w:spacing w:val="-6"/>
              </w:rPr>
              <w:t> </w:t>
            </w:r>
            <w:r>
              <w:rPr/>
              <w:t>2.2:</w:t>
            </w:r>
            <w:r>
              <w:rPr>
                <w:spacing w:val="-7"/>
              </w:rPr>
              <w:t> </w:t>
            </w:r>
            <w:r>
              <w:rPr/>
              <w:t>Teachers</w:t>
            </w:r>
            <w:r>
              <w:rPr>
                <w:spacing w:val="-7"/>
              </w:rPr>
              <w:t> </w:t>
            </w:r>
            <w:r>
              <w:rPr/>
              <w:t>meeting</w:t>
            </w:r>
            <w:r>
              <w:rPr>
                <w:spacing w:val="-4"/>
              </w:rPr>
              <w:t> </w:t>
            </w:r>
            <w:r>
              <w:rPr/>
              <w:t>agreed</w:t>
            </w:r>
            <w:r>
              <w:rPr>
                <w:spacing w:val="-5"/>
              </w:rPr>
              <w:t> </w:t>
            </w:r>
            <w:r>
              <w:rPr>
                <w:spacing w:val="-2"/>
              </w:rPr>
              <w:t>standards</w:t>
            </w:r>
            <w:r>
              <w:rPr/>
              <w:tab/>
            </w:r>
            <w:r>
              <w:rPr>
                <w:spacing w:val="-5"/>
              </w:rPr>
              <w:t>17</w:t>
            </w:r>
          </w:hyperlink>
        </w:p>
        <w:p>
          <w:pPr>
            <w:pStyle w:val="TOC4"/>
            <w:numPr>
              <w:ilvl w:val="2"/>
              <w:numId w:val="1"/>
            </w:numPr>
            <w:tabs>
              <w:tab w:pos="1319" w:val="left" w:leader="none"/>
              <w:tab w:pos="1320" w:val="left" w:leader="none"/>
              <w:tab w:pos="9029" w:val="left" w:leader="dot"/>
            </w:tabs>
            <w:spacing w:line="240" w:lineRule="auto" w:before="37" w:after="0"/>
            <w:ind w:left="1319" w:right="0" w:hanging="661"/>
            <w:jc w:val="left"/>
          </w:pPr>
          <w:hyperlink w:history="true" w:anchor="_bookmark15">
            <w:r>
              <w:rPr/>
              <w:t>Target</w:t>
            </w:r>
            <w:r>
              <w:rPr>
                <w:spacing w:val="-5"/>
              </w:rPr>
              <w:t> </w:t>
            </w:r>
            <w:r>
              <w:rPr/>
              <w:t>2.3:</w:t>
            </w:r>
            <w:r>
              <w:rPr>
                <w:spacing w:val="-6"/>
              </w:rPr>
              <w:t> </w:t>
            </w:r>
            <w:r>
              <w:rPr/>
              <w:t>Students</w:t>
            </w:r>
            <w:r>
              <w:rPr>
                <w:spacing w:val="-6"/>
              </w:rPr>
              <w:t> </w:t>
            </w:r>
            <w:r>
              <w:rPr/>
              <w:t>achieving</w:t>
            </w:r>
            <w:r>
              <w:rPr>
                <w:spacing w:val="-4"/>
              </w:rPr>
              <w:t> </w:t>
            </w:r>
            <w:r>
              <w:rPr/>
              <w:t>at</w:t>
            </w:r>
            <w:r>
              <w:rPr>
                <w:spacing w:val="-5"/>
              </w:rPr>
              <w:t> </w:t>
            </w:r>
            <w:r>
              <w:rPr/>
              <w:t>or</w:t>
            </w:r>
            <w:r>
              <w:rPr>
                <w:spacing w:val="-5"/>
              </w:rPr>
              <w:t> </w:t>
            </w:r>
            <w:r>
              <w:rPr/>
              <w:t>above</w:t>
            </w:r>
            <w:r>
              <w:rPr>
                <w:spacing w:val="-1"/>
              </w:rPr>
              <w:t> </w:t>
            </w:r>
            <w:r>
              <w:rPr/>
              <w:t>the</w:t>
            </w:r>
            <w:r>
              <w:rPr>
                <w:spacing w:val="-6"/>
              </w:rPr>
              <w:t> </w:t>
            </w:r>
            <w:r>
              <w:rPr/>
              <w:t>expected</w:t>
            </w:r>
            <w:r>
              <w:rPr>
                <w:spacing w:val="-5"/>
              </w:rPr>
              <w:t> </w:t>
            </w:r>
            <w:r>
              <w:rPr/>
              <w:t>literacy</w:t>
            </w:r>
            <w:r>
              <w:rPr>
                <w:spacing w:val="-5"/>
              </w:rPr>
              <w:t> </w:t>
            </w:r>
            <w:r>
              <w:rPr/>
              <w:t>and</w:t>
            </w:r>
            <w:r>
              <w:rPr>
                <w:spacing w:val="-4"/>
              </w:rPr>
              <w:t> </w:t>
            </w:r>
            <w:r>
              <w:rPr/>
              <w:t>numeracy</w:t>
            </w:r>
            <w:r>
              <w:rPr>
                <w:spacing w:val="-5"/>
              </w:rPr>
              <w:t> </w:t>
            </w:r>
            <w:r>
              <w:rPr>
                <w:spacing w:val="-2"/>
              </w:rPr>
              <w:t>level</w:t>
            </w:r>
            <w:r>
              <w:rPr/>
              <w:tab/>
            </w:r>
            <w:r>
              <w:rPr>
                <w:spacing w:val="-5"/>
              </w:rPr>
              <w:t>18</w:t>
            </w:r>
          </w:hyperlink>
        </w:p>
        <w:p>
          <w:pPr>
            <w:pStyle w:val="TOC4"/>
            <w:numPr>
              <w:ilvl w:val="2"/>
              <w:numId w:val="1"/>
            </w:numPr>
            <w:tabs>
              <w:tab w:pos="1319" w:val="left" w:leader="none"/>
              <w:tab w:pos="1320" w:val="left" w:leader="none"/>
              <w:tab w:pos="9029" w:val="left" w:leader="dot"/>
            </w:tabs>
            <w:spacing w:line="240" w:lineRule="auto" w:before="37" w:after="0"/>
            <w:ind w:left="1319" w:right="0" w:hanging="661"/>
            <w:jc w:val="left"/>
          </w:pPr>
          <w:hyperlink w:history="true" w:anchor="_bookmark16">
            <w:r>
              <w:rPr/>
              <w:t>Target</w:t>
            </w:r>
            <w:r>
              <w:rPr>
                <w:spacing w:val="-5"/>
              </w:rPr>
              <w:t> </w:t>
            </w:r>
            <w:r>
              <w:rPr/>
              <w:t>2.4:</w:t>
            </w:r>
            <w:r>
              <w:rPr>
                <w:spacing w:val="-6"/>
              </w:rPr>
              <w:t> </w:t>
            </w:r>
            <w:r>
              <w:rPr/>
              <w:t>Percentage</w:t>
            </w:r>
            <w:r>
              <w:rPr>
                <w:spacing w:val="-6"/>
              </w:rPr>
              <w:t> </w:t>
            </w:r>
            <w:r>
              <w:rPr/>
              <w:t>of</w:t>
            </w:r>
            <w:r>
              <w:rPr>
                <w:spacing w:val="-7"/>
              </w:rPr>
              <w:t> </w:t>
            </w:r>
            <w:r>
              <w:rPr/>
              <w:t>Certified</w:t>
            </w:r>
            <w:r>
              <w:rPr>
                <w:spacing w:val="-5"/>
              </w:rPr>
              <w:t> </w:t>
            </w:r>
            <w:r>
              <w:rPr/>
              <w:t>Teachers</w:t>
            </w:r>
            <w:r>
              <w:rPr>
                <w:spacing w:val="-6"/>
              </w:rPr>
              <w:t> </w:t>
            </w:r>
            <w:r>
              <w:rPr/>
              <w:t>by</w:t>
            </w:r>
            <w:r>
              <w:rPr>
                <w:spacing w:val="-5"/>
              </w:rPr>
              <w:t> </w:t>
            </w:r>
            <w:r>
              <w:rPr>
                <w:spacing w:val="-2"/>
              </w:rPr>
              <w:t>gender</w:t>
            </w:r>
            <w:r>
              <w:rPr/>
              <w:tab/>
            </w:r>
            <w:r>
              <w:rPr>
                <w:spacing w:val="-5"/>
              </w:rPr>
              <w:t>19</w:t>
            </w:r>
          </w:hyperlink>
        </w:p>
        <w:p>
          <w:pPr>
            <w:pStyle w:val="TOC4"/>
            <w:numPr>
              <w:ilvl w:val="2"/>
              <w:numId w:val="1"/>
            </w:numPr>
            <w:tabs>
              <w:tab w:pos="1319" w:val="left" w:leader="none"/>
              <w:tab w:pos="1320" w:val="left" w:leader="none"/>
              <w:tab w:pos="9029" w:val="left" w:leader="dot"/>
            </w:tabs>
            <w:spacing w:line="240" w:lineRule="auto" w:before="36" w:after="0"/>
            <w:ind w:left="1319" w:right="0" w:hanging="661"/>
            <w:jc w:val="left"/>
          </w:pPr>
          <w:hyperlink w:history="true" w:anchor="_bookmark18">
            <w:r>
              <w:rPr/>
              <w:t>Target</w:t>
            </w:r>
            <w:r>
              <w:rPr>
                <w:spacing w:val="-7"/>
              </w:rPr>
              <w:t> </w:t>
            </w:r>
            <w:r>
              <w:rPr/>
              <w:t>2.5:</w:t>
            </w:r>
            <w:r>
              <w:rPr>
                <w:spacing w:val="-7"/>
              </w:rPr>
              <w:t> </w:t>
            </w:r>
            <w:r>
              <w:rPr/>
              <w:t>School</w:t>
            </w:r>
            <w:r>
              <w:rPr>
                <w:spacing w:val="-6"/>
              </w:rPr>
              <w:t> </w:t>
            </w:r>
            <w:r>
              <w:rPr/>
              <w:t>grant</w:t>
            </w:r>
            <w:r>
              <w:rPr>
                <w:spacing w:val="-6"/>
              </w:rPr>
              <w:t> </w:t>
            </w:r>
            <w:r>
              <w:rPr/>
              <w:t>expenditure</w:t>
            </w:r>
            <w:r>
              <w:rPr>
                <w:spacing w:val="-7"/>
              </w:rPr>
              <w:t> </w:t>
            </w:r>
            <w:r>
              <w:rPr/>
              <w:t>used</w:t>
            </w:r>
            <w:r>
              <w:rPr>
                <w:spacing w:val="-6"/>
              </w:rPr>
              <w:t> </w:t>
            </w:r>
            <w:r>
              <w:rPr/>
              <w:t>for</w:t>
            </w:r>
            <w:r>
              <w:rPr>
                <w:spacing w:val="-6"/>
              </w:rPr>
              <w:t> </w:t>
            </w:r>
            <w:r>
              <w:rPr/>
              <w:t>learning</w:t>
            </w:r>
            <w:r>
              <w:rPr>
                <w:spacing w:val="-7"/>
              </w:rPr>
              <w:t> </w:t>
            </w:r>
            <w:r>
              <w:rPr>
                <w:spacing w:val="-2"/>
              </w:rPr>
              <w:t>materials</w:t>
            </w:r>
            <w:r>
              <w:rPr/>
              <w:tab/>
            </w:r>
            <w:r>
              <w:rPr>
                <w:spacing w:val="-5"/>
              </w:rPr>
              <w:t>21</w:t>
            </w:r>
          </w:hyperlink>
        </w:p>
        <w:p>
          <w:pPr>
            <w:pStyle w:val="TOC3"/>
            <w:numPr>
              <w:ilvl w:val="1"/>
              <w:numId w:val="2"/>
            </w:numPr>
            <w:tabs>
              <w:tab w:pos="1101" w:val="left" w:leader="none"/>
              <w:tab w:pos="1102" w:val="left" w:leader="none"/>
              <w:tab w:pos="9029" w:val="left" w:leader="dot"/>
            </w:tabs>
            <w:spacing w:line="240" w:lineRule="auto" w:before="157" w:after="0"/>
            <w:ind w:left="1101" w:right="0" w:hanging="661"/>
            <w:jc w:val="left"/>
          </w:pPr>
          <w:hyperlink w:history="true" w:anchor="_bookmark19">
            <w:r>
              <w:rPr/>
              <w:t>Education</w:t>
            </w:r>
            <w:r>
              <w:rPr>
                <w:spacing w:val="-10"/>
              </w:rPr>
              <w:t> </w:t>
            </w:r>
            <w:r>
              <w:rPr/>
              <w:t>Management</w:t>
            </w:r>
            <w:r>
              <w:rPr>
                <w:spacing w:val="-11"/>
              </w:rPr>
              <w:t> </w:t>
            </w:r>
            <w:r>
              <w:rPr>
                <w:spacing w:val="-2"/>
              </w:rPr>
              <w:t>Systems</w:t>
            </w:r>
            <w:r>
              <w:rPr/>
              <w:tab/>
            </w:r>
            <w:r>
              <w:rPr>
                <w:spacing w:val="-5"/>
              </w:rPr>
              <w:t>22</w:t>
            </w:r>
          </w:hyperlink>
        </w:p>
        <w:p>
          <w:pPr>
            <w:pStyle w:val="TOC4"/>
            <w:numPr>
              <w:ilvl w:val="2"/>
              <w:numId w:val="2"/>
            </w:numPr>
            <w:tabs>
              <w:tab w:pos="1319" w:val="left" w:leader="none"/>
              <w:tab w:pos="1320" w:val="left" w:leader="none"/>
              <w:tab w:pos="9029" w:val="left" w:leader="dot"/>
            </w:tabs>
            <w:spacing w:line="240" w:lineRule="auto" w:before="37" w:after="0"/>
            <w:ind w:left="1319" w:right="0" w:hanging="661"/>
            <w:jc w:val="left"/>
          </w:pPr>
          <w:hyperlink w:history="true" w:anchor="_bookmark20">
            <w:r>
              <w:rPr/>
              <w:t>Target</w:t>
            </w:r>
            <w:r>
              <w:rPr>
                <w:spacing w:val="-6"/>
              </w:rPr>
              <w:t> </w:t>
            </w:r>
            <w:r>
              <w:rPr/>
              <w:t>3.1:</w:t>
            </w:r>
            <w:r>
              <w:rPr>
                <w:spacing w:val="-6"/>
              </w:rPr>
              <w:t> </w:t>
            </w:r>
            <w:r>
              <w:rPr/>
              <w:t>Retirement</w:t>
            </w:r>
            <w:r>
              <w:rPr>
                <w:spacing w:val="-5"/>
              </w:rPr>
              <w:t> </w:t>
            </w:r>
            <w:r>
              <w:rPr/>
              <w:t>percentage</w:t>
            </w:r>
            <w:r>
              <w:rPr>
                <w:spacing w:val="-8"/>
              </w:rPr>
              <w:t> </w:t>
            </w:r>
            <w:r>
              <w:rPr/>
              <w:t>of</w:t>
            </w:r>
            <w:r>
              <w:rPr>
                <w:spacing w:val="-7"/>
              </w:rPr>
              <w:t> </w:t>
            </w:r>
            <w:r>
              <w:rPr/>
              <w:t>2018</w:t>
            </w:r>
            <w:r>
              <w:rPr>
                <w:spacing w:val="-6"/>
              </w:rPr>
              <w:t> </w:t>
            </w:r>
            <w:r>
              <w:rPr/>
              <w:t>school</w:t>
            </w:r>
            <w:r>
              <w:rPr>
                <w:spacing w:val="-5"/>
              </w:rPr>
              <w:t> </w:t>
            </w:r>
            <w:r>
              <w:rPr>
                <w:spacing w:val="-2"/>
              </w:rPr>
              <w:t>grants</w:t>
            </w:r>
            <w:r>
              <w:rPr/>
              <w:tab/>
            </w:r>
            <w:r>
              <w:rPr>
                <w:spacing w:val="-5"/>
              </w:rPr>
              <w:t>22</w:t>
            </w:r>
          </w:hyperlink>
        </w:p>
        <w:p>
          <w:pPr>
            <w:pStyle w:val="TOC4"/>
            <w:numPr>
              <w:ilvl w:val="2"/>
              <w:numId w:val="2"/>
            </w:numPr>
            <w:tabs>
              <w:tab w:pos="1319" w:val="left" w:leader="none"/>
              <w:tab w:pos="1320" w:val="left" w:leader="none"/>
              <w:tab w:pos="9029" w:val="left" w:leader="dot"/>
            </w:tabs>
            <w:spacing w:line="240" w:lineRule="auto" w:before="37" w:after="0"/>
            <w:ind w:left="1319" w:right="0" w:hanging="661"/>
            <w:jc w:val="left"/>
          </w:pPr>
          <w:hyperlink w:history="true" w:anchor="_bookmark23">
            <w:r>
              <w:rPr/>
              <w:t>Target</w:t>
            </w:r>
            <w:r>
              <w:rPr>
                <w:spacing w:val="-5"/>
              </w:rPr>
              <w:t> </w:t>
            </w:r>
            <w:r>
              <w:rPr/>
              <w:t>3.2:</w:t>
            </w:r>
            <w:r>
              <w:rPr>
                <w:spacing w:val="36"/>
              </w:rPr>
              <w:t> </w:t>
            </w:r>
            <w:r>
              <w:rPr/>
              <w:t>Draft</w:t>
            </w:r>
            <w:r>
              <w:rPr>
                <w:spacing w:val="-4"/>
              </w:rPr>
              <w:t> </w:t>
            </w:r>
            <w:r>
              <w:rPr/>
              <w:t>Education</w:t>
            </w:r>
            <w:r>
              <w:rPr>
                <w:spacing w:val="-4"/>
              </w:rPr>
              <w:t> </w:t>
            </w:r>
            <w:r>
              <w:rPr/>
              <w:t>Bill</w:t>
            </w:r>
            <w:r>
              <w:rPr>
                <w:spacing w:val="-5"/>
              </w:rPr>
              <w:t> </w:t>
            </w:r>
            <w:r>
              <w:rPr/>
              <w:t>is</w:t>
            </w:r>
            <w:r>
              <w:rPr>
                <w:spacing w:val="-6"/>
              </w:rPr>
              <w:t> </w:t>
            </w:r>
            <w:r>
              <w:rPr>
                <w:spacing w:val="-2"/>
              </w:rPr>
              <w:t>passed</w:t>
            </w:r>
            <w:r>
              <w:rPr/>
              <w:tab/>
            </w:r>
            <w:r>
              <w:rPr>
                <w:spacing w:val="-5"/>
              </w:rPr>
              <w:t>24</w:t>
            </w:r>
          </w:hyperlink>
        </w:p>
        <w:p>
          <w:pPr>
            <w:pStyle w:val="TOC4"/>
            <w:numPr>
              <w:ilvl w:val="2"/>
              <w:numId w:val="2"/>
            </w:numPr>
            <w:tabs>
              <w:tab w:pos="1319" w:val="left" w:leader="none"/>
              <w:tab w:pos="1320" w:val="left" w:leader="none"/>
              <w:tab w:pos="9029" w:val="left" w:leader="dot"/>
            </w:tabs>
            <w:spacing w:line="240" w:lineRule="auto" w:before="36" w:after="0"/>
            <w:ind w:left="1319" w:right="0" w:hanging="661"/>
            <w:jc w:val="left"/>
          </w:pPr>
          <w:hyperlink w:history="true" w:anchor="_bookmark24">
            <w:r>
              <w:rPr/>
              <w:t>Target</w:t>
            </w:r>
            <w:r>
              <w:rPr>
                <w:spacing w:val="-6"/>
              </w:rPr>
              <w:t> </w:t>
            </w:r>
            <w:r>
              <w:rPr/>
              <w:t>3.3:</w:t>
            </w:r>
            <w:r>
              <w:rPr>
                <w:spacing w:val="-6"/>
              </w:rPr>
              <w:t> </w:t>
            </w:r>
            <w:r>
              <w:rPr/>
              <w:t>Education</w:t>
            </w:r>
            <w:r>
              <w:rPr>
                <w:spacing w:val="-5"/>
              </w:rPr>
              <w:t> </w:t>
            </w:r>
            <w:r>
              <w:rPr/>
              <w:t>Authorities</w:t>
            </w:r>
            <w:r>
              <w:rPr>
                <w:spacing w:val="-7"/>
              </w:rPr>
              <w:t> </w:t>
            </w:r>
            <w:r>
              <w:rPr/>
              <w:t>operate</w:t>
            </w:r>
            <w:r>
              <w:rPr>
                <w:spacing w:val="-3"/>
              </w:rPr>
              <w:t> </w:t>
            </w:r>
            <w:r>
              <w:rPr/>
              <w:t>to</w:t>
            </w:r>
            <w:r>
              <w:rPr>
                <w:spacing w:val="-5"/>
              </w:rPr>
              <w:t> </w:t>
            </w:r>
            <w:r>
              <w:rPr/>
              <w:t>agreed</w:t>
            </w:r>
            <w:r>
              <w:rPr>
                <w:spacing w:val="-6"/>
              </w:rPr>
              <w:t> </w:t>
            </w:r>
            <w:r>
              <w:rPr>
                <w:spacing w:val="-2"/>
              </w:rPr>
              <w:t>standards</w:t>
            </w:r>
            <w:r>
              <w:rPr/>
              <w:tab/>
            </w:r>
            <w:r>
              <w:rPr>
                <w:spacing w:val="-5"/>
              </w:rPr>
              <w:t>24</w:t>
            </w:r>
          </w:hyperlink>
        </w:p>
        <w:p>
          <w:pPr>
            <w:pStyle w:val="TOC4"/>
            <w:numPr>
              <w:ilvl w:val="2"/>
              <w:numId w:val="2"/>
            </w:numPr>
            <w:tabs>
              <w:tab w:pos="1319" w:val="left" w:leader="none"/>
              <w:tab w:pos="1320" w:val="left" w:leader="none"/>
              <w:tab w:pos="9029" w:val="left" w:leader="dot"/>
            </w:tabs>
            <w:spacing w:line="240" w:lineRule="auto" w:before="37" w:after="0"/>
            <w:ind w:left="1319" w:right="0" w:hanging="661"/>
            <w:jc w:val="left"/>
          </w:pPr>
          <w:hyperlink w:history="true" w:anchor="_bookmark25">
            <w:r>
              <w:rPr/>
              <w:t>Target</w:t>
            </w:r>
            <w:r>
              <w:rPr>
                <w:spacing w:val="-6"/>
              </w:rPr>
              <w:t> </w:t>
            </w:r>
            <w:r>
              <w:rPr/>
              <w:t>3.4:</w:t>
            </w:r>
            <w:r>
              <w:rPr>
                <w:spacing w:val="-5"/>
              </w:rPr>
              <w:t> </w:t>
            </w:r>
            <w:r>
              <w:rPr/>
              <w:t>2018</w:t>
            </w:r>
            <w:r>
              <w:rPr>
                <w:spacing w:val="-6"/>
              </w:rPr>
              <w:t> </w:t>
            </w:r>
            <w:r>
              <w:rPr/>
              <w:t>recurrent</w:t>
            </w:r>
            <w:r>
              <w:rPr>
                <w:spacing w:val="-5"/>
              </w:rPr>
              <w:t> </w:t>
            </w:r>
            <w:r>
              <w:rPr/>
              <w:t>expenditure</w:t>
            </w:r>
            <w:r>
              <w:rPr>
                <w:spacing w:val="-6"/>
              </w:rPr>
              <w:t> </w:t>
            </w:r>
            <w:r>
              <w:rPr/>
              <w:t>for</w:t>
            </w:r>
            <w:r>
              <w:rPr>
                <w:spacing w:val="-5"/>
              </w:rPr>
              <w:t> </w:t>
            </w:r>
            <w:r>
              <w:rPr/>
              <w:t>Basic</w:t>
            </w:r>
            <w:r>
              <w:rPr>
                <w:spacing w:val="-6"/>
              </w:rPr>
              <w:t> </w:t>
            </w:r>
            <w:r>
              <w:rPr/>
              <w:t>Education</w:t>
            </w:r>
            <w:r>
              <w:rPr>
                <w:spacing w:val="-6"/>
              </w:rPr>
              <w:t> </w:t>
            </w:r>
            <w:r>
              <w:rPr/>
              <w:t>is</w:t>
            </w:r>
            <w:r>
              <w:rPr>
                <w:spacing w:val="-7"/>
              </w:rPr>
              <w:t> </w:t>
            </w:r>
            <w:r>
              <w:rPr/>
              <w:t>maintained</w:t>
            </w:r>
            <w:r>
              <w:rPr>
                <w:spacing w:val="-5"/>
              </w:rPr>
              <w:t> </w:t>
            </w:r>
            <w:r>
              <w:rPr/>
              <w:t>or</w:t>
            </w:r>
            <w:r>
              <w:rPr>
                <w:spacing w:val="-5"/>
              </w:rPr>
              <w:t> </w:t>
            </w:r>
            <w:r>
              <w:rPr>
                <w:spacing w:val="-2"/>
              </w:rPr>
              <w:t>improved</w:t>
            </w:r>
            <w:r>
              <w:rPr/>
              <w:tab/>
            </w:r>
            <w:r>
              <w:rPr>
                <w:spacing w:val="-5"/>
              </w:rPr>
              <w:t>25</w:t>
            </w:r>
          </w:hyperlink>
        </w:p>
        <w:p>
          <w:pPr>
            <w:pStyle w:val="TOC4"/>
            <w:numPr>
              <w:ilvl w:val="2"/>
              <w:numId w:val="2"/>
            </w:numPr>
            <w:tabs>
              <w:tab w:pos="1319" w:val="left" w:leader="none"/>
              <w:tab w:pos="1320" w:val="left" w:leader="none"/>
              <w:tab w:pos="9029" w:val="left" w:leader="dot"/>
            </w:tabs>
            <w:spacing w:line="240" w:lineRule="auto" w:before="34" w:after="0"/>
            <w:ind w:left="1319" w:right="0" w:hanging="661"/>
            <w:jc w:val="left"/>
          </w:pPr>
          <w:hyperlink w:history="true" w:anchor="_bookmark28">
            <w:r>
              <w:rPr/>
              <w:t>Target</w:t>
            </w:r>
            <w:r>
              <w:rPr>
                <w:spacing w:val="-7"/>
              </w:rPr>
              <w:t> </w:t>
            </w:r>
            <w:r>
              <w:rPr/>
              <w:t>3.5:</w:t>
            </w:r>
            <w:r>
              <w:rPr>
                <w:spacing w:val="-8"/>
              </w:rPr>
              <w:t> </w:t>
            </w:r>
            <w:r>
              <w:rPr/>
              <w:t>Solomon</w:t>
            </w:r>
            <w:r>
              <w:rPr>
                <w:spacing w:val="-7"/>
              </w:rPr>
              <w:t> </w:t>
            </w:r>
            <w:r>
              <w:rPr/>
              <w:t>Islands</w:t>
            </w:r>
            <w:r>
              <w:rPr>
                <w:spacing w:val="-8"/>
              </w:rPr>
              <w:t> </w:t>
            </w:r>
            <w:r>
              <w:rPr/>
              <w:t>Government</w:t>
            </w:r>
            <w:r>
              <w:rPr>
                <w:spacing w:val="-7"/>
              </w:rPr>
              <w:t> </w:t>
            </w:r>
            <w:r>
              <w:rPr/>
              <w:t>Scholarships</w:t>
            </w:r>
            <w:r>
              <w:rPr>
                <w:spacing w:val="-9"/>
              </w:rPr>
              <w:t> </w:t>
            </w:r>
            <w:r>
              <w:rPr/>
              <w:t>are</w:t>
            </w:r>
            <w:r>
              <w:rPr>
                <w:spacing w:val="-8"/>
              </w:rPr>
              <w:t> </w:t>
            </w:r>
            <w:r>
              <w:rPr>
                <w:spacing w:val="-2"/>
              </w:rPr>
              <w:t>sustainable</w:t>
            </w:r>
            <w:r>
              <w:rPr/>
              <w:tab/>
            </w:r>
            <w:r>
              <w:rPr>
                <w:spacing w:val="-5"/>
              </w:rPr>
              <w:t>27</w:t>
            </w:r>
          </w:hyperlink>
        </w:p>
        <w:p>
          <w:pPr>
            <w:pStyle w:val="TOC4"/>
            <w:numPr>
              <w:ilvl w:val="2"/>
              <w:numId w:val="2"/>
            </w:numPr>
            <w:tabs>
              <w:tab w:pos="1319" w:val="left" w:leader="none"/>
              <w:tab w:pos="1320" w:val="left" w:leader="none"/>
              <w:tab w:pos="9029" w:val="left" w:leader="dot"/>
            </w:tabs>
            <w:spacing w:line="276" w:lineRule="auto" w:before="37" w:after="0"/>
            <w:ind w:left="1319" w:right="1265" w:hanging="660"/>
            <w:jc w:val="left"/>
          </w:pPr>
          <w:hyperlink w:history="true" w:anchor="_bookmark32">
            <w:r>
              <w:rPr/>
              <w:t>Target 3.6: The Solomon Islands Government maintains its recurrent budget allocation for</w:t>
            </w:r>
          </w:hyperlink>
          <w:r>
            <w:rPr/>
            <w:t> </w:t>
          </w:r>
          <w:hyperlink w:history="true" w:anchor="_bookmark32">
            <w:r>
              <w:rPr/>
              <w:t>education</w:t>
            </w:r>
            <w:r>
              <w:rPr>
                <w:spacing w:val="-5"/>
              </w:rPr>
              <w:t> </w:t>
            </w:r>
            <w:r>
              <w:rPr/>
              <w:t>in</w:t>
            </w:r>
            <w:r>
              <w:rPr>
                <w:spacing w:val="-4"/>
              </w:rPr>
              <w:t> </w:t>
            </w:r>
            <w:r>
              <w:rPr>
                <w:spacing w:val="-2"/>
              </w:rPr>
              <w:t>2018.</w:t>
            </w:r>
            <w:r>
              <w:rPr/>
              <w:tab/>
            </w:r>
            <w:r>
              <w:rPr>
                <w:spacing w:val="-5"/>
              </w:rPr>
              <w:t>30</w:t>
            </w:r>
          </w:hyperlink>
        </w:p>
        <w:p>
          <w:pPr>
            <w:pStyle w:val="TOC4"/>
            <w:numPr>
              <w:ilvl w:val="2"/>
              <w:numId w:val="2"/>
            </w:numPr>
            <w:tabs>
              <w:tab w:pos="1319" w:val="left" w:leader="none"/>
              <w:tab w:pos="1320" w:val="left" w:leader="none"/>
              <w:tab w:pos="9029" w:val="left" w:leader="dot"/>
            </w:tabs>
            <w:spacing w:line="240" w:lineRule="auto" w:before="0" w:after="0"/>
            <w:ind w:left="1319" w:right="0" w:hanging="661"/>
            <w:jc w:val="left"/>
          </w:pPr>
          <w:hyperlink w:history="true" w:anchor="_bookmark34">
            <w:r>
              <w:rPr/>
              <w:t>Target</w:t>
            </w:r>
            <w:r>
              <w:rPr>
                <w:spacing w:val="-5"/>
              </w:rPr>
              <w:t> </w:t>
            </w:r>
            <w:r>
              <w:rPr/>
              <w:t>3.7:</w:t>
            </w:r>
            <w:r>
              <w:rPr>
                <w:spacing w:val="-5"/>
              </w:rPr>
              <w:t> </w:t>
            </w:r>
            <w:r>
              <w:rPr/>
              <w:t>External</w:t>
            </w:r>
            <w:r>
              <w:rPr>
                <w:spacing w:val="-5"/>
              </w:rPr>
              <w:t> </w:t>
            </w:r>
            <w:r>
              <w:rPr/>
              <w:t>audits</w:t>
            </w:r>
            <w:r>
              <w:rPr>
                <w:spacing w:val="-5"/>
              </w:rPr>
              <w:t> </w:t>
            </w:r>
            <w:r>
              <w:rPr/>
              <w:t>of</w:t>
            </w:r>
            <w:r>
              <w:rPr>
                <w:spacing w:val="-4"/>
              </w:rPr>
              <w:t> </w:t>
            </w:r>
            <w:r>
              <w:rPr/>
              <w:t>MEHRD</w:t>
            </w:r>
            <w:r>
              <w:rPr>
                <w:spacing w:val="-5"/>
              </w:rPr>
              <w:t> </w:t>
            </w:r>
            <w:r>
              <w:rPr/>
              <w:t>finances</w:t>
            </w:r>
            <w:r>
              <w:rPr>
                <w:spacing w:val="-6"/>
              </w:rPr>
              <w:t> </w:t>
            </w:r>
            <w:r>
              <w:rPr/>
              <w:t>are</w:t>
            </w:r>
            <w:r>
              <w:rPr>
                <w:spacing w:val="-6"/>
              </w:rPr>
              <w:t> </w:t>
            </w:r>
            <w:r>
              <w:rPr>
                <w:spacing w:val="-2"/>
              </w:rPr>
              <w:t>conducted.</w:t>
            </w:r>
            <w:r>
              <w:rPr/>
              <w:tab/>
            </w:r>
            <w:r>
              <w:rPr>
                <w:spacing w:val="-5"/>
              </w:rPr>
              <w:t>31</w:t>
            </w:r>
          </w:hyperlink>
        </w:p>
        <w:p>
          <w:pPr>
            <w:pStyle w:val="TOC3"/>
            <w:numPr>
              <w:ilvl w:val="0"/>
              <w:numId w:val="1"/>
            </w:numPr>
            <w:tabs>
              <w:tab w:pos="1101" w:val="left" w:leader="none"/>
              <w:tab w:pos="1102" w:val="left" w:leader="none"/>
              <w:tab w:pos="9029" w:val="left" w:leader="dot"/>
            </w:tabs>
            <w:spacing w:line="240" w:lineRule="auto" w:before="157" w:after="0"/>
            <w:ind w:left="1101" w:right="0" w:hanging="661"/>
            <w:jc w:val="left"/>
          </w:pPr>
          <w:hyperlink w:history="true" w:anchor="_bookmark35">
            <w:r>
              <w:rPr>
                <w:spacing w:val="-2"/>
              </w:rPr>
              <w:t>Payment</w:t>
            </w:r>
            <w:r>
              <w:rPr>
                <w:spacing w:val="2"/>
              </w:rPr>
              <w:t> </w:t>
            </w:r>
            <w:r>
              <w:rPr>
                <w:spacing w:val="-2"/>
              </w:rPr>
              <w:t>Recommendation</w:t>
            </w:r>
            <w:r>
              <w:rPr/>
              <w:tab/>
            </w:r>
            <w:r>
              <w:rPr>
                <w:spacing w:val="-5"/>
              </w:rPr>
              <w:t>32</w:t>
            </w:r>
          </w:hyperlink>
        </w:p>
        <w:p>
          <w:pPr>
            <w:pStyle w:val="TOC3"/>
            <w:numPr>
              <w:ilvl w:val="0"/>
              <w:numId w:val="1"/>
            </w:numPr>
            <w:tabs>
              <w:tab w:pos="1101" w:val="left" w:leader="none"/>
              <w:tab w:pos="1102" w:val="left" w:leader="none"/>
              <w:tab w:pos="9029" w:val="left" w:leader="dot"/>
            </w:tabs>
            <w:spacing w:line="240" w:lineRule="auto" w:before="156" w:after="0"/>
            <w:ind w:left="1101" w:right="0" w:hanging="661"/>
            <w:jc w:val="left"/>
          </w:pPr>
          <w:hyperlink w:history="true" w:anchor="_bookmark39">
            <w:r>
              <w:rPr/>
              <w:t>Appraisal</w:t>
            </w:r>
            <w:r>
              <w:rPr>
                <w:spacing w:val="-8"/>
              </w:rPr>
              <w:t> </w:t>
            </w:r>
            <w:r>
              <w:rPr/>
              <w:t>of</w:t>
            </w:r>
            <w:r>
              <w:rPr>
                <w:spacing w:val="-7"/>
              </w:rPr>
              <w:t> </w:t>
            </w:r>
            <w:r>
              <w:rPr/>
              <w:t>current</w:t>
            </w:r>
            <w:r>
              <w:rPr>
                <w:spacing w:val="-6"/>
              </w:rPr>
              <w:t> </w:t>
            </w:r>
            <w:r>
              <w:rPr/>
              <w:t>PLA</w:t>
            </w:r>
            <w:r>
              <w:rPr>
                <w:spacing w:val="-6"/>
              </w:rPr>
              <w:t> </w:t>
            </w:r>
            <w:r>
              <w:rPr/>
              <w:t>approach</w:t>
            </w:r>
            <w:r>
              <w:rPr>
                <w:spacing w:val="-6"/>
              </w:rPr>
              <w:t> </w:t>
            </w:r>
            <w:r>
              <w:rPr/>
              <w:t>and</w:t>
            </w:r>
            <w:r>
              <w:rPr>
                <w:spacing w:val="-8"/>
              </w:rPr>
              <w:t> </w:t>
            </w:r>
            <w:r>
              <w:rPr/>
              <w:t>recommendations</w:t>
            </w:r>
            <w:r>
              <w:rPr>
                <w:spacing w:val="-8"/>
              </w:rPr>
              <w:t> </w:t>
            </w:r>
            <w:r>
              <w:rPr/>
              <w:t>on</w:t>
            </w:r>
            <w:r>
              <w:rPr>
                <w:spacing w:val="-6"/>
              </w:rPr>
              <w:t> </w:t>
            </w:r>
            <w:r>
              <w:rPr/>
              <w:t>the</w:t>
            </w:r>
            <w:r>
              <w:rPr>
                <w:spacing w:val="-6"/>
              </w:rPr>
              <w:t> </w:t>
            </w:r>
            <w:r>
              <w:rPr/>
              <w:t>way</w:t>
            </w:r>
            <w:r>
              <w:rPr>
                <w:spacing w:val="-7"/>
              </w:rPr>
              <w:t> </w:t>
            </w:r>
            <w:r>
              <w:rPr>
                <w:spacing w:val="-2"/>
              </w:rPr>
              <w:t>forward</w:t>
            </w:r>
            <w:r>
              <w:rPr/>
              <w:tab/>
            </w:r>
            <w:r>
              <w:rPr>
                <w:spacing w:val="-5"/>
              </w:rPr>
              <w:t>34</w:t>
            </w:r>
          </w:hyperlink>
        </w:p>
        <w:p>
          <w:pPr>
            <w:pStyle w:val="TOC2"/>
            <w:tabs>
              <w:tab w:pos="9029" w:val="left" w:leader="dot"/>
            </w:tabs>
            <w:rPr>
              <w:rFonts w:ascii="Calibri"/>
              <w:b/>
            </w:rPr>
          </w:pPr>
          <w:hyperlink w:history="true" w:anchor="_bookmark41">
            <w:r>
              <w:rPr>
                <w:b w:val="0"/>
                <w:spacing w:val="-2"/>
              </w:rPr>
              <w:t>Appendices</w:t>
            </w:r>
            <w:r>
              <w:rPr>
                <w:b w:val="0"/>
              </w:rPr>
              <w:tab/>
            </w:r>
            <w:r>
              <w:rPr>
                <w:rFonts w:ascii="Calibri"/>
                <w:b/>
                <w:spacing w:val="-5"/>
              </w:rPr>
              <w:t>40</w:t>
            </w:r>
          </w:hyperlink>
        </w:p>
        <w:p>
          <w:pPr>
            <w:pStyle w:val="TOC2"/>
            <w:tabs>
              <w:tab w:pos="9029" w:val="left" w:leader="dot"/>
            </w:tabs>
            <w:spacing w:before="117"/>
            <w:rPr>
              <w:rFonts w:ascii="Calibri"/>
              <w:b/>
            </w:rPr>
          </w:pPr>
          <w:hyperlink w:history="true" w:anchor="_bookmark42">
            <w:r>
              <w:rPr>
                <w:b w:val="0"/>
                <w:spacing w:val="-2"/>
              </w:rPr>
              <w:t>Appendix</w:t>
            </w:r>
            <w:r>
              <w:rPr>
                <w:b w:val="0"/>
                <w:spacing w:val="-5"/>
              </w:rPr>
              <w:t> </w:t>
            </w:r>
            <w:r>
              <w:rPr>
                <w:b w:val="0"/>
                <w:spacing w:val="-2"/>
              </w:rPr>
              <w:t>1: Education</w:t>
            </w:r>
            <w:r>
              <w:rPr>
                <w:b w:val="0"/>
                <w:spacing w:val="-6"/>
              </w:rPr>
              <w:t> </w:t>
            </w:r>
            <w:r>
              <w:rPr>
                <w:b w:val="0"/>
                <w:spacing w:val="-2"/>
              </w:rPr>
              <w:t>Performance</w:t>
            </w:r>
            <w:r>
              <w:rPr>
                <w:b w:val="0"/>
                <w:spacing w:val="-5"/>
              </w:rPr>
              <w:t> </w:t>
            </w:r>
            <w:r>
              <w:rPr>
                <w:b w:val="0"/>
                <w:spacing w:val="-2"/>
              </w:rPr>
              <w:t>Matrix</w:t>
            </w:r>
            <w:r>
              <w:rPr>
                <w:b w:val="0"/>
                <w:spacing w:val="-6"/>
              </w:rPr>
              <w:t> </w:t>
            </w:r>
            <w:r>
              <w:rPr>
                <w:b w:val="0"/>
                <w:spacing w:val="-4"/>
              </w:rPr>
              <w:t>2018</w:t>
            </w:r>
            <w:r>
              <w:rPr>
                <w:b w:val="0"/>
              </w:rPr>
              <w:tab/>
            </w:r>
            <w:r>
              <w:rPr>
                <w:rFonts w:ascii="Calibri"/>
                <w:b/>
                <w:spacing w:val="-5"/>
              </w:rPr>
              <w:t>40</w:t>
            </w:r>
          </w:hyperlink>
        </w:p>
        <w:p>
          <w:pPr>
            <w:pStyle w:val="TOC2"/>
            <w:tabs>
              <w:tab w:pos="9029" w:val="left" w:leader="dot"/>
            </w:tabs>
            <w:spacing w:before="118"/>
            <w:rPr>
              <w:rFonts w:ascii="Calibri"/>
              <w:b/>
            </w:rPr>
          </w:pPr>
          <w:hyperlink w:history="true" w:anchor="_bookmark43">
            <w:r>
              <w:rPr>
                <w:b w:val="0"/>
                <w:spacing w:val="-2"/>
              </w:rPr>
              <w:t>Appendix</w:t>
            </w:r>
            <w:r>
              <w:rPr>
                <w:b w:val="0"/>
                <w:spacing w:val="-4"/>
              </w:rPr>
              <w:t> </w:t>
            </w:r>
            <w:r>
              <w:rPr>
                <w:b w:val="0"/>
                <w:spacing w:val="-2"/>
              </w:rPr>
              <w:t>2:</w:t>
            </w:r>
            <w:r>
              <w:rPr>
                <w:b w:val="0"/>
                <w:spacing w:val="-3"/>
              </w:rPr>
              <w:t> </w:t>
            </w:r>
            <w:r>
              <w:rPr>
                <w:b w:val="0"/>
                <w:spacing w:val="-2"/>
              </w:rPr>
              <w:t>Terms</w:t>
            </w:r>
            <w:r>
              <w:rPr>
                <w:b w:val="0"/>
                <w:spacing w:val="-4"/>
              </w:rPr>
              <w:t> </w:t>
            </w:r>
            <w:r>
              <w:rPr>
                <w:b w:val="0"/>
                <w:spacing w:val="-2"/>
              </w:rPr>
              <w:t>of</w:t>
            </w:r>
            <w:r>
              <w:rPr>
                <w:b w:val="0"/>
                <w:spacing w:val="-4"/>
              </w:rPr>
              <w:t> </w:t>
            </w:r>
            <w:r>
              <w:rPr>
                <w:b w:val="0"/>
                <w:spacing w:val="-2"/>
              </w:rPr>
              <w:t>Reference</w:t>
            </w:r>
            <w:r>
              <w:rPr>
                <w:b w:val="0"/>
              </w:rPr>
              <w:tab/>
            </w:r>
            <w:r>
              <w:rPr>
                <w:rFonts w:ascii="Calibri"/>
                <w:b/>
                <w:spacing w:val="-5"/>
              </w:rPr>
              <w:t>45</w:t>
            </w:r>
          </w:hyperlink>
        </w:p>
        <w:p>
          <w:pPr>
            <w:pStyle w:val="TOC2"/>
            <w:tabs>
              <w:tab w:pos="9029" w:val="left" w:leader="dot"/>
            </w:tabs>
            <w:rPr>
              <w:rFonts w:ascii="Calibri"/>
              <w:b/>
            </w:rPr>
          </w:pPr>
          <w:hyperlink w:history="true" w:anchor="_bookmark44">
            <w:r>
              <w:rPr>
                <w:b w:val="0"/>
                <w:spacing w:val="-2"/>
              </w:rPr>
              <w:t>Appendix</w:t>
            </w:r>
            <w:r>
              <w:rPr>
                <w:b w:val="0"/>
                <w:spacing w:val="-6"/>
              </w:rPr>
              <w:t> </w:t>
            </w:r>
            <w:r>
              <w:rPr>
                <w:b w:val="0"/>
                <w:spacing w:val="-2"/>
              </w:rPr>
              <w:t>3:</w:t>
            </w:r>
            <w:r>
              <w:rPr>
                <w:b w:val="0"/>
                <w:spacing w:val="-3"/>
              </w:rPr>
              <w:t> </w:t>
            </w:r>
            <w:r>
              <w:rPr>
                <w:b w:val="0"/>
                <w:spacing w:val="-2"/>
              </w:rPr>
              <w:t>Key</w:t>
            </w:r>
            <w:r>
              <w:rPr>
                <w:b w:val="0"/>
                <w:spacing w:val="-5"/>
              </w:rPr>
              <w:t> </w:t>
            </w:r>
            <w:r>
              <w:rPr>
                <w:b w:val="0"/>
                <w:spacing w:val="-2"/>
              </w:rPr>
              <w:t>Documents</w:t>
            </w:r>
            <w:r>
              <w:rPr>
                <w:b w:val="0"/>
                <w:spacing w:val="-7"/>
              </w:rPr>
              <w:t> </w:t>
            </w:r>
            <w:r>
              <w:rPr>
                <w:b w:val="0"/>
                <w:spacing w:val="-2"/>
              </w:rPr>
              <w:t>Reviewed</w:t>
            </w:r>
            <w:r>
              <w:rPr>
                <w:b w:val="0"/>
              </w:rPr>
              <w:tab/>
            </w:r>
            <w:r>
              <w:rPr>
                <w:rFonts w:ascii="Calibri"/>
                <w:b/>
                <w:spacing w:val="-5"/>
              </w:rPr>
              <w:t>47</w:t>
            </w:r>
          </w:hyperlink>
        </w:p>
        <w:p>
          <w:pPr>
            <w:pStyle w:val="TOC2"/>
            <w:tabs>
              <w:tab w:pos="9029" w:val="left" w:leader="dot"/>
            </w:tabs>
            <w:rPr>
              <w:rFonts w:ascii="Calibri"/>
              <w:b/>
            </w:rPr>
          </w:pPr>
          <w:hyperlink w:history="true" w:anchor="_bookmark45">
            <w:r>
              <w:rPr>
                <w:b w:val="0"/>
                <w:spacing w:val="-2"/>
              </w:rPr>
              <w:t>Appendix</w:t>
            </w:r>
            <w:r>
              <w:rPr>
                <w:b w:val="0"/>
                <w:spacing w:val="-5"/>
              </w:rPr>
              <w:t> </w:t>
            </w:r>
            <w:r>
              <w:rPr>
                <w:b w:val="0"/>
                <w:spacing w:val="-2"/>
              </w:rPr>
              <w:t>4: Key</w:t>
            </w:r>
            <w:r>
              <w:rPr>
                <w:b w:val="0"/>
                <w:spacing w:val="-4"/>
              </w:rPr>
              <w:t> </w:t>
            </w:r>
            <w:r>
              <w:rPr>
                <w:b w:val="0"/>
                <w:spacing w:val="-2"/>
              </w:rPr>
              <w:t>Informant</w:t>
            </w:r>
            <w:r>
              <w:rPr>
                <w:b w:val="0"/>
                <w:spacing w:val="-5"/>
              </w:rPr>
              <w:t> </w:t>
            </w:r>
            <w:r>
              <w:rPr>
                <w:b w:val="0"/>
                <w:spacing w:val="-2"/>
              </w:rPr>
              <w:t>Interviews</w:t>
            </w:r>
            <w:r>
              <w:rPr>
                <w:b w:val="0"/>
              </w:rPr>
              <w:tab/>
            </w:r>
            <w:r>
              <w:rPr>
                <w:rFonts w:ascii="Calibri"/>
                <w:b/>
                <w:spacing w:val="-5"/>
              </w:rPr>
              <w:t>49</w:t>
            </w:r>
          </w:hyperlink>
        </w:p>
        <w:p>
          <w:pPr>
            <w:pStyle w:val="TOC2"/>
            <w:tabs>
              <w:tab w:pos="9029" w:val="left" w:leader="dot"/>
            </w:tabs>
            <w:spacing w:before="118"/>
            <w:rPr>
              <w:rFonts w:ascii="Calibri"/>
              <w:b/>
            </w:rPr>
          </w:pPr>
          <w:hyperlink w:history="true" w:anchor="_bookmark46">
            <w:r>
              <w:rPr>
                <w:b w:val="0"/>
                <w:spacing w:val="-2"/>
              </w:rPr>
              <w:t>Appendix</w:t>
            </w:r>
            <w:r>
              <w:rPr>
                <w:b w:val="0"/>
                <w:spacing w:val="-5"/>
              </w:rPr>
              <w:t> </w:t>
            </w:r>
            <w:r>
              <w:rPr>
                <w:b w:val="0"/>
                <w:spacing w:val="-2"/>
              </w:rPr>
              <w:t>5:</w:t>
            </w:r>
            <w:r>
              <w:rPr>
                <w:b w:val="0"/>
                <w:spacing w:val="-5"/>
              </w:rPr>
              <w:t> </w:t>
            </w:r>
            <w:r>
              <w:rPr>
                <w:b w:val="0"/>
                <w:spacing w:val="-2"/>
              </w:rPr>
              <w:t>2018</w:t>
            </w:r>
            <w:r>
              <w:rPr>
                <w:b w:val="0"/>
                <w:spacing w:val="-6"/>
              </w:rPr>
              <w:t> </w:t>
            </w:r>
            <w:r>
              <w:rPr>
                <w:b w:val="0"/>
                <w:spacing w:val="-2"/>
              </w:rPr>
              <w:t>Performance</w:t>
            </w:r>
            <w:r>
              <w:rPr>
                <w:b w:val="0"/>
                <w:spacing w:val="-6"/>
              </w:rPr>
              <w:t> </w:t>
            </w:r>
            <w:r>
              <w:rPr>
                <w:b w:val="0"/>
                <w:spacing w:val="-2"/>
              </w:rPr>
              <w:t>Summary</w:t>
            </w:r>
            <w:r>
              <w:rPr>
                <w:b w:val="0"/>
              </w:rPr>
              <w:tab/>
            </w:r>
            <w:r>
              <w:rPr>
                <w:rFonts w:ascii="Calibri"/>
                <w:b/>
                <w:spacing w:val="-7"/>
              </w:rPr>
              <w:t>51</w:t>
            </w:r>
          </w:hyperlink>
        </w:p>
      </w:sdtContent>
    </w:sdt>
    <w:p>
      <w:pPr>
        <w:spacing w:after="0"/>
        <w:rPr>
          <w:rFonts w:ascii="Calibri"/>
        </w:rPr>
        <w:sectPr>
          <w:pgSz w:w="11900" w:h="16850"/>
          <w:pgMar w:header="867" w:footer="873" w:top="1060" w:bottom="1060" w:left="1220" w:right="180"/>
        </w:sectPr>
      </w:pPr>
    </w:p>
    <w:p>
      <w:pPr>
        <w:pStyle w:val="BodyText"/>
        <w:rPr>
          <w:b/>
          <w:sz w:val="32"/>
        </w:rPr>
      </w:pPr>
    </w:p>
    <w:p>
      <w:pPr>
        <w:pStyle w:val="Heading1"/>
        <w:spacing w:before="234"/>
        <w:rPr>
          <w:b w:val="0"/>
        </w:rPr>
      </w:pPr>
      <w:bookmarkStart w:name="_bookmark1" w:id="2"/>
      <w:bookmarkEnd w:id="2"/>
      <w:r>
        <w:rPr/>
      </w:r>
      <w:r>
        <w:rPr>
          <w:b w:val="0"/>
          <w:color w:val="4471C4"/>
        </w:rPr>
        <w:t>List</w:t>
      </w:r>
      <w:r>
        <w:rPr>
          <w:b w:val="0"/>
          <w:color w:val="4471C4"/>
          <w:spacing w:val="21"/>
        </w:rPr>
        <w:t> </w:t>
      </w:r>
      <w:r>
        <w:rPr>
          <w:b w:val="0"/>
          <w:color w:val="4471C4"/>
        </w:rPr>
        <w:t>of</w:t>
      </w:r>
      <w:r>
        <w:rPr>
          <w:b w:val="0"/>
          <w:color w:val="4471C4"/>
          <w:spacing w:val="21"/>
        </w:rPr>
        <w:t> </w:t>
      </w:r>
      <w:r>
        <w:rPr>
          <w:b w:val="0"/>
          <w:color w:val="4471C4"/>
        </w:rPr>
        <w:t>tables,</w:t>
      </w:r>
      <w:r>
        <w:rPr>
          <w:b w:val="0"/>
          <w:color w:val="4471C4"/>
          <w:spacing w:val="23"/>
        </w:rPr>
        <w:t> </w:t>
      </w:r>
      <w:r>
        <w:rPr>
          <w:b w:val="0"/>
          <w:color w:val="4471C4"/>
        </w:rPr>
        <w:t>figures</w:t>
      </w:r>
      <w:r>
        <w:rPr>
          <w:b w:val="0"/>
          <w:color w:val="4471C4"/>
          <w:spacing w:val="20"/>
        </w:rPr>
        <w:t> </w:t>
      </w:r>
      <w:r>
        <w:rPr>
          <w:b w:val="0"/>
          <w:color w:val="4471C4"/>
        </w:rPr>
        <w:t>and</w:t>
      </w:r>
      <w:r>
        <w:rPr>
          <w:b w:val="0"/>
          <w:color w:val="4471C4"/>
          <w:spacing w:val="20"/>
        </w:rPr>
        <w:t> </w:t>
      </w:r>
      <w:r>
        <w:rPr>
          <w:b w:val="0"/>
          <w:color w:val="4471C4"/>
          <w:spacing w:val="-2"/>
        </w:rPr>
        <w:t>diagrams</w:t>
      </w:r>
    </w:p>
    <w:p>
      <w:pPr>
        <w:pStyle w:val="BodyText"/>
        <w:tabs>
          <w:tab w:pos="9008" w:val="left" w:leader="dot"/>
        </w:tabs>
        <w:spacing w:before="259"/>
        <w:ind w:left="220"/>
        <w:rPr>
          <w:rFonts w:ascii="Calibri Light"/>
          <w:b w:val="0"/>
        </w:rPr>
      </w:pPr>
      <w:hyperlink w:history="true" w:anchor="_bookmark10">
        <w:r>
          <w:rPr>
            <w:rFonts w:ascii="Calibri Light"/>
            <w:b w:val="0"/>
          </w:rPr>
          <w:t>Table</w:t>
        </w:r>
        <w:r>
          <w:rPr>
            <w:rFonts w:ascii="Calibri Light"/>
            <w:b w:val="0"/>
            <w:spacing w:val="-7"/>
          </w:rPr>
          <w:t> </w:t>
        </w:r>
        <w:r>
          <w:rPr>
            <w:rFonts w:ascii="Calibri Light"/>
            <w:b w:val="0"/>
          </w:rPr>
          <w:t>1:</w:t>
        </w:r>
        <w:r>
          <w:rPr>
            <w:rFonts w:ascii="Calibri Light"/>
            <w:b w:val="0"/>
            <w:spacing w:val="-3"/>
          </w:rPr>
          <w:t> </w:t>
        </w:r>
        <w:r>
          <w:rPr>
            <w:rFonts w:ascii="Calibri Light"/>
            <w:b w:val="0"/>
          </w:rPr>
          <w:t>Transition</w:t>
        </w:r>
        <w:r>
          <w:rPr>
            <w:rFonts w:ascii="Calibri Light"/>
            <w:b w:val="0"/>
            <w:spacing w:val="-4"/>
          </w:rPr>
          <w:t> </w:t>
        </w:r>
        <w:r>
          <w:rPr>
            <w:rFonts w:ascii="Calibri Light"/>
            <w:b w:val="0"/>
          </w:rPr>
          <w:t>rates</w:t>
        </w:r>
        <w:r>
          <w:rPr>
            <w:rFonts w:ascii="Calibri Light"/>
            <w:b w:val="0"/>
            <w:spacing w:val="-4"/>
          </w:rPr>
          <w:t> </w:t>
        </w:r>
        <w:r>
          <w:rPr>
            <w:rFonts w:ascii="Calibri Light"/>
            <w:b w:val="0"/>
          </w:rPr>
          <w:t>for</w:t>
        </w:r>
        <w:r>
          <w:rPr>
            <w:rFonts w:ascii="Calibri Light"/>
            <w:b w:val="0"/>
            <w:spacing w:val="-5"/>
          </w:rPr>
          <w:t> </w:t>
        </w:r>
        <w:r>
          <w:rPr>
            <w:rFonts w:ascii="Calibri Light"/>
            <w:b w:val="0"/>
          </w:rPr>
          <w:t>Pre-Primary,</w:t>
        </w:r>
        <w:r>
          <w:rPr>
            <w:rFonts w:ascii="Calibri Light"/>
            <w:b w:val="0"/>
            <w:spacing w:val="-4"/>
          </w:rPr>
          <w:t> </w:t>
        </w:r>
        <w:r>
          <w:rPr>
            <w:rFonts w:ascii="Calibri Light"/>
            <w:b w:val="0"/>
          </w:rPr>
          <w:t>Year</w:t>
        </w:r>
        <w:r>
          <w:rPr>
            <w:rFonts w:ascii="Calibri Light"/>
            <w:b w:val="0"/>
            <w:spacing w:val="-2"/>
          </w:rPr>
          <w:t> </w:t>
        </w:r>
        <w:r>
          <w:rPr>
            <w:rFonts w:ascii="Calibri Light"/>
            <w:b w:val="0"/>
          </w:rPr>
          <w:t>6,</w:t>
        </w:r>
        <w:r>
          <w:rPr>
            <w:rFonts w:ascii="Calibri Light"/>
            <w:b w:val="0"/>
            <w:spacing w:val="-3"/>
          </w:rPr>
          <w:t> </w:t>
        </w:r>
        <w:r>
          <w:rPr>
            <w:rFonts w:ascii="Calibri Light"/>
            <w:b w:val="0"/>
          </w:rPr>
          <w:t>9,</w:t>
        </w:r>
        <w:r>
          <w:rPr>
            <w:rFonts w:ascii="Calibri Light"/>
            <w:b w:val="0"/>
            <w:spacing w:val="-4"/>
          </w:rPr>
          <w:t> </w:t>
        </w:r>
        <w:r>
          <w:rPr>
            <w:rFonts w:ascii="Calibri Light"/>
            <w:b w:val="0"/>
          </w:rPr>
          <w:t>11</w:t>
        </w:r>
        <w:r>
          <w:rPr>
            <w:rFonts w:ascii="Calibri Light"/>
            <w:b w:val="0"/>
            <w:spacing w:val="-3"/>
          </w:rPr>
          <w:t> </w:t>
        </w:r>
        <w:r>
          <w:rPr>
            <w:rFonts w:ascii="Calibri Light"/>
            <w:b w:val="0"/>
          </w:rPr>
          <w:t>and</w:t>
        </w:r>
        <w:r>
          <w:rPr>
            <w:rFonts w:ascii="Calibri Light"/>
            <w:b w:val="0"/>
            <w:spacing w:val="-4"/>
          </w:rPr>
          <w:t> </w:t>
        </w:r>
        <w:r>
          <w:rPr>
            <w:rFonts w:ascii="Calibri Light"/>
            <w:b w:val="0"/>
          </w:rPr>
          <w:t>12</w:t>
        </w:r>
        <w:r>
          <w:rPr>
            <w:rFonts w:ascii="Calibri Light"/>
            <w:b w:val="0"/>
            <w:spacing w:val="-4"/>
          </w:rPr>
          <w:t> </w:t>
        </w:r>
        <w:r>
          <w:rPr>
            <w:rFonts w:ascii="Calibri Light"/>
            <w:b w:val="0"/>
          </w:rPr>
          <w:t>(2016-</w:t>
        </w:r>
        <w:r>
          <w:rPr>
            <w:rFonts w:ascii="Calibri Light"/>
            <w:b w:val="0"/>
            <w:spacing w:val="-2"/>
          </w:rPr>
          <w:t>2018)</w:t>
        </w:r>
        <w:r>
          <w:rPr>
            <w:rFonts w:ascii="Calibri Light"/>
            <w:b w:val="0"/>
          </w:rPr>
          <w:tab/>
        </w:r>
        <w:r>
          <w:rPr>
            <w:rFonts w:ascii="Calibri Light"/>
            <w:b w:val="0"/>
            <w:spacing w:val="-5"/>
          </w:rPr>
          <w:t>12</w:t>
        </w:r>
      </w:hyperlink>
    </w:p>
    <w:p>
      <w:pPr>
        <w:pStyle w:val="BodyText"/>
        <w:tabs>
          <w:tab w:pos="9008" w:val="left" w:leader="dot"/>
        </w:tabs>
        <w:spacing w:before="39"/>
        <w:ind w:left="220"/>
        <w:rPr>
          <w:rFonts w:ascii="Calibri Light" w:hAnsi="Calibri Light"/>
          <w:b w:val="0"/>
        </w:rPr>
      </w:pPr>
      <w:hyperlink w:history="true" w:anchor="_bookmark17">
        <w:r>
          <w:rPr>
            <w:rFonts w:ascii="Calibri Light" w:hAnsi="Calibri Light"/>
            <w:b w:val="0"/>
          </w:rPr>
          <w:t>Figure</w:t>
        </w:r>
        <w:r>
          <w:rPr>
            <w:rFonts w:ascii="Calibri Light" w:hAnsi="Calibri Light"/>
            <w:b w:val="0"/>
            <w:spacing w:val="-4"/>
          </w:rPr>
          <w:t> </w:t>
        </w:r>
        <w:r>
          <w:rPr>
            <w:rFonts w:ascii="Calibri Light" w:hAnsi="Calibri Light"/>
            <w:b w:val="0"/>
          </w:rPr>
          <w:t>1:</w:t>
        </w:r>
        <w:r>
          <w:rPr>
            <w:rFonts w:ascii="Calibri Light" w:hAnsi="Calibri Light"/>
            <w:b w:val="0"/>
            <w:spacing w:val="-6"/>
          </w:rPr>
          <w:t> </w:t>
        </w:r>
        <w:r>
          <w:rPr>
            <w:rFonts w:ascii="Calibri Light" w:hAnsi="Calibri Light"/>
            <w:b w:val="0"/>
          </w:rPr>
          <w:t>Percentage</w:t>
        </w:r>
        <w:r>
          <w:rPr>
            <w:rFonts w:ascii="Calibri Light" w:hAnsi="Calibri Light"/>
            <w:b w:val="0"/>
            <w:spacing w:val="-6"/>
          </w:rPr>
          <w:t> </w:t>
        </w:r>
        <w:r>
          <w:rPr>
            <w:rFonts w:ascii="Calibri Light" w:hAnsi="Calibri Light"/>
            <w:b w:val="0"/>
          </w:rPr>
          <w:t>of</w:t>
        </w:r>
        <w:r>
          <w:rPr>
            <w:rFonts w:ascii="Calibri Light" w:hAnsi="Calibri Light"/>
            <w:b w:val="0"/>
            <w:spacing w:val="-4"/>
          </w:rPr>
          <w:t> </w:t>
        </w:r>
        <w:r>
          <w:rPr>
            <w:rFonts w:ascii="Calibri Light" w:hAnsi="Calibri Light"/>
            <w:b w:val="0"/>
          </w:rPr>
          <w:t>Teachers</w:t>
        </w:r>
        <w:r>
          <w:rPr>
            <w:rFonts w:ascii="Calibri Light" w:hAnsi="Calibri Light"/>
            <w:b w:val="0"/>
            <w:spacing w:val="-3"/>
          </w:rPr>
          <w:t> </w:t>
        </w:r>
        <w:r>
          <w:rPr>
            <w:rFonts w:ascii="Calibri Light" w:hAnsi="Calibri Light"/>
            <w:b w:val="0"/>
          </w:rPr>
          <w:t>Certified</w:t>
        </w:r>
        <w:r>
          <w:rPr>
            <w:rFonts w:ascii="Calibri Light" w:hAnsi="Calibri Light"/>
            <w:b w:val="0"/>
            <w:spacing w:val="-2"/>
          </w:rPr>
          <w:t> </w:t>
        </w:r>
        <w:r>
          <w:rPr>
            <w:rFonts w:ascii="Calibri Light" w:hAnsi="Calibri Light"/>
            <w:b w:val="0"/>
          </w:rPr>
          <w:t>2016</w:t>
        </w:r>
        <w:r>
          <w:rPr>
            <w:rFonts w:ascii="Calibri Light" w:hAnsi="Calibri Light"/>
            <w:b w:val="0"/>
            <w:spacing w:val="-1"/>
          </w:rPr>
          <w:t> </w:t>
        </w:r>
        <w:r>
          <w:rPr>
            <w:rFonts w:ascii="Calibri Light" w:hAnsi="Calibri Light"/>
            <w:b w:val="0"/>
          </w:rPr>
          <w:t>–</w:t>
        </w:r>
        <w:r>
          <w:rPr>
            <w:rFonts w:ascii="Calibri Light" w:hAnsi="Calibri Light"/>
            <w:b w:val="0"/>
            <w:spacing w:val="-5"/>
          </w:rPr>
          <w:t> </w:t>
        </w:r>
        <w:r>
          <w:rPr>
            <w:rFonts w:ascii="Calibri Light" w:hAnsi="Calibri Light"/>
            <w:b w:val="0"/>
            <w:spacing w:val="-4"/>
          </w:rPr>
          <w:t>2018</w:t>
        </w:r>
        <w:r>
          <w:rPr>
            <w:rFonts w:ascii="Calibri Light" w:hAnsi="Calibri Light"/>
            <w:b w:val="0"/>
          </w:rPr>
          <w:tab/>
        </w:r>
        <w:r>
          <w:rPr>
            <w:rFonts w:ascii="Calibri Light" w:hAnsi="Calibri Light"/>
            <w:b w:val="0"/>
            <w:spacing w:val="-5"/>
          </w:rPr>
          <w:t>20</w:t>
        </w:r>
      </w:hyperlink>
    </w:p>
    <w:p>
      <w:pPr>
        <w:pStyle w:val="BodyText"/>
        <w:tabs>
          <w:tab w:pos="9008" w:val="left" w:leader="dot"/>
        </w:tabs>
        <w:spacing w:before="41"/>
        <w:ind w:left="220"/>
        <w:rPr>
          <w:rFonts w:ascii="Calibri Light"/>
          <w:b w:val="0"/>
        </w:rPr>
      </w:pPr>
      <w:hyperlink w:history="true" w:anchor="_bookmark21">
        <w:r>
          <w:rPr>
            <w:rFonts w:ascii="Calibri Light"/>
            <w:b w:val="0"/>
          </w:rPr>
          <w:t>Table</w:t>
        </w:r>
        <w:r>
          <w:rPr>
            <w:rFonts w:ascii="Calibri Light"/>
            <w:b w:val="0"/>
            <w:spacing w:val="-5"/>
          </w:rPr>
          <w:t> </w:t>
        </w:r>
        <w:r>
          <w:rPr>
            <w:rFonts w:ascii="Calibri Light"/>
            <w:b w:val="0"/>
          </w:rPr>
          <w:t>2:</w:t>
        </w:r>
        <w:r>
          <w:rPr>
            <w:rFonts w:ascii="Calibri Light"/>
            <w:b w:val="0"/>
            <w:spacing w:val="-2"/>
          </w:rPr>
          <w:t> </w:t>
        </w:r>
        <w:r>
          <w:rPr>
            <w:rFonts w:ascii="Calibri Light"/>
            <w:b w:val="0"/>
          </w:rPr>
          <w:t>Second</w:t>
        </w:r>
        <w:r>
          <w:rPr>
            <w:rFonts w:ascii="Calibri Light"/>
            <w:b w:val="0"/>
            <w:spacing w:val="-1"/>
          </w:rPr>
          <w:t> </w:t>
        </w:r>
        <w:r>
          <w:rPr>
            <w:rFonts w:ascii="Calibri Light"/>
            <w:b w:val="0"/>
          </w:rPr>
          <w:t>biannual</w:t>
        </w:r>
        <w:r>
          <w:rPr>
            <w:rFonts w:ascii="Calibri Light"/>
            <w:b w:val="0"/>
            <w:spacing w:val="-4"/>
          </w:rPr>
          <w:t> </w:t>
        </w:r>
        <w:r>
          <w:rPr>
            <w:rFonts w:ascii="Calibri Light"/>
            <w:b w:val="0"/>
          </w:rPr>
          <w:t>grant</w:t>
        </w:r>
        <w:r>
          <w:rPr>
            <w:rFonts w:ascii="Calibri Light"/>
            <w:b w:val="0"/>
            <w:spacing w:val="-2"/>
          </w:rPr>
          <w:t> </w:t>
        </w:r>
        <w:r>
          <w:rPr>
            <w:rFonts w:ascii="Calibri Light"/>
            <w:b w:val="0"/>
          </w:rPr>
          <w:t>retirement</w:t>
        </w:r>
        <w:r>
          <w:rPr>
            <w:rFonts w:ascii="Calibri Light"/>
            <w:b w:val="0"/>
            <w:spacing w:val="-2"/>
          </w:rPr>
          <w:t> </w:t>
        </w:r>
        <w:r>
          <w:rPr>
            <w:rFonts w:ascii="Calibri Light"/>
            <w:b w:val="0"/>
          </w:rPr>
          <w:t>rate</w:t>
        </w:r>
        <w:r>
          <w:rPr>
            <w:rFonts w:ascii="Calibri Light"/>
            <w:b w:val="0"/>
            <w:spacing w:val="-5"/>
          </w:rPr>
          <w:t> </w:t>
        </w:r>
        <w:r>
          <w:rPr>
            <w:rFonts w:ascii="Calibri Light"/>
            <w:b w:val="0"/>
          </w:rPr>
          <w:t>as</w:t>
        </w:r>
        <w:r>
          <w:rPr>
            <w:rFonts w:ascii="Calibri Light"/>
            <w:b w:val="0"/>
            <w:spacing w:val="-4"/>
          </w:rPr>
          <w:t> </w:t>
        </w:r>
        <w:r>
          <w:rPr>
            <w:rFonts w:ascii="Calibri Light"/>
            <w:b w:val="0"/>
          </w:rPr>
          <w:t>at</w:t>
        </w:r>
        <w:r>
          <w:rPr>
            <w:rFonts w:ascii="Calibri Light"/>
            <w:b w:val="0"/>
            <w:spacing w:val="-3"/>
          </w:rPr>
          <w:t> </w:t>
        </w:r>
        <w:r>
          <w:rPr>
            <w:rFonts w:ascii="Calibri Light"/>
            <w:b w:val="0"/>
          </w:rPr>
          <w:t>31</w:t>
        </w:r>
        <w:r>
          <w:rPr>
            <w:rFonts w:ascii="Calibri Light"/>
            <w:b w:val="0"/>
            <w:spacing w:val="-4"/>
          </w:rPr>
          <w:t> </w:t>
        </w:r>
        <w:r>
          <w:rPr>
            <w:rFonts w:ascii="Calibri Light"/>
            <w:b w:val="0"/>
          </w:rPr>
          <w:t>March</w:t>
        </w:r>
        <w:r>
          <w:rPr>
            <w:rFonts w:ascii="Calibri Light"/>
            <w:b w:val="0"/>
            <w:spacing w:val="-4"/>
          </w:rPr>
          <w:t> 2019</w:t>
        </w:r>
        <w:r>
          <w:rPr>
            <w:rFonts w:ascii="Calibri Light"/>
            <w:b w:val="0"/>
          </w:rPr>
          <w:tab/>
        </w:r>
        <w:r>
          <w:rPr>
            <w:rFonts w:ascii="Calibri Light"/>
            <w:b w:val="0"/>
            <w:spacing w:val="-5"/>
          </w:rPr>
          <w:t>23</w:t>
        </w:r>
      </w:hyperlink>
    </w:p>
    <w:p>
      <w:pPr>
        <w:pStyle w:val="BodyText"/>
        <w:tabs>
          <w:tab w:pos="9008" w:val="left" w:leader="dot"/>
        </w:tabs>
        <w:spacing w:before="41"/>
        <w:ind w:left="220"/>
        <w:rPr>
          <w:rFonts w:ascii="Calibri Light"/>
          <w:b w:val="0"/>
        </w:rPr>
      </w:pPr>
      <w:hyperlink w:history="true" w:anchor="_bookmark22">
        <w:r>
          <w:rPr>
            <w:rFonts w:ascii="Calibri Light"/>
            <w:b w:val="0"/>
          </w:rPr>
          <w:t>Table</w:t>
        </w:r>
        <w:r>
          <w:rPr>
            <w:rFonts w:ascii="Calibri Light"/>
            <w:b w:val="0"/>
            <w:spacing w:val="-6"/>
          </w:rPr>
          <w:t> </w:t>
        </w:r>
        <w:r>
          <w:rPr>
            <w:rFonts w:ascii="Calibri Light"/>
            <w:b w:val="0"/>
          </w:rPr>
          <w:t>3:</w:t>
        </w:r>
        <w:r>
          <w:rPr>
            <w:rFonts w:ascii="Calibri Light"/>
            <w:b w:val="0"/>
            <w:spacing w:val="-4"/>
          </w:rPr>
          <w:t> </w:t>
        </w:r>
        <w:r>
          <w:rPr>
            <w:rFonts w:ascii="Calibri Light"/>
            <w:b w:val="0"/>
          </w:rPr>
          <w:t>First</w:t>
        </w:r>
        <w:r>
          <w:rPr>
            <w:rFonts w:ascii="Calibri Light"/>
            <w:b w:val="0"/>
            <w:spacing w:val="-3"/>
          </w:rPr>
          <w:t> </w:t>
        </w:r>
        <w:r>
          <w:rPr>
            <w:rFonts w:ascii="Calibri Light"/>
            <w:b w:val="0"/>
          </w:rPr>
          <w:t>biannual</w:t>
        </w:r>
        <w:r>
          <w:rPr>
            <w:rFonts w:ascii="Calibri Light"/>
            <w:b w:val="0"/>
            <w:spacing w:val="-5"/>
          </w:rPr>
          <w:t> </w:t>
        </w:r>
        <w:r>
          <w:rPr>
            <w:rFonts w:ascii="Calibri Light"/>
            <w:b w:val="0"/>
          </w:rPr>
          <w:t>disbursement</w:t>
        </w:r>
        <w:r>
          <w:rPr>
            <w:rFonts w:ascii="Calibri Light"/>
            <w:b w:val="0"/>
            <w:spacing w:val="-4"/>
          </w:rPr>
          <w:t> </w:t>
        </w:r>
        <w:r>
          <w:rPr>
            <w:rFonts w:ascii="Calibri Light"/>
            <w:b w:val="0"/>
          </w:rPr>
          <w:t>percentage</w:t>
        </w:r>
        <w:r>
          <w:rPr>
            <w:rFonts w:ascii="Calibri Light"/>
            <w:b w:val="0"/>
            <w:spacing w:val="-7"/>
          </w:rPr>
          <w:t> </w:t>
        </w:r>
        <w:r>
          <w:rPr>
            <w:rFonts w:ascii="Calibri Light"/>
            <w:b w:val="0"/>
            <w:spacing w:val="-4"/>
          </w:rPr>
          <w:t>2019</w:t>
        </w:r>
        <w:r>
          <w:rPr>
            <w:rFonts w:ascii="Calibri Light"/>
            <w:b w:val="0"/>
          </w:rPr>
          <w:tab/>
        </w:r>
        <w:r>
          <w:rPr>
            <w:rFonts w:ascii="Calibri Light"/>
            <w:b w:val="0"/>
            <w:spacing w:val="-5"/>
          </w:rPr>
          <w:t>23</w:t>
        </w:r>
      </w:hyperlink>
    </w:p>
    <w:p>
      <w:pPr>
        <w:pStyle w:val="BodyText"/>
        <w:tabs>
          <w:tab w:pos="9008" w:val="left" w:leader="dot"/>
        </w:tabs>
        <w:spacing w:before="39"/>
        <w:ind w:left="220"/>
        <w:rPr>
          <w:rFonts w:ascii="Calibri Light"/>
          <w:b w:val="0"/>
        </w:rPr>
      </w:pPr>
      <w:hyperlink w:history="true" w:anchor="_bookmark26">
        <w:r>
          <w:rPr>
            <w:rFonts w:ascii="Calibri Light"/>
            <w:b w:val="0"/>
          </w:rPr>
          <w:t>Figure</w:t>
        </w:r>
        <w:r>
          <w:rPr>
            <w:rFonts w:ascii="Calibri Light"/>
            <w:b w:val="0"/>
            <w:spacing w:val="-4"/>
          </w:rPr>
          <w:t> </w:t>
        </w:r>
        <w:r>
          <w:rPr>
            <w:rFonts w:ascii="Calibri Light"/>
            <w:b w:val="0"/>
          </w:rPr>
          <w:t>2:</w:t>
        </w:r>
        <w:r>
          <w:rPr>
            <w:rFonts w:ascii="Calibri Light"/>
            <w:b w:val="0"/>
            <w:spacing w:val="-7"/>
          </w:rPr>
          <w:t> </w:t>
        </w:r>
        <w:r>
          <w:rPr>
            <w:rFonts w:ascii="Calibri Light"/>
            <w:b w:val="0"/>
          </w:rPr>
          <w:t>Grants</w:t>
        </w:r>
        <w:r>
          <w:rPr>
            <w:rFonts w:ascii="Calibri Light"/>
            <w:b w:val="0"/>
            <w:spacing w:val="-4"/>
          </w:rPr>
          <w:t> </w:t>
        </w:r>
        <w:r>
          <w:rPr>
            <w:rFonts w:ascii="Calibri Light"/>
            <w:b w:val="0"/>
          </w:rPr>
          <w:t>per</w:t>
        </w:r>
        <w:r>
          <w:rPr>
            <w:rFonts w:ascii="Calibri Light"/>
            <w:b w:val="0"/>
            <w:spacing w:val="-5"/>
          </w:rPr>
          <w:t> </w:t>
        </w:r>
        <w:r>
          <w:rPr>
            <w:rFonts w:ascii="Calibri Light"/>
            <w:b w:val="0"/>
          </w:rPr>
          <w:t>Student</w:t>
        </w:r>
        <w:r>
          <w:rPr>
            <w:rFonts w:ascii="Calibri Light"/>
            <w:b w:val="0"/>
            <w:spacing w:val="-4"/>
          </w:rPr>
          <w:t> </w:t>
        </w:r>
        <w:r>
          <w:rPr>
            <w:rFonts w:ascii="Calibri Light"/>
            <w:b w:val="0"/>
          </w:rPr>
          <w:t>primary</w:t>
        </w:r>
        <w:r>
          <w:rPr>
            <w:rFonts w:ascii="Calibri Light"/>
            <w:b w:val="0"/>
            <w:spacing w:val="-3"/>
          </w:rPr>
          <w:t> </w:t>
        </w:r>
        <w:r>
          <w:rPr>
            <w:rFonts w:ascii="Calibri Light"/>
            <w:b w:val="0"/>
          </w:rPr>
          <w:t>and</w:t>
        </w:r>
        <w:r>
          <w:rPr>
            <w:rFonts w:ascii="Calibri Light"/>
            <w:b w:val="0"/>
            <w:spacing w:val="-5"/>
          </w:rPr>
          <w:t> </w:t>
        </w:r>
        <w:r>
          <w:rPr>
            <w:rFonts w:ascii="Calibri Light"/>
            <w:b w:val="0"/>
          </w:rPr>
          <w:t>secondary</w:t>
        </w:r>
        <w:r>
          <w:rPr>
            <w:rFonts w:ascii="Calibri Light"/>
            <w:b w:val="0"/>
            <w:spacing w:val="-5"/>
          </w:rPr>
          <w:t> </w:t>
        </w:r>
        <w:r>
          <w:rPr>
            <w:rFonts w:ascii="Calibri Light"/>
            <w:b w:val="0"/>
          </w:rPr>
          <w:t>recurrent</w:t>
        </w:r>
        <w:r>
          <w:rPr>
            <w:rFonts w:ascii="Calibri Light"/>
            <w:b w:val="0"/>
            <w:spacing w:val="-6"/>
          </w:rPr>
          <w:t> </w:t>
        </w:r>
        <w:r>
          <w:rPr>
            <w:rFonts w:ascii="Calibri Light"/>
            <w:b w:val="0"/>
          </w:rPr>
          <w:t>2017-</w:t>
        </w:r>
        <w:r>
          <w:rPr>
            <w:rFonts w:ascii="Calibri Light"/>
            <w:b w:val="0"/>
            <w:spacing w:val="-4"/>
          </w:rPr>
          <w:t>2018</w:t>
        </w:r>
        <w:r>
          <w:rPr>
            <w:rFonts w:ascii="Calibri Light"/>
            <w:b w:val="0"/>
          </w:rPr>
          <w:tab/>
        </w:r>
        <w:r>
          <w:rPr>
            <w:rFonts w:ascii="Calibri Light"/>
            <w:b w:val="0"/>
            <w:spacing w:val="-5"/>
          </w:rPr>
          <w:t>26</w:t>
        </w:r>
      </w:hyperlink>
    </w:p>
    <w:p>
      <w:pPr>
        <w:pStyle w:val="BodyText"/>
        <w:tabs>
          <w:tab w:pos="9008" w:val="left" w:leader="dot"/>
        </w:tabs>
        <w:spacing w:before="41"/>
        <w:ind w:left="220"/>
        <w:rPr>
          <w:rFonts w:ascii="Calibri Light"/>
          <w:b w:val="0"/>
        </w:rPr>
      </w:pPr>
      <w:hyperlink w:history="true" w:anchor="_bookmark27">
        <w:r>
          <w:rPr>
            <w:rFonts w:ascii="Calibri Light"/>
            <w:b w:val="0"/>
          </w:rPr>
          <w:t>Figure</w:t>
        </w:r>
        <w:r>
          <w:rPr>
            <w:rFonts w:ascii="Calibri Light"/>
            <w:b w:val="0"/>
            <w:spacing w:val="-3"/>
          </w:rPr>
          <w:t> </w:t>
        </w:r>
        <w:r>
          <w:rPr>
            <w:rFonts w:ascii="Calibri Light"/>
            <w:b w:val="0"/>
          </w:rPr>
          <w:t>3:</w:t>
        </w:r>
        <w:r>
          <w:rPr>
            <w:rFonts w:ascii="Calibri Light"/>
            <w:b w:val="0"/>
            <w:spacing w:val="-3"/>
          </w:rPr>
          <w:t> </w:t>
        </w:r>
        <w:r>
          <w:rPr>
            <w:rFonts w:ascii="Calibri Light"/>
            <w:b w:val="0"/>
          </w:rPr>
          <w:t>Basic</w:t>
        </w:r>
        <w:r>
          <w:rPr>
            <w:rFonts w:ascii="Calibri Light"/>
            <w:b w:val="0"/>
            <w:spacing w:val="-3"/>
          </w:rPr>
          <w:t> </w:t>
        </w:r>
        <w:r>
          <w:rPr>
            <w:rFonts w:ascii="Calibri Light"/>
            <w:b w:val="0"/>
          </w:rPr>
          <w:t>and</w:t>
        </w:r>
        <w:r>
          <w:rPr>
            <w:rFonts w:ascii="Calibri Light"/>
            <w:b w:val="0"/>
            <w:spacing w:val="-4"/>
          </w:rPr>
          <w:t> </w:t>
        </w:r>
        <w:r>
          <w:rPr>
            <w:rFonts w:ascii="Calibri Light"/>
            <w:b w:val="0"/>
          </w:rPr>
          <w:t>Senior</w:t>
        </w:r>
        <w:r>
          <w:rPr>
            <w:rFonts w:ascii="Calibri Light"/>
            <w:b w:val="0"/>
            <w:spacing w:val="-5"/>
          </w:rPr>
          <w:t> </w:t>
        </w:r>
        <w:r>
          <w:rPr>
            <w:rFonts w:ascii="Calibri Light"/>
            <w:b w:val="0"/>
          </w:rPr>
          <w:t>Education</w:t>
        </w:r>
        <w:r>
          <w:rPr>
            <w:rFonts w:ascii="Calibri Light"/>
            <w:b w:val="0"/>
            <w:spacing w:val="-4"/>
          </w:rPr>
          <w:t> </w:t>
        </w:r>
        <w:r>
          <w:rPr>
            <w:rFonts w:ascii="Calibri Light"/>
            <w:b w:val="0"/>
          </w:rPr>
          <w:t>Grants</w:t>
        </w:r>
        <w:r>
          <w:rPr>
            <w:rFonts w:ascii="Calibri Light"/>
            <w:b w:val="0"/>
            <w:spacing w:val="-3"/>
          </w:rPr>
          <w:t> </w:t>
        </w:r>
        <w:r>
          <w:rPr>
            <w:rFonts w:ascii="Calibri Light"/>
            <w:b w:val="0"/>
          </w:rPr>
          <w:t>2016</w:t>
        </w:r>
        <w:r>
          <w:rPr>
            <w:rFonts w:ascii="Calibri Light"/>
            <w:b w:val="0"/>
            <w:spacing w:val="-3"/>
          </w:rPr>
          <w:t> </w:t>
        </w:r>
        <w:r>
          <w:rPr>
            <w:rFonts w:ascii="Calibri Light"/>
            <w:b w:val="0"/>
          </w:rPr>
          <w:t>to</w:t>
        </w:r>
        <w:r>
          <w:rPr>
            <w:rFonts w:ascii="Calibri Light"/>
            <w:b w:val="0"/>
            <w:spacing w:val="-5"/>
          </w:rPr>
          <w:t> </w:t>
        </w:r>
        <w:r>
          <w:rPr>
            <w:rFonts w:ascii="Calibri Light"/>
            <w:b w:val="0"/>
          </w:rPr>
          <w:t>2018</w:t>
        </w:r>
        <w:r>
          <w:rPr>
            <w:rFonts w:ascii="Calibri Light"/>
            <w:b w:val="0"/>
            <w:spacing w:val="-3"/>
          </w:rPr>
          <w:t> </w:t>
        </w:r>
        <w:r>
          <w:rPr>
            <w:rFonts w:ascii="Calibri Light"/>
            <w:b w:val="0"/>
          </w:rPr>
          <w:t>in</w:t>
        </w:r>
        <w:r>
          <w:rPr>
            <w:rFonts w:ascii="Calibri Light"/>
            <w:b w:val="0"/>
            <w:spacing w:val="-5"/>
          </w:rPr>
          <w:t> </w:t>
        </w:r>
        <w:r>
          <w:rPr>
            <w:rFonts w:ascii="Calibri Light"/>
            <w:b w:val="0"/>
          </w:rPr>
          <w:t>SBD</w:t>
        </w:r>
        <w:r>
          <w:rPr>
            <w:rFonts w:ascii="Calibri Light"/>
            <w:b w:val="0"/>
            <w:spacing w:val="-2"/>
          </w:rPr>
          <w:t> millions</w:t>
        </w:r>
        <w:r>
          <w:rPr>
            <w:rFonts w:ascii="Calibri Light"/>
            <w:b w:val="0"/>
          </w:rPr>
          <w:tab/>
        </w:r>
        <w:r>
          <w:rPr>
            <w:rFonts w:ascii="Calibri Light"/>
            <w:b w:val="0"/>
            <w:spacing w:val="-5"/>
          </w:rPr>
          <w:t>26</w:t>
        </w:r>
      </w:hyperlink>
    </w:p>
    <w:p>
      <w:pPr>
        <w:pStyle w:val="BodyText"/>
        <w:tabs>
          <w:tab w:pos="9008" w:val="left" w:leader="dot"/>
        </w:tabs>
        <w:spacing w:before="41"/>
        <w:ind w:left="220"/>
        <w:rPr>
          <w:rFonts w:ascii="Calibri Light"/>
          <w:b w:val="0"/>
        </w:rPr>
      </w:pPr>
      <w:hyperlink w:history="true" w:anchor="_bookmark29">
        <w:r>
          <w:rPr>
            <w:rFonts w:ascii="Calibri Light"/>
            <w:b w:val="0"/>
          </w:rPr>
          <w:t>Figure</w:t>
        </w:r>
        <w:r>
          <w:rPr>
            <w:rFonts w:ascii="Calibri Light"/>
            <w:b w:val="0"/>
            <w:spacing w:val="-5"/>
          </w:rPr>
          <w:t> </w:t>
        </w:r>
        <w:r>
          <w:rPr>
            <w:rFonts w:ascii="Calibri Light"/>
            <w:b w:val="0"/>
          </w:rPr>
          <w:t>4:</w:t>
        </w:r>
        <w:r>
          <w:rPr>
            <w:rFonts w:ascii="Calibri Light"/>
            <w:b w:val="0"/>
            <w:spacing w:val="-8"/>
          </w:rPr>
          <w:t> </w:t>
        </w:r>
        <w:r>
          <w:rPr>
            <w:rFonts w:ascii="Calibri Light"/>
            <w:b w:val="0"/>
          </w:rPr>
          <w:t>Scholarships:</w:t>
        </w:r>
        <w:r>
          <w:rPr>
            <w:rFonts w:ascii="Calibri Light"/>
            <w:b w:val="0"/>
            <w:spacing w:val="-4"/>
          </w:rPr>
          <w:t> </w:t>
        </w:r>
        <w:r>
          <w:rPr>
            <w:rFonts w:ascii="Calibri Light"/>
            <w:b w:val="0"/>
          </w:rPr>
          <w:t>Budget</w:t>
        </w:r>
        <w:r>
          <w:rPr>
            <w:rFonts w:ascii="Calibri Light"/>
            <w:b w:val="0"/>
            <w:spacing w:val="-5"/>
          </w:rPr>
          <w:t> </w:t>
        </w:r>
        <w:r>
          <w:rPr>
            <w:rFonts w:ascii="Calibri Light"/>
            <w:b w:val="0"/>
          </w:rPr>
          <w:t>vs</w:t>
        </w:r>
        <w:r>
          <w:rPr>
            <w:rFonts w:ascii="Calibri Light"/>
            <w:b w:val="0"/>
            <w:spacing w:val="-5"/>
          </w:rPr>
          <w:t> </w:t>
        </w:r>
        <w:r>
          <w:rPr>
            <w:rFonts w:ascii="Calibri Light"/>
            <w:b w:val="0"/>
          </w:rPr>
          <w:t>Actuals</w:t>
        </w:r>
        <w:r>
          <w:rPr>
            <w:rFonts w:ascii="Calibri Light"/>
            <w:b w:val="0"/>
            <w:spacing w:val="-6"/>
          </w:rPr>
          <w:t> </w:t>
        </w:r>
        <w:r>
          <w:rPr>
            <w:rFonts w:ascii="Calibri Light"/>
            <w:b w:val="0"/>
          </w:rPr>
          <w:t>2016-</w:t>
        </w:r>
        <w:r>
          <w:rPr>
            <w:rFonts w:ascii="Calibri Light"/>
            <w:b w:val="0"/>
            <w:spacing w:val="-4"/>
          </w:rPr>
          <w:t>2018</w:t>
        </w:r>
        <w:r>
          <w:rPr>
            <w:rFonts w:ascii="Calibri Light"/>
            <w:b w:val="0"/>
          </w:rPr>
          <w:tab/>
        </w:r>
        <w:r>
          <w:rPr>
            <w:rFonts w:ascii="Calibri Light"/>
            <w:b w:val="0"/>
            <w:spacing w:val="-5"/>
          </w:rPr>
          <w:t>28</w:t>
        </w:r>
      </w:hyperlink>
    </w:p>
    <w:p>
      <w:pPr>
        <w:pStyle w:val="BodyText"/>
        <w:tabs>
          <w:tab w:pos="9008" w:val="left" w:leader="dot"/>
        </w:tabs>
        <w:spacing w:before="38"/>
        <w:ind w:left="220"/>
        <w:rPr>
          <w:rFonts w:ascii="Calibri Light"/>
          <w:b w:val="0"/>
        </w:rPr>
      </w:pPr>
      <w:hyperlink w:history="true" w:anchor="_bookmark30">
        <w:r>
          <w:rPr>
            <w:rFonts w:ascii="Calibri Light"/>
            <w:b w:val="0"/>
          </w:rPr>
          <w:t>Diagram</w:t>
        </w:r>
        <w:r>
          <w:rPr>
            <w:rFonts w:ascii="Calibri Light"/>
            <w:b w:val="0"/>
            <w:spacing w:val="-5"/>
          </w:rPr>
          <w:t> </w:t>
        </w:r>
        <w:r>
          <w:rPr>
            <w:rFonts w:ascii="Calibri Light"/>
            <w:b w:val="0"/>
          </w:rPr>
          <w:t>1:</w:t>
        </w:r>
        <w:r>
          <w:rPr>
            <w:rFonts w:ascii="Calibri Light"/>
            <w:b w:val="0"/>
            <w:spacing w:val="-3"/>
          </w:rPr>
          <w:t> </w:t>
        </w:r>
        <w:r>
          <w:rPr>
            <w:rFonts w:ascii="Calibri Light"/>
            <w:b w:val="0"/>
          </w:rPr>
          <w:t>MEHRD</w:t>
        </w:r>
        <w:r>
          <w:rPr>
            <w:rFonts w:ascii="Calibri Light"/>
            <w:b w:val="0"/>
            <w:spacing w:val="-5"/>
          </w:rPr>
          <w:t> </w:t>
        </w:r>
        <w:r>
          <w:rPr>
            <w:rFonts w:ascii="Calibri Light"/>
            <w:b w:val="0"/>
          </w:rPr>
          <w:t>actual</w:t>
        </w:r>
        <w:r>
          <w:rPr>
            <w:rFonts w:ascii="Calibri Light"/>
            <w:b w:val="0"/>
            <w:spacing w:val="-4"/>
          </w:rPr>
          <w:t> </w:t>
        </w:r>
        <w:r>
          <w:rPr>
            <w:rFonts w:ascii="Calibri Light"/>
            <w:b w:val="0"/>
          </w:rPr>
          <w:t>and</w:t>
        </w:r>
        <w:r>
          <w:rPr>
            <w:rFonts w:ascii="Calibri Light"/>
            <w:b w:val="0"/>
            <w:spacing w:val="-3"/>
          </w:rPr>
          <w:t> </w:t>
        </w:r>
        <w:r>
          <w:rPr>
            <w:rFonts w:ascii="Calibri Light"/>
            <w:b w:val="0"/>
          </w:rPr>
          <w:t>budgeted</w:t>
        </w:r>
        <w:r>
          <w:rPr>
            <w:rFonts w:ascii="Calibri Light"/>
            <w:b w:val="0"/>
            <w:spacing w:val="-2"/>
          </w:rPr>
          <w:t> </w:t>
        </w:r>
        <w:r>
          <w:rPr>
            <w:rFonts w:ascii="Calibri Light"/>
            <w:b w:val="0"/>
          </w:rPr>
          <w:t>expenditure</w:t>
        </w:r>
        <w:r>
          <w:rPr>
            <w:rFonts w:ascii="Calibri Light"/>
            <w:b w:val="0"/>
            <w:spacing w:val="-3"/>
          </w:rPr>
          <w:t> </w:t>
        </w:r>
        <w:r>
          <w:rPr>
            <w:rFonts w:ascii="Calibri Light"/>
            <w:b w:val="0"/>
          </w:rPr>
          <w:t>in</w:t>
        </w:r>
        <w:r>
          <w:rPr>
            <w:rFonts w:ascii="Calibri Light"/>
            <w:b w:val="0"/>
            <w:spacing w:val="-2"/>
          </w:rPr>
          <w:t> </w:t>
        </w:r>
        <w:r>
          <w:rPr>
            <w:rFonts w:ascii="Calibri Light"/>
            <w:b w:val="0"/>
            <w:spacing w:val="-4"/>
          </w:rPr>
          <w:t>2018</w:t>
        </w:r>
        <w:r>
          <w:rPr>
            <w:rFonts w:ascii="Calibri Light"/>
            <w:b w:val="0"/>
          </w:rPr>
          <w:tab/>
        </w:r>
        <w:r>
          <w:rPr>
            <w:rFonts w:ascii="Calibri Light"/>
            <w:b w:val="0"/>
            <w:spacing w:val="-5"/>
          </w:rPr>
          <w:t>28</w:t>
        </w:r>
      </w:hyperlink>
    </w:p>
    <w:p>
      <w:pPr>
        <w:pStyle w:val="BodyText"/>
        <w:tabs>
          <w:tab w:pos="9008" w:val="left" w:leader="dot"/>
        </w:tabs>
        <w:spacing w:before="41"/>
        <w:ind w:left="220"/>
        <w:rPr>
          <w:rFonts w:ascii="Calibri Light"/>
          <w:b w:val="0"/>
        </w:rPr>
      </w:pPr>
      <w:hyperlink w:history="true" w:anchor="_bookmark31">
        <w:r>
          <w:rPr>
            <w:rFonts w:ascii="Calibri Light"/>
            <w:b w:val="0"/>
          </w:rPr>
          <w:t>Diagram</w:t>
        </w:r>
        <w:r>
          <w:rPr>
            <w:rFonts w:ascii="Calibri Light"/>
            <w:b w:val="0"/>
            <w:spacing w:val="-6"/>
          </w:rPr>
          <w:t> </w:t>
        </w:r>
        <w:r>
          <w:rPr>
            <w:rFonts w:ascii="Calibri Light"/>
            <w:b w:val="0"/>
          </w:rPr>
          <w:t>2:</w:t>
        </w:r>
        <w:r>
          <w:rPr>
            <w:rFonts w:ascii="Calibri Light"/>
            <w:b w:val="0"/>
            <w:spacing w:val="-4"/>
          </w:rPr>
          <w:t> </w:t>
        </w:r>
        <w:r>
          <w:rPr>
            <w:rFonts w:ascii="Calibri Light"/>
            <w:b w:val="0"/>
          </w:rPr>
          <w:t>SIG</w:t>
        </w:r>
        <w:r>
          <w:rPr>
            <w:rFonts w:ascii="Calibri Light"/>
            <w:b w:val="0"/>
            <w:spacing w:val="-6"/>
          </w:rPr>
          <w:t> </w:t>
        </w:r>
        <w:r>
          <w:rPr>
            <w:rFonts w:ascii="Calibri Light"/>
            <w:b w:val="0"/>
          </w:rPr>
          <w:t>Tertiary</w:t>
        </w:r>
        <w:r>
          <w:rPr>
            <w:rFonts w:ascii="Calibri Light"/>
            <w:b w:val="0"/>
            <w:spacing w:val="-4"/>
          </w:rPr>
          <w:t> </w:t>
        </w:r>
        <w:r>
          <w:rPr>
            <w:rFonts w:ascii="Calibri Light"/>
            <w:b w:val="0"/>
          </w:rPr>
          <w:t>Scholarship</w:t>
        </w:r>
        <w:r>
          <w:rPr>
            <w:rFonts w:ascii="Calibri Light"/>
            <w:b w:val="0"/>
            <w:spacing w:val="-7"/>
          </w:rPr>
          <w:t> </w:t>
        </w:r>
        <w:r>
          <w:rPr>
            <w:rFonts w:ascii="Calibri Light"/>
            <w:b w:val="0"/>
          </w:rPr>
          <w:t>Awards</w:t>
        </w:r>
        <w:r>
          <w:rPr>
            <w:rFonts w:ascii="Calibri Light"/>
            <w:b w:val="0"/>
            <w:spacing w:val="-5"/>
          </w:rPr>
          <w:t> </w:t>
        </w:r>
        <w:r>
          <w:rPr>
            <w:rFonts w:ascii="Calibri Light"/>
            <w:b w:val="0"/>
          </w:rPr>
          <w:t>2016-</w:t>
        </w:r>
        <w:r>
          <w:rPr>
            <w:rFonts w:ascii="Calibri Light"/>
            <w:b w:val="0"/>
            <w:spacing w:val="-4"/>
          </w:rPr>
          <w:t>2019</w:t>
        </w:r>
        <w:r>
          <w:rPr>
            <w:rFonts w:ascii="Calibri Light"/>
            <w:b w:val="0"/>
          </w:rPr>
          <w:tab/>
        </w:r>
        <w:r>
          <w:rPr>
            <w:rFonts w:ascii="Calibri Light"/>
            <w:b w:val="0"/>
            <w:spacing w:val="-5"/>
          </w:rPr>
          <w:t>29</w:t>
        </w:r>
      </w:hyperlink>
    </w:p>
    <w:p>
      <w:pPr>
        <w:pStyle w:val="BodyText"/>
        <w:tabs>
          <w:tab w:pos="9008" w:val="left" w:leader="dot"/>
        </w:tabs>
        <w:spacing w:before="42"/>
        <w:ind w:left="220"/>
        <w:rPr>
          <w:rFonts w:ascii="Calibri Light"/>
          <w:b w:val="0"/>
        </w:rPr>
      </w:pPr>
      <w:hyperlink w:history="true" w:anchor="_bookmark33">
        <w:r>
          <w:rPr>
            <w:rFonts w:ascii="Calibri Light"/>
            <w:b w:val="0"/>
          </w:rPr>
          <w:t>Diagram</w:t>
        </w:r>
        <w:r>
          <w:rPr>
            <w:rFonts w:ascii="Calibri Light"/>
            <w:b w:val="0"/>
            <w:spacing w:val="-6"/>
          </w:rPr>
          <w:t> </w:t>
        </w:r>
        <w:r>
          <w:rPr>
            <w:rFonts w:ascii="Calibri Light"/>
            <w:b w:val="0"/>
          </w:rPr>
          <w:t>3:</w:t>
        </w:r>
        <w:r>
          <w:rPr>
            <w:rFonts w:ascii="Calibri Light"/>
            <w:b w:val="0"/>
            <w:spacing w:val="-3"/>
          </w:rPr>
          <w:t> </w:t>
        </w:r>
        <w:r>
          <w:rPr>
            <w:rFonts w:ascii="Calibri Light"/>
            <w:b w:val="0"/>
          </w:rPr>
          <w:t>MEHRD</w:t>
        </w:r>
        <w:r>
          <w:rPr>
            <w:rFonts w:ascii="Calibri Light"/>
            <w:b w:val="0"/>
            <w:spacing w:val="-5"/>
          </w:rPr>
          <w:t> </w:t>
        </w:r>
        <w:r>
          <w:rPr>
            <w:rFonts w:ascii="Calibri Light"/>
            <w:b w:val="0"/>
          </w:rPr>
          <w:t>per</w:t>
        </w:r>
        <w:r>
          <w:rPr>
            <w:rFonts w:ascii="Calibri Light"/>
            <w:b w:val="0"/>
            <w:spacing w:val="-2"/>
          </w:rPr>
          <w:t> </w:t>
        </w:r>
        <w:r>
          <w:rPr>
            <w:rFonts w:ascii="Calibri Light"/>
            <w:b w:val="0"/>
          </w:rPr>
          <w:t>cent</w:t>
        </w:r>
        <w:r>
          <w:rPr>
            <w:rFonts w:ascii="Calibri Light"/>
            <w:b w:val="0"/>
            <w:spacing w:val="-3"/>
          </w:rPr>
          <w:t> </w:t>
        </w:r>
        <w:r>
          <w:rPr>
            <w:rFonts w:ascii="Calibri Light"/>
            <w:b w:val="0"/>
          </w:rPr>
          <w:t>of</w:t>
        </w:r>
        <w:r>
          <w:rPr>
            <w:rFonts w:ascii="Calibri Light"/>
            <w:b w:val="0"/>
            <w:spacing w:val="-3"/>
          </w:rPr>
          <w:t> </w:t>
        </w:r>
        <w:r>
          <w:rPr>
            <w:rFonts w:ascii="Calibri Light"/>
            <w:b w:val="0"/>
          </w:rPr>
          <w:t>total</w:t>
        </w:r>
        <w:r>
          <w:rPr>
            <w:rFonts w:ascii="Calibri Light"/>
            <w:b w:val="0"/>
            <w:spacing w:val="-6"/>
          </w:rPr>
          <w:t> </w:t>
        </w:r>
        <w:r>
          <w:rPr>
            <w:rFonts w:ascii="Calibri Light"/>
            <w:b w:val="0"/>
          </w:rPr>
          <w:t>SIG</w:t>
        </w:r>
        <w:r>
          <w:rPr>
            <w:rFonts w:ascii="Calibri Light"/>
            <w:b w:val="0"/>
            <w:spacing w:val="-3"/>
          </w:rPr>
          <w:t> </w:t>
        </w:r>
        <w:r>
          <w:rPr>
            <w:rFonts w:ascii="Calibri Light"/>
            <w:b w:val="0"/>
          </w:rPr>
          <w:t>recurrent</w:t>
        </w:r>
        <w:r>
          <w:rPr>
            <w:rFonts w:ascii="Calibri Light"/>
            <w:b w:val="0"/>
            <w:spacing w:val="-5"/>
          </w:rPr>
          <w:t> </w:t>
        </w:r>
        <w:r>
          <w:rPr>
            <w:rFonts w:ascii="Calibri Light"/>
            <w:b w:val="0"/>
          </w:rPr>
          <w:t>budget</w:t>
        </w:r>
        <w:r>
          <w:rPr>
            <w:rFonts w:ascii="Calibri Light"/>
            <w:b w:val="0"/>
            <w:spacing w:val="-3"/>
          </w:rPr>
          <w:t> </w:t>
        </w:r>
        <w:r>
          <w:rPr>
            <w:rFonts w:ascii="Calibri Light"/>
            <w:b w:val="0"/>
            <w:spacing w:val="-2"/>
          </w:rPr>
          <w:t>appropriation.</w:t>
        </w:r>
        <w:r>
          <w:rPr>
            <w:rFonts w:ascii="Calibri Light"/>
            <w:b w:val="0"/>
          </w:rPr>
          <w:tab/>
        </w:r>
        <w:r>
          <w:rPr>
            <w:rFonts w:ascii="Calibri Light"/>
            <w:b w:val="0"/>
            <w:spacing w:val="-5"/>
          </w:rPr>
          <w:t>31</w:t>
        </w:r>
      </w:hyperlink>
    </w:p>
    <w:p>
      <w:pPr>
        <w:pStyle w:val="BodyText"/>
        <w:tabs>
          <w:tab w:pos="9008" w:val="left" w:leader="dot"/>
        </w:tabs>
        <w:spacing w:before="39"/>
        <w:ind w:left="220"/>
        <w:rPr>
          <w:rFonts w:ascii="Calibri Light"/>
          <w:b w:val="0"/>
        </w:rPr>
      </w:pPr>
      <w:hyperlink w:history="true" w:anchor="_bookmark36">
        <w:r>
          <w:rPr>
            <w:rFonts w:ascii="Calibri Light"/>
            <w:b w:val="0"/>
          </w:rPr>
          <w:t>Diagram</w:t>
        </w:r>
        <w:r>
          <w:rPr>
            <w:rFonts w:ascii="Calibri Light"/>
            <w:b w:val="0"/>
            <w:spacing w:val="-8"/>
          </w:rPr>
          <w:t> </w:t>
        </w:r>
        <w:r>
          <w:rPr>
            <w:rFonts w:ascii="Calibri Light"/>
            <w:b w:val="0"/>
          </w:rPr>
          <w:t>4:</w:t>
        </w:r>
        <w:r>
          <w:rPr>
            <w:rFonts w:ascii="Calibri Light"/>
            <w:b w:val="0"/>
            <w:spacing w:val="-3"/>
          </w:rPr>
          <w:t> </w:t>
        </w:r>
        <w:r>
          <w:rPr>
            <w:rFonts w:ascii="Calibri Light"/>
            <w:b w:val="0"/>
          </w:rPr>
          <w:t>Performance</w:t>
        </w:r>
        <w:r>
          <w:rPr>
            <w:rFonts w:ascii="Calibri Light"/>
            <w:b w:val="0"/>
            <w:spacing w:val="-6"/>
          </w:rPr>
          <w:t> </w:t>
        </w:r>
        <w:r>
          <w:rPr>
            <w:rFonts w:ascii="Calibri Light"/>
            <w:b w:val="0"/>
          </w:rPr>
          <w:t>Linked</w:t>
        </w:r>
        <w:r>
          <w:rPr>
            <w:rFonts w:ascii="Calibri Light"/>
            <w:b w:val="0"/>
            <w:spacing w:val="-6"/>
          </w:rPr>
          <w:t> </w:t>
        </w:r>
        <w:r>
          <w:rPr>
            <w:rFonts w:ascii="Calibri Light"/>
            <w:b w:val="0"/>
          </w:rPr>
          <w:t>Aid</w:t>
        </w:r>
        <w:r>
          <w:rPr>
            <w:rFonts w:ascii="Calibri Light"/>
            <w:b w:val="0"/>
            <w:spacing w:val="-5"/>
          </w:rPr>
          <w:t> </w:t>
        </w:r>
        <w:r>
          <w:rPr>
            <w:rFonts w:ascii="Calibri Light"/>
            <w:b w:val="0"/>
          </w:rPr>
          <w:t>2018</w:t>
        </w:r>
        <w:r>
          <w:rPr>
            <w:rFonts w:ascii="Calibri Light"/>
            <w:b w:val="0"/>
            <w:spacing w:val="-5"/>
          </w:rPr>
          <w:t> </w:t>
        </w:r>
        <w:r>
          <w:rPr>
            <w:rFonts w:ascii="Calibri Light"/>
            <w:b w:val="0"/>
          </w:rPr>
          <w:t>MEHRD</w:t>
        </w:r>
        <w:r>
          <w:rPr>
            <w:rFonts w:ascii="Calibri Light"/>
            <w:b w:val="0"/>
            <w:spacing w:val="-5"/>
          </w:rPr>
          <w:t> </w:t>
        </w:r>
        <w:r>
          <w:rPr>
            <w:rFonts w:ascii="Calibri Light"/>
            <w:b w:val="0"/>
          </w:rPr>
          <w:t>percentage</w:t>
        </w:r>
        <w:r>
          <w:rPr>
            <w:rFonts w:ascii="Calibri Light"/>
            <w:b w:val="0"/>
            <w:spacing w:val="-5"/>
          </w:rPr>
          <w:t> </w:t>
        </w:r>
        <w:r>
          <w:rPr>
            <w:rFonts w:ascii="Calibri Light"/>
            <w:b w:val="0"/>
            <w:spacing w:val="-2"/>
          </w:rPr>
          <w:t>achievements</w:t>
        </w:r>
        <w:r>
          <w:rPr>
            <w:rFonts w:ascii="Calibri Light"/>
            <w:b w:val="0"/>
          </w:rPr>
          <w:tab/>
        </w:r>
        <w:r>
          <w:rPr>
            <w:rFonts w:ascii="Calibri Light"/>
            <w:b w:val="0"/>
            <w:spacing w:val="-5"/>
          </w:rPr>
          <w:t>33</w:t>
        </w:r>
      </w:hyperlink>
    </w:p>
    <w:p>
      <w:pPr>
        <w:pStyle w:val="BodyText"/>
        <w:tabs>
          <w:tab w:pos="9008" w:val="left" w:leader="dot"/>
        </w:tabs>
        <w:spacing w:before="41"/>
        <w:ind w:left="220"/>
        <w:rPr>
          <w:rFonts w:ascii="Calibri Light"/>
          <w:b w:val="0"/>
        </w:rPr>
      </w:pPr>
      <w:hyperlink w:history="true" w:anchor="_bookmark37">
        <w:r>
          <w:rPr>
            <w:rFonts w:ascii="Calibri Light"/>
            <w:b w:val="0"/>
          </w:rPr>
          <w:t>Figure</w:t>
        </w:r>
        <w:r>
          <w:rPr>
            <w:rFonts w:ascii="Calibri Light"/>
            <w:b w:val="0"/>
            <w:spacing w:val="-4"/>
          </w:rPr>
          <w:t> </w:t>
        </w:r>
        <w:r>
          <w:rPr>
            <w:rFonts w:ascii="Calibri Light"/>
            <w:b w:val="0"/>
          </w:rPr>
          <w:t>5:</w:t>
        </w:r>
        <w:r>
          <w:rPr>
            <w:rFonts w:ascii="Calibri Light"/>
            <w:b w:val="0"/>
            <w:spacing w:val="-3"/>
          </w:rPr>
          <w:t> </w:t>
        </w:r>
        <w:r>
          <w:rPr>
            <w:rFonts w:ascii="Calibri Light"/>
            <w:b w:val="0"/>
          </w:rPr>
          <w:t>Comparison</w:t>
        </w:r>
        <w:r>
          <w:rPr>
            <w:rFonts w:ascii="Calibri Light"/>
            <w:b w:val="0"/>
            <w:spacing w:val="-6"/>
          </w:rPr>
          <w:t> </w:t>
        </w:r>
        <w:r>
          <w:rPr>
            <w:rFonts w:ascii="Calibri Light"/>
            <w:b w:val="0"/>
          </w:rPr>
          <w:t>of</w:t>
        </w:r>
        <w:r>
          <w:rPr>
            <w:rFonts w:ascii="Calibri Light"/>
            <w:b w:val="0"/>
            <w:spacing w:val="-5"/>
          </w:rPr>
          <w:t> </w:t>
        </w:r>
        <w:r>
          <w:rPr>
            <w:rFonts w:ascii="Calibri Light"/>
            <w:b w:val="0"/>
          </w:rPr>
          <w:t>indicators</w:t>
        </w:r>
        <w:r>
          <w:rPr>
            <w:rFonts w:ascii="Calibri Light"/>
            <w:b w:val="0"/>
            <w:spacing w:val="-3"/>
          </w:rPr>
          <w:t> </w:t>
        </w:r>
        <w:r>
          <w:rPr>
            <w:rFonts w:ascii="Calibri Light"/>
            <w:b w:val="0"/>
          </w:rPr>
          <w:t>achieved</w:t>
        </w:r>
        <w:r>
          <w:rPr>
            <w:rFonts w:ascii="Calibri Light"/>
            <w:b w:val="0"/>
            <w:spacing w:val="-2"/>
          </w:rPr>
          <w:t> </w:t>
        </w:r>
        <w:r>
          <w:rPr>
            <w:rFonts w:ascii="Calibri Light"/>
            <w:b w:val="0"/>
          </w:rPr>
          <w:t>from</w:t>
        </w:r>
        <w:r>
          <w:rPr>
            <w:rFonts w:ascii="Calibri Light"/>
            <w:b w:val="0"/>
            <w:spacing w:val="-6"/>
          </w:rPr>
          <w:t> </w:t>
        </w:r>
        <w:r>
          <w:rPr>
            <w:rFonts w:ascii="Calibri Light"/>
            <w:b w:val="0"/>
          </w:rPr>
          <w:t>2015</w:t>
        </w:r>
        <w:r>
          <w:rPr>
            <w:rFonts w:ascii="Calibri Light"/>
            <w:b w:val="0"/>
            <w:spacing w:val="-5"/>
          </w:rPr>
          <w:t> </w:t>
        </w:r>
        <w:r>
          <w:rPr>
            <w:rFonts w:ascii="Calibri Light"/>
            <w:b w:val="0"/>
          </w:rPr>
          <w:t>to</w:t>
        </w:r>
        <w:r>
          <w:rPr>
            <w:rFonts w:ascii="Calibri Light"/>
            <w:b w:val="0"/>
            <w:spacing w:val="-3"/>
          </w:rPr>
          <w:t> </w:t>
        </w:r>
        <w:r>
          <w:rPr>
            <w:rFonts w:ascii="Calibri Light"/>
            <w:b w:val="0"/>
            <w:spacing w:val="-4"/>
          </w:rPr>
          <w:t>2018</w:t>
        </w:r>
        <w:r>
          <w:rPr>
            <w:rFonts w:ascii="Calibri Light"/>
            <w:b w:val="0"/>
          </w:rPr>
          <w:tab/>
        </w:r>
        <w:r>
          <w:rPr>
            <w:rFonts w:ascii="Calibri Light"/>
            <w:b w:val="0"/>
            <w:spacing w:val="-5"/>
          </w:rPr>
          <w:t>33</w:t>
        </w:r>
      </w:hyperlink>
    </w:p>
    <w:p>
      <w:pPr>
        <w:pStyle w:val="BodyText"/>
        <w:tabs>
          <w:tab w:pos="9008" w:val="left" w:leader="dot"/>
        </w:tabs>
        <w:spacing w:before="41"/>
        <w:ind w:left="220"/>
        <w:rPr>
          <w:rFonts w:ascii="Calibri Light"/>
          <w:b w:val="0"/>
        </w:rPr>
      </w:pPr>
      <w:hyperlink w:history="true" w:anchor="_bookmark38">
        <w:r>
          <w:rPr>
            <w:rFonts w:ascii="Calibri Light"/>
            <w:b w:val="0"/>
          </w:rPr>
          <w:t>Figure</w:t>
        </w:r>
        <w:r>
          <w:rPr>
            <w:rFonts w:ascii="Calibri Light"/>
            <w:b w:val="0"/>
            <w:spacing w:val="-4"/>
          </w:rPr>
          <w:t> </w:t>
        </w:r>
        <w:r>
          <w:rPr>
            <w:rFonts w:ascii="Calibri Light"/>
            <w:b w:val="0"/>
          </w:rPr>
          <w:t>6:</w:t>
        </w:r>
        <w:r>
          <w:rPr>
            <w:rFonts w:ascii="Calibri Light"/>
            <w:b w:val="0"/>
            <w:spacing w:val="-6"/>
          </w:rPr>
          <w:t> </w:t>
        </w:r>
        <w:r>
          <w:rPr>
            <w:rFonts w:ascii="Calibri Light"/>
            <w:b w:val="0"/>
          </w:rPr>
          <w:t>Summary</w:t>
        </w:r>
        <w:r>
          <w:rPr>
            <w:rFonts w:ascii="Calibri Light"/>
            <w:b w:val="0"/>
            <w:spacing w:val="-3"/>
          </w:rPr>
          <w:t> </w:t>
        </w:r>
        <w:r>
          <w:rPr>
            <w:rFonts w:ascii="Calibri Light"/>
            <w:b w:val="0"/>
          </w:rPr>
          <w:t>of</w:t>
        </w:r>
        <w:r>
          <w:rPr>
            <w:rFonts w:ascii="Calibri Light"/>
            <w:b w:val="0"/>
            <w:spacing w:val="-2"/>
          </w:rPr>
          <w:t> </w:t>
        </w:r>
        <w:r>
          <w:rPr>
            <w:rFonts w:ascii="Calibri Light"/>
            <w:b w:val="0"/>
          </w:rPr>
          <w:t>achieved/part</w:t>
        </w:r>
        <w:r>
          <w:rPr>
            <w:rFonts w:ascii="Calibri Light"/>
            <w:b w:val="0"/>
            <w:spacing w:val="-4"/>
          </w:rPr>
          <w:t> </w:t>
        </w:r>
        <w:r>
          <w:rPr>
            <w:rFonts w:ascii="Calibri Light"/>
            <w:b w:val="0"/>
          </w:rPr>
          <w:t>achieved</w:t>
        </w:r>
        <w:r>
          <w:rPr>
            <w:rFonts w:ascii="Calibri Light"/>
            <w:b w:val="0"/>
            <w:spacing w:val="-3"/>
          </w:rPr>
          <w:t> </w:t>
        </w:r>
        <w:r>
          <w:rPr>
            <w:rFonts w:ascii="Calibri Light"/>
            <w:b w:val="0"/>
          </w:rPr>
          <w:t>indicator</w:t>
        </w:r>
        <w:r>
          <w:rPr>
            <w:rFonts w:ascii="Calibri Light"/>
            <w:b w:val="0"/>
            <w:spacing w:val="-5"/>
          </w:rPr>
          <w:t> </w:t>
        </w:r>
        <w:r>
          <w:rPr>
            <w:rFonts w:ascii="Calibri Light"/>
            <w:b w:val="0"/>
          </w:rPr>
          <w:t>by</w:t>
        </w:r>
        <w:r>
          <w:rPr>
            <w:rFonts w:ascii="Calibri Light"/>
            <w:b w:val="0"/>
            <w:spacing w:val="-5"/>
          </w:rPr>
          <w:t> </w:t>
        </w:r>
        <w:r>
          <w:rPr>
            <w:rFonts w:ascii="Calibri Light"/>
            <w:b w:val="0"/>
          </w:rPr>
          <w:t>priority</w:t>
        </w:r>
        <w:r>
          <w:rPr>
            <w:rFonts w:ascii="Calibri Light"/>
            <w:b w:val="0"/>
            <w:spacing w:val="-3"/>
          </w:rPr>
          <w:t> </w:t>
        </w:r>
        <w:r>
          <w:rPr>
            <w:rFonts w:ascii="Calibri Light"/>
            <w:b w:val="0"/>
          </w:rPr>
          <w:t>area</w:t>
        </w:r>
        <w:r>
          <w:rPr>
            <w:rFonts w:ascii="Calibri Light"/>
            <w:b w:val="0"/>
            <w:spacing w:val="-6"/>
          </w:rPr>
          <w:t> </w:t>
        </w:r>
        <w:r>
          <w:rPr>
            <w:rFonts w:ascii="Calibri Light"/>
            <w:b w:val="0"/>
          </w:rPr>
          <w:t>for</w:t>
        </w:r>
        <w:r>
          <w:rPr>
            <w:rFonts w:ascii="Calibri Light"/>
            <w:b w:val="0"/>
            <w:spacing w:val="-5"/>
          </w:rPr>
          <w:t> </w:t>
        </w:r>
        <w:r>
          <w:rPr>
            <w:rFonts w:ascii="Calibri Light"/>
            <w:b w:val="0"/>
            <w:spacing w:val="-4"/>
          </w:rPr>
          <w:t>2018</w:t>
        </w:r>
        <w:r>
          <w:rPr>
            <w:rFonts w:ascii="Calibri Light"/>
            <w:b w:val="0"/>
          </w:rPr>
          <w:tab/>
        </w:r>
        <w:r>
          <w:rPr>
            <w:rFonts w:ascii="Calibri Light"/>
            <w:b w:val="0"/>
            <w:spacing w:val="-5"/>
          </w:rPr>
          <w:t>34</w:t>
        </w:r>
      </w:hyperlink>
    </w:p>
    <w:p>
      <w:pPr>
        <w:pStyle w:val="BodyText"/>
        <w:tabs>
          <w:tab w:pos="9008" w:val="left" w:leader="dot"/>
        </w:tabs>
        <w:spacing w:before="38"/>
        <w:ind w:left="220"/>
        <w:rPr>
          <w:rFonts w:ascii="Calibri Light"/>
          <w:b w:val="0"/>
        </w:rPr>
      </w:pPr>
      <w:hyperlink w:history="true" w:anchor="_bookmark40">
        <w:r>
          <w:rPr>
            <w:rFonts w:ascii="Calibri Light"/>
            <w:b w:val="0"/>
          </w:rPr>
          <w:t>Diagram</w:t>
        </w:r>
        <w:r>
          <w:rPr>
            <w:rFonts w:ascii="Calibri Light"/>
            <w:b w:val="0"/>
            <w:spacing w:val="-6"/>
          </w:rPr>
          <w:t> </w:t>
        </w:r>
        <w:r>
          <w:rPr>
            <w:rFonts w:ascii="Calibri Light"/>
            <w:b w:val="0"/>
          </w:rPr>
          <w:t>5:</w:t>
        </w:r>
        <w:r>
          <w:rPr>
            <w:rFonts w:ascii="Calibri Light"/>
            <w:b w:val="0"/>
            <w:spacing w:val="-3"/>
          </w:rPr>
          <w:t> </w:t>
        </w:r>
        <w:r>
          <w:rPr>
            <w:rFonts w:ascii="Calibri Light"/>
            <w:b w:val="0"/>
          </w:rPr>
          <w:t>Design</w:t>
        </w:r>
        <w:r>
          <w:rPr>
            <w:rFonts w:ascii="Calibri Light"/>
            <w:b w:val="0"/>
            <w:spacing w:val="-3"/>
          </w:rPr>
          <w:t> </w:t>
        </w:r>
        <w:r>
          <w:rPr>
            <w:rFonts w:ascii="Calibri Light"/>
            <w:b w:val="0"/>
          </w:rPr>
          <w:t>and</w:t>
        </w:r>
        <w:r>
          <w:rPr>
            <w:rFonts w:ascii="Calibri Light"/>
            <w:b w:val="0"/>
            <w:spacing w:val="-5"/>
          </w:rPr>
          <w:t> </w:t>
        </w:r>
        <w:r>
          <w:rPr>
            <w:rFonts w:ascii="Calibri Light"/>
            <w:b w:val="0"/>
          </w:rPr>
          <w:t>Implement</w:t>
        </w:r>
        <w:r>
          <w:rPr>
            <w:rFonts w:ascii="Calibri Light"/>
            <w:b w:val="0"/>
            <w:spacing w:val="-4"/>
          </w:rPr>
          <w:t> </w:t>
        </w:r>
        <w:r>
          <w:rPr>
            <w:rFonts w:ascii="Calibri Light"/>
            <w:b w:val="0"/>
          </w:rPr>
          <w:t>tender</w:t>
        </w:r>
        <w:r>
          <w:rPr>
            <w:rFonts w:ascii="Calibri Light"/>
            <w:b w:val="0"/>
            <w:spacing w:val="-2"/>
          </w:rPr>
          <w:t> process</w:t>
        </w:r>
        <w:r>
          <w:rPr>
            <w:rFonts w:ascii="Calibri Light"/>
            <w:b w:val="0"/>
          </w:rPr>
          <w:tab/>
        </w:r>
        <w:r>
          <w:rPr>
            <w:rFonts w:ascii="Calibri Light"/>
            <w:b w:val="0"/>
            <w:spacing w:val="-5"/>
          </w:rPr>
          <w:t>38</w:t>
        </w:r>
      </w:hyperlink>
    </w:p>
    <w:p>
      <w:pPr>
        <w:spacing w:after="0"/>
        <w:rPr>
          <w:rFonts w:ascii="Calibri Light"/>
        </w:rPr>
        <w:sectPr>
          <w:pgSz w:w="11900" w:h="16850"/>
          <w:pgMar w:header="867" w:footer="873" w:top="1060" w:bottom="1060" w:left="1220" w:right="180"/>
        </w:sectPr>
      </w:pPr>
    </w:p>
    <w:p>
      <w:pPr>
        <w:pStyle w:val="BodyText"/>
        <w:rPr>
          <w:rFonts w:ascii="Calibri Light"/>
          <w:b w:val="0"/>
          <w:sz w:val="20"/>
        </w:rPr>
      </w:pPr>
    </w:p>
    <w:p>
      <w:pPr>
        <w:pStyle w:val="BodyText"/>
        <w:spacing w:before="6"/>
        <w:rPr>
          <w:rFonts w:ascii="Calibri Light"/>
          <w:b w:val="0"/>
          <w:sz w:val="28"/>
        </w:rPr>
      </w:pPr>
    </w:p>
    <w:p>
      <w:pPr>
        <w:pStyle w:val="Heading1"/>
        <w:rPr>
          <w:b w:val="0"/>
        </w:rPr>
      </w:pPr>
      <w:bookmarkStart w:name="_bookmark2" w:id="3"/>
      <w:bookmarkEnd w:id="3"/>
      <w:r>
        <w:rPr/>
      </w:r>
      <w:r>
        <w:rPr>
          <w:b w:val="0"/>
          <w:color w:val="4471C4"/>
        </w:rPr>
        <w:t>Acronyms</w:t>
      </w:r>
      <w:r>
        <w:rPr>
          <w:b w:val="0"/>
          <w:color w:val="4471C4"/>
          <w:spacing w:val="18"/>
        </w:rPr>
        <w:t> </w:t>
      </w:r>
      <w:r>
        <w:rPr>
          <w:b w:val="0"/>
          <w:color w:val="4471C4"/>
        </w:rPr>
        <w:t>and</w:t>
      </w:r>
      <w:r>
        <w:rPr>
          <w:b w:val="0"/>
          <w:color w:val="4471C4"/>
          <w:spacing w:val="25"/>
        </w:rPr>
        <w:t> </w:t>
      </w:r>
      <w:r>
        <w:rPr>
          <w:b w:val="0"/>
          <w:color w:val="4471C4"/>
          <w:spacing w:val="-2"/>
        </w:rPr>
        <w:t>Abbreviations</w:t>
      </w:r>
    </w:p>
    <w:p>
      <w:pPr>
        <w:pStyle w:val="BodyText"/>
        <w:spacing w:before="1"/>
        <w:rPr>
          <w:rFonts w:ascii="Calibri Light"/>
          <w:b w:val="0"/>
          <w:sz w:val="2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gridCol w:w="5953"/>
      </w:tblGrid>
      <w:tr>
        <w:trPr>
          <w:trHeight w:val="349" w:hRule="atLeast"/>
        </w:trPr>
        <w:tc>
          <w:tcPr>
            <w:tcW w:w="1418" w:type="dxa"/>
            <w:tcBorders>
              <w:top w:val="single" w:sz="4" w:space="0" w:color="4471C4"/>
            </w:tcBorders>
            <w:shd w:val="clear" w:color="auto" w:fill="4471C4"/>
          </w:tcPr>
          <w:p>
            <w:pPr>
              <w:pStyle w:val="TableParagraph"/>
              <w:spacing w:before="47"/>
              <w:ind w:left="108"/>
              <w:rPr>
                <w:b/>
                <w:sz w:val="21"/>
              </w:rPr>
            </w:pPr>
            <w:r>
              <w:rPr>
                <w:b/>
                <w:color w:val="FFFFFF"/>
                <w:spacing w:val="-5"/>
                <w:sz w:val="21"/>
              </w:rPr>
              <w:t>AHC</w:t>
            </w:r>
          </w:p>
        </w:tc>
        <w:tc>
          <w:tcPr>
            <w:tcW w:w="5953" w:type="dxa"/>
            <w:tcBorders>
              <w:top w:val="single" w:sz="4" w:space="0" w:color="4471C4"/>
              <w:bottom w:val="single" w:sz="4" w:space="0" w:color="4471C4"/>
            </w:tcBorders>
          </w:tcPr>
          <w:p>
            <w:pPr>
              <w:pStyle w:val="TableParagraph"/>
              <w:spacing w:before="47"/>
              <w:ind w:left="108"/>
              <w:rPr>
                <w:sz w:val="21"/>
              </w:rPr>
            </w:pPr>
            <w:r>
              <w:rPr>
                <w:sz w:val="21"/>
              </w:rPr>
              <w:t>Australian</w:t>
            </w:r>
            <w:r>
              <w:rPr>
                <w:spacing w:val="-4"/>
                <w:sz w:val="21"/>
              </w:rPr>
              <w:t> </w:t>
            </w:r>
            <w:r>
              <w:rPr>
                <w:sz w:val="21"/>
              </w:rPr>
              <w:t>High</w:t>
            </w:r>
            <w:r>
              <w:rPr>
                <w:spacing w:val="-4"/>
                <w:sz w:val="21"/>
              </w:rPr>
              <w:t> </w:t>
            </w:r>
            <w:r>
              <w:rPr>
                <w:spacing w:val="-2"/>
                <w:sz w:val="21"/>
              </w:rPr>
              <w:t>Commission</w:t>
            </w:r>
          </w:p>
        </w:tc>
      </w:tr>
      <w:tr>
        <w:trPr>
          <w:trHeight w:val="352" w:hRule="atLeast"/>
        </w:trPr>
        <w:tc>
          <w:tcPr>
            <w:tcW w:w="1418" w:type="dxa"/>
            <w:shd w:val="clear" w:color="auto" w:fill="4471C4"/>
          </w:tcPr>
          <w:p>
            <w:pPr>
              <w:pStyle w:val="TableParagraph"/>
              <w:spacing w:before="49"/>
              <w:ind w:left="108"/>
              <w:rPr>
                <w:b/>
                <w:sz w:val="21"/>
              </w:rPr>
            </w:pPr>
            <w:r>
              <w:rPr>
                <w:b/>
                <w:color w:val="FFFFFF"/>
                <w:spacing w:val="-5"/>
                <w:sz w:val="21"/>
              </w:rPr>
              <w:t>AWP</w:t>
            </w:r>
          </w:p>
        </w:tc>
        <w:tc>
          <w:tcPr>
            <w:tcW w:w="5953" w:type="dxa"/>
            <w:tcBorders>
              <w:top w:val="single" w:sz="4" w:space="0" w:color="4471C4"/>
              <w:bottom w:val="single" w:sz="4" w:space="0" w:color="4471C4"/>
            </w:tcBorders>
          </w:tcPr>
          <w:p>
            <w:pPr>
              <w:pStyle w:val="TableParagraph"/>
              <w:spacing w:before="49"/>
              <w:ind w:left="108"/>
              <w:rPr>
                <w:sz w:val="21"/>
              </w:rPr>
            </w:pPr>
            <w:r>
              <w:rPr>
                <w:sz w:val="21"/>
              </w:rPr>
              <w:t>Annual</w:t>
            </w:r>
            <w:r>
              <w:rPr>
                <w:spacing w:val="-5"/>
                <w:sz w:val="21"/>
              </w:rPr>
              <w:t> </w:t>
            </w:r>
            <w:r>
              <w:rPr>
                <w:sz w:val="21"/>
              </w:rPr>
              <w:t>Work</w:t>
            </w:r>
            <w:r>
              <w:rPr>
                <w:spacing w:val="-5"/>
                <w:sz w:val="21"/>
              </w:rPr>
              <w:t> </w:t>
            </w:r>
            <w:r>
              <w:rPr>
                <w:spacing w:val="-4"/>
                <w:sz w:val="21"/>
              </w:rPr>
              <w:t>Plan</w:t>
            </w:r>
          </w:p>
        </w:tc>
      </w:tr>
      <w:tr>
        <w:trPr>
          <w:trHeight w:val="352" w:hRule="atLeast"/>
        </w:trPr>
        <w:tc>
          <w:tcPr>
            <w:tcW w:w="1418" w:type="dxa"/>
            <w:shd w:val="clear" w:color="auto" w:fill="4471C4"/>
          </w:tcPr>
          <w:p>
            <w:pPr>
              <w:pStyle w:val="TableParagraph"/>
              <w:spacing w:before="49"/>
              <w:ind w:left="108"/>
              <w:rPr>
                <w:b/>
                <w:sz w:val="21"/>
              </w:rPr>
            </w:pPr>
            <w:r>
              <w:rPr>
                <w:b/>
                <w:color w:val="FFFFFF"/>
                <w:spacing w:val="-5"/>
                <w:sz w:val="21"/>
              </w:rPr>
              <w:t>DFA</w:t>
            </w:r>
          </w:p>
        </w:tc>
        <w:tc>
          <w:tcPr>
            <w:tcW w:w="5953" w:type="dxa"/>
            <w:tcBorders>
              <w:top w:val="single" w:sz="4" w:space="0" w:color="4471C4"/>
              <w:bottom w:val="single" w:sz="4" w:space="0" w:color="4471C4"/>
            </w:tcBorders>
          </w:tcPr>
          <w:p>
            <w:pPr>
              <w:pStyle w:val="TableParagraph"/>
              <w:spacing w:before="49"/>
              <w:ind w:left="108"/>
              <w:rPr>
                <w:sz w:val="21"/>
              </w:rPr>
            </w:pPr>
            <w:r>
              <w:rPr>
                <w:sz w:val="21"/>
              </w:rPr>
              <w:t>Direct</w:t>
            </w:r>
            <w:r>
              <w:rPr>
                <w:spacing w:val="-7"/>
                <w:sz w:val="21"/>
              </w:rPr>
              <w:t> </w:t>
            </w:r>
            <w:r>
              <w:rPr>
                <w:sz w:val="21"/>
              </w:rPr>
              <w:t>Funding</w:t>
            </w:r>
            <w:r>
              <w:rPr>
                <w:spacing w:val="-6"/>
                <w:sz w:val="21"/>
              </w:rPr>
              <w:t> </w:t>
            </w:r>
            <w:r>
              <w:rPr>
                <w:spacing w:val="-2"/>
                <w:sz w:val="21"/>
              </w:rPr>
              <w:t>Agreement</w:t>
            </w:r>
          </w:p>
        </w:tc>
      </w:tr>
      <w:tr>
        <w:trPr>
          <w:trHeight w:val="352" w:hRule="atLeast"/>
        </w:trPr>
        <w:tc>
          <w:tcPr>
            <w:tcW w:w="1418" w:type="dxa"/>
            <w:shd w:val="clear" w:color="auto" w:fill="4471C4"/>
          </w:tcPr>
          <w:p>
            <w:pPr>
              <w:pStyle w:val="TableParagraph"/>
              <w:spacing w:before="49"/>
              <w:ind w:left="108"/>
              <w:rPr>
                <w:b/>
                <w:sz w:val="21"/>
              </w:rPr>
            </w:pPr>
            <w:r>
              <w:rPr>
                <w:b/>
                <w:color w:val="FFFFFF"/>
                <w:spacing w:val="-4"/>
                <w:sz w:val="21"/>
              </w:rPr>
              <w:t>DFAT</w:t>
            </w:r>
          </w:p>
        </w:tc>
        <w:tc>
          <w:tcPr>
            <w:tcW w:w="5953" w:type="dxa"/>
            <w:tcBorders>
              <w:top w:val="single" w:sz="4" w:space="0" w:color="4471C4"/>
              <w:bottom w:val="single" w:sz="4" w:space="0" w:color="4471C4"/>
            </w:tcBorders>
          </w:tcPr>
          <w:p>
            <w:pPr>
              <w:pStyle w:val="TableParagraph"/>
              <w:spacing w:before="49"/>
              <w:ind w:left="108"/>
              <w:rPr>
                <w:sz w:val="21"/>
              </w:rPr>
            </w:pPr>
            <w:r>
              <w:rPr>
                <w:sz w:val="21"/>
              </w:rPr>
              <w:t>Department</w:t>
            </w:r>
            <w:r>
              <w:rPr>
                <w:spacing w:val="-5"/>
                <w:sz w:val="21"/>
              </w:rPr>
              <w:t> </w:t>
            </w:r>
            <w:r>
              <w:rPr>
                <w:sz w:val="21"/>
              </w:rPr>
              <w:t>of</w:t>
            </w:r>
            <w:r>
              <w:rPr>
                <w:spacing w:val="-4"/>
                <w:sz w:val="21"/>
              </w:rPr>
              <w:t> </w:t>
            </w:r>
            <w:r>
              <w:rPr>
                <w:sz w:val="21"/>
              </w:rPr>
              <w:t>Foreign</w:t>
            </w:r>
            <w:r>
              <w:rPr>
                <w:spacing w:val="-6"/>
                <w:sz w:val="21"/>
              </w:rPr>
              <w:t> </w:t>
            </w:r>
            <w:r>
              <w:rPr>
                <w:sz w:val="21"/>
              </w:rPr>
              <w:t>Affairs</w:t>
            </w:r>
            <w:r>
              <w:rPr>
                <w:spacing w:val="-5"/>
                <w:sz w:val="21"/>
              </w:rPr>
              <w:t> </w:t>
            </w:r>
            <w:r>
              <w:rPr>
                <w:sz w:val="21"/>
              </w:rPr>
              <w:t>and</w:t>
            </w:r>
            <w:r>
              <w:rPr>
                <w:spacing w:val="-5"/>
                <w:sz w:val="21"/>
              </w:rPr>
              <w:t> </w:t>
            </w:r>
            <w:r>
              <w:rPr>
                <w:sz w:val="21"/>
              </w:rPr>
              <w:t>Trade</w:t>
            </w:r>
            <w:r>
              <w:rPr>
                <w:spacing w:val="-5"/>
                <w:sz w:val="21"/>
              </w:rPr>
              <w:t> </w:t>
            </w:r>
            <w:r>
              <w:rPr>
                <w:spacing w:val="-4"/>
                <w:sz w:val="21"/>
              </w:rPr>
              <w:t>(GoA)</w:t>
            </w:r>
          </w:p>
        </w:tc>
      </w:tr>
      <w:tr>
        <w:trPr>
          <w:trHeight w:val="352" w:hRule="atLeast"/>
        </w:trPr>
        <w:tc>
          <w:tcPr>
            <w:tcW w:w="1418" w:type="dxa"/>
            <w:shd w:val="clear" w:color="auto" w:fill="4471C4"/>
          </w:tcPr>
          <w:p>
            <w:pPr>
              <w:pStyle w:val="TableParagraph"/>
              <w:spacing w:before="49"/>
              <w:ind w:left="108"/>
              <w:rPr>
                <w:b/>
                <w:sz w:val="21"/>
              </w:rPr>
            </w:pPr>
            <w:r>
              <w:rPr>
                <w:b/>
                <w:color w:val="FFFFFF"/>
                <w:spacing w:val="-5"/>
                <w:sz w:val="21"/>
              </w:rPr>
              <w:t>EA</w:t>
            </w:r>
          </w:p>
        </w:tc>
        <w:tc>
          <w:tcPr>
            <w:tcW w:w="5953" w:type="dxa"/>
            <w:tcBorders>
              <w:top w:val="single" w:sz="4" w:space="0" w:color="4471C4"/>
              <w:bottom w:val="single" w:sz="4" w:space="0" w:color="4471C4"/>
            </w:tcBorders>
          </w:tcPr>
          <w:p>
            <w:pPr>
              <w:pStyle w:val="TableParagraph"/>
              <w:spacing w:before="49"/>
              <w:ind w:left="108"/>
              <w:rPr>
                <w:sz w:val="21"/>
              </w:rPr>
            </w:pPr>
            <w:r>
              <w:rPr>
                <w:sz w:val="21"/>
              </w:rPr>
              <w:t>Education</w:t>
            </w:r>
            <w:r>
              <w:rPr>
                <w:spacing w:val="-8"/>
                <w:sz w:val="21"/>
              </w:rPr>
              <w:t> </w:t>
            </w:r>
            <w:r>
              <w:rPr>
                <w:spacing w:val="-2"/>
                <w:sz w:val="21"/>
              </w:rPr>
              <w:t>Authority</w:t>
            </w:r>
          </w:p>
        </w:tc>
      </w:tr>
      <w:tr>
        <w:trPr>
          <w:trHeight w:val="352" w:hRule="atLeast"/>
        </w:trPr>
        <w:tc>
          <w:tcPr>
            <w:tcW w:w="1418" w:type="dxa"/>
            <w:shd w:val="clear" w:color="auto" w:fill="4471C4"/>
          </w:tcPr>
          <w:p>
            <w:pPr>
              <w:pStyle w:val="TableParagraph"/>
              <w:spacing w:before="49"/>
              <w:ind w:left="108"/>
              <w:rPr>
                <w:b/>
                <w:sz w:val="21"/>
              </w:rPr>
            </w:pPr>
            <w:r>
              <w:rPr>
                <w:b/>
                <w:color w:val="FFFFFF"/>
                <w:spacing w:val="-4"/>
                <w:sz w:val="21"/>
              </w:rPr>
              <w:t>EACI</w:t>
            </w:r>
          </w:p>
        </w:tc>
        <w:tc>
          <w:tcPr>
            <w:tcW w:w="5953" w:type="dxa"/>
            <w:tcBorders>
              <w:top w:val="single" w:sz="4" w:space="0" w:color="4471C4"/>
              <w:bottom w:val="single" w:sz="4" w:space="0" w:color="4471C4"/>
            </w:tcBorders>
          </w:tcPr>
          <w:p>
            <w:pPr>
              <w:pStyle w:val="TableParagraph"/>
              <w:spacing w:before="49"/>
              <w:ind w:left="108"/>
              <w:rPr>
                <w:sz w:val="21"/>
              </w:rPr>
            </w:pPr>
            <w:r>
              <w:rPr>
                <w:sz w:val="21"/>
              </w:rPr>
              <w:t>Education</w:t>
            </w:r>
            <w:r>
              <w:rPr>
                <w:spacing w:val="-8"/>
                <w:sz w:val="21"/>
              </w:rPr>
              <w:t> </w:t>
            </w:r>
            <w:r>
              <w:rPr>
                <w:sz w:val="21"/>
              </w:rPr>
              <w:t>Authority</w:t>
            </w:r>
            <w:r>
              <w:rPr>
                <w:spacing w:val="-7"/>
                <w:sz w:val="21"/>
              </w:rPr>
              <w:t> </w:t>
            </w:r>
            <w:r>
              <w:rPr>
                <w:sz w:val="21"/>
              </w:rPr>
              <w:t>Coordination</w:t>
            </w:r>
            <w:r>
              <w:rPr>
                <w:spacing w:val="-8"/>
                <w:sz w:val="21"/>
              </w:rPr>
              <w:t> </w:t>
            </w:r>
            <w:r>
              <w:rPr>
                <w:sz w:val="21"/>
              </w:rPr>
              <w:t>and</w:t>
            </w:r>
            <w:r>
              <w:rPr>
                <w:spacing w:val="-7"/>
                <w:sz w:val="21"/>
              </w:rPr>
              <w:t> </w:t>
            </w:r>
            <w:r>
              <w:rPr>
                <w:spacing w:val="-2"/>
                <w:sz w:val="21"/>
              </w:rPr>
              <w:t>Improvement</w:t>
            </w:r>
          </w:p>
        </w:tc>
      </w:tr>
      <w:tr>
        <w:trPr>
          <w:trHeight w:val="352" w:hRule="atLeast"/>
        </w:trPr>
        <w:tc>
          <w:tcPr>
            <w:tcW w:w="1418" w:type="dxa"/>
            <w:shd w:val="clear" w:color="auto" w:fill="4471C4"/>
          </w:tcPr>
          <w:p>
            <w:pPr>
              <w:pStyle w:val="TableParagraph"/>
              <w:spacing w:before="49"/>
              <w:ind w:left="108"/>
              <w:rPr>
                <w:b/>
                <w:sz w:val="21"/>
              </w:rPr>
            </w:pPr>
            <w:r>
              <w:rPr>
                <w:b/>
                <w:color w:val="FFFFFF"/>
                <w:spacing w:val="-5"/>
                <w:sz w:val="21"/>
              </w:rPr>
              <w:t>EO</w:t>
            </w:r>
          </w:p>
        </w:tc>
        <w:tc>
          <w:tcPr>
            <w:tcW w:w="5953" w:type="dxa"/>
            <w:tcBorders>
              <w:top w:val="single" w:sz="4" w:space="0" w:color="4471C4"/>
              <w:bottom w:val="single" w:sz="4" w:space="0" w:color="4471C4"/>
            </w:tcBorders>
          </w:tcPr>
          <w:p>
            <w:pPr>
              <w:pStyle w:val="TableParagraph"/>
              <w:spacing w:before="49"/>
              <w:ind w:left="108"/>
              <w:rPr>
                <w:sz w:val="21"/>
              </w:rPr>
            </w:pPr>
            <w:r>
              <w:rPr>
                <w:sz w:val="21"/>
              </w:rPr>
              <w:t>End</w:t>
            </w:r>
            <w:r>
              <w:rPr>
                <w:spacing w:val="-5"/>
                <w:sz w:val="21"/>
              </w:rPr>
              <w:t> </w:t>
            </w:r>
            <w:r>
              <w:rPr>
                <w:spacing w:val="-2"/>
                <w:sz w:val="21"/>
              </w:rPr>
              <w:t>Outcome</w:t>
            </w:r>
          </w:p>
        </w:tc>
      </w:tr>
      <w:tr>
        <w:trPr>
          <w:trHeight w:val="353" w:hRule="atLeast"/>
        </w:trPr>
        <w:tc>
          <w:tcPr>
            <w:tcW w:w="1418" w:type="dxa"/>
            <w:shd w:val="clear" w:color="auto" w:fill="4471C4"/>
          </w:tcPr>
          <w:p>
            <w:pPr>
              <w:pStyle w:val="TableParagraph"/>
              <w:spacing w:before="50"/>
              <w:ind w:left="108"/>
              <w:rPr>
                <w:b/>
                <w:sz w:val="21"/>
              </w:rPr>
            </w:pPr>
            <w:r>
              <w:rPr>
                <w:b/>
                <w:color w:val="FFFFFF"/>
                <w:spacing w:val="-5"/>
                <w:sz w:val="21"/>
              </w:rPr>
              <w:t>EPM</w:t>
            </w:r>
          </w:p>
        </w:tc>
        <w:tc>
          <w:tcPr>
            <w:tcW w:w="5953" w:type="dxa"/>
            <w:tcBorders>
              <w:top w:val="single" w:sz="4" w:space="0" w:color="4471C4"/>
              <w:bottom w:val="single" w:sz="4" w:space="0" w:color="4471C4"/>
            </w:tcBorders>
          </w:tcPr>
          <w:p>
            <w:pPr>
              <w:pStyle w:val="TableParagraph"/>
              <w:spacing w:before="50"/>
              <w:ind w:left="108"/>
              <w:rPr>
                <w:sz w:val="21"/>
              </w:rPr>
            </w:pPr>
            <w:r>
              <w:rPr>
                <w:sz w:val="21"/>
              </w:rPr>
              <w:t>Education</w:t>
            </w:r>
            <w:r>
              <w:rPr>
                <w:spacing w:val="-9"/>
                <w:sz w:val="21"/>
              </w:rPr>
              <w:t> </w:t>
            </w:r>
            <w:r>
              <w:rPr>
                <w:sz w:val="21"/>
              </w:rPr>
              <w:t>Performance</w:t>
            </w:r>
            <w:r>
              <w:rPr>
                <w:spacing w:val="-10"/>
                <w:sz w:val="21"/>
              </w:rPr>
              <w:t> </w:t>
            </w:r>
            <w:r>
              <w:rPr>
                <w:spacing w:val="-2"/>
                <w:sz w:val="21"/>
              </w:rPr>
              <w:t>Matrix</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ESF</w:t>
            </w:r>
          </w:p>
        </w:tc>
        <w:tc>
          <w:tcPr>
            <w:tcW w:w="5953" w:type="dxa"/>
            <w:tcBorders>
              <w:top w:val="single" w:sz="4" w:space="0" w:color="4471C4"/>
              <w:bottom w:val="single" w:sz="4" w:space="0" w:color="4471C4"/>
            </w:tcBorders>
          </w:tcPr>
          <w:p>
            <w:pPr>
              <w:pStyle w:val="TableParagraph"/>
              <w:spacing w:before="47"/>
              <w:ind w:left="108"/>
              <w:rPr>
                <w:sz w:val="21"/>
              </w:rPr>
            </w:pPr>
            <w:r>
              <w:rPr>
                <w:sz w:val="21"/>
              </w:rPr>
              <w:t>Education</w:t>
            </w:r>
            <w:r>
              <w:rPr>
                <w:spacing w:val="-7"/>
                <w:sz w:val="21"/>
              </w:rPr>
              <w:t> </w:t>
            </w:r>
            <w:r>
              <w:rPr>
                <w:sz w:val="21"/>
              </w:rPr>
              <w:t>Sector</w:t>
            </w:r>
            <w:r>
              <w:rPr>
                <w:spacing w:val="-6"/>
                <w:sz w:val="21"/>
              </w:rPr>
              <w:t> </w:t>
            </w:r>
            <w:r>
              <w:rPr>
                <w:spacing w:val="-2"/>
                <w:sz w:val="21"/>
              </w:rPr>
              <w:t>Framework</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EQAP</w:t>
            </w:r>
          </w:p>
        </w:tc>
        <w:tc>
          <w:tcPr>
            <w:tcW w:w="5953" w:type="dxa"/>
            <w:tcBorders>
              <w:top w:val="single" w:sz="4" w:space="0" w:color="4471C4"/>
              <w:bottom w:val="single" w:sz="4" w:space="0" w:color="4471C4"/>
            </w:tcBorders>
          </w:tcPr>
          <w:p>
            <w:pPr>
              <w:pStyle w:val="TableParagraph"/>
              <w:spacing w:before="47"/>
              <w:ind w:left="108"/>
              <w:rPr>
                <w:sz w:val="21"/>
              </w:rPr>
            </w:pPr>
            <w:r>
              <w:rPr>
                <w:sz w:val="21"/>
              </w:rPr>
              <w:t>Educational</w:t>
            </w:r>
            <w:r>
              <w:rPr>
                <w:spacing w:val="-6"/>
                <w:sz w:val="21"/>
              </w:rPr>
              <w:t> </w:t>
            </w:r>
            <w:r>
              <w:rPr>
                <w:sz w:val="21"/>
              </w:rPr>
              <w:t>Quality</w:t>
            </w:r>
            <w:r>
              <w:rPr>
                <w:spacing w:val="-6"/>
                <w:sz w:val="21"/>
              </w:rPr>
              <w:t> </w:t>
            </w:r>
            <w:r>
              <w:rPr>
                <w:sz w:val="21"/>
              </w:rPr>
              <w:t>and</w:t>
            </w:r>
            <w:r>
              <w:rPr>
                <w:spacing w:val="-7"/>
                <w:sz w:val="21"/>
              </w:rPr>
              <w:t> </w:t>
            </w:r>
            <w:r>
              <w:rPr>
                <w:sz w:val="21"/>
              </w:rPr>
              <w:t>Assessment</w:t>
            </w:r>
            <w:r>
              <w:rPr>
                <w:spacing w:val="-6"/>
                <w:sz w:val="21"/>
              </w:rPr>
              <w:t> </w:t>
            </w:r>
            <w:r>
              <w:rPr>
                <w:spacing w:val="-2"/>
                <w:sz w:val="21"/>
              </w:rPr>
              <w:t>Programme</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EYP</w:t>
            </w:r>
          </w:p>
        </w:tc>
        <w:tc>
          <w:tcPr>
            <w:tcW w:w="5953" w:type="dxa"/>
            <w:tcBorders>
              <w:top w:val="single" w:sz="4" w:space="0" w:color="4471C4"/>
              <w:bottom w:val="single" w:sz="4" w:space="0" w:color="4471C4"/>
            </w:tcBorders>
          </w:tcPr>
          <w:p>
            <w:pPr>
              <w:pStyle w:val="TableParagraph"/>
              <w:spacing w:before="47"/>
              <w:ind w:left="108"/>
              <w:rPr>
                <w:sz w:val="21"/>
              </w:rPr>
            </w:pPr>
            <w:r>
              <w:rPr>
                <w:sz w:val="21"/>
              </w:rPr>
              <w:t>Early</w:t>
            </w:r>
            <w:r>
              <w:rPr>
                <w:spacing w:val="-6"/>
                <w:sz w:val="21"/>
              </w:rPr>
              <w:t> </w:t>
            </w:r>
            <w:r>
              <w:rPr>
                <w:sz w:val="21"/>
              </w:rPr>
              <w:t>Years</w:t>
            </w:r>
            <w:r>
              <w:rPr>
                <w:spacing w:val="-5"/>
                <w:sz w:val="21"/>
              </w:rPr>
              <w:t> </w:t>
            </w:r>
            <w:r>
              <w:rPr>
                <w:spacing w:val="-2"/>
                <w:sz w:val="21"/>
              </w:rPr>
              <w:t>Program</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GoA</w:t>
            </w:r>
          </w:p>
        </w:tc>
        <w:tc>
          <w:tcPr>
            <w:tcW w:w="5953" w:type="dxa"/>
            <w:tcBorders>
              <w:top w:val="single" w:sz="4" w:space="0" w:color="4471C4"/>
              <w:bottom w:val="single" w:sz="4" w:space="0" w:color="4471C4"/>
            </w:tcBorders>
          </w:tcPr>
          <w:p>
            <w:pPr>
              <w:pStyle w:val="TableParagraph"/>
              <w:spacing w:before="47"/>
              <w:ind w:left="108"/>
              <w:rPr>
                <w:sz w:val="21"/>
              </w:rPr>
            </w:pPr>
            <w:r>
              <w:rPr>
                <w:sz w:val="21"/>
              </w:rPr>
              <w:t>Government</w:t>
            </w:r>
            <w:r>
              <w:rPr>
                <w:spacing w:val="-6"/>
                <w:sz w:val="21"/>
              </w:rPr>
              <w:t> </w:t>
            </w:r>
            <w:r>
              <w:rPr>
                <w:sz w:val="21"/>
              </w:rPr>
              <w:t>of</w:t>
            </w:r>
            <w:r>
              <w:rPr>
                <w:spacing w:val="-4"/>
                <w:sz w:val="21"/>
              </w:rPr>
              <w:t> </w:t>
            </w:r>
            <w:r>
              <w:rPr>
                <w:spacing w:val="-2"/>
                <w:sz w:val="21"/>
              </w:rPr>
              <w:t>Australia</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GPI</w:t>
            </w:r>
          </w:p>
        </w:tc>
        <w:tc>
          <w:tcPr>
            <w:tcW w:w="5953" w:type="dxa"/>
            <w:tcBorders>
              <w:top w:val="single" w:sz="4" w:space="0" w:color="4471C4"/>
              <w:bottom w:val="single" w:sz="4" w:space="0" w:color="4471C4"/>
            </w:tcBorders>
          </w:tcPr>
          <w:p>
            <w:pPr>
              <w:pStyle w:val="TableParagraph"/>
              <w:spacing w:before="47"/>
              <w:ind w:left="108"/>
              <w:rPr>
                <w:sz w:val="21"/>
              </w:rPr>
            </w:pPr>
            <w:r>
              <w:rPr>
                <w:sz w:val="21"/>
              </w:rPr>
              <w:t>Gender</w:t>
            </w:r>
            <w:r>
              <w:rPr>
                <w:spacing w:val="-4"/>
                <w:sz w:val="21"/>
              </w:rPr>
              <w:t> </w:t>
            </w:r>
            <w:r>
              <w:rPr>
                <w:sz w:val="21"/>
              </w:rPr>
              <w:t>Parity</w:t>
            </w:r>
            <w:r>
              <w:rPr>
                <w:spacing w:val="-4"/>
                <w:sz w:val="21"/>
              </w:rPr>
              <w:t> </w:t>
            </w:r>
            <w:r>
              <w:rPr>
                <w:spacing w:val="-2"/>
                <w:sz w:val="21"/>
              </w:rPr>
              <w:t>Index</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IA</w:t>
            </w:r>
          </w:p>
        </w:tc>
        <w:tc>
          <w:tcPr>
            <w:tcW w:w="5953" w:type="dxa"/>
            <w:tcBorders>
              <w:top w:val="single" w:sz="4" w:space="0" w:color="4471C4"/>
              <w:bottom w:val="single" w:sz="4" w:space="0" w:color="4471C4"/>
            </w:tcBorders>
          </w:tcPr>
          <w:p>
            <w:pPr>
              <w:pStyle w:val="TableParagraph"/>
              <w:spacing w:before="47"/>
              <w:ind w:left="108"/>
              <w:rPr>
                <w:sz w:val="21"/>
              </w:rPr>
            </w:pPr>
            <w:r>
              <w:rPr>
                <w:spacing w:val="-2"/>
                <w:sz w:val="21"/>
              </w:rPr>
              <w:t>Independent</w:t>
            </w:r>
            <w:r>
              <w:rPr>
                <w:spacing w:val="10"/>
                <w:sz w:val="21"/>
              </w:rPr>
              <w:t> </w:t>
            </w:r>
            <w:r>
              <w:rPr>
                <w:spacing w:val="-2"/>
                <w:sz w:val="21"/>
              </w:rPr>
              <w:t>Assessment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KO</w:t>
            </w:r>
          </w:p>
        </w:tc>
        <w:tc>
          <w:tcPr>
            <w:tcW w:w="5953" w:type="dxa"/>
            <w:tcBorders>
              <w:top w:val="single" w:sz="4" w:space="0" w:color="4471C4"/>
              <w:bottom w:val="single" w:sz="4" w:space="0" w:color="4471C4"/>
            </w:tcBorders>
          </w:tcPr>
          <w:p>
            <w:pPr>
              <w:pStyle w:val="TableParagraph"/>
              <w:spacing w:before="47"/>
              <w:ind w:left="108"/>
              <w:rPr>
                <w:sz w:val="21"/>
              </w:rPr>
            </w:pPr>
            <w:r>
              <w:rPr>
                <w:sz w:val="21"/>
              </w:rPr>
              <w:t>Key</w:t>
            </w:r>
            <w:r>
              <w:rPr>
                <w:spacing w:val="-2"/>
                <w:sz w:val="21"/>
              </w:rPr>
              <w:t> Output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LB</w:t>
            </w:r>
          </w:p>
        </w:tc>
        <w:tc>
          <w:tcPr>
            <w:tcW w:w="5953" w:type="dxa"/>
            <w:tcBorders>
              <w:top w:val="single" w:sz="4" w:space="0" w:color="4471C4"/>
              <w:bottom w:val="single" w:sz="4" w:space="0" w:color="4471C4"/>
            </w:tcBorders>
          </w:tcPr>
          <w:p>
            <w:pPr>
              <w:pStyle w:val="TableParagraph"/>
              <w:spacing w:before="47"/>
              <w:ind w:left="108"/>
              <w:rPr>
                <w:sz w:val="21"/>
              </w:rPr>
            </w:pPr>
            <w:r>
              <w:rPr>
                <w:sz w:val="21"/>
              </w:rPr>
              <w:t>Learner</w:t>
            </w:r>
            <w:r>
              <w:rPr>
                <w:spacing w:val="-8"/>
                <w:sz w:val="21"/>
              </w:rPr>
              <w:t> </w:t>
            </w:r>
            <w:r>
              <w:rPr>
                <w:spacing w:val="-4"/>
                <w:sz w:val="21"/>
              </w:rPr>
              <w:t>Book</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LEAP</w:t>
            </w:r>
          </w:p>
        </w:tc>
        <w:tc>
          <w:tcPr>
            <w:tcW w:w="5953" w:type="dxa"/>
            <w:tcBorders>
              <w:top w:val="single" w:sz="4" w:space="0" w:color="4471C4"/>
              <w:bottom w:val="single" w:sz="4" w:space="0" w:color="4471C4"/>
            </w:tcBorders>
          </w:tcPr>
          <w:p>
            <w:pPr>
              <w:pStyle w:val="TableParagraph"/>
              <w:spacing w:before="47"/>
              <w:ind w:left="108"/>
              <w:rPr>
                <w:sz w:val="21"/>
              </w:rPr>
            </w:pPr>
            <w:r>
              <w:rPr>
                <w:sz w:val="21"/>
              </w:rPr>
              <w:t>Leadership</w:t>
            </w:r>
            <w:r>
              <w:rPr>
                <w:spacing w:val="-9"/>
                <w:sz w:val="21"/>
              </w:rPr>
              <w:t> </w:t>
            </w:r>
            <w:r>
              <w:rPr>
                <w:sz w:val="21"/>
              </w:rPr>
              <w:t>for</w:t>
            </w:r>
            <w:r>
              <w:rPr>
                <w:spacing w:val="-10"/>
                <w:sz w:val="21"/>
              </w:rPr>
              <w:t> </w:t>
            </w:r>
            <w:r>
              <w:rPr>
                <w:sz w:val="21"/>
              </w:rPr>
              <w:t>Education</w:t>
            </w:r>
            <w:r>
              <w:rPr>
                <w:spacing w:val="-8"/>
                <w:sz w:val="21"/>
              </w:rPr>
              <w:t> </w:t>
            </w:r>
            <w:r>
              <w:rPr>
                <w:sz w:val="21"/>
              </w:rPr>
              <w:t>Authorities</w:t>
            </w:r>
            <w:r>
              <w:rPr>
                <w:spacing w:val="-9"/>
                <w:sz w:val="21"/>
              </w:rPr>
              <w:t> </w:t>
            </w:r>
            <w:r>
              <w:rPr>
                <w:spacing w:val="-2"/>
                <w:sz w:val="21"/>
              </w:rPr>
              <w:t>Program</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M&amp;E</w:t>
            </w:r>
          </w:p>
        </w:tc>
        <w:tc>
          <w:tcPr>
            <w:tcW w:w="5953" w:type="dxa"/>
            <w:tcBorders>
              <w:top w:val="single" w:sz="4" w:space="0" w:color="4471C4"/>
              <w:bottom w:val="single" w:sz="4" w:space="0" w:color="4471C4"/>
            </w:tcBorders>
          </w:tcPr>
          <w:p>
            <w:pPr>
              <w:pStyle w:val="TableParagraph"/>
              <w:spacing w:before="47"/>
              <w:ind w:left="108"/>
              <w:rPr>
                <w:sz w:val="21"/>
              </w:rPr>
            </w:pPr>
            <w:r>
              <w:rPr>
                <w:sz w:val="21"/>
              </w:rPr>
              <w:t>Monitoring</w:t>
            </w:r>
            <w:r>
              <w:rPr>
                <w:spacing w:val="-6"/>
                <w:sz w:val="21"/>
              </w:rPr>
              <w:t> </w:t>
            </w:r>
            <w:r>
              <w:rPr>
                <w:sz w:val="21"/>
              </w:rPr>
              <w:t>and</w:t>
            </w:r>
            <w:r>
              <w:rPr>
                <w:spacing w:val="-5"/>
                <w:sz w:val="21"/>
              </w:rPr>
              <w:t> </w:t>
            </w:r>
            <w:r>
              <w:rPr>
                <w:spacing w:val="-2"/>
                <w:sz w:val="21"/>
              </w:rPr>
              <w:t>Evaluation</w:t>
            </w:r>
          </w:p>
        </w:tc>
      </w:tr>
      <w:tr>
        <w:trPr>
          <w:trHeight w:val="352" w:hRule="atLeast"/>
        </w:trPr>
        <w:tc>
          <w:tcPr>
            <w:tcW w:w="1418" w:type="dxa"/>
            <w:shd w:val="clear" w:color="auto" w:fill="4471C4"/>
          </w:tcPr>
          <w:p>
            <w:pPr>
              <w:pStyle w:val="TableParagraph"/>
              <w:spacing w:before="47"/>
              <w:ind w:left="108"/>
              <w:rPr>
                <w:b/>
                <w:sz w:val="21"/>
              </w:rPr>
            </w:pPr>
            <w:r>
              <w:rPr>
                <w:b/>
                <w:color w:val="FFFFFF"/>
                <w:spacing w:val="-2"/>
                <w:sz w:val="21"/>
              </w:rPr>
              <w:t>MEHRD</w:t>
            </w:r>
          </w:p>
        </w:tc>
        <w:tc>
          <w:tcPr>
            <w:tcW w:w="5953" w:type="dxa"/>
            <w:tcBorders>
              <w:top w:val="single" w:sz="4" w:space="0" w:color="4471C4"/>
              <w:bottom w:val="single" w:sz="4" w:space="0" w:color="4471C4"/>
            </w:tcBorders>
          </w:tcPr>
          <w:p>
            <w:pPr>
              <w:pStyle w:val="TableParagraph"/>
              <w:spacing w:before="47"/>
              <w:ind w:left="108"/>
              <w:rPr>
                <w:sz w:val="21"/>
              </w:rPr>
            </w:pPr>
            <w:r>
              <w:rPr>
                <w:sz w:val="21"/>
              </w:rPr>
              <w:t>Ministry</w:t>
            </w:r>
            <w:r>
              <w:rPr>
                <w:spacing w:val="-6"/>
                <w:sz w:val="21"/>
              </w:rPr>
              <w:t> </w:t>
            </w:r>
            <w:r>
              <w:rPr>
                <w:sz w:val="21"/>
              </w:rPr>
              <w:t>of</w:t>
            </w:r>
            <w:r>
              <w:rPr>
                <w:spacing w:val="-5"/>
                <w:sz w:val="21"/>
              </w:rPr>
              <w:t> </w:t>
            </w:r>
            <w:r>
              <w:rPr>
                <w:sz w:val="21"/>
              </w:rPr>
              <w:t>Education</w:t>
            </w:r>
            <w:r>
              <w:rPr>
                <w:spacing w:val="-6"/>
                <w:sz w:val="21"/>
              </w:rPr>
              <w:t> </w:t>
            </w:r>
            <w:r>
              <w:rPr>
                <w:sz w:val="21"/>
              </w:rPr>
              <w:t>and</w:t>
            </w:r>
            <w:r>
              <w:rPr>
                <w:spacing w:val="-8"/>
                <w:sz w:val="21"/>
              </w:rPr>
              <w:t> </w:t>
            </w:r>
            <w:r>
              <w:rPr>
                <w:sz w:val="21"/>
              </w:rPr>
              <w:t>Human</w:t>
            </w:r>
            <w:r>
              <w:rPr>
                <w:spacing w:val="-6"/>
                <w:sz w:val="21"/>
              </w:rPr>
              <w:t> </w:t>
            </w:r>
            <w:r>
              <w:rPr>
                <w:sz w:val="21"/>
              </w:rPr>
              <w:t>Resource</w:t>
            </w:r>
            <w:r>
              <w:rPr>
                <w:spacing w:val="-5"/>
                <w:sz w:val="21"/>
              </w:rPr>
              <w:t> </w:t>
            </w:r>
            <w:r>
              <w:rPr>
                <w:spacing w:val="-2"/>
                <w:sz w:val="21"/>
              </w:rPr>
              <w:t>Development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MEL</w:t>
            </w:r>
          </w:p>
        </w:tc>
        <w:tc>
          <w:tcPr>
            <w:tcW w:w="5953" w:type="dxa"/>
            <w:tcBorders>
              <w:top w:val="single" w:sz="4" w:space="0" w:color="4471C4"/>
              <w:bottom w:val="single" w:sz="4" w:space="0" w:color="4471C4"/>
            </w:tcBorders>
          </w:tcPr>
          <w:p>
            <w:pPr>
              <w:pStyle w:val="TableParagraph"/>
              <w:spacing w:before="47"/>
              <w:ind w:left="108"/>
              <w:rPr>
                <w:sz w:val="21"/>
              </w:rPr>
            </w:pPr>
            <w:r>
              <w:rPr>
                <w:sz w:val="21"/>
              </w:rPr>
              <w:t>Monitoring,</w:t>
            </w:r>
            <w:r>
              <w:rPr>
                <w:spacing w:val="-7"/>
                <w:sz w:val="21"/>
              </w:rPr>
              <w:t> </w:t>
            </w:r>
            <w:r>
              <w:rPr>
                <w:sz w:val="21"/>
              </w:rPr>
              <w:t>Evaluation</w:t>
            </w:r>
            <w:r>
              <w:rPr>
                <w:spacing w:val="-7"/>
                <w:sz w:val="21"/>
              </w:rPr>
              <w:t> </w:t>
            </w:r>
            <w:r>
              <w:rPr>
                <w:sz w:val="21"/>
              </w:rPr>
              <w:t>and</w:t>
            </w:r>
            <w:r>
              <w:rPr>
                <w:spacing w:val="-9"/>
                <w:sz w:val="21"/>
              </w:rPr>
              <w:t> </w:t>
            </w:r>
            <w:r>
              <w:rPr>
                <w:spacing w:val="-2"/>
                <w:sz w:val="21"/>
              </w:rPr>
              <w:t>Learning</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MOFT</w:t>
            </w:r>
          </w:p>
        </w:tc>
        <w:tc>
          <w:tcPr>
            <w:tcW w:w="5953" w:type="dxa"/>
            <w:tcBorders>
              <w:top w:val="single" w:sz="4" w:space="0" w:color="4471C4"/>
              <w:bottom w:val="single" w:sz="4" w:space="0" w:color="4471C4"/>
            </w:tcBorders>
          </w:tcPr>
          <w:p>
            <w:pPr>
              <w:pStyle w:val="TableParagraph"/>
              <w:spacing w:before="47"/>
              <w:ind w:left="108"/>
              <w:rPr>
                <w:sz w:val="21"/>
              </w:rPr>
            </w:pPr>
            <w:r>
              <w:rPr>
                <w:sz w:val="21"/>
              </w:rPr>
              <w:t>Ministry</w:t>
            </w:r>
            <w:r>
              <w:rPr>
                <w:spacing w:val="-5"/>
                <w:sz w:val="21"/>
              </w:rPr>
              <w:t> </w:t>
            </w:r>
            <w:r>
              <w:rPr>
                <w:sz w:val="21"/>
              </w:rPr>
              <w:t>of</w:t>
            </w:r>
            <w:r>
              <w:rPr>
                <w:spacing w:val="-5"/>
                <w:sz w:val="21"/>
              </w:rPr>
              <w:t> </w:t>
            </w:r>
            <w:r>
              <w:rPr>
                <w:sz w:val="21"/>
              </w:rPr>
              <w:t>Finance</w:t>
            </w:r>
            <w:r>
              <w:rPr>
                <w:spacing w:val="-7"/>
                <w:sz w:val="21"/>
              </w:rPr>
              <w:t> </w:t>
            </w:r>
            <w:r>
              <w:rPr>
                <w:sz w:val="21"/>
              </w:rPr>
              <w:t>and</w:t>
            </w:r>
            <w:r>
              <w:rPr>
                <w:spacing w:val="-4"/>
                <w:sz w:val="21"/>
              </w:rPr>
              <w:t> </w:t>
            </w:r>
            <w:r>
              <w:rPr>
                <w:spacing w:val="-2"/>
                <w:sz w:val="21"/>
              </w:rPr>
              <w:t>Treasury</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NDS</w:t>
            </w:r>
          </w:p>
        </w:tc>
        <w:tc>
          <w:tcPr>
            <w:tcW w:w="5953" w:type="dxa"/>
            <w:tcBorders>
              <w:top w:val="single" w:sz="4" w:space="0" w:color="4471C4"/>
              <w:bottom w:val="single" w:sz="4" w:space="0" w:color="4471C4"/>
            </w:tcBorders>
          </w:tcPr>
          <w:p>
            <w:pPr>
              <w:pStyle w:val="TableParagraph"/>
              <w:spacing w:before="47"/>
              <w:ind w:left="108"/>
              <w:rPr>
                <w:sz w:val="21"/>
              </w:rPr>
            </w:pPr>
            <w:r>
              <w:rPr>
                <w:sz w:val="21"/>
              </w:rPr>
              <w:t>National</w:t>
            </w:r>
            <w:r>
              <w:rPr>
                <w:spacing w:val="-8"/>
                <w:sz w:val="21"/>
              </w:rPr>
              <w:t> </w:t>
            </w:r>
            <w:r>
              <w:rPr>
                <w:sz w:val="21"/>
              </w:rPr>
              <w:t>Development</w:t>
            </w:r>
            <w:r>
              <w:rPr>
                <w:spacing w:val="-7"/>
                <w:sz w:val="21"/>
              </w:rPr>
              <w:t> </w:t>
            </w:r>
            <w:r>
              <w:rPr>
                <w:spacing w:val="-2"/>
                <w:sz w:val="21"/>
              </w:rPr>
              <w:t>Strategy</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NEAP</w:t>
            </w:r>
          </w:p>
        </w:tc>
        <w:tc>
          <w:tcPr>
            <w:tcW w:w="5953" w:type="dxa"/>
            <w:tcBorders>
              <w:top w:val="single" w:sz="4" w:space="0" w:color="4471C4"/>
              <w:bottom w:val="single" w:sz="4" w:space="0" w:color="4471C4"/>
            </w:tcBorders>
          </w:tcPr>
          <w:p>
            <w:pPr>
              <w:pStyle w:val="TableParagraph"/>
              <w:spacing w:before="47"/>
              <w:ind w:left="108"/>
              <w:rPr>
                <w:sz w:val="21"/>
              </w:rPr>
            </w:pPr>
            <w:r>
              <w:rPr>
                <w:sz w:val="21"/>
              </w:rPr>
              <w:t>National</w:t>
            </w:r>
            <w:r>
              <w:rPr>
                <w:spacing w:val="-6"/>
                <w:sz w:val="21"/>
              </w:rPr>
              <w:t> </w:t>
            </w:r>
            <w:r>
              <w:rPr>
                <w:sz w:val="21"/>
              </w:rPr>
              <w:t>Education</w:t>
            </w:r>
            <w:r>
              <w:rPr>
                <w:spacing w:val="-6"/>
                <w:sz w:val="21"/>
              </w:rPr>
              <w:t> </w:t>
            </w:r>
            <w:r>
              <w:rPr>
                <w:sz w:val="21"/>
              </w:rPr>
              <w:t>Action</w:t>
            </w:r>
            <w:r>
              <w:rPr>
                <w:spacing w:val="-6"/>
                <w:sz w:val="21"/>
              </w:rPr>
              <w:t> </w:t>
            </w:r>
            <w:r>
              <w:rPr>
                <w:spacing w:val="-4"/>
                <w:sz w:val="21"/>
              </w:rPr>
              <w:t>Plan</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NEAD</w:t>
            </w:r>
          </w:p>
        </w:tc>
        <w:tc>
          <w:tcPr>
            <w:tcW w:w="5953" w:type="dxa"/>
            <w:tcBorders>
              <w:top w:val="single" w:sz="4" w:space="0" w:color="4471C4"/>
              <w:bottom w:val="single" w:sz="4" w:space="0" w:color="4471C4"/>
            </w:tcBorders>
          </w:tcPr>
          <w:p>
            <w:pPr>
              <w:pStyle w:val="TableParagraph"/>
              <w:spacing w:before="47"/>
              <w:ind w:left="108"/>
              <w:rPr>
                <w:sz w:val="21"/>
              </w:rPr>
            </w:pPr>
            <w:r>
              <w:rPr>
                <w:sz w:val="21"/>
              </w:rPr>
              <w:t>National</w:t>
            </w:r>
            <w:r>
              <w:rPr>
                <w:spacing w:val="-7"/>
                <w:sz w:val="21"/>
              </w:rPr>
              <w:t> </w:t>
            </w:r>
            <w:r>
              <w:rPr>
                <w:sz w:val="21"/>
              </w:rPr>
              <w:t>Examinations</w:t>
            </w:r>
            <w:r>
              <w:rPr>
                <w:spacing w:val="-8"/>
                <w:sz w:val="21"/>
              </w:rPr>
              <w:t> </w:t>
            </w:r>
            <w:r>
              <w:rPr>
                <w:sz w:val="21"/>
              </w:rPr>
              <w:t>and</w:t>
            </w:r>
            <w:r>
              <w:rPr>
                <w:spacing w:val="-7"/>
                <w:sz w:val="21"/>
              </w:rPr>
              <w:t> </w:t>
            </w:r>
            <w:r>
              <w:rPr>
                <w:sz w:val="21"/>
              </w:rPr>
              <w:t>Assessment</w:t>
            </w:r>
            <w:r>
              <w:rPr>
                <w:spacing w:val="-7"/>
                <w:sz w:val="21"/>
              </w:rPr>
              <w:t> </w:t>
            </w:r>
            <w:r>
              <w:rPr>
                <w:spacing w:val="-2"/>
                <w:sz w:val="21"/>
              </w:rPr>
              <w:t>Division</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NEB</w:t>
            </w:r>
          </w:p>
        </w:tc>
        <w:tc>
          <w:tcPr>
            <w:tcW w:w="5953" w:type="dxa"/>
            <w:tcBorders>
              <w:top w:val="single" w:sz="4" w:space="0" w:color="4471C4"/>
              <w:bottom w:val="single" w:sz="4" w:space="0" w:color="4471C4"/>
            </w:tcBorders>
          </w:tcPr>
          <w:p>
            <w:pPr>
              <w:pStyle w:val="TableParagraph"/>
              <w:spacing w:before="47"/>
              <w:ind w:left="108"/>
              <w:rPr>
                <w:sz w:val="21"/>
              </w:rPr>
            </w:pPr>
            <w:r>
              <w:rPr>
                <w:sz w:val="21"/>
              </w:rPr>
              <w:t>National</w:t>
            </w:r>
            <w:r>
              <w:rPr>
                <w:spacing w:val="-7"/>
                <w:sz w:val="21"/>
              </w:rPr>
              <w:t> </w:t>
            </w:r>
            <w:r>
              <w:rPr>
                <w:sz w:val="21"/>
              </w:rPr>
              <w:t>Education</w:t>
            </w:r>
            <w:r>
              <w:rPr>
                <w:spacing w:val="-7"/>
                <w:sz w:val="21"/>
              </w:rPr>
              <w:t> </w:t>
            </w:r>
            <w:r>
              <w:rPr>
                <w:spacing w:val="-4"/>
                <w:sz w:val="21"/>
              </w:rPr>
              <w:t>Board</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NER</w:t>
            </w:r>
          </w:p>
        </w:tc>
        <w:tc>
          <w:tcPr>
            <w:tcW w:w="5953" w:type="dxa"/>
            <w:tcBorders>
              <w:top w:val="single" w:sz="4" w:space="0" w:color="4471C4"/>
              <w:bottom w:val="single" w:sz="4" w:space="0" w:color="4471C4"/>
            </w:tcBorders>
          </w:tcPr>
          <w:p>
            <w:pPr>
              <w:pStyle w:val="TableParagraph"/>
              <w:spacing w:before="47"/>
              <w:ind w:left="108"/>
              <w:rPr>
                <w:sz w:val="21"/>
              </w:rPr>
            </w:pPr>
            <w:r>
              <w:rPr>
                <w:sz w:val="21"/>
              </w:rPr>
              <w:t>Net</w:t>
            </w:r>
            <w:r>
              <w:rPr>
                <w:spacing w:val="-7"/>
                <w:sz w:val="21"/>
              </w:rPr>
              <w:t> </w:t>
            </w:r>
            <w:r>
              <w:rPr>
                <w:sz w:val="21"/>
              </w:rPr>
              <w:t>Enrolment</w:t>
            </w:r>
            <w:r>
              <w:rPr>
                <w:spacing w:val="-4"/>
                <w:sz w:val="21"/>
              </w:rPr>
              <w:t> Rate</w:t>
            </w:r>
          </w:p>
        </w:tc>
      </w:tr>
      <w:tr>
        <w:trPr>
          <w:trHeight w:val="353" w:hRule="atLeast"/>
        </w:trPr>
        <w:tc>
          <w:tcPr>
            <w:tcW w:w="1418" w:type="dxa"/>
            <w:shd w:val="clear" w:color="auto" w:fill="4471C4"/>
          </w:tcPr>
          <w:p>
            <w:pPr>
              <w:pStyle w:val="TableParagraph"/>
              <w:spacing w:before="47"/>
              <w:ind w:left="108"/>
              <w:rPr>
                <w:b/>
                <w:sz w:val="21"/>
              </w:rPr>
            </w:pPr>
            <w:r>
              <w:rPr>
                <w:b/>
                <w:color w:val="FFFFFF"/>
                <w:spacing w:val="-5"/>
                <w:sz w:val="21"/>
              </w:rPr>
              <w:t>NTU</w:t>
            </w:r>
          </w:p>
        </w:tc>
        <w:tc>
          <w:tcPr>
            <w:tcW w:w="5953" w:type="dxa"/>
            <w:tcBorders>
              <w:top w:val="single" w:sz="4" w:space="0" w:color="4471C4"/>
              <w:bottom w:val="single" w:sz="4" w:space="0" w:color="4471C4"/>
            </w:tcBorders>
          </w:tcPr>
          <w:p>
            <w:pPr>
              <w:pStyle w:val="TableParagraph"/>
              <w:spacing w:before="47"/>
              <w:ind w:left="108"/>
              <w:rPr>
                <w:sz w:val="21"/>
              </w:rPr>
            </w:pPr>
            <w:r>
              <w:rPr>
                <w:sz w:val="21"/>
              </w:rPr>
              <w:t>National</w:t>
            </w:r>
            <w:r>
              <w:rPr>
                <w:spacing w:val="-8"/>
                <w:sz w:val="21"/>
              </w:rPr>
              <w:t> </w:t>
            </w:r>
            <w:r>
              <w:rPr>
                <w:sz w:val="21"/>
              </w:rPr>
              <w:t>Training</w:t>
            </w:r>
            <w:r>
              <w:rPr>
                <w:spacing w:val="-7"/>
                <w:sz w:val="21"/>
              </w:rPr>
              <w:t> </w:t>
            </w:r>
            <w:r>
              <w:rPr>
                <w:spacing w:val="-4"/>
                <w:sz w:val="21"/>
              </w:rPr>
              <w:t>Unit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OAG</w:t>
            </w:r>
          </w:p>
        </w:tc>
        <w:tc>
          <w:tcPr>
            <w:tcW w:w="5953" w:type="dxa"/>
            <w:tcBorders>
              <w:top w:val="single" w:sz="4" w:space="0" w:color="4471C4"/>
              <w:bottom w:val="single" w:sz="4" w:space="0" w:color="4471C4"/>
            </w:tcBorders>
          </w:tcPr>
          <w:p>
            <w:pPr>
              <w:pStyle w:val="TableParagraph"/>
              <w:spacing w:before="47"/>
              <w:ind w:left="108"/>
              <w:rPr>
                <w:sz w:val="21"/>
              </w:rPr>
            </w:pPr>
            <w:r>
              <w:rPr>
                <w:sz w:val="21"/>
              </w:rPr>
              <w:t>Office</w:t>
            </w:r>
            <w:r>
              <w:rPr>
                <w:spacing w:val="-3"/>
                <w:sz w:val="21"/>
              </w:rPr>
              <w:t> </w:t>
            </w:r>
            <w:r>
              <w:rPr>
                <w:sz w:val="21"/>
              </w:rPr>
              <w:t>of</w:t>
            </w:r>
            <w:r>
              <w:rPr>
                <w:spacing w:val="-6"/>
                <w:sz w:val="21"/>
              </w:rPr>
              <w:t> </w:t>
            </w:r>
            <w:r>
              <w:rPr>
                <w:sz w:val="21"/>
              </w:rPr>
              <w:t>the</w:t>
            </w:r>
            <w:r>
              <w:rPr>
                <w:spacing w:val="-3"/>
                <w:sz w:val="21"/>
              </w:rPr>
              <w:t> </w:t>
            </w:r>
            <w:r>
              <w:rPr>
                <w:sz w:val="21"/>
              </w:rPr>
              <w:t>Auditor</w:t>
            </w:r>
            <w:r>
              <w:rPr>
                <w:spacing w:val="-5"/>
                <w:sz w:val="21"/>
              </w:rPr>
              <w:t> </w:t>
            </w:r>
            <w:r>
              <w:rPr>
                <w:spacing w:val="-2"/>
                <w:sz w:val="21"/>
              </w:rPr>
              <w:t>General</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PAR</w:t>
            </w:r>
          </w:p>
        </w:tc>
        <w:tc>
          <w:tcPr>
            <w:tcW w:w="5953" w:type="dxa"/>
            <w:tcBorders>
              <w:top w:val="single" w:sz="4" w:space="0" w:color="4471C4"/>
              <w:bottom w:val="single" w:sz="4" w:space="0" w:color="4471C4"/>
            </w:tcBorders>
          </w:tcPr>
          <w:p>
            <w:pPr>
              <w:pStyle w:val="TableParagraph"/>
              <w:spacing w:before="47"/>
              <w:ind w:left="108"/>
              <w:rPr>
                <w:sz w:val="21"/>
              </w:rPr>
            </w:pPr>
            <w:r>
              <w:rPr>
                <w:sz w:val="21"/>
              </w:rPr>
              <w:t>Performance</w:t>
            </w:r>
            <w:r>
              <w:rPr>
                <w:spacing w:val="-10"/>
                <w:sz w:val="21"/>
              </w:rPr>
              <w:t> </w:t>
            </w:r>
            <w:r>
              <w:rPr>
                <w:sz w:val="21"/>
              </w:rPr>
              <w:t>Assessment</w:t>
            </w:r>
            <w:r>
              <w:rPr>
                <w:spacing w:val="-8"/>
                <w:sz w:val="21"/>
              </w:rPr>
              <w:t> </w:t>
            </w:r>
            <w:r>
              <w:rPr>
                <w:spacing w:val="-2"/>
                <w:sz w:val="21"/>
              </w:rPr>
              <w:t>Report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PEA</w:t>
            </w:r>
          </w:p>
        </w:tc>
        <w:tc>
          <w:tcPr>
            <w:tcW w:w="5953" w:type="dxa"/>
            <w:tcBorders>
              <w:top w:val="single" w:sz="4" w:space="0" w:color="4471C4"/>
              <w:bottom w:val="single" w:sz="4" w:space="0" w:color="4471C4"/>
            </w:tcBorders>
          </w:tcPr>
          <w:p>
            <w:pPr>
              <w:pStyle w:val="TableParagraph"/>
              <w:spacing w:before="47"/>
              <w:ind w:left="108"/>
              <w:rPr>
                <w:sz w:val="21"/>
              </w:rPr>
            </w:pPr>
            <w:r>
              <w:rPr>
                <w:sz w:val="21"/>
              </w:rPr>
              <w:t>Provincial</w:t>
            </w:r>
            <w:r>
              <w:rPr>
                <w:spacing w:val="-7"/>
                <w:sz w:val="21"/>
              </w:rPr>
              <w:t> </w:t>
            </w:r>
            <w:r>
              <w:rPr>
                <w:sz w:val="21"/>
              </w:rPr>
              <w:t>Education</w:t>
            </w:r>
            <w:r>
              <w:rPr>
                <w:spacing w:val="-7"/>
                <w:sz w:val="21"/>
              </w:rPr>
              <w:t> </w:t>
            </w:r>
            <w:r>
              <w:rPr>
                <w:spacing w:val="-2"/>
                <w:sz w:val="21"/>
              </w:rPr>
              <w:t>Authority</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PFM</w:t>
            </w:r>
          </w:p>
        </w:tc>
        <w:tc>
          <w:tcPr>
            <w:tcW w:w="5953" w:type="dxa"/>
            <w:tcBorders>
              <w:top w:val="single" w:sz="4" w:space="0" w:color="4471C4"/>
              <w:bottom w:val="single" w:sz="4" w:space="0" w:color="4471C4"/>
            </w:tcBorders>
          </w:tcPr>
          <w:p>
            <w:pPr>
              <w:pStyle w:val="TableParagraph"/>
              <w:spacing w:before="47"/>
              <w:ind w:left="108"/>
              <w:rPr>
                <w:sz w:val="21"/>
              </w:rPr>
            </w:pPr>
            <w:r>
              <w:rPr>
                <w:sz w:val="21"/>
              </w:rPr>
              <w:t>Public</w:t>
            </w:r>
            <w:r>
              <w:rPr>
                <w:spacing w:val="-7"/>
                <w:sz w:val="21"/>
              </w:rPr>
              <w:t> </w:t>
            </w:r>
            <w:r>
              <w:rPr>
                <w:sz w:val="21"/>
              </w:rPr>
              <w:t>Financial</w:t>
            </w:r>
            <w:r>
              <w:rPr>
                <w:spacing w:val="-6"/>
                <w:sz w:val="21"/>
              </w:rPr>
              <w:t> </w:t>
            </w:r>
            <w:r>
              <w:rPr>
                <w:spacing w:val="-2"/>
                <w:sz w:val="21"/>
              </w:rPr>
              <w:t>Management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PPY</w:t>
            </w:r>
          </w:p>
        </w:tc>
        <w:tc>
          <w:tcPr>
            <w:tcW w:w="5953" w:type="dxa"/>
            <w:tcBorders>
              <w:top w:val="single" w:sz="4" w:space="0" w:color="4471C4"/>
              <w:bottom w:val="single" w:sz="4" w:space="0" w:color="4471C4"/>
            </w:tcBorders>
          </w:tcPr>
          <w:p>
            <w:pPr>
              <w:pStyle w:val="TableParagraph"/>
              <w:spacing w:before="47"/>
              <w:ind w:left="108"/>
              <w:rPr>
                <w:sz w:val="21"/>
              </w:rPr>
            </w:pPr>
            <w:r>
              <w:rPr>
                <w:sz w:val="21"/>
              </w:rPr>
              <w:t>Pre-Primary</w:t>
            </w:r>
            <w:r>
              <w:rPr>
                <w:spacing w:val="-12"/>
                <w:sz w:val="21"/>
              </w:rPr>
              <w:t> </w:t>
            </w:r>
            <w:r>
              <w:rPr>
                <w:spacing w:val="-4"/>
                <w:sz w:val="21"/>
              </w:rPr>
              <w:t>Year</w:t>
            </w:r>
          </w:p>
        </w:tc>
      </w:tr>
      <w:tr>
        <w:trPr>
          <w:trHeight w:val="352" w:hRule="atLeast"/>
        </w:trPr>
        <w:tc>
          <w:tcPr>
            <w:tcW w:w="1418" w:type="dxa"/>
            <w:shd w:val="clear" w:color="auto" w:fill="4471C4"/>
          </w:tcPr>
          <w:p>
            <w:pPr>
              <w:pStyle w:val="TableParagraph"/>
              <w:spacing w:before="47"/>
              <w:ind w:left="108"/>
              <w:rPr>
                <w:b/>
                <w:sz w:val="21"/>
              </w:rPr>
            </w:pPr>
            <w:r>
              <w:rPr>
                <w:b/>
                <w:color w:val="FFFFFF"/>
                <w:spacing w:val="-2"/>
                <w:sz w:val="21"/>
              </w:rPr>
              <w:t>SIEMIS</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Solomon</w:t>
            </w:r>
            <w:r>
              <w:rPr>
                <w:spacing w:val="-7"/>
                <w:sz w:val="21"/>
              </w:rPr>
              <w:t> </w:t>
            </w:r>
            <w:r>
              <w:rPr>
                <w:sz w:val="21"/>
              </w:rPr>
              <w:t>Islands</w:t>
            </w:r>
            <w:r>
              <w:rPr>
                <w:spacing w:val="-8"/>
                <w:sz w:val="21"/>
              </w:rPr>
              <w:t> </w:t>
            </w:r>
            <w:r>
              <w:rPr>
                <w:sz w:val="21"/>
              </w:rPr>
              <w:t>Education</w:t>
            </w:r>
            <w:r>
              <w:rPr>
                <w:spacing w:val="-5"/>
                <w:sz w:val="21"/>
              </w:rPr>
              <w:t> </w:t>
            </w:r>
            <w:r>
              <w:rPr>
                <w:sz w:val="21"/>
              </w:rPr>
              <w:t>Management</w:t>
            </w:r>
            <w:r>
              <w:rPr>
                <w:spacing w:val="-9"/>
                <w:sz w:val="21"/>
              </w:rPr>
              <w:t> </w:t>
            </w:r>
            <w:r>
              <w:rPr>
                <w:sz w:val="21"/>
              </w:rPr>
              <w:t>Information</w:t>
            </w:r>
            <w:r>
              <w:rPr>
                <w:spacing w:val="-6"/>
                <w:sz w:val="21"/>
              </w:rPr>
              <w:t> </w:t>
            </w:r>
            <w:r>
              <w:rPr>
                <w:spacing w:val="-2"/>
                <w:sz w:val="21"/>
              </w:rPr>
              <w:t>System</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SIMS</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Scholarship</w:t>
            </w:r>
            <w:r>
              <w:rPr>
                <w:spacing w:val="-9"/>
                <w:sz w:val="21"/>
              </w:rPr>
              <w:t> </w:t>
            </w:r>
            <w:r>
              <w:rPr>
                <w:sz w:val="21"/>
              </w:rPr>
              <w:t>Information</w:t>
            </w:r>
            <w:r>
              <w:rPr>
                <w:spacing w:val="-9"/>
                <w:sz w:val="21"/>
              </w:rPr>
              <w:t> </w:t>
            </w:r>
            <w:r>
              <w:rPr>
                <w:sz w:val="21"/>
              </w:rPr>
              <w:t>Management</w:t>
            </w:r>
            <w:r>
              <w:rPr>
                <w:spacing w:val="-9"/>
                <w:sz w:val="21"/>
              </w:rPr>
              <w:t> </w:t>
            </w:r>
            <w:r>
              <w:rPr>
                <w:spacing w:val="-2"/>
                <w:sz w:val="21"/>
              </w:rPr>
              <w:t>System</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SISE</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Solomon</w:t>
            </w:r>
            <w:r>
              <w:rPr>
                <w:spacing w:val="-6"/>
                <w:sz w:val="21"/>
              </w:rPr>
              <w:t> </w:t>
            </w:r>
            <w:r>
              <w:rPr>
                <w:sz w:val="21"/>
              </w:rPr>
              <w:t>Islands</w:t>
            </w:r>
            <w:r>
              <w:rPr>
                <w:spacing w:val="-7"/>
                <w:sz w:val="21"/>
              </w:rPr>
              <w:t> </w:t>
            </w:r>
            <w:r>
              <w:rPr>
                <w:sz w:val="21"/>
              </w:rPr>
              <w:t>Secondary</w:t>
            </w:r>
            <w:r>
              <w:rPr>
                <w:spacing w:val="-7"/>
                <w:sz w:val="21"/>
              </w:rPr>
              <w:t> </w:t>
            </w:r>
            <w:r>
              <w:rPr>
                <w:sz w:val="21"/>
              </w:rPr>
              <w:t>Entrance</w:t>
            </w:r>
            <w:r>
              <w:rPr>
                <w:spacing w:val="-7"/>
                <w:sz w:val="21"/>
              </w:rPr>
              <w:t> </w:t>
            </w:r>
            <w:r>
              <w:rPr>
                <w:spacing w:val="-2"/>
                <w:sz w:val="21"/>
              </w:rPr>
              <w:t>(Examination)</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SIG</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Solomon</w:t>
            </w:r>
            <w:r>
              <w:rPr>
                <w:spacing w:val="-7"/>
                <w:sz w:val="21"/>
              </w:rPr>
              <w:t> </w:t>
            </w:r>
            <w:r>
              <w:rPr>
                <w:sz w:val="21"/>
              </w:rPr>
              <w:t>Islands</w:t>
            </w:r>
            <w:r>
              <w:rPr>
                <w:spacing w:val="-7"/>
                <w:sz w:val="21"/>
              </w:rPr>
              <w:t> </w:t>
            </w:r>
            <w:r>
              <w:rPr>
                <w:spacing w:val="-2"/>
                <w:sz w:val="21"/>
              </w:rPr>
              <w:t>Government</w:t>
            </w:r>
          </w:p>
        </w:tc>
      </w:tr>
    </w:tbl>
    <w:p>
      <w:pPr>
        <w:spacing w:after="0"/>
        <w:rPr>
          <w:sz w:val="21"/>
        </w:rPr>
        <w:sectPr>
          <w:pgSz w:w="11900" w:h="16850"/>
          <w:pgMar w:header="867" w:footer="873" w:top="1060" w:bottom="1060" w:left="1220" w:right="180"/>
        </w:sectPr>
      </w:pPr>
    </w:p>
    <w:p>
      <w:pPr>
        <w:pStyle w:val="BodyText"/>
        <w:rPr>
          <w:rFonts w:ascii="Calibri Light"/>
          <w:b w:val="0"/>
          <w:sz w:val="20"/>
        </w:rPr>
      </w:pPr>
    </w:p>
    <w:p>
      <w:pPr>
        <w:pStyle w:val="BodyText"/>
        <w:rPr>
          <w:rFonts w:ascii="Calibri Light"/>
          <w:b w:val="0"/>
          <w:sz w:val="20"/>
        </w:rPr>
      </w:pPr>
    </w:p>
    <w:p>
      <w:pPr>
        <w:pStyle w:val="BodyText"/>
        <w:spacing w:before="2"/>
        <w:rPr>
          <w:rFonts w:ascii="Calibri Light"/>
          <w:b w:val="0"/>
          <w:sz w:val="1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gridCol w:w="5953"/>
      </w:tblGrid>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SINU</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Solomon</w:t>
            </w:r>
            <w:r>
              <w:rPr>
                <w:spacing w:val="-7"/>
                <w:sz w:val="21"/>
              </w:rPr>
              <w:t> </w:t>
            </w:r>
            <w:r>
              <w:rPr>
                <w:sz w:val="21"/>
              </w:rPr>
              <w:t>Islands</w:t>
            </w:r>
            <w:r>
              <w:rPr>
                <w:spacing w:val="-7"/>
                <w:sz w:val="21"/>
              </w:rPr>
              <w:t> </w:t>
            </w:r>
            <w:r>
              <w:rPr>
                <w:sz w:val="21"/>
              </w:rPr>
              <w:t>National</w:t>
            </w:r>
            <w:r>
              <w:rPr>
                <w:spacing w:val="-6"/>
                <w:sz w:val="21"/>
              </w:rPr>
              <w:t> </w:t>
            </w:r>
            <w:r>
              <w:rPr>
                <w:spacing w:val="-2"/>
                <w:sz w:val="21"/>
              </w:rPr>
              <w:t>University</w:t>
            </w:r>
          </w:p>
        </w:tc>
      </w:tr>
      <w:tr>
        <w:trPr>
          <w:trHeight w:val="352" w:hRule="atLeast"/>
        </w:trPr>
        <w:tc>
          <w:tcPr>
            <w:tcW w:w="1418" w:type="dxa"/>
            <w:shd w:val="clear" w:color="auto" w:fill="4471C4"/>
          </w:tcPr>
          <w:p>
            <w:pPr>
              <w:pStyle w:val="TableParagraph"/>
              <w:spacing w:before="47"/>
              <w:ind w:left="108"/>
              <w:rPr>
                <w:b/>
                <w:sz w:val="21"/>
              </w:rPr>
            </w:pPr>
            <w:r>
              <w:rPr>
                <w:b/>
                <w:color w:val="FFFFFF"/>
                <w:spacing w:val="-2"/>
                <w:sz w:val="21"/>
              </w:rPr>
              <w:t>SISTA</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Solomon</w:t>
            </w:r>
            <w:r>
              <w:rPr>
                <w:spacing w:val="-6"/>
                <w:sz w:val="21"/>
              </w:rPr>
              <w:t> </w:t>
            </w:r>
            <w:r>
              <w:rPr>
                <w:sz w:val="21"/>
              </w:rPr>
              <w:t>Islands</w:t>
            </w:r>
            <w:r>
              <w:rPr>
                <w:spacing w:val="-7"/>
                <w:sz w:val="21"/>
              </w:rPr>
              <w:t> </w:t>
            </w:r>
            <w:r>
              <w:rPr>
                <w:sz w:val="21"/>
              </w:rPr>
              <w:t>Standardised</w:t>
            </w:r>
            <w:r>
              <w:rPr>
                <w:spacing w:val="-5"/>
                <w:sz w:val="21"/>
              </w:rPr>
              <w:t> </w:t>
            </w:r>
            <w:r>
              <w:rPr>
                <w:sz w:val="21"/>
              </w:rPr>
              <w:t>Tests</w:t>
            </w:r>
            <w:r>
              <w:rPr>
                <w:spacing w:val="-7"/>
                <w:sz w:val="21"/>
              </w:rPr>
              <w:t> </w:t>
            </w:r>
            <w:r>
              <w:rPr>
                <w:sz w:val="21"/>
              </w:rPr>
              <w:t>of</w:t>
            </w:r>
            <w:r>
              <w:rPr>
                <w:spacing w:val="-5"/>
                <w:sz w:val="21"/>
              </w:rPr>
              <w:t> </w:t>
            </w:r>
            <w:r>
              <w:rPr>
                <w:spacing w:val="-2"/>
                <w:sz w:val="21"/>
              </w:rPr>
              <w:t>Achievement</w:t>
            </w:r>
          </w:p>
        </w:tc>
      </w:tr>
      <w:tr>
        <w:trPr>
          <w:trHeight w:val="352" w:hRule="atLeast"/>
        </w:trPr>
        <w:tc>
          <w:tcPr>
            <w:tcW w:w="1418" w:type="dxa"/>
            <w:shd w:val="clear" w:color="auto" w:fill="4471C4"/>
          </w:tcPr>
          <w:p>
            <w:pPr>
              <w:pStyle w:val="TableParagraph"/>
              <w:spacing w:before="47"/>
              <w:ind w:left="108"/>
              <w:rPr>
                <w:b/>
                <w:sz w:val="21"/>
              </w:rPr>
            </w:pPr>
            <w:r>
              <w:rPr>
                <w:b/>
                <w:color w:val="FFFFFF"/>
                <w:spacing w:val="-2"/>
                <w:sz w:val="21"/>
              </w:rPr>
              <w:t>SITESA</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Solomon</w:t>
            </w:r>
            <w:r>
              <w:rPr>
                <w:spacing w:val="-6"/>
                <w:sz w:val="21"/>
              </w:rPr>
              <w:t> </w:t>
            </w:r>
            <w:r>
              <w:rPr>
                <w:sz w:val="21"/>
              </w:rPr>
              <w:t>Islands</w:t>
            </w:r>
            <w:r>
              <w:rPr>
                <w:spacing w:val="-7"/>
                <w:sz w:val="21"/>
              </w:rPr>
              <w:t> </w:t>
            </w:r>
            <w:r>
              <w:rPr>
                <w:sz w:val="21"/>
              </w:rPr>
              <w:t>Tertiary</w:t>
            </w:r>
            <w:r>
              <w:rPr>
                <w:spacing w:val="-7"/>
                <w:sz w:val="21"/>
              </w:rPr>
              <w:t> </w:t>
            </w:r>
            <w:r>
              <w:rPr>
                <w:sz w:val="21"/>
              </w:rPr>
              <w:t>Education</w:t>
            </w:r>
            <w:r>
              <w:rPr>
                <w:spacing w:val="-6"/>
                <w:sz w:val="21"/>
              </w:rPr>
              <w:t> </w:t>
            </w:r>
            <w:r>
              <w:rPr>
                <w:sz w:val="21"/>
              </w:rPr>
              <w:t>and</w:t>
            </w:r>
            <w:r>
              <w:rPr>
                <w:spacing w:val="-6"/>
                <w:sz w:val="21"/>
              </w:rPr>
              <w:t> </w:t>
            </w:r>
            <w:r>
              <w:rPr>
                <w:sz w:val="21"/>
              </w:rPr>
              <w:t>Skills</w:t>
            </w:r>
            <w:r>
              <w:rPr>
                <w:spacing w:val="-5"/>
                <w:sz w:val="21"/>
              </w:rPr>
              <w:t> </w:t>
            </w:r>
            <w:r>
              <w:rPr>
                <w:spacing w:val="-2"/>
                <w:sz w:val="21"/>
              </w:rPr>
              <w:t>Authority</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SMT</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Senior</w:t>
            </w:r>
            <w:r>
              <w:rPr>
                <w:spacing w:val="-8"/>
                <w:sz w:val="21"/>
              </w:rPr>
              <w:t> </w:t>
            </w:r>
            <w:r>
              <w:rPr>
                <w:sz w:val="21"/>
              </w:rPr>
              <w:t>Management</w:t>
            </w:r>
            <w:r>
              <w:rPr>
                <w:spacing w:val="-5"/>
                <w:sz w:val="21"/>
              </w:rPr>
              <w:t> </w:t>
            </w:r>
            <w:r>
              <w:rPr>
                <w:spacing w:val="-4"/>
                <w:sz w:val="21"/>
              </w:rPr>
              <w:t>Team</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SPC</w:t>
            </w:r>
          </w:p>
        </w:tc>
        <w:tc>
          <w:tcPr>
            <w:tcW w:w="5953" w:type="dxa"/>
            <w:tcBorders>
              <w:top w:val="single" w:sz="4" w:space="0" w:color="4471C4"/>
              <w:bottom w:val="single" w:sz="4" w:space="0" w:color="4471C4"/>
            </w:tcBorders>
          </w:tcPr>
          <w:p>
            <w:pPr>
              <w:pStyle w:val="TableParagraph"/>
              <w:spacing w:before="47"/>
              <w:ind w:left="108"/>
              <w:rPr>
                <w:sz w:val="21"/>
              </w:rPr>
            </w:pPr>
            <w:r>
              <w:rPr>
                <w:sz w:val="21"/>
              </w:rPr>
              <w:t>The</w:t>
            </w:r>
            <w:r>
              <w:rPr>
                <w:spacing w:val="-4"/>
                <w:sz w:val="21"/>
              </w:rPr>
              <w:t> </w:t>
            </w:r>
            <w:r>
              <w:rPr>
                <w:sz w:val="21"/>
              </w:rPr>
              <w:t>Pacific</w:t>
            </w:r>
            <w:r>
              <w:rPr>
                <w:spacing w:val="-6"/>
                <w:sz w:val="21"/>
              </w:rPr>
              <w:t> </w:t>
            </w:r>
            <w:r>
              <w:rPr>
                <w:spacing w:val="-2"/>
                <w:sz w:val="21"/>
              </w:rPr>
              <w:t>Community</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SSU</w:t>
            </w:r>
          </w:p>
        </w:tc>
        <w:tc>
          <w:tcPr>
            <w:tcW w:w="5953" w:type="dxa"/>
            <w:tcBorders>
              <w:top w:val="single" w:sz="4" w:space="0" w:color="4471C4"/>
              <w:bottom w:val="single" w:sz="4" w:space="0" w:color="4471C4"/>
            </w:tcBorders>
          </w:tcPr>
          <w:p>
            <w:pPr>
              <w:pStyle w:val="TableParagraph"/>
              <w:spacing w:before="47"/>
              <w:ind w:left="108"/>
              <w:rPr>
                <w:sz w:val="21"/>
              </w:rPr>
            </w:pPr>
            <w:r>
              <w:rPr>
                <w:sz w:val="21"/>
              </w:rPr>
              <w:t>Strategic</w:t>
            </w:r>
            <w:r>
              <w:rPr>
                <w:spacing w:val="-6"/>
                <w:sz w:val="21"/>
              </w:rPr>
              <w:t> </w:t>
            </w:r>
            <w:r>
              <w:rPr>
                <w:sz w:val="21"/>
              </w:rPr>
              <w:t>Support</w:t>
            </w:r>
            <w:r>
              <w:rPr>
                <w:spacing w:val="-5"/>
                <w:sz w:val="21"/>
              </w:rPr>
              <w:t> </w:t>
            </w:r>
            <w:r>
              <w:rPr>
                <w:sz w:val="21"/>
              </w:rPr>
              <w:t>Unit</w:t>
            </w:r>
            <w:r>
              <w:rPr>
                <w:spacing w:val="-4"/>
                <w:sz w:val="21"/>
              </w:rPr>
              <w:t> </w:t>
            </w:r>
            <w:r>
              <w:rPr>
                <w:sz w:val="21"/>
              </w:rPr>
              <w:t>–</w:t>
            </w:r>
            <w:r>
              <w:rPr>
                <w:spacing w:val="-4"/>
                <w:sz w:val="21"/>
              </w:rPr>
              <w:t> </w:t>
            </w:r>
            <w:r>
              <w:rPr>
                <w:spacing w:val="-2"/>
                <w:sz w:val="21"/>
              </w:rPr>
              <w:t>MEHRD</w:t>
            </w:r>
          </w:p>
        </w:tc>
      </w:tr>
      <w:tr>
        <w:trPr>
          <w:trHeight w:val="352" w:hRule="atLeast"/>
        </w:trPr>
        <w:tc>
          <w:tcPr>
            <w:tcW w:w="1418" w:type="dxa"/>
            <w:shd w:val="clear" w:color="auto" w:fill="4471C4"/>
          </w:tcPr>
          <w:p>
            <w:pPr>
              <w:pStyle w:val="TableParagraph"/>
              <w:spacing w:before="47"/>
              <w:ind w:left="108"/>
              <w:rPr>
                <w:b/>
                <w:sz w:val="21"/>
              </w:rPr>
            </w:pPr>
            <w:r>
              <w:rPr>
                <w:b/>
                <w:color w:val="FFFFFF"/>
                <w:spacing w:val="-5"/>
                <w:sz w:val="21"/>
              </w:rPr>
              <w:t>TG</w:t>
            </w:r>
          </w:p>
        </w:tc>
        <w:tc>
          <w:tcPr>
            <w:tcW w:w="5953" w:type="dxa"/>
            <w:tcBorders>
              <w:top w:val="single" w:sz="4" w:space="0" w:color="4471C4"/>
              <w:bottom w:val="single" w:sz="4" w:space="0" w:color="4471C4"/>
            </w:tcBorders>
          </w:tcPr>
          <w:p>
            <w:pPr>
              <w:pStyle w:val="TableParagraph"/>
              <w:spacing w:before="47"/>
              <w:ind w:left="108"/>
              <w:rPr>
                <w:sz w:val="21"/>
              </w:rPr>
            </w:pPr>
            <w:r>
              <w:rPr>
                <w:sz w:val="21"/>
              </w:rPr>
              <w:t>Teacher</w:t>
            </w:r>
            <w:r>
              <w:rPr>
                <w:spacing w:val="-8"/>
                <w:sz w:val="21"/>
              </w:rPr>
              <w:t> </w:t>
            </w:r>
            <w:r>
              <w:rPr>
                <w:spacing w:val="-2"/>
                <w:sz w:val="21"/>
              </w:rPr>
              <w:t>Guide</w:t>
            </w:r>
          </w:p>
        </w:tc>
      </w:tr>
      <w:tr>
        <w:trPr>
          <w:trHeight w:val="352" w:hRule="atLeast"/>
        </w:trPr>
        <w:tc>
          <w:tcPr>
            <w:tcW w:w="1418" w:type="dxa"/>
            <w:shd w:val="clear" w:color="auto" w:fill="4471C4"/>
          </w:tcPr>
          <w:p>
            <w:pPr>
              <w:pStyle w:val="TableParagraph"/>
              <w:spacing w:before="47"/>
              <w:ind w:left="108"/>
              <w:rPr>
                <w:b/>
                <w:sz w:val="21"/>
              </w:rPr>
            </w:pPr>
            <w:r>
              <w:rPr>
                <w:b/>
                <w:color w:val="FFFFFF"/>
                <w:spacing w:val="-4"/>
                <w:sz w:val="21"/>
              </w:rPr>
              <w:t>TVET</w:t>
            </w:r>
          </w:p>
        </w:tc>
        <w:tc>
          <w:tcPr>
            <w:tcW w:w="5953" w:type="dxa"/>
            <w:tcBorders>
              <w:top w:val="single" w:sz="4" w:space="0" w:color="4471C4"/>
              <w:bottom w:val="single" w:sz="4" w:space="0" w:color="4471C4"/>
            </w:tcBorders>
          </w:tcPr>
          <w:p>
            <w:pPr>
              <w:pStyle w:val="TableParagraph"/>
              <w:spacing w:before="47"/>
              <w:ind w:left="108"/>
              <w:rPr>
                <w:sz w:val="21"/>
              </w:rPr>
            </w:pPr>
            <w:r>
              <w:rPr>
                <w:sz w:val="21"/>
              </w:rPr>
              <w:t>Technical,</w:t>
            </w:r>
            <w:r>
              <w:rPr>
                <w:spacing w:val="-9"/>
                <w:sz w:val="21"/>
              </w:rPr>
              <w:t> </w:t>
            </w:r>
            <w:r>
              <w:rPr>
                <w:sz w:val="21"/>
              </w:rPr>
              <w:t>Vocational</w:t>
            </w:r>
            <w:r>
              <w:rPr>
                <w:spacing w:val="-7"/>
                <w:sz w:val="21"/>
              </w:rPr>
              <w:t> </w:t>
            </w:r>
            <w:r>
              <w:rPr>
                <w:sz w:val="21"/>
              </w:rPr>
              <w:t>Education</w:t>
            </w:r>
            <w:r>
              <w:rPr>
                <w:spacing w:val="-6"/>
                <w:sz w:val="21"/>
              </w:rPr>
              <w:t> </w:t>
            </w:r>
            <w:r>
              <w:rPr>
                <w:sz w:val="21"/>
              </w:rPr>
              <w:t>&amp;</w:t>
            </w:r>
            <w:r>
              <w:rPr>
                <w:spacing w:val="-6"/>
                <w:sz w:val="21"/>
              </w:rPr>
              <w:t> </w:t>
            </w:r>
            <w:r>
              <w:rPr>
                <w:spacing w:val="-2"/>
                <w:sz w:val="21"/>
              </w:rPr>
              <w:t>Training</w:t>
            </w:r>
          </w:p>
        </w:tc>
      </w:tr>
    </w:tbl>
    <w:p>
      <w:pPr>
        <w:spacing w:after="0"/>
        <w:rPr>
          <w:sz w:val="21"/>
        </w:rPr>
        <w:sectPr>
          <w:pgSz w:w="11900" w:h="16850"/>
          <w:pgMar w:header="867" w:footer="873" w:top="1060" w:bottom="1060" w:left="1220" w:right="18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Heading1"/>
        <w:spacing w:before="173"/>
        <w:jc w:val="both"/>
        <w:rPr>
          <w:b w:val="0"/>
        </w:rPr>
      </w:pPr>
      <w:bookmarkStart w:name="_bookmark3" w:id="4"/>
      <w:bookmarkEnd w:id="4"/>
      <w:r>
        <w:rPr/>
      </w:r>
      <w:r>
        <w:rPr>
          <w:b w:val="0"/>
          <w:color w:val="4471C4"/>
        </w:rPr>
        <w:t>Executive</w:t>
      </w:r>
      <w:r>
        <w:rPr>
          <w:b w:val="0"/>
          <w:color w:val="4471C4"/>
          <w:spacing w:val="32"/>
        </w:rPr>
        <w:t> </w:t>
      </w:r>
      <w:r>
        <w:rPr>
          <w:b w:val="0"/>
          <w:color w:val="4471C4"/>
          <w:spacing w:val="-2"/>
        </w:rPr>
        <w:t>Summary</w:t>
      </w:r>
    </w:p>
    <w:p>
      <w:pPr>
        <w:spacing w:line="240" w:lineRule="auto" w:before="257"/>
        <w:ind w:left="220" w:right="1251" w:firstLine="0"/>
        <w:jc w:val="both"/>
        <w:rPr>
          <w:sz w:val="22"/>
        </w:rPr>
      </w:pPr>
      <w:r>
        <w:rPr>
          <w:sz w:val="22"/>
        </w:rPr>
        <w:t>Under the Solomon Islands Education Sector Program 2, a performance linked aid payment is provided yearly to the Ministry of Education and Human Resource Development (MEHRD) on the achievement of agreed targets set out in the Education Performance Matrix (EPM). The 2018 EPM included 14 targets (and 22 indicators with 30 Expected Results Statements) across three priority areas: access, quality, and management systems. For 2018, based on the sources of information received and consultations with relevant officers on the EPM, </w:t>
      </w:r>
      <w:r>
        <w:rPr>
          <w:b/>
          <w:sz w:val="22"/>
        </w:rPr>
        <w:t>the independent assessor has recommended 68.36 per cent of the performance-linked aid payment be disbursed to MEHRD, which equates to AUD1,093,717</w:t>
      </w:r>
      <w:r>
        <w:rPr>
          <w:sz w:val="22"/>
        </w:rPr>
        <w:t>.</w:t>
      </w:r>
    </w:p>
    <w:p>
      <w:pPr>
        <w:pStyle w:val="BodyText"/>
        <w:spacing w:before="6"/>
        <w:rPr>
          <w:sz w:val="16"/>
        </w:rPr>
      </w:pPr>
    </w:p>
    <w:p>
      <w:pPr>
        <w:pStyle w:val="Heading4"/>
        <w:rPr>
          <w:b w:val="0"/>
        </w:rPr>
      </w:pPr>
      <w:r>
        <w:rPr>
          <w:b w:val="0"/>
          <w:color w:val="4471C4"/>
        </w:rPr>
        <w:t>Summary</w:t>
      </w:r>
      <w:r>
        <w:rPr>
          <w:b w:val="0"/>
          <w:color w:val="4471C4"/>
          <w:spacing w:val="-2"/>
        </w:rPr>
        <w:t> </w:t>
      </w:r>
      <w:r>
        <w:rPr>
          <w:b w:val="0"/>
          <w:color w:val="4471C4"/>
        </w:rPr>
        <w:t>of</w:t>
      </w:r>
      <w:r>
        <w:rPr>
          <w:b w:val="0"/>
          <w:color w:val="4471C4"/>
          <w:spacing w:val="-1"/>
        </w:rPr>
        <w:t> </w:t>
      </w:r>
      <w:r>
        <w:rPr>
          <w:b w:val="0"/>
          <w:color w:val="4471C4"/>
        </w:rPr>
        <w:t>Performance</w:t>
      </w:r>
      <w:r>
        <w:rPr>
          <w:b w:val="0"/>
          <w:color w:val="4471C4"/>
          <w:spacing w:val="-3"/>
        </w:rPr>
        <w:t> </w:t>
      </w:r>
      <w:r>
        <w:rPr>
          <w:b w:val="0"/>
          <w:color w:val="4471C4"/>
        </w:rPr>
        <w:t>against Access </w:t>
      </w:r>
      <w:r>
        <w:rPr>
          <w:b w:val="0"/>
          <w:color w:val="4471C4"/>
          <w:spacing w:val="-2"/>
        </w:rPr>
        <w:t>Indicators</w:t>
      </w:r>
    </w:p>
    <w:p>
      <w:pPr>
        <w:pStyle w:val="BodyText"/>
        <w:spacing w:before="199"/>
        <w:ind w:left="220" w:right="1253"/>
        <w:jc w:val="both"/>
      </w:pPr>
      <w:r>
        <w:rPr/>
        <w:t>There has been much analysis and reporting on barriers to access in the Solomon Islands for over a decade,</w:t>
      </w:r>
      <w:r>
        <w:rPr>
          <w:spacing w:val="-2"/>
        </w:rPr>
        <w:t> </w:t>
      </w:r>
      <w:r>
        <w:rPr/>
        <w:t>with</w:t>
      </w:r>
      <w:r>
        <w:rPr>
          <w:spacing w:val="-2"/>
        </w:rPr>
        <w:t> </w:t>
      </w:r>
      <w:r>
        <w:rPr/>
        <w:t>no</w:t>
      </w:r>
      <w:r>
        <w:rPr>
          <w:spacing w:val="-2"/>
        </w:rPr>
        <w:t> </w:t>
      </w:r>
      <w:r>
        <w:rPr/>
        <w:t>corresponding</w:t>
      </w:r>
      <w:r>
        <w:rPr>
          <w:spacing w:val="-3"/>
        </w:rPr>
        <w:t> </w:t>
      </w:r>
      <w:r>
        <w:rPr/>
        <w:t>strategy</w:t>
      </w:r>
      <w:r>
        <w:rPr>
          <w:spacing w:val="-2"/>
        </w:rPr>
        <w:t> </w:t>
      </w:r>
      <w:r>
        <w:rPr/>
        <w:t>to</w:t>
      </w:r>
      <w:r>
        <w:rPr>
          <w:spacing w:val="-1"/>
        </w:rPr>
        <w:t> </w:t>
      </w:r>
      <w:r>
        <w:rPr/>
        <w:t>increase</w:t>
      </w:r>
      <w:r>
        <w:rPr>
          <w:spacing w:val="-1"/>
        </w:rPr>
        <w:t> </w:t>
      </w:r>
      <w:r>
        <w:rPr/>
        <w:t>participation</w:t>
      </w:r>
      <w:r>
        <w:rPr>
          <w:spacing w:val="-3"/>
        </w:rPr>
        <w:t> </w:t>
      </w:r>
      <w:r>
        <w:rPr/>
        <w:t>rates.</w:t>
      </w:r>
      <w:r>
        <w:rPr>
          <w:spacing w:val="-1"/>
        </w:rPr>
        <w:t> </w:t>
      </w:r>
      <w:r>
        <w:rPr/>
        <w:t>Year</w:t>
      </w:r>
      <w:r>
        <w:rPr>
          <w:spacing w:val="-4"/>
        </w:rPr>
        <w:t> </w:t>
      </w:r>
      <w:r>
        <w:rPr/>
        <w:t>6</w:t>
      </w:r>
      <w:r>
        <w:rPr>
          <w:spacing w:val="-2"/>
        </w:rPr>
        <w:t> </w:t>
      </w:r>
      <w:r>
        <w:rPr/>
        <w:t>exams,</w:t>
      </w:r>
      <w:r>
        <w:rPr>
          <w:spacing w:val="-4"/>
        </w:rPr>
        <w:t> </w:t>
      </w:r>
      <w:r>
        <w:rPr/>
        <w:t>which</w:t>
      </w:r>
      <w:r>
        <w:rPr>
          <w:spacing w:val="-3"/>
        </w:rPr>
        <w:t> </w:t>
      </w:r>
      <w:r>
        <w:rPr/>
        <w:t>are</w:t>
      </w:r>
      <w:r>
        <w:rPr>
          <w:spacing w:val="-1"/>
        </w:rPr>
        <w:t> </w:t>
      </w:r>
      <w:r>
        <w:rPr/>
        <w:t>seen as a barrier to Junior High School entrance, are to be phased-out in 2019 and analytical work on its implications is continuing. Transition rates for Year 6 and Year 9 students continue to show minor declines over the last 3 years. Better data verification and an unusual drop from Prep to Primary, could indicate a data quality issue rather than a drop in actual transition rates. While better quantitative information is becoming available, there is little in the way of qualitative data or research. Consultations have continued on the Gender Equality in Education and the Child</w:t>
      </w:r>
      <w:r>
        <w:rPr>
          <w:spacing w:val="40"/>
        </w:rPr>
        <w:t> </w:t>
      </w:r>
      <w:r>
        <w:rPr/>
        <w:t>Protection policies. Community acceptance of such new policies impacts the pace of change that is feasible. Socialisation of new policies also takes time.</w:t>
      </w:r>
    </w:p>
    <w:p>
      <w:pPr>
        <w:pStyle w:val="BodyText"/>
        <w:spacing w:before="5"/>
        <w:rPr>
          <w:sz w:val="16"/>
        </w:rPr>
      </w:pPr>
    </w:p>
    <w:tbl>
      <w:tblPr>
        <w:tblW w:w="0" w:type="auto"/>
        <w:jc w:val="left"/>
        <w:tblInd w:w="23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1130"/>
        <w:gridCol w:w="1551"/>
        <w:gridCol w:w="1930"/>
        <w:gridCol w:w="1985"/>
        <w:gridCol w:w="1460"/>
        <w:gridCol w:w="1441"/>
      </w:tblGrid>
      <w:tr>
        <w:trPr>
          <w:trHeight w:val="700" w:hRule="atLeast"/>
        </w:trPr>
        <w:tc>
          <w:tcPr>
            <w:tcW w:w="1130" w:type="dxa"/>
            <w:shd w:val="clear" w:color="auto" w:fill="B4C5E7"/>
          </w:tcPr>
          <w:p>
            <w:pPr>
              <w:pStyle w:val="TableParagraph"/>
              <w:spacing w:before="9"/>
              <w:rPr>
                <w:sz w:val="20"/>
              </w:rPr>
            </w:pPr>
          </w:p>
          <w:p>
            <w:pPr>
              <w:pStyle w:val="TableParagraph"/>
              <w:ind w:left="107"/>
              <w:rPr>
                <w:b/>
                <w:sz w:val="16"/>
              </w:rPr>
            </w:pPr>
            <w:r>
              <w:rPr>
                <w:b/>
                <w:spacing w:val="-2"/>
                <w:sz w:val="16"/>
              </w:rPr>
              <w:t>MEHRD</w:t>
            </w:r>
          </w:p>
        </w:tc>
        <w:tc>
          <w:tcPr>
            <w:tcW w:w="1551" w:type="dxa"/>
            <w:shd w:val="clear" w:color="auto" w:fill="B4C5E7"/>
          </w:tcPr>
          <w:p>
            <w:pPr>
              <w:pStyle w:val="TableParagraph"/>
              <w:spacing w:before="8"/>
              <w:rPr>
                <w:sz w:val="12"/>
              </w:rPr>
            </w:pPr>
          </w:p>
          <w:p>
            <w:pPr>
              <w:pStyle w:val="TableParagraph"/>
              <w:ind w:left="583" w:right="249" w:hanging="322"/>
              <w:rPr>
                <w:b/>
                <w:sz w:val="16"/>
              </w:rPr>
            </w:pPr>
            <w:r>
              <w:rPr>
                <w:b/>
                <w:sz w:val="16"/>
              </w:rPr>
              <w:t>MELP</w:t>
            </w:r>
            <w:r>
              <w:rPr>
                <w:b/>
                <w:spacing w:val="-10"/>
                <w:sz w:val="16"/>
              </w:rPr>
              <w:t> </w:t>
            </w:r>
            <w:r>
              <w:rPr>
                <w:b/>
                <w:sz w:val="16"/>
              </w:rPr>
              <w:t>Outcome</w:t>
            </w:r>
            <w:r>
              <w:rPr>
                <w:b/>
                <w:spacing w:val="40"/>
                <w:sz w:val="16"/>
              </w:rPr>
              <w:t> </w:t>
            </w:r>
            <w:r>
              <w:rPr>
                <w:b/>
                <w:spacing w:val="-2"/>
                <w:sz w:val="16"/>
              </w:rPr>
              <w:t>Areas</w:t>
            </w:r>
          </w:p>
        </w:tc>
        <w:tc>
          <w:tcPr>
            <w:tcW w:w="1930" w:type="dxa"/>
            <w:shd w:val="clear" w:color="auto" w:fill="B4C5E7"/>
          </w:tcPr>
          <w:p>
            <w:pPr>
              <w:pStyle w:val="TableParagraph"/>
              <w:spacing w:before="9"/>
              <w:rPr>
                <w:sz w:val="20"/>
              </w:rPr>
            </w:pPr>
          </w:p>
          <w:p>
            <w:pPr>
              <w:pStyle w:val="TableParagraph"/>
              <w:ind w:left="204"/>
              <w:rPr>
                <w:b/>
                <w:sz w:val="16"/>
              </w:rPr>
            </w:pPr>
            <w:r>
              <w:rPr>
                <w:b/>
                <w:sz w:val="16"/>
              </w:rPr>
              <w:t>Performance</w:t>
            </w:r>
            <w:r>
              <w:rPr>
                <w:b/>
                <w:spacing w:val="-6"/>
                <w:sz w:val="16"/>
              </w:rPr>
              <w:t> </w:t>
            </w:r>
            <w:r>
              <w:rPr>
                <w:b/>
                <w:spacing w:val="-2"/>
                <w:sz w:val="16"/>
              </w:rPr>
              <w:t>Indicators</w:t>
            </w:r>
          </w:p>
        </w:tc>
        <w:tc>
          <w:tcPr>
            <w:tcW w:w="1985" w:type="dxa"/>
            <w:shd w:val="clear" w:color="auto" w:fill="B4C5E7"/>
          </w:tcPr>
          <w:p>
            <w:pPr>
              <w:pStyle w:val="TableParagraph"/>
              <w:spacing w:before="8"/>
              <w:rPr>
                <w:sz w:val="12"/>
              </w:rPr>
            </w:pPr>
          </w:p>
          <w:p>
            <w:pPr>
              <w:pStyle w:val="TableParagraph"/>
              <w:ind w:left="609" w:right="414" w:hanging="180"/>
              <w:rPr>
                <w:b/>
                <w:sz w:val="16"/>
              </w:rPr>
            </w:pPr>
            <w:r>
              <w:rPr>
                <w:b/>
                <w:sz w:val="16"/>
              </w:rPr>
              <w:t>Expected</w:t>
            </w:r>
            <w:r>
              <w:rPr>
                <w:b/>
                <w:spacing w:val="-10"/>
                <w:sz w:val="16"/>
              </w:rPr>
              <w:t> </w:t>
            </w:r>
            <w:r>
              <w:rPr>
                <w:b/>
                <w:sz w:val="16"/>
              </w:rPr>
              <w:t>Results</w:t>
            </w:r>
            <w:r>
              <w:rPr>
                <w:b/>
                <w:spacing w:val="40"/>
                <w:sz w:val="16"/>
              </w:rPr>
              <w:t> </w:t>
            </w:r>
            <w:r>
              <w:rPr>
                <w:b/>
                <w:spacing w:val="-2"/>
                <w:sz w:val="16"/>
              </w:rPr>
              <w:t>Statements</w:t>
            </w:r>
          </w:p>
        </w:tc>
        <w:tc>
          <w:tcPr>
            <w:tcW w:w="1460" w:type="dxa"/>
            <w:shd w:val="clear" w:color="auto" w:fill="B4C5E7"/>
          </w:tcPr>
          <w:p>
            <w:pPr>
              <w:pStyle w:val="TableParagraph"/>
              <w:spacing w:before="9"/>
              <w:rPr>
                <w:sz w:val="20"/>
              </w:rPr>
            </w:pPr>
          </w:p>
          <w:p>
            <w:pPr>
              <w:pStyle w:val="TableParagraph"/>
              <w:ind w:left="347" w:right="335"/>
              <w:jc w:val="center"/>
              <w:rPr>
                <w:b/>
                <w:sz w:val="16"/>
              </w:rPr>
            </w:pPr>
            <w:r>
              <w:rPr>
                <w:b/>
                <w:spacing w:val="-5"/>
                <w:sz w:val="16"/>
              </w:rPr>
              <w:t>IA</w:t>
            </w:r>
          </w:p>
        </w:tc>
        <w:tc>
          <w:tcPr>
            <w:tcW w:w="1441" w:type="dxa"/>
            <w:shd w:val="clear" w:color="auto" w:fill="B4C5E7"/>
          </w:tcPr>
          <w:p>
            <w:pPr>
              <w:pStyle w:val="TableParagraph"/>
              <w:spacing w:before="9"/>
              <w:rPr>
                <w:sz w:val="20"/>
              </w:rPr>
            </w:pPr>
          </w:p>
          <w:p>
            <w:pPr>
              <w:pStyle w:val="TableParagraph"/>
              <w:ind w:left="270"/>
              <w:rPr>
                <w:b/>
                <w:sz w:val="16"/>
              </w:rPr>
            </w:pPr>
            <w:r>
              <w:rPr>
                <w:b/>
                <w:sz w:val="16"/>
              </w:rPr>
              <w:t>Payment</w:t>
            </w:r>
            <w:r>
              <w:rPr>
                <w:b/>
                <w:spacing w:val="-6"/>
                <w:sz w:val="16"/>
              </w:rPr>
              <w:t> </w:t>
            </w:r>
            <w:r>
              <w:rPr>
                <w:b/>
                <w:spacing w:val="-5"/>
                <w:sz w:val="16"/>
              </w:rPr>
              <w:t>AUD</w:t>
            </w:r>
          </w:p>
        </w:tc>
      </w:tr>
      <w:tr>
        <w:trPr>
          <w:trHeight w:val="1758" w:hRule="atLeast"/>
        </w:trPr>
        <w:tc>
          <w:tcPr>
            <w:tcW w:w="1130" w:type="dxa"/>
            <w:vMerge w:val="restart"/>
          </w:tcPr>
          <w:p>
            <w:pPr>
              <w:pStyle w:val="TableParagraph"/>
              <w:ind w:left="107" w:right="509"/>
              <w:rPr>
                <w:b/>
                <w:sz w:val="16"/>
              </w:rPr>
            </w:pPr>
            <w:r>
              <w:rPr>
                <w:b/>
                <w:spacing w:val="-2"/>
                <w:sz w:val="16"/>
              </w:rPr>
              <w:t>ACCESS</w:t>
            </w:r>
            <w:r>
              <w:rPr>
                <w:b/>
                <w:spacing w:val="40"/>
                <w:sz w:val="16"/>
              </w:rPr>
              <w:t> </w:t>
            </w:r>
            <w:r>
              <w:rPr>
                <w:b/>
                <w:spacing w:val="-2"/>
                <w:sz w:val="16"/>
              </w:rPr>
              <w:t>EO1.2</w:t>
            </w:r>
          </w:p>
        </w:tc>
        <w:tc>
          <w:tcPr>
            <w:tcW w:w="1551" w:type="dxa"/>
            <w:vMerge w:val="restart"/>
          </w:tcPr>
          <w:p>
            <w:pPr>
              <w:pStyle w:val="TableParagraph"/>
              <w:ind w:left="105" w:right="85"/>
              <w:rPr>
                <w:b/>
                <w:sz w:val="16"/>
              </w:rPr>
            </w:pPr>
            <w:r>
              <w:rPr>
                <w:b/>
                <w:sz w:val="16"/>
              </w:rPr>
              <w:t>1.1</w:t>
            </w:r>
            <w:r>
              <w:rPr>
                <w:b/>
                <w:spacing w:val="-9"/>
                <w:sz w:val="16"/>
              </w:rPr>
              <w:t> </w:t>
            </w:r>
            <w:r>
              <w:rPr>
                <w:b/>
                <w:sz w:val="16"/>
              </w:rPr>
              <w:t>Transition</w:t>
            </w:r>
            <w:r>
              <w:rPr>
                <w:b/>
                <w:spacing w:val="-9"/>
                <w:sz w:val="16"/>
              </w:rPr>
              <w:t> </w:t>
            </w:r>
            <w:r>
              <w:rPr>
                <w:b/>
                <w:sz w:val="16"/>
              </w:rPr>
              <w:t>rates</w:t>
            </w:r>
            <w:r>
              <w:rPr>
                <w:b/>
                <w:spacing w:val="40"/>
                <w:sz w:val="16"/>
              </w:rPr>
              <w:t> </w:t>
            </w:r>
            <w:r>
              <w:rPr>
                <w:b/>
                <w:sz w:val="16"/>
              </w:rPr>
              <w:t>by</w:t>
            </w:r>
            <w:r>
              <w:rPr>
                <w:b/>
                <w:spacing w:val="-2"/>
                <w:sz w:val="16"/>
              </w:rPr>
              <w:t> </w:t>
            </w:r>
            <w:r>
              <w:rPr>
                <w:b/>
                <w:sz w:val="16"/>
              </w:rPr>
              <w:t>level</w:t>
            </w:r>
            <w:r>
              <w:rPr>
                <w:b/>
                <w:spacing w:val="-3"/>
                <w:sz w:val="16"/>
              </w:rPr>
              <w:t> </w:t>
            </w:r>
            <w:r>
              <w:rPr>
                <w:b/>
                <w:sz w:val="16"/>
              </w:rPr>
              <w:t>and</w:t>
            </w:r>
            <w:r>
              <w:rPr>
                <w:b/>
                <w:spacing w:val="-1"/>
                <w:sz w:val="16"/>
              </w:rPr>
              <w:t> </w:t>
            </w:r>
            <w:r>
              <w:rPr>
                <w:b/>
                <w:spacing w:val="-2"/>
                <w:sz w:val="16"/>
              </w:rPr>
              <w:t>gender</w:t>
            </w:r>
          </w:p>
        </w:tc>
        <w:tc>
          <w:tcPr>
            <w:tcW w:w="1930" w:type="dxa"/>
          </w:tcPr>
          <w:p>
            <w:pPr>
              <w:pStyle w:val="TableParagraph"/>
              <w:ind w:left="108" w:right="94"/>
              <w:rPr>
                <w:sz w:val="16"/>
              </w:rPr>
            </w:pPr>
            <w:r>
              <w:rPr>
                <w:sz w:val="16"/>
              </w:rPr>
              <w:t>1.1.1</w:t>
            </w:r>
            <w:r>
              <w:rPr>
                <w:spacing w:val="24"/>
                <w:sz w:val="16"/>
              </w:rPr>
              <w:t> </w:t>
            </w:r>
            <w:r>
              <w:rPr>
                <w:sz w:val="16"/>
              </w:rPr>
              <w:t>By</w:t>
            </w:r>
            <w:r>
              <w:rPr>
                <w:spacing w:val="-7"/>
                <w:sz w:val="16"/>
              </w:rPr>
              <w:t> </w:t>
            </w:r>
            <w:r>
              <w:rPr>
                <w:sz w:val="16"/>
              </w:rPr>
              <w:t>the</w:t>
            </w:r>
            <w:r>
              <w:rPr>
                <w:spacing w:val="-8"/>
                <w:sz w:val="16"/>
              </w:rPr>
              <w:t> </w:t>
            </w:r>
            <w:r>
              <w:rPr>
                <w:sz w:val="16"/>
              </w:rPr>
              <w:t>end</w:t>
            </w:r>
            <w:r>
              <w:rPr>
                <w:spacing w:val="-7"/>
                <w:sz w:val="16"/>
              </w:rPr>
              <w:t> </w:t>
            </w:r>
            <w:r>
              <w:rPr>
                <w:sz w:val="16"/>
              </w:rPr>
              <w:t>of</w:t>
            </w:r>
            <w:r>
              <w:rPr>
                <w:spacing w:val="-7"/>
                <w:sz w:val="16"/>
              </w:rPr>
              <w:t> </w:t>
            </w:r>
            <w:r>
              <w:rPr>
                <w:sz w:val="16"/>
              </w:rPr>
              <w:t>2018,</w:t>
            </w:r>
            <w:r>
              <w:rPr>
                <w:spacing w:val="40"/>
                <w:sz w:val="16"/>
              </w:rPr>
              <w:t> </w:t>
            </w:r>
            <w:r>
              <w:rPr>
                <w:sz w:val="16"/>
              </w:rPr>
              <w:t>the SISE Phase-out</w:t>
            </w:r>
            <w:r>
              <w:rPr>
                <w:spacing w:val="40"/>
                <w:sz w:val="16"/>
              </w:rPr>
              <w:t> </w:t>
            </w:r>
            <w:r>
              <w:rPr>
                <w:sz w:val="16"/>
              </w:rPr>
              <w:t>Committee has costed</w:t>
            </w:r>
            <w:r>
              <w:rPr>
                <w:spacing w:val="40"/>
                <w:sz w:val="16"/>
              </w:rPr>
              <w:t> </w:t>
            </w:r>
            <w:r>
              <w:rPr>
                <w:sz w:val="16"/>
              </w:rPr>
              <w:t>plan in place to cater for</w:t>
            </w:r>
            <w:r>
              <w:rPr>
                <w:spacing w:val="40"/>
                <w:sz w:val="16"/>
              </w:rPr>
              <w:t> </w:t>
            </w:r>
            <w:r>
              <w:rPr>
                <w:sz w:val="16"/>
              </w:rPr>
              <w:t>increased enrolments in</w:t>
            </w:r>
            <w:r>
              <w:rPr>
                <w:spacing w:val="40"/>
                <w:sz w:val="16"/>
              </w:rPr>
              <w:t> </w:t>
            </w:r>
            <w:r>
              <w:rPr>
                <w:sz w:val="16"/>
              </w:rPr>
              <w:t>years 7 and 10</w:t>
            </w:r>
            <w:r>
              <w:rPr>
                <w:spacing w:val="40"/>
                <w:sz w:val="16"/>
              </w:rPr>
              <w:t> </w:t>
            </w:r>
            <w:r>
              <w:rPr>
                <w:sz w:val="16"/>
              </w:rPr>
              <w:t>and</w:t>
            </w:r>
            <w:r>
              <w:rPr>
                <w:spacing w:val="40"/>
                <w:sz w:val="16"/>
              </w:rPr>
              <w:t> </w:t>
            </w:r>
            <w:r>
              <w:rPr>
                <w:sz w:val="16"/>
              </w:rPr>
              <w:t>alternative</w:t>
            </w:r>
            <w:r>
              <w:rPr>
                <w:spacing w:val="-7"/>
                <w:sz w:val="16"/>
              </w:rPr>
              <w:t> </w:t>
            </w:r>
            <w:r>
              <w:rPr>
                <w:sz w:val="16"/>
              </w:rPr>
              <w:t>placement</w:t>
            </w:r>
            <w:r>
              <w:rPr>
                <w:spacing w:val="40"/>
                <w:sz w:val="16"/>
              </w:rPr>
              <w:t> </w:t>
            </w:r>
            <w:r>
              <w:rPr>
                <w:sz w:val="16"/>
              </w:rPr>
              <w:t>method and plan</w:t>
            </w:r>
          </w:p>
          <w:p>
            <w:pPr>
              <w:pStyle w:val="TableParagraph"/>
              <w:spacing w:line="178" w:lineRule="exact"/>
              <w:ind w:left="108"/>
              <w:rPr>
                <w:sz w:val="16"/>
              </w:rPr>
            </w:pPr>
            <w:r>
              <w:rPr>
                <w:sz w:val="16"/>
              </w:rPr>
              <w:t>socialised</w:t>
            </w:r>
            <w:r>
              <w:rPr>
                <w:spacing w:val="-7"/>
                <w:sz w:val="16"/>
              </w:rPr>
              <w:t> </w:t>
            </w:r>
            <w:r>
              <w:rPr>
                <w:sz w:val="16"/>
              </w:rPr>
              <w:t>with</w:t>
            </w:r>
            <w:r>
              <w:rPr>
                <w:spacing w:val="-6"/>
                <w:sz w:val="16"/>
              </w:rPr>
              <w:t> </w:t>
            </w:r>
            <w:r>
              <w:rPr>
                <w:spacing w:val="-5"/>
                <w:sz w:val="16"/>
              </w:rPr>
              <w:t>EAs</w:t>
            </w:r>
          </w:p>
        </w:tc>
        <w:tc>
          <w:tcPr>
            <w:tcW w:w="1985" w:type="dxa"/>
          </w:tcPr>
          <w:p>
            <w:pPr>
              <w:pStyle w:val="TableParagraph"/>
              <w:spacing w:line="194" w:lineRule="exact"/>
              <w:ind w:left="108"/>
              <w:rPr>
                <w:sz w:val="16"/>
              </w:rPr>
            </w:pPr>
            <w:r>
              <w:rPr>
                <w:sz w:val="16"/>
              </w:rPr>
              <w:t>Quality</w:t>
            </w:r>
            <w:r>
              <w:rPr>
                <w:spacing w:val="-6"/>
                <w:sz w:val="16"/>
              </w:rPr>
              <w:t> </w:t>
            </w:r>
            <w:r>
              <w:rPr>
                <w:sz w:val="16"/>
              </w:rPr>
              <w:t>costed</w:t>
            </w:r>
            <w:r>
              <w:rPr>
                <w:spacing w:val="-6"/>
                <w:sz w:val="16"/>
              </w:rPr>
              <w:t> </w:t>
            </w:r>
            <w:r>
              <w:rPr>
                <w:sz w:val="16"/>
              </w:rPr>
              <w:t>plan</w:t>
            </w:r>
            <w:r>
              <w:rPr>
                <w:spacing w:val="-3"/>
                <w:sz w:val="16"/>
              </w:rPr>
              <w:t> </w:t>
            </w:r>
            <w:r>
              <w:rPr>
                <w:spacing w:val="-2"/>
                <w:sz w:val="16"/>
              </w:rPr>
              <w:t>(30%)</w:t>
            </w:r>
          </w:p>
          <w:p>
            <w:pPr>
              <w:pStyle w:val="TableParagraph"/>
              <w:spacing w:before="1"/>
              <w:ind w:left="108" w:right="446"/>
              <w:rPr>
                <w:sz w:val="16"/>
              </w:rPr>
            </w:pPr>
            <w:r>
              <w:rPr>
                <w:sz w:val="16"/>
              </w:rPr>
              <w:t>SMT</w:t>
            </w:r>
            <w:r>
              <w:rPr>
                <w:spacing w:val="-5"/>
                <w:sz w:val="16"/>
              </w:rPr>
              <w:t> </w:t>
            </w:r>
            <w:r>
              <w:rPr>
                <w:sz w:val="16"/>
              </w:rPr>
              <w:t>Minute</w:t>
            </w:r>
            <w:r>
              <w:rPr>
                <w:spacing w:val="40"/>
                <w:sz w:val="16"/>
              </w:rPr>
              <w:t> </w:t>
            </w:r>
            <w:r>
              <w:rPr>
                <w:sz w:val="16"/>
              </w:rPr>
              <w:t>endorsing</w:t>
            </w:r>
            <w:r>
              <w:rPr>
                <w:spacing w:val="-10"/>
                <w:sz w:val="16"/>
              </w:rPr>
              <w:t> </w:t>
            </w:r>
            <w:r>
              <w:rPr>
                <w:sz w:val="16"/>
              </w:rPr>
              <w:t>plan</w:t>
            </w:r>
            <w:r>
              <w:rPr>
                <w:spacing w:val="-9"/>
                <w:sz w:val="16"/>
              </w:rPr>
              <w:t> </w:t>
            </w:r>
            <w:r>
              <w:rPr>
                <w:sz w:val="16"/>
              </w:rPr>
              <w:t>(50%)</w:t>
            </w:r>
            <w:r>
              <w:rPr>
                <w:spacing w:val="40"/>
                <w:sz w:val="16"/>
              </w:rPr>
              <w:t> </w:t>
            </w:r>
            <w:r>
              <w:rPr>
                <w:sz w:val="16"/>
              </w:rPr>
              <w:t>EAs</w:t>
            </w:r>
            <w:r>
              <w:rPr>
                <w:spacing w:val="-7"/>
                <w:sz w:val="16"/>
              </w:rPr>
              <w:t> </w:t>
            </w:r>
            <w:r>
              <w:rPr>
                <w:sz w:val="16"/>
              </w:rPr>
              <w:t>socialisation</w:t>
            </w:r>
            <w:r>
              <w:rPr>
                <w:spacing w:val="40"/>
                <w:sz w:val="16"/>
              </w:rPr>
              <w:t> </w:t>
            </w:r>
            <w:r>
              <w:rPr>
                <w:sz w:val="16"/>
              </w:rPr>
              <w:t>completed</w:t>
            </w:r>
            <w:r>
              <w:rPr>
                <w:spacing w:val="-7"/>
                <w:sz w:val="16"/>
              </w:rPr>
              <w:t> </w:t>
            </w:r>
            <w:r>
              <w:rPr>
                <w:sz w:val="16"/>
              </w:rPr>
              <w:t>(10%)</w:t>
            </w:r>
          </w:p>
        </w:tc>
        <w:tc>
          <w:tcPr>
            <w:tcW w:w="1460" w:type="dxa"/>
            <w:shd w:val="clear" w:color="auto" w:fill="FFC000"/>
          </w:tcPr>
          <w:p>
            <w:pPr>
              <w:pStyle w:val="TableParagraph"/>
              <w:spacing w:line="194" w:lineRule="exact"/>
              <w:ind w:left="347" w:right="339"/>
              <w:jc w:val="center"/>
              <w:rPr>
                <w:sz w:val="16"/>
              </w:rPr>
            </w:pPr>
            <w:r>
              <w:rPr>
                <w:sz w:val="16"/>
              </w:rPr>
              <w:t>20%</w:t>
            </w:r>
            <w:r>
              <w:rPr>
                <w:spacing w:val="-2"/>
                <w:sz w:val="16"/>
              </w:rPr>
              <w:t> </w:t>
            </w:r>
            <w:r>
              <w:rPr>
                <w:sz w:val="16"/>
              </w:rPr>
              <w:t>(of</w:t>
            </w:r>
            <w:r>
              <w:rPr>
                <w:spacing w:val="-1"/>
                <w:sz w:val="16"/>
              </w:rPr>
              <w:t> </w:t>
            </w:r>
            <w:r>
              <w:rPr>
                <w:spacing w:val="-5"/>
                <w:sz w:val="16"/>
              </w:rPr>
              <w:t>90)</w:t>
            </w:r>
          </w:p>
        </w:tc>
        <w:tc>
          <w:tcPr>
            <w:tcW w:w="1441" w:type="dxa"/>
          </w:tcPr>
          <w:p>
            <w:pPr>
              <w:pStyle w:val="TableParagraph"/>
              <w:tabs>
                <w:tab w:pos="883" w:val="left" w:leader="none"/>
              </w:tabs>
              <w:spacing w:line="194" w:lineRule="exact"/>
              <w:ind w:left="261"/>
              <w:rPr>
                <w:sz w:val="16"/>
              </w:rPr>
            </w:pPr>
            <w:r>
              <w:rPr>
                <w:spacing w:val="-10"/>
                <w:sz w:val="16"/>
              </w:rPr>
              <w:t>$</w:t>
            </w:r>
            <w:r>
              <w:rPr>
                <w:sz w:val="16"/>
              </w:rPr>
              <w:tab/>
            </w:r>
            <w:r>
              <w:rPr>
                <w:spacing w:val="-2"/>
                <w:sz w:val="16"/>
              </w:rPr>
              <w:t>20,571</w:t>
            </w:r>
          </w:p>
        </w:tc>
      </w:tr>
      <w:tr>
        <w:trPr>
          <w:trHeight w:val="976" w:hRule="atLeast"/>
        </w:trPr>
        <w:tc>
          <w:tcPr>
            <w:tcW w:w="1130" w:type="dxa"/>
            <w:vMerge/>
            <w:tcBorders>
              <w:top w:val="nil"/>
            </w:tcBorders>
          </w:tcPr>
          <w:p>
            <w:pPr>
              <w:rPr>
                <w:sz w:val="2"/>
                <w:szCs w:val="2"/>
              </w:rPr>
            </w:pPr>
          </w:p>
        </w:tc>
        <w:tc>
          <w:tcPr>
            <w:tcW w:w="1551" w:type="dxa"/>
            <w:vMerge/>
            <w:tcBorders>
              <w:top w:val="nil"/>
            </w:tcBorders>
          </w:tcPr>
          <w:p>
            <w:pPr>
              <w:rPr>
                <w:sz w:val="2"/>
                <w:szCs w:val="2"/>
              </w:rPr>
            </w:pPr>
          </w:p>
        </w:tc>
        <w:tc>
          <w:tcPr>
            <w:tcW w:w="1930" w:type="dxa"/>
          </w:tcPr>
          <w:p>
            <w:pPr>
              <w:pStyle w:val="TableParagraph"/>
              <w:ind w:left="108"/>
              <w:rPr>
                <w:sz w:val="16"/>
              </w:rPr>
            </w:pPr>
            <w:r>
              <w:rPr>
                <w:sz w:val="16"/>
              </w:rPr>
              <w:t>1.1.2</w:t>
            </w:r>
            <w:r>
              <w:rPr>
                <w:spacing w:val="40"/>
                <w:sz w:val="16"/>
              </w:rPr>
              <w:t> </w:t>
            </w:r>
            <w:r>
              <w:rPr>
                <w:sz w:val="16"/>
              </w:rPr>
              <w:t>Transition</w:t>
            </w:r>
            <w:r>
              <w:rPr>
                <w:spacing w:val="-9"/>
                <w:sz w:val="16"/>
              </w:rPr>
              <w:t> </w:t>
            </w:r>
            <w:r>
              <w:rPr>
                <w:sz w:val="16"/>
              </w:rPr>
              <w:t>Rates</w:t>
            </w:r>
            <w:r>
              <w:rPr>
                <w:spacing w:val="-9"/>
                <w:sz w:val="16"/>
              </w:rPr>
              <w:t> </w:t>
            </w:r>
            <w:r>
              <w:rPr>
                <w:sz w:val="16"/>
              </w:rPr>
              <w:t>for</w:t>
            </w:r>
            <w:r>
              <w:rPr>
                <w:spacing w:val="40"/>
                <w:sz w:val="16"/>
              </w:rPr>
              <w:t> </w:t>
            </w:r>
            <w:r>
              <w:rPr>
                <w:sz w:val="16"/>
              </w:rPr>
              <w:t>year 6 to 7 and year 9 to</w:t>
            </w:r>
          </w:p>
          <w:p>
            <w:pPr>
              <w:pStyle w:val="TableParagraph"/>
              <w:ind w:left="108" w:right="94"/>
              <w:rPr>
                <w:sz w:val="16"/>
              </w:rPr>
            </w:pPr>
            <w:r>
              <w:rPr>
                <w:sz w:val="16"/>
              </w:rPr>
              <w:t>10</w:t>
            </w:r>
            <w:r>
              <w:rPr>
                <w:spacing w:val="-1"/>
                <w:sz w:val="16"/>
              </w:rPr>
              <w:t> </w:t>
            </w:r>
            <w:r>
              <w:rPr>
                <w:sz w:val="16"/>
              </w:rPr>
              <w:t>from 2017 to</w:t>
            </w:r>
            <w:r>
              <w:rPr>
                <w:spacing w:val="-1"/>
                <w:sz w:val="16"/>
              </w:rPr>
              <w:t> </w:t>
            </w:r>
            <w:r>
              <w:rPr>
                <w:sz w:val="16"/>
              </w:rPr>
              <w:t>2018</w:t>
            </w:r>
            <w:r>
              <w:rPr>
                <w:spacing w:val="40"/>
                <w:sz w:val="16"/>
              </w:rPr>
              <w:t> </w:t>
            </w:r>
            <w:r>
              <w:rPr>
                <w:sz w:val="16"/>
              </w:rPr>
              <w:t>show</w:t>
            </w:r>
            <w:r>
              <w:rPr>
                <w:spacing w:val="-6"/>
                <w:sz w:val="16"/>
              </w:rPr>
              <w:t> </w:t>
            </w:r>
            <w:r>
              <w:rPr>
                <w:sz w:val="16"/>
              </w:rPr>
              <w:t>an</w:t>
            </w:r>
            <w:r>
              <w:rPr>
                <w:spacing w:val="-5"/>
                <w:sz w:val="16"/>
              </w:rPr>
              <w:t> </w:t>
            </w:r>
            <w:r>
              <w:rPr>
                <w:sz w:val="16"/>
              </w:rPr>
              <w:t>increase</w:t>
            </w:r>
            <w:r>
              <w:rPr>
                <w:spacing w:val="-4"/>
                <w:sz w:val="16"/>
              </w:rPr>
              <w:t> </w:t>
            </w:r>
            <w:r>
              <w:rPr>
                <w:spacing w:val="-4"/>
                <w:sz w:val="16"/>
              </w:rPr>
              <w:t>over</w:t>
            </w:r>
          </w:p>
          <w:p>
            <w:pPr>
              <w:pStyle w:val="TableParagraph"/>
              <w:spacing w:line="176" w:lineRule="exact"/>
              <w:ind w:left="108"/>
              <w:rPr>
                <w:sz w:val="16"/>
              </w:rPr>
            </w:pPr>
            <w:r>
              <w:rPr>
                <w:spacing w:val="-2"/>
                <w:sz w:val="16"/>
              </w:rPr>
              <w:t>2016-</w:t>
            </w:r>
            <w:r>
              <w:rPr>
                <w:spacing w:val="-4"/>
                <w:sz w:val="16"/>
              </w:rPr>
              <w:t>2017</w:t>
            </w:r>
          </w:p>
        </w:tc>
        <w:tc>
          <w:tcPr>
            <w:tcW w:w="1985" w:type="dxa"/>
          </w:tcPr>
          <w:p>
            <w:pPr>
              <w:pStyle w:val="TableParagraph"/>
              <w:ind w:left="108" w:right="142"/>
              <w:rPr>
                <w:sz w:val="16"/>
              </w:rPr>
            </w:pPr>
            <w:r>
              <w:rPr>
                <w:sz w:val="16"/>
              </w:rPr>
              <w:t>Transition</w:t>
            </w:r>
            <w:r>
              <w:rPr>
                <w:spacing w:val="-10"/>
                <w:sz w:val="16"/>
              </w:rPr>
              <w:t> </w:t>
            </w:r>
            <w:r>
              <w:rPr>
                <w:sz w:val="16"/>
              </w:rPr>
              <w:t>Rates</w:t>
            </w:r>
            <w:r>
              <w:rPr>
                <w:spacing w:val="-9"/>
                <w:sz w:val="16"/>
              </w:rPr>
              <w:t> </w:t>
            </w:r>
            <w:r>
              <w:rPr>
                <w:sz w:val="16"/>
              </w:rPr>
              <w:t>increase</w:t>
            </w:r>
            <w:r>
              <w:rPr>
                <w:spacing w:val="40"/>
                <w:sz w:val="16"/>
              </w:rPr>
              <w:t> </w:t>
            </w:r>
            <w:r>
              <w:rPr>
                <w:sz w:val="16"/>
              </w:rPr>
              <w:t>(10%) (as per Annual</w:t>
            </w:r>
            <w:r>
              <w:rPr>
                <w:spacing w:val="40"/>
                <w:sz w:val="16"/>
              </w:rPr>
              <w:t> </w:t>
            </w:r>
            <w:r>
              <w:rPr>
                <w:sz w:val="16"/>
              </w:rPr>
              <w:t>Report</w:t>
            </w:r>
            <w:r>
              <w:rPr>
                <w:spacing w:val="-7"/>
                <w:sz w:val="16"/>
              </w:rPr>
              <w:t> </w:t>
            </w:r>
            <w:r>
              <w:rPr>
                <w:sz w:val="16"/>
              </w:rPr>
              <w:t>2018)</w:t>
            </w:r>
          </w:p>
        </w:tc>
        <w:tc>
          <w:tcPr>
            <w:tcW w:w="1460" w:type="dxa"/>
            <w:shd w:val="clear" w:color="auto" w:fill="FF0000"/>
          </w:tcPr>
          <w:p>
            <w:pPr>
              <w:pStyle w:val="TableParagraph"/>
              <w:spacing w:line="194" w:lineRule="exact"/>
              <w:ind w:left="10"/>
              <w:jc w:val="center"/>
              <w:rPr>
                <w:sz w:val="16"/>
              </w:rPr>
            </w:pPr>
            <w:r>
              <w:rPr>
                <w:w w:val="100"/>
                <w:sz w:val="16"/>
              </w:rPr>
              <w:t>0</w:t>
            </w:r>
          </w:p>
        </w:tc>
        <w:tc>
          <w:tcPr>
            <w:tcW w:w="1441" w:type="dxa"/>
          </w:tcPr>
          <w:p>
            <w:pPr>
              <w:pStyle w:val="TableParagraph"/>
              <w:tabs>
                <w:tab w:pos="1149" w:val="left" w:leader="none"/>
              </w:tabs>
              <w:spacing w:line="194" w:lineRule="exact"/>
              <w:ind w:left="239"/>
              <w:rPr>
                <w:sz w:val="16"/>
              </w:rPr>
            </w:pPr>
            <w:r>
              <w:rPr>
                <w:spacing w:val="-10"/>
                <w:sz w:val="16"/>
              </w:rPr>
              <w:t>$</w:t>
            </w:r>
            <w:r>
              <w:rPr>
                <w:sz w:val="16"/>
              </w:rPr>
              <w:tab/>
            </w:r>
            <w:r>
              <w:rPr>
                <w:spacing w:val="-10"/>
                <w:sz w:val="16"/>
              </w:rPr>
              <w:t>-</w:t>
            </w:r>
          </w:p>
        </w:tc>
      </w:tr>
      <w:tr>
        <w:trPr>
          <w:trHeight w:val="1170" w:hRule="atLeast"/>
        </w:trPr>
        <w:tc>
          <w:tcPr>
            <w:tcW w:w="1130" w:type="dxa"/>
            <w:vMerge w:val="restart"/>
          </w:tcPr>
          <w:p>
            <w:pPr>
              <w:pStyle w:val="TableParagraph"/>
              <w:ind w:left="107" w:right="286"/>
              <w:rPr>
                <w:b/>
                <w:sz w:val="16"/>
              </w:rPr>
            </w:pPr>
            <w:r>
              <w:rPr>
                <w:b/>
                <w:spacing w:val="-2"/>
                <w:sz w:val="16"/>
              </w:rPr>
              <w:t>ACCESS</w:t>
            </w:r>
            <w:r>
              <w:rPr>
                <w:b/>
                <w:spacing w:val="40"/>
                <w:sz w:val="16"/>
              </w:rPr>
              <w:t> </w:t>
            </w:r>
            <w:r>
              <w:rPr>
                <w:b/>
                <w:sz w:val="16"/>
              </w:rPr>
              <w:t>EO1</w:t>
            </w:r>
            <w:r>
              <w:rPr>
                <w:b/>
                <w:spacing w:val="-1"/>
                <w:sz w:val="16"/>
              </w:rPr>
              <w:t> </w:t>
            </w:r>
            <w:r>
              <w:rPr>
                <w:b/>
                <w:spacing w:val="-4"/>
                <w:sz w:val="16"/>
              </w:rPr>
              <w:t>(65)</w:t>
            </w:r>
          </w:p>
        </w:tc>
        <w:tc>
          <w:tcPr>
            <w:tcW w:w="1551" w:type="dxa"/>
            <w:vMerge w:val="restart"/>
          </w:tcPr>
          <w:p>
            <w:pPr>
              <w:pStyle w:val="TableParagraph"/>
              <w:ind w:left="105" w:right="337"/>
              <w:rPr>
                <w:b/>
                <w:sz w:val="16"/>
              </w:rPr>
            </w:pPr>
            <w:r>
              <w:rPr>
                <w:b/>
                <w:sz w:val="16"/>
              </w:rPr>
              <w:t>1.2 Safe and</w:t>
            </w:r>
            <w:r>
              <w:rPr>
                <w:b/>
                <w:spacing w:val="40"/>
                <w:sz w:val="16"/>
              </w:rPr>
              <w:t> </w:t>
            </w:r>
            <w:r>
              <w:rPr>
                <w:b/>
                <w:sz w:val="16"/>
              </w:rPr>
              <w:t>equitable</w:t>
            </w:r>
            <w:r>
              <w:rPr>
                <w:b/>
                <w:spacing w:val="-10"/>
                <w:sz w:val="16"/>
              </w:rPr>
              <w:t> </w:t>
            </w:r>
            <w:r>
              <w:rPr>
                <w:b/>
                <w:sz w:val="16"/>
              </w:rPr>
              <w:t>access</w:t>
            </w:r>
          </w:p>
        </w:tc>
        <w:tc>
          <w:tcPr>
            <w:tcW w:w="1930" w:type="dxa"/>
          </w:tcPr>
          <w:p>
            <w:pPr>
              <w:pStyle w:val="TableParagraph"/>
              <w:ind w:left="108"/>
              <w:rPr>
                <w:sz w:val="16"/>
              </w:rPr>
            </w:pPr>
            <w:r>
              <w:rPr>
                <w:sz w:val="16"/>
              </w:rPr>
              <w:t>1.2.1</w:t>
            </w:r>
            <w:r>
              <w:rPr>
                <w:spacing w:val="57"/>
                <w:sz w:val="16"/>
              </w:rPr>
              <w:t> </w:t>
            </w:r>
            <w:r>
              <w:rPr>
                <w:sz w:val="16"/>
              </w:rPr>
              <w:t>By</w:t>
            </w:r>
            <w:r>
              <w:rPr>
                <w:spacing w:val="-6"/>
                <w:sz w:val="16"/>
              </w:rPr>
              <w:t> </w:t>
            </w:r>
            <w:r>
              <w:rPr>
                <w:sz w:val="16"/>
              </w:rPr>
              <w:t>the</w:t>
            </w:r>
            <w:r>
              <w:rPr>
                <w:spacing w:val="-7"/>
                <w:sz w:val="16"/>
              </w:rPr>
              <w:t> </w:t>
            </w:r>
            <w:r>
              <w:rPr>
                <w:sz w:val="16"/>
              </w:rPr>
              <w:t>end</w:t>
            </w:r>
            <w:r>
              <w:rPr>
                <w:spacing w:val="-6"/>
                <w:sz w:val="16"/>
              </w:rPr>
              <w:t> </w:t>
            </w:r>
            <w:r>
              <w:rPr>
                <w:sz w:val="16"/>
              </w:rPr>
              <w:t>of</w:t>
            </w:r>
            <w:r>
              <w:rPr>
                <w:spacing w:val="-6"/>
                <w:sz w:val="16"/>
              </w:rPr>
              <w:t> </w:t>
            </w:r>
            <w:r>
              <w:rPr>
                <w:sz w:val="16"/>
              </w:rPr>
              <w:t>2018,</w:t>
            </w:r>
            <w:r>
              <w:rPr>
                <w:spacing w:val="40"/>
                <w:sz w:val="16"/>
              </w:rPr>
              <w:t> </w:t>
            </w:r>
            <w:r>
              <w:rPr>
                <w:sz w:val="16"/>
              </w:rPr>
              <w:t>Gender Equality in</w:t>
            </w:r>
            <w:r>
              <w:rPr>
                <w:spacing w:val="40"/>
                <w:sz w:val="16"/>
              </w:rPr>
              <w:t> </w:t>
            </w:r>
            <w:r>
              <w:rPr>
                <w:sz w:val="16"/>
              </w:rPr>
              <w:t>Education Policy –</w:t>
            </w:r>
            <w:r>
              <w:rPr>
                <w:spacing w:val="40"/>
                <w:sz w:val="16"/>
              </w:rPr>
              <w:t> </w:t>
            </w:r>
            <w:r>
              <w:rPr>
                <w:sz w:val="16"/>
              </w:rPr>
              <w:t>implementation</w:t>
            </w:r>
            <w:r>
              <w:rPr>
                <w:spacing w:val="-7"/>
                <w:sz w:val="16"/>
              </w:rPr>
              <w:t> </w:t>
            </w:r>
            <w:r>
              <w:rPr>
                <w:sz w:val="16"/>
              </w:rPr>
              <w:t>strategy</w:t>
            </w:r>
            <w:r>
              <w:rPr>
                <w:spacing w:val="40"/>
                <w:sz w:val="16"/>
              </w:rPr>
              <w:t> </w:t>
            </w:r>
            <w:r>
              <w:rPr>
                <w:sz w:val="16"/>
              </w:rPr>
              <w:t>costed and approved by</w:t>
            </w:r>
          </w:p>
          <w:p>
            <w:pPr>
              <w:pStyle w:val="TableParagraph"/>
              <w:spacing w:line="175" w:lineRule="exact"/>
              <w:ind w:left="108"/>
              <w:rPr>
                <w:sz w:val="16"/>
              </w:rPr>
            </w:pPr>
            <w:r>
              <w:rPr>
                <w:spacing w:val="-5"/>
                <w:sz w:val="16"/>
              </w:rPr>
              <w:t>NEB</w:t>
            </w:r>
          </w:p>
        </w:tc>
        <w:tc>
          <w:tcPr>
            <w:tcW w:w="1985" w:type="dxa"/>
          </w:tcPr>
          <w:p>
            <w:pPr>
              <w:pStyle w:val="TableParagraph"/>
              <w:ind w:left="108" w:right="142"/>
              <w:rPr>
                <w:sz w:val="16"/>
              </w:rPr>
            </w:pPr>
            <w:r>
              <w:rPr>
                <w:sz w:val="16"/>
              </w:rPr>
              <w:t>A</w:t>
            </w:r>
            <w:r>
              <w:rPr>
                <w:spacing w:val="-10"/>
                <w:sz w:val="16"/>
              </w:rPr>
              <w:t> </w:t>
            </w:r>
            <w:r>
              <w:rPr>
                <w:sz w:val="16"/>
              </w:rPr>
              <w:t>quality</w:t>
            </w:r>
            <w:r>
              <w:rPr>
                <w:spacing w:val="-9"/>
                <w:sz w:val="16"/>
              </w:rPr>
              <w:t> </w:t>
            </w:r>
            <w:r>
              <w:rPr>
                <w:sz w:val="16"/>
              </w:rPr>
              <w:t>Gender</w:t>
            </w:r>
            <w:r>
              <w:rPr>
                <w:spacing w:val="-9"/>
                <w:sz w:val="16"/>
              </w:rPr>
              <w:t> </w:t>
            </w:r>
            <w:r>
              <w:rPr>
                <w:sz w:val="16"/>
              </w:rPr>
              <w:t>Equality</w:t>
            </w:r>
            <w:r>
              <w:rPr>
                <w:spacing w:val="40"/>
                <w:sz w:val="16"/>
              </w:rPr>
              <w:t> </w:t>
            </w:r>
            <w:r>
              <w:rPr>
                <w:sz w:val="16"/>
              </w:rPr>
              <w:t>in Education Policy –</w:t>
            </w:r>
            <w:r>
              <w:rPr>
                <w:spacing w:val="40"/>
                <w:sz w:val="16"/>
              </w:rPr>
              <w:t> </w:t>
            </w:r>
            <w:r>
              <w:rPr>
                <w:sz w:val="16"/>
              </w:rPr>
              <w:t>implementation</w:t>
            </w:r>
            <w:r>
              <w:rPr>
                <w:spacing w:val="-7"/>
                <w:sz w:val="16"/>
              </w:rPr>
              <w:t> </w:t>
            </w:r>
            <w:r>
              <w:rPr>
                <w:sz w:val="16"/>
              </w:rPr>
              <w:t>strategy</w:t>
            </w:r>
            <w:r>
              <w:rPr>
                <w:spacing w:val="40"/>
                <w:sz w:val="16"/>
              </w:rPr>
              <w:t> </w:t>
            </w:r>
            <w:r>
              <w:rPr>
                <w:sz w:val="16"/>
              </w:rPr>
              <w:t>costed (30%) and NEB</w:t>
            </w:r>
            <w:r>
              <w:rPr>
                <w:spacing w:val="40"/>
                <w:sz w:val="16"/>
              </w:rPr>
              <w:t> </w:t>
            </w:r>
            <w:r>
              <w:rPr>
                <w:sz w:val="16"/>
              </w:rPr>
              <w:t>endorsement</w:t>
            </w:r>
            <w:r>
              <w:rPr>
                <w:spacing w:val="-9"/>
                <w:sz w:val="16"/>
              </w:rPr>
              <w:t> </w:t>
            </w:r>
            <w:r>
              <w:rPr>
                <w:sz w:val="16"/>
              </w:rPr>
              <w:t>minute</w:t>
            </w:r>
          </w:p>
          <w:p>
            <w:pPr>
              <w:pStyle w:val="TableParagraph"/>
              <w:spacing w:line="175" w:lineRule="exact"/>
              <w:ind w:left="108"/>
              <w:rPr>
                <w:sz w:val="16"/>
              </w:rPr>
            </w:pPr>
            <w:r>
              <w:rPr>
                <w:spacing w:val="-2"/>
                <w:sz w:val="16"/>
              </w:rPr>
              <w:t>(30%)</w:t>
            </w:r>
          </w:p>
        </w:tc>
        <w:tc>
          <w:tcPr>
            <w:tcW w:w="1460" w:type="dxa"/>
            <w:shd w:val="clear" w:color="auto" w:fill="FFC000"/>
          </w:tcPr>
          <w:p>
            <w:pPr>
              <w:pStyle w:val="TableParagraph"/>
              <w:spacing w:line="194" w:lineRule="exact"/>
              <w:ind w:left="347" w:right="339"/>
              <w:jc w:val="center"/>
              <w:rPr>
                <w:sz w:val="16"/>
              </w:rPr>
            </w:pPr>
            <w:r>
              <w:rPr>
                <w:sz w:val="16"/>
              </w:rPr>
              <w:t>20%</w:t>
            </w:r>
            <w:r>
              <w:rPr>
                <w:spacing w:val="-2"/>
                <w:sz w:val="16"/>
              </w:rPr>
              <w:t> </w:t>
            </w:r>
            <w:r>
              <w:rPr>
                <w:sz w:val="16"/>
              </w:rPr>
              <w:t>(of</w:t>
            </w:r>
            <w:r>
              <w:rPr>
                <w:spacing w:val="-1"/>
                <w:sz w:val="16"/>
              </w:rPr>
              <w:t> </w:t>
            </w:r>
            <w:r>
              <w:rPr>
                <w:spacing w:val="-5"/>
                <w:sz w:val="16"/>
              </w:rPr>
              <w:t>60)</w:t>
            </w:r>
          </w:p>
        </w:tc>
        <w:tc>
          <w:tcPr>
            <w:tcW w:w="1441" w:type="dxa"/>
          </w:tcPr>
          <w:p>
            <w:pPr>
              <w:pStyle w:val="TableParagraph"/>
              <w:tabs>
                <w:tab w:pos="882" w:val="left" w:leader="none"/>
              </w:tabs>
              <w:spacing w:line="194" w:lineRule="exact"/>
              <w:ind w:left="261"/>
              <w:rPr>
                <w:sz w:val="16"/>
              </w:rPr>
            </w:pPr>
            <w:r>
              <w:rPr>
                <w:spacing w:val="-10"/>
                <w:sz w:val="16"/>
              </w:rPr>
              <w:t>$</w:t>
            </w:r>
            <w:r>
              <w:rPr>
                <w:sz w:val="16"/>
              </w:rPr>
              <w:tab/>
            </w:r>
            <w:r>
              <w:rPr>
                <w:spacing w:val="-2"/>
                <w:sz w:val="16"/>
              </w:rPr>
              <w:t>13,714</w:t>
            </w:r>
          </w:p>
        </w:tc>
      </w:tr>
      <w:tr>
        <w:trPr>
          <w:trHeight w:val="1173" w:hRule="atLeast"/>
        </w:trPr>
        <w:tc>
          <w:tcPr>
            <w:tcW w:w="1130" w:type="dxa"/>
            <w:vMerge/>
            <w:tcBorders>
              <w:top w:val="nil"/>
            </w:tcBorders>
          </w:tcPr>
          <w:p>
            <w:pPr>
              <w:rPr>
                <w:sz w:val="2"/>
                <w:szCs w:val="2"/>
              </w:rPr>
            </w:pPr>
          </w:p>
        </w:tc>
        <w:tc>
          <w:tcPr>
            <w:tcW w:w="1551" w:type="dxa"/>
            <w:vMerge/>
            <w:tcBorders>
              <w:top w:val="nil"/>
            </w:tcBorders>
          </w:tcPr>
          <w:p>
            <w:pPr>
              <w:rPr>
                <w:sz w:val="2"/>
                <w:szCs w:val="2"/>
              </w:rPr>
            </w:pPr>
          </w:p>
        </w:tc>
        <w:tc>
          <w:tcPr>
            <w:tcW w:w="1930" w:type="dxa"/>
          </w:tcPr>
          <w:p>
            <w:pPr>
              <w:pStyle w:val="TableParagraph"/>
              <w:spacing w:before="1"/>
              <w:ind w:left="108" w:right="94"/>
              <w:rPr>
                <w:sz w:val="16"/>
              </w:rPr>
            </w:pPr>
            <w:r>
              <w:rPr>
                <w:sz w:val="16"/>
              </w:rPr>
              <w:t>1.2.2</w:t>
            </w:r>
            <w:r>
              <w:rPr>
                <w:spacing w:val="57"/>
                <w:sz w:val="16"/>
              </w:rPr>
              <w:t> </w:t>
            </w:r>
            <w:r>
              <w:rPr>
                <w:sz w:val="16"/>
              </w:rPr>
              <w:t>By</w:t>
            </w:r>
            <w:r>
              <w:rPr>
                <w:spacing w:val="-6"/>
                <w:sz w:val="16"/>
              </w:rPr>
              <w:t> </w:t>
            </w:r>
            <w:r>
              <w:rPr>
                <w:sz w:val="16"/>
              </w:rPr>
              <w:t>the</w:t>
            </w:r>
            <w:r>
              <w:rPr>
                <w:spacing w:val="-7"/>
                <w:sz w:val="16"/>
              </w:rPr>
              <w:t> </w:t>
            </w:r>
            <w:r>
              <w:rPr>
                <w:sz w:val="16"/>
              </w:rPr>
              <w:t>end</w:t>
            </w:r>
            <w:r>
              <w:rPr>
                <w:spacing w:val="-6"/>
                <w:sz w:val="16"/>
              </w:rPr>
              <w:t> </w:t>
            </w:r>
            <w:r>
              <w:rPr>
                <w:sz w:val="16"/>
              </w:rPr>
              <w:t>of</w:t>
            </w:r>
            <w:r>
              <w:rPr>
                <w:spacing w:val="-6"/>
                <w:sz w:val="16"/>
              </w:rPr>
              <w:t> </w:t>
            </w:r>
            <w:r>
              <w:rPr>
                <w:sz w:val="16"/>
              </w:rPr>
              <w:t>2018,</w:t>
            </w:r>
            <w:r>
              <w:rPr>
                <w:spacing w:val="40"/>
                <w:sz w:val="16"/>
              </w:rPr>
              <w:t> </w:t>
            </w:r>
            <w:r>
              <w:rPr>
                <w:sz w:val="16"/>
              </w:rPr>
              <w:t>Child Protection Policy</w:t>
            </w:r>
            <w:r>
              <w:rPr>
                <w:spacing w:val="40"/>
                <w:sz w:val="16"/>
              </w:rPr>
              <w:t> </w:t>
            </w:r>
            <w:r>
              <w:rPr>
                <w:sz w:val="16"/>
              </w:rPr>
              <w:t>consulted on and revised</w:t>
            </w:r>
            <w:r>
              <w:rPr>
                <w:spacing w:val="40"/>
                <w:sz w:val="16"/>
              </w:rPr>
              <w:t> </w:t>
            </w:r>
            <w:r>
              <w:rPr>
                <w:sz w:val="16"/>
              </w:rPr>
              <w:t>in light of consultations</w:t>
            </w:r>
          </w:p>
        </w:tc>
        <w:tc>
          <w:tcPr>
            <w:tcW w:w="1985" w:type="dxa"/>
          </w:tcPr>
          <w:p>
            <w:pPr>
              <w:pStyle w:val="TableParagraph"/>
              <w:spacing w:before="1"/>
              <w:ind w:left="108" w:firstLine="40"/>
              <w:rPr>
                <w:sz w:val="16"/>
              </w:rPr>
            </w:pPr>
            <w:r>
              <w:rPr>
                <w:sz w:val="16"/>
              </w:rPr>
              <w:t>A</w:t>
            </w:r>
            <w:r>
              <w:rPr>
                <w:spacing w:val="-10"/>
                <w:sz w:val="16"/>
              </w:rPr>
              <w:t> </w:t>
            </w:r>
            <w:r>
              <w:rPr>
                <w:sz w:val="16"/>
              </w:rPr>
              <w:t>quality</w:t>
            </w:r>
            <w:r>
              <w:rPr>
                <w:spacing w:val="-9"/>
                <w:sz w:val="16"/>
              </w:rPr>
              <w:t> </w:t>
            </w:r>
            <w:r>
              <w:rPr>
                <w:sz w:val="16"/>
              </w:rPr>
              <w:t>Child</w:t>
            </w:r>
            <w:r>
              <w:rPr>
                <w:spacing w:val="-9"/>
                <w:sz w:val="16"/>
              </w:rPr>
              <w:t> </w:t>
            </w:r>
            <w:r>
              <w:rPr>
                <w:sz w:val="16"/>
              </w:rPr>
              <w:t>Protection</w:t>
            </w:r>
            <w:r>
              <w:rPr>
                <w:spacing w:val="40"/>
                <w:sz w:val="16"/>
              </w:rPr>
              <w:t> </w:t>
            </w:r>
            <w:r>
              <w:rPr>
                <w:sz w:val="16"/>
              </w:rPr>
              <w:t>Policy consulted with</w:t>
            </w:r>
            <w:r>
              <w:rPr>
                <w:spacing w:val="40"/>
                <w:sz w:val="16"/>
              </w:rPr>
              <w:t> </w:t>
            </w:r>
            <w:r>
              <w:rPr>
                <w:sz w:val="16"/>
              </w:rPr>
              <w:t>selected EAs and schools</w:t>
            </w:r>
            <w:r>
              <w:rPr>
                <w:spacing w:val="40"/>
                <w:sz w:val="16"/>
              </w:rPr>
              <w:t> </w:t>
            </w:r>
            <w:r>
              <w:rPr>
                <w:sz w:val="16"/>
              </w:rPr>
              <w:t>(30%)</w:t>
            </w:r>
            <w:r>
              <w:rPr>
                <w:spacing w:val="-6"/>
                <w:sz w:val="16"/>
              </w:rPr>
              <w:t> </w:t>
            </w:r>
            <w:r>
              <w:rPr>
                <w:sz w:val="16"/>
              </w:rPr>
              <w:t>and</w:t>
            </w:r>
            <w:r>
              <w:rPr>
                <w:spacing w:val="-6"/>
                <w:sz w:val="16"/>
              </w:rPr>
              <w:t> </w:t>
            </w:r>
            <w:r>
              <w:rPr>
                <w:sz w:val="16"/>
              </w:rPr>
              <w:t>revisions</w:t>
            </w:r>
            <w:r>
              <w:rPr>
                <w:spacing w:val="-6"/>
                <w:sz w:val="16"/>
              </w:rPr>
              <w:t> </w:t>
            </w:r>
            <w:r>
              <w:rPr>
                <w:sz w:val="16"/>
              </w:rPr>
              <w:t>made</w:t>
            </w:r>
            <w:r>
              <w:rPr>
                <w:spacing w:val="40"/>
                <w:sz w:val="16"/>
              </w:rPr>
              <w:t> </w:t>
            </w:r>
            <w:r>
              <w:rPr>
                <w:sz w:val="16"/>
              </w:rPr>
              <w:t>based on consultations</w:t>
            </w:r>
          </w:p>
          <w:p>
            <w:pPr>
              <w:pStyle w:val="TableParagraph"/>
              <w:spacing w:line="176" w:lineRule="exact"/>
              <w:ind w:left="108"/>
              <w:rPr>
                <w:sz w:val="16"/>
              </w:rPr>
            </w:pPr>
            <w:r>
              <w:rPr>
                <w:spacing w:val="-2"/>
                <w:sz w:val="16"/>
              </w:rPr>
              <w:t>(10%)</w:t>
            </w:r>
          </w:p>
        </w:tc>
        <w:tc>
          <w:tcPr>
            <w:tcW w:w="1460" w:type="dxa"/>
            <w:shd w:val="clear" w:color="auto" w:fill="FFC000"/>
          </w:tcPr>
          <w:p>
            <w:pPr>
              <w:pStyle w:val="TableParagraph"/>
              <w:spacing w:line="195" w:lineRule="exact" w:before="1"/>
              <w:ind w:left="317"/>
              <w:rPr>
                <w:sz w:val="16"/>
              </w:rPr>
            </w:pPr>
            <w:r>
              <w:rPr>
                <w:sz w:val="16"/>
              </w:rPr>
              <w:t>100%</w:t>
            </w:r>
            <w:r>
              <w:rPr>
                <w:spacing w:val="-2"/>
                <w:sz w:val="16"/>
              </w:rPr>
              <w:t> </w:t>
            </w:r>
            <w:r>
              <w:rPr>
                <w:sz w:val="16"/>
              </w:rPr>
              <w:t>(of</w:t>
            </w:r>
            <w:r>
              <w:rPr>
                <w:spacing w:val="-1"/>
                <w:sz w:val="16"/>
              </w:rPr>
              <w:t> </w:t>
            </w:r>
            <w:r>
              <w:rPr>
                <w:spacing w:val="-5"/>
                <w:sz w:val="16"/>
              </w:rPr>
              <w:t>30)</w:t>
            </w:r>
          </w:p>
          <w:p>
            <w:pPr>
              <w:pStyle w:val="TableParagraph"/>
              <w:spacing w:line="195" w:lineRule="exact"/>
              <w:ind w:left="300"/>
              <w:rPr>
                <w:sz w:val="16"/>
              </w:rPr>
            </w:pPr>
            <w:r>
              <w:rPr>
                <w:sz w:val="16"/>
              </w:rPr>
              <w:t>+</w:t>
            </w:r>
            <w:r>
              <w:rPr>
                <w:spacing w:val="-2"/>
                <w:sz w:val="16"/>
              </w:rPr>
              <w:t> </w:t>
            </w:r>
            <w:r>
              <w:rPr>
                <w:sz w:val="16"/>
              </w:rPr>
              <w:t>40%</w:t>
            </w:r>
            <w:r>
              <w:rPr>
                <w:spacing w:val="-1"/>
                <w:sz w:val="16"/>
              </w:rPr>
              <w:t> </w:t>
            </w:r>
            <w:r>
              <w:rPr>
                <w:sz w:val="16"/>
              </w:rPr>
              <w:t>(of</w:t>
            </w:r>
            <w:r>
              <w:rPr>
                <w:spacing w:val="-1"/>
                <w:sz w:val="16"/>
              </w:rPr>
              <w:t> </w:t>
            </w:r>
            <w:r>
              <w:rPr>
                <w:spacing w:val="-5"/>
                <w:sz w:val="16"/>
              </w:rPr>
              <w:t>10)</w:t>
            </w:r>
          </w:p>
        </w:tc>
        <w:tc>
          <w:tcPr>
            <w:tcW w:w="1441" w:type="dxa"/>
          </w:tcPr>
          <w:p>
            <w:pPr>
              <w:pStyle w:val="TableParagraph"/>
              <w:tabs>
                <w:tab w:pos="883" w:val="left" w:leader="none"/>
              </w:tabs>
              <w:spacing w:before="1"/>
              <w:ind w:left="261"/>
              <w:rPr>
                <w:sz w:val="16"/>
              </w:rPr>
            </w:pPr>
            <w:r>
              <w:rPr>
                <w:spacing w:val="-10"/>
                <w:sz w:val="16"/>
              </w:rPr>
              <w:t>$</w:t>
            </w:r>
            <w:r>
              <w:rPr>
                <w:sz w:val="16"/>
              </w:rPr>
              <w:tab/>
            </w:r>
            <w:r>
              <w:rPr>
                <w:spacing w:val="-2"/>
                <w:sz w:val="16"/>
              </w:rPr>
              <w:t>38,857</w:t>
            </w:r>
          </w:p>
        </w:tc>
      </w:tr>
    </w:tbl>
    <w:p>
      <w:pPr>
        <w:spacing w:after="0"/>
        <w:rPr>
          <w:sz w:val="16"/>
        </w:rPr>
        <w:sectPr>
          <w:headerReference w:type="default" r:id="rId9"/>
          <w:footerReference w:type="default" r:id="rId10"/>
          <w:pgSz w:w="11900" w:h="16850"/>
          <w:pgMar w:header="867" w:footer="830" w:top="1060" w:bottom="1020" w:left="1220" w:right="180"/>
          <w:pgNumType w:start="1"/>
        </w:sectPr>
      </w:pPr>
    </w:p>
    <w:p>
      <w:pPr>
        <w:pStyle w:val="BodyText"/>
        <w:rPr>
          <w:sz w:val="20"/>
        </w:rPr>
      </w:pPr>
    </w:p>
    <w:p>
      <w:pPr>
        <w:pStyle w:val="BodyText"/>
        <w:spacing w:before="11"/>
        <w:rPr>
          <w:sz w:val="26"/>
        </w:rPr>
      </w:pPr>
    </w:p>
    <w:p>
      <w:pPr>
        <w:pStyle w:val="Heading4"/>
        <w:spacing w:before="52"/>
        <w:rPr>
          <w:b w:val="0"/>
        </w:rPr>
      </w:pPr>
      <w:r>
        <w:rPr>
          <w:b w:val="0"/>
          <w:color w:val="4471C4"/>
        </w:rPr>
        <w:t>Summary</w:t>
      </w:r>
      <w:r>
        <w:rPr>
          <w:b w:val="0"/>
          <w:color w:val="4471C4"/>
          <w:spacing w:val="-2"/>
        </w:rPr>
        <w:t> </w:t>
      </w:r>
      <w:r>
        <w:rPr>
          <w:b w:val="0"/>
          <w:color w:val="4471C4"/>
        </w:rPr>
        <w:t>of Performance</w:t>
      </w:r>
      <w:r>
        <w:rPr>
          <w:b w:val="0"/>
          <w:color w:val="4471C4"/>
          <w:spacing w:val="-2"/>
        </w:rPr>
        <w:t> </w:t>
      </w:r>
      <w:r>
        <w:rPr>
          <w:b w:val="0"/>
          <w:color w:val="4471C4"/>
        </w:rPr>
        <w:t>against</w:t>
      </w:r>
      <w:r>
        <w:rPr>
          <w:b w:val="0"/>
          <w:color w:val="4471C4"/>
          <w:spacing w:val="1"/>
        </w:rPr>
        <w:t> </w:t>
      </w:r>
      <w:r>
        <w:rPr>
          <w:b w:val="0"/>
          <w:color w:val="4471C4"/>
        </w:rPr>
        <w:t>Quality</w:t>
      </w:r>
      <w:r>
        <w:rPr>
          <w:b w:val="0"/>
          <w:color w:val="4471C4"/>
          <w:spacing w:val="-1"/>
        </w:rPr>
        <w:t> </w:t>
      </w:r>
      <w:r>
        <w:rPr>
          <w:b w:val="0"/>
          <w:color w:val="4471C4"/>
          <w:spacing w:val="-2"/>
        </w:rPr>
        <w:t>Indicators</w:t>
      </w:r>
    </w:p>
    <w:p>
      <w:pPr>
        <w:pStyle w:val="BodyText"/>
        <w:spacing w:before="199"/>
        <w:ind w:left="220" w:right="1252"/>
        <w:jc w:val="both"/>
      </w:pPr>
      <w:r>
        <w:rPr/>
        <w:t>The quality indicators focussed on curriculum, teacher standards and certification, students’ literacy and numeracy,</w:t>
      </w:r>
      <w:r>
        <w:rPr>
          <w:spacing w:val="-1"/>
        </w:rPr>
        <w:t> </w:t>
      </w:r>
      <w:r>
        <w:rPr/>
        <w:t>and School</w:t>
      </w:r>
      <w:r>
        <w:rPr>
          <w:spacing w:val="-1"/>
        </w:rPr>
        <w:t> </w:t>
      </w:r>
      <w:r>
        <w:rPr/>
        <w:t>grants. There have been some positive developments</w:t>
      </w:r>
      <w:r>
        <w:rPr>
          <w:spacing w:val="-3"/>
        </w:rPr>
        <w:t> </w:t>
      </w:r>
      <w:r>
        <w:rPr/>
        <w:t>on new curriculum, increased</w:t>
      </w:r>
      <w:r>
        <w:rPr>
          <w:spacing w:val="-3"/>
        </w:rPr>
        <w:t> </w:t>
      </w:r>
      <w:r>
        <w:rPr/>
        <w:t>teacher</w:t>
      </w:r>
      <w:r>
        <w:rPr>
          <w:spacing w:val="-5"/>
        </w:rPr>
        <w:t> </w:t>
      </w:r>
      <w:r>
        <w:rPr/>
        <w:t>certification</w:t>
      </w:r>
      <w:r>
        <w:rPr>
          <w:spacing w:val="-3"/>
        </w:rPr>
        <w:t> </w:t>
      </w:r>
      <w:r>
        <w:rPr/>
        <w:t>and</w:t>
      </w:r>
      <w:r>
        <w:rPr>
          <w:spacing w:val="-3"/>
        </w:rPr>
        <w:t> </w:t>
      </w:r>
      <w:r>
        <w:rPr/>
        <w:t>clearing</w:t>
      </w:r>
      <w:r>
        <w:rPr>
          <w:spacing w:val="-3"/>
        </w:rPr>
        <w:t> </w:t>
      </w:r>
      <w:r>
        <w:rPr/>
        <w:t>a</w:t>
      </w:r>
      <w:r>
        <w:rPr>
          <w:spacing w:val="-4"/>
        </w:rPr>
        <w:t> </w:t>
      </w:r>
      <w:r>
        <w:rPr/>
        <w:t>back-log</w:t>
      </w:r>
      <w:r>
        <w:rPr>
          <w:spacing w:val="-5"/>
        </w:rPr>
        <w:t> </w:t>
      </w:r>
      <w:r>
        <w:rPr/>
        <w:t>of</w:t>
      </w:r>
      <w:r>
        <w:rPr>
          <w:spacing w:val="-1"/>
        </w:rPr>
        <w:t> </w:t>
      </w:r>
      <w:r>
        <w:rPr/>
        <w:t>teacher</w:t>
      </w:r>
      <w:r>
        <w:rPr>
          <w:spacing w:val="-4"/>
        </w:rPr>
        <w:t> </w:t>
      </w:r>
      <w:r>
        <w:rPr/>
        <w:t>appraisals.</w:t>
      </w:r>
      <w:r>
        <w:rPr>
          <w:spacing w:val="-3"/>
        </w:rPr>
        <w:t> </w:t>
      </w:r>
      <w:r>
        <w:rPr/>
        <w:t>Improvements</w:t>
      </w:r>
      <w:r>
        <w:rPr>
          <w:spacing w:val="-2"/>
        </w:rPr>
        <w:t> </w:t>
      </w:r>
      <w:r>
        <w:rPr/>
        <w:t>in</w:t>
      </w:r>
      <w:r>
        <w:rPr>
          <w:spacing w:val="-3"/>
        </w:rPr>
        <w:t> </w:t>
      </w:r>
      <w:r>
        <w:rPr/>
        <w:t>quality takes time and this was borne out in the assessment process.</w:t>
      </w:r>
    </w:p>
    <w:p>
      <w:pPr>
        <w:pStyle w:val="BodyText"/>
        <w:spacing w:before="4"/>
        <w:rPr>
          <w:sz w:val="16"/>
        </w:rPr>
      </w:pPr>
    </w:p>
    <w:p>
      <w:pPr>
        <w:pStyle w:val="BodyText"/>
        <w:ind w:left="220" w:right="1253"/>
        <w:jc w:val="both"/>
      </w:pPr>
      <w:r>
        <w:rPr/>
        <w:t>UNICEF supported MEHRD to develop and test a new improved curriculum for Pre-Primary Year (PPY). Teacher and Learner Guides for core subjects in Year 9 and Nguzu Nguzu Year 1 and 2 Maths are ready for publishing. A </w:t>
      </w:r>
      <w:r>
        <w:rPr>
          <w:i/>
        </w:rPr>
        <w:t>Five-Year Curriculum and Professional Development Plan </w:t>
      </w:r>
      <w:r>
        <w:rPr/>
        <w:t>provides a coherent framework and plan for development of remaining curricula up to 2024. A Senior Secondary Curriculum Framework has been approved by SMT. This work was completed through contracting-out of services, with positive results (the Quality Indicators show where contracting has been used there have generally been good and timely results).</w:t>
      </w:r>
    </w:p>
    <w:p>
      <w:pPr>
        <w:pStyle w:val="BodyText"/>
        <w:spacing w:before="6"/>
        <w:rPr>
          <w:sz w:val="16"/>
        </w:rPr>
      </w:pPr>
    </w:p>
    <w:p>
      <w:pPr>
        <w:pStyle w:val="BodyText"/>
        <w:spacing w:before="1"/>
        <w:ind w:left="220" w:right="1250"/>
        <w:jc w:val="both"/>
      </w:pPr>
      <w:r>
        <w:rPr/>
        <w:t>A lack of agreed and utilised standards is inhibiting education reform and improvement. Teacher standards have not been developed. However, a MFAT technical adviser is assisting with the groundwork for a new approach of teacher self-assessment. A back-log of approximately 3,000 prolonged probationer teacher appraisals was cleared in 2018. The Certificate in Teaching Primary/Secondary was conducted with 79 (31 Female and 48 Male) untrained teachers. There is a positive trend over the last three years of an increasing number of certified teachers.</w:t>
      </w:r>
    </w:p>
    <w:p>
      <w:pPr>
        <w:pStyle w:val="BodyText"/>
        <w:spacing w:before="5"/>
        <w:rPr>
          <w:sz w:val="16"/>
        </w:rPr>
      </w:pPr>
    </w:p>
    <w:p>
      <w:pPr>
        <w:pStyle w:val="BodyText"/>
        <w:ind w:left="220" w:right="1252"/>
        <w:jc w:val="both"/>
      </w:pPr>
      <w:r>
        <w:rPr/>
        <w:t>A Teacher Supply and Demand Study was not completed in 2018. This activity was delayed while awaiting the revised Teachers Service Handbook and the Teacher’s Scheme of Service, which will set a new staffing formula for all school sub sectors, revised salary grading levels based on a career progression model for teachers and subject/teacher allocations per workload for all sub sectors.</w:t>
      </w:r>
    </w:p>
    <w:p>
      <w:pPr>
        <w:pStyle w:val="BodyText"/>
        <w:spacing w:before="3"/>
        <w:rPr>
          <w:sz w:val="16"/>
        </w:rPr>
      </w:pPr>
    </w:p>
    <w:p>
      <w:pPr>
        <w:pStyle w:val="BodyText"/>
        <w:ind w:left="220" w:right="1253"/>
        <w:jc w:val="both"/>
      </w:pPr>
      <w:r>
        <w:rPr/>
        <w:t>The Standardised Tests of Achievement (SISTA) 2017 study results were shared with stakeholders in an EA Conference/workshop and school reports shared with individual schools. Simplified presentations of SISTA results to Schools would improve teachers’ understanding of SITSA and its implications in the classroom. There is some indication that literacy is starting to improve with a 7.4 per cent improvement in</w:t>
      </w:r>
      <w:r>
        <w:rPr>
          <w:spacing w:val="-1"/>
        </w:rPr>
        <w:t> </w:t>
      </w:r>
      <w:r>
        <w:rPr/>
        <w:t>Year 6 literacy (comparisons on numeracy where not able to be made with any confidence).</w:t>
      </w:r>
    </w:p>
    <w:p>
      <w:pPr>
        <w:pStyle w:val="BodyText"/>
        <w:spacing w:before="5"/>
        <w:rPr>
          <w:sz w:val="16"/>
        </w:rPr>
      </w:pPr>
    </w:p>
    <w:p>
      <w:pPr>
        <w:pStyle w:val="BodyText"/>
        <w:ind w:left="220" w:right="1251"/>
        <w:jc w:val="both"/>
      </w:pPr>
      <w:r>
        <w:rPr/>
        <w:t>There has been grants training and assessments carried out in 2018. However, many EAs and School Leaders appear ill-equipped to acquit grants. There is limited information on how the grants are</w:t>
      </w:r>
      <w:r>
        <w:rPr>
          <w:spacing w:val="40"/>
        </w:rPr>
        <w:t> </w:t>
      </w:r>
      <w:r>
        <w:rPr/>
        <w:t>used or analysed, and if/how the resources led to improved teaching and learning in schools. Where the School Board, the community, parents and other stakeholders (NGOs and land-owners) understand the purpose of the School Grants and its utilisation limitations, and School Leaders have some financial training, the system seems to be working reasonably well. Financial training at all levels, including School Boards, is an area ripe for contracting-out of services.</w:t>
      </w:r>
    </w:p>
    <w:p>
      <w:pPr>
        <w:spacing w:after="0"/>
        <w:jc w:val="both"/>
        <w:sectPr>
          <w:pgSz w:w="11900" w:h="16850"/>
          <w:pgMar w:header="867" w:footer="830" w:top="1060" w:bottom="1020" w:left="1220" w:right="180"/>
        </w:sectPr>
      </w:pPr>
    </w:p>
    <w:p>
      <w:pPr>
        <w:pStyle w:val="BodyText"/>
        <w:rPr>
          <w:sz w:val="20"/>
        </w:rPr>
      </w:pPr>
    </w:p>
    <w:p>
      <w:pPr>
        <w:pStyle w:val="BodyText"/>
        <w:rPr>
          <w:sz w:val="20"/>
        </w:rPr>
      </w:pPr>
    </w:p>
    <w:p>
      <w:pPr>
        <w:pStyle w:val="BodyText"/>
        <w:spacing w:before="2"/>
        <w:rPr>
          <w:sz w:val="11"/>
        </w:rPr>
      </w:pPr>
    </w:p>
    <w:tbl>
      <w:tblPr>
        <w:tblW w:w="0" w:type="auto"/>
        <w:jc w:val="left"/>
        <w:tblInd w:w="23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1130"/>
        <w:gridCol w:w="1551"/>
        <w:gridCol w:w="1992"/>
        <w:gridCol w:w="1984"/>
        <w:gridCol w:w="1397"/>
        <w:gridCol w:w="1440"/>
      </w:tblGrid>
      <w:tr>
        <w:trPr>
          <w:trHeight w:val="700" w:hRule="atLeast"/>
        </w:trPr>
        <w:tc>
          <w:tcPr>
            <w:tcW w:w="1130" w:type="dxa"/>
            <w:shd w:val="clear" w:color="auto" w:fill="B4C5E7"/>
          </w:tcPr>
          <w:p>
            <w:pPr>
              <w:pStyle w:val="TableParagraph"/>
              <w:spacing w:before="6"/>
              <w:rPr>
                <w:sz w:val="20"/>
              </w:rPr>
            </w:pPr>
          </w:p>
          <w:p>
            <w:pPr>
              <w:pStyle w:val="TableParagraph"/>
              <w:ind w:left="107"/>
              <w:rPr>
                <w:b/>
                <w:sz w:val="16"/>
              </w:rPr>
            </w:pPr>
            <w:r>
              <w:rPr>
                <w:b/>
                <w:spacing w:val="-2"/>
                <w:sz w:val="16"/>
              </w:rPr>
              <w:t>MEHRD</w:t>
            </w:r>
          </w:p>
        </w:tc>
        <w:tc>
          <w:tcPr>
            <w:tcW w:w="1551" w:type="dxa"/>
            <w:shd w:val="clear" w:color="auto" w:fill="B4C5E7"/>
          </w:tcPr>
          <w:p>
            <w:pPr>
              <w:pStyle w:val="TableParagraph"/>
              <w:spacing w:before="8"/>
              <w:rPr>
                <w:sz w:val="12"/>
              </w:rPr>
            </w:pPr>
          </w:p>
          <w:p>
            <w:pPr>
              <w:pStyle w:val="TableParagraph"/>
              <w:ind w:left="583" w:right="249" w:hanging="322"/>
              <w:rPr>
                <w:b/>
                <w:sz w:val="16"/>
              </w:rPr>
            </w:pPr>
            <w:r>
              <w:rPr>
                <w:b/>
                <w:sz w:val="16"/>
              </w:rPr>
              <w:t>MELP</w:t>
            </w:r>
            <w:r>
              <w:rPr>
                <w:b/>
                <w:spacing w:val="-10"/>
                <w:sz w:val="16"/>
              </w:rPr>
              <w:t> </w:t>
            </w:r>
            <w:r>
              <w:rPr>
                <w:b/>
                <w:sz w:val="16"/>
              </w:rPr>
              <w:t>Outcome</w:t>
            </w:r>
            <w:r>
              <w:rPr>
                <w:b/>
                <w:spacing w:val="40"/>
                <w:sz w:val="16"/>
              </w:rPr>
              <w:t> </w:t>
            </w:r>
            <w:r>
              <w:rPr>
                <w:b/>
                <w:spacing w:val="-2"/>
                <w:sz w:val="16"/>
              </w:rPr>
              <w:t>Areas</w:t>
            </w:r>
          </w:p>
        </w:tc>
        <w:tc>
          <w:tcPr>
            <w:tcW w:w="1992" w:type="dxa"/>
            <w:shd w:val="clear" w:color="auto" w:fill="B4C5E7"/>
          </w:tcPr>
          <w:p>
            <w:pPr>
              <w:pStyle w:val="TableParagraph"/>
              <w:spacing w:before="6"/>
              <w:rPr>
                <w:sz w:val="20"/>
              </w:rPr>
            </w:pPr>
          </w:p>
          <w:p>
            <w:pPr>
              <w:pStyle w:val="TableParagraph"/>
              <w:ind w:left="235"/>
              <w:rPr>
                <w:b/>
                <w:sz w:val="16"/>
              </w:rPr>
            </w:pPr>
            <w:r>
              <w:rPr>
                <w:b/>
                <w:sz w:val="16"/>
              </w:rPr>
              <w:t>Performance</w:t>
            </w:r>
            <w:r>
              <w:rPr>
                <w:b/>
                <w:spacing w:val="-6"/>
                <w:sz w:val="16"/>
              </w:rPr>
              <w:t> </w:t>
            </w:r>
            <w:r>
              <w:rPr>
                <w:b/>
                <w:spacing w:val="-2"/>
                <w:sz w:val="16"/>
              </w:rPr>
              <w:t>Indicators</w:t>
            </w:r>
          </w:p>
        </w:tc>
        <w:tc>
          <w:tcPr>
            <w:tcW w:w="1984" w:type="dxa"/>
            <w:shd w:val="clear" w:color="auto" w:fill="B4C5E7"/>
          </w:tcPr>
          <w:p>
            <w:pPr>
              <w:pStyle w:val="TableParagraph"/>
              <w:spacing w:before="8"/>
              <w:rPr>
                <w:sz w:val="12"/>
              </w:rPr>
            </w:pPr>
          </w:p>
          <w:p>
            <w:pPr>
              <w:pStyle w:val="TableParagraph"/>
              <w:ind w:left="610" w:right="412" w:hanging="180"/>
              <w:rPr>
                <w:b/>
                <w:sz w:val="16"/>
              </w:rPr>
            </w:pPr>
            <w:r>
              <w:rPr>
                <w:b/>
                <w:sz w:val="16"/>
              </w:rPr>
              <w:t>Expected</w:t>
            </w:r>
            <w:r>
              <w:rPr>
                <w:b/>
                <w:spacing w:val="-10"/>
                <w:sz w:val="16"/>
              </w:rPr>
              <w:t> </w:t>
            </w:r>
            <w:r>
              <w:rPr>
                <w:b/>
                <w:sz w:val="16"/>
              </w:rPr>
              <w:t>Results</w:t>
            </w:r>
            <w:r>
              <w:rPr>
                <w:b/>
                <w:spacing w:val="40"/>
                <w:sz w:val="16"/>
              </w:rPr>
              <w:t> </w:t>
            </w:r>
            <w:r>
              <w:rPr>
                <w:b/>
                <w:spacing w:val="-2"/>
                <w:sz w:val="16"/>
              </w:rPr>
              <w:t>Statements</w:t>
            </w:r>
          </w:p>
        </w:tc>
        <w:tc>
          <w:tcPr>
            <w:tcW w:w="1397" w:type="dxa"/>
            <w:shd w:val="clear" w:color="auto" w:fill="B4C5E7"/>
          </w:tcPr>
          <w:p>
            <w:pPr>
              <w:pStyle w:val="TableParagraph"/>
              <w:spacing w:before="6"/>
              <w:rPr>
                <w:sz w:val="20"/>
              </w:rPr>
            </w:pPr>
          </w:p>
          <w:p>
            <w:pPr>
              <w:pStyle w:val="TableParagraph"/>
              <w:ind w:left="277" w:right="262"/>
              <w:jc w:val="center"/>
              <w:rPr>
                <w:b/>
                <w:sz w:val="16"/>
              </w:rPr>
            </w:pPr>
            <w:r>
              <w:rPr>
                <w:b/>
                <w:spacing w:val="-5"/>
                <w:sz w:val="16"/>
              </w:rPr>
              <w:t>IA</w:t>
            </w:r>
          </w:p>
        </w:tc>
        <w:tc>
          <w:tcPr>
            <w:tcW w:w="1440" w:type="dxa"/>
            <w:shd w:val="clear" w:color="auto" w:fill="B4C5E7"/>
          </w:tcPr>
          <w:p>
            <w:pPr>
              <w:pStyle w:val="TableParagraph"/>
              <w:spacing w:before="6"/>
              <w:rPr>
                <w:sz w:val="20"/>
              </w:rPr>
            </w:pPr>
          </w:p>
          <w:p>
            <w:pPr>
              <w:pStyle w:val="TableParagraph"/>
              <w:ind w:left="272"/>
              <w:rPr>
                <w:b/>
                <w:sz w:val="16"/>
              </w:rPr>
            </w:pPr>
            <w:r>
              <w:rPr>
                <w:b/>
                <w:sz w:val="16"/>
              </w:rPr>
              <w:t>Payment</w:t>
            </w:r>
            <w:r>
              <w:rPr>
                <w:b/>
                <w:spacing w:val="-5"/>
                <w:sz w:val="16"/>
              </w:rPr>
              <w:t> AUD</w:t>
            </w:r>
          </w:p>
        </w:tc>
      </w:tr>
      <w:tr>
        <w:trPr>
          <w:trHeight w:val="781" w:hRule="atLeast"/>
        </w:trPr>
        <w:tc>
          <w:tcPr>
            <w:tcW w:w="1130" w:type="dxa"/>
            <w:vMerge w:val="restart"/>
          </w:tcPr>
          <w:p>
            <w:pPr>
              <w:pStyle w:val="TableParagraph"/>
              <w:ind w:left="107" w:right="286"/>
              <w:rPr>
                <w:b/>
                <w:sz w:val="16"/>
              </w:rPr>
            </w:pPr>
            <w:r>
              <w:rPr>
                <w:b/>
                <w:spacing w:val="-2"/>
                <w:sz w:val="16"/>
              </w:rPr>
              <w:t>QUALITY</w:t>
            </w:r>
            <w:r>
              <w:rPr>
                <w:b/>
                <w:spacing w:val="40"/>
                <w:sz w:val="16"/>
              </w:rPr>
              <w:t> </w:t>
            </w:r>
            <w:r>
              <w:rPr>
                <w:b/>
                <w:sz w:val="16"/>
              </w:rPr>
              <w:t>IO2.1</w:t>
            </w:r>
            <w:r>
              <w:rPr>
                <w:b/>
                <w:spacing w:val="-10"/>
                <w:sz w:val="16"/>
              </w:rPr>
              <w:t> </w:t>
            </w:r>
            <w:r>
              <w:rPr>
                <w:b/>
                <w:sz w:val="16"/>
              </w:rPr>
              <w:t>(11&amp;</w:t>
            </w:r>
            <w:r>
              <w:rPr>
                <w:b/>
                <w:spacing w:val="40"/>
                <w:sz w:val="16"/>
              </w:rPr>
              <w:t> </w:t>
            </w:r>
            <w:r>
              <w:rPr>
                <w:b/>
                <w:spacing w:val="-4"/>
                <w:sz w:val="16"/>
              </w:rPr>
              <w:t>13)</w:t>
            </w:r>
          </w:p>
        </w:tc>
        <w:tc>
          <w:tcPr>
            <w:tcW w:w="1551" w:type="dxa"/>
            <w:vMerge w:val="restart"/>
          </w:tcPr>
          <w:p>
            <w:pPr>
              <w:pStyle w:val="TableParagraph"/>
              <w:ind w:left="105" w:right="164"/>
              <w:rPr>
                <w:b/>
                <w:sz w:val="16"/>
              </w:rPr>
            </w:pPr>
            <w:r>
              <w:rPr>
                <w:b/>
                <w:sz w:val="16"/>
              </w:rPr>
              <w:t>2.1</w:t>
            </w:r>
            <w:r>
              <w:rPr>
                <w:b/>
                <w:spacing w:val="-10"/>
                <w:sz w:val="16"/>
              </w:rPr>
              <w:t> </w:t>
            </w:r>
            <w:r>
              <w:rPr>
                <w:b/>
                <w:sz w:val="16"/>
              </w:rPr>
              <w:t>More</w:t>
            </w:r>
            <w:r>
              <w:rPr>
                <w:b/>
                <w:spacing w:val="-9"/>
                <w:sz w:val="16"/>
              </w:rPr>
              <w:t> </w:t>
            </w:r>
            <w:r>
              <w:rPr>
                <w:b/>
                <w:sz w:val="16"/>
              </w:rPr>
              <w:t>teachers</w:t>
            </w:r>
            <w:r>
              <w:rPr>
                <w:b/>
                <w:spacing w:val="40"/>
                <w:sz w:val="16"/>
              </w:rPr>
              <w:t> </w:t>
            </w:r>
            <w:r>
              <w:rPr>
                <w:b/>
                <w:sz w:val="16"/>
              </w:rPr>
              <w:t>using</w:t>
            </w:r>
            <w:r>
              <w:rPr>
                <w:b/>
                <w:spacing w:val="-5"/>
                <w:sz w:val="16"/>
              </w:rPr>
              <w:t> </w:t>
            </w:r>
            <w:r>
              <w:rPr>
                <w:b/>
                <w:sz w:val="16"/>
              </w:rPr>
              <w:t>new</w:t>
            </w:r>
            <w:r>
              <w:rPr>
                <w:b/>
                <w:spacing w:val="40"/>
                <w:sz w:val="16"/>
              </w:rPr>
              <w:t> </w:t>
            </w:r>
            <w:r>
              <w:rPr>
                <w:b/>
                <w:spacing w:val="-2"/>
                <w:sz w:val="16"/>
              </w:rPr>
              <w:t>improved</w:t>
            </w:r>
            <w:r>
              <w:rPr>
                <w:b/>
                <w:spacing w:val="40"/>
                <w:sz w:val="16"/>
              </w:rPr>
              <w:t> </w:t>
            </w:r>
            <w:r>
              <w:rPr>
                <w:b/>
                <w:spacing w:val="-2"/>
                <w:sz w:val="16"/>
              </w:rPr>
              <w:t>curriculum</w:t>
            </w:r>
          </w:p>
        </w:tc>
        <w:tc>
          <w:tcPr>
            <w:tcW w:w="1992" w:type="dxa"/>
          </w:tcPr>
          <w:p>
            <w:pPr>
              <w:pStyle w:val="TableParagraph"/>
              <w:ind w:left="108" w:right="115"/>
              <w:rPr>
                <w:sz w:val="16"/>
              </w:rPr>
            </w:pPr>
            <w:r>
              <w:rPr>
                <w:sz w:val="16"/>
              </w:rPr>
              <w:t>2.1.1</w:t>
            </w:r>
            <w:r>
              <w:rPr>
                <w:spacing w:val="24"/>
                <w:sz w:val="16"/>
              </w:rPr>
              <w:t> </w:t>
            </w:r>
            <w:r>
              <w:rPr>
                <w:sz w:val="16"/>
              </w:rPr>
              <w:t>By</w:t>
            </w:r>
            <w:r>
              <w:rPr>
                <w:spacing w:val="-7"/>
                <w:sz w:val="16"/>
              </w:rPr>
              <w:t> </w:t>
            </w:r>
            <w:r>
              <w:rPr>
                <w:sz w:val="16"/>
              </w:rPr>
              <w:t>the</w:t>
            </w:r>
            <w:r>
              <w:rPr>
                <w:spacing w:val="-8"/>
                <w:sz w:val="16"/>
              </w:rPr>
              <w:t> </w:t>
            </w:r>
            <w:r>
              <w:rPr>
                <w:sz w:val="16"/>
              </w:rPr>
              <w:t>end</w:t>
            </w:r>
            <w:r>
              <w:rPr>
                <w:spacing w:val="-7"/>
                <w:sz w:val="16"/>
              </w:rPr>
              <w:t> </w:t>
            </w:r>
            <w:r>
              <w:rPr>
                <w:sz w:val="16"/>
              </w:rPr>
              <w:t>of</w:t>
            </w:r>
            <w:r>
              <w:rPr>
                <w:spacing w:val="-7"/>
                <w:sz w:val="16"/>
              </w:rPr>
              <w:t> </w:t>
            </w:r>
            <w:r>
              <w:rPr>
                <w:sz w:val="16"/>
              </w:rPr>
              <w:t>2018,</w:t>
            </w:r>
            <w:r>
              <w:rPr>
                <w:spacing w:val="40"/>
                <w:sz w:val="16"/>
              </w:rPr>
              <w:t> </w:t>
            </w:r>
            <w:r>
              <w:rPr>
                <w:sz w:val="16"/>
              </w:rPr>
              <w:t>PPY Pilot in Honiara,</w:t>
            </w:r>
            <w:r>
              <w:rPr>
                <w:spacing w:val="40"/>
                <w:sz w:val="16"/>
              </w:rPr>
              <w:t> </w:t>
            </w:r>
            <w:r>
              <w:rPr>
                <w:sz w:val="16"/>
              </w:rPr>
              <w:t>Guadalcanal and Malaita</w:t>
            </w:r>
          </w:p>
          <w:p>
            <w:pPr>
              <w:pStyle w:val="TableParagraph"/>
              <w:spacing w:line="177" w:lineRule="exact"/>
              <w:ind w:left="108"/>
              <w:rPr>
                <w:sz w:val="16"/>
              </w:rPr>
            </w:pPr>
            <w:r>
              <w:rPr>
                <w:sz w:val="16"/>
              </w:rPr>
              <w:t>completed</w:t>
            </w:r>
            <w:r>
              <w:rPr>
                <w:spacing w:val="-6"/>
                <w:sz w:val="16"/>
              </w:rPr>
              <w:t> </w:t>
            </w:r>
            <w:r>
              <w:rPr>
                <w:sz w:val="16"/>
              </w:rPr>
              <w:t>and</w:t>
            </w:r>
            <w:r>
              <w:rPr>
                <w:spacing w:val="-5"/>
                <w:sz w:val="16"/>
              </w:rPr>
              <w:t> </w:t>
            </w:r>
            <w:r>
              <w:rPr>
                <w:spacing w:val="-2"/>
                <w:sz w:val="16"/>
              </w:rPr>
              <w:t>evaluated</w:t>
            </w:r>
          </w:p>
        </w:tc>
        <w:tc>
          <w:tcPr>
            <w:tcW w:w="1984" w:type="dxa"/>
          </w:tcPr>
          <w:p>
            <w:pPr>
              <w:pStyle w:val="TableParagraph"/>
              <w:ind w:left="108" w:right="98"/>
              <w:rPr>
                <w:sz w:val="16"/>
              </w:rPr>
            </w:pPr>
            <w:r>
              <w:rPr>
                <w:sz w:val="16"/>
              </w:rPr>
              <w:t>PPY Monitoring Report</w:t>
            </w:r>
            <w:r>
              <w:rPr>
                <w:spacing w:val="40"/>
                <w:sz w:val="16"/>
              </w:rPr>
              <w:t> </w:t>
            </w:r>
            <w:r>
              <w:rPr>
                <w:sz w:val="16"/>
              </w:rPr>
              <w:t>received</w:t>
            </w:r>
            <w:r>
              <w:rPr>
                <w:spacing w:val="-10"/>
                <w:sz w:val="16"/>
              </w:rPr>
              <w:t> </w:t>
            </w:r>
            <w:r>
              <w:rPr>
                <w:sz w:val="16"/>
              </w:rPr>
              <w:t>by</w:t>
            </w:r>
            <w:r>
              <w:rPr>
                <w:spacing w:val="-9"/>
                <w:sz w:val="16"/>
              </w:rPr>
              <w:t> </w:t>
            </w:r>
            <w:r>
              <w:rPr>
                <w:sz w:val="16"/>
              </w:rPr>
              <w:t>MEHRD</w:t>
            </w:r>
            <w:r>
              <w:rPr>
                <w:spacing w:val="-9"/>
                <w:sz w:val="16"/>
              </w:rPr>
              <w:t> </w:t>
            </w:r>
            <w:r>
              <w:rPr>
                <w:sz w:val="16"/>
              </w:rPr>
              <w:t>and</w:t>
            </w:r>
            <w:r>
              <w:rPr>
                <w:spacing w:val="40"/>
                <w:sz w:val="16"/>
              </w:rPr>
              <w:t> </w:t>
            </w:r>
            <w:r>
              <w:rPr>
                <w:sz w:val="16"/>
              </w:rPr>
              <w:t>UNICEF</w:t>
            </w:r>
            <w:r>
              <w:rPr>
                <w:spacing w:val="-5"/>
                <w:sz w:val="16"/>
              </w:rPr>
              <w:t> </w:t>
            </w:r>
            <w:r>
              <w:rPr>
                <w:sz w:val="16"/>
              </w:rPr>
              <w:t>(35%)</w:t>
            </w:r>
          </w:p>
        </w:tc>
        <w:tc>
          <w:tcPr>
            <w:tcW w:w="1397" w:type="dxa"/>
            <w:shd w:val="clear" w:color="auto" w:fill="A9D08E"/>
          </w:tcPr>
          <w:p>
            <w:pPr>
              <w:pStyle w:val="TableParagraph"/>
              <w:spacing w:line="194" w:lineRule="exact"/>
              <w:ind w:left="277" w:right="265"/>
              <w:jc w:val="center"/>
              <w:rPr>
                <w:sz w:val="16"/>
              </w:rPr>
            </w:pPr>
            <w:r>
              <w:rPr>
                <w:sz w:val="16"/>
              </w:rPr>
              <w:t>100%</w:t>
            </w:r>
            <w:r>
              <w:rPr>
                <w:spacing w:val="-2"/>
                <w:sz w:val="16"/>
              </w:rPr>
              <w:t> </w:t>
            </w:r>
            <w:r>
              <w:rPr>
                <w:sz w:val="16"/>
              </w:rPr>
              <w:t>(of</w:t>
            </w:r>
            <w:r>
              <w:rPr>
                <w:spacing w:val="-1"/>
                <w:sz w:val="16"/>
              </w:rPr>
              <w:t> </w:t>
            </w:r>
            <w:r>
              <w:rPr>
                <w:spacing w:val="-5"/>
                <w:sz w:val="16"/>
              </w:rPr>
              <w:t>35)</w:t>
            </w:r>
          </w:p>
        </w:tc>
        <w:tc>
          <w:tcPr>
            <w:tcW w:w="1440" w:type="dxa"/>
          </w:tcPr>
          <w:p>
            <w:pPr>
              <w:pStyle w:val="TableParagraph"/>
              <w:tabs>
                <w:tab w:pos="622" w:val="left" w:leader="none"/>
              </w:tabs>
              <w:spacing w:line="194" w:lineRule="exact"/>
              <w:ind w:right="94"/>
              <w:jc w:val="right"/>
              <w:rPr>
                <w:sz w:val="16"/>
              </w:rPr>
            </w:pPr>
            <w:r>
              <w:rPr>
                <w:spacing w:val="-10"/>
                <w:sz w:val="16"/>
              </w:rPr>
              <w:t>$</w:t>
            </w:r>
            <w:r>
              <w:rPr>
                <w:sz w:val="16"/>
              </w:rPr>
              <w:tab/>
            </w:r>
            <w:r>
              <w:rPr>
                <w:spacing w:val="-2"/>
                <w:sz w:val="16"/>
              </w:rPr>
              <w:t>40,000</w:t>
            </w:r>
          </w:p>
        </w:tc>
      </w:tr>
      <w:tr>
        <w:trPr>
          <w:trHeight w:val="779" w:hRule="atLeast"/>
        </w:trPr>
        <w:tc>
          <w:tcPr>
            <w:tcW w:w="1130" w:type="dxa"/>
            <w:vMerge/>
            <w:tcBorders>
              <w:top w:val="nil"/>
            </w:tcBorders>
          </w:tcPr>
          <w:p>
            <w:pPr>
              <w:rPr>
                <w:sz w:val="2"/>
                <w:szCs w:val="2"/>
              </w:rPr>
            </w:pPr>
          </w:p>
        </w:tc>
        <w:tc>
          <w:tcPr>
            <w:tcW w:w="1551" w:type="dxa"/>
            <w:vMerge/>
            <w:tcBorders>
              <w:top w:val="nil"/>
            </w:tcBorders>
          </w:tcPr>
          <w:p>
            <w:pPr>
              <w:rPr>
                <w:sz w:val="2"/>
                <w:szCs w:val="2"/>
              </w:rPr>
            </w:pPr>
          </w:p>
        </w:tc>
        <w:tc>
          <w:tcPr>
            <w:tcW w:w="1992" w:type="dxa"/>
          </w:tcPr>
          <w:p>
            <w:pPr>
              <w:pStyle w:val="TableParagraph"/>
              <w:ind w:left="108" w:right="115"/>
              <w:rPr>
                <w:sz w:val="16"/>
              </w:rPr>
            </w:pPr>
            <w:r>
              <w:rPr>
                <w:sz w:val="16"/>
              </w:rPr>
              <w:t>2.1.2</w:t>
            </w:r>
            <w:r>
              <w:rPr>
                <w:spacing w:val="24"/>
                <w:sz w:val="16"/>
              </w:rPr>
              <w:t> </w:t>
            </w:r>
            <w:r>
              <w:rPr>
                <w:sz w:val="16"/>
              </w:rPr>
              <w:t>By</w:t>
            </w:r>
            <w:r>
              <w:rPr>
                <w:spacing w:val="-7"/>
                <w:sz w:val="16"/>
              </w:rPr>
              <w:t> </w:t>
            </w:r>
            <w:r>
              <w:rPr>
                <w:sz w:val="16"/>
              </w:rPr>
              <w:t>the</w:t>
            </w:r>
            <w:r>
              <w:rPr>
                <w:spacing w:val="-8"/>
                <w:sz w:val="16"/>
              </w:rPr>
              <w:t> </w:t>
            </w:r>
            <w:r>
              <w:rPr>
                <w:sz w:val="16"/>
              </w:rPr>
              <w:t>end</w:t>
            </w:r>
            <w:r>
              <w:rPr>
                <w:spacing w:val="-7"/>
                <w:sz w:val="16"/>
              </w:rPr>
              <w:t> </w:t>
            </w:r>
            <w:r>
              <w:rPr>
                <w:sz w:val="16"/>
              </w:rPr>
              <w:t>of</w:t>
            </w:r>
            <w:r>
              <w:rPr>
                <w:spacing w:val="-7"/>
                <w:sz w:val="16"/>
              </w:rPr>
              <w:t> </w:t>
            </w:r>
            <w:r>
              <w:rPr>
                <w:sz w:val="16"/>
              </w:rPr>
              <w:t>2018,</w:t>
            </w:r>
            <w:r>
              <w:rPr>
                <w:spacing w:val="40"/>
                <w:sz w:val="16"/>
              </w:rPr>
              <w:t> </w:t>
            </w:r>
            <w:r>
              <w:rPr>
                <w:sz w:val="16"/>
              </w:rPr>
              <w:t>Cognition contract (as at</w:t>
            </w:r>
            <w:r>
              <w:rPr>
                <w:spacing w:val="40"/>
                <w:sz w:val="16"/>
              </w:rPr>
              <w:t> </w:t>
            </w:r>
            <w:r>
              <w:rPr>
                <w:sz w:val="16"/>
              </w:rPr>
              <w:t>June 2018) deliverables</w:t>
            </w:r>
          </w:p>
          <w:p>
            <w:pPr>
              <w:pStyle w:val="TableParagraph"/>
              <w:spacing w:line="175" w:lineRule="exact"/>
              <w:ind w:left="108"/>
              <w:rPr>
                <w:sz w:val="16"/>
              </w:rPr>
            </w:pPr>
            <w:r>
              <w:rPr>
                <w:sz w:val="16"/>
              </w:rPr>
              <w:t>completed</w:t>
            </w:r>
            <w:r>
              <w:rPr>
                <w:spacing w:val="-6"/>
                <w:sz w:val="16"/>
              </w:rPr>
              <w:t> </w:t>
            </w:r>
            <w:r>
              <w:rPr>
                <w:sz w:val="16"/>
              </w:rPr>
              <w:t>and</w:t>
            </w:r>
            <w:r>
              <w:rPr>
                <w:spacing w:val="-5"/>
                <w:sz w:val="16"/>
              </w:rPr>
              <w:t> </w:t>
            </w:r>
            <w:r>
              <w:rPr>
                <w:spacing w:val="-2"/>
                <w:sz w:val="16"/>
              </w:rPr>
              <w:t>accepted</w:t>
            </w:r>
          </w:p>
        </w:tc>
        <w:tc>
          <w:tcPr>
            <w:tcW w:w="1984" w:type="dxa"/>
          </w:tcPr>
          <w:p>
            <w:pPr>
              <w:pStyle w:val="TableParagraph"/>
              <w:ind w:left="108" w:right="412"/>
              <w:rPr>
                <w:sz w:val="16"/>
              </w:rPr>
            </w:pPr>
            <w:r>
              <w:rPr>
                <w:spacing w:val="-2"/>
                <w:sz w:val="16"/>
              </w:rPr>
              <w:t>Cognition</w:t>
            </w:r>
            <w:r>
              <w:rPr>
                <w:spacing w:val="-7"/>
                <w:sz w:val="16"/>
              </w:rPr>
              <w:t> </w:t>
            </w:r>
            <w:r>
              <w:rPr>
                <w:spacing w:val="-2"/>
                <w:sz w:val="16"/>
              </w:rPr>
              <w:t>deliverables</w:t>
            </w:r>
            <w:r>
              <w:rPr>
                <w:spacing w:val="40"/>
                <w:sz w:val="16"/>
              </w:rPr>
              <w:t> </w:t>
            </w:r>
            <w:r>
              <w:rPr>
                <w:spacing w:val="-2"/>
                <w:sz w:val="16"/>
              </w:rPr>
              <w:t>(65%)</w:t>
            </w:r>
          </w:p>
        </w:tc>
        <w:tc>
          <w:tcPr>
            <w:tcW w:w="1397" w:type="dxa"/>
            <w:shd w:val="clear" w:color="auto" w:fill="A9D08E"/>
          </w:tcPr>
          <w:p>
            <w:pPr>
              <w:pStyle w:val="TableParagraph"/>
              <w:spacing w:line="194" w:lineRule="exact"/>
              <w:ind w:left="277" w:right="265"/>
              <w:jc w:val="center"/>
              <w:rPr>
                <w:sz w:val="16"/>
              </w:rPr>
            </w:pPr>
            <w:r>
              <w:rPr>
                <w:sz w:val="16"/>
              </w:rPr>
              <w:t>100%</w:t>
            </w:r>
            <w:r>
              <w:rPr>
                <w:spacing w:val="-2"/>
                <w:sz w:val="16"/>
              </w:rPr>
              <w:t> </w:t>
            </w:r>
            <w:r>
              <w:rPr>
                <w:sz w:val="16"/>
              </w:rPr>
              <w:t>(of</w:t>
            </w:r>
            <w:r>
              <w:rPr>
                <w:spacing w:val="-1"/>
                <w:sz w:val="16"/>
              </w:rPr>
              <w:t> </w:t>
            </w:r>
            <w:r>
              <w:rPr>
                <w:spacing w:val="-5"/>
                <w:sz w:val="16"/>
              </w:rPr>
              <w:t>65)</w:t>
            </w:r>
          </w:p>
        </w:tc>
        <w:tc>
          <w:tcPr>
            <w:tcW w:w="1440" w:type="dxa"/>
          </w:tcPr>
          <w:p>
            <w:pPr>
              <w:pStyle w:val="TableParagraph"/>
              <w:tabs>
                <w:tab w:pos="622" w:val="left" w:leader="none"/>
              </w:tabs>
              <w:spacing w:line="194" w:lineRule="exact"/>
              <w:ind w:right="94"/>
              <w:jc w:val="right"/>
              <w:rPr>
                <w:sz w:val="16"/>
              </w:rPr>
            </w:pPr>
            <w:r>
              <w:rPr>
                <w:spacing w:val="-10"/>
                <w:sz w:val="16"/>
              </w:rPr>
              <w:t>$</w:t>
            </w:r>
            <w:r>
              <w:rPr>
                <w:sz w:val="16"/>
              </w:rPr>
              <w:tab/>
            </w:r>
            <w:r>
              <w:rPr>
                <w:spacing w:val="-2"/>
                <w:sz w:val="16"/>
              </w:rPr>
              <w:t>74,286</w:t>
            </w:r>
          </w:p>
        </w:tc>
      </w:tr>
      <w:tr>
        <w:trPr>
          <w:trHeight w:val="1173" w:hRule="atLeast"/>
        </w:trPr>
        <w:tc>
          <w:tcPr>
            <w:tcW w:w="1130" w:type="dxa"/>
          </w:tcPr>
          <w:p>
            <w:pPr>
              <w:pStyle w:val="TableParagraph"/>
              <w:rPr>
                <w:sz w:val="16"/>
              </w:rPr>
            </w:pPr>
          </w:p>
          <w:p>
            <w:pPr>
              <w:pStyle w:val="TableParagraph"/>
              <w:spacing w:before="11"/>
              <w:rPr>
                <w:sz w:val="15"/>
              </w:rPr>
            </w:pPr>
          </w:p>
          <w:p>
            <w:pPr>
              <w:pStyle w:val="TableParagraph"/>
              <w:ind w:left="107" w:right="423"/>
              <w:rPr>
                <w:b/>
                <w:sz w:val="16"/>
              </w:rPr>
            </w:pPr>
            <w:r>
              <w:rPr>
                <w:b/>
                <w:spacing w:val="-2"/>
                <w:sz w:val="16"/>
              </w:rPr>
              <w:t>QUALITY</w:t>
            </w:r>
            <w:r>
              <w:rPr>
                <w:b/>
                <w:spacing w:val="40"/>
                <w:sz w:val="16"/>
              </w:rPr>
              <w:t> </w:t>
            </w:r>
            <w:r>
              <w:rPr>
                <w:b/>
                <w:spacing w:val="-2"/>
                <w:sz w:val="16"/>
              </w:rPr>
              <w:t>IO2.3.1</w:t>
            </w:r>
          </w:p>
        </w:tc>
        <w:tc>
          <w:tcPr>
            <w:tcW w:w="1551" w:type="dxa"/>
          </w:tcPr>
          <w:p>
            <w:pPr>
              <w:pStyle w:val="TableParagraph"/>
              <w:ind w:left="105" w:right="383"/>
              <w:rPr>
                <w:b/>
                <w:sz w:val="16"/>
              </w:rPr>
            </w:pPr>
            <w:r>
              <w:rPr>
                <w:b/>
                <w:sz w:val="16"/>
              </w:rPr>
              <w:t>2.2</w:t>
            </w:r>
            <w:r>
              <w:rPr>
                <w:b/>
                <w:spacing w:val="-5"/>
                <w:sz w:val="16"/>
              </w:rPr>
              <w:t> </w:t>
            </w:r>
            <w:r>
              <w:rPr>
                <w:b/>
                <w:sz w:val="16"/>
              </w:rPr>
              <w:t>Teachers</w:t>
            </w:r>
            <w:r>
              <w:rPr>
                <w:b/>
                <w:spacing w:val="40"/>
                <w:sz w:val="16"/>
              </w:rPr>
              <w:t> </w:t>
            </w:r>
            <w:r>
              <w:rPr>
                <w:b/>
                <w:sz w:val="16"/>
              </w:rPr>
              <w:t>meeting</w:t>
            </w:r>
            <w:r>
              <w:rPr>
                <w:b/>
                <w:spacing w:val="-10"/>
                <w:sz w:val="16"/>
              </w:rPr>
              <w:t> </w:t>
            </w:r>
            <w:r>
              <w:rPr>
                <w:b/>
                <w:sz w:val="16"/>
              </w:rPr>
              <w:t>agreed</w:t>
            </w:r>
            <w:r>
              <w:rPr>
                <w:b/>
                <w:spacing w:val="40"/>
                <w:sz w:val="16"/>
              </w:rPr>
              <w:t> </w:t>
            </w:r>
            <w:r>
              <w:rPr>
                <w:b/>
                <w:spacing w:val="-2"/>
                <w:sz w:val="16"/>
              </w:rPr>
              <w:t>standards</w:t>
            </w:r>
          </w:p>
        </w:tc>
        <w:tc>
          <w:tcPr>
            <w:tcW w:w="1992" w:type="dxa"/>
          </w:tcPr>
          <w:p>
            <w:pPr>
              <w:pStyle w:val="TableParagraph"/>
              <w:ind w:left="108" w:right="115"/>
              <w:rPr>
                <w:sz w:val="16"/>
              </w:rPr>
            </w:pPr>
            <w:r>
              <w:rPr>
                <w:sz w:val="16"/>
              </w:rPr>
              <w:t>2.2.1</w:t>
            </w:r>
            <w:r>
              <w:rPr>
                <w:spacing w:val="57"/>
                <w:sz w:val="16"/>
              </w:rPr>
              <w:t> </w:t>
            </w:r>
            <w:r>
              <w:rPr>
                <w:sz w:val="16"/>
              </w:rPr>
              <w:t>By</w:t>
            </w:r>
            <w:r>
              <w:rPr>
                <w:spacing w:val="-6"/>
                <w:sz w:val="16"/>
              </w:rPr>
              <w:t> </w:t>
            </w:r>
            <w:r>
              <w:rPr>
                <w:sz w:val="16"/>
              </w:rPr>
              <w:t>the</w:t>
            </w:r>
            <w:r>
              <w:rPr>
                <w:spacing w:val="-7"/>
                <w:sz w:val="16"/>
              </w:rPr>
              <w:t> </w:t>
            </w:r>
            <w:r>
              <w:rPr>
                <w:sz w:val="16"/>
              </w:rPr>
              <w:t>end</w:t>
            </w:r>
            <w:r>
              <w:rPr>
                <w:spacing w:val="-6"/>
                <w:sz w:val="16"/>
              </w:rPr>
              <w:t> </w:t>
            </w:r>
            <w:r>
              <w:rPr>
                <w:sz w:val="16"/>
              </w:rPr>
              <w:t>of</w:t>
            </w:r>
            <w:r>
              <w:rPr>
                <w:spacing w:val="-6"/>
                <w:sz w:val="16"/>
              </w:rPr>
              <w:t> </w:t>
            </w:r>
            <w:r>
              <w:rPr>
                <w:sz w:val="16"/>
              </w:rPr>
              <w:t>2018,</w:t>
            </w:r>
            <w:r>
              <w:rPr>
                <w:spacing w:val="40"/>
                <w:sz w:val="16"/>
              </w:rPr>
              <w:t> </w:t>
            </w:r>
            <w:r>
              <w:rPr>
                <w:sz w:val="16"/>
              </w:rPr>
              <w:t>revised</w:t>
            </w:r>
            <w:r>
              <w:rPr>
                <w:spacing w:val="-7"/>
                <w:sz w:val="16"/>
              </w:rPr>
              <w:t> </w:t>
            </w:r>
            <w:r>
              <w:rPr>
                <w:sz w:val="16"/>
              </w:rPr>
              <w:t>National</w:t>
            </w:r>
            <w:r>
              <w:rPr>
                <w:spacing w:val="40"/>
                <w:sz w:val="16"/>
              </w:rPr>
              <w:t> </w:t>
            </w:r>
            <w:r>
              <w:rPr>
                <w:sz w:val="16"/>
              </w:rPr>
              <w:t>professional</w:t>
            </w:r>
            <w:r>
              <w:rPr>
                <w:spacing w:val="-10"/>
                <w:sz w:val="16"/>
              </w:rPr>
              <w:t> </w:t>
            </w:r>
            <w:r>
              <w:rPr>
                <w:sz w:val="16"/>
              </w:rPr>
              <w:t>standards</w:t>
            </w:r>
            <w:r>
              <w:rPr>
                <w:spacing w:val="-9"/>
                <w:sz w:val="16"/>
              </w:rPr>
              <w:t> </w:t>
            </w:r>
            <w:r>
              <w:rPr>
                <w:sz w:val="16"/>
              </w:rPr>
              <w:t>for</w:t>
            </w:r>
            <w:r>
              <w:rPr>
                <w:spacing w:val="40"/>
                <w:sz w:val="16"/>
              </w:rPr>
              <w:t> </w:t>
            </w:r>
            <w:r>
              <w:rPr>
                <w:sz w:val="16"/>
              </w:rPr>
              <w:t>teachers (within Teacher</w:t>
            </w:r>
            <w:r>
              <w:rPr>
                <w:spacing w:val="40"/>
                <w:sz w:val="16"/>
              </w:rPr>
              <w:t> </w:t>
            </w:r>
            <w:r>
              <w:rPr>
                <w:sz w:val="16"/>
              </w:rPr>
              <w:t>Service</w:t>
            </w:r>
            <w:r>
              <w:rPr>
                <w:spacing w:val="-7"/>
                <w:sz w:val="16"/>
              </w:rPr>
              <w:t> </w:t>
            </w:r>
            <w:r>
              <w:rPr>
                <w:sz w:val="16"/>
              </w:rPr>
              <w:t>Handbook)</w:t>
            </w:r>
          </w:p>
        </w:tc>
        <w:tc>
          <w:tcPr>
            <w:tcW w:w="1984" w:type="dxa"/>
          </w:tcPr>
          <w:p>
            <w:pPr>
              <w:pStyle w:val="TableParagraph"/>
              <w:ind w:left="108" w:right="98"/>
              <w:rPr>
                <w:sz w:val="16"/>
              </w:rPr>
            </w:pPr>
            <w:r>
              <w:rPr>
                <w:sz w:val="16"/>
              </w:rPr>
              <w:t>Revised quality National</w:t>
            </w:r>
            <w:r>
              <w:rPr>
                <w:spacing w:val="40"/>
                <w:sz w:val="16"/>
              </w:rPr>
              <w:t> </w:t>
            </w:r>
            <w:r>
              <w:rPr>
                <w:sz w:val="16"/>
              </w:rPr>
              <w:t>professional</w:t>
            </w:r>
            <w:r>
              <w:rPr>
                <w:spacing w:val="-7"/>
                <w:sz w:val="16"/>
              </w:rPr>
              <w:t> </w:t>
            </w:r>
            <w:r>
              <w:rPr>
                <w:sz w:val="16"/>
              </w:rPr>
              <w:t>standards</w:t>
            </w:r>
            <w:r>
              <w:rPr>
                <w:spacing w:val="40"/>
                <w:sz w:val="16"/>
              </w:rPr>
              <w:t> </w:t>
            </w:r>
            <w:r>
              <w:rPr>
                <w:sz w:val="16"/>
              </w:rPr>
              <w:t>draft consulted with</w:t>
            </w:r>
            <w:r>
              <w:rPr>
                <w:spacing w:val="40"/>
                <w:sz w:val="16"/>
              </w:rPr>
              <w:t> </w:t>
            </w:r>
            <w:r>
              <w:rPr>
                <w:sz w:val="16"/>
              </w:rPr>
              <w:t>selected provinces (50%)</w:t>
            </w:r>
            <w:r>
              <w:rPr>
                <w:spacing w:val="40"/>
                <w:sz w:val="16"/>
              </w:rPr>
              <w:t> </w:t>
            </w:r>
            <w:r>
              <w:rPr>
                <w:sz w:val="16"/>
              </w:rPr>
              <w:t>Approval</w:t>
            </w:r>
            <w:r>
              <w:rPr>
                <w:spacing w:val="-10"/>
                <w:sz w:val="16"/>
              </w:rPr>
              <w:t> </w:t>
            </w:r>
            <w:r>
              <w:rPr>
                <w:sz w:val="16"/>
              </w:rPr>
              <w:t>minute</w:t>
            </w:r>
            <w:r>
              <w:rPr>
                <w:spacing w:val="-9"/>
                <w:sz w:val="16"/>
              </w:rPr>
              <w:t> </w:t>
            </w:r>
            <w:r>
              <w:rPr>
                <w:sz w:val="16"/>
              </w:rPr>
              <w:t>from</w:t>
            </w:r>
            <w:r>
              <w:rPr>
                <w:spacing w:val="-9"/>
                <w:sz w:val="16"/>
              </w:rPr>
              <w:t> </w:t>
            </w:r>
            <w:r>
              <w:rPr>
                <w:sz w:val="16"/>
              </w:rPr>
              <w:t>SMT</w:t>
            </w:r>
          </w:p>
          <w:p>
            <w:pPr>
              <w:pStyle w:val="TableParagraph"/>
              <w:spacing w:line="178" w:lineRule="exact"/>
              <w:ind w:left="108"/>
              <w:rPr>
                <w:sz w:val="16"/>
              </w:rPr>
            </w:pPr>
            <w:r>
              <w:rPr>
                <w:spacing w:val="-2"/>
                <w:sz w:val="16"/>
              </w:rPr>
              <w:t>(50%)</w:t>
            </w:r>
          </w:p>
        </w:tc>
        <w:tc>
          <w:tcPr>
            <w:tcW w:w="1397" w:type="dxa"/>
            <w:shd w:val="clear" w:color="auto" w:fill="FFC000"/>
          </w:tcPr>
          <w:p>
            <w:pPr>
              <w:pStyle w:val="TableParagraph"/>
              <w:spacing w:line="194" w:lineRule="exact"/>
              <w:ind w:left="277" w:right="265"/>
              <w:jc w:val="center"/>
              <w:rPr>
                <w:sz w:val="16"/>
              </w:rPr>
            </w:pPr>
            <w:r>
              <w:rPr>
                <w:sz w:val="16"/>
              </w:rPr>
              <w:t>20%</w:t>
            </w:r>
            <w:r>
              <w:rPr>
                <w:spacing w:val="-2"/>
                <w:sz w:val="16"/>
              </w:rPr>
              <w:t> </w:t>
            </w:r>
            <w:r>
              <w:rPr>
                <w:sz w:val="16"/>
              </w:rPr>
              <w:t>(of</w:t>
            </w:r>
            <w:r>
              <w:rPr>
                <w:spacing w:val="-1"/>
                <w:sz w:val="16"/>
              </w:rPr>
              <w:t> </w:t>
            </w:r>
            <w:r>
              <w:rPr>
                <w:spacing w:val="-4"/>
                <w:sz w:val="16"/>
              </w:rPr>
              <w:t>100)</w:t>
            </w:r>
          </w:p>
        </w:tc>
        <w:tc>
          <w:tcPr>
            <w:tcW w:w="1440" w:type="dxa"/>
          </w:tcPr>
          <w:p>
            <w:pPr>
              <w:pStyle w:val="TableParagraph"/>
              <w:tabs>
                <w:tab w:pos="622" w:val="left" w:leader="none"/>
              </w:tabs>
              <w:spacing w:line="194" w:lineRule="exact"/>
              <w:ind w:right="94"/>
              <w:jc w:val="right"/>
              <w:rPr>
                <w:sz w:val="16"/>
              </w:rPr>
            </w:pPr>
            <w:r>
              <w:rPr>
                <w:spacing w:val="-10"/>
                <w:sz w:val="16"/>
              </w:rPr>
              <w:t>$</w:t>
            </w:r>
            <w:r>
              <w:rPr>
                <w:sz w:val="16"/>
              </w:rPr>
              <w:tab/>
            </w:r>
            <w:r>
              <w:rPr>
                <w:spacing w:val="-2"/>
                <w:sz w:val="16"/>
              </w:rPr>
              <w:t>22,857</w:t>
            </w:r>
          </w:p>
        </w:tc>
      </w:tr>
      <w:tr>
        <w:trPr>
          <w:trHeight w:val="1756" w:hRule="atLeast"/>
        </w:trPr>
        <w:tc>
          <w:tcPr>
            <w:tcW w:w="1130" w:type="dxa"/>
            <w:vMerge w:val="restart"/>
          </w:tcPr>
          <w:p>
            <w:pPr>
              <w:pStyle w:val="TableParagraph"/>
              <w:ind w:left="107" w:right="423"/>
              <w:rPr>
                <w:b/>
                <w:sz w:val="16"/>
              </w:rPr>
            </w:pPr>
            <w:r>
              <w:rPr>
                <w:b/>
                <w:spacing w:val="-2"/>
                <w:sz w:val="16"/>
              </w:rPr>
              <w:t>QUALITY</w:t>
            </w:r>
            <w:r>
              <w:rPr>
                <w:b/>
                <w:spacing w:val="40"/>
                <w:sz w:val="16"/>
              </w:rPr>
              <w:t> </w:t>
            </w:r>
            <w:r>
              <w:rPr>
                <w:b/>
                <w:sz w:val="16"/>
              </w:rPr>
              <w:t>EO</w:t>
            </w:r>
            <w:r>
              <w:rPr>
                <w:b/>
                <w:spacing w:val="-7"/>
                <w:sz w:val="16"/>
              </w:rPr>
              <w:t> </w:t>
            </w:r>
            <w:r>
              <w:rPr>
                <w:b/>
                <w:sz w:val="16"/>
              </w:rPr>
              <w:t>2</w:t>
            </w:r>
          </w:p>
        </w:tc>
        <w:tc>
          <w:tcPr>
            <w:tcW w:w="1551" w:type="dxa"/>
            <w:vMerge w:val="restart"/>
          </w:tcPr>
          <w:p>
            <w:pPr>
              <w:pStyle w:val="TableParagraph"/>
              <w:ind w:left="105" w:right="85"/>
              <w:rPr>
                <w:b/>
                <w:sz w:val="16"/>
              </w:rPr>
            </w:pPr>
            <w:r>
              <w:rPr>
                <w:b/>
                <w:sz w:val="16"/>
              </w:rPr>
              <w:t>2.3 Number of</w:t>
            </w:r>
            <w:r>
              <w:rPr>
                <w:b/>
                <w:spacing w:val="40"/>
                <w:sz w:val="16"/>
              </w:rPr>
              <w:t> </w:t>
            </w:r>
            <w:r>
              <w:rPr>
                <w:b/>
                <w:sz w:val="16"/>
              </w:rPr>
              <w:t>students</w:t>
            </w:r>
            <w:r>
              <w:rPr>
                <w:b/>
                <w:spacing w:val="-5"/>
                <w:sz w:val="16"/>
              </w:rPr>
              <w:t> </w:t>
            </w:r>
            <w:r>
              <w:rPr>
                <w:b/>
                <w:sz w:val="16"/>
              </w:rPr>
              <w:t>achieving</w:t>
            </w:r>
            <w:r>
              <w:rPr>
                <w:b/>
                <w:spacing w:val="40"/>
                <w:sz w:val="16"/>
              </w:rPr>
              <w:t> </w:t>
            </w:r>
            <w:r>
              <w:rPr>
                <w:b/>
                <w:sz w:val="16"/>
              </w:rPr>
              <w:t>at or above the</w:t>
            </w:r>
            <w:r>
              <w:rPr>
                <w:b/>
                <w:spacing w:val="40"/>
                <w:sz w:val="16"/>
              </w:rPr>
              <w:t> </w:t>
            </w:r>
            <w:r>
              <w:rPr>
                <w:b/>
                <w:sz w:val="16"/>
              </w:rPr>
              <w:t>expected</w:t>
            </w:r>
            <w:r>
              <w:rPr>
                <w:b/>
                <w:spacing w:val="-5"/>
                <w:sz w:val="16"/>
              </w:rPr>
              <w:t> </w:t>
            </w:r>
            <w:r>
              <w:rPr>
                <w:b/>
                <w:sz w:val="16"/>
              </w:rPr>
              <w:t>literacy</w:t>
            </w:r>
            <w:r>
              <w:rPr>
                <w:b/>
                <w:spacing w:val="40"/>
                <w:sz w:val="16"/>
              </w:rPr>
              <w:t> </w:t>
            </w:r>
            <w:r>
              <w:rPr>
                <w:b/>
                <w:sz w:val="16"/>
              </w:rPr>
              <w:t>and</w:t>
            </w:r>
            <w:r>
              <w:rPr>
                <w:b/>
                <w:spacing w:val="-10"/>
                <w:sz w:val="16"/>
              </w:rPr>
              <w:t> </w:t>
            </w:r>
            <w:r>
              <w:rPr>
                <w:b/>
                <w:sz w:val="16"/>
              </w:rPr>
              <w:t>numeracy</w:t>
            </w:r>
            <w:r>
              <w:rPr>
                <w:b/>
                <w:spacing w:val="-9"/>
                <w:sz w:val="16"/>
              </w:rPr>
              <w:t> </w:t>
            </w:r>
            <w:r>
              <w:rPr>
                <w:b/>
                <w:sz w:val="16"/>
              </w:rPr>
              <w:t>level</w:t>
            </w:r>
          </w:p>
        </w:tc>
        <w:tc>
          <w:tcPr>
            <w:tcW w:w="1992" w:type="dxa"/>
          </w:tcPr>
          <w:p>
            <w:pPr>
              <w:pStyle w:val="TableParagraph"/>
              <w:spacing w:line="194" w:lineRule="exact"/>
              <w:ind w:left="108"/>
              <w:rPr>
                <w:sz w:val="16"/>
              </w:rPr>
            </w:pPr>
            <w:r>
              <w:rPr>
                <w:sz w:val="16"/>
              </w:rPr>
              <w:t>2.3.1</w:t>
            </w:r>
            <w:r>
              <w:rPr>
                <w:spacing w:val="29"/>
                <w:sz w:val="16"/>
              </w:rPr>
              <w:t> </w:t>
            </w:r>
            <w:r>
              <w:rPr>
                <w:sz w:val="16"/>
              </w:rPr>
              <w:t>By</w:t>
            </w:r>
            <w:r>
              <w:rPr>
                <w:spacing w:val="-3"/>
                <w:sz w:val="16"/>
              </w:rPr>
              <w:t> </w:t>
            </w:r>
            <w:r>
              <w:rPr>
                <w:sz w:val="16"/>
              </w:rPr>
              <w:t>the</w:t>
            </w:r>
            <w:r>
              <w:rPr>
                <w:spacing w:val="-3"/>
                <w:sz w:val="16"/>
              </w:rPr>
              <w:t> </w:t>
            </w:r>
            <w:r>
              <w:rPr>
                <w:sz w:val="16"/>
              </w:rPr>
              <w:t>end</w:t>
            </w:r>
            <w:r>
              <w:rPr>
                <w:spacing w:val="-3"/>
                <w:sz w:val="16"/>
              </w:rPr>
              <w:t> </w:t>
            </w:r>
            <w:r>
              <w:rPr>
                <w:sz w:val="16"/>
              </w:rPr>
              <w:t>of</w:t>
            </w:r>
            <w:r>
              <w:rPr>
                <w:spacing w:val="-2"/>
                <w:sz w:val="16"/>
              </w:rPr>
              <w:t> 2018,</w:t>
            </w:r>
          </w:p>
          <w:p>
            <w:pPr>
              <w:pStyle w:val="TableParagraph"/>
              <w:ind w:left="108" w:right="115"/>
              <w:rPr>
                <w:sz w:val="16"/>
              </w:rPr>
            </w:pPr>
            <w:r>
              <w:rPr>
                <w:sz w:val="16"/>
              </w:rPr>
              <w:t>2017 SISTA results</w:t>
            </w:r>
            <w:r>
              <w:rPr>
                <w:spacing w:val="40"/>
                <w:sz w:val="16"/>
              </w:rPr>
              <w:t> </w:t>
            </w:r>
            <w:r>
              <w:rPr>
                <w:sz w:val="16"/>
              </w:rPr>
              <w:t>analysed</w:t>
            </w:r>
            <w:r>
              <w:rPr>
                <w:spacing w:val="-10"/>
                <w:sz w:val="16"/>
              </w:rPr>
              <w:t> </w:t>
            </w:r>
            <w:r>
              <w:rPr>
                <w:sz w:val="16"/>
              </w:rPr>
              <w:t>and</w:t>
            </w:r>
            <w:r>
              <w:rPr>
                <w:spacing w:val="-9"/>
                <w:sz w:val="16"/>
              </w:rPr>
              <w:t> </w:t>
            </w:r>
            <w:r>
              <w:rPr>
                <w:sz w:val="16"/>
              </w:rPr>
              <w:t>disseminated</w:t>
            </w:r>
            <w:r>
              <w:rPr>
                <w:spacing w:val="40"/>
                <w:sz w:val="16"/>
              </w:rPr>
              <w:t> </w:t>
            </w:r>
            <w:r>
              <w:rPr>
                <w:sz w:val="16"/>
              </w:rPr>
              <w:t>in user-friendly way to</w:t>
            </w:r>
            <w:r>
              <w:rPr>
                <w:spacing w:val="40"/>
                <w:sz w:val="16"/>
              </w:rPr>
              <w:t> </w:t>
            </w:r>
            <w:r>
              <w:rPr>
                <w:sz w:val="16"/>
              </w:rPr>
              <w:t>national, EAs and school</w:t>
            </w:r>
            <w:r>
              <w:rPr>
                <w:spacing w:val="40"/>
                <w:sz w:val="16"/>
              </w:rPr>
              <w:t> </w:t>
            </w:r>
            <w:r>
              <w:rPr>
                <w:spacing w:val="-2"/>
                <w:sz w:val="16"/>
              </w:rPr>
              <w:t>level</w:t>
            </w:r>
          </w:p>
        </w:tc>
        <w:tc>
          <w:tcPr>
            <w:tcW w:w="1984" w:type="dxa"/>
          </w:tcPr>
          <w:p>
            <w:pPr>
              <w:pStyle w:val="TableParagraph"/>
              <w:ind w:left="108" w:right="98"/>
              <w:rPr>
                <w:sz w:val="16"/>
              </w:rPr>
            </w:pPr>
            <w:r>
              <w:rPr>
                <w:sz w:val="16"/>
              </w:rPr>
              <w:t>SMT</w:t>
            </w:r>
            <w:r>
              <w:rPr>
                <w:spacing w:val="-10"/>
                <w:sz w:val="16"/>
              </w:rPr>
              <w:t> </w:t>
            </w:r>
            <w:r>
              <w:rPr>
                <w:sz w:val="16"/>
              </w:rPr>
              <w:t>endorsement</w:t>
            </w:r>
            <w:r>
              <w:rPr>
                <w:spacing w:val="-9"/>
                <w:sz w:val="16"/>
              </w:rPr>
              <w:t> </w:t>
            </w:r>
            <w:r>
              <w:rPr>
                <w:sz w:val="16"/>
              </w:rPr>
              <w:t>minute</w:t>
            </w:r>
            <w:r>
              <w:rPr>
                <w:spacing w:val="40"/>
                <w:sz w:val="16"/>
              </w:rPr>
              <w:t> </w:t>
            </w:r>
            <w:r>
              <w:rPr>
                <w:sz w:val="16"/>
              </w:rPr>
              <w:t>of SISTA results including</w:t>
            </w:r>
            <w:r>
              <w:rPr>
                <w:spacing w:val="40"/>
                <w:sz w:val="16"/>
              </w:rPr>
              <w:t> </w:t>
            </w:r>
            <w:r>
              <w:rPr>
                <w:sz w:val="16"/>
              </w:rPr>
              <w:t>national, provincial and</w:t>
            </w:r>
            <w:r>
              <w:rPr>
                <w:spacing w:val="40"/>
                <w:sz w:val="16"/>
              </w:rPr>
              <w:t> </w:t>
            </w:r>
            <w:r>
              <w:rPr>
                <w:sz w:val="16"/>
              </w:rPr>
              <w:t>school</w:t>
            </w:r>
            <w:r>
              <w:rPr>
                <w:spacing w:val="-7"/>
                <w:sz w:val="16"/>
              </w:rPr>
              <w:t> </w:t>
            </w:r>
            <w:r>
              <w:rPr>
                <w:sz w:val="16"/>
              </w:rPr>
              <w:t>level</w:t>
            </w:r>
            <w:r>
              <w:rPr>
                <w:spacing w:val="-7"/>
                <w:sz w:val="16"/>
              </w:rPr>
              <w:t> </w:t>
            </w:r>
            <w:r>
              <w:rPr>
                <w:sz w:val="16"/>
              </w:rPr>
              <w:t>reports</w:t>
            </w:r>
            <w:r>
              <w:rPr>
                <w:spacing w:val="-5"/>
                <w:sz w:val="16"/>
              </w:rPr>
              <w:t> </w:t>
            </w:r>
            <w:r>
              <w:rPr>
                <w:sz w:val="16"/>
              </w:rPr>
              <w:t>(40%)</w:t>
            </w:r>
            <w:r>
              <w:rPr>
                <w:spacing w:val="40"/>
                <w:sz w:val="16"/>
              </w:rPr>
              <w:t> </w:t>
            </w:r>
            <w:r>
              <w:rPr>
                <w:sz w:val="16"/>
              </w:rPr>
              <w:t>Evidence</w:t>
            </w:r>
            <w:r>
              <w:rPr>
                <w:spacing w:val="-10"/>
                <w:sz w:val="16"/>
              </w:rPr>
              <w:t> </w:t>
            </w:r>
            <w:r>
              <w:rPr>
                <w:sz w:val="16"/>
              </w:rPr>
              <w:t>of</w:t>
            </w:r>
            <w:r>
              <w:rPr>
                <w:spacing w:val="-9"/>
                <w:sz w:val="16"/>
              </w:rPr>
              <w:t> </w:t>
            </w:r>
            <w:r>
              <w:rPr>
                <w:sz w:val="16"/>
              </w:rPr>
              <w:t>dissemination</w:t>
            </w:r>
            <w:r>
              <w:rPr>
                <w:spacing w:val="40"/>
                <w:sz w:val="16"/>
              </w:rPr>
              <w:t> </w:t>
            </w:r>
            <w:r>
              <w:rPr>
                <w:sz w:val="16"/>
              </w:rPr>
              <w:t>to</w:t>
            </w:r>
            <w:r>
              <w:rPr>
                <w:spacing w:val="-10"/>
                <w:sz w:val="16"/>
              </w:rPr>
              <w:t> </w:t>
            </w:r>
            <w:r>
              <w:rPr>
                <w:sz w:val="16"/>
              </w:rPr>
              <w:t>national,</w:t>
            </w:r>
            <w:r>
              <w:rPr>
                <w:spacing w:val="-9"/>
                <w:sz w:val="16"/>
              </w:rPr>
              <w:t> </w:t>
            </w:r>
            <w:r>
              <w:rPr>
                <w:sz w:val="16"/>
              </w:rPr>
              <w:t>provincial</w:t>
            </w:r>
            <w:r>
              <w:rPr>
                <w:spacing w:val="-9"/>
                <w:sz w:val="16"/>
              </w:rPr>
              <w:t> </w:t>
            </w:r>
            <w:r>
              <w:rPr>
                <w:sz w:val="16"/>
              </w:rPr>
              <w:t>and</w:t>
            </w:r>
            <w:r>
              <w:rPr>
                <w:spacing w:val="40"/>
                <w:sz w:val="16"/>
              </w:rPr>
              <w:t> </w:t>
            </w:r>
            <w:r>
              <w:rPr>
                <w:sz w:val="16"/>
              </w:rPr>
              <w:t>school level (e.g. meeting</w:t>
            </w:r>
            <w:r>
              <w:rPr>
                <w:spacing w:val="40"/>
                <w:sz w:val="16"/>
              </w:rPr>
              <w:t> </w:t>
            </w:r>
            <w:r>
              <w:rPr>
                <w:sz w:val="16"/>
              </w:rPr>
              <w:t>minutes, back to office</w:t>
            </w:r>
          </w:p>
          <w:p>
            <w:pPr>
              <w:pStyle w:val="TableParagraph"/>
              <w:spacing w:line="175" w:lineRule="exact"/>
              <w:ind w:left="108"/>
              <w:rPr>
                <w:sz w:val="16"/>
              </w:rPr>
            </w:pPr>
            <w:r>
              <w:rPr>
                <w:sz w:val="16"/>
              </w:rPr>
              <w:t>reports)</w:t>
            </w:r>
            <w:r>
              <w:rPr>
                <w:spacing w:val="-8"/>
                <w:sz w:val="16"/>
              </w:rPr>
              <w:t> </w:t>
            </w:r>
            <w:r>
              <w:rPr>
                <w:spacing w:val="-2"/>
                <w:sz w:val="16"/>
              </w:rPr>
              <w:t>(30%)</w:t>
            </w:r>
          </w:p>
        </w:tc>
        <w:tc>
          <w:tcPr>
            <w:tcW w:w="1397" w:type="dxa"/>
            <w:shd w:val="clear" w:color="auto" w:fill="A9D08E"/>
          </w:tcPr>
          <w:p>
            <w:pPr>
              <w:pStyle w:val="TableParagraph"/>
              <w:spacing w:line="194" w:lineRule="exact"/>
              <w:ind w:left="277" w:right="265"/>
              <w:jc w:val="center"/>
              <w:rPr>
                <w:sz w:val="16"/>
              </w:rPr>
            </w:pPr>
            <w:r>
              <w:rPr>
                <w:sz w:val="16"/>
              </w:rPr>
              <w:t>100%</w:t>
            </w:r>
            <w:r>
              <w:rPr>
                <w:spacing w:val="-2"/>
                <w:sz w:val="16"/>
              </w:rPr>
              <w:t> </w:t>
            </w:r>
            <w:r>
              <w:rPr>
                <w:sz w:val="16"/>
              </w:rPr>
              <w:t>(of</w:t>
            </w:r>
            <w:r>
              <w:rPr>
                <w:spacing w:val="-1"/>
                <w:sz w:val="16"/>
              </w:rPr>
              <w:t> </w:t>
            </w:r>
            <w:r>
              <w:rPr>
                <w:spacing w:val="-5"/>
                <w:sz w:val="16"/>
              </w:rPr>
              <w:t>70)</w:t>
            </w:r>
          </w:p>
        </w:tc>
        <w:tc>
          <w:tcPr>
            <w:tcW w:w="1440" w:type="dxa"/>
          </w:tcPr>
          <w:p>
            <w:pPr>
              <w:pStyle w:val="TableParagraph"/>
              <w:tabs>
                <w:tab w:pos="622" w:val="left" w:leader="none"/>
              </w:tabs>
              <w:spacing w:line="194" w:lineRule="exact"/>
              <w:ind w:right="94"/>
              <w:jc w:val="right"/>
              <w:rPr>
                <w:sz w:val="16"/>
              </w:rPr>
            </w:pPr>
            <w:r>
              <w:rPr>
                <w:spacing w:val="-10"/>
                <w:sz w:val="16"/>
              </w:rPr>
              <w:t>$</w:t>
            </w:r>
            <w:r>
              <w:rPr>
                <w:sz w:val="16"/>
              </w:rPr>
              <w:tab/>
            </w:r>
            <w:r>
              <w:rPr>
                <w:spacing w:val="-2"/>
                <w:sz w:val="16"/>
              </w:rPr>
              <w:t>80,000</w:t>
            </w:r>
          </w:p>
        </w:tc>
      </w:tr>
      <w:tr>
        <w:trPr>
          <w:trHeight w:val="976" w:hRule="atLeast"/>
        </w:trPr>
        <w:tc>
          <w:tcPr>
            <w:tcW w:w="1130" w:type="dxa"/>
            <w:vMerge/>
            <w:tcBorders>
              <w:top w:val="nil"/>
            </w:tcBorders>
          </w:tcPr>
          <w:p>
            <w:pPr>
              <w:rPr>
                <w:sz w:val="2"/>
                <w:szCs w:val="2"/>
              </w:rPr>
            </w:pPr>
          </w:p>
        </w:tc>
        <w:tc>
          <w:tcPr>
            <w:tcW w:w="1551" w:type="dxa"/>
            <w:vMerge/>
            <w:tcBorders>
              <w:top w:val="nil"/>
            </w:tcBorders>
          </w:tcPr>
          <w:p>
            <w:pPr>
              <w:rPr>
                <w:sz w:val="2"/>
                <w:szCs w:val="2"/>
              </w:rPr>
            </w:pPr>
          </w:p>
        </w:tc>
        <w:tc>
          <w:tcPr>
            <w:tcW w:w="1992" w:type="dxa"/>
          </w:tcPr>
          <w:p>
            <w:pPr>
              <w:pStyle w:val="TableParagraph"/>
              <w:ind w:left="108" w:right="143"/>
              <w:rPr>
                <w:sz w:val="16"/>
              </w:rPr>
            </w:pPr>
            <w:r>
              <w:rPr>
                <w:sz w:val="16"/>
              </w:rPr>
              <w:t>2.3.2 SISTA 2017 results</w:t>
            </w:r>
            <w:r>
              <w:rPr>
                <w:spacing w:val="40"/>
                <w:sz w:val="16"/>
              </w:rPr>
              <w:t> </w:t>
            </w:r>
            <w:r>
              <w:rPr>
                <w:sz w:val="16"/>
              </w:rPr>
              <w:t>show an improvement in</w:t>
            </w:r>
            <w:r>
              <w:rPr>
                <w:spacing w:val="40"/>
                <w:sz w:val="16"/>
              </w:rPr>
              <w:t> </w:t>
            </w:r>
            <w:r>
              <w:rPr>
                <w:sz w:val="16"/>
              </w:rPr>
              <w:t>both literacy and</w:t>
            </w:r>
            <w:r>
              <w:rPr>
                <w:spacing w:val="40"/>
                <w:sz w:val="16"/>
              </w:rPr>
              <w:t> </w:t>
            </w:r>
            <w:r>
              <w:rPr>
                <w:sz w:val="16"/>
              </w:rPr>
              <w:t>numeracy</w:t>
            </w:r>
            <w:r>
              <w:rPr>
                <w:spacing w:val="-10"/>
                <w:sz w:val="16"/>
              </w:rPr>
              <w:t> </w:t>
            </w:r>
            <w:r>
              <w:rPr>
                <w:sz w:val="16"/>
              </w:rPr>
              <w:t>for</w:t>
            </w:r>
            <w:r>
              <w:rPr>
                <w:spacing w:val="-9"/>
                <w:sz w:val="16"/>
              </w:rPr>
              <w:t> </w:t>
            </w:r>
            <w:r>
              <w:rPr>
                <w:sz w:val="16"/>
              </w:rPr>
              <w:t>both</w:t>
            </w:r>
            <w:r>
              <w:rPr>
                <w:spacing w:val="-9"/>
                <w:sz w:val="16"/>
              </w:rPr>
              <w:t> </w:t>
            </w:r>
            <w:r>
              <w:rPr>
                <w:sz w:val="16"/>
              </w:rPr>
              <w:t>grades</w:t>
            </w:r>
          </w:p>
          <w:p>
            <w:pPr>
              <w:pStyle w:val="TableParagraph"/>
              <w:spacing w:line="175" w:lineRule="exact"/>
              <w:ind w:left="108"/>
              <w:rPr>
                <w:sz w:val="16"/>
              </w:rPr>
            </w:pPr>
            <w:r>
              <w:rPr>
                <w:sz w:val="16"/>
              </w:rPr>
              <w:t>4</w:t>
            </w:r>
            <w:r>
              <w:rPr>
                <w:spacing w:val="-2"/>
                <w:sz w:val="16"/>
              </w:rPr>
              <w:t> </w:t>
            </w:r>
            <w:r>
              <w:rPr>
                <w:sz w:val="16"/>
              </w:rPr>
              <w:t>and</w:t>
            </w:r>
            <w:r>
              <w:rPr>
                <w:spacing w:val="-1"/>
                <w:sz w:val="16"/>
              </w:rPr>
              <w:t> </w:t>
            </w:r>
            <w:r>
              <w:rPr>
                <w:spacing w:val="-10"/>
                <w:sz w:val="16"/>
              </w:rPr>
              <w:t>6</w:t>
            </w:r>
          </w:p>
        </w:tc>
        <w:tc>
          <w:tcPr>
            <w:tcW w:w="1984" w:type="dxa"/>
          </w:tcPr>
          <w:p>
            <w:pPr>
              <w:pStyle w:val="TableParagraph"/>
              <w:ind w:left="108" w:right="98"/>
              <w:rPr>
                <w:sz w:val="16"/>
              </w:rPr>
            </w:pPr>
            <w:r>
              <w:rPr>
                <w:sz w:val="16"/>
              </w:rPr>
              <w:t>An average of all literacy</w:t>
            </w:r>
            <w:r>
              <w:rPr>
                <w:spacing w:val="40"/>
                <w:sz w:val="16"/>
              </w:rPr>
              <w:t> </w:t>
            </w:r>
            <w:r>
              <w:rPr>
                <w:sz w:val="16"/>
              </w:rPr>
              <w:t>domains</w:t>
            </w:r>
            <w:r>
              <w:rPr>
                <w:spacing w:val="-10"/>
                <w:sz w:val="16"/>
              </w:rPr>
              <w:t> </w:t>
            </w:r>
            <w:r>
              <w:rPr>
                <w:sz w:val="16"/>
              </w:rPr>
              <w:t>has</w:t>
            </w:r>
            <w:r>
              <w:rPr>
                <w:spacing w:val="-9"/>
                <w:sz w:val="16"/>
              </w:rPr>
              <w:t> </w:t>
            </w:r>
            <w:r>
              <w:rPr>
                <w:sz w:val="16"/>
              </w:rPr>
              <w:t>improved</w:t>
            </w:r>
            <w:r>
              <w:rPr>
                <w:spacing w:val="-9"/>
                <w:sz w:val="16"/>
              </w:rPr>
              <w:t> </w:t>
            </w:r>
            <w:r>
              <w:rPr>
                <w:sz w:val="16"/>
              </w:rPr>
              <w:t>and</w:t>
            </w:r>
            <w:r>
              <w:rPr>
                <w:spacing w:val="40"/>
                <w:sz w:val="16"/>
              </w:rPr>
              <w:t> </w:t>
            </w:r>
            <w:r>
              <w:rPr>
                <w:sz w:val="16"/>
              </w:rPr>
              <w:t>numeracy has improved</w:t>
            </w:r>
            <w:r>
              <w:rPr>
                <w:spacing w:val="40"/>
                <w:sz w:val="16"/>
              </w:rPr>
              <w:t> </w:t>
            </w:r>
            <w:r>
              <w:rPr>
                <w:spacing w:val="-2"/>
                <w:sz w:val="16"/>
              </w:rPr>
              <w:t>(30%)</w:t>
            </w:r>
          </w:p>
        </w:tc>
        <w:tc>
          <w:tcPr>
            <w:tcW w:w="1397" w:type="dxa"/>
            <w:shd w:val="clear" w:color="auto" w:fill="FFC000"/>
          </w:tcPr>
          <w:p>
            <w:pPr>
              <w:pStyle w:val="TableParagraph"/>
              <w:spacing w:line="194" w:lineRule="exact"/>
              <w:ind w:left="277" w:right="265"/>
              <w:jc w:val="center"/>
              <w:rPr>
                <w:sz w:val="16"/>
              </w:rPr>
            </w:pPr>
            <w:r>
              <w:rPr>
                <w:sz w:val="16"/>
              </w:rPr>
              <w:t>10%</w:t>
            </w:r>
            <w:r>
              <w:rPr>
                <w:spacing w:val="-2"/>
                <w:sz w:val="16"/>
              </w:rPr>
              <w:t> </w:t>
            </w:r>
            <w:r>
              <w:rPr>
                <w:sz w:val="16"/>
              </w:rPr>
              <w:t>(of</w:t>
            </w:r>
            <w:r>
              <w:rPr>
                <w:spacing w:val="-1"/>
                <w:sz w:val="16"/>
              </w:rPr>
              <w:t> </w:t>
            </w:r>
            <w:r>
              <w:rPr>
                <w:spacing w:val="-5"/>
                <w:sz w:val="16"/>
              </w:rPr>
              <w:t>30)</w:t>
            </w:r>
          </w:p>
        </w:tc>
        <w:tc>
          <w:tcPr>
            <w:tcW w:w="1440" w:type="dxa"/>
          </w:tcPr>
          <w:p>
            <w:pPr>
              <w:pStyle w:val="TableParagraph"/>
              <w:tabs>
                <w:tab w:pos="694" w:val="left" w:leader="none"/>
              </w:tabs>
              <w:spacing w:line="194" w:lineRule="exact"/>
              <w:ind w:right="94"/>
              <w:jc w:val="right"/>
              <w:rPr>
                <w:sz w:val="16"/>
              </w:rPr>
            </w:pPr>
            <w:r>
              <w:rPr>
                <w:spacing w:val="-10"/>
                <w:sz w:val="16"/>
              </w:rPr>
              <w:t>$</w:t>
            </w:r>
            <w:r>
              <w:rPr>
                <w:sz w:val="16"/>
              </w:rPr>
              <w:tab/>
            </w:r>
            <w:r>
              <w:rPr>
                <w:spacing w:val="-2"/>
                <w:sz w:val="16"/>
              </w:rPr>
              <w:t>3,429</w:t>
            </w:r>
          </w:p>
        </w:tc>
      </w:tr>
      <w:tr>
        <w:trPr>
          <w:trHeight w:val="1173" w:hRule="atLeast"/>
        </w:trPr>
        <w:tc>
          <w:tcPr>
            <w:tcW w:w="1130" w:type="dxa"/>
            <w:vMerge/>
            <w:tcBorders>
              <w:top w:val="nil"/>
            </w:tcBorders>
          </w:tcPr>
          <w:p>
            <w:pPr>
              <w:rPr>
                <w:sz w:val="2"/>
                <w:szCs w:val="2"/>
              </w:rPr>
            </w:pPr>
          </w:p>
        </w:tc>
        <w:tc>
          <w:tcPr>
            <w:tcW w:w="1551" w:type="dxa"/>
            <w:vMerge w:val="restart"/>
          </w:tcPr>
          <w:p>
            <w:pPr>
              <w:pStyle w:val="TableParagraph"/>
              <w:ind w:left="105" w:right="268"/>
              <w:jc w:val="both"/>
              <w:rPr>
                <w:b/>
                <w:sz w:val="16"/>
              </w:rPr>
            </w:pPr>
            <w:r>
              <w:rPr>
                <w:b/>
                <w:sz w:val="16"/>
              </w:rPr>
              <w:t>2.4</w:t>
            </w:r>
            <w:r>
              <w:rPr>
                <w:b/>
                <w:spacing w:val="-10"/>
                <w:sz w:val="16"/>
              </w:rPr>
              <w:t> </w:t>
            </w:r>
            <w:r>
              <w:rPr>
                <w:b/>
                <w:sz w:val="16"/>
              </w:rPr>
              <w:t>Percentage</w:t>
            </w:r>
            <w:r>
              <w:rPr>
                <w:b/>
                <w:spacing w:val="-9"/>
                <w:sz w:val="16"/>
              </w:rPr>
              <w:t> </w:t>
            </w:r>
            <w:r>
              <w:rPr>
                <w:b/>
                <w:sz w:val="16"/>
              </w:rPr>
              <w:t>of</w:t>
            </w:r>
            <w:r>
              <w:rPr>
                <w:b/>
                <w:spacing w:val="40"/>
                <w:sz w:val="16"/>
              </w:rPr>
              <w:t> </w:t>
            </w:r>
            <w:r>
              <w:rPr>
                <w:b/>
                <w:sz w:val="16"/>
              </w:rPr>
              <w:t>certified</w:t>
            </w:r>
            <w:r>
              <w:rPr>
                <w:b/>
                <w:spacing w:val="-10"/>
                <w:sz w:val="16"/>
              </w:rPr>
              <w:t> </w:t>
            </w:r>
            <w:r>
              <w:rPr>
                <w:b/>
                <w:sz w:val="16"/>
              </w:rPr>
              <w:t>teachers</w:t>
            </w:r>
            <w:r>
              <w:rPr>
                <w:b/>
                <w:spacing w:val="40"/>
                <w:sz w:val="16"/>
              </w:rPr>
              <w:t> </w:t>
            </w:r>
            <w:r>
              <w:rPr>
                <w:b/>
                <w:sz w:val="16"/>
              </w:rPr>
              <w:t>by</w:t>
            </w:r>
            <w:r>
              <w:rPr>
                <w:b/>
                <w:spacing w:val="-5"/>
                <w:sz w:val="16"/>
              </w:rPr>
              <w:t> </w:t>
            </w:r>
            <w:r>
              <w:rPr>
                <w:b/>
                <w:sz w:val="16"/>
              </w:rPr>
              <w:t>gender</w:t>
            </w:r>
          </w:p>
        </w:tc>
        <w:tc>
          <w:tcPr>
            <w:tcW w:w="1992" w:type="dxa"/>
          </w:tcPr>
          <w:p>
            <w:pPr>
              <w:pStyle w:val="TableParagraph"/>
              <w:ind w:left="108" w:right="143"/>
              <w:rPr>
                <w:sz w:val="16"/>
              </w:rPr>
            </w:pPr>
            <w:r>
              <w:rPr>
                <w:sz w:val="16"/>
              </w:rPr>
              <w:t>2.4.1</w:t>
            </w:r>
            <w:r>
              <w:rPr>
                <w:spacing w:val="33"/>
                <w:sz w:val="16"/>
              </w:rPr>
              <w:t> </w:t>
            </w:r>
            <w:r>
              <w:rPr>
                <w:sz w:val="16"/>
              </w:rPr>
              <w:t>By</w:t>
            </w:r>
            <w:r>
              <w:rPr>
                <w:spacing w:val="-2"/>
                <w:sz w:val="16"/>
              </w:rPr>
              <w:t> </w:t>
            </w:r>
            <w:r>
              <w:rPr>
                <w:sz w:val="16"/>
              </w:rPr>
              <w:t>the</w:t>
            </w:r>
            <w:r>
              <w:rPr>
                <w:spacing w:val="-3"/>
                <w:sz w:val="16"/>
              </w:rPr>
              <w:t> </w:t>
            </w:r>
            <w:r>
              <w:rPr>
                <w:sz w:val="16"/>
              </w:rPr>
              <w:t>end</w:t>
            </w:r>
            <w:r>
              <w:rPr>
                <w:spacing w:val="-2"/>
                <w:sz w:val="16"/>
              </w:rPr>
              <w:t> </w:t>
            </w:r>
            <w:r>
              <w:rPr>
                <w:sz w:val="16"/>
              </w:rPr>
              <w:t>of</w:t>
            </w:r>
            <w:r>
              <w:rPr>
                <w:spacing w:val="-2"/>
                <w:sz w:val="16"/>
              </w:rPr>
              <w:t> </w:t>
            </w:r>
            <w:r>
              <w:rPr>
                <w:sz w:val="16"/>
              </w:rPr>
              <w:t>2018,</w:t>
            </w:r>
            <w:r>
              <w:rPr>
                <w:spacing w:val="40"/>
                <w:sz w:val="16"/>
              </w:rPr>
              <w:t> </w:t>
            </w:r>
            <w:r>
              <w:rPr>
                <w:sz w:val="16"/>
              </w:rPr>
              <w:t>delivery</w:t>
            </w:r>
            <w:r>
              <w:rPr>
                <w:spacing w:val="-10"/>
                <w:sz w:val="16"/>
              </w:rPr>
              <w:t> </w:t>
            </w:r>
            <w:r>
              <w:rPr>
                <w:sz w:val="16"/>
              </w:rPr>
              <w:t>of</w:t>
            </w:r>
            <w:r>
              <w:rPr>
                <w:spacing w:val="-9"/>
                <w:sz w:val="16"/>
              </w:rPr>
              <w:t> </w:t>
            </w:r>
            <w:r>
              <w:rPr>
                <w:sz w:val="16"/>
              </w:rPr>
              <w:t>USP</w:t>
            </w:r>
            <w:r>
              <w:rPr>
                <w:spacing w:val="-9"/>
                <w:sz w:val="16"/>
              </w:rPr>
              <w:t> </w:t>
            </w:r>
            <w:r>
              <w:rPr>
                <w:sz w:val="16"/>
              </w:rPr>
              <w:t>Certificate</w:t>
            </w:r>
            <w:r>
              <w:rPr>
                <w:spacing w:val="40"/>
                <w:sz w:val="16"/>
              </w:rPr>
              <w:t> </w:t>
            </w:r>
            <w:r>
              <w:rPr>
                <w:sz w:val="16"/>
              </w:rPr>
              <w:t>in Teaching Primary</w:t>
            </w:r>
            <w:r>
              <w:rPr>
                <w:spacing w:val="40"/>
                <w:sz w:val="16"/>
              </w:rPr>
              <w:t> </w:t>
            </w:r>
            <w:r>
              <w:rPr>
                <w:sz w:val="16"/>
              </w:rPr>
              <w:t>(courses ED152 and</w:t>
            </w:r>
            <w:r>
              <w:rPr>
                <w:spacing w:val="40"/>
                <w:sz w:val="16"/>
              </w:rPr>
              <w:t> </w:t>
            </w:r>
            <w:r>
              <w:rPr>
                <w:sz w:val="16"/>
              </w:rPr>
              <w:t>ED100) for 75 untrained</w:t>
            </w:r>
          </w:p>
          <w:p>
            <w:pPr>
              <w:pStyle w:val="TableParagraph"/>
              <w:spacing w:line="178" w:lineRule="exact"/>
              <w:ind w:left="108"/>
              <w:rPr>
                <w:sz w:val="16"/>
              </w:rPr>
            </w:pPr>
            <w:r>
              <w:rPr>
                <w:sz w:val="16"/>
              </w:rPr>
              <w:t>teachers</w:t>
            </w:r>
            <w:r>
              <w:rPr>
                <w:spacing w:val="-11"/>
                <w:sz w:val="16"/>
              </w:rPr>
              <w:t> </w:t>
            </w:r>
            <w:r>
              <w:rPr>
                <w:spacing w:val="-2"/>
                <w:sz w:val="16"/>
              </w:rPr>
              <w:t>completed</w:t>
            </w:r>
          </w:p>
        </w:tc>
        <w:tc>
          <w:tcPr>
            <w:tcW w:w="1984" w:type="dxa"/>
          </w:tcPr>
          <w:p>
            <w:pPr>
              <w:pStyle w:val="TableParagraph"/>
              <w:ind w:left="108" w:right="98"/>
              <w:rPr>
                <w:sz w:val="16"/>
              </w:rPr>
            </w:pPr>
            <w:r>
              <w:rPr>
                <w:sz w:val="16"/>
              </w:rPr>
              <w:t>Untrained</w:t>
            </w:r>
            <w:r>
              <w:rPr>
                <w:spacing w:val="-10"/>
                <w:sz w:val="16"/>
              </w:rPr>
              <w:t> </w:t>
            </w:r>
            <w:r>
              <w:rPr>
                <w:sz w:val="16"/>
              </w:rPr>
              <w:t>teachers</w:t>
            </w:r>
            <w:r>
              <w:rPr>
                <w:spacing w:val="-9"/>
                <w:sz w:val="16"/>
              </w:rPr>
              <w:t> </w:t>
            </w:r>
            <w:r>
              <w:rPr>
                <w:sz w:val="16"/>
              </w:rPr>
              <w:t>(target</w:t>
            </w:r>
            <w:r>
              <w:rPr>
                <w:spacing w:val="40"/>
                <w:sz w:val="16"/>
              </w:rPr>
              <w:t> </w:t>
            </w:r>
            <w:r>
              <w:rPr>
                <w:sz w:val="16"/>
              </w:rPr>
              <w:t>of 75) complete both</w:t>
            </w:r>
            <w:r>
              <w:rPr>
                <w:spacing w:val="40"/>
                <w:sz w:val="16"/>
              </w:rPr>
              <w:t> </w:t>
            </w:r>
            <w:r>
              <w:rPr>
                <w:sz w:val="16"/>
              </w:rPr>
              <w:t>courses as reported in</w:t>
            </w:r>
            <w:r>
              <w:rPr>
                <w:spacing w:val="40"/>
                <w:sz w:val="16"/>
              </w:rPr>
              <w:t> </w:t>
            </w:r>
            <w:r>
              <w:rPr>
                <w:sz w:val="16"/>
              </w:rPr>
              <w:t>Annual</w:t>
            </w:r>
            <w:r>
              <w:rPr>
                <w:spacing w:val="-6"/>
                <w:sz w:val="16"/>
              </w:rPr>
              <w:t> </w:t>
            </w:r>
            <w:r>
              <w:rPr>
                <w:sz w:val="16"/>
              </w:rPr>
              <w:t>Report</w:t>
            </w:r>
            <w:r>
              <w:rPr>
                <w:spacing w:val="-6"/>
                <w:sz w:val="16"/>
              </w:rPr>
              <w:t> </w:t>
            </w:r>
            <w:r>
              <w:rPr>
                <w:sz w:val="16"/>
              </w:rPr>
              <w:t>2018</w:t>
            </w:r>
            <w:r>
              <w:rPr>
                <w:spacing w:val="-5"/>
                <w:sz w:val="16"/>
              </w:rPr>
              <w:t> </w:t>
            </w:r>
            <w:r>
              <w:rPr>
                <w:sz w:val="16"/>
              </w:rPr>
              <w:t>(30%)</w:t>
            </w:r>
          </w:p>
        </w:tc>
        <w:tc>
          <w:tcPr>
            <w:tcW w:w="1397" w:type="dxa"/>
            <w:shd w:val="clear" w:color="auto" w:fill="A9D08E"/>
          </w:tcPr>
          <w:p>
            <w:pPr>
              <w:pStyle w:val="TableParagraph"/>
              <w:spacing w:line="194" w:lineRule="exact"/>
              <w:ind w:left="277" w:right="265"/>
              <w:jc w:val="center"/>
              <w:rPr>
                <w:sz w:val="16"/>
              </w:rPr>
            </w:pPr>
            <w:r>
              <w:rPr>
                <w:sz w:val="16"/>
              </w:rPr>
              <w:t>100%</w:t>
            </w:r>
            <w:r>
              <w:rPr>
                <w:spacing w:val="-2"/>
                <w:sz w:val="16"/>
              </w:rPr>
              <w:t> </w:t>
            </w:r>
            <w:r>
              <w:rPr>
                <w:sz w:val="16"/>
              </w:rPr>
              <w:t>(of</w:t>
            </w:r>
            <w:r>
              <w:rPr>
                <w:spacing w:val="-1"/>
                <w:sz w:val="16"/>
              </w:rPr>
              <w:t> </w:t>
            </w:r>
            <w:r>
              <w:rPr>
                <w:spacing w:val="-5"/>
                <w:sz w:val="16"/>
              </w:rPr>
              <w:t>30)</w:t>
            </w:r>
          </w:p>
        </w:tc>
        <w:tc>
          <w:tcPr>
            <w:tcW w:w="1440" w:type="dxa"/>
          </w:tcPr>
          <w:p>
            <w:pPr>
              <w:pStyle w:val="TableParagraph"/>
              <w:tabs>
                <w:tab w:pos="622" w:val="left" w:leader="none"/>
              </w:tabs>
              <w:spacing w:line="194" w:lineRule="exact"/>
              <w:ind w:right="94"/>
              <w:jc w:val="right"/>
              <w:rPr>
                <w:sz w:val="16"/>
              </w:rPr>
            </w:pPr>
            <w:r>
              <w:rPr>
                <w:spacing w:val="-10"/>
                <w:sz w:val="16"/>
              </w:rPr>
              <w:t>$</w:t>
            </w:r>
            <w:r>
              <w:rPr>
                <w:sz w:val="16"/>
              </w:rPr>
              <w:tab/>
            </w:r>
            <w:r>
              <w:rPr>
                <w:spacing w:val="-2"/>
                <w:sz w:val="16"/>
              </w:rPr>
              <w:t>34,286</w:t>
            </w:r>
          </w:p>
        </w:tc>
      </w:tr>
      <w:tr>
        <w:trPr>
          <w:trHeight w:val="779" w:hRule="atLeast"/>
        </w:trPr>
        <w:tc>
          <w:tcPr>
            <w:tcW w:w="1130" w:type="dxa"/>
            <w:vMerge/>
            <w:tcBorders>
              <w:top w:val="nil"/>
            </w:tcBorders>
          </w:tcPr>
          <w:p>
            <w:pPr>
              <w:rPr>
                <w:sz w:val="2"/>
                <w:szCs w:val="2"/>
              </w:rPr>
            </w:pPr>
          </w:p>
        </w:tc>
        <w:tc>
          <w:tcPr>
            <w:tcW w:w="1551" w:type="dxa"/>
            <w:vMerge/>
            <w:tcBorders>
              <w:top w:val="nil"/>
            </w:tcBorders>
          </w:tcPr>
          <w:p>
            <w:pPr>
              <w:rPr>
                <w:sz w:val="2"/>
                <w:szCs w:val="2"/>
              </w:rPr>
            </w:pPr>
          </w:p>
        </w:tc>
        <w:tc>
          <w:tcPr>
            <w:tcW w:w="1992" w:type="dxa"/>
          </w:tcPr>
          <w:p>
            <w:pPr>
              <w:pStyle w:val="TableParagraph"/>
              <w:ind w:left="108" w:right="70"/>
              <w:rPr>
                <w:sz w:val="16"/>
              </w:rPr>
            </w:pPr>
            <w:r>
              <w:rPr>
                <w:sz w:val="16"/>
              </w:rPr>
              <w:t>2.4.2</w:t>
            </w:r>
            <w:r>
              <w:rPr>
                <w:spacing w:val="26"/>
                <w:sz w:val="16"/>
              </w:rPr>
              <w:t> </w:t>
            </w:r>
            <w:r>
              <w:rPr>
                <w:sz w:val="16"/>
              </w:rPr>
              <w:t>By</w:t>
            </w:r>
            <w:r>
              <w:rPr>
                <w:spacing w:val="-6"/>
                <w:sz w:val="16"/>
              </w:rPr>
              <w:t> </w:t>
            </w:r>
            <w:r>
              <w:rPr>
                <w:sz w:val="16"/>
              </w:rPr>
              <w:t>the</w:t>
            </w:r>
            <w:r>
              <w:rPr>
                <w:spacing w:val="-7"/>
                <w:sz w:val="16"/>
              </w:rPr>
              <w:t> </w:t>
            </w:r>
            <w:r>
              <w:rPr>
                <w:sz w:val="16"/>
              </w:rPr>
              <w:t>end</w:t>
            </w:r>
            <w:r>
              <w:rPr>
                <w:spacing w:val="-6"/>
                <w:sz w:val="16"/>
              </w:rPr>
              <w:t> </w:t>
            </w:r>
            <w:r>
              <w:rPr>
                <w:sz w:val="16"/>
              </w:rPr>
              <w:t>of</w:t>
            </w:r>
            <w:r>
              <w:rPr>
                <w:spacing w:val="-6"/>
                <w:sz w:val="16"/>
              </w:rPr>
              <w:t> </w:t>
            </w:r>
            <w:r>
              <w:rPr>
                <w:sz w:val="16"/>
              </w:rPr>
              <w:t>2018,</w:t>
            </w:r>
            <w:r>
              <w:rPr>
                <w:spacing w:val="-5"/>
                <w:sz w:val="16"/>
              </w:rPr>
              <w:t> </w:t>
            </w:r>
            <w:r>
              <w:rPr>
                <w:sz w:val="16"/>
              </w:rPr>
              <w:t>a</w:t>
            </w:r>
            <w:r>
              <w:rPr>
                <w:spacing w:val="40"/>
                <w:sz w:val="16"/>
              </w:rPr>
              <w:t> </w:t>
            </w:r>
            <w:r>
              <w:rPr>
                <w:sz w:val="16"/>
              </w:rPr>
              <w:t>Teacher Supply and</w:t>
            </w:r>
            <w:r>
              <w:rPr>
                <w:spacing w:val="40"/>
                <w:sz w:val="16"/>
              </w:rPr>
              <w:t> </w:t>
            </w:r>
            <w:r>
              <w:rPr>
                <w:sz w:val="16"/>
              </w:rPr>
              <w:t>Demand study endorsed</w:t>
            </w:r>
          </w:p>
          <w:p>
            <w:pPr>
              <w:pStyle w:val="TableParagraph"/>
              <w:spacing w:line="175" w:lineRule="exact"/>
              <w:ind w:left="108"/>
              <w:rPr>
                <w:sz w:val="16"/>
              </w:rPr>
            </w:pPr>
            <w:r>
              <w:rPr>
                <w:sz w:val="16"/>
              </w:rPr>
              <w:t>by</w:t>
            </w:r>
            <w:r>
              <w:rPr>
                <w:spacing w:val="-3"/>
                <w:sz w:val="16"/>
              </w:rPr>
              <w:t> </w:t>
            </w:r>
            <w:r>
              <w:rPr>
                <w:spacing w:val="-5"/>
                <w:sz w:val="16"/>
              </w:rPr>
              <w:t>SMT</w:t>
            </w:r>
          </w:p>
        </w:tc>
        <w:tc>
          <w:tcPr>
            <w:tcW w:w="1984" w:type="dxa"/>
          </w:tcPr>
          <w:p>
            <w:pPr>
              <w:pStyle w:val="TableParagraph"/>
              <w:ind w:left="108" w:right="98"/>
              <w:rPr>
                <w:sz w:val="16"/>
              </w:rPr>
            </w:pPr>
            <w:r>
              <w:rPr>
                <w:sz w:val="16"/>
              </w:rPr>
              <w:t>A</w:t>
            </w:r>
            <w:r>
              <w:rPr>
                <w:spacing w:val="-10"/>
                <w:sz w:val="16"/>
              </w:rPr>
              <w:t> </w:t>
            </w:r>
            <w:r>
              <w:rPr>
                <w:sz w:val="16"/>
              </w:rPr>
              <w:t>quality</w:t>
            </w:r>
            <w:r>
              <w:rPr>
                <w:spacing w:val="-9"/>
                <w:sz w:val="16"/>
              </w:rPr>
              <w:t> </w:t>
            </w:r>
            <w:r>
              <w:rPr>
                <w:sz w:val="16"/>
              </w:rPr>
              <w:t>Teacher</w:t>
            </w:r>
            <w:r>
              <w:rPr>
                <w:spacing w:val="-9"/>
                <w:sz w:val="16"/>
              </w:rPr>
              <w:t> </w:t>
            </w:r>
            <w:r>
              <w:rPr>
                <w:sz w:val="16"/>
              </w:rPr>
              <w:t>Supply</w:t>
            </w:r>
            <w:r>
              <w:rPr>
                <w:spacing w:val="40"/>
                <w:sz w:val="16"/>
              </w:rPr>
              <w:t> </w:t>
            </w:r>
            <w:r>
              <w:rPr>
                <w:sz w:val="16"/>
              </w:rPr>
              <w:t>and Demand study</w:t>
            </w:r>
            <w:r>
              <w:rPr>
                <w:spacing w:val="40"/>
                <w:sz w:val="16"/>
              </w:rPr>
              <w:t> </w:t>
            </w:r>
            <w:r>
              <w:rPr>
                <w:sz w:val="16"/>
              </w:rPr>
              <w:t>endorsed by SMT (70%)</w:t>
            </w:r>
          </w:p>
        </w:tc>
        <w:tc>
          <w:tcPr>
            <w:tcW w:w="1397" w:type="dxa"/>
            <w:shd w:val="clear" w:color="auto" w:fill="FF0000"/>
          </w:tcPr>
          <w:p>
            <w:pPr>
              <w:pStyle w:val="TableParagraph"/>
              <w:spacing w:line="194" w:lineRule="exact"/>
              <w:ind w:left="277" w:right="264"/>
              <w:jc w:val="center"/>
              <w:rPr>
                <w:sz w:val="16"/>
              </w:rPr>
            </w:pPr>
            <w:r>
              <w:rPr>
                <w:spacing w:val="-5"/>
                <w:sz w:val="16"/>
              </w:rPr>
              <w:t>0%</w:t>
            </w:r>
          </w:p>
        </w:tc>
        <w:tc>
          <w:tcPr>
            <w:tcW w:w="1440" w:type="dxa"/>
          </w:tcPr>
          <w:p>
            <w:pPr>
              <w:pStyle w:val="TableParagraph"/>
              <w:tabs>
                <w:tab w:pos="912" w:val="left" w:leader="none"/>
              </w:tabs>
              <w:spacing w:line="194" w:lineRule="exact"/>
              <w:ind w:right="95"/>
              <w:jc w:val="right"/>
              <w:rPr>
                <w:sz w:val="16"/>
              </w:rPr>
            </w:pPr>
            <w:r>
              <w:rPr>
                <w:spacing w:val="-10"/>
                <w:sz w:val="16"/>
              </w:rPr>
              <w:t>$</w:t>
            </w:r>
            <w:r>
              <w:rPr>
                <w:sz w:val="16"/>
              </w:rPr>
              <w:tab/>
            </w:r>
            <w:r>
              <w:rPr>
                <w:spacing w:val="-10"/>
                <w:sz w:val="16"/>
              </w:rPr>
              <w:t>-</w:t>
            </w:r>
          </w:p>
        </w:tc>
      </w:tr>
      <w:tr>
        <w:trPr>
          <w:trHeight w:val="1173" w:hRule="atLeast"/>
        </w:trPr>
        <w:tc>
          <w:tcPr>
            <w:tcW w:w="1130" w:type="dxa"/>
            <w:vMerge w:val="restart"/>
          </w:tcPr>
          <w:p>
            <w:pPr>
              <w:pStyle w:val="TableParagraph"/>
              <w:spacing w:line="195" w:lineRule="exact" w:before="1"/>
              <w:ind w:left="107"/>
              <w:rPr>
                <w:b/>
                <w:sz w:val="16"/>
              </w:rPr>
            </w:pPr>
            <w:r>
              <w:rPr>
                <w:b/>
                <w:spacing w:val="-2"/>
                <w:sz w:val="16"/>
              </w:rPr>
              <w:t>QUALITY</w:t>
            </w:r>
          </w:p>
          <w:p>
            <w:pPr>
              <w:pStyle w:val="TableParagraph"/>
              <w:spacing w:line="195" w:lineRule="exact"/>
              <w:ind w:left="107"/>
              <w:rPr>
                <w:b/>
                <w:sz w:val="16"/>
              </w:rPr>
            </w:pPr>
            <w:r>
              <w:rPr>
                <w:b/>
                <w:sz w:val="16"/>
              </w:rPr>
              <w:t>(48) </w:t>
            </w:r>
            <w:r>
              <w:rPr>
                <w:b/>
                <w:spacing w:val="-5"/>
                <w:sz w:val="16"/>
              </w:rPr>
              <w:t>TBA</w:t>
            </w:r>
          </w:p>
        </w:tc>
        <w:tc>
          <w:tcPr>
            <w:tcW w:w="1551" w:type="dxa"/>
            <w:vMerge w:val="restart"/>
          </w:tcPr>
          <w:p>
            <w:pPr>
              <w:pStyle w:val="TableParagraph"/>
              <w:spacing w:before="1"/>
              <w:ind w:left="105" w:right="263"/>
              <w:rPr>
                <w:b/>
                <w:sz w:val="16"/>
              </w:rPr>
            </w:pPr>
            <w:r>
              <w:rPr>
                <w:b/>
                <w:sz w:val="16"/>
              </w:rPr>
              <w:t>2.5</w:t>
            </w:r>
            <w:r>
              <w:rPr>
                <w:b/>
                <w:spacing w:val="40"/>
                <w:sz w:val="16"/>
              </w:rPr>
              <w:t> </w:t>
            </w:r>
            <w:r>
              <w:rPr>
                <w:b/>
                <w:sz w:val="16"/>
              </w:rPr>
              <w:t>School grant</w:t>
            </w:r>
            <w:r>
              <w:rPr>
                <w:b/>
                <w:spacing w:val="40"/>
                <w:sz w:val="16"/>
              </w:rPr>
              <w:t> </w:t>
            </w:r>
            <w:r>
              <w:rPr>
                <w:b/>
                <w:sz w:val="16"/>
              </w:rPr>
              <w:t>expenditure</w:t>
            </w:r>
            <w:r>
              <w:rPr>
                <w:b/>
                <w:spacing w:val="-10"/>
                <w:sz w:val="16"/>
              </w:rPr>
              <w:t> </w:t>
            </w:r>
            <w:r>
              <w:rPr>
                <w:b/>
                <w:sz w:val="16"/>
              </w:rPr>
              <w:t>used</w:t>
            </w:r>
            <w:r>
              <w:rPr>
                <w:b/>
                <w:spacing w:val="40"/>
                <w:sz w:val="16"/>
              </w:rPr>
              <w:t> </w:t>
            </w:r>
            <w:r>
              <w:rPr>
                <w:b/>
                <w:sz w:val="16"/>
              </w:rPr>
              <w:t>for</w:t>
            </w:r>
            <w:r>
              <w:rPr>
                <w:b/>
                <w:spacing w:val="-5"/>
                <w:sz w:val="16"/>
              </w:rPr>
              <w:t> </w:t>
            </w:r>
            <w:r>
              <w:rPr>
                <w:b/>
                <w:sz w:val="16"/>
              </w:rPr>
              <w:t>learning</w:t>
            </w:r>
            <w:r>
              <w:rPr>
                <w:b/>
                <w:spacing w:val="40"/>
                <w:sz w:val="16"/>
              </w:rPr>
              <w:t> </w:t>
            </w:r>
            <w:r>
              <w:rPr>
                <w:b/>
                <w:spacing w:val="-2"/>
                <w:sz w:val="16"/>
              </w:rPr>
              <w:t>materials</w:t>
            </w:r>
          </w:p>
        </w:tc>
        <w:tc>
          <w:tcPr>
            <w:tcW w:w="1992" w:type="dxa"/>
          </w:tcPr>
          <w:p>
            <w:pPr>
              <w:pStyle w:val="TableParagraph"/>
              <w:spacing w:before="1"/>
              <w:ind w:left="108" w:right="115"/>
              <w:rPr>
                <w:sz w:val="16"/>
              </w:rPr>
            </w:pPr>
            <w:r>
              <w:rPr>
                <w:sz w:val="16"/>
              </w:rPr>
              <w:t>2.5.1</w:t>
            </w:r>
            <w:r>
              <w:rPr>
                <w:spacing w:val="73"/>
                <w:sz w:val="16"/>
              </w:rPr>
              <w:t> </w:t>
            </w:r>
            <w:r>
              <w:rPr>
                <w:sz w:val="16"/>
              </w:rPr>
              <w:t>By</w:t>
            </w:r>
            <w:r>
              <w:rPr>
                <w:spacing w:val="-1"/>
                <w:sz w:val="16"/>
              </w:rPr>
              <w:t> </w:t>
            </w:r>
            <w:r>
              <w:rPr>
                <w:sz w:val="16"/>
              </w:rPr>
              <w:t>the</w:t>
            </w:r>
            <w:r>
              <w:rPr>
                <w:spacing w:val="-2"/>
                <w:sz w:val="16"/>
              </w:rPr>
              <w:t> </w:t>
            </w:r>
            <w:r>
              <w:rPr>
                <w:sz w:val="16"/>
              </w:rPr>
              <w:t>end</w:t>
            </w:r>
            <w:r>
              <w:rPr>
                <w:spacing w:val="-1"/>
                <w:sz w:val="16"/>
              </w:rPr>
              <w:t> </w:t>
            </w:r>
            <w:r>
              <w:rPr>
                <w:sz w:val="16"/>
              </w:rPr>
              <w:t>of</w:t>
            </w:r>
            <w:r>
              <w:rPr>
                <w:spacing w:val="-1"/>
                <w:sz w:val="16"/>
              </w:rPr>
              <w:t> </w:t>
            </w:r>
            <w:r>
              <w:rPr>
                <w:sz w:val="16"/>
              </w:rPr>
              <w:t>2018,</w:t>
            </w:r>
            <w:r>
              <w:rPr>
                <w:spacing w:val="40"/>
                <w:sz w:val="16"/>
              </w:rPr>
              <w:t> </w:t>
            </w:r>
            <w:r>
              <w:rPr>
                <w:sz w:val="16"/>
              </w:rPr>
              <w:t>school grants (Secondary,</w:t>
            </w:r>
            <w:r>
              <w:rPr>
                <w:spacing w:val="40"/>
                <w:sz w:val="16"/>
              </w:rPr>
              <w:t> </w:t>
            </w:r>
            <w:r>
              <w:rPr>
                <w:sz w:val="16"/>
              </w:rPr>
              <w:t>Primary</w:t>
            </w:r>
            <w:r>
              <w:rPr>
                <w:spacing w:val="-10"/>
                <w:sz w:val="16"/>
              </w:rPr>
              <w:t> </w:t>
            </w:r>
            <w:r>
              <w:rPr>
                <w:sz w:val="16"/>
              </w:rPr>
              <w:t>and</w:t>
            </w:r>
            <w:r>
              <w:rPr>
                <w:spacing w:val="-9"/>
                <w:sz w:val="16"/>
              </w:rPr>
              <w:t> </w:t>
            </w:r>
            <w:r>
              <w:rPr>
                <w:sz w:val="16"/>
              </w:rPr>
              <w:t>TVET)</w:t>
            </w:r>
            <w:r>
              <w:rPr>
                <w:spacing w:val="-9"/>
                <w:sz w:val="16"/>
              </w:rPr>
              <w:t> </w:t>
            </w:r>
            <w:r>
              <w:rPr>
                <w:sz w:val="16"/>
              </w:rPr>
              <w:t>training</w:t>
            </w:r>
            <w:r>
              <w:rPr>
                <w:spacing w:val="40"/>
                <w:sz w:val="16"/>
              </w:rPr>
              <w:t> </w:t>
            </w:r>
            <w:r>
              <w:rPr>
                <w:sz w:val="16"/>
              </w:rPr>
              <w:t>completed in three</w:t>
            </w:r>
            <w:r>
              <w:rPr>
                <w:spacing w:val="40"/>
                <w:sz w:val="16"/>
              </w:rPr>
              <w:t> </w:t>
            </w:r>
            <w:r>
              <w:rPr>
                <w:spacing w:val="-2"/>
                <w:sz w:val="16"/>
              </w:rPr>
              <w:t>provinces</w:t>
            </w:r>
          </w:p>
        </w:tc>
        <w:tc>
          <w:tcPr>
            <w:tcW w:w="1984" w:type="dxa"/>
          </w:tcPr>
          <w:p>
            <w:pPr>
              <w:pStyle w:val="TableParagraph"/>
              <w:spacing w:before="1"/>
              <w:ind w:left="108" w:right="98"/>
              <w:rPr>
                <w:sz w:val="16"/>
              </w:rPr>
            </w:pPr>
            <w:r>
              <w:rPr>
                <w:sz w:val="16"/>
              </w:rPr>
              <w:t>Training</w:t>
            </w:r>
            <w:r>
              <w:rPr>
                <w:spacing w:val="-9"/>
                <w:sz w:val="16"/>
              </w:rPr>
              <w:t> </w:t>
            </w:r>
            <w:r>
              <w:rPr>
                <w:sz w:val="16"/>
              </w:rPr>
              <w:t>that</w:t>
            </w:r>
            <w:r>
              <w:rPr>
                <w:spacing w:val="-9"/>
                <w:sz w:val="16"/>
              </w:rPr>
              <w:t> </w:t>
            </w:r>
            <w:r>
              <w:rPr>
                <w:sz w:val="16"/>
              </w:rPr>
              <w:t>promotes</w:t>
            </w:r>
            <w:r>
              <w:rPr>
                <w:spacing w:val="-9"/>
                <w:sz w:val="16"/>
              </w:rPr>
              <w:t> </w:t>
            </w:r>
            <w:r>
              <w:rPr>
                <w:sz w:val="16"/>
              </w:rPr>
              <w:t>the</w:t>
            </w:r>
            <w:r>
              <w:rPr>
                <w:spacing w:val="40"/>
                <w:sz w:val="16"/>
              </w:rPr>
              <w:t> </w:t>
            </w:r>
            <w:r>
              <w:rPr>
                <w:sz w:val="16"/>
              </w:rPr>
              <w:t>use of school grants for</w:t>
            </w:r>
            <w:r>
              <w:rPr>
                <w:spacing w:val="40"/>
                <w:sz w:val="16"/>
              </w:rPr>
              <w:t> </w:t>
            </w:r>
            <w:r>
              <w:rPr>
                <w:sz w:val="16"/>
              </w:rPr>
              <w:t>learning materials carried</w:t>
            </w:r>
            <w:r>
              <w:rPr>
                <w:spacing w:val="40"/>
                <w:sz w:val="16"/>
              </w:rPr>
              <w:t> </w:t>
            </w:r>
            <w:r>
              <w:rPr>
                <w:sz w:val="16"/>
              </w:rPr>
              <w:t>out.</w:t>
            </w:r>
            <w:r>
              <w:rPr>
                <w:spacing w:val="40"/>
                <w:sz w:val="16"/>
              </w:rPr>
              <w:t> </w:t>
            </w:r>
            <w:r>
              <w:rPr>
                <w:sz w:val="16"/>
              </w:rPr>
              <w:t>Training reports or</w:t>
            </w:r>
            <w:r>
              <w:rPr>
                <w:spacing w:val="40"/>
                <w:sz w:val="16"/>
              </w:rPr>
              <w:t> </w:t>
            </w:r>
            <w:r>
              <w:rPr>
                <w:sz w:val="16"/>
              </w:rPr>
              <w:t>records</w:t>
            </w:r>
            <w:r>
              <w:rPr>
                <w:spacing w:val="-10"/>
                <w:sz w:val="16"/>
              </w:rPr>
              <w:t> </w:t>
            </w:r>
            <w:r>
              <w:rPr>
                <w:sz w:val="16"/>
              </w:rPr>
              <w:t>for</w:t>
            </w:r>
            <w:r>
              <w:rPr>
                <w:spacing w:val="-9"/>
                <w:sz w:val="16"/>
              </w:rPr>
              <w:t> </w:t>
            </w:r>
            <w:r>
              <w:rPr>
                <w:sz w:val="16"/>
              </w:rPr>
              <w:t>three</w:t>
            </w:r>
            <w:r>
              <w:rPr>
                <w:spacing w:val="-9"/>
                <w:sz w:val="16"/>
              </w:rPr>
              <w:t> </w:t>
            </w:r>
            <w:r>
              <w:rPr>
                <w:sz w:val="16"/>
              </w:rPr>
              <w:t>provinces</w:t>
            </w:r>
          </w:p>
          <w:p>
            <w:pPr>
              <w:pStyle w:val="TableParagraph"/>
              <w:spacing w:line="175" w:lineRule="exact"/>
              <w:ind w:left="108"/>
              <w:rPr>
                <w:sz w:val="16"/>
              </w:rPr>
            </w:pPr>
            <w:r>
              <w:rPr>
                <w:sz w:val="16"/>
              </w:rPr>
              <w:t>in</w:t>
            </w:r>
            <w:r>
              <w:rPr>
                <w:spacing w:val="-2"/>
                <w:sz w:val="16"/>
              </w:rPr>
              <w:t> </w:t>
            </w:r>
            <w:r>
              <w:rPr>
                <w:sz w:val="16"/>
              </w:rPr>
              <w:t>2018 </w:t>
            </w:r>
            <w:r>
              <w:rPr>
                <w:spacing w:val="-2"/>
                <w:sz w:val="16"/>
              </w:rPr>
              <w:t>(50%)</w:t>
            </w:r>
          </w:p>
        </w:tc>
        <w:tc>
          <w:tcPr>
            <w:tcW w:w="1397" w:type="dxa"/>
            <w:shd w:val="clear" w:color="auto" w:fill="A9D08E"/>
          </w:tcPr>
          <w:p>
            <w:pPr>
              <w:pStyle w:val="TableParagraph"/>
              <w:spacing w:before="1"/>
              <w:ind w:left="277" w:right="264"/>
              <w:jc w:val="center"/>
              <w:rPr>
                <w:sz w:val="16"/>
              </w:rPr>
            </w:pPr>
            <w:r>
              <w:rPr>
                <w:spacing w:val="-4"/>
                <w:sz w:val="16"/>
              </w:rPr>
              <w:t>100%</w:t>
            </w:r>
          </w:p>
        </w:tc>
        <w:tc>
          <w:tcPr>
            <w:tcW w:w="1440" w:type="dxa"/>
          </w:tcPr>
          <w:p>
            <w:pPr>
              <w:pStyle w:val="TableParagraph"/>
              <w:tabs>
                <w:tab w:pos="622" w:val="left" w:leader="none"/>
              </w:tabs>
              <w:spacing w:before="1"/>
              <w:ind w:right="94"/>
              <w:jc w:val="right"/>
              <w:rPr>
                <w:sz w:val="16"/>
              </w:rPr>
            </w:pPr>
            <w:r>
              <w:rPr>
                <w:spacing w:val="-10"/>
                <w:sz w:val="16"/>
              </w:rPr>
              <w:t>$</w:t>
            </w:r>
            <w:r>
              <w:rPr>
                <w:sz w:val="16"/>
              </w:rPr>
              <w:tab/>
            </w:r>
            <w:r>
              <w:rPr>
                <w:spacing w:val="-2"/>
                <w:sz w:val="16"/>
              </w:rPr>
              <w:t>57,143</w:t>
            </w:r>
          </w:p>
        </w:tc>
      </w:tr>
      <w:tr>
        <w:trPr>
          <w:trHeight w:val="1200" w:hRule="atLeast"/>
        </w:trPr>
        <w:tc>
          <w:tcPr>
            <w:tcW w:w="1130" w:type="dxa"/>
            <w:vMerge/>
            <w:tcBorders>
              <w:top w:val="nil"/>
            </w:tcBorders>
          </w:tcPr>
          <w:p>
            <w:pPr>
              <w:rPr>
                <w:sz w:val="2"/>
                <w:szCs w:val="2"/>
              </w:rPr>
            </w:pPr>
          </w:p>
        </w:tc>
        <w:tc>
          <w:tcPr>
            <w:tcW w:w="1551" w:type="dxa"/>
            <w:vMerge/>
            <w:tcBorders>
              <w:top w:val="nil"/>
            </w:tcBorders>
          </w:tcPr>
          <w:p>
            <w:pPr>
              <w:rPr>
                <w:sz w:val="2"/>
                <w:szCs w:val="2"/>
              </w:rPr>
            </w:pPr>
          </w:p>
        </w:tc>
        <w:tc>
          <w:tcPr>
            <w:tcW w:w="1992" w:type="dxa"/>
          </w:tcPr>
          <w:p>
            <w:pPr>
              <w:pStyle w:val="TableParagraph"/>
              <w:ind w:left="108"/>
              <w:rPr>
                <w:sz w:val="16"/>
              </w:rPr>
            </w:pPr>
            <w:r>
              <w:rPr>
                <w:sz w:val="16"/>
              </w:rPr>
              <w:t>2.5.2.</w:t>
            </w:r>
            <w:r>
              <w:rPr>
                <w:spacing w:val="25"/>
                <w:sz w:val="16"/>
              </w:rPr>
              <w:t> </w:t>
            </w:r>
            <w:r>
              <w:rPr>
                <w:sz w:val="16"/>
              </w:rPr>
              <w:t>By</w:t>
            </w:r>
            <w:r>
              <w:rPr>
                <w:spacing w:val="-7"/>
                <w:sz w:val="16"/>
              </w:rPr>
              <w:t> </w:t>
            </w:r>
            <w:r>
              <w:rPr>
                <w:sz w:val="16"/>
              </w:rPr>
              <w:t>the</w:t>
            </w:r>
            <w:r>
              <w:rPr>
                <w:spacing w:val="-8"/>
                <w:sz w:val="16"/>
              </w:rPr>
              <w:t> </w:t>
            </w:r>
            <w:r>
              <w:rPr>
                <w:sz w:val="16"/>
              </w:rPr>
              <w:t>end</w:t>
            </w:r>
            <w:r>
              <w:rPr>
                <w:spacing w:val="-7"/>
                <w:sz w:val="16"/>
              </w:rPr>
              <w:t> </w:t>
            </w:r>
            <w:r>
              <w:rPr>
                <w:sz w:val="16"/>
              </w:rPr>
              <w:t>of</w:t>
            </w:r>
            <w:r>
              <w:rPr>
                <w:spacing w:val="-7"/>
                <w:sz w:val="16"/>
              </w:rPr>
              <w:t> </w:t>
            </w:r>
            <w:r>
              <w:rPr>
                <w:sz w:val="16"/>
              </w:rPr>
              <w:t>2018,</w:t>
            </w:r>
            <w:r>
              <w:rPr>
                <w:spacing w:val="40"/>
                <w:sz w:val="16"/>
              </w:rPr>
              <w:t> </w:t>
            </w:r>
            <w:r>
              <w:rPr>
                <w:sz w:val="16"/>
              </w:rPr>
              <w:t>analysis of retirements to</w:t>
            </w:r>
            <w:r>
              <w:rPr>
                <w:spacing w:val="40"/>
                <w:sz w:val="16"/>
              </w:rPr>
              <w:t> </w:t>
            </w:r>
            <w:r>
              <w:rPr>
                <w:sz w:val="16"/>
              </w:rPr>
              <w:t>show breakdown of</w:t>
            </w:r>
            <w:r>
              <w:rPr>
                <w:spacing w:val="40"/>
                <w:sz w:val="16"/>
              </w:rPr>
              <w:t> </w:t>
            </w:r>
            <w:r>
              <w:rPr>
                <w:spacing w:val="-2"/>
                <w:sz w:val="16"/>
              </w:rPr>
              <w:t>expenditure</w:t>
            </w:r>
          </w:p>
        </w:tc>
        <w:tc>
          <w:tcPr>
            <w:tcW w:w="1984" w:type="dxa"/>
          </w:tcPr>
          <w:p>
            <w:pPr>
              <w:pStyle w:val="TableParagraph"/>
              <w:ind w:left="108" w:right="98" w:firstLine="36"/>
              <w:rPr>
                <w:sz w:val="16"/>
              </w:rPr>
            </w:pPr>
            <w:r>
              <w:rPr>
                <w:sz w:val="16"/>
              </w:rPr>
              <w:t>Report on analysis of</w:t>
            </w:r>
            <w:r>
              <w:rPr>
                <w:spacing w:val="40"/>
                <w:sz w:val="16"/>
              </w:rPr>
              <w:t> </w:t>
            </w:r>
            <w:r>
              <w:rPr>
                <w:sz w:val="16"/>
              </w:rPr>
              <w:t>acquittals</w:t>
            </w:r>
            <w:r>
              <w:rPr>
                <w:spacing w:val="-3"/>
                <w:sz w:val="16"/>
              </w:rPr>
              <w:t> </w:t>
            </w:r>
            <w:r>
              <w:rPr>
                <w:sz w:val="16"/>
              </w:rPr>
              <w:t>showing</w:t>
            </w:r>
            <w:r>
              <w:rPr>
                <w:spacing w:val="40"/>
                <w:sz w:val="16"/>
              </w:rPr>
              <w:t> </w:t>
            </w:r>
            <w:r>
              <w:rPr>
                <w:sz w:val="16"/>
              </w:rPr>
              <w:t>currently how much of</w:t>
            </w:r>
            <w:r>
              <w:rPr>
                <w:spacing w:val="40"/>
                <w:sz w:val="16"/>
              </w:rPr>
              <w:t> </w:t>
            </w:r>
            <w:r>
              <w:rPr>
                <w:sz w:val="16"/>
              </w:rPr>
              <w:t>school</w:t>
            </w:r>
            <w:r>
              <w:rPr>
                <w:spacing w:val="-8"/>
                <w:sz w:val="16"/>
              </w:rPr>
              <w:t> </w:t>
            </w:r>
            <w:r>
              <w:rPr>
                <w:sz w:val="16"/>
              </w:rPr>
              <w:t>grants</w:t>
            </w:r>
            <w:r>
              <w:rPr>
                <w:spacing w:val="-8"/>
                <w:sz w:val="16"/>
              </w:rPr>
              <w:t> </w:t>
            </w:r>
            <w:r>
              <w:rPr>
                <w:sz w:val="16"/>
              </w:rPr>
              <w:t>is</w:t>
            </w:r>
            <w:r>
              <w:rPr>
                <w:spacing w:val="-7"/>
                <w:sz w:val="16"/>
              </w:rPr>
              <w:t> </w:t>
            </w:r>
            <w:r>
              <w:rPr>
                <w:sz w:val="16"/>
              </w:rPr>
              <w:t>used</w:t>
            </w:r>
            <w:r>
              <w:rPr>
                <w:spacing w:val="-8"/>
                <w:sz w:val="16"/>
              </w:rPr>
              <w:t> </w:t>
            </w:r>
            <w:r>
              <w:rPr>
                <w:sz w:val="16"/>
              </w:rPr>
              <w:t>for</w:t>
            </w:r>
            <w:r>
              <w:rPr>
                <w:spacing w:val="40"/>
                <w:sz w:val="16"/>
              </w:rPr>
              <w:t> </w:t>
            </w:r>
            <w:r>
              <w:rPr>
                <w:sz w:val="16"/>
              </w:rPr>
              <w:t>learning</w:t>
            </w:r>
            <w:r>
              <w:rPr>
                <w:spacing w:val="-10"/>
                <w:sz w:val="16"/>
              </w:rPr>
              <w:t> </w:t>
            </w:r>
            <w:r>
              <w:rPr>
                <w:sz w:val="16"/>
              </w:rPr>
              <w:t>materials</w:t>
            </w:r>
            <w:r>
              <w:rPr>
                <w:spacing w:val="-8"/>
                <w:sz w:val="16"/>
              </w:rPr>
              <w:t> </w:t>
            </w:r>
            <w:r>
              <w:rPr>
                <w:spacing w:val="-2"/>
                <w:sz w:val="16"/>
              </w:rPr>
              <w:t>(50%)</w:t>
            </w:r>
          </w:p>
        </w:tc>
        <w:tc>
          <w:tcPr>
            <w:tcW w:w="1397" w:type="dxa"/>
            <w:shd w:val="clear" w:color="auto" w:fill="FF0000"/>
          </w:tcPr>
          <w:p>
            <w:pPr>
              <w:pStyle w:val="TableParagraph"/>
              <w:spacing w:line="194" w:lineRule="exact"/>
              <w:ind w:left="13"/>
              <w:jc w:val="center"/>
              <w:rPr>
                <w:sz w:val="16"/>
              </w:rPr>
            </w:pPr>
            <w:r>
              <w:rPr>
                <w:w w:val="100"/>
                <w:sz w:val="16"/>
              </w:rPr>
              <w:t>0</w:t>
            </w:r>
          </w:p>
        </w:tc>
        <w:tc>
          <w:tcPr>
            <w:tcW w:w="1440" w:type="dxa"/>
          </w:tcPr>
          <w:p>
            <w:pPr>
              <w:pStyle w:val="TableParagraph"/>
              <w:tabs>
                <w:tab w:pos="912" w:val="left" w:leader="none"/>
              </w:tabs>
              <w:spacing w:line="194" w:lineRule="exact"/>
              <w:ind w:right="95"/>
              <w:jc w:val="right"/>
              <w:rPr>
                <w:sz w:val="16"/>
              </w:rPr>
            </w:pPr>
            <w:r>
              <w:rPr>
                <w:spacing w:val="-10"/>
                <w:sz w:val="16"/>
              </w:rPr>
              <w:t>$</w:t>
            </w:r>
            <w:r>
              <w:rPr>
                <w:sz w:val="16"/>
              </w:rPr>
              <w:tab/>
            </w:r>
            <w:r>
              <w:rPr>
                <w:spacing w:val="-10"/>
                <w:sz w:val="16"/>
              </w:rPr>
              <w:t>-</w:t>
            </w:r>
          </w:p>
        </w:tc>
      </w:tr>
    </w:tbl>
    <w:p>
      <w:pPr>
        <w:pStyle w:val="BodyText"/>
        <w:rPr>
          <w:sz w:val="20"/>
        </w:rPr>
      </w:pPr>
    </w:p>
    <w:p>
      <w:pPr>
        <w:pStyle w:val="BodyText"/>
        <w:spacing w:before="9"/>
        <w:rPr>
          <w:sz w:val="17"/>
        </w:rPr>
      </w:pPr>
    </w:p>
    <w:p>
      <w:pPr>
        <w:pStyle w:val="Heading4"/>
        <w:spacing w:before="52"/>
        <w:rPr>
          <w:b w:val="0"/>
        </w:rPr>
      </w:pPr>
      <w:r>
        <w:rPr>
          <w:b w:val="0"/>
          <w:color w:val="4471C4"/>
        </w:rPr>
        <w:t>Summary</w:t>
      </w:r>
      <w:r>
        <w:rPr>
          <w:b w:val="0"/>
          <w:color w:val="4471C4"/>
          <w:spacing w:val="-3"/>
        </w:rPr>
        <w:t> </w:t>
      </w:r>
      <w:r>
        <w:rPr>
          <w:b w:val="0"/>
          <w:color w:val="4471C4"/>
        </w:rPr>
        <w:t>of</w:t>
      </w:r>
      <w:r>
        <w:rPr>
          <w:b w:val="0"/>
          <w:color w:val="4471C4"/>
          <w:spacing w:val="-1"/>
        </w:rPr>
        <w:t> </w:t>
      </w:r>
      <w:r>
        <w:rPr>
          <w:b w:val="0"/>
          <w:color w:val="4471C4"/>
        </w:rPr>
        <w:t>Performance</w:t>
      </w:r>
      <w:r>
        <w:rPr>
          <w:b w:val="0"/>
          <w:color w:val="4471C4"/>
          <w:spacing w:val="-3"/>
        </w:rPr>
        <w:t> </w:t>
      </w:r>
      <w:r>
        <w:rPr>
          <w:b w:val="0"/>
          <w:color w:val="4471C4"/>
        </w:rPr>
        <w:t>against</w:t>
      </w:r>
      <w:r>
        <w:rPr>
          <w:b w:val="0"/>
          <w:color w:val="4471C4"/>
          <w:spacing w:val="-2"/>
        </w:rPr>
        <w:t> </w:t>
      </w:r>
      <w:r>
        <w:rPr>
          <w:b w:val="0"/>
          <w:color w:val="4471C4"/>
        </w:rPr>
        <w:t>Management System</w:t>
      </w:r>
      <w:r>
        <w:rPr>
          <w:b w:val="0"/>
          <w:color w:val="4471C4"/>
          <w:spacing w:val="-2"/>
        </w:rPr>
        <w:t> Indicators</w:t>
      </w:r>
    </w:p>
    <w:p>
      <w:pPr>
        <w:pStyle w:val="BodyText"/>
        <w:spacing w:before="201"/>
        <w:ind w:left="220" w:right="1254"/>
        <w:jc w:val="both"/>
      </w:pPr>
      <w:r>
        <w:rPr/>
        <w:t>Half of the target areas for this assessment were for achievements against Management System Indicators. MEHRD has the most direct control over management systems and changes are more evident on an annual basis. MEHRD has performed better here, than on Access and Quality</w:t>
      </w:r>
      <w:r>
        <w:rPr>
          <w:spacing w:val="40"/>
        </w:rPr>
        <w:t> </w:t>
      </w:r>
      <w:r>
        <w:rPr/>
        <w:t>indicators where they have less direct control and change can take longer to achieve. The Ministry has the potential to deliver an even stronger performance against these indicators.</w:t>
      </w:r>
    </w:p>
    <w:p>
      <w:pPr>
        <w:pStyle w:val="BodyText"/>
        <w:spacing w:before="3"/>
        <w:rPr>
          <w:sz w:val="16"/>
        </w:rPr>
      </w:pPr>
    </w:p>
    <w:p>
      <w:pPr>
        <w:pStyle w:val="BodyText"/>
        <w:ind w:left="220" w:right="1253"/>
        <w:jc w:val="both"/>
      </w:pPr>
      <w:r>
        <w:rPr/>
        <w:t>The commitment of both the Minister and the Permanent Secretary to change has been a key factor in</w:t>
      </w:r>
      <w:r>
        <w:rPr>
          <w:spacing w:val="5"/>
        </w:rPr>
        <w:t> </w:t>
      </w:r>
      <w:r>
        <w:rPr/>
        <w:t>progressing</w:t>
      </w:r>
      <w:r>
        <w:rPr>
          <w:spacing w:val="7"/>
        </w:rPr>
        <w:t> </w:t>
      </w:r>
      <w:r>
        <w:rPr/>
        <w:t>a</w:t>
      </w:r>
      <w:r>
        <w:rPr>
          <w:spacing w:val="8"/>
        </w:rPr>
        <w:t> </w:t>
      </w:r>
      <w:r>
        <w:rPr/>
        <w:t>significant</w:t>
      </w:r>
      <w:r>
        <w:rPr>
          <w:spacing w:val="6"/>
        </w:rPr>
        <w:t> </w:t>
      </w:r>
      <w:r>
        <w:rPr/>
        <w:t>policy</w:t>
      </w:r>
      <w:r>
        <w:rPr>
          <w:spacing w:val="8"/>
        </w:rPr>
        <w:t> </w:t>
      </w:r>
      <w:r>
        <w:rPr/>
        <w:t>with</w:t>
      </w:r>
      <w:r>
        <w:rPr>
          <w:spacing w:val="7"/>
        </w:rPr>
        <w:t> </w:t>
      </w:r>
      <w:r>
        <w:rPr/>
        <w:t>the</w:t>
      </w:r>
      <w:r>
        <w:rPr>
          <w:spacing w:val="8"/>
        </w:rPr>
        <w:t> </w:t>
      </w:r>
      <w:r>
        <w:rPr/>
        <w:t>drafting</w:t>
      </w:r>
      <w:r>
        <w:rPr>
          <w:spacing w:val="7"/>
        </w:rPr>
        <w:t> </w:t>
      </w:r>
      <w:r>
        <w:rPr/>
        <w:t>of</w:t>
      </w:r>
      <w:r>
        <w:rPr>
          <w:spacing w:val="5"/>
        </w:rPr>
        <w:t> </w:t>
      </w:r>
      <w:r>
        <w:rPr/>
        <w:t>the</w:t>
      </w:r>
      <w:r>
        <w:rPr>
          <w:spacing w:val="8"/>
        </w:rPr>
        <w:t> </w:t>
      </w:r>
      <w:r>
        <w:rPr/>
        <w:t>National</w:t>
      </w:r>
      <w:r>
        <w:rPr>
          <w:spacing w:val="7"/>
        </w:rPr>
        <w:t> </w:t>
      </w:r>
      <w:r>
        <w:rPr/>
        <w:t>Education</w:t>
      </w:r>
      <w:r>
        <w:rPr>
          <w:spacing w:val="7"/>
        </w:rPr>
        <w:t> </w:t>
      </w:r>
      <w:r>
        <w:rPr/>
        <w:t>Bill.</w:t>
      </w:r>
      <w:r>
        <w:rPr>
          <w:spacing w:val="11"/>
        </w:rPr>
        <w:t> </w:t>
      </w:r>
      <w:r>
        <w:rPr/>
        <w:t>The</w:t>
      </w:r>
      <w:r>
        <w:rPr>
          <w:spacing w:val="8"/>
        </w:rPr>
        <w:t> </w:t>
      </w:r>
      <w:r>
        <w:rPr/>
        <w:t>Bill</w:t>
      </w:r>
      <w:r>
        <w:rPr>
          <w:spacing w:val="8"/>
        </w:rPr>
        <w:t> </w:t>
      </w:r>
      <w:r>
        <w:rPr/>
        <w:t>is</w:t>
      </w:r>
      <w:r>
        <w:rPr>
          <w:spacing w:val="7"/>
        </w:rPr>
        <w:t> </w:t>
      </w:r>
      <w:r>
        <w:rPr/>
        <w:t>close</w:t>
      </w:r>
      <w:r>
        <w:rPr>
          <w:spacing w:val="8"/>
        </w:rPr>
        <w:t> </w:t>
      </w:r>
      <w:r>
        <w:rPr>
          <w:spacing w:val="-5"/>
        </w:rPr>
        <w:t>to</w:t>
      </w:r>
    </w:p>
    <w:p>
      <w:pPr>
        <w:spacing w:after="0"/>
        <w:jc w:val="both"/>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6"/>
        <w:jc w:val="both"/>
      </w:pPr>
      <w:r>
        <w:rPr/>
        <w:t>ready for tabling in Parliament. The long-lead time in drafting and consultation plus the interdependent nature (e.g. Education Regulations, Administrative Instructions, Teachers Service Handbook) of policy shifts is evident.</w:t>
      </w:r>
    </w:p>
    <w:p>
      <w:pPr>
        <w:pStyle w:val="BodyText"/>
        <w:spacing w:before="4"/>
        <w:rPr>
          <w:sz w:val="16"/>
        </w:rPr>
      </w:pPr>
    </w:p>
    <w:p>
      <w:pPr>
        <w:pStyle w:val="BodyText"/>
        <w:ind w:left="220" w:right="1250"/>
        <w:jc w:val="both"/>
      </w:pPr>
      <w:r>
        <w:rPr/>
        <w:t>School grants retirements continue to be late or not done at all leading to schools and EAs missing out on finances and much needed resources to provide a quality education for children. A multi- pronged approach to better equipping Schools with financial training and support is suggested.</w:t>
      </w:r>
      <w:r>
        <w:rPr>
          <w:spacing w:val="40"/>
        </w:rPr>
        <w:t> </w:t>
      </w:r>
      <w:r>
        <w:rPr/>
        <w:t>There was a welcomed increase to 96.3 per cent in the disbursement of the first yearly tranche of 2019 grants to schools. There has been a steady increase in grants expenditure over the last three years; and grant expenditure per student has remained about equal in</w:t>
      </w:r>
      <w:r>
        <w:rPr>
          <w:spacing w:val="-1"/>
        </w:rPr>
        <w:t> </w:t>
      </w:r>
      <w:r>
        <w:rPr/>
        <w:t>the last two years in constant </w:t>
      </w:r>
      <w:r>
        <w:rPr>
          <w:spacing w:val="-2"/>
        </w:rPr>
        <w:t>prices.</w:t>
      </w:r>
    </w:p>
    <w:p>
      <w:pPr>
        <w:pStyle w:val="BodyText"/>
        <w:spacing w:before="6"/>
        <w:rPr>
          <w:sz w:val="16"/>
        </w:rPr>
      </w:pPr>
    </w:p>
    <w:p>
      <w:pPr>
        <w:pStyle w:val="BodyText"/>
        <w:ind w:left="220" w:right="1252"/>
        <w:jc w:val="both"/>
      </w:pPr>
      <w:r>
        <w:rPr/>
        <w:t>EA Performance Standards</w:t>
      </w:r>
      <w:r>
        <w:rPr>
          <w:spacing w:val="-1"/>
        </w:rPr>
        <w:t> </w:t>
      </w:r>
      <w:r>
        <w:rPr/>
        <w:t>were endorsed by NEB in August 2018. The participatory approach to the setting of these Standards should encourage ownership of the assessment process. All EAs</w:t>
      </w:r>
      <w:r>
        <w:rPr>
          <w:spacing w:val="40"/>
        </w:rPr>
        <w:t> </w:t>
      </w:r>
      <w:r>
        <w:rPr/>
        <w:t>undertook initial training in how to use the Standards and how to undertake self-assessment with EAs reportedly now clearer about their role.</w:t>
      </w:r>
    </w:p>
    <w:p>
      <w:pPr>
        <w:pStyle w:val="BodyText"/>
        <w:spacing w:before="3"/>
        <w:rPr>
          <w:sz w:val="16"/>
        </w:rPr>
      </w:pPr>
    </w:p>
    <w:p>
      <w:pPr>
        <w:pStyle w:val="BodyText"/>
        <w:ind w:left="220" w:right="1253"/>
        <w:jc w:val="both"/>
      </w:pPr>
      <w:r>
        <w:rPr/>
        <w:t>There has been a reduction in scholarship spend as a percentage of the overall education budget, though still claiming 37 per cent of recurrent allocation to education. The move towards more rural technical vocational scholarships, local Universities rather than overseas, and the first year of some scholarships will be in the Solomon Islands are positive trends in reducing the number of and educational spend on scholarships. When these changes are bedded-down, per cent expenditure is arguably of</w:t>
      </w:r>
      <w:r>
        <w:rPr>
          <w:spacing w:val="-2"/>
        </w:rPr>
        <w:t> </w:t>
      </w:r>
      <w:r>
        <w:rPr/>
        <w:t>more</w:t>
      </w:r>
      <w:r>
        <w:rPr>
          <w:spacing w:val="-2"/>
        </w:rPr>
        <w:t> </w:t>
      </w:r>
      <w:r>
        <w:rPr/>
        <w:t>significance than</w:t>
      </w:r>
      <w:r>
        <w:rPr>
          <w:spacing w:val="-3"/>
        </w:rPr>
        <w:t> </w:t>
      </w:r>
      <w:r>
        <w:rPr/>
        <w:t>the actual</w:t>
      </w:r>
      <w:r>
        <w:rPr>
          <w:spacing w:val="-1"/>
        </w:rPr>
        <w:t> </w:t>
      </w:r>
      <w:r>
        <w:rPr/>
        <w:t>number</w:t>
      </w:r>
      <w:r>
        <w:rPr>
          <w:spacing w:val="-4"/>
        </w:rPr>
        <w:t> </w:t>
      </w:r>
      <w:r>
        <w:rPr/>
        <w:t>of new scholarships awarded, though both are </w:t>
      </w:r>
      <w:r>
        <w:rPr>
          <w:spacing w:val="-2"/>
        </w:rPr>
        <w:t>important.</w:t>
      </w:r>
    </w:p>
    <w:p>
      <w:pPr>
        <w:pStyle w:val="BodyText"/>
        <w:spacing w:before="5"/>
        <w:rPr>
          <w:sz w:val="16"/>
        </w:rPr>
      </w:pPr>
    </w:p>
    <w:p>
      <w:pPr>
        <w:pStyle w:val="BodyText"/>
        <w:ind w:left="220" w:right="1254"/>
        <w:jc w:val="both"/>
      </w:pPr>
      <w:r>
        <w:rPr/>
        <w:t>MEHRD budget allocations</w:t>
      </w:r>
      <w:r>
        <w:rPr>
          <w:spacing w:val="-3"/>
        </w:rPr>
        <w:t> </w:t>
      </w:r>
      <w:r>
        <w:rPr/>
        <w:t>to scholarships</w:t>
      </w:r>
      <w:r>
        <w:rPr>
          <w:spacing w:val="-1"/>
        </w:rPr>
        <w:t> </w:t>
      </w:r>
      <w:r>
        <w:rPr/>
        <w:t>are</w:t>
      </w:r>
      <w:r>
        <w:rPr>
          <w:spacing w:val="-1"/>
        </w:rPr>
        <w:t> </w:t>
      </w:r>
      <w:r>
        <w:rPr/>
        <w:t>‘ring-fenced’,</w:t>
      </w:r>
      <w:r>
        <w:rPr>
          <w:spacing w:val="-1"/>
        </w:rPr>
        <w:t> </w:t>
      </w:r>
      <w:r>
        <w:rPr/>
        <w:t>meaning that whatever is not expended on scholarships is not able to be used on other parts of the MEHRD budget, such as basic education. This ‘ring-fencing’ is done because of uncertainty around student numbers and consequently to ensure there is enough budget when numbers are confirmed. Any unspent funds at year’s end are returned to</w:t>
      </w:r>
      <w:r>
        <w:rPr>
          <w:spacing w:val="-1"/>
        </w:rPr>
        <w:t> </w:t>
      </w:r>
      <w:r>
        <w:rPr/>
        <w:t>consolidated revenue.</w:t>
      </w:r>
      <w:r>
        <w:rPr>
          <w:spacing w:val="-2"/>
        </w:rPr>
        <w:t> </w:t>
      </w:r>
      <w:r>
        <w:rPr/>
        <w:t>Without</w:t>
      </w:r>
      <w:r>
        <w:rPr>
          <w:spacing w:val="-2"/>
        </w:rPr>
        <w:t> </w:t>
      </w:r>
      <w:r>
        <w:rPr/>
        <w:t>change</w:t>
      </w:r>
      <w:r>
        <w:rPr>
          <w:spacing w:val="-1"/>
        </w:rPr>
        <w:t> </w:t>
      </w:r>
      <w:r>
        <w:rPr/>
        <w:t>to this system it</w:t>
      </w:r>
      <w:r>
        <w:rPr>
          <w:spacing w:val="-2"/>
        </w:rPr>
        <w:t> </w:t>
      </w:r>
      <w:r>
        <w:rPr/>
        <w:t>is unlikely</w:t>
      </w:r>
      <w:r>
        <w:rPr>
          <w:spacing w:val="-1"/>
        </w:rPr>
        <w:t> </w:t>
      </w:r>
      <w:r>
        <w:rPr/>
        <w:t>MEHRD</w:t>
      </w:r>
      <w:r>
        <w:rPr>
          <w:spacing w:val="-2"/>
        </w:rPr>
        <w:t> </w:t>
      </w:r>
      <w:r>
        <w:rPr/>
        <w:t>will be able</w:t>
      </w:r>
      <w:r>
        <w:rPr>
          <w:spacing w:val="-2"/>
        </w:rPr>
        <w:t> </w:t>
      </w:r>
      <w:r>
        <w:rPr/>
        <w:t>to increase expenditure for basic education.</w:t>
      </w:r>
    </w:p>
    <w:p>
      <w:pPr>
        <w:pStyle w:val="BodyText"/>
        <w:spacing w:before="6"/>
        <w:rPr>
          <w:sz w:val="16"/>
        </w:rPr>
      </w:pPr>
    </w:p>
    <w:p>
      <w:pPr>
        <w:pStyle w:val="BodyText"/>
        <w:ind w:left="220" w:right="1255"/>
        <w:jc w:val="both"/>
      </w:pPr>
      <w:r>
        <w:rPr/>
        <w:t>Thirty-nine per cent of total SIG recurrent expenditure was allocated to the education sector. According to the Office of the Auditor General both 2015 and 2016 MEHRD audits had been completed; and sent to MEHRD. MEHRD went to considerable effort to ensure a response to the 2016 audit was completed for this assessment process.</w:t>
      </w:r>
    </w:p>
    <w:p>
      <w:pPr>
        <w:spacing w:after="0"/>
        <w:jc w:val="both"/>
        <w:sectPr>
          <w:pgSz w:w="11900" w:h="16850"/>
          <w:pgMar w:header="867" w:footer="830" w:top="1060" w:bottom="1020" w:left="1220" w:right="180"/>
        </w:sectPr>
      </w:pPr>
    </w:p>
    <w:p>
      <w:pPr>
        <w:pStyle w:val="BodyText"/>
        <w:rPr>
          <w:sz w:val="20"/>
        </w:rPr>
      </w:pPr>
    </w:p>
    <w:p>
      <w:pPr>
        <w:pStyle w:val="BodyText"/>
        <w:rPr>
          <w:sz w:val="20"/>
        </w:rPr>
      </w:pPr>
    </w:p>
    <w:p>
      <w:pPr>
        <w:pStyle w:val="BodyText"/>
        <w:spacing w:before="2"/>
        <w:rPr>
          <w:sz w:val="11"/>
        </w:rPr>
      </w:pPr>
    </w:p>
    <w:tbl>
      <w:tblPr>
        <w:tblW w:w="0" w:type="auto"/>
        <w:jc w:val="left"/>
        <w:tblInd w:w="23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1366"/>
        <w:gridCol w:w="1535"/>
        <w:gridCol w:w="2164"/>
        <w:gridCol w:w="2167"/>
        <w:gridCol w:w="1461"/>
        <w:gridCol w:w="1269"/>
      </w:tblGrid>
      <w:tr>
        <w:trPr>
          <w:trHeight w:val="700" w:hRule="atLeast"/>
        </w:trPr>
        <w:tc>
          <w:tcPr>
            <w:tcW w:w="1366" w:type="dxa"/>
            <w:shd w:val="clear" w:color="auto" w:fill="B4C5E7"/>
          </w:tcPr>
          <w:p>
            <w:pPr>
              <w:pStyle w:val="TableParagraph"/>
              <w:spacing w:before="9"/>
              <w:rPr>
                <w:sz w:val="19"/>
              </w:rPr>
            </w:pPr>
          </w:p>
          <w:p>
            <w:pPr>
              <w:pStyle w:val="TableParagraph"/>
              <w:ind w:left="107"/>
              <w:rPr>
                <w:b/>
                <w:sz w:val="18"/>
              </w:rPr>
            </w:pPr>
            <w:r>
              <w:rPr>
                <w:b/>
                <w:spacing w:val="-2"/>
                <w:sz w:val="18"/>
              </w:rPr>
              <w:t>MEHRD</w:t>
            </w:r>
          </w:p>
        </w:tc>
        <w:tc>
          <w:tcPr>
            <w:tcW w:w="1535" w:type="dxa"/>
            <w:shd w:val="clear" w:color="auto" w:fill="B4C5E7"/>
          </w:tcPr>
          <w:p>
            <w:pPr>
              <w:pStyle w:val="TableParagraph"/>
              <w:spacing w:before="131"/>
              <w:ind w:left="553" w:right="178" w:hanging="363"/>
              <w:rPr>
                <w:b/>
                <w:sz w:val="18"/>
              </w:rPr>
            </w:pPr>
            <w:r>
              <w:rPr>
                <w:b/>
                <w:sz w:val="18"/>
              </w:rPr>
              <w:t>MELP</w:t>
            </w:r>
            <w:r>
              <w:rPr>
                <w:b/>
                <w:spacing w:val="-11"/>
                <w:sz w:val="18"/>
              </w:rPr>
              <w:t> </w:t>
            </w:r>
            <w:r>
              <w:rPr>
                <w:b/>
                <w:sz w:val="18"/>
              </w:rPr>
              <w:t>Outcome </w:t>
            </w:r>
            <w:r>
              <w:rPr>
                <w:b/>
                <w:spacing w:val="-2"/>
                <w:sz w:val="18"/>
              </w:rPr>
              <w:t>Areas</w:t>
            </w:r>
          </w:p>
        </w:tc>
        <w:tc>
          <w:tcPr>
            <w:tcW w:w="2164" w:type="dxa"/>
            <w:shd w:val="clear" w:color="auto" w:fill="B4C5E7"/>
          </w:tcPr>
          <w:p>
            <w:pPr>
              <w:pStyle w:val="TableParagraph"/>
              <w:spacing w:before="9"/>
              <w:rPr>
                <w:sz w:val="19"/>
              </w:rPr>
            </w:pPr>
          </w:p>
          <w:p>
            <w:pPr>
              <w:pStyle w:val="TableParagraph"/>
              <w:ind w:left="224"/>
              <w:rPr>
                <w:b/>
                <w:sz w:val="18"/>
              </w:rPr>
            </w:pPr>
            <w:r>
              <w:rPr>
                <w:b/>
                <w:sz w:val="18"/>
              </w:rPr>
              <w:t>Performance</w:t>
            </w:r>
            <w:r>
              <w:rPr>
                <w:b/>
                <w:spacing w:val="-6"/>
                <w:sz w:val="18"/>
              </w:rPr>
              <w:t> </w:t>
            </w:r>
            <w:r>
              <w:rPr>
                <w:b/>
                <w:spacing w:val="-2"/>
                <w:sz w:val="18"/>
              </w:rPr>
              <w:t>Indicators</w:t>
            </w:r>
          </w:p>
        </w:tc>
        <w:tc>
          <w:tcPr>
            <w:tcW w:w="2167" w:type="dxa"/>
            <w:shd w:val="clear" w:color="auto" w:fill="B4C5E7"/>
          </w:tcPr>
          <w:p>
            <w:pPr>
              <w:pStyle w:val="TableParagraph"/>
              <w:spacing w:before="131"/>
              <w:ind w:left="650" w:right="437" w:hanging="202"/>
              <w:rPr>
                <w:b/>
                <w:sz w:val="18"/>
              </w:rPr>
            </w:pPr>
            <w:r>
              <w:rPr>
                <w:b/>
                <w:sz w:val="18"/>
              </w:rPr>
              <w:t>Expected</w:t>
            </w:r>
            <w:r>
              <w:rPr>
                <w:b/>
                <w:spacing w:val="-11"/>
                <w:sz w:val="18"/>
              </w:rPr>
              <w:t> </w:t>
            </w:r>
            <w:r>
              <w:rPr>
                <w:b/>
                <w:sz w:val="18"/>
              </w:rPr>
              <w:t>Results </w:t>
            </w:r>
            <w:r>
              <w:rPr>
                <w:b/>
                <w:spacing w:val="-2"/>
                <w:sz w:val="18"/>
              </w:rPr>
              <w:t>Statements</w:t>
            </w:r>
          </w:p>
        </w:tc>
        <w:tc>
          <w:tcPr>
            <w:tcW w:w="1461" w:type="dxa"/>
            <w:shd w:val="clear" w:color="auto" w:fill="B4C5E7"/>
          </w:tcPr>
          <w:p>
            <w:pPr>
              <w:pStyle w:val="TableParagraph"/>
              <w:spacing w:before="9"/>
              <w:rPr>
                <w:sz w:val="19"/>
              </w:rPr>
            </w:pPr>
          </w:p>
          <w:p>
            <w:pPr>
              <w:pStyle w:val="TableParagraph"/>
              <w:ind w:left="142" w:right="146"/>
              <w:jc w:val="center"/>
              <w:rPr>
                <w:b/>
                <w:sz w:val="18"/>
              </w:rPr>
            </w:pPr>
            <w:r>
              <w:rPr>
                <w:b/>
                <w:spacing w:val="-5"/>
                <w:sz w:val="18"/>
              </w:rPr>
              <w:t>IA</w:t>
            </w:r>
          </w:p>
        </w:tc>
        <w:tc>
          <w:tcPr>
            <w:tcW w:w="1269" w:type="dxa"/>
            <w:shd w:val="clear" w:color="auto" w:fill="B4C5E7"/>
          </w:tcPr>
          <w:p>
            <w:pPr>
              <w:pStyle w:val="TableParagraph"/>
              <w:spacing w:before="131"/>
              <w:ind w:left="457" w:right="275" w:hanging="145"/>
              <w:rPr>
                <w:b/>
                <w:sz w:val="18"/>
              </w:rPr>
            </w:pPr>
            <w:r>
              <w:rPr>
                <w:b/>
                <w:spacing w:val="-2"/>
                <w:sz w:val="18"/>
              </w:rPr>
              <w:t>Payment</w:t>
            </w:r>
            <w:r>
              <w:rPr>
                <w:b/>
                <w:sz w:val="18"/>
              </w:rPr>
              <w:t> </w:t>
            </w:r>
            <w:r>
              <w:rPr>
                <w:b/>
                <w:spacing w:val="-4"/>
                <w:sz w:val="18"/>
              </w:rPr>
              <w:t>AUD</w:t>
            </w:r>
          </w:p>
        </w:tc>
      </w:tr>
      <w:tr>
        <w:trPr>
          <w:trHeight w:val="877" w:hRule="atLeast"/>
        </w:trPr>
        <w:tc>
          <w:tcPr>
            <w:tcW w:w="1366" w:type="dxa"/>
            <w:vMerge w:val="restart"/>
          </w:tcPr>
          <w:p>
            <w:pPr>
              <w:pStyle w:val="TableParagraph"/>
              <w:spacing w:before="1"/>
              <w:ind w:left="107" w:right="99"/>
              <w:rPr>
                <w:b/>
                <w:sz w:val="18"/>
              </w:rPr>
            </w:pPr>
            <w:r>
              <w:rPr>
                <w:b/>
                <w:spacing w:val="-2"/>
                <w:sz w:val="18"/>
              </w:rPr>
              <w:t>MANAGEMENT</w:t>
            </w:r>
            <w:r>
              <w:rPr>
                <w:b/>
                <w:sz w:val="18"/>
              </w:rPr>
              <w:t> </w:t>
            </w:r>
            <w:r>
              <w:rPr>
                <w:b/>
                <w:spacing w:val="-2"/>
                <w:sz w:val="18"/>
              </w:rPr>
              <w:t>SYSTEMS</w:t>
            </w:r>
            <w:r>
              <w:rPr>
                <w:b/>
                <w:spacing w:val="80"/>
                <w:sz w:val="18"/>
              </w:rPr>
              <w:t> </w:t>
            </w:r>
            <w:r>
              <w:rPr>
                <w:b/>
                <w:sz w:val="18"/>
              </w:rPr>
              <w:t>EO3.1 (55-66)</w:t>
            </w:r>
          </w:p>
        </w:tc>
        <w:tc>
          <w:tcPr>
            <w:tcW w:w="1535" w:type="dxa"/>
            <w:vMerge w:val="restart"/>
          </w:tcPr>
          <w:p>
            <w:pPr>
              <w:pStyle w:val="TableParagraph"/>
              <w:spacing w:before="1"/>
              <w:ind w:left="107" w:right="146"/>
              <w:rPr>
                <w:b/>
                <w:sz w:val="18"/>
              </w:rPr>
            </w:pPr>
            <w:r>
              <w:rPr>
                <w:b/>
                <w:sz w:val="18"/>
              </w:rPr>
              <w:t>3.1 Retirement percentage of 2018 Second Biannual</w:t>
            </w:r>
            <w:r>
              <w:rPr>
                <w:b/>
                <w:spacing w:val="30"/>
                <w:sz w:val="18"/>
              </w:rPr>
              <w:t> </w:t>
            </w:r>
            <w:r>
              <w:rPr>
                <w:b/>
                <w:sz w:val="18"/>
              </w:rPr>
              <w:t>School Grants</w:t>
            </w:r>
            <w:r>
              <w:rPr>
                <w:b/>
                <w:spacing w:val="-11"/>
                <w:sz w:val="18"/>
              </w:rPr>
              <w:t> </w:t>
            </w:r>
            <w:r>
              <w:rPr>
                <w:b/>
                <w:sz w:val="18"/>
              </w:rPr>
              <w:t>improved and 2019 first </w:t>
            </w:r>
            <w:r>
              <w:rPr>
                <w:b/>
                <w:spacing w:val="-2"/>
                <w:sz w:val="18"/>
              </w:rPr>
              <w:t>tranche</w:t>
            </w:r>
            <w:r>
              <w:rPr>
                <w:b/>
                <w:sz w:val="18"/>
              </w:rPr>
              <w:t> disbursement</w:t>
            </w:r>
            <w:r>
              <w:rPr>
                <w:b/>
                <w:spacing w:val="-11"/>
                <w:sz w:val="18"/>
              </w:rPr>
              <w:t> </w:t>
            </w:r>
            <w:r>
              <w:rPr>
                <w:b/>
                <w:sz w:val="18"/>
              </w:rPr>
              <w:t>on </w:t>
            </w:r>
            <w:r>
              <w:rPr>
                <w:b/>
                <w:spacing w:val="-4"/>
                <w:sz w:val="18"/>
              </w:rPr>
              <w:t>time</w:t>
            </w:r>
          </w:p>
        </w:tc>
        <w:tc>
          <w:tcPr>
            <w:tcW w:w="2164" w:type="dxa"/>
          </w:tcPr>
          <w:p>
            <w:pPr>
              <w:pStyle w:val="TableParagraph"/>
              <w:spacing w:before="1"/>
              <w:ind w:left="106" w:right="115"/>
              <w:rPr>
                <w:sz w:val="18"/>
              </w:rPr>
            </w:pPr>
            <w:r>
              <w:rPr>
                <w:sz w:val="18"/>
              </w:rPr>
              <w:t>3.1.1</w:t>
            </w:r>
            <w:r>
              <w:rPr>
                <w:spacing w:val="-8"/>
                <w:sz w:val="18"/>
              </w:rPr>
              <w:t> </w:t>
            </w:r>
            <w:r>
              <w:rPr>
                <w:sz w:val="18"/>
              </w:rPr>
              <w:t>At</w:t>
            </w:r>
            <w:r>
              <w:rPr>
                <w:spacing w:val="-8"/>
                <w:sz w:val="18"/>
              </w:rPr>
              <w:t> </w:t>
            </w:r>
            <w:r>
              <w:rPr>
                <w:sz w:val="18"/>
              </w:rPr>
              <w:t>least</w:t>
            </w:r>
            <w:r>
              <w:rPr>
                <w:spacing w:val="-8"/>
                <w:sz w:val="18"/>
              </w:rPr>
              <w:t> </w:t>
            </w:r>
            <w:r>
              <w:rPr>
                <w:sz w:val="18"/>
              </w:rPr>
              <w:t>65%</w:t>
            </w:r>
            <w:r>
              <w:rPr>
                <w:spacing w:val="-8"/>
                <w:sz w:val="18"/>
              </w:rPr>
              <w:t> </w:t>
            </w:r>
            <w:r>
              <w:rPr>
                <w:sz w:val="18"/>
              </w:rPr>
              <w:t>of</w:t>
            </w:r>
            <w:r>
              <w:rPr>
                <w:spacing w:val="-9"/>
                <w:sz w:val="18"/>
              </w:rPr>
              <w:t> </w:t>
            </w:r>
            <w:r>
              <w:rPr>
                <w:sz w:val="18"/>
              </w:rPr>
              <w:t>2018 School grants are retired by 31 March 2019 (2018</w:t>
            </w:r>
          </w:p>
          <w:p>
            <w:pPr>
              <w:pStyle w:val="TableParagraph"/>
              <w:spacing w:line="198" w:lineRule="exact"/>
              <w:ind w:left="106"/>
              <w:rPr>
                <w:sz w:val="18"/>
              </w:rPr>
            </w:pPr>
            <w:r>
              <w:rPr>
                <w:sz w:val="18"/>
              </w:rPr>
              <w:t>second</w:t>
            </w:r>
            <w:r>
              <w:rPr>
                <w:spacing w:val="-6"/>
                <w:sz w:val="18"/>
              </w:rPr>
              <w:t> </w:t>
            </w:r>
            <w:r>
              <w:rPr>
                <w:spacing w:val="-2"/>
                <w:sz w:val="18"/>
              </w:rPr>
              <w:t>biannual)</w:t>
            </w:r>
          </w:p>
        </w:tc>
        <w:tc>
          <w:tcPr>
            <w:tcW w:w="2167" w:type="dxa"/>
          </w:tcPr>
          <w:p>
            <w:pPr>
              <w:pStyle w:val="TableParagraph"/>
              <w:spacing w:before="1"/>
              <w:ind w:left="105" w:right="148"/>
              <w:rPr>
                <w:sz w:val="18"/>
              </w:rPr>
            </w:pPr>
            <w:r>
              <w:rPr>
                <w:sz w:val="18"/>
              </w:rPr>
              <w:t>MEHRD Acquittal report for Primary, Secondary, TVET</w:t>
            </w:r>
            <w:r>
              <w:rPr>
                <w:spacing w:val="-7"/>
                <w:sz w:val="18"/>
              </w:rPr>
              <w:t> </w:t>
            </w:r>
            <w:r>
              <w:rPr>
                <w:sz w:val="18"/>
              </w:rPr>
              <w:t>as</w:t>
            </w:r>
            <w:r>
              <w:rPr>
                <w:spacing w:val="-8"/>
                <w:sz w:val="18"/>
              </w:rPr>
              <w:t> </w:t>
            </w:r>
            <w:r>
              <w:rPr>
                <w:sz w:val="18"/>
              </w:rPr>
              <w:t>at</w:t>
            </w:r>
            <w:r>
              <w:rPr>
                <w:spacing w:val="-8"/>
                <w:sz w:val="18"/>
              </w:rPr>
              <w:t> </w:t>
            </w:r>
            <w:r>
              <w:rPr>
                <w:sz w:val="18"/>
              </w:rPr>
              <w:t>31</w:t>
            </w:r>
            <w:r>
              <w:rPr>
                <w:spacing w:val="-7"/>
                <w:sz w:val="18"/>
              </w:rPr>
              <w:t> </w:t>
            </w:r>
            <w:r>
              <w:rPr>
                <w:sz w:val="18"/>
              </w:rPr>
              <w:t>March</w:t>
            </w:r>
            <w:r>
              <w:rPr>
                <w:spacing w:val="-8"/>
                <w:sz w:val="18"/>
              </w:rPr>
              <w:t> </w:t>
            </w:r>
            <w:r>
              <w:rPr>
                <w:sz w:val="18"/>
              </w:rPr>
              <w:t>2019</w:t>
            </w:r>
          </w:p>
          <w:p>
            <w:pPr>
              <w:pStyle w:val="TableParagraph"/>
              <w:spacing w:line="198" w:lineRule="exact"/>
              <w:ind w:left="105"/>
              <w:rPr>
                <w:sz w:val="18"/>
              </w:rPr>
            </w:pPr>
            <w:r>
              <w:rPr>
                <w:sz w:val="18"/>
              </w:rPr>
              <w:t>–</w:t>
            </w:r>
            <w:r>
              <w:rPr>
                <w:spacing w:val="-3"/>
                <w:sz w:val="18"/>
              </w:rPr>
              <w:t> </w:t>
            </w:r>
            <w:r>
              <w:rPr>
                <w:sz w:val="18"/>
              </w:rPr>
              <w:t>retirements</w:t>
            </w:r>
            <w:r>
              <w:rPr>
                <w:spacing w:val="-3"/>
                <w:sz w:val="18"/>
              </w:rPr>
              <w:t> </w:t>
            </w:r>
            <w:r>
              <w:rPr>
                <w:spacing w:val="-2"/>
                <w:sz w:val="18"/>
              </w:rPr>
              <w:t>(50%)</w:t>
            </w:r>
          </w:p>
        </w:tc>
        <w:tc>
          <w:tcPr>
            <w:tcW w:w="1461" w:type="dxa"/>
            <w:shd w:val="clear" w:color="auto" w:fill="FF0000"/>
          </w:tcPr>
          <w:p>
            <w:pPr>
              <w:pStyle w:val="TableParagraph"/>
              <w:spacing w:before="1"/>
              <w:ind w:right="3"/>
              <w:jc w:val="center"/>
              <w:rPr>
                <w:sz w:val="18"/>
              </w:rPr>
            </w:pPr>
            <w:r>
              <w:rPr>
                <w:sz w:val="18"/>
              </w:rPr>
              <w:t>0</w:t>
            </w:r>
          </w:p>
        </w:tc>
        <w:tc>
          <w:tcPr>
            <w:tcW w:w="1269" w:type="dxa"/>
          </w:tcPr>
          <w:p>
            <w:pPr>
              <w:pStyle w:val="TableParagraph"/>
              <w:tabs>
                <w:tab w:pos="846" w:val="left" w:leader="none"/>
              </w:tabs>
              <w:spacing w:before="1"/>
              <w:ind w:left="101"/>
              <w:rPr>
                <w:sz w:val="18"/>
              </w:rPr>
            </w:pPr>
            <w:r>
              <w:rPr>
                <w:spacing w:val="-10"/>
                <w:sz w:val="18"/>
              </w:rPr>
              <w:t>$</w:t>
            </w:r>
            <w:r>
              <w:rPr>
                <w:sz w:val="18"/>
              </w:rPr>
              <w:tab/>
            </w:r>
            <w:r>
              <w:rPr>
                <w:spacing w:val="-10"/>
                <w:sz w:val="18"/>
              </w:rPr>
              <w:t>-</w:t>
            </w:r>
          </w:p>
        </w:tc>
      </w:tr>
      <w:tr>
        <w:trPr>
          <w:trHeight w:val="1391" w:hRule="atLeast"/>
        </w:trPr>
        <w:tc>
          <w:tcPr>
            <w:tcW w:w="1366" w:type="dxa"/>
            <w:vMerge/>
            <w:tcBorders>
              <w:top w:val="nil"/>
            </w:tcBorders>
          </w:tcPr>
          <w:p>
            <w:pPr>
              <w:rPr>
                <w:sz w:val="2"/>
                <w:szCs w:val="2"/>
              </w:rPr>
            </w:pPr>
          </w:p>
        </w:tc>
        <w:tc>
          <w:tcPr>
            <w:tcW w:w="1535" w:type="dxa"/>
            <w:vMerge/>
            <w:tcBorders>
              <w:top w:val="nil"/>
            </w:tcBorders>
          </w:tcPr>
          <w:p>
            <w:pPr>
              <w:rPr>
                <w:sz w:val="2"/>
                <w:szCs w:val="2"/>
              </w:rPr>
            </w:pPr>
          </w:p>
        </w:tc>
        <w:tc>
          <w:tcPr>
            <w:tcW w:w="2164" w:type="dxa"/>
          </w:tcPr>
          <w:p>
            <w:pPr>
              <w:pStyle w:val="TableParagraph"/>
              <w:spacing w:before="1"/>
              <w:ind w:left="106" w:right="115"/>
              <w:rPr>
                <w:sz w:val="18"/>
              </w:rPr>
            </w:pPr>
            <w:r>
              <w:rPr>
                <w:sz w:val="18"/>
              </w:rPr>
              <w:t>3.1.2.</w:t>
            </w:r>
            <w:r>
              <w:rPr>
                <w:spacing w:val="40"/>
                <w:sz w:val="18"/>
              </w:rPr>
              <w:t> </w:t>
            </w:r>
            <w:r>
              <w:rPr>
                <w:sz w:val="18"/>
              </w:rPr>
              <w:t>At least 85% received</w:t>
            </w:r>
            <w:r>
              <w:rPr>
                <w:spacing w:val="-11"/>
                <w:sz w:val="18"/>
              </w:rPr>
              <w:t> </w:t>
            </w:r>
            <w:r>
              <w:rPr>
                <w:sz w:val="18"/>
              </w:rPr>
              <w:t>the</w:t>
            </w:r>
            <w:r>
              <w:rPr>
                <w:spacing w:val="-10"/>
                <w:sz w:val="18"/>
              </w:rPr>
              <w:t> </w:t>
            </w:r>
            <w:r>
              <w:rPr>
                <w:sz w:val="18"/>
              </w:rPr>
              <w:t>first</w:t>
            </w:r>
            <w:r>
              <w:rPr>
                <w:spacing w:val="-10"/>
                <w:sz w:val="18"/>
              </w:rPr>
              <w:t> </w:t>
            </w:r>
            <w:r>
              <w:rPr>
                <w:sz w:val="18"/>
              </w:rPr>
              <w:t>tranche of</w:t>
            </w:r>
            <w:r>
              <w:rPr>
                <w:spacing w:val="-2"/>
                <w:sz w:val="18"/>
              </w:rPr>
              <w:t> </w:t>
            </w:r>
            <w:r>
              <w:rPr>
                <w:sz w:val="18"/>
              </w:rPr>
              <w:t>their</w:t>
            </w:r>
            <w:r>
              <w:rPr>
                <w:spacing w:val="-1"/>
                <w:sz w:val="18"/>
              </w:rPr>
              <w:t> </w:t>
            </w:r>
            <w:r>
              <w:rPr>
                <w:sz w:val="18"/>
              </w:rPr>
              <w:t>2019</w:t>
            </w:r>
            <w:r>
              <w:rPr>
                <w:spacing w:val="-2"/>
                <w:sz w:val="18"/>
              </w:rPr>
              <w:t> </w:t>
            </w:r>
            <w:r>
              <w:rPr>
                <w:sz w:val="18"/>
              </w:rPr>
              <w:t>grant</w:t>
            </w:r>
            <w:r>
              <w:rPr>
                <w:spacing w:val="-1"/>
                <w:sz w:val="18"/>
              </w:rPr>
              <w:t> </w:t>
            </w:r>
            <w:r>
              <w:rPr>
                <w:sz w:val="18"/>
              </w:rPr>
              <w:t>by</w:t>
            </w:r>
            <w:r>
              <w:rPr>
                <w:spacing w:val="-1"/>
                <w:sz w:val="18"/>
              </w:rPr>
              <w:t> </w:t>
            </w:r>
            <w:r>
              <w:rPr>
                <w:spacing w:val="-5"/>
                <w:sz w:val="18"/>
              </w:rPr>
              <w:t>31</w:t>
            </w:r>
          </w:p>
          <w:p>
            <w:pPr>
              <w:pStyle w:val="TableParagraph"/>
              <w:spacing w:before="1"/>
              <w:ind w:left="106"/>
              <w:rPr>
                <w:sz w:val="18"/>
              </w:rPr>
            </w:pPr>
            <w:r>
              <w:rPr>
                <w:sz w:val="18"/>
              </w:rPr>
              <w:t>March</w:t>
            </w:r>
            <w:r>
              <w:rPr>
                <w:spacing w:val="-2"/>
                <w:sz w:val="18"/>
              </w:rPr>
              <w:t> </w:t>
            </w:r>
            <w:r>
              <w:rPr>
                <w:spacing w:val="-4"/>
                <w:sz w:val="18"/>
              </w:rPr>
              <w:t>2019</w:t>
            </w:r>
          </w:p>
        </w:tc>
        <w:tc>
          <w:tcPr>
            <w:tcW w:w="2167" w:type="dxa"/>
          </w:tcPr>
          <w:p>
            <w:pPr>
              <w:pStyle w:val="TableParagraph"/>
              <w:spacing w:before="1"/>
              <w:ind w:left="105" w:right="148" w:firstLine="40"/>
              <w:rPr>
                <w:sz w:val="18"/>
              </w:rPr>
            </w:pPr>
            <w:r>
              <w:rPr>
                <w:sz w:val="18"/>
              </w:rPr>
              <w:t>MEHRD Acquittal report for Primary, Secondary, TVET</w:t>
            </w:r>
            <w:r>
              <w:rPr>
                <w:spacing w:val="-7"/>
                <w:sz w:val="18"/>
              </w:rPr>
              <w:t> </w:t>
            </w:r>
            <w:r>
              <w:rPr>
                <w:sz w:val="18"/>
              </w:rPr>
              <w:t>as</w:t>
            </w:r>
            <w:r>
              <w:rPr>
                <w:spacing w:val="-8"/>
                <w:sz w:val="18"/>
              </w:rPr>
              <w:t> </w:t>
            </w:r>
            <w:r>
              <w:rPr>
                <w:sz w:val="18"/>
              </w:rPr>
              <w:t>at</w:t>
            </w:r>
            <w:r>
              <w:rPr>
                <w:spacing w:val="-8"/>
                <w:sz w:val="18"/>
              </w:rPr>
              <w:t> </w:t>
            </w:r>
            <w:r>
              <w:rPr>
                <w:sz w:val="18"/>
              </w:rPr>
              <w:t>31</w:t>
            </w:r>
            <w:r>
              <w:rPr>
                <w:spacing w:val="-7"/>
                <w:sz w:val="18"/>
              </w:rPr>
              <w:t> </w:t>
            </w:r>
            <w:r>
              <w:rPr>
                <w:sz w:val="18"/>
              </w:rPr>
              <w:t>March</w:t>
            </w:r>
            <w:r>
              <w:rPr>
                <w:spacing w:val="-8"/>
                <w:sz w:val="18"/>
              </w:rPr>
              <w:t> </w:t>
            </w:r>
            <w:r>
              <w:rPr>
                <w:sz w:val="18"/>
              </w:rPr>
              <w:t>2019</w:t>
            </w:r>
          </w:p>
          <w:p>
            <w:pPr>
              <w:pStyle w:val="TableParagraph"/>
              <w:spacing w:before="1"/>
              <w:ind w:left="105" w:right="363"/>
              <w:rPr>
                <w:sz w:val="18"/>
              </w:rPr>
            </w:pPr>
            <w:r>
              <w:rPr>
                <w:sz w:val="18"/>
              </w:rPr>
              <w:t>- disbursement of first tranche</w:t>
            </w:r>
            <w:r>
              <w:rPr>
                <w:spacing w:val="-2"/>
                <w:sz w:val="18"/>
              </w:rPr>
              <w:t> </w:t>
            </w:r>
            <w:r>
              <w:rPr>
                <w:sz w:val="18"/>
              </w:rPr>
              <w:t>for</w:t>
            </w:r>
            <w:r>
              <w:rPr>
                <w:spacing w:val="-1"/>
                <w:sz w:val="18"/>
              </w:rPr>
              <w:t> </w:t>
            </w:r>
            <w:r>
              <w:rPr>
                <w:sz w:val="18"/>
              </w:rPr>
              <w:t>2019</w:t>
            </w:r>
            <w:r>
              <w:rPr>
                <w:spacing w:val="-2"/>
                <w:sz w:val="18"/>
              </w:rPr>
              <w:t> </w:t>
            </w:r>
            <w:r>
              <w:rPr>
                <w:spacing w:val="-2"/>
                <w:sz w:val="18"/>
              </w:rPr>
              <w:t>(50%)</w:t>
            </w:r>
          </w:p>
        </w:tc>
        <w:tc>
          <w:tcPr>
            <w:tcW w:w="1461" w:type="dxa"/>
            <w:shd w:val="clear" w:color="auto" w:fill="A9D08E"/>
          </w:tcPr>
          <w:p>
            <w:pPr>
              <w:pStyle w:val="TableParagraph"/>
              <w:spacing w:before="1"/>
              <w:ind w:left="144" w:right="146"/>
              <w:jc w:val="center"/>
              <w:rPr>
                <w:sz w:val="18"/>
              </w:rPr>
            </w:pPr>
            <w:r>
              <w:rPr>
                <w:sz w:val="18"/>
              </w:rPr>
              <w:t>100% (of</w:t>
            </w:r>
            <w:r>
              <w:rPr>
                <w:spacing w:val="-1"/>
                <w:sz w:val="18"/>
              </w:rPr>
              <w:t> </w:t>
            </w:r>
            <w:r>
              <w:rPr>
                <w:spacing w:val="-5"/>
                <w:sz w:val="18"/>
              </w:rPr>
              <w:t>50)</w:t>
            </w:r>
          </w:p>
        </w:tc>
        <w:tc>
          <w:tcPr>
            <w:tcW w:w="1269" w:type="dxa"/>
          </w:tcPr>
          <w:p>
            <w:pPr>
              <w:pStyle w:val="TableParagraph"/>
              <w:tabs>
                <w:tab w:pos="601" w:val="left" w:leader="none"/>
              </w:tabs>
              <w:spacing w:before="1"/>
              <w:ind w:left="101"/>
              <w:rPr>
                <w:sz w:val="18"/>
              </w:rPr>
            </w:pPr>
            <w:r>
              <w:rPr>
                <w:spacing w:val="-10"/>
                <w:sz w:val="18"/>
              </w:rPr>
              <w:t>$</w:t>
            </w:r>
            <w:r>
              <w:rPr>
                <w:sz w:val="18"/>
              </w:rPr>
              <w:tab/>
            </w:r>
            <w:r>
              <w:rPr>
                <w:spacing w:val="-2"/>
                <w:sz w:val="18"/>
              </w:rPr>
              <w:t>57,143</w:t>
            </w:r>
          </w:p>
        </w:tc>
      </w:tr>
      <w:tr>
        <w:trPr>
          <w:trHeight w:val="657" w:hRule="atLeast"/>
        </w:trPr>
        <w:tc>
          <w:tcPr>
            <w:tcW w:w="1366" w:type="dxa"/>
            <w:vMerge w:val="restart"/>
          </w:tcPr>
          <w:p>
            <w:pPr>
              <w:pStyle w:val="TableParagraph"/>
              <w:ind w:left="107"/>
              <w:rPr>
                <w:b/>
                <w:sz w:val="18"/>
              </w:rPr>
            </w:pPr>
            <w:r>
              <w:rPr>
                <w:b/>
                <w:spacing w:val="-2"/>
                <w:sz w:val="18"/>
              </w:rPr>
              <w:t>MANAGEMENT</w:t>
            </w:r>
            <w:r>
              <w:rPr>
                <w:b/>
                <w:sz w:val="18"/>
              </w:rPr>
              <w:t> </w:t>
            </w:r>
            <w:r>
              <w:rPr>
                <w:b/>
                <w:spacing w:val="-2"/>
                <w:sz w:val="18"/>
              </w:rPr>
              <w:t>SYSTEMS</w:t>
            </w:r>
          </w:p>
          <w:p>
            <w:pPr>
              <w:pStyle w:val="TableParagraph"/>
              <w:ind w:left="107"/>
              <w:rPr>
                <w:b/>
                <w:sz w:val="18"/>
              </w:rPr>
            </w:pPr>
            <w:r>
              <w:rPr>
                <w:b/>
                <w:spacing w:val="-2"/>
                <w:sz w:val="18"/>
              </w:rPr>
              <w:t>(TBA)</w:t>
            </w:r>
          </w:p>
        </w:tc>
        <w:tc>
          <w:tcPr>
            <w:tcW w:w="1535" w:type="dxa"/>
            <w:vMerge w:val="restart"/>
          </w:tcPr>
          <w:p>
            <w:pPr>
              <w:pStyle w:val="TableParagraph"/>
              <w:ind w:left="107" w:right="242"/>
              <w:rPr>
                <w:b/>
                <w:sz w:val="18"/>
              </w:rPr>
            </w:pPr>
            <w:r>
              <w:rPr>
                <w:b/>
                <w:sz w:val="18"/>
              </w:rPr>
              <w:t>3.2 New Education</w:t>
            </w:r>
            <w:r>
              <w:rPr>
                <w:b/>
                <w:spacing w:val="-11"/>
                <w:sz w:val="18"/>
              </w:rPr>
              <w:t> </w:t>
            </w:r>
            <w:r>
              <w:rPr>
                <w:b/>
                <w:sz w:val="18"/>
              </w:rPr>
              <w:t>Bill</w:t>
            </w:r>
            <w:r>
              <w:rPr>
                <w:b/>
                <w:spacing w:val="-10"/>
                <w:sz w:val="18"/>
              </w:rPr>
              <w:t> </w:t>
            </w:r>
            <w:r>
              <w:rPr>
                <w:b/>
                <w:sz w:val="18"/>
              </w:rPr>
              <w:t>is </w:t>
            </w:r>
            <w:r>
              <w:rPr>
                <w:b/>
                <w:spacing w:val="-2"/>
                <w:sz w:val="18"/>
              </w:rPr>
              <w:t>passed</w:t>
            </w:r>
          </w:p>
        </w:tc>
        <w:tc>
          <w:tcPr>
            <w:tcW w:w="2164" w:type="dxa"/>
            <w:vMerge w:val="restart"/>
          </w:tcPr>
          <w:p>
            <w:pPr>
              <w:pStyle w:val="TableParagraph"/>
              <w:ind w:left="106" w:right="173"/>
              <w:rPr>
                <w:sz w:val="18"/>
              </w:rPr>
            </w:pPr>
            <w:r>
              <w:rPr>
                <w:sz w:val="18"/>
              </w:rPr>
              <w:t>3.2.1</w:t>
            </w:r>
            <w:r>
              <w:rPr>
                <w:spacing w:val="-11"/>
                <w:sz w:val="18"/>
              </w:rPr>
              <w:t> </w:t>
            </w:r>
            <w:r>
              <w:rPr>
                <w:sz w:val="18"/>
              </w:rPr>
              <w:t>Draft</w:t>
            </w:r>
            <w:r>
              <w:rPr>
                <w:spacing w:val="-10"/>
                <w:sz w:val="18"/>
              </w:rPr>
              <w:t> </w:t>
            </w:r>
            <w:r>
              <w:rPr>
                <w:sz w:val="18"/>
              </w:rPr>
              <w:t>Education</w:t>
            </w:r>
            <w:r>
              <w:rPr>
                <w:spacing w:val="-10"/>
                <w:sz w:val="18"/>
              </w:rPr>
              <w:t> </w:t>
            </w:r>
            <w:r>
              <w:rPr>
                <w:sz w:val="18"/>
              </w:rPr>
              <w:t>Bill is endorsed by NEB in </w:t>
            </w:r>
            <w:r>
              <w:rPr>
                <w:spacing w:val="-2"/>
                <w:sz w:val="18"/>
              </w:rPr>
              <w:t>October</w:t>
            </w:r>
          </w:p>
        </w:tc>
        <w:tc>
          <w:tcPr>
            <w:tcW w:w="2167" w:type="dxa"/>
          </w:tcPr>
          <w:p>
            <w:pPr>
              <w:pStyle w:val="TableParagraph"/>
              <w:ind w:left="105" w:right="148"/>
              <w:rPr>
                <w:sz w:val="18"/>
              </w:rPr>
            </w:pPr>
            <w:r>
              <w:rPr>
                <w:sz w:val="18"/>
              </w:rPr>
              <w:t>Bill in final format approved</w:t>
            </w:r>
            <w:r>
              <w:rPr>
                <w:spacing w:val="-11"/>
                <w:sz w:val="18"/>
              </w:rPr>
              <w:t> </w:t>
            </w:r>
            <w:r>
              <w:rPr>
                <w:sz w:val="18"/>
              </w:rPr>
              <w:t>by</w:t>
            </w:r>
            <w:r>
              <w:rPr>
                <w:spacing w:val="-10"/>
                <w:sz w:val="18"/>
              </w:rPr>
              <w:t> </w:t>
            </w:r>
            <w:r>
              <w:rPr>
                <w:sz w:val="18"/>
              </w:rPr>
              <w:t>SMT</w:t>
            </w:r>
            <w:r>
              <w:rPr>
                <w:spacing w:val="-10"/>
                <w:sz w:val="18"/>
              </w:rPr>
              <w:t> </w:t>
            </w:r>
            <w:r>
              <w:rPr>
                <w:sz w:val="18"/>
              </w:rPr>
              <w:t>(50%)</w:t>
            </w:r>
          </w:p>
        </w:tc>
        <w:tc>
          <w:tcPr>
            <w:tcW w:w="1461" w:type="dxa"/>
            <w:shd w:val="clear" w:color="auto" w:fill="A9D08E"/>
          </w:tcPr>
          <w:p>
            <w:pPr>
              <w:pStyle w:val="TableParagraph"/>
              <w:spacing w:line="219" w:lineRule="exact"/>
              <w:ind w:left="144" w:right="146"/>
              <w:jc w:val="center"/>
              <w:rPr>
                <w:sz w:val="18"/>
              </w:rPr>
            </w:pPr>
            <w:r>
              <w:rPr>
                <w:sz w:val="18"/>
              </w:rPr>
              <w:t>100% (of</w:t>
            </w:r>
            <w:r>
              <w:rPr>
                <w:spacing w:val="-1"/>
                <w:sz w:val="18"/>
              </w:rPr>
              <w:t> </w:t>
            </w:r>
            <w:r>
              <w:rPr>
                <w:spacing w:val="-5"/>
                <w:sz w:val="18"/>
              </w:rPr>
              <w:t>50)</w:t>
            </w:r>
          </w:p>
        </w:tc>
        <w:tc>
          <w:tcPr>
            <w:tcW w:w="1269" w:type="dxa"/>
          </w:tcPr>
          <w:p>
            <w:pPr>
              <w:pStyle w:val="TableParagraph"/>
              <w:tabs>
                <w:tab w:pos="601" w:val="left" w:leader="none"/>
              </w:tabs>
              <w:spacing w:line="219" w:lineRule="exact"/>
              <w:ind w:left="101"/>
              <w:rPr>
                <w:sz w:val="18"/>
              </w:rPr>
            </w:pPr>
            <w:r>
              <w:rPr>
                <w:spacing w:val="-10"/>
                <w:sz w:val="18"/>
              </w:rPr>
              <w:t>$</w:t>
            </w:r>
            <w:r>
              <w:rPr>
                <w:sz w:val="18"/>
              </w:rPr>
              <w:tab/>
            </w:r>
            <w:r>
              <w:rPr>
                <w:spacing w:val="-2"/>
                <w:sz w:val="18"/>
              </w:rPr>
              <w:t>57,143</w:t>
            </w:r>
          </w:p>
        </w:tc>
      </w:tr>
      <w:tr>
        <w:trPr>
          <w:trHeight w:val="441" w:hRule="atLeast"/>
        </w:trPr>
        <w:tc>
          <w:tcPr>
            <w:tcW w:w="1366" w:type="dxa"/>
            <w:vMerge/>
            <w:tcBorders>
              <w:top w:val="nil"/>
            </w:tcBorders>
          </w:tcPr>
          <w:p>
            <w:pPr>
              <w:rPr>
                <w:sz w:val="2"/>
                <w:szCs w:val="2"/>
              </w:rPr>
            </w:pPr>
          </w:p>
        </w:tc>
        <w:tc>
          <w:tcPr>
            <w:tcW w:w="1535" w:type="dxa"/>
            <w:vMerge/>
            <w:tcBorders>
              <w:top w:val="nil"/>
            </w:tcBorders>
          </w:tcPr>
          <w:p>
            <w:pPr>
              <w:rPr>
                <w:sz w:val="2"/>
                <w:szCs w:val="2"/>
              </w:rPr>
            </w:pPr>
          </w:p>
        </w:tc>
        <w:tc>
          <w:tcPr>
            <w:tcW w:w="2164" w:type="dxa"/>
            <w:vMerge/>
            <w:tcBorders>
              <w:top w:val="nil"/>
            </w:tcBorders>
          </w:tcPr>
          <w:p>
            <w:pPr>
              <w:rPr>
                <w:sz w:val="2"/>
                <w:szCs w:val="2"/>
              </w:rPr>
            </w:pPr>
          </w:p>
        </w:tc>
        <w:tc>
          <w:tcPr>
            <w:tcW w:w="2167" w:type="dxa"/>
          </w:tcPr>
          <w:p>
            <w:pPr>
              <w:pStyle w:val="TableParagraph"/>
              <w:spacing w:line="220" w:lineRule="atLeast"/>
              <w:ind w:left="105" w:right="148"/>
              <w:rPr>
                <w:sz w:val="18"/>
              </w:rPr>
            </w:pPr>
            <w:r>
              <w:rPr>
                <w:sz w:val="18"/>
              </w:rPr>
              <w:t>NEB memorandum to Minister</w:t>
            </w:r>
            <w:r>
              <w:rPr>
                <w:spacing w:val="-11"/>
                <w:sz w:val="18"/>
              </w:rPr>
              <w:t> </w:t>
            </w:r>
            <w:r>
              <w:rPr>
                <w:sz w:val="18"/>
              </w:rPr>
              <w:t>of</w:t>
            </w:r>
            <w:r>
              <w:rPr>
                <w:spacing w:val="-10"/>
                <w:sz w:val="18"/>
              </w:rPr>
              <w:t> </w:t>
            </w:r>
            <w:r>
              <w:rPr>
                <w:sz w:val="18"/>
              </w:rPr>
              <w:t>EHRD</w:t>
            </w:r>
            <w:r>
              <w:rPr>
                <w:spacing w:val="-10"/>
                <w:sz w:val="18"/>
              </w:rPr>
              <w:t> </w:t>
            </w:r>
            <w:r>
              <w:rPr>
                <w:sz w:val="18"/>
              </w:rPr>
              <w:t>(50%)</w:t>
            </w:r>
          </w:p>
        </w:tc>
        <w:tc>
          <w:tcPr>
            <w:tcW w:w="1461" w:type="dxa"/>
            <w:shd w:val="clear" w:color="auto" w:fill="A9D08E"/>
          </w:tcPr>
          <w:p>
            <w:pPr>
              <w:pStyle w:val="TableParagraph"/>
              <w:spacing w:before="1"/>
              <w:ind w:left="144" w:right="146"/>
              <w:jc w:val="center"/>
              <w:rPr>
                <w:sz w:val="18"/>
              </w:rPr>
            </w:pPr>
            <w:r>
              <w:rPr>
                <w:sz w:val="18"/>
              </w:rPr>
              <w:t>100% (of</w:t>
            </w:r>
            <w:r>
              <w:rPr>
                <w:spacing w:val="-1"/>
                <w:sz w:val="18"/>
              </w:rPr>
              <w:t> </w:t>
            </w:r>
            <w:r>
              <w:rPr>
                <w:spacing w:val="-5"/>
                <w:sz w:val="18"/>
              </w:rPr>
              <w:t>50)</w:t>
            </w:r>
          </w:p>
        </w:tc>
        <w:tc>
          <w:tcPr>
            <w:tcW w:w="1269" w:type="dxa"/>
          </w:tcPr>
          <w:p>
            <w:pPr>
              <w:pStyle w:val="TableParagraph"/>
              <w:tabs>
                <w:tab w:pos="642" w:val="left" w:leader="none"/>
              </w:tabs>
              <w:spacing w:before="1"/>
              <w:ind w:left="101"/>
              <w:rPr>
                <w:sz w:val="18"/>
              </w:rPr>
            </w:pPr>
            <w:r>
              <w:rPr>
                <w:spacing w:val="-10"/>
                <w:sz w:val="18"/>
              </w:rPr>
              <w:t>$</w:t>
            </w:r>
            <w:r>
              <w:rPr>
                <w:sz w:val="18"/>
              </w:rPr>
              <w:tab/>
            </w:r>
            <w:r>
              <w:rPr>
                <w:spacing w:val="-2"/>
                <w:sz w:val="18"/>
              </w:rPr>
              <w:t>57,143</w:t>
            </w:r>
          </w:p>
        </w:tc>
      </w:tr>
      <w:tr>
        <w:trPr>
          <w:trHeight w:val="1538" w:hRule="atLeast"/>
        </w:trPr>
        <w:tc>
          <w:tcPr>
            <w:tcW w:w="1366" w:type="dxa"/>
          </w:tcPr>
          <w:p>
            <w:pPr>
              <w:pStyle w:val="TableParagraph"/>
              <w:ind w:left="107"/>
              <w:rPr>
                <w:b/>
                <w:sz w:val="18"/>
              </w:rPr>
            </w:pPr>
            <w:r>
              <w:rPr>
                <w:b/>
                <w:spacing w:val="-2"/>
                <w:sz w:val="18"/>
              </w:rPr>
              <w:t>MANAGEMENT</w:t>
            </w:r>
            <w:r>
              <w:rPr>
                <w:b/>
                <w:sz w:val="18"/>
              </w:rPr>
              <w:t> </w:t>
            </w:r>
            <w:r>
              <w:rPr>
                <w:b/>
                <w:spacing w:val="-2"/>
                <w:sz w:val="18"/>
              </w:rPr>
              <w:t>SYSTEMS</w:t>
            </w:r>
          </w:p>
          <w:p>
            <w:pPr>
              <w:pStyle w:val="TableParagraph"/>
              <w:spacing w:line="219" w:lineRule="exact"/>
              <w:ind w:left="107"/>
              <w:rPr>
                <w:b/>
                <w:sz w:val="18"/>
              </w:rPr>
            </w:pPr>
            <w:r>
              <w:rPr>
                <w:b/>
                <w:sz w:val="18"/>
              </w:rPr>
              <w:t>I03.2 </w:t>
            </w:r>
            <w:r>
              <w:rPr>
                <w:b/>
                <w:spacing w:val="-4"/>
                <w:sz w:val="18"/>
              </w:rPr>
              <w:t>(40)</w:t>
            </w:r>
          </w:p>
        </w:tc>
        <w:tc>
          <w:tcPr>
            <w:tcW w:w="1535" w:type="dxa"/>
          </w:tcPr>
          <w:p>
            <w:pPr>
              <w:pStyle w:val="TableParagraph"/>
              <w:ind w:left="107" w:right="114"/>
              <w:rPr>
                <w:b/>
                <w:sz w:val="18"/>
              </w:rPr>
            </w:pPr>
            <w:r>
              <w:rPr>
                <w:b/>
                <w:sz w:val="18"/>
              </w:rPr>
              <w:t>3.3</w:t>
            </w:r>
            <w:r>
              <w:rPr>
                <w:b/>
                <w:spacing w:val="40"/>
                <w:sz w:val="18"/>
              </w:rPr>
              <w:t> </w:t>
            </w:r>
            <w:r>
              <w:rPr>
                <w:b/>
                <w:sz w:val="18"/>
              </w:rPr>
              <w:t>Education </w:t>
            </w:r>
            <w:r>
              <w:rPr>
                <w:b/>
                <w:spacing w:val="-2"/>
                <w:sz w:val="18"/>
              </w:rPr>
              <w:t>Authorities</w:t>
            </w:r>
            <w:r>
              <w:rPr>
                <w:b/>
                <w:sz w:val="18"/>
              </w:rPr>
              <w:t> operate to agreed</w:t>
            </w:r>
            <w:r>
              <w:rPr>
                <w:b/>
                <w:spacing w:val="-11"/>
                <w:sz w:val="18"/>
              </w:rPr>
              <w:t> </w:t>
            </w:r>
            <w:r>
              <w:rPr>
                <w:b/>
                <w:sz w:val="18"/>
              </w:rPr>
              <w:t>standards</w:t>
            </w:r>
          </w:p>
        </w:tc>
        <w:tc>
          <w:tcPr>
            <w:tcW w:w="2164" w:type="dxa"/>
          </w:tcPr>
          <w:p>
            <w:pPr>
              <w:pStyle w:val="TableParagraph"/>
              <w:spacing w:line="219" w:lineRule="exact"/>
              <w:ind w:left="106"/>
              <w:rPr>
                <w:sz w:val="18"/>
              </w:rPr>
            </w:pPr>
            <w:r>
              <w:rPr>
                <w:sz w:val="18"/>
              </w:rPr>
              <w:t>3.3.1</w:t>
            </w:r>
            <w:r>
              <w:rPr>
                <w:spacing w:val="39"/>
                <w:sz w:val="18"/>
              </w:rPr>
              <w:t> </w:t>
            </w:r>
            <w:r>
              <w:rPr>
                <w:sz w:val="18"/>
              </w:rPr>
              <w:t>By the</w:t>
            </w:r>
            <w:r>
              <w:rPr>
                <w:spacing w:val="-2"/>
                <w:sz w:val="18"/>
              </w:rPr>
              <w:t> </w:t>
            </w:r>
            <w:r>
              <w:rPr>
                <w:sz w:val="18"/>
              </w:rPr>
              <w:t>end</w:t>
            </w:r>
            <w:r>
              <w:rPr>
                <w:spacing w:val="-1"/>
                <w:sz w:val="18"/>
              </w:rPr>
              <w:t> </w:t>
            </w:r>
            <w:r>
              <w:rPr>
                <w:sz w:val="18"/>
              </w:rPr>
              <w:t>of</w:t>
            </w:r>
            <w:r>
              <w:rPr>
                <w:spacing w:val="-2"/>
                <w:sz w:val="18"/>
              </w:rPr>
              <w:t> 2018,</w:t>
            </w:r>
          </w:p>
          <w:p>
            <w:pPr>
              <w:pStyle w:val="TableParagraph"/>
              <w:spacing w:before="1"/>
              <w:ind w:left="106" w:right="297"/>
              <w:rPr>
                <w:sz w:val="18"/>
              </w:rPr>
            </w:pPr>
            <w:r>
              <w:rPr>
                <w:sz w:val="18"/>
              </w:rPr>
              <w:t>Standards</w:t>
            </w:r>
            <w:r>
              <w:rPr>
                <w:spacing w:val="-11"/>
                <w:sz w:val="18"/>
              </w:rPr>
              <w:t> </w:t>
            </w:r>
            <w:r>
              <w:rPr>
                <w:sz w:val="18"/>
              </w:rPr>
              <w:t>approved,</w:t>
            </w:r>
            <w:r>
              <w:rPr>
                <w:spacing w:val="-10"/>
                <w:sz w:val="18"/>
              </w:rPr>
              <w:t> </w:t>
            </w:r>
            <w:r>
              <w:rPr>
                <w:sz w:val="18"/>
              </w:rPr>
              <w:t>27 EAs receive training including initial self- assessments</w:t>
            </w:r>
            <w:r>
              <w:rPr>
                <w:spacing w:val="-11"/>
                <w:sz w:val="18"/>
              </w:rPr>
              <w:t> </w:t>
            </w:r>
            <w:r>
              <w:rPr>
                <w:sz w:val="18"/>
              </w:rPr>
              <w:t>completed and</w:t>
            </w:r>
            <w:r>
              <w:rPr>
                <w:spacing w:val="-2"/>
                <w:sz w:val="18"/>
              </w:rPr>
              <w:t> </w:t>
            </w:r>
            <w:r>
              <w:rPr>
                <w:sz w:val="18"/>
              </w:rPr>
              <w:t>analysed</w:t>
            </w:r>
          </w:p>
        </w:tc>
        <w:tc>
          <w:tcPr>
            <w:tcW w:w="2167" w:type="dxa"/>
          </w:tcPr>
          <w:p>
            <w:pPr>
              <w:pStyle w:val="TableParagraph"/>
              <w:ind w:left="105" w:right="437"/>
              <w:rPr>
                <w:sz w:val="18"/>
              </w:rPr>
            </w:pPr>
            <w:r>
              <w:rPr>
                <w:sz w:val="18"/>
              </w:rPr>
              <w:t>Quality</w:t>
            </w:r>
            <w:r>
              <w:rPr>
                <w:spacing w:val="-11"/>
                <w:sz w:val="18"/>
              </w:rPr>
              <w:t> </w:t>
            </w:r>
            <w:r>
              <w:rPr>
                <w:sz w:val="18"/>
              </w:rPr>
              <w:t>EA</w:t>
            </w:r>
            <w:r>
              <w:rPr>
                <w:spacing w:val="-10"/>
                <w:sz w:val="18"/>
              </w:rPr>
              <w:t> </w:t>
            </w:r>
            <w:r>
              <w:rPr>
                <w:sz w:val="18"/>
              </w:rPr>
              <w:t>Standards drafted</w:t>
            </w:r>
            <w:r>
              <w:rPr>
                <w:spacing w:val="-2"/>
                <w:sz w:val="18"/>
              </w:rPr>
              <w:t> </w:t>
            </w:r>
            <w:r>
              <w:rPr>
                <w:sz w:val="18"/>
              </w:rPr>
              <w:t>(20%)</w:t>
            </w:r>
          </w:p>
          <w:p>
            <w:pPr>
              <w:pStyle w:val="TableParagraph"/>
              <w:ind w:left="105" w:right="148"/>
              <w:rPr>
                <w:sz w:val="18"/>
              </w:rPr>
            </w:pPr>
            <w:r>
              <w:rPr>
                <w:sz w:val="18"/>
              </w:rPr>
              <w:t>SMT</w:t>
            </w:r>
            <w:r>
              <w:rPr>
                <w:spacing w:val="-11"/>
                <w:sz w:val="18"/>
              </w:rPr>
              <w:t> </w:t>
            </w:r>
            <w:r>
              <w:rPr>
                <w:sz w:val="18"/>
              </w:rPr>
              <w:t>approval</w:t>
            </w:r>
            <w:r>
              <w:rPr>
                <w:spacing w:val="-10"/>
                <w:sz w:val="18"/>
              </w:rPr>
              <w:t> </w:t>
            </w:r>
            <w:r>
              <w:rPr>
                <w:sz w:val="18"/>
              </w:rPr>
              <w:t>minute</w:t>
            </w:r>
            <w:r>
              <w:rPr>
                <w:spacing w:val="-10"/>
                <w:sz w:val="18"/>
              </w:rPr>
              <w:t> </w:t>
            </w:r>
            <w:r>
              <w:rPr>
                <w:sz w:val="18"/>
              </w:rPr>
              <w:t>of EA Standards (50%) Training in initial self- assessments</w:t>
            </w:r>
            <w:r>
              <w:rPr>
                <w:spacing w:val="-11"/>
                <w:sz w:val="18"/>
              </w:rPr>
              <w:t> </w:t>
            </w:r>
            <w:r>
              <w:rPr>
                <w:sz w:val="18"/>
              </w:rPr>
              <w:t>completed</w:t>
            </w:r>
          </w:p>
          <w:p>
            <w:pPr>
              <w:pStyle w:val="TableParagraph"/>
              <w:spacing w:line="199" w:lineRule="exact"/>
              <w:ind w:left="105"/>
              <w:rPr>
                <w:sz w:val="18"/>
              </w:rPr>
            </w:pPr>
            <w:r>
              <w:rPr>
                <w:sz w:val="18"/>
              </w:rPr>
              <w:t>by</w:t>
            </w:r>
            <w:r>
              <w:rPr>
                <w:spacing w:val="-3"/>
                <w:sz w:val="18"/>
              </w:rPr>
              <w:t> </w:t>
            </w:r>
            <w:r>
              <w:rPr>
                <w:sz w:val="18"/>
              </w:rPr>
              <w:t>EACI</w:t>
            </w:r>
            <w:r>
              <w:rPr>
                <w:spacing w:val="-2"/>
                <w:sz w:val="18"/>
              </w:rPr>
              <w:t> (30%)</w:t>
            </w:r>
          </w:p>
        </w:tc>
        <w:tc>
          <w:tcPr>
            <w:tcW w:w="1461" w:type="dxa"/>
            <w:shd w:val="clear" w:color="auto" w:fill="A9D08E"/>
          </w:tcPr>
          <w:p>
            <w:pPr>
              <w:pStyle w:val="TableParagraph"/>
              <w:spacing w:line="219" w:lineRule="exact"/>
              <w:ind w:left="142" w:right="146"/>
              <w:jc w:val="center"/>
              <w:rPr>
                <w:sz w:val="18"/>
              </w:rPr>
            </w:pPr>
            <w:r>
              <w:rPr>
                <w:spacing w:val="-4"/>
                <w:sz w:val="18"/>
              </w:rPr>
              <w:t>100%</w:t>
            </w:r>
          </w:p>
        </w:tc>
        <w:tc>
          <w:tcPr>
            <w:tcW w:w="1269" w:type="dxa"/>
          </w:tcPr>
          <w:p>
            <w:pPr>
              <w:pStyle w:val="TableParagraph"/>
              <w:tabs>
                <w:tab w:pos="560" w:val="left" w:leader="none"/>
              </w:tabs>
              <w:spacing w:line="219" w:lineRule="exact"/>
              <w:ind w:left="101"/>
              <w:rPr>
                <w:sz w:val="18"/>
              </w:rPr>
            </w:pPr>
            <w:r>
              <w:rPr>
                <w:spacing w:val="-10"/>
                <w:sz w:val="18"/>
              </w:rPr>
              <w:t>$</w:t>
            </w:r>
            <w:r>
              <w:rPr>
                <w:sz w:val="18"/>
              </w:rPr>
              <w:tab/>
            </w:r>
            <w:r>
              <w:rPr>
                <w:spacing w:val="-2"/>
                <w:sz w:val="18"/>
              </w:rPr>
              <w:t>114,286</w:t>
            </w:r>
          </w:p>
        </w:tc>
      </w:tr>
      <w:tr>
        <w:trPr>
          <w:trHeight w:val="1317" w:hRule="atLeast"/>
        </w:trPr>
        <w:tc>
          <w:tcPr>
            <w:tcW w:w="1366" w:type="dxa"/>
          </w:tcPr>
          <w:p>
            <w:pPr>
              <w:pStyle w:val="TableParagraph"/>
              <w:ind w:left="107" w:right="99"/>
              <w:rPr>
                <w:b/>
                <w:sz w:val="18"/>
              </w:rPr>
            </w:pPr>
            <w:r>
              <w:rPr>
                <w:b/>
                <w:spacing w:val="-2"/>
                <w:sz w:val="18"/>
              </w:rPr>
              <w:t>MANAGEMENT</w:t>
            </w:r>
            <w:r>
              <w:rPr>
                <w:b/>
                <w:sz w:val="18"/>
              </w:rPr>
              <w:t> </w:t>
            </w:r>
            <w:r>
              <w:rPr>
                <w:b/>
                <w:spacing w:val="-2"/>
                <w:sz w:val="18"/>
              </w:rPr>
              <w:t>SYSTEMS</w:t>
            </w:r>
            <w:r>
              <w:rPr>
                <w:b/>
                <w:spacing w:val="80"/>
                <w:sz w:val="18"/>
              </w:rPr>
              <w:t> </w:t>
            </w:r>
            <w:r>
              <w:rPr>
                <w:b/>
                <w:spacing w:val="-2"/>
                <w:sz w:val="18"/>
              </w:rPr>
              <w:t>EO3.6</w:t>
            </w:r>
          </w:p>
        </w:tc>
        <w:tc>
          <w:tcPr>
            <w:tcW w:w="1535" w:type="dxa"/>
          </w:tcPr>
          <w:p>
            <w:pPr>
              <w:pStyle w:val="TableParagraph"/>
              <w:spacing w:line="219" w:lineRule="exact"/>
              <w:ind w:left="107"/>
              <w:rPr>
                <w:b/>
                <w:sz w:val="18"/>
              </w:rPr>
            </w:pPr>
            <w:r>
              <w:rPr>
                <w:b/>
                <w:sz w:val="18"/>
              </w:rPr>
              <w:t>3.4</w:t>
            </w:r>
            <w:r>
              <w:rPr>
                <w:b/>
                <w:spacing w:val="39"/>
                <w:sz w:val="18"/>
              </w:rPr>
              <w:t> </w:t>
            </w:r>
            <w:r>
              <w:rPr>
                <w:b/>
                <w:sz w:val="18"/>
              </w:rPr>
              <w:t>The</w:t>
            </w:r>
            <w:r>
              <w:rPr>
                <w:b/>
                <w:spacing w:val="-1"/>
                <w:sz w:val="18"/>
              </w:rPr>
              <w:t> </w:t>
            </w:r>
            <w:r>
              <w:rPr>
                <w:b/>
                <w:spacing w:val="-4"/>
                <w:sz w:val="18"/>
              </w:rPr>
              <w:t>2018</w:t>
            </w:r>
          </w:p>
          <w:p>
            <w:pPr>
              <w:pStyle w:val="TableParagraph"/>
              <w:spacing w:before="1"/>
              <w:ind w:left="107" w:right="201"/>
              <w:rPr>
                <w:b/>
                <w:sz w:val="18"/>
              </w:rPr>
            </w:pPr>
            <w:r>
              <w:rPr>
                <w:b/>
                <w:spacing w:val="-2"/>
                <w:sz w:val="18"/>
              </w:rPr>
              <w:t>recurrent</w:t>
            </w:r>
            <w:r>
              <w:rPr>
                <w:b/>
                <w:sz w:val="18"/>
              </w:rPr>
              <w:t> expenditure for Basic</w:t>
            </w:r>
            <w:r>
              <w:rPr>
                <w:b/>
                <w:spacing w:val="-2"/>
                <w:sz w:val="18"/>
              </w:rPr>
              <w:t> </w:t>
            </w:r>
            <w:r>
              <w:rPr>
                <w:b/>
                <w:sz w:val="18"/>
              </w:rPr>
              <w:t>Education is</w:t>
            </w:r>
            <w:r>
              <w:rPr>
                <w:b/>
                <w:spacing w:val="-4"/>
                <w:sz w:val="18"/>
              </w:rPr>
              <w:t> </w:t>
            </w:r>
            <w:r>
              <w:rPr>
                <w:b/>
                <w:sz w:val="18"/>
              </w:rPr>
              <w:t>maintained</w:t>
            </w:r>
            <w:r>
              <w:rPr>
                <w:b/>
                <w:spacing w:val="-3"/>
                <w:sz w:val="18"/>
              </w:rPr>
              <w:t> </w:t>
            </w:r>
            <w:r>
              <w:rPr>
                <w:b/>
                <w:spacing w:val="-5"/>
                <w:sz w:val="18"/>
              </w:rPr>
              <w:t>or</w:t>
            </w:r>
          </w:p>
          <w:p>
            <w:pPr>
              <w:pStyle w:val="TableParagraph"/>
              <w:spacing w:line="199" w:lineRule="exact"/>
              <w:ind w:left="107"/>
              <w:rPr>
                <w:b/>
                <w:sz w:val="18"/>
              </w:rPr>
            </w:pPr>
            <w:r>
              <w:rPr>
                <w:b/>
                <w:spacing w:val="-2"/>
                <w:sz w:val="18"/>
              </w:rPr>
              <w:t>improved</w:t>
            </w:r>
          </w:p>
        </w:tc>
        <w:tc>
          <w:tcPr>
            <w:tcW w:w="2164" w:type="dxa"/>
          </w:tcPr>
          <w:p>
            <w:pPr>
              <w:pStyle w:val="TableParagraph"/>
              <w:ind w:left="106" w:right="115"/>
              <w:rPr>
                <w:sz w:val="18"/>
              </w:rPr>
            </w:pPr>
            <w:r>
              <w:rPr>
                <w:sz w:val="18"/>
              </w:rPr>
              <w:t>3.4.1</w:t>
            </w:r>
            <w:r>
              <w:rPr>
                <w:spacing w:val="40"/>
                <w:sz w:val="18"/>
              </w:rPr>
              <w:t> </w:t>
            </w:r>
            <w:r>
              <w:rPr>
                <w:sz w:val="18"/>
              </w:rPr>
              <w:t>Recurrent expenditure for per-unit cost per student at Primary and Secondary School</w:t>
            </w:r>
            <w:r>
              <w:rPr>
                <w:spacing w:val="-8"/>
                <w:sz w:val="18"/>
              </w:rPr>
              <w:t> </w:t>
            </w:r>
            <w:r>
              <w:rPr>
                <w:sz w:val="18"/>
              </w:rPr>
              <w:t>in</w:t>
            </w:r>
            <w:r>
              <w:rPr>
                <w:spacing w:val="-9"/>
                <w:sz w:val="18"/>
              </w:rPr>
              <w:t> </w:t>
            </w:r>
            <w:r>
              <w:rPr>
                <w:sz w:val="18"/>
              </w:rPr>
              <w:t>2018</w:t>
            </w:r>
            <w:r>
              <w:rPr>
                <w:spacing w:val="-8"/>
                <w:sz w:val="18"/>
              </w:rPr>
              <w:t> </w:t>
            </w:r>
            <w:r>
              <w:rPr>
                <w:sz w:val="18"/>
              </w:rPr>
              <w:t>is</w:t>
            </w:r>
            <w:r>
              <w:rPr>
                <w:spacing w:val="-8"/>
                <w:sz w:val="18"/>
              </w:rPr>
              <w:t> </w:t>
            </w:r>
            <w:r>
              <w:rPr>
                <w:sz w:val="18"/>
              </w:rPr>
              <w:t>equal</w:t>
            </w:r>
            <w:r>
              <w:rPr>
                <w:spacing w:val="-8"/>
                <w:sz w:val="18"/>
              </w:rPr>
              <w:t> </w:t>
            </w:r>
            <w:r>
              <w:rPr>
                <w:sz w:val="18"/>
              </w:rPr>
              <w:t>or</w:t>
            </w:r>
          </w:p>
          <w:p>
            <w:pPr>
              <w:pStyle w:val="TableParagraph"/>
              <w:spacing w:line="199" w:lineRule="exact"/>
              <w:ind w:left="106"/>
              <w:rPr>
                <w:sz w:val="18"/>
              </w:rPr>
            </w:pPr>
            <w:r>
              <w:rPr>
                <w:sz w:val="18"/>
              </w:rPr>
              <w:t>greater</w:t>
            </w:r>
            <w:r>
              <w:rPr>
                <w:spacing w:val="-3"/>
                <w:sz w:val="18"/>
              </w:rPr>
              <w:t> </w:t>
            </w:r>
            <w:r>
              <w:rPr>
                <w:sz w:val="18"/>
              </w:rPr>
              <w:t>than</w:t>
            </w:r>
            <w:r>
              <w:rPr>
                <w:spacing w:val="-3"/>
                <w:sz w:val="18"/>
              </w:rPr>
              <w:t> </w:t>
            </w:r>
            <w:r>
              <w:rPr>
                <w:spacing w:val="-4"/>
                <w:sz w:val="18"/>
              </w:rPr>
              <w:t>2017</w:t>
            </w:r>
          </w:p>
        </w:tc>
        <w:tc>
          <w:tcPr>
            <w:tcW w:w="2167" w:type="dxa"/>
          </w:tcPr>
          <w:p>
            <w:pPr>
              <w:pStyle w:val="TableParagraph"/>
              <w:ind w:left="105" w:right="18"/>
              <w:rPr>
                <w:sz w:val="18"/>
              </w:rPr>
            </w:pPr>
            <w:r>
              <w:rPr>
                <w:sz w:val="18"/>
              </w:rPr>
              <w:t>Calculate</w:t>
            </w:r>
            <w:r>
              <w:rPr>
                <w:spacing w:val="-11"/>
                <w:sz w:val="18"/>
              </w:rPr>
              <w:t> </w:t>
            </w:r>
            <w:r>
              <w:rPr>
                <w:sz w:val="18"/>
              </w:rPr>
              <w:t>using</w:t>
            </w:r>
            <w:r>
              <w:rPr>
                <w:spacing w:val="-10"/>
                <w:sz w:val="18"/>
              </w:rPr>
              <w:t> </w:t>
            </w:r>
            <w:r>
              <w:rPr>
                <w:sz w:val="18"/>
              </w:rPr>
              <w:t>real</w:t>
            </w:r>
            <w:r>
              <w:rPr>
                <w:spacing w:val="-10"/>
                <w:sz w:val="18"/>
              </w:rPr>
              <w:t> </w:t>
            </w:r>
            <w:r>
              <w:rPr>
                <w:sz w:val="18"/>
              </w:rPr>
              <w:t>prices, recurrent allocation includes primary (50%)</w:t>
            </w:r>
          </w:p>
          <w:p>
            <w:pPr>
              <w:pStyle w:val="TableParagraph"/>
              <w:ind w:left="105" w:right="437"/>
              <w:rPr>
                <w:sz w:val="18"/>
              </w:rPr>
            </w:pPr>
            <w:r>
              <w:rPr>
                <w:sz w:val="18"/>
              </w:rPr>
              <w:t>and</w:t>
            </w:r>
            <w:r>
              <w:rPr>
                <w:spacing w:val="-11"/>
                <w:sz w:val="18"/>
              </w:rPr>
              <w:t> </w:t>
            </w:r>
            <w:r>
              <w:rPr>
                <w:sz w:val="18"/>
              </w:rPr>
              <w:t>secondary</w:t>
            </w:r>
            <w:r>
              <w:rPr>
                <w:spacing w:val="-10"/>
                <w:sz w:val="18"/>
              </w:rPr>
              <w:t> </w:t>
            </w:r>
            <w:r>
              <w:rPr>
                <w:sz w:val="18"/>
              </w:rPr>
              <w:t>(50%) grant component.</w:t>
            </w:r>
          </w:p>
        </w:tc>
        <w:tc>
          <w:tcPr>
            <w:tcW w:w="1461" w:type="dxa"/>
            <w:shd w:val="clear" w:color="auto" w:fill="A9D08E"/>
          </w:tcPr>
          <w:p>
            <w:pPr>
              <w:pStyle w:val="TableParagraph"/>
              <w:spacing w:line="219" w:lineRule="exact"/>
              <w:ind w:left="142" w:right="146"/>
              <w:jc w:val="center"/>
              <w:rPr>
                <w:sz w:val="18"/>
              </w:rPr>
            </w:pPr>
            <w:r>
              <w:rPr>
                <w:spacing w:val="-4"/>
                <w:sz w:val="18"/>
              </w:rPr>
              <w:t>100%</w:t>
            </w:r>
          </w:p>
        </w:tc>
        <w:tc>
          <w:tcPr>
            <w:tcW w:w="1269" w:type="dxa"/>
          </w:tcPr>
          <w:p>
            <w:pPr>
              <w:pStyle w:val="TableParagraph"/>
              <w:tabs>
                <w:tab w:pos="560" w:val="left" w:leader="none"/>
              </w:tabs>
              <w:spacing w:line="219" w:lineRule="exact"/>
              <w:ind w:left="101"/>
              <w:rPr>
                <w:sz w:val="18"/>
              </w:rPr>
            </w:pPr>
            <w:r>
              <w:rPr>
                <w:spacing w:val="-10"/>
                <w:sz w:val="18"/>
              </w:rPr>
              <w:t>$</w:t>
            </w:r>
            <w:r>
              <w:rPr>
                <w:sz w:val="18"/>
              </w:rPr>
              <w:tab/>
            </w:r>
            <w:r>
              <w:rPr>
                <w:spacing w:val="-2"/>
                <w:sz w:val="18"/>
              </w:rPr>
              <w:t>114,286</w:t>
            </w:r>
          </w:p>
        </w:tc>
      </w:tr>
      <w:tr>
        <w:trPr>
          <w:trHeight w:val="1319" w:hRule="atLeast"/>
        </w:trPr>
        <w:tc>
          <w:tcPr>
            <w:tcW w:w="1366" w:type="dxa"/>
            <w:vMerge w:val="restart"/>
          </w:tcPr>
          <w:p>
            <w:pPr>
              <w:pStyle w:val="TableParagraph"/>
              <w:rPr>
                <w:rFonts w:ascii="Times New Roman"/>
                <w:sz w:val="18"/>
              </w:rPr>
            </w:pPr>
          </w:p>
        </w:tc>
        <w:tc>
          <w:tcPr>
            <w:tcW w:w="1535" w:type="dxa"/>
            <w:vMerge w:val="restart"/>
          </w:tcPr>
          <w:p>
            <w:pPr>
              <w:pStyle w:val="TableParagraph"/>
              <w:spacing w:before="1"/>
              <w:ind w:left="107" w:right="331"/>
              <w:rPr>
                <w:b/>
                <w:sz w:val="18"/>
              </w:rPr>
            </w:pPr>
            <w:r>
              <w:rPr>
                <w:b/>
                <w:sz w:val="18"/>
              </w:rPr>
              <w:t>3.5 Solomon </w:t>
            </w:r>
            <w:r>
              <w:rPr>
                <w:b/>
                <w:spacing w:val="-2"/>
                <w:sz w:val="18"/>
              </w:rPr>
              <w:t>Islands</w:t>
            </w:r>
            <w:r>
              <w:rPr>
                <w:b/>
                <w:sz w:val="18"/>
              </w:rPr>
              <w:t> </w:t>
            </w:r>
            <w:r>
              <w:rPr>
                <w:b/>
                <w:spacing w:val="-2"/>
                <w:sz w:val="18"/>
              </w:rPr>
              <w:t>Government</w:t>
            </w:r>
            <w:r>
              <w:rPr>
                <w:b/>
                <w:sz w:val="18"/>
              </w:rPr>
              <w:t> </w:t>
            </w:r>
            <w:r>
              <w:rPr>
                <w:b/>
                <w:spacing w:val="-2"/>
                <w:sz w:val="18"/>
              </w:rPr>
              <w:t>scholarships</w:t>
            </w:r>
            <w:r>
              <w:rPr>
                <w:b/>
                <w:sz w:val="18"/>
              </w:rPr>
              <w:t> budgeting</w:t>
            </w:r>
            <w:r>
              <w:rPr>
                <w:b/>
                <w:spacing w:val="-11"/>
                <w:sz w:val="18"/>
              </w:rPr>
              <w:t> </w:t>
            </w:r>
            <w:r>
              <w:rPr>
                <w:b/>
                <w:sz w:val="18"/>
              </w:rPr>
              <w:t>and expenditure</w:t>
            </w:r>
            <w:r>
              <w:rPr>
                <w:b/>
                <w:spacing w:val="-11"/>
                <w:sz w:val="18"/>
              </w:rPr>
              <w:t> </w:t>
            </w:r>
            <w:r>
              <w:rPr>
                <w:b/>
                <w:sz w:val="18"/>
              </w:rPr>
              <w:t>is </w:t>
            </w:r>
            <w:r>
              <w:rPr>
                <w:b/>
                <w:spacing w:val="-2"/>
                <w:sz w:val="18"/>
              </w:rPr>
              <w:t>sustainable</w:t>
            </w:r>
          </w:p>
        </w:tc>
        <w:tc>
          <w:tcPr>
            <w:tcW w:w="2164" w:type="dxa"/>
          </w:tcPr>
          <w:p>
            <w:pPr>
              <w:pStyle w:val="TableParagraph"/>
              <w:spacing w:before="1"/>
              <w:ind w:left="106" w:right="119"/>
              <w:rPr>
                <w:sz w:val="18"/>
              </w:rPr>
            </w:pPr>
            <w:r>
              <w:rPr>
                <w:sz w:val="18"/>
              </w:rPr>
              <w:t>3.5.1</w:t>
            </w:r>
            <w:r>
              <w:rPr>
                <w:spacing w:val="28"/>
                <w:sz w:val="18"/>
              </w:rPr>
              <w:t> </w:t>
            </w:r>
            <w:r>
              <w:rPr>
                <w:sz w:val="18"/>
              </w:rPr>
              <w:t>The</w:t>
            </w:r>
            <w:r>
              <w:rPr>
                <w:spacing w:val="-7"/>
                <w:sz w:val="18"/>
              </w:rPr>
              <w:t> </w:t>
            </w:r>
            <w:r>
              <w:rPr>
                <w:sz w:val="18"/>
              </w:rPr>
              <w:t>total</w:t>
            </w:r>
            <w:r>
              <w:rPr>
                <w:spacing w:val="-7"/>
                <w:sz w:val="18"/>
              </w:rPr>
              <w:t> </w:t>
            </w:r>
            <w:r>
              <w:rPr>
                <w:sz w:val="18"/>
              </w:rPr>
              <w:t>of</w:t>
            </w:r>
            <w:r>
              <w:rPr>
                <w:spacing w:val="-7"/>
                <w:sz w:val="18"/>
              </w:rPr>
              <w:t> </w:t>
            </w:r>
            <w:r>
              <w:rPr>
                <w:sz w:val="18"/>
              </w:rPr>
              <w:t>new</w:t>
            </w:r>
            <w:r>
              <w:rPr>
                <w:spacing w:val="-6"/>
                <w:sz w:val="18"/>
              </w:rPr>
              <w:t> </w:t>
            </w:r>
            <w:r>
              <w:rPr>
                <w:sz w:val="18"/>
              </w:rPr>
              <w:t>SIG scholarship</w:t>
            </w:r>
            <w:r>
              <w:rPr>
                <w:spacing w:val="-2"/>
                <w:sz w:val="18"/>
              </w:rPr>
              <w:t> </w:t>
            </w:r>
            <w:r>
              <w:rPr>
                <w:sz w:val="18"/>
              </w:rPr>
              <w:t>awards allocated for 2018 is 700 or fewer including for</w:t>
            </w:r>
            <w:r>
              <w:rPr>
                <w:spacing w:val="40"/>
                <w:sz w:val="18"/>
              </w:rPr>
              <w:t> </w:t>
            </w:r>
            <w:r>
              <w:rPr>
                <w:sz w:val="18"/>
              </w:rPr>
              <w:t>local and international</w:t>
            </w:r>
          </w:p>
          <w:p>
            <w:pPr>
              <w:pStyle w:val="TableParagraph"/>
              <w:spacing w:line="199" w:lineRule="exact"/>
              <w:ind w:left="106"/>
              <w:rPr>
                <w:sz w:val="18"/>
              </w:rPr>
            </w:pPr>
            <w:r>
              <w:rPr>
                <w:spacing w:val="-2"/>
                <w:sz w:val="18"/>
              </w:rPr>
              <w:t>institutions</w:t>
            </w:r>
          </w:p>
        </w:tc>
        <w:tc>
          <w:tcPr>
            <w:tcW w:w="2167" w:type="dxa"/>
            <w:vMerge w:val="restart"/>
          </w:tcPr>
          <w:p>
            <w:pPr>
              <w:pStyle w:val="TableParagraph"/>
              <w:spacing w:before="1"/>
              <w:ind w:left="105" w:right="123"/>
              <w:rPr>
                <w:sz w:val="18"/>
              </w:rPr>
            </w:pPr>
            <w:r>
              <w:rPr>
                <w:sz w:val="18"/>
              </w:rPr>
              <w:t>SIEMIS</w:t>
            </w:r>
            <w:r>
              <w:rPr>
                <w:spacing w:val="-4"/>
                <w:sz w:val="18"/>
              </w:rPr>
              <w:t> </w:t>
            </w:r>
            <w:r>
              <w:rPr>
                <w:sz w:val="18"/>
              </w:rPr>
              <w:t>Expenditure</w:t>
            </w:r>
            <w:r>
              <w:rPr>
                <w:spacing w:val="40"/>
                <w:sz w:val="18"/>
              </w:rPr>
              <w:t> </w:t>
            </w:r>
            <w:r>
              <w:rPr>
                <w:sz w:val="18"/>
              </w:rPr>
              <w:t>Report</w:t>
            </w:r>
            <w:r>
              <w:rPr>
                <w:spacing w:val="-11"/>
                <w:sz w:val="18"/>
              </w:rPr>
              <w:t> </w:t>
            </w:r>
            <w:r>
              <w:rPr>
                <w:sz w:val="18"/>
              </w:rPr>
              <w:t>as</w:t>
            </w:r>
            <w:r>
              <w:rPr>
                <w:spacing w:val="-10"/>
                <w:sz w:val="18"/>
              </w:rPr>
              <w:t> </w:t>
            </w:r>
            <w:r>
              <w:rPr>
                <w:sz w:val="18"/>
              </w:rPr>
              <w:t>per</w:t>
            </w:r>
            <w:r>
              <w:rPr>
                <w:spacing w:val="-10"/>
                <w:sz w:val="18"/>
              </w:rPr>
              <w:t> </w:t>
            </w:r>
            <w:r>
              <w:rPr>
                <w:sz w:val="18"/>
              </w:rPr>
              <w:t>2018</w:t>
            </w:r>
            <w:r>
              <w:rPr>
                <w:spacing w:val="-10"/>
                <w:sz w:val="18"/>
              </w:rPr>
              <w:t> </w:t>
            </w:r>
            <w:r>
              <w:rPr>
                <w:sz w:val="18"/>
              </w:rPr>
              <w:t>Annual Report and NTU SIMS</w:t>
            </w:r>
            <w:r>
              <w:rPr>
                <w:spacing w:val="40"/>
                <w:sz w:val="18"/>
              </w:rPr>
              <w:t> </w:t>
            </w:r>
            <w:r>
              <w:rPr>
                <w:sz w:val="18"/>
              </w:rPr>
              <w:t>data report (100%)</w:t>
            </w:r>
          </w:p>
        </w:tc>
        <w:tc>
          <w:tcPr>
            <w:tcW w:w="1461" w:type="dxa"/>
            <w:vMerge w:val="restart"/>
            <w:shd w:val="clear" w:color="auto" w:fill="FFC000"/>
          </w:tcPr>
          <w:p>
            <w:pPr>
              <w:pStyle w:val="TableParagraph"/>
              <w:spacing w:before="1"/>
              <w:ind w:left="142" w:right="146"/>
              <w:jc w:val="center"/>
              <w:rPr>
                <w:sz w:val="18"/>
              </w:rPr>
            </w:pPr>
            <w:r>
              <w:rPr>
                <w:spacing w:val="-5"/>
                <w:sz w:val="18"/>
              </w:rPr>
              <w:t>70%</w:t>
            </w:r>
          </w:p>
        </w:tc>
        <w:tc>
          <w:tcPr>
            <w:tcW w:w="1269" w:type="dxa"/>
            <w:vMerge w:val="restart"/>
          </w:tcPr>
          <w:p>
            <w:pPr>
              <w:pStyle w:val="TableParagraph"/>
              <w:tabs>
                <w:tab w:pos="642" w:val="left" w:leader="none"/>
              </w:tabs>
              <w:spacing w:before="1"/>
              <w:ind w:left="101"/>
              <w:rPr>
                <w:sz w:val="18"/>
              </w:rPr>
            </w:pPr>
            <w:r>
              <w:rPr>
                <w:spacing w:val="-10"/>
                <w:sz w:val="18"/>
              </w:rPr>
              <w:t>$</w:t>
            </w:r>
            <w:r>
              <w:rPr>
                <w:sz w:val="18"/>
              </w:rPr>
              <w:tab/>
            </w:r>
            <w:r>
              <w:rPr>
                <w:spacing w:val="-2"/>
                <w:sz w:val="18"/>
              </w:rPr>
              <w:t>80,000</w:t>
            </w:r>
          </w:p>
        </w:tc>
      </w:tr>
      <w:tr>
        <w:trPr>
          <w:trHeight w:val="1098" w:hRule="atLeast"/>
        </w:trPr>
        <w:tc>
          <w:tcPr>
            <w:tcW w:w="1366" w:type="dxa"/>
            <w:vMerge/>
            <w:tcBorders>
              <w:top w:val="nil"/>
            </w:tcBorders>
          </w:tcPr>
          <w:p>
            <w:pPr>
              <w:rPr>
                <w:sz w:val="2"/>
                <w:szCs w:val="2"/>
              </w:rPr>
            </w:pPr>
          </w:p>
        </w:tc>
        <w:tc>
          <w:tcPr>
            <w:tcW w:w="1535" w:type="dxa"/>
            <w:vMerge/>
            <w:tcBorders>
              <w:top w:val="nil"/>
            </w:tcBorders>
          </w:tcPr>
          <w:p>
            <w:pPr>
              <w:rPr>
                <w:sz w:val="2"/>
                <w:szCs w:val="2"/>
              </w:rPr>
            </w:pPr>
          </w:p>
        </w:tc>
        <w:tc>
          <w:tcPr>
            <w:tcW w:w="2164" w:type="dxa"/>
          </w:tcPr>
          <w:p>
            <w:pPr>
              <w:pStyle w:val="TableParagraph"/>
              <w:spacing w:line="219" w:lineRule="exact"/>
              <w:ind w:left="106"/>
              <w:rPr>
                <w:sz w:val="18"/>
              </w:rPr>
            </w:pPr>
            <w:r>
              <w:rPr>
                <w:sz w:val="18"/>
              </w:rPr>
              <w:t>3.5.2 2018 </w:t>
            </w:r>
            <w:r>
              <w:rPr>
                <w:spacing w:val="-2"/>
                <w:sz w:val="18"/>
              </w:rPr>
              <w:t>MEHRD</w:t>
            </w:r>
          </w:p>
          <w:p>
            <w:pPr>
              <w:pStyle w:val="TableParagraph"/>
              <w:spacing w:before="1"/>
              <w:ind w:left="106"/>
              <w:rPr>
                <w:sz w:val="18"/>
              </w:rPr>
            </w:pPr>
            <w:r>
              <w:rPr>
                <w:sz w:val="18"/>
              </w:rPr>
              <w:t>Scholarship</w:t>
            </w:r>
            <w:r>
              <w:rPr>
                <w:spacing w:val="-11"/>
                <w:sz w:val="18"/>
              </w:rPr>
              <w:t> </w:t>
            </w:r>
            <w:r>
              <w:rPr>
                <w:sz w:val="18"/>
              </w:rPr>
              <w:t>expenditure</w:t>
            </w:r>
            <w:r>
              <w:rPr>
                <w:spacing w:val="-10"/>
                <w:sz w:val="18"/>
              </w:rPr>
              <w:t> </w:t>
            </w:r>
            <w:r>
              <w:rPr>
                <w:sz w:val="18"/>
              </w:rPr>
              <w:t>is not higher than 2017 MEHRD</w:t>
            </w:r>
            <w:r>
              <w:rPr>
                <w:spacing w:val="-2"/>
                <w:sz w:val="18"/>
              </w:rPr>
              <w:t> </w:t>
            </w:r>
            <w:r>
              <w:rPr>
                <w:sz w:val="18"/>
              </w:rPr>
              <w:t>Scholarship</w:t>
            </w:r>
          </w:p>
          <w:p>
            <w:pPr>
              <w:pStyle w:val="TableParagraph"/>
              <w:spacing w:line="199" w:lineRule="exact" w:before="1"/>
              <w:ind w:left="106"/>
              <w:rPr>
                <w:sz w:val="18"/>
              </w:rPr>
            </w:pPr>
            <w:r>
              <w:rPr>
                <w:spacing w:val="-2"/>
                <w:sz w:val="18"/>
              </w:rPr>
              <w:t>expenditure</w:t>
            </w:r>
          </w:p>
        </w:tc>
        <w:tc>
          <w:tcPr>
            <w:tcW w:w="2167" w:type="dxa"/>
            <w:vMerge/>
            <w:tcBorders>
              <w:top w:val="nil"/>
            </w:tcBorders>
          </w:tcPr>
          <w:p>
            <w:pPr>
              <w:rPr>
                <w:sz w:val="2"/>
                <w:szCs w:val="2"/>
              </w:rPr>
            </w:pPr>
          </w:p>
        </w:tc>
        <w:tc>
          <w:tcPr>
            <w:tcW w:w="1461" w:type="dxa"/>
            <w:vMerge/>
            <w:tcBorders>
              <w:top w:val="nil"/>
            </w:tcBorders>
            <w:shd w:val="clear" w:color="auto" w:fill="FFC000"/>
          </w:tcPr>
          <w:p>
            <w:pPr>
              <w:rPr>
                <w:sz w:val="2"/>
                <w:szCs w:val="2"/>
              </w:rPr>
            </w:pPr>
          </w:p>
        </w:tc>
        <w:tc>
          <w:tcPr>
            <w:tcW w:w="1269" w:type="dxa"/>
            <w:vMerge/>
            <w:tcBorders>
              <w:top w:val="nil"/>
            </w:tcBorders>
          </w:tcPr>
          <w:p>
            <w:pPr>
              <w:rPr>
                <w:sz w:val="2"/>
                <w:szCs w:val="2"/>
              </w:rPr>
            </w:pPr>
          </w:p>
        </w:tc>
      </w:tr>
      <w:tr>
        <w:trPr>
          <w:trHeight w:val="1757" w:hRule="atLeast"/>
        </w:trPr>
        <w:tc>
          <w:tcPr>
            <w:tcW w:w="1366" w:type="dxa"/>
          </w:tcPr>
          <w:p>
            <w:pPr>
              <w:pStyle w:val="TableParagraph"/>
              <w:ind w:left="107"/>
              <w:rPr>
                <w:b/>
                <w:sz w:val="18"/>
              </w:rPr>
            </w:pPr>
            <w:r>
              <w:rPr>
                <w:b/>
                <w:spacing w:val="-2"/>
                <w:sz w:val="18"/>
              </w:rPr>
              <w:t>MANAGEMENT</w:t>
            </w:r>
            <w:r>
              <w:rPr>
                <w:b/>
                <w:sz w:val="18"/>
              </w:rPr>
              <w:t> </w:t>
            </w:r>
            <w:r>
              <w:rPr>
                <w:b/>
                <w:spacing w:val="-2"/>
                <w:sz w:val="18"/>
              </w:rPr>
              <w:t>SYSTEMS</w:t>
            </w:r>
          </w:p>
          <w:p>
            <w:pPr>
              <w:pStyle w:val="TableParagraph"/>
              <w:spacing w:line="219" w:lineRule="exact"/>
              <w:ind w:left="107"/>
              <w:rPr>
                <w:b/>
                <w:sz w:val="18"/>
              </w:rPr>
            </w:pPr>
            <w:r>
              <w:rPr>
                <w:b/>
                <w:sz w:val="18"/>
              </w:rPr>
              <w:t>E03.3 </w:t>
            </w:r>
            <w:r>
              <w:rPr>
                <w:b/>
                <w:spacing w:val="-5"/>
                <w:sz w:val="18"/>
              </w:rPr>
              <w:t>DFA</w:t>
            </w:r>
          </w:p>
        </w:tc>
        <w:tc>
          <w:tcPr>
            <w:tcW w:w="1535" w:type="dxa"/>
          </w:tcPr>
          <w:p>
            <w:pPr>
              <w:pStyle w:val="TableParagraph"/>
              <w:ind w:left="107" w:right="114"/>
              <w:rPr>
                <w:b/>
                <w:sz w:val="18"/>
              </w:rPr>
            </w:pPr>
            <w:r>
              <w:rPr>
                <w:b/>
                <w:sz w:val="18"/>
              </w:rPr>
              <w:t>3.6</w:t>
            </w:r>
            <w:r>
              <w:rPr>
                <w:b/>
                <w:spacing w:val="12"/>
                <w:sz w:val="18"/>
              </w:rPr>
              <w:t> </w:t>
            </w:r>
            <w:r>
              <w:rPr>
                <w:b/>
                <w:sz w:val="18"/>
              </w:rPr>
              <w:t>The</w:t>
            </w:r>
            <w:r>
              <w:rPr>
                <w:b/>
                <w:spacing w:val="-10"/>
                <w:sz w:val="18"/>
              </w:rPr>
              <w:t> </w:t>
            </w:r>
            <w:r>
              <w:rPr>
                <w:b/>
                <w:sz w:val="18"/>
              </w:rPr>
              <w:t>Solomon </w:t>
            </w:r>
            <w:r>
              <w:rPr>
                <w:b/>
                <w:spacing w:val="-2"/>
                <w:sz w:val="18"/>
              </w:rPr>
              <w:t>Islands</w:t>
            </w:r>
            <w:r>
              <w:rPr>
                <w:b/>
                <w:sz w:val="18"/>
              </w:rPr>
              <w:t> </w:t>
            </w:r>
            <w:r>
              <w:rPr>
                <w:b/>
                <w:spacing w:val="-2"/>
                <w:sz w:val="18"/>
              </w:rPr>
              <w:t>Government</w:t>
            </w:r>
            <w:r>
              <w:rPr>
                <w:b/>
                <w:sz w:val="18"/>
              </w:rPr>
              <w:t> maintains its recurrent</w:t>
            </w:r>
            <w:r>
              <w:rPr>
                <w:b/>
                <w:spacing w:val="-11"/>
                <w:sz w:val="18"/>
              </w:rPr>
              <w:t> </w:t>
            </w:r>
            <w:r>
              <w:rPr>
                <w:b/>
                <w:sz w:val="18"/>
              </w:rPr>
              <w:t>budget allocation</w:t>
            </w:r>
            <w:r>
              <w:rPr>
                <w:b/>
                <w:spacing w:val="-2"/>
                <w:sz w:val="18"/>
              </w:rPr>
              <w:t> </w:t>
            </w:r>
            <w:r>
              <w:rPr>
                <w:b/>
                <w:sz w:val="18"/>
              </w:rPr>
              <w:t>for education</w:t>
            </w:r>
            <w:r>
              <w:rPr>
                <w:b/>
                <w:spacing w:val="-2"/>
                <w:sz w:val="18"/>
              </w:rPr>
              <w:t> </w:t>
            </w:r>
            <w:r>
              <w:rPr>
                <w:b/>
                <w:sz w:val="18"/>
              </w:rPr>
              <w:t>in</w:t>
            </w:r>
          </w:p>
          <w:p>
            <w:pPr>
              <w:pStyle w:val="TableParagraph"/>
              <w:spacing w:line="199" w:lineRule="exact"/>
              <w:ind w:left="107"/>
              <w:rPr>
                <w:b/>
                <w:sz w:val="18"/>
              </w:rPr>
            </w:pPr>
            <w:r>
              <w:rPr>
                <w:b/>
                <w:spacing w:val="-4"/>
                <w:sz w:val="18"/>
              </w:rPr>
              <w:t>2017</w:t>
            </w:r>
          </w:p>
        </w:tc>
        <w:tc>
          <w:tcPr>
            <w:tcW w:w="2164" w:type="dxa"/>
          </w:tcPr>
          <w:p>
            <w:pPr>
              <w:pStyle w:val="TableParagraph"/>
              <w:ind w:left="106" w:right="115"/>
              <w:rPr>
                <w:sz w:val="18"/>
              </w:rPr>
            </w:pPr>
            <w:r>
              <w:rPr>
                <w:sz w:val="18"/>
              </w:rPr>
              <w:t>3.6.1</w:t>
            </w:r>
            <w:r>
              <w:rPr>
                <w:spacing w:val="40"/>
                <w:sz w:val="18"/>
              </w:rPr>
              <w:t> </w:t>
            </w:r>
            <w:r>
              <w:rPr>
                <w:sz w:val="18"/>
              </w:rPr>
              <w:t>A minimum of 22% of national recurrent expenditure</w:t>
            </w:r>
            <w:r>
              <w:rPr>
                <w:spacing w:val="-11"/>
                <w:sz w:val="18"/>
              </w:rPr>
              <w:t> </w:t>
            </w:r>
            <w:r>
              <w:rPr>
                <w:sz w:val="18"/>
              </w:rPr>
              <w:t>is</w:t>
            </w:r>
            <w:r>
              <w:rPr>
                <w:spacing w:val="-10"/>
                <w:sz w:val="18"/>
              </w:rPr>
              <w:t> </w:t>
            </w:r>
            <w:r>
              <w:rPr>
                <w:sz w:val="18"/>
              </w:rPr>
              <w:t>committed to the education sector</w:t>
            </w:r>
          </w:p>
        </w:tc>
        <w:tc>
          <w:tcPr>
            <w:tcW w:w="2167" w:type="dxa"/>
          </w:tcPr>
          <w:p>
            <w:pPr>
              <w:pStyle w:val="TableParagraph"/>
              <w:ind w:left="105" w:right="109"/>
              <w:rPr>
                <w:sz w:val="18"/>
              </w:rPr>
            </w:pPr>
            <w:r>
              <w:rPr>
                <w:sz w:val="18"/>
              </w:rPr>
              <w:t>SIEMIS</w:t>
            </w:r>
            <w:r>
              <w:rPr>
                <w:spacing w:val="-4"/>
                <w:sz w:val="18"/>
              </w:rPr>
              <w:t> </w:t>
            </w:r>
            <w:r>
              <w:rPr>
                <w:sz w:val="18"/>
              </w:rPr>
              <w:t>Expenditure</w:t>
            </w:r>
            <w:r>
              <w:rPr>
                <w:spacing w:val="40"/>
                <w:sz w:val="18"/>
              </w:rPr>
              <w:t> </w:t>
            </w:r>
            <w:r>
              <w:rPr>
                <w:sz w:val="18"/>
              </w:rPr>
              <w:t>Report</w:t>
            </w:r>
            <w:r>
              <w:rPr>
                <w:spacing w:val="-11"/>
                <w:sz w:val="18"/>
              </w:rPr>
              <w:t> </w:t>
            </w:r>
            <w:r>
              <w:rPr>
                <w:sz w:val="18"/>
              </w:rPr>
              <w:t>as</w:t>
            </w:r>
            <w:r>
              <w:rPr>
                <w:spacing w:val="-10"/>
                <w:sz w:val="18"/>
              </w:rPr>
              <w:t> </w:t>
            </w:r>
            <w:r>
              <w:rPr>
                <w:sz w:val="18"/>
              </w:rPr>
              <w:t>per</w:t>
            </w:r>
            <w:r>
              <w:rPr>
                <w:spacing w:val="-10"/>
                <w:sz w:val="18"/>
              </w:rPr>
              <w:t> </w:t>
            </w:r>
            <w:r>
              <w:rPr>
                <w:sz w:val="18"/>
              </w:rPr>
              <w:t>2018</w:t>
            </w:r>
            <w:r>
              <w:rPr>
                <w:spacing w:val="-10"/>
                <w:sz w:val="18"/>
              </w:rPr>
              <w:t> </w:t>
            </w:r>
            <w:r>
              <w:rPr>
                <w:sz w:val="18"/>
              </w:rPr>
              <w:t>Annual </w:t>
            </w:r>
            <w:r>
              <w:rPr>
                <w:spacing w:val="-2"/>
                <w:sz w:val="18"/>
              </w:rPr>
              <w:t>Report</w:t>
            </w:r>
          </w:p>
        </w:tc>
        <w:tc>
          <w:tcPr>
            <w:tcW w:w="1461" w:type="dxa"/>
            <w:shd w:val="clear" w:color="auto" w:fill="A9D08E"/>
          </w:tcPr>
          <w:p>
            <w:pPr>
              <w:pStyle w:val="TableParagraph"/>
              <w:spacing w:line="219" w:lineRule="exact"/>
              <w:ind w:left="142" w:right="146"/>
              <w:jc w:val="center"/>
              <w:rPr>
                <w:sz w:val="18"/>
              </w:rPr>
            </w:pPr>
            <w:r>
              <w:rPr>
                <w:spacing w:val="-4"/>
                <w:sz w:val="18"/>
              </w:rPr>
              <w:t>100%</w:t>
            </w:r>
          </w:p>
        </w:tc>
        <w:tc>
          <w:tcPr>
            <w:tcW w:w="1269" w:type="dxa"/>
          </w:tcPr>
          <w:p>
            <w:pPr>
              <w:pStyle w:val="TableParagraph"/>
              <w:tabs>
                <w:tab w:pos="560" w:val="left" w:leader="none"/>
              </w:tabs>
              <w:spacing w:line="219" w:lineRule="exact"/>
              <w:ind w:left="101"/>
              <w:rPr>
                <w:sz w:val="18"/>
              </w:rPr>
            </w:pPr>
            <w:r>
              <w:rPr>
                <w:spacing w:val="-10"/>
                <w:sz w:val="18"/>
              </w:rPr>
              <w:t>$</w:t>
            </w:r>
            <w:r>
              <w:rPr>
                <w:sz w:val="18"/>
              </w:rPr>
              <w:tab/>
            </w:r>
            <w:r>
              <w:rPr>
                <w:spacing w:val="-2"/>
                <w:sz w:val="18"/>
              </w:rPr>
              <w:t>114,286</w:t>
            </w:r>
          </w:p>
        </w:tc>
      </w:tr>
      <w:tr>
        <w:trPr>
          <w:trHeight w:val="1537" w:hRule="atLeast"/>
        </w:trPr>
        <w:tc>
          <w:tcPr>
            <w:tcW w:w="1366" w:type="dxa"/>
          </w:tcPr>
          <w:p>
            <w:pPr>
              <w:pStyle w:val="TableParagraph"/>
              <w:spacing w:before="1"/>
              <w:ind w:left="107"/>
              <w:rPr>
                <w:b/>
                <w:sz w:val="18"/>
              </w:rPr>
            </w:pPr>
            <w:r>
              <w:rPr>
                <w:b/>
                <w:spacing w:val="-2"/>
                <w:sz w:val="18"/>
              </w:rPr>
              <w:t>MANAGEMENT</w:t>
            </w:r>
            <w:r>
              <w:rPr>
                <w:b/>
                <w:sz w:val="18"/>
              </w:rPr>
              <w:t> </w:t>
            </w:r>
            <w:r>
              <w:rPr>
                <w:b/>
                <w:spacing w:val="-2"/>
                <w:sz w:val="18"/>
              </w:rPr>
              <w:t>SYSTEMS</w:t>
            </w:r>
          </w:p>
          <w:p>
            <w:pPr>
              <w:pStyle w:val="TableParagraph"/>
              <w:spacing w:line="219" w:lineRule="exact"/>
              <w:ind w:left="107"/>
              <w:rPr>
                <w:b/>
                <w:sz w:val="18"/>
              </w:rPr>
            </w:pPr>
            <w:r>
              <w:rPr>
                <w:b/>
                <w:spacing w:val="-5"/>
                <w:sz w:val="18"/>
              </w:rPr>
              <w:t>DFA</w:t>
            </w:r>
          </w:p>
        </w:tc>
        <w:tc>
          <w:tcPr>
            <w:tcW w:w="1535" w:type="dxa"/>
          </w:tcPr>
          <w:p>
            <w:pPr>
              <w:pStyle w:val="TableParagraph"/>
              <w:spacing w:before="1"/>
              <w:ind w:left="107" w:right="114"/>
              <w:rPr>
                <w:b/>
                <w:sz w:val="18"/>
              </w:rPr>
            </w:pPr>
            <w:r>
              <w:rPr>
                <w:b/>
                <w:sz w:val="18"/>
              </w:rPr>
              <w:t>3.7</w:t>
            </w:r>
            <w:r>
              <w:rPr>
                <w:b/>
                <w:spacing w:val="40"/>
                <w:sz w:val="18"/>
              </w:rPr>
              <w:t> </w:t>
            </w:r>
            <w:r>
              <w:rPr>
                <w:b/>
                <w:sz w:val="18"/>
              </w:rPr>
              <w:t>External Audits</w:t>
            </w:r>
            <w:r>
              <w:rPr>
                <w:b/>
                <w:spacing w:val="-11"/>
                <w:sz w:val="18"/>
              </w:rPr>
              <w:t> </w:t>
            </w:r>
            <w:r>
              <w:rPr>
                <w:b/>
                <w:sz w:val="18"/>
              </w:rPr>
              <w:t>of</w:t>
            </w:r>
            <w:r>
              <w:rPr>
                <w:b/>
                <w:spacing w:val="-10"/>
                <w:sz w:val="18"/>
              </w:rPr>
              <w:t> </w:t>
            </w:r>
            <w:r>
              <w:rPr>
                <w:b/>
                <w:sz w:val="18"/>
              </w:rPr>
              <w:t>MEHRD finances are </w:t>
            </w:r>
            <w:r>
              <w:rPr>
                <w:b/>
                <w:spacing w:val="-2"/>
                <w:sz w:val="18"/>
              </w:rPr>
              <w:t>conducted</w:t>
            </w:r>
          </w:p>
        </w:tc>
        <w:tc>
          <w:tcPr>
            <w:tcW w:w="2164" w:type="dxa"/>
          </w:tcPr>
          <w:p>
            <w:pPr>
              <w:pStyle w:val="TableParagraph"/>
              <w:spacing w:before="1"/>
              <w:ind w:left="106"/>
              <w:rPr>
                <w:sz w:val="18"/>
              </w:rPr>
            </w:pPr>
            <w:r>
              <w:rPr>
                <w:sz w:val="18"/>
              </w:rPr>
              <w:t>3.7.1</w:t>
            </w:r>
            <w:r>
              <w:rPr>
                <w:spacing w:val="28"/>
                <w:sz w:val="18"/>
              </w:rPr>
              <w:t> </w:t>
            </w:r>
            <w:r>
              <w:rPr>
                <w:sz w:val="18"/>
              </w:rPr>
              <w:t>By</w:t>
            </w:r>
            <w:r>
              <w:rPr>
                <w:spacing w:val="-7"/>
                <w:sz w:val="18"/>
              </w:rPr>
              <w:t> </w:t>
            </w:r>
            <w:r>
              <w:rPr>
                <w:sz w:val="18"/>
              </w:rPr>
              <w:t>the</w:t>
            </w:r>
            <w:r>
              <w:rPr>
                <w:spacing w:val="-7"/>
                <w:sz w:val="18"/>
              </w:rPr>
              <w:t> </w:t>
            </w:r>
            <w:r>
              <w:rPr>
                <w:sz w:val="18"/>
              </w:rPr>
              <w:t>end</w:t>
            </w:r>
            <w:r>
              <w:rPr>
                <w:spacing w:val="-7"/>
                <w:sz w:val="18"/>
              </w:rPr>
              <w:t> </w:t>
            </w:r>
            <w:r>
              <w:rPr>
                <w:sz w:val="18"/>
              </w:rPr>
              <w:t>of</w:t>
            </w:r>
            <w:r>
              <w:rPr>
                <w:spacing w:val="-7"/>
                <w:sz w:val="18"/>
              </w:rPr>
              <w:t> </w:t>
            </w:r>
            <w:r>
              <w:rPr>
                <w:sz w:val="18"/>
              </w:rPr>
              <w:t>2018, 2015 External Audit of MEHRD complete (four cycles and transactions), including</w:t>
            </w:r>
            <w:r>
              <w:rPr>
                <w:spacing w:val="-2"/>
                <w:sz w:val="18"/>
              </w:rPr>
              <w:t> </w:t>
            </w:r>
            <w:r>
              <w:rPr>
                <w:sz w:val="18"/>
              </w:rPr>
              <w:t>MEHRD management response</w:t>
            </w:r>
          </w:p>
        </w:tc>
        <w:tc>
          <w:tcPr>
            <w:tcW w:w="2167" w:type="dxa"/>
          </w:tcPr>
          <w:p>
            <w:pPr>
              <w:pStyle w:val="TableParagraph"/>
              <w:spacing w:before="1"/>
              <w:ind w:left="105" w:right="148"/>
              <w:rPr>
                <w:sz w:val="18"/>
              </w:rPr>
            </w:pPr>
            <w:r>
              <w:rPr>
                <w:sz w:val="18"/>
              </w:rPr>
              <w:t>MEHRD</w:t>
            </w:r>
            <w:r>
              <w:rPr>
                <w:spacing w:val="-2"/>
                <w:sz w:val="18"/>
              </w:rPr>
              <w:t> </w:t>
            </w:r>
            <w:r>
              <w:rPr>
                <w:sz w:val="18"/>
              </w:rPr>
              <w:t>Management Response for External Audit</w:t>
            </w:r>
            <w:r>
              <w:rPr>
                <w:spacing w:val="-11"/>
                <w:sz w:val="18"/>
              </w:rPr>
              <w:t> </w:t>
            </w:r>
            <w:r>
              <w:rPr>
                <w:sz w:val="18"/>
              </w:rPr>
              <w:t>Part</w:t>
            </w:r>
            <w:r>
              <w:rPr>
                <w:spacing w:val="-10"/>
                <w:sz w:val="18"/>
              </w:rPr>
              <w:t> </w:t>
            </w:r>
            <w:r>
              <w:rPr>
                <w:sz w:val="18"/>
              </w:rPr>
              <w:t>1</w:t>
            </w:r>
            <w:r>
              <w:rPr>
                <w:spacing w:val="-10"/>
                <w:sz w:val="18"/>
              </w:rPr>
              <w:t> </w:t>
            </w:r>
            <w:r>
              <w:rPr>
                <w:sz w:val="18"/>
              </w:rPr>
              <w:t>completed (70%) MEHRD</w:t>
            </w:r>
          </w:p>
          <w:p>
            <w:pPr>
              <w:pStyle w:val="TableParagraph"/>
              <w:ind w:left="105" w:right="148"/>
              <w:rPr>
                <w:sz w:val="18"/>
              </w:rPr>
            </w:pPr>
            <w:r>
              <w:rPr>
                <w:sz w:val="18"/>
              </w:rPr>
              <w:t>Management</w:t>
            </w:r>
            <w:r>
              <w:rPr>
                <w:spacing w:val="-2"/>
                <w:sz w:val="18"/>
              </w:rPr>
              <w:t> </w:t>
            </w:r>
            <w:r>
              <w:rPr>
                <w:sz w:val="18"/>
              </w:rPr>
              <w:t>Response for</w:t>
            </w:r>
            <w:r>
              <w:rPr>
                <w:spacing w:val="-6"/>
                <w:sz w:val="18"/>
              </w:rPr>
              <w:t> </w:t>
            </w:r>
            <w:r>
              <w:rPr>
                <w:sz w:val="18"/>
              </w:rPr>
              <w:t>External</w:t>
            </w:r>
            <w:r>
              <w:rPr>
                <w:spacing w:val="-3"/>
                <w:sz w:val="18"/>
              </w:rPr>
              <w:t> </w:t>
            </w:r>
            <w:r>
              <w:rPr>
                <w:sz w:val="18"/>
              </w:rPr>
              <w:t>Audit</w:t>
            </w:r>
            <w:r>
              <w:rPr>
                <w:spacing w:val="-2"/>
                <w:sz w:val="18"/>
              </w:rPr>
              <w:t> </w:t>
            </w:r>
            <w:r>
              <w:rPr>
                <w:sz w:val="18"/>
              </w:rPr>
              <w:t>Part</w:t>
            </w:r>
            <w:r>
              <w:rPr>
                <w:spacing w:val="-2"/>
                <w:sz w:val="18"/>
              </w:rPr>
              <w:t> </w:t>
            </w:r>
            <w:r>
              <w:rPr>
                <w:spacing w:val="-10"/>
                <w:sz w:val="18"/>
              </w:rPr>
              <w:t>2</w:t>
            </w:r>
          </w:p>
          <w:p>
            <w:pPr>
              <w:pStyle w:val="TableParagraph"/>
              <w:spacing w:line="199" w:lineRule="exact"/>
              <w:ind w:left="105"/>
              <w:rPr>
                <w:sz w:val="18"/>
              </w:rPr>
            </w:pPr>
            <w:r>
              <w:rPr>
                <w:sz w:val="18"/>
              </w:rPr>
              <w:t>completed</w:t>
            </w:r>
            <w:r>
              <w:rPr>
                <w:spacing w:val="-6"/>
                <w:sz w:val="18"/>
              </w:rPr>
              <w:t> </w:t>
            </w:r>
            <w:r>
              <w:rPr>
                <w:spacing w:val="-2"/>
                <w:sz w:val="18"/>
              </w:rPr>
              <w:t>(30%)</w:t>
            </w:r>
          </w:p>
        </w:tc>
        <w:tc>
          <w:tcPr>
            <w:tcW w:w="1461" w:type="dxa"/>
            <w:shd w:val="clear" w:color="auto" w:fill="A9D08E"/>
          </w:tcPr>
          <w:p>
            <w:pPr>
              <w:pStyle w:val="TableParagraph"/>
              <w:spacing w:before="1"/>
              <w:ind w:left="142" w:right="146"/>
              <w:jc w:val="center"/>
              <w:rPr>
                <w:sz w:val="18"/>
              </w:rPr>
            </w:pPr>
            <w:r>
              <w:rPr>
                <w:spacing w:val="-4"/>
                <w:sz w:val="18"/>
              </w:rPr>
              <w:t>100%</w:t>
            </w:r>
          </w:p>
        </w:tc>
        <w:tc>
          <w:tcPr>
            <w:tcW w:w="1269" w:type="dxa"/>
          </w:tcPr>
          <w:p>
            <w:pPr>
              <w:pStyle w:val="TableParagraph"/>
              <w:tabs>
                <w:tab w:pos="560" w:val="left" w:leader="none"/>
              </w:tabs>
              <w:spacing w:before="1"/>
              <w:ind w:left="101"/>
              <w:rPr>
                <w:sz w:val="18"/>
              </w:rPr>
            </w:pPr>
            <w:r>
              <w:rPr>
                <w:spacing w:val="-10"/>
                <w:sz w:val="18"/>
              </w:rPr>
              <w:t>$</w:t>
            </w:r>
            <w:r>
              <w:rPr>
                <w:sz w:val="18"/>
              </w:rPr>
              <w:tab/>
            </w:r>
            <w:r>
              <w:rPr>
                <w:spacing w:val="-2"/>
                <w:sz w:val="18"/>
              </w:rPr>
              <w:t>114,286</w:t>
            </w:r>
          </w:p>
        </w:tc>
      </w:tr>
    </w:tbl>
    <w:p>
      <w:pPr>
        <w:spacing w:after="0"/>
        <w:rPr>
          <w:sz w:val="18"/>
        </w:rPr>
        <w:sectPr>
          <w:pgSz w:w="11900" w:h="16850"/>
          <w:pgMar w:header="867" w:footer="830" w:top="1060" w:bottom="1020" w:left="1220" w:right="180"/>
        </w:sectPr>
      </w:pPr>
    </w:p>
    <w:p>
      <w:pPr>
        <w:pStyle w:val="BodyText"/>
        <w:rPr>
          <w:sz w:val="20"/>
        </w:rPr>
      </w:pPr>
    </w:p>
    <w:p>
      <w:pPr>
        <w:pStyle w:val="BodyText"/>
        <w:spacing w:before="11"/>
        <w:rPr>
          <w:sz w:val="26"/>
        </w:rPr>
      </w:pPr>
    </w:p>
    <w:p>
      <w:pPr>
        <w:pStyle w:val="Heading4"/>
        <w:spacing w:before="52"/>
        <w:rPr>
          <w:b w:val="0"/>
        </w:rPr>
      </w:pPr>
      <w:r>
        <w:rPr>
          <w:b w:val="0"/>
          <w:color w:val="4471C4"/>
        </w:rPr>
        <w:t>Appraisal</w:t>
      </w:r>
      <w:r>
        <w:rPr>
          <w:b w:val="0"/>
          <w:color w:val="4471C4"/>
          <w:spacing w:val="-2"/>
        </w:rPr>
        <w:t> </w:t>
      </w:r>
      <w:r>
        <w:rPr>
          <w:b w:val="0"/>
          <w:color w:val="4471C4"/>
        </w:rPr>
        <w:t>of</w:t>
      </w:r>
      <w:r>
        <w:rPr>
          <w:b w:val="0"/>
          <w:color w:val="4471C4"/>
          <w:spacing w:val="-2"/>
        </w:rPr>
        <w:t> </w:t>
      </w:r>
      <w:r>
        <w:rPr>
          <w:b w:val="0"/>
          <w:color w:val="4471C4"/>
        </w:rPr>
        <w:t>current</w:t>
      </w:r>
      <w:r>
        <w:rPr>
          <w:b w:val="0"/>
          <w:color w:val="4471C4"/>
          <w:spacing w:val="-2"/>
        </w:rPr>
        <w:t> </w:t>
      </w:r>
      <w:r>
        <w:rPr>
          <w:b w:val="0"/>
          <w:color w:val="4471C4"/>
        </w:rPr>
        <w:t>PLA</w:t>
      </w:r>
      <w:r>
        <w:rPr>
          <w:b w:val="0"/>
          <w:color w:val="4471C4"/>
          <w:spacing w:val="-1"/>
        </w:rPr>
        <w:t> </w:t>
      </w:r>
      <w:r>
        <w:rPr>
          <w:b w:val="0"/>
          <w:color w:val="4471C4"/>
        </w:rPr>
        <w:t>approach</w:t>
      </w:r>
      <w:r>
        <w:rPr>
          <w:b w:val="0"/>
          <w:color w:val="4471C4"/>
          <w:spacing w:val="-1"/>
        </w:rPr>
        <w:t> </w:t>
      </w:r>
      <w:r>
        <w:rPr>
          <w:b w:val="0"/>
          <w:color w:val="4471C4"/>
        </w:rPr>
        <w:t>and</w:t>
      </w:r>
      <w:r>
        <w:rPr>
          <w:b w:val="0"/>
          <w:color w:val="4471C4"/>
          <w:spacing w:val="-2"/>
        </w:rPr>
        <w:t> </w:t>
      </w:r>
      <w:r>
        <w:rPr>
          <w:b w:val="0"/>
          <w:color w:val="4471C4"/>
        </w:rPr>
        <w:t>recommendations</w:t>
      </w:r>
      <w:r>
        <w:rPr>
          <w:b w:val="0"/>
          <w:color w:val="4471C4"/>
          <w:spacing w:val="-1"/>
        </w:rPr>
        <w:t> </w:t>
      </w:r>
      <w:r>
        <w:rPr>
          <w:b w:val="0"/>
          <w:color w:val="4471C4"/>
        </w:rPr>
        <w:t>on</w:t>
      </w:r>
      <w:r>
        <w:rPr>
          <w:b w:val="0"/>
          <w:color w:val="4471C4"/>
          <w:spacing w:val="-2"/>
        </w:rPr>
        <w:t> </w:t>
      </w:r>
      <w:r>
        <w:rPr>
          <w:b w:val="0"/>
          <w:color w:val="4471C4"/>
        </w:rPr>
        <w:t>the</w:t>
      </w:r>
      <w:r>
        <w:rPr>
          <w:b w:val="0"/>
          <w:color w:val="4471C4"/>
          <w:spacing w:val="-2"/>
        </w:rPr>
        <w:t> </w:t>
      </w:r>
      <w:r>
        <w:rPr>
          <w:b w:val="0"/>
          <w:color w:val="4471C4"/>
        </w:rPr>
        <w:t>way</w:t>
      </w:r>
      <w:r>
        <w:rPr>
          <w:b w:val="0"/>
          <w:color w:val="4471C4"/>
          <w:spacing w:val="-3"/>
        </w:rPr>
        <w:t> </w:t>
      </w:r>
      <w:r>
        <w:rPr>
          <w:b w:val="0"/>
          <w:color w:val="4471C4"/>
          <w:spacing w:val="-2"/>
        </w:rPr>
        <w:t>forward</w:t>
      </w:r>
    </w:p>
    <w:p>
      <w:pPr>
        <w:pStyle w:val="BodyText"/>
        <w:spacing w:before="199"/>
        <w:ind w:left="220" w:right="1257"/>
        <w:jc w:val="both"/>
      </w:pPr>
      <w:r>
        <w:rPr/>
        <w:t>From all accounts a robust partnership exists between MEHRD, SIG more broadly and donors. The following appraisal and recommendations on the way forward are suggested against this </w:t>
      </w:r>
      <w:r>
        <w:rPr>
          <w:spacing w:val="-2"/>
        </w:rPr>
        <w:t>background.</w:t>
      </w:r>
    </w:p>
    <w:p>
      <w:pPr>
        <w:pStyle w:val="BodyText"/>
        <w:spacing w:before="4"/>
        <w:rPr>
          <w:sz w:val="16"/>
        </w:rPr>
      </w:pPr>
    </w:p>
    <w:p>
      <w:pPr>
        <w:pStyle w:val="BodyText"/>
        <w:ind w:left="220"/>
      </w:pPr>
      <w:r>
        <w:rPr>
          <w:color w:val="4471C4"/>
          <w:spacing w:val="-2"/>
        </w:rPr>
        <w:t>Appraisal</w:t>
      </w:r>
    </w:p>
    <w:p>
      <w:pPr>
        <w:pStyle w:val="BodyText"/>
        <w:spacing w:before="7"/>
        <w:rPr>
          <w:sz w:val="16"/>
        </w:rPr>
      </w:pPr>
    </w:p>
    <w:p>
      <w:pPr>
        <w:pStyle w:val="BodyText"/>
        <w:ind w:left="220" w:right="1246"/>
      </w:pPr>
      <w:r>
        <w:rPr/>
        <w:t>This</w:t>
      </w:r>
      <w:r>
        <w:rPr>
          <w:spacing w:val="40"/>
        </w:rPr>
        <w:t> </w:t>
      </w:r>
      <w:r>
        <w:rPr/>
        <w:t>assessment</w:t>
      </w:r>
      <w:r>
        <w:rPr>
          <w:spacing w:val="40"/>
        </w:rPr>
        <w:t> </w:t>
      </w:r>
      <w:r>
        <w:rPr/>
        <w:t>explores</w:t>
      </w:r>
      <w:r>
        <w:rPr>
          <w:spacing w:val="40"/>
        </w:rPr>
        <w:t> </w:t>
      </w:r>
      <w:r>
        <w:rPr/>
        <w:t>six</w:t>
      </w:r>
      <w:r>
        <w:rPr>
          <w:spacing w:val="40"/>
        </w:rPr>
        <w:t> </w:t>
      </w:r>
      <w:r>
        <w:rPr/>
        <w:t>key</w:t>
      </w:r>
      <w:r>
        <w:rPr>
          <w:spacing w:val="40"/>
        </w:rPr>
        <w:t> </w:t>
      </w:r>
      <w:r>
        <w:rPr/>
        <w:t>themes</w:t>
      </w:r>
      <w:r>
        <w:rPr>
          <w:spacing w:val="40"/>
        </w:rPr>
        <w:t> </w:t>
      </w:r>
      <w:r>
        <w:rPr/>
        <w:t>in</w:t>
      </w:r>
      <w:r>
        <w:rPr>
          <w:spacing w:val="40"/>
        </w:rPr>
        <w:t> </w:t>
      </w:r>
      <w:r>
        <w:rPr/>
        <w:t>appraising</w:t>
      </w:r>
      <w:r>
        <w:rPr>
          <w:spacing w:val="40"/>
        </w:rPr>
        <w:t> </w:t>
      </w:r>
      <w:r>
        <w:rPr/>
        <w:t>the</w:t>
      </w:r>
      <w:r>
        <w:rPr>
          <w:spacing w:val="40"/>
        </w:rPr>
        <w:t> </w:t>
      </w:r>
      <w:r>
        <w:rPr/>
        <w:t>current</w:t>
      </w:r>
      <w:r>
        <w:rPr>
          <w:spacing w:val="40"/>
        </w:rPr>
        <w:t> </w:t>
      </w:r>
      <w:r>
        <w:rPr/>
        <w:t>PLA</w:t>
      </w:r>
      <w:r>
        <w:rPr>
          <w:spacing w:val="40"/>
        </w:rPr>
        <w:t> </w:t>
      </w:r>
      <w:r>
        <w:rPr/>
        <w:t>approach:</w:t>
      </w:r>
      <w:r>
        <w:rPr>
          <w:spacing w:val="40"/>
        </w:rPr>
        <w:t> </w:t>
      </w:r>
      <w:r>
        <w:rPr/>
        <w:t>consistency, control, interdependency, time-frames, data accuracy/research, and partnership. Findings include:</w:t>
      </w:r>
    </w:p>
    <w:p>
      <w:pPr>
        <w:pStyle w:val="BodyText"/>
        <w:spacing w:before="4"/>
        <w:rPr>
          <w:sz w:val="16"/>
        </w:rPr>
      </w:pPr>
    </w:p>
    <w:p>
      <w:pPr>
        <w:pStyle w:val="ListParagraph"/>
        <w:numPr>
          <w:ilvl w:val="0"/>
          <w:numId w:val="3"/>
        </w:numPr>
        <w:tabs>
          <w:tab w:pos="941" w:val="left" w:leader="none"/>
        </w:tabs>
        <w:spacing w:line="240" w:lineRule="auto" w:before="0" w:after="0"/>
        <w:ind w:left="940" w:right="1252" w:hanging="360"/>
        <w:jc w:val="both"/>
        <w:rPr>
          <w:sz w:val="22"/>
        </w:rPr>
      </w:pPr>
      <w:r>
        <w:rPr>
          <w:sz w:val="22"/>
        </w:rPr>
        <w:t>The net impact of the inconsistency of approaches by different assessors, indicators</w:t>
      </w:r>
      <w:r>
        <w:rPr>
          <w:spacing w:val="40"/>
          <w:sz w:val="22"/>
        </w:rPr>
        <w:t> </w:t>
      </w:r>
      <w:r>
        <w:rPr>
          <w:sz w:val="22"/>
        </w:rPr>
        <w:t>changing yearly and moving targets is that it creates a ‘shifting-sands PLA’ for MEHRD and AHC, along with a lack of ability to track trends and task completion over time.</w:t>
      </w:r>
    </w:p>
    <w:p>
      <w:pPr>
        <w:pStyle w:val="BodyText"/>
        <w:spacing w:before="3"/>
        <w:rPr>
          <w:sz w:val="16"/>
        </w:rPr>
      </w:pPr>
    </w:p>
    <w:p>
      <w:pPr>
        <w:pStyle w:val="ListParagraph"/>
        <w:numPr>
          <w:ilvl w:val="0"/>
          <w:numId w:val="3"/>
        </w:numPr>
        <w:tabs>
          <w:tab w:pos="941" w:val="left" w:leader="none"/>
        </w:tabs>
        <w:spacing w:line="240" w:lineRule="auto" w:before="0" w:after="0"/>
        <w:ind w:left="940" w:right="1256" w:hanging="360"/>
        <w:jc w:val="both"/>
        <w:rPr>
          <w:sz w:val="22"/>
        </w:rPr>
      </w:pPr>
      <w:r>
        <w:rPr>
          <w:sz w:val="22"/>
        </w:rPr>
        <w:t>When developing indicators there needs to be continuing recognition of what MEHRD can and cannot control. And at what level of SIG the PLA is pitched to, in terms of who has </w:t>
      </w:r>
      <w:r>
        <w:rPr>
          <w:spacing w:val="-2"/>
          <w:sz w:val="22"/>
        </w:rPr>
        <w:t>control.</w:t>
      </w:r>
    </w:p>
    <w:p>
      <w:pPr>
        <w:pStyle w:val="BodyText"/>
        <w:spacing w:before="5"/>
        <w:rPr>
          <w:sz w:val="16"/>
        </w:rPr>
      </w:pPr>
    </w:p>
    <w:p>
      <w:pPr>
        <w:pStyle w:val="ListParagraph"/>
        <w:numPr>
          <w:ilvl w:val="0"/>
          <w:numId w:val="3"/>
        </w:numPr>
        <w:tabs>
          <w:tab w:pos="941" w:val="left" w:leader="none"/>
        </w:tabs>
        <w:spacing w:line="240" w:lineRule="auto" w:before="0" w:after="0"/>
        <w:ind w:left="940" w:right="1253" w:hanging="360"/>
        <w:jc w:val="both"/>
        <w:rPr>
          <w:sz w:val="22"/>
        </w:rPr>
      </w:pPr>
      <w:r>
        <w:rPr>
          <w:sz w:val="22"/>
        </w:rPr>
        <w:t>Interdependent indicators should be recognised when agreed between partners and where necessary tracked over time, not just annually.</w:t>
      </w:r>
    </w:p>
    <w:p>
      <w:pPr>
        <w:pStyle w:val="BodyText"/>
        <w:spacing w:before="5"/>
        <w:rPr>
          <w:sz w:val="16"/>
        </w:rPr>
      </w:pPr>
    </w:p>
    <w:p>
      <w:pPr>
        <w:pStyle w:val="ListParagraph"/>
        <w:numPr>
          <w:ilvl w:val="0"/>
          <w:numId w:val="3"/>
        </w:numPr>
        <w:tabs>
          <w:tab w:pos="941" w:val="left" w:leader="none"/>
        </w:tabs>
        <w:spacing w:line="240" w:lineRule="auto" w:before="0" w:after="0"/>
        <w:ind w:left="940" w:right="1254" w:hanging="360"/>
        <w:jc w:val="both"/>
        <w:rPr>
          <w:sz w:val="22"/>
        </w:rPr>
      </w:pPr>
      <w:r>
        <w:rPr>
          <w:sz w:val="22"/>
        </w:rPr>
        <w:t>A few annual indicators are useful, particularly for improvement to management systems where MEHRD has control over the pace of change. Other longer-term indicators, especially for quality, need to show trends over time and set a realistic pace of change with graduated PLA each year as milestones are met towards a target.</w:t>
      </w:r>
    </w:p>
    <w:p>
      <w:pPr>
        <w:pStyle w:val="BodyText"/>
        <w:spacing w:before="5"/>
        <w:rPr>
          <w:sz w:val="16"/>
        </w:rPr>
      </w:pPr>
    </w:p>
    <w:p>
      <w:pPr>
        <w:pStyle w:val="ListParagraph"/>
        <w:numPr>
          <w:ilvl w:val="0"/>
          <w:numId w:val="3"/>
        </w:numPr>
        <w:tabs>
          <w:tab w:pos="941" w:val="left" w:leader="none"/>
        </w:tabs>
        <w:spacing w:line="240" w:lineRule="auto" w:before="1" w:after="0"/>
        <w:ind w:left="940" w:right="1254" w:hanging="360"/>
        <w:jc w:val="both"/>
        <w:rPr>
          <w:sz w:val="22"/>
        </w:rPr>
      </w:pPr>
      <w:r>
        <w:rPr>
          <w:sz w:val="22"/>
        </w:rPr>
        <w:t>Data accuracy and verification needs to be improved to inform decision making and before consideration of any PLA scale-up. There is little available qualitative data analysed in the Ministry. Although the School Census Forms provide a wealth of qualitative data. MEHRD is keen to pursue better research avenues. Qualitative data is also invaluable to provide the human dimension to already available quantitative data: It can paint a picture of policy implications for key political decision makers plus be a valuable communication tool with media, communities and grass-roots organisations.</w:t>
      </w:r>
    </w:p>
    <w:p>
      <w:pPr>
        <w:pStyle w:val="BodyText"/>
        <w:spacing w:before="5"/>
        <w:rPr>
          <w:sz w:val="16"/>
        </w:rPr>
      </w:pPr>
    </w:p>
    <w:p>
      <w:pPr>
        <w:pStyle w:val="ListParagraph"/>
        <w:numPr>
          <w:ilvl w:val="0"/>
          <w:numId w:val="3"/>
        </w:numPr>
        <w:tabs>
          <w:tab w:pos="941" w:val="left" w:leader="none"/>
        </w:tabs>
        <w:spacing w:line="240" w:lineRule="auto" w:before="1" w:after="0"/>
        <w:ind w:left="940" w:right="1255" w:hanging="360"/>
        <w:jc w:val="both"/>
        <w:rPr>
          <w:sz w:val="22"/>
        </w:rPr>
      </w:pPr>
      <w:r>
        <w:rPr>
          <w:sz w:val="22"/>
        </w:rPr>
        <w:t>There is a unique opportunity to build on the current partnership and implement an improved approach to PLA.</w:t>
      </w:r>
    </w:p>
    <w:p>
      <w:pPr>
        <w:pStyle w:val="BodyText"/>
        <w:spacing w:before="4"/>
        <w:rPr>
          <w:sz w:val="16"/>
        </w:rPr>
      </w:pPr>
    </w:p>
    <w:p>
      <w:pPr>
        <w:pStyle w:val="BodyText"/>
        <w:ind w:left="220"/>
      </w:pPr>
      <w:r>
        <w:rPr>
          <w:color w:val="4471C4"/>
        </w:rPr>
        <w:t>Way </w:t>
      </w:r>
      <w:r>
        <w:rPr>
          <w:color w:val="4471C4"/>
          <w:spacing w:val="-2"/>
        </w:rPr>
        <w:t>Forward</w:t>
      </w:r>
    </w:p>
    <w:p>
      <w:pPr>
        <w:pStyle w:val="BodyText"/>
        <w:spacing w:before="4"/>
        <w:rPr>
          <w:sz w:val="16"/>
        </w:rPr>
      </w:pPr>
    </w:p>
    <w:p>
      <w:pPr>
        <w:pStyle w:val="BodyText"/>
        <w:spacing w:before="1"/>
        <w:ind w:left="220" w:right="1254"/>
        <w:jc w:val="both"/>
      </w:pPr>
      <w:r>
        <w:rPr>
          <w:color w:val="4471C4"/>
        </w:rPr>
        <w:t>An improved partnership approach: </w:t>
      </w:r>
      <w:r>
        <w:rPr/>
        <w:t>Engage a skilled Partnership Broker to develop a genuinely agreed and</w:t>
      </w:r>
      <w:r>
        <w:rPr>
          <w:spacing w:val="-3"/>
        </w:rPr>
        <w:t> </w:t>
      </w:r>
      <w:r>
        <w:rPr/>
        <w:t>understood</w:t>
      </w:r>
      <w:r>
        <w:rPr>
          <w:spacing w:val="-3"/>
        </w:rPr>
        <w:t> </w:t>
      </w:r>
      <w:r>
        <w:rPr/>
        <w:t>Performance</w:t>
      </w:r>
      <w:r>
        <w:rPr>
          <w:spacing w:val="-1"/>
        </w:rPr>
        <w:t> </w:t>
      </w:r>
      <w:r>
        <w:rPr/>
        <w:t>Matrix for</w:t>
      </w:r>
      <w:r>
        <w:rPr>
          <w:spacing w:val="-2"/>
        </w:rPr>
        <w:t> </w:t>
      </w:r>
      <w:r>
        <w:rPr/>
        <w:t>PLA,</w:t>
      </w:r>
      <w:r>
        <w:rPr>
          <w:spacing w:val="-3"/>
        </w:rPr>
        <w:t> </w:t>
      </w:r>
      <w:r>
        <w:rPr/>
        <w:t>and identify</w:t>
      </w:r>
      <w:r>
        <w:rPr>
          <w:spacing w:val="-2"/>
        </w:rPr>
        <w:t> </w:t>
      </w:r>
      <w:r>
        <w:rPr/>
        <w:t>any</w:t>
      </w:r>
      <w:r>
        <w:rPr>
          <w:spacing w:val="-1"/>
        </w:rPr>
        <w:t> </w:t>
      </w:r>
      <w:r>
        <w:rPr/>
        <w:t>corresponding technical</w:t>
      </w:r>
      <w:r>
        <w:rPr>
          <w:spacing w:val="-3"/>
        </w:rPr>
        <w:t> </w:t>
      </w:r>
      <w:r>
        <w:rPr/>
        <w:t>advice </w:t>
      </w:r>
      <w:r>
        <w:rPr>
          <w:spacing w:val="-2"/>
        </w:rPr>
        <w:t>requested.</w:t>
      </w:r>
    </w:p>
    <w:p>
      <w:pPr>
        <w:pStyle w:val="BodyText"/>
        <w:spacing w:before="4"/>
        <w:rPr>
          <w:sz w:val="16"/>
        </w:rPr>
      </w:pPr>
    </w:p>
    <w:p>
      <w:pPr>
        <w:pStyle w:val="BodyText"/>
        <w:ind w:left="220" w:right="1252"/>
        <w:jc w:val="both"/>
      </w:pPr>
      <w:r>
        <w:rPr>
          <w:color w:val="2E5395"/>
        </w:rPr>
        <w:t>Long-term indicators: </w:t>
      </w:r>
      <w:r>
        <w:rPr/>
        <w:t>Develop a few strategically critical and agreed Access and Quality indicators from NEAP and MEHRD MEL held constant over a realistic timeframe. Payment could be graduated over a 3 to 4-year period (in line with the new ESP design), with a percentage paid each year on achievements towards a longer-term target.</w:t>
      </w:r>
    </w:p>
    <w:p>
      <w:pPr>
        <w:pStyle w:val="BodyText"/>
        <w:spacing w:before="5"/>
        <w:rPr>
          <w:sz w:val="16"/>
        </w:rPr>
      </w:pPr>
    </w:p>
    <w:p>
      <w:pPr>
        <w:pStyle w:val="BodyText"/>
        <w:ind w:left="220" w:right="1246"/>
      </w:pPr>
      <w:r>
        <w:rPr>
          <w:color w:val="4471C4"/>
        </w:rPr>
        <w:t>Annual indicators: </w:t>
      </w:r>
      <w:r>
        <w:rPr/>
        <w:t>Identify 3 or 4 shorter-term annual indicators from MEHRD AWP. These annual</w:t>
      </w:r>
      <w:r>
        <w:rPr>
          <w:spacing w:val="80"/>
        </w:rPr>
        <w:t> </w:t>
      </w:r>
      <w:r>
        <w:rPr/>
        <w:t>indicators would most likely fall into the Management Systems target area.</w:t>
      </w:r>
    </w:p>
    <w:p>
      <w:pPr>
        <w:pStyle w:val="BodyText"/>
        <w:spacing w:before="4"/>
        <w:rPr>
          <w:sz w:val="16"/>
        </w:rPr>
      </w:pPr>
    </w:p>
    <w:p>
      <w:pPr>
        <w:pStyle w:val="BodyText"/>
        <w:ind w:left="220" w:right="1246"/>
      </w:pPr>
      <w:r>
        <w:rPr>
          <w:color w:val="4471C4"/>
        </w:rPr>
        <w:t>Maintain</w:t>
      </w:r>
      <w:r>
        <w:rPr>
          <w:color w:val="4471C4"/>
          <w:spacing w:val="20"/>
        </w:rPr>
        <w:t> </w:t>
      </w:r>
      <w:r>
        <w:rPr>
          <w:color w:val="4471C4"/>
        </w:rPr>
        <w:t>sight of</w:t>
      </w:r>
      <w:r>
        <w:rPr>
          <w:color w:val="4471C4"/>
          <w:spacing w:val="20"/>
        </w:rPr>
        <w:t> </w:t>
      </w:r>
      <w:r>
        <w:rPr>
          <w:color w:val="4471C4"/>
        </w:rPr>
        <w:t>the</w:t>
      </w:r>
      <w:r>
        <w:rPr>
          <w:color w:val="4471C4"/>
          <w:spacing w:val="21"/>
        </w:rPr>
        <w:t> </w:t>
      </w:r>
      <w:r>
        <w:rPr>
          <w:color w:val="4471C4"/>
        </w:rPr>
        <w:t>bigger</w:t>
      </w:r>
      <w:r>
        <w:rPr>
          <w:color w:val="4471C4"/>
          <w:spacing w:val="21"/>
        </w:rPr>
        <w:t> </w:t>
      </w:r>
      <w:r>
        <w:rPr>
          <w:color w:val="4471C4"/>
        </w:rPr>
        <w:t>picture:</w:t>
      </w:r>
      <w:r>
        <w:rPr>
          <w:color w:val="4471C4"/>
          <w:spacing w:val="23"/>
        </w:rPr>
        <w:t> </w:t>
      </w:r>
      <w:r>
        <w:rPr/>
        <w:t>The current DFA</w:t>
      </w:r>
      <w:r>
        <w:rPr>
          <w:spacing w:val="20"/>
        </w:rPr>
        <w:t> </w:t>
      </w:r>
      <w:r>
        <w:rPr/>
        <w:t>identifies</w:t>
      </w:r>
      <w:r>
        <w:rPr>
          <w:spacing w:val="21"/>
        </w:rPr>
        <w:t> </w:t>
      </w:r>
      <w:r>
        <w:rPr/>
        <w:t>the percent</w:t>
      </w:r>
      <w:r>
        <w:rPr>
          <w:spacing w:val="21"/>
        </w:rPr>
        <w:t> </w:t>
      </w:r>
      <w:r>
        <w:rPr/>
        <w:t>of SIG</w:t>
      </w:r>
      <w:r>
        <w:rPr>
          <w:spacing w:val="21"/>
        </w:rPr>
        <w:t> </w:t>
      </w:r>
      <w:r>
        <w:rPr/>
        <w:t>expenditure on the education sector, controlled scholarship expenditure and audit as higher order triggers for DFA.</w:t>
      </w:r>
    </w:p>
    <w:p>
      <w:pPr>
        <w:spacing w:after="0"/>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1"/>
        <w:jc w:val="both"/>
      </w:pPr>
      <w:r>
        <w:rPr>
          <w:color w:val="4471C4"/>
        </w:rPr>
        <w:t>Data and research: </w:t>
      </w:r>
      <w:r>
        <w:rPr/>
        <w:t>PLA verification rests on the quality of data being collected and analysed within MEHRD. It is suggested partners consider investment in data verification. The MEHRD Permanent Secretary is keen for research to inform decision making.</w:t>
      </w:r>
    </w:p>
    <w:p>
      <w:pPr>
        <w:pStyle w:val="BodyText"/>
        <w:spacing w:before="4"/>
        <w:rPr>
          <w:sz w:val="16"/>
        </w:rPr>
      </w:pPr>
    </w:p>
    <w:p>
      <w:pPr>
        <w:pStyle w:val="BodyText"/>
        <w:ind w:left="220" w:right="1252"/>
        <w:jc w:val="both"/>
      </w:pPr>
      <w:r>
        <w:rPr>
          <w:color w:val="4471C4"/>
        </w:rPr>
        <w:t>Donor performance</w:t>
      </w:r>
      <w:r>
        <w:rPr/>
        <w:t>: Donors could have PLA partner responsibilities such as the identification and provision of timely technical assistance and the use of MEHRD systems (not financially linked).</w:t>
      </w:r>
    </w:p>
    <w:p>
      <w:pPr>
        <w:pStyle w:val="BodyText"/>
        <w:spacing w:before="4"/>
        <w:rPr>
          <w:sz w:val="16"/>
        </w:rPr>
      </w:pPr>
    </w:p>
    <w:p>
      <w:pPr>
        <w:pStyle w:val="BodyText"/>
        <w:spacing w:before="1"/>
        <w:ind w:left="220" w:right="1253"/>
        <w:jc w:val="both"/>
      </w:pPr>
      <w:r>
        <w:rPr>
          <w:color w:val="4471C4"/>
        </w:rPr>
        <w:t>Assessment as a partnership: </w:t>
      </w:r>
      <w:r>
        <w:rPr/>
        <w:t>In line with the development of indicators in a genuine partnership,</w:t>
      </w:r>
      <w:r>
        <w:rPr>
          <w:spacing w:val="40"/>
        </w:rPr>
        <w:t> </w:t>
      </w:r>
      <w:r>
        <w:rPr/>
        <w:t>the assessment should be carried out in partnership too. This doesn’t mean the assessor is not independent or is not able to make recommendations with which MEHRD might not agree. It does include partners in the process of data collection, verification and analysis.</w:t>
      </w:r>
    </w:p>
    <w:p>
      <w:pPr>
        <w:pStyle w:val="BodyText"/>
        <w:spacing w:before="4"/>
        <w:rPr>
          <w:sz w:val="16"/>
        </w:rPr>
      </w:pPr>
    </w:p>
    <w:p>
      <w:pPr>
        <w:pStyle w:val="BodyText"/>
        <w:ind w:left="220" w:right="1254"/>
        <w:jc w:val="both"/>
      </w:pPr>
      <w:r>
        <w:rPr>
          <w:color w:val="4471C4"/>
        </w:rPr>
        <w:t>Contracting-out: </w:t>
      </w:r>
      <w:r>
        <w:rPr/>
        <w:t>Contracting-out of work such as curriculum development and the SISTA has shown good results and produces timely outputs. There are opportunities to streamline tender processes through development of a design/implement approach that would relieve senior MEHRD staff of involvement at a contractual level while allowing them to focus on outputs and outcomes. An explanation of how this works in practice is provided.</w:t>
      </w:r>
    </w:p>
    <w:p>
      <w:pPr>
        <w:spacing w:after="0"/>
        <w:jc w:val="both"/>
        <w:sectPr>
          <w:pgSz w:w="11900" w:h="16850"/>
          <w:pgMar w:header="867" w:footer="830" w:top="1060" w:bottom="1020" w:left="1220" w:right="180"/>
        </w:sectPr>
      </w:pPr>
    </w:p>
    <w:p>
      <w:pPr>
        <w:pStyle w:val="BodyText"/>
        <w:rPr>
          <w:sz w:val="20"/>
        </w:rPr>
      </w:pPr>
    </w:p>
    <w:p>
      <w:pPr>
        <w:pStyle w:val="BodyText"/>
        <w:spacing w:before="4"/>
        <w:rPr>
          <w:sz w:val="28"/>
        </w:rPr>
      </w:pPr>
    </w:p>
    <w:p>
      <w:pPr>
        <w:pStyle w:val="Heading1"/>
        <w:numPr>
          <w:ilvl w:val="0"/>
          <w:numId w:val="4"/>
        </w:numPr>
        <w:tabs>
          <w:tab w:pos="940" w:val="left" w:leader="none"/>
          <w:tab w:pos="941" w:val="left" w:leader="none"/>
        </w:tabs>
        <w:spacing w:line="240" w:lineRule="auto" w:before="35" w:after="0"/>
        <w:ind w:left="940" w:right="0" w:hanging="721"/>
        <w:jc w:val="left"/>
        <w:rPr>
          <w:b w:val="0"/>
          <w:color w:val="4471C4"/>
        </w:rPr>
      </w:pPr>
      <w:bookmarkStart w:name="_bookmark4" w:id="5"/>
      <w:bookmarkEnd w:id="5"/>
      <w:r>
        <w:rPr>
          <w:b w:val="0"/>
          <w:color w:val="4471C4"/>
          <w:spacing w:val="-2"/>
        </w:rPr>
        <w:t>I</w:t>
      </w:r>
      <w:r>
        <w:rPr>
          <w:b w:val="0"/>
          <w:color w:val="4471C4"/>
          <w:spacing w:val="-2"/>
        </w:rPr>
        <w:t>ntroduction</w:t>
      </w:r>
    </w:p>
    <w:p>
      <w:pPr>
        <w:pStyle w:val="BodyText"/>
        <w:spacing w:before="256"/>
        <w:ind w:left="220" w:right="1253"/>
        <w:jc w:val="both"/>
      </w:pPr>
      <w:r>
        <w:rPr/>
        <w:t>Under the Solomon Islands Education Sector Program 2, a performance-linked aid payment is disbursed yearly to the MEHRD on the achievement of annually agreed targets set out in the EPM.</w:t>
      </w:r>
      <w:r>
        <w:rPr>
          <w:spacing w:val="40"/>
        </w:rPr>
        <w:t> </w:t>
      </w:r>
      <w:r>
        <w:rPr/>
        <w:t>An independent assessor reviews the performance against the EPM and recommends a percentage for the performance-linked aid payment, as well as indicators for the following year.</w:t>
      </w:r>
    </w:p>
    <w:p>
      <w:pPr>
        <w:pStyle w:val="BodyText"/>
        <w:spacing w:before="5"/>
        <w:rPr>
          <w:sz w:val="16"/>
        </w:rPr>
      </w:pPr>
    </w:p>
    <w:p>
      <w:pPr>
        <w:pStyle w:val="BodyText"/>
        <w:ind w:left="220" w:right="1253"/>
        <w:jc w:val="both"/>
      </w:pPr>
      <w:r>
        <w:rPr/>
        <w:t>This report presents the findings and recommendations of an independent, external assessment of the extent to which the MEHRD and the Solomon Islands Government (SIG) have achieved the targets and performance indicators articulated in the 2018 EPM (see Appendix 1).</w:t>
      </w:r>
    </w:p>
    <w:p>
      <w:pPr>
        <w:pStyle w:val="BodyText"/>
        <w:spacing w:before="5"/>
        <w:rPr>
          <w:sz w:val="16"/>
        </w:rPr>
      </w:pPr>
    </w:p>
    <w:p>
      <w:pPr>
        <w:pStyle w:val="BodyText"/>
        <w:ind w:left="220" w:right="1254"/>
        <w:jc w:val="both"/>
      </w:pPr>
      <w:r>
        <w:rPr/>
        <w:t>The purposes of the independent review, detailed in the Terms of Reference (see Appendix 2), were </w:t>
      </w:r>
      <w:r>
        <w:rPr>
          <w:spacing w:val="-4"/>
        </w:rPr>
        <w:t>to:</w:t>
      </w:r>
    </w:p>
    <w:p>
      <w:pPr>
        <w:pStyle w:val="BodyText"/>
        <w:spacing w:before="5"/>
        <w:rPr>
          <w:sz w:val="16"/>
        </w:rPr>
      </w:pPr>
    </w:p>
    <w:p>
      <w:pPr>
        <w:pStyle w:val="ListParagraph"/>
        <w:numPr>
          <w:ilvl w:val="0"/>
          <w:numId w:val="5"/>
        </w:numPr>
        <w:tabs>
          <w:tab w:pos="941" w:val="left" w:leader="none"/>
        </w:tabs>
        <w:spacing w:line="240" w:lineRule="auto" w:before="0" w:after="0"/>
        <w:ind w:left="940" w:right="1251" w:hanging="360"/>
        <w:jc w:val="left"/>
        <w:rPr>
          <w:sz w:val="22"/>
        </w:rPr>
      </w:pPr>
      <w:r>
        <w:rPr>
          <w:sz w:val="22"/>
        </w:rPr>
        <w:t>review</w:t>
      </w:r>
      <w:r>
        <w:rPr>
          <w:spacing w:val="80"/>
          <w:sz w:val="22"/>
        </w:rPr>
        <w:t> </w:t>
      </w:r>
      <w:r>
        <w:rPr>
          <w:sz w:val="22"/>
        </w:rPr>
        <w:t>SIG</w:t>
      </w:r>
      <w:r>
        <w:rPr>
          <w:spacing w:val="80"/>
          <w:sz w:val="22"/>
        </w:rPr>
        <w:t> </w:t>
      </w:r>
      <w:r>
        <w:rPr>
          <w:sz w:val="22"/>
        </w:rPr>
        <w:t>performance</w:t>
      </w:r>
      <w:r>
        <w:rPr>
          <w:spacing w:val="80"/>
          <w:sz w:val="22"/>
        </w:rPr>
        <w:t> </w:t>
      </w:r>
      <w:r>
        <w:rPr>
          <w:sz w:val="22"/>
        </w:rPr>
        <w:t>against</w:t>
      </w:r>
      <w:r>
        <w:rPr>
          <w:spacing w:val="80"/>
          <w:sz w:val="22"/>
        </w:rPr>
        <w:t> </w:t>
      </w:r>
      <w:r>
        <w:rPr>
          <w:sz w:val="22"/>
        </w:rPr>
        <w:t>the</w:t>
      </w:r>
      <w:r>
        <w:rPr>
          <w:spacing w:val="80"/>
          <w:sz w:val="22"/>
        </w:rPr>
        <w:t> </w:t>
      </w:r>
      <w:r>
        <w:rPr>
          <w:sz w:val="22"/>
        </w:rPr>
        <w:t>agreed</w:t>
      </w:r>
      <w:r>
        <w:rPr>
          <w:spacing w:val="80"/>
          <w:sz w:val="22"/>
        </w:rPr>
        <w:t> </w:t>
      </w:r>
      <w:r>
        <w:rPr>
          <w:sz w:val="22"/>
        </w:rPr>
        <w:t>milestones</w:t>
      </w:r>
      <w:r>
        <w:rPr>
          <w:spacing w:val="80"/>
          <w:sz w:val="22"/>
        </w:rPr>
        <w:t> </w:t>
      </w:r>
      <w:r>
        <w:rPr>
          <w:sz w:val="22"/>
        </w:rPr>
        <w:t>for</w:t>
      </w:r>
      <w:r>
        <w:rPr>
          <w:spacing w:val="80"/>
          <w:sz w:val="22"/>
        </w:rPr>
        <w:t> </w:t>
      </w:r>
      <w:r>
        <w:rPr>
          <w:sz w:val="22"/>
        </w:rPr>
        <w:t>2018</w:t>
      </w:r>
      <w:r>
        <w:rPr>
          <w:spacing w:val="80"/>
          <w:w w:val="150"/>
          <w:sz w:val="22"/>
        </w:rPr>
        <w:t> </w:t>
      </w:r>
      <w:r>
        <w:rPr>
          <w:sz w:val="22"/>
        </w:rPr>
        <w:t>in</w:t>
      </w:r>
      <w:r>
        <w:rPr>
          <w:spacing w:val="80"/>
          <w:sz w:val="22"/>
        </w:rPr>
        <w:t> </w:t>
      </w:r>
      <w:r>
        <w:rPr>
          <w:sz w:val="22"/>
        </w:rPr>
        <w:t>the</w:t>
      </w:r>
      <w:r>
        <w:rPr>
          <w:spacing w:val="80"/>
          <w:sz w:val="22"/>
        </w:rPr>
        <w:t> </w:t>
      </w:r>
      <w:r>
        <w:rPr>
          <w:sz w:val="22"/>
        </w:rPr>
        <w:t>attached</w:t>
      </w:r>
      <w:r>
        <w:rPr>
          <w:spacing w:val="80"/>
          <w:sz w:val="22"/>
        </w:rPr>
        <w:t> </w:t>
      </w:r>
      <w:r>
        <w:rPr>
          <w:sz w:val="22"/>
        </w:rPr>
        <w:t>performance matrix;</w:t>
      </w:r>
    </w:p>
    <w:p>
      <w:pPr>
        <w:pStyle w:val="BodyText"/>
        <w:spacing w:before="7"/>
        <w:rPr>
          <w:sz w:val="16"/>
        </w:rPr>
      </w:pPr>
    </w:p>
    <w:p>
      <w:pPr>
        <w:pStyle w:val="ListParagraph"/>
        <w:numPr>
          <w:ilvl w:val="0"/>
          <w:numId w:val="5"/>
        </w:numPr>
        <w:tabs>
          <w:tab w:pos="941" w:val="left" w:leader="none"/>
        </w:tabs>
        <w:spacing w:line="240" w:lineRule="auto" w:before="0" w:after="0"/>
        <w:ind w:left="940" w:right="1253" w:hanging="360"/>
        <w:jc w:val="left"/>
        <w:rPr>
          <w:sz w:val="22"/>
        </w:rPr>
      </w:pPr>
      <w:r>
        <w:rPr>
          <w:sz w:val="22"/>
        </w:rPr>
        <w:t>provide a recommendation of what performance-linked aid payment should be made based on the SIG performance;</w:t>
      </w:r>
    </w:p>
    <w:p>
      <w:pPr>
        <w:pStyle w:val="BodyText"/>
        <w:spacing w:before="4"/>
        <w:rPr>
          <w:sz w:val="16"/>
        </w:rPr>
      </w:pPr>
    </w:p>
    <w:p>
      <w:pPr>
        <w:pStyle w:val="ListParagraph"/>
        <w:numPr>
          <w:ilvl w:val="0"/>
          <w:numId w:val="5"/>
        </w:numPr>
        <w:tabs>
          <w:tab w:pos="941" w:val="left" w:leader="none"/>
        </w:tabs>
        <w:spacing w:line="240" w:lineRule="auto" w:before="0" w:after="0"/>
        <w:ind w:left="940" w:right="0" w:hanging="361"/>
        <w:jc w:val="left"/>
        <w:rPr>
          <w:sz w:val="22"/>
        </w:rPr>
      </w:pPr>
      <w:r>
        <w:rPr>
          <w:sz w:val="22"/>
        </w:rPr>
        <w:t>provide</w:t>
      </w:r>
      <w:r>
        <w:rPr>
          <w:spacing w:val="-7"/>
          <w:sz w:val="22"/>
        </w:rPr>
        <w:t> </w:t>
      </w:r>
      <w:r>
        <w:rPr>
          <w:sz w:val="22"/>
        </w:rPr>
        <w:t>advice</w:t>
      </w:r>
      <w:r>
        <w:rPr>
          <w:spacing w:val="-5"/>
          <w:sz w:val="22"/>
        </w:rPr>
        <w:t> </w:t>
      </w:r>
      <w:r>
        <w:rPr>
          <w:sz w:val="22"/>
        </w:rPr>
        <w:t>on</w:t>
      </w:r>
      <w:r>
        <w:rPr>
          <w:spacing w:val="-3"/>
          <w:sz w:val="22"/>
        </w:rPr>
        <w:t> </w:t>
      </w:r>
      <w:r>
        <w:rPr>
          <w:sz w:val="22"/>
        </w:rPr>
        <w:t>the</w:t>
      </w:r>
      <w:r>
        <w:rPr>
          <w:spacing w:val="-5"/>
          <w:sz w:val="22"/>
        </w:rPr>
        <w:t> </w:t>
      </w:r>
      <w:r>
        <w:rPr>
          <w:sz w:val="22"/>
        </w:rPr>
        <w:t>strengths</w:t>
      </w:r>
      <w:r>
        <w:rPr>
          <w:spacing w:val="-3"/>
          <w:sz w:val="22"/>
        </w:rPr>
        <w:t> </w:t>
      </w:r>
      <w:r>
        <w:rPr>
          <w:sz w:val="22"/>
        </w:rPr>
        <w:t>and</w:t>
      </w:r>
      <w:r>
        <w:rPr>
          <w:spacing w:val="-5"/>
          <w:sz w:val="22"/>
        </w:rPr>
        <w:t> </w:t>
      </w:r>
      <w:r>
        <w:rPr>
          <w:sz w:val="22"/>
        </w:rPr>
        <w:t>weaknesses</w:t>
      </w:r>
      <w:r>
        <w:rPr>
          <w:spacing w:val="-3"/>
          <w:sz w:val="22"/>
        </w:rPr>
        <w:t> </w:t>
      </w:r>
      <w:r>
        <w:rPr>
          <w:sz w:val="22"/>
        </w:rPr>
        <w:t>of</w:t>
      </w:r>
      <w:r>
        <w:rPr>
          <w:spacing w:val="-5"/>
          <w:sz w:val="22"/>
        </w:rPr>
        <w:t> </w:t>
      </w:r>
      <w:r>
        <w:rPr>
          <w:sz w:val="22"/>
        </w:rPr>
        <w:t>2018</w:t>
      </w:r>
      <w:r>
        <w:rPr>
          <w:spacing w:val="-2"/>
          <w:sz w:val="22"/>
        </w:rPr>
        <w:t> </w:t>
      </w:r>
      <w:r>
        <w:rPr>
          <w:sz w:val="22"/>
        </w:rPr>
        <w:t>performance</w:t>
      </w:r>
      <w:r>
        <w:rPr>
          <w:spacing w:val="-1"/>
          <w:sz w:val="22"/>
        </w:rPr>
        <w:t> </w:t>
      </w:r>
      <w:r>
        <w:rPr>
          <w:spacing w:val="-2"/>
          <w:sz w:val="22"/>
        </w:rPr>
        <w:t>indicators;</w:t>
      </w:r>
    </w:p>
    <w:p>
      <w:pPr>
        <w:pStyle w:val="BodyText"/>
        <w:spacing w:before="4"/>
        <w:rPr>
          <w:sz w:val="16"/>
        </w:rPr>
      </w:pPr>
    </w:p>
    <w:p>
      <w:pPr>
        <w:pStyle w:val="ListParagraph"/>
        <w:numPr>
          <w:ilvl w:val="0"/>
          <w:numId w:val="5"/>
        </w:numPr>
        <w:tabs>
          <w:tab w:pos="941" w:val="left" w:leader="none"/>
        </w:tabs>
        <w:spacing w:line="240" w:lineRule="auto" w:before="0" w:after="0"/>
        <w:ind w:left="940" w:right="1251" w:hanging="360"/>
        <w:jc w:val="left"/>
        <w:rPr>
          <w:sz w:val="22"/>
        </w:rPr>
      </w:pPr>
      <w:r>
        <w:rPr>
          <w:sz w:val="22"/>
        </w:rPr>
        <w:t>include MEHRD officers working on M&amp;E in as much of the in-country visit as possible, as a learning experience, while maintaining the assessment’s independence; and</w:t>
      </w:r>
    </w:p>
    <w:p>
      <w:pPr>
        <w:pStyle w:val="BodyText"/>
        <w:spacing w:before="4"/>
        <w:rPr>
          <w:sz w:val="16"/>
        </w:rPr>
      </w:pPr>
    </w:p>
    <w:p>
      <w:pPr>
        <w:pStyle w:val="ListParagraph"/>
        <w:numPr>
          <w:ilvl w:val="0"/>
          <w:numId w:val="5"/>
        </w:numPr>
        <w:tabs>
          <w:tab w:pos="941" w:val="left" w:leader="none"/>
        </w:tabs>
        <w:spacing w:line="240" w:lineRule="auto" w:before="1" w:after="0"/>
        <w:ind w:left="940" w:right="1255" w:hanging="360"/>
        <w:jc w:val="left"/>
        <w:rPr>
          <w:sz w:val="22"/>
        </w:rPr>
      </w:pPr>
      <w:r>
        <w:rPr>
          <w:sz w:val="22"/>
        </w:rPr>
        <w:t>provide</w:t>
      </w:r>
      <w:r>
        <w:rPr>
          <w:spacing w:val="29"/>
          <w:sz w:val="22"/>
        </w:rPr>
        <w:t> </w:t>
      </w:r>
      <w:r>
        <w:rPr>
          <w:sz w:val="22"/>
        </w:rPr>
        <w:t>advice</w:t>
      </w:r>
      <w:r>
        <w:rPr>
          <w:spacing w:val="27"/>
          <w:sz w:val="22"/>
        </w:rPr>
        <w:t> </w:t>
      </w:r>
      <w:r>
        <w:rPr>
          <w:sz w:val="22"/>
        </w:rPr>
        <w:t>on</w:t>
      </w:r>
      <w:r>
        <w:rPr>
          <w:spacing w:val="28"/>
          <w:sz w:val="22"/>
        </w:rPr>
        <w:t> </w:t>
      </w:r>
      <w:r>
        <w:rPr>
          <w:sz w:val="22"/>
        </w:rPr>
        <w:t>indicators</w:t>
      </w:r>
      <w:r>
        <w:rPr>
          <w:spacing w:val="28"/>
          <w:sz w:val="22"/>
        </w:rPr>
        <w:t> </w:t>
      </w:r>
      <w:r>
        <w:rPr>
          <w:sz w:val="22"/>
        </w:rPr>
        <w:t>for</w:t>
      </w:r>
      <w:r>
        <w:rPr>
          <w:spacing w:val="28"/>
          <w:sz w:val="22"/>
        </w:rPr>
        <w:t> </w:t>
      </w:r>
      <w:r>
        <w:rPr>
          <w:sz w:val="22"/>
        </w:rPr>
        <w:t>2019,</w:t>
      </w:r>
      <w:r>
        <w:rPr>
          <w:spacing w:val="29"/>
          <w:sz w:val="22"/>
        </w:rPr>
        <w:t> </w:t>
      </w:r>
      <w:r>
        <w:rPr>
          <w:sz w:val="22"/>
        </w:rPr>
        <w:t>informed</w:t>
      </w:r>
      <w:r>
        <w:rPr>
          <w:spacing w:val="28"/>
          <w:sz w:val="22"/>
        </w:rPr>
        <w:t> </w:t>
      </w:r>
      <w:r>
        <w:rPr>
          <w:sz w:val="22"/>
        </w:rPr>
        <w:t>by</w:t>
      </w:r>
      <w:r>
        <w:rPr>
          <w:spacing w:val="27"/>
          <w:sz w:val="22"/>
        </w:rPr>
        <w:t> </w:t>
      </w:r>
      <w:r>
        <w:rPr>
          <w:sz w:val="22"/>
        </w:rPr>
        <w:t>priority</w:t>
      </w:r>
      <w:r>
        <w:rPr>
          <w:spacing w:val="29"/>
          <w:sz w:val="22"/>
        </w:rPr>
        <w:t> </w:t>
      </w:r>
      <w:r>
        <w:rPr>
          <w:sz w:val="22"/>
        </w:rPr>
        <w:t>policy</w:t>
      </w:r>
      <w:r>
        <w:rPr>
          <w:spacing w:val="29"/>
          <w:sz w:val="22"/>
        </w:rPr>
        <w:t> </w:t>
      </w:r>
      <w:r>
        <w:rPr>
          <w:sz w:val="22"/>
        </w:rPr>
        <w:t>reforms;</w:t>
      </w:r>
      <w:r>
        <w:rPr>
          <w:spacing w:val="29"/>
          <w:sz w:val="22"/>
        </w:rPr>
        <w:t> </w:t>
      </w:r>
      <w:r>
        <w:rPr>
          <w:sz w:val="22"/>
        </w:rPr>
        <w:t>the</w:t>
      </w:r>
      <w:r>
        <w:rPr>
          <w:spacing w:val="29"/>
          <w:sz w:val="22"/>
        </w:rPr>
        <w:t> </w:t>
      </w:r>
      <w:r>
        <w:rPr>
          <w:sz w:val="22"/>
        </w:rPr>
        <w:t>Education Sector Program 2 design; and the MEHRD M&amp;E Framework.</w:t>
      </w:r>
    </w:p>
    <w:p>
      <w:pPr>
        <w:pStyle w:val="BodyText"/>
        <w:spacing w:before="4"/>
        <w:rPr>
          <w:sz w:val="16"/>
        </w:rPr>
      </w:pPr>
    </w:p>
    <w:p>
      <w:pPr>
        <w:pStyle w:val="BodyText"/>
        <w:ind w:left="220" w:right="1253"/>
        <w:jc w:val="both"/>
      </w:pPr>
      <w:r>
        <w:rPr/>
        <w:t>The preliminary findings from the review process were reported at the Education Sector Mid-Year Review conducted in Honiara 12 June 2018.</w:t>
      </w:r>
    </w:p>
    <w:p>
      <w:pPr>
        <w:pStyle w:val="BodyText"/>
      </w:pPr>
    </w:p>
    <w:p>
      <w:pPr>
        <w:pStyle w:val="BodyText"/>
        <w:spacing w:before="5"/>
        <w:rPr>
          <w:sz w:val="17"/>
        </w:rPr>
      </w:pPr>
    </w:p>
    <w:p>
      <w:pPr>
        <w:pStyle w:val="Heading1"/>
        <w:numPr>
          <w:ilvl w:val="0"/>
          <w:numId w:val="4"/>
        </w:numPr>
        <w:tabs>
          <w:tab w:pos="940" w:val="left" w:leader="none"/>
          <w:tab w:pos="941" w:val="left" w:leader="none"/>
        </w:tabs>
        <w:spacing w:line="240" w:lineRule="auto" w:before="1" w:after="0"/>
        <w:ind w:left="940" w:right="0" w:hanging="721"/>
        <w:jc w:val="left"/>
        <w:rPr>
          <w:b w:val="0"/>
          <w:color w:val="4471C4"/>
        </w:rPr>
      </w:pPr>
      <w:bookmarkStart w:name="_bookmark5" w:id="6"/>
      <w:bookmarkEnd w:id="6"/>
      <w:r>
        <w:rPr>
          <w:b w:val="0"/>
          <w:color w:val="4471C4"/>
        </w:rPr>
        <w:t>B</w:t>
      </w:r>
      <w:r>
        <w:rPr>
          <w:b w:val="0"/>
          <w:color w:val="4471C4"/>
        </w:rPr>
        <w:t>ackground</w:t>
      </w:r>
      <w:r>
        <w:rPr>
          <w:b w:val="0"/>
          <w:color w:val="4471C4"/>
          <w:spacing w:val="23"/>
        </w:rPr>
        <w:t> </w:t>
      </w:r>
      <w:r>
        <w:rPr>
          <w:b w:val="0"/>
          <w:color w:val="4471C4"/>
        </w:rPr>
        <w:t>and</w:t>
      </w:r>
      <w:r>
        <w:rPr>
          <w:b w:val="0"/>
          <w:color w:val="4471C4"/>
          <w:spacing w:val="24"/>
        </w:rPr>
        <w:t> </w:t>
      </w:r>
      <w:r>
        <w:rPr>
          <w:b w:val="0"/>
          <w:color w:val="4471C4"/>
          <w:spacing w:val="-2"/>
        </w:rPr>
        <w:t>Context</w:t>
      </w:r>
    </w:p>
    <w:p>
      <w:pPr>
        <w:pStyle w:val="BodyText"/>
        <w:spacing w:before="259"/>
        <w:ind w:left="220" w:right="1253"/>
        <w:jc w:val="both"/>
      </w:pPr>
      <w:r>
        <w:rPr/>
        <w:t>The Government of Australia (GoA) and Solomon Islands Government (SIG) signed a four-year Direct Funding Agreement (DFA) in 2015, which gave effect to the implementation of the Solomon Islands Education Sector Program 2. The DFA, and the related Statement of Partnership Principles between SIG and Development Partners 2016–2020, established the conditions for the provision of up to AUD32 million over four years through direct budget support for basic education. An additional AUD32 million over four years was to be provided for technical assistance and support for Australia Awards scholarships and (through a managing contractor) the TVET sector.</w:t>
      </w:r>
    </w:p>
    <w:p>
      <w:pPr>
        <w:pStyle w:val="BodyText"/>
        <w:spacing w:before="3"/>
        <w:rPr>
          <w:sz w:val="16"/>
        </w:rPr>
      </w:pPr>
    </w:p>
    <w:p>
      <w:pPr>
        <w:pStyle w:val="BodyText"/>
        <w:ind w:left="220" w:right="1253"/>
        <w:jc w:val="both"/>
      </w:pPr>
      <w:r>
        <w:rPr/>
        <w:t>Of</w:t>
      </w:r>
      <w:r>
        <w:rPr>
          <w:spacing w:val="-2"/>
        </w:rPr>
        <w:t> </w:t>
      </w:r>
      <w:r>
        <w:rPr/>
        <w:t>the</w:t>
      </w:r>
      <w:r>
        <w:rPr>
          <w:spacing w:val="-1"/>
        </w:rPr>
        <w:t> </w:t>
      </w:r>
      <w:r>
        <w:rPr/>
        <w:t>AUD32</w:t>
      </w:r>
      <w:r>
        <w:rPr>
          <w:spacing w:val="-4"/>
        </w:rPr>
        <w:t> </w:t>
      </w:r>
      <w:r>
        <w:rPr/>
        <w:t>million</w:t>
      </w:r>
      <w:r>
        <w:rPr>
          <w:spacing w:val="-3"/>
        </w:rPr>
        <w:t> </w:t>
      </w:r>
      <w:r>
        <w:rPr/>
        <w:t>in</w:t>
      </w:r>
      <w:r>
        <w:rPr>
          <w:spacing w:val="-2"/>
        </w:rPr>
        <w:t> </w:t>
      </w:r>
      <w:r>
        <w:rPr/>
        <w:t>direct</w:t>
      </w:r>
      <w:r>
        <w:rPr>
          <w:spacing w:val="-1"/>
        </w:rPr>
        <w:t> </w:t>
      </w:r>
      <w:r>
        <w:rPr/>
        <w:t>budget</w:t>
      </w:r>
      <w:r>
        <w:rPr>
          <w:spacing w:val="-2"/>
        </w:rPr>
        <w:t> </w:t>
      </w:r>
      <w:r>
        <w:rPr/>
        <w:t>support,</w:t>
      </w:r>
      <w:r>
        <w:rPr>
          <w:spacing w:val="-2"/>
        </w:rPr>
        <w:t> </w:t>
      </w:r>
      <w:r>
        <w:rPr/>
        <w:t>up</w:t>
      </w:r>
      <w:r>
        <w:rPr>
          <w:spacing w:val="-3"/>
        </w:rPr>
        <w:t> </w:t>
      </w:r>
      <w:r>
        <w:rPr/>
        <w:t>to 20</w:t>
      </w:r>
      <w:r>
        <w:rPr>
          <w:spacing w:val="-2"/>
        </w:rPr>
        <w:t> </w:t>
      </w:r>
      <w:r>
        <w:rPr/>
        <w:t>per</w:t>
      </w:r>
      <w:r>
        <w:rPr>
          <w:spacing w:val="-2"/>
        </w:rPr>
        <w:t> </w:t>
      </w:r>
      <w:r>
        <w:rPr/>
        <w:t>cent</w:t>
      </w:r>
      <w:r>
        <w:rPr>
          <w:spacing w:val="-2"/>
        </w:rPr>
        <w:t> </w:t>
      </w:r>
      <w:r>
        <w:rPr/>
        <w:t>was</w:t>
      </w:r>
      <w:r>
        <w:rPr>
          <w:spacing w:val="-2"/>
        </w:rPr>
        <w:t> </w:t>
      </w:r>
      <w:r>
        <w:rPr/>
        <w:t>to</w:t>
      </w:r>
      <w:r>
        <w:rPr>
          <w:spacing w:val="-1"/>
        </w:rPr>
        <w:t> </w:t>
      </w:r>
      <w:r>
        <w:rPr/>
        <w:t>be</w:t>
      </w:r>
      <w:r>
        <w:rPr>
          <w:spacing w:val="-2"/>
        </w:rPr>
        <w:t> </w:t>
      </w:r>
      <w:r>
        <w:rPr/>
        <w:t>provided</w:t>
      </w:r>
      <w:r>
        <w:rPr>
          <w:spacing w:val="-2"/>
        </w:rPr>
        <w:t> </w:t>
      </w:r>
      <w:r>
        <w:rPr/>
        <w:t>as annual</w:t>
      </w:r>
      <w:r>
        <w:rPr>
          <w:spacing w:val="-2"/>
        </w:rPr>
        <w:t> </w:t>
      </w:r>
      <w:r>
        <w:rPr/>
        <w:t>bonus performance-linked</w:t>
      </w:r>
      <w:r>
        <w:rPr>
          <w:spacing w:val="-3"/>
        </w:rPr>
        <w:t> </w:t>
      </w:r>
      <w:r>
        <w:rPr/>
        <w:t>aid</w:t>
      </w:r>
      <w:r>
        <w:rPr>
          <w:spacing w:val="-4"/>
        </w:rPr>
        <w:t> </w:t>
      </w:r>
      <w:r>
        <w:rPr/>
        <w:t>payments,</w:t>
      </w:r>
      <w:r>
        <w:rPr>
          <w:spacing w:val="-3"/>
        </w:rPr>
        <w:t> </w:t>
      </w:r>
      <w:r>
        <w:rPr/>
        <w:t>subject</w:t>
      </w:r>
      <w:r>
        <w:rPr>
          <w:spacing w:val="-2"/>
        </w:rPr>
        <w:t> </w:t>
      </w:r>
      <w:r>
        <w:rPr/>
        <w:t>to</w:t>
      </w:r>
      <w:r>
        <w:rPr>
          <w:spacing w:val="-2"/>
        </w:rPr>
        <w:t> </w:t>
      </w:r>
      <w:r>
        <w:rPr/>
        <w:t>the</w:t>
      </w:r>
      <w:r>
        <w:rPr>
          <w:spacing w:val="-4"/>
        </w:rPr>
        <w:t> </w:t>
      </w:r>
      <w:r>
        <w:rPr/>
        <w:t>MEHRD</w:t>
      </w:r>
      <w:r>
        <w:rPr>
          <w:spacing w:val="-2"/>
        </w:rPr>
        <w:t> </w:t>
      </w:r>
      <w:r>
        <w:rPr/>
        <w:t>meeting</w:t>
      </w:r>
      <w:r>
        <w:rPr>
          <w:spacing w:val="-4"/>
        </w:rPr>
        <w:t> </w:t>
      </w:r>
      <w:r>
        <w:rPr/>
        <w:t>the</w:t>
      </w:r>
      <w:r>
        <w:rPr>
          <w:spacing w:val="-2"/>
        </w:rPr>
        <w:t> </w:t>
      </w:r>
      <w:r>
        <w:rPr/>
        <w:t>targets and</w:t>
      </w:r>
      <w:r>
        <w:rPr>
          <w:spacing w:val="-4"/>
        </w:rPr>
        <w:t> </w:t>
      </w:r>
      <w:r>
        <w:rPr/>
        <w:t>indicators</w:t>
      </w:r>
      <w:r>
        <w:rPr>
          <w:spacing w:val="-4"/>
        </w:rPr>
        <w:t> </w:t>
      </w:r>
      <w:r>
        <w:rPr/>
        <w:t>detailed in the annual Education Performance Matrix (EPM). This equates to AUD1.6 million per annum (AUD114,286 per Target area).</w:t>
      </w:r>
    </w:p>
    <w:p>
      <w:pPr>
        <w:pStyle w:val="BodyText"/>
        <w:spacing w:before="5"/>
        <w:rPr>
          <w:sz w:val="16"/>
        </w:rPr>
      </w:pPr>
    </w:p>
    <w:p>
      <w:pPr>
        <w:pStyle w:val="BodyText"/>
        <w:ind w:left="220" w:right="1252"/>
        <w:jc w:val="both"/>
      </w:pPr>
      <w:r>
        <w:rPr/>
        <w:t>The targets in the 2018 EPM were derived from the SIG Education Strategic Framework 2016–2030, the MEHRD National Education Action Plan (NEAP) 2013–2015 and NEAP 2016–2020, and Development Partners’ priority areas.</w:t>
      </w:r>
    </w:p>
    <w:p>
      <w:pPr>
        <w:pStyle w:val="BodyText"/>
        <w:spacing w:before="5"/>
        <w:rPr>
          <w:sz w:val="16"/>
        </w:rPr>
      </w:pPr>
    </w:p>
    <w:p>
      <w:pPr>
        <w:pStyle w:val="BodyText"/>
        <w:spacing w:line="276" w:lineRule="auto"/>
        <w:ind w:left="220" w:right="1246"/>
      </w:pPr>
      <w:r>
        <w:rPr/>
        <w:t>This is the seventh year that an independent assessment against the targets in the EPM has been conducted.</w:t>
      </w:r>
      <w:r>
        <w:rPr>
          <w:spacing w:val="-2"/>
        </w:rPr>
        <w:t> </w:t>
      </w:r>
      <w:r>
        <w:rPr/>
        <w:t>For</w:t>
      </w:r>
      <w:r>
        <w:rPr>
          <w:spacing w:val="-3"/>
        </w:rPr>
        <w:t> </w:t>
      </w:r>
      <w:r>
        <w:rPr/>
        <w:t>2018,</w:t>
      </w:r>
      <w:r>
        <w:rPr>
          <w:spacing w:val="-4"/>
        </w:rPr>
        <w:t> </w:t>
      </w:r>
      <w:r>
        <w:rPr/>
        <w:t>there</w:t>
      </w:r>
      <w:r>
        <w:rPr>
          <w:spacing w:val="-3"/>
        </w:rPr>
        <w:t> </w:t>
      </w:r>
      <w:r>
        <w:rPr/>
        <w:t>was</w:t>
      </w:r>
      <w:r>
        <w:rPr>
          <w:spacing w:val="-2"/>
        </w:rPr>
        <w:t> </w:t>
      </w:r>
      <w:r>
        <w:rPr/>
        <w:t>a</w:t>
      </w:r>
      <w:r>
        <w:rPr>
          <w:spacing w:val="-2"/>
        </w:rPr>
        <w:t> </w:t>
      </w:r>
      <w:r>
        <w:rPr/>
        <w:t>continued</w:t>
      </w:r>
      <w:r>
        <w:rPr>
          <w:spacing w:val="-2"/>
        </w:rPr>
        <w:t> </w:t>
      </w:r>
      <w:r>
        <w:rPr/>
        <w:t>focus</w:t>
      </w:r>
      <w:r>
        <w:rPr>
          <w:spacing w:val="-4"/>
        </w:rPr>
        <w:t> </w:t>
      </w:r>
      <w:r>
        <w:rPr/>
        <w:t>on</w:t>
      </w:r>
      <w:r>
        <w:rPr>
          <w:spacing w:val="-4"/>
        </w:rPr>
        <w:t> </w:t>
      </w:r>
      <w:r>
        <w:rPr/>
        <w:t>quality and</w:t>
      </w:r>
      <w:r>
        <w:rPr>
          <w:spacing w:val="-4"/>
        </w:rPr>
        <w:t> </w:t>
      </w:r>
      <w:r>
        <w:rPr/>
        <w:t>management</w:t>
      </w:r>
      <w:r>
        <w:rPr>
          <w:spacing w:val="-3"/>
        </w:rPr>
        <w:t> </w:t>
      </w:r>
      <w:r>
        <w:rPr/>
        <w:t>systems</w:t>
      </w:r>
      <w:r>
        <w:rPr>
          <w:spacing w:val="-2"/>
        </w:rPr>
        <w:t> </w:t>
      </w:r>
      <w:r>
        <w:rPr/>
        <w:t>in</w:t>
      </w:r>
      <w:r>
        <w:rPr>
          <w:spacing w:val="-3"/>
        </w:rPr>
        <w:t> </w:t>
      </w:r>
      <w:r>
        <w:rPr/>
        <w:t>the</w:t>
      </w:r>
      <w:r>
        <w:rPr>
          <w:spacing w:val="-3"/>
        </w:rPr>
        <w:t> </w:t>
      </w:r>
      <w:r>
        <w:rPr/>
        <w:t>EPM</w:t>
      </w:r>
    </w:p>
    <w:p>
      <w:pPr>
        <w:spacing w:after="0" w:line="276" w:lineRule="auto"/>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line="276" w:lineRule="auto" w:before="57"/>
        <w:ind w:left="220" w:right="1355"/>
        <w:jc w:val="both"/>
      </w:pPr>
      <w:r>
        <w:rPr/>
        <w:t>and</w:t>
      </w:r>
      <w:r>
        <w:rPr>
          <w:spacing w:val="-3"/>
        </w:rPr>
        <w:t> </w:t>
      </w:r>
      <w:r>
        <w:rPr/>
        <w:t>a</w:t>
      </w:r>
      <w:r>
        <w:rPr>
          <w:spacing w:val="-2"/>
        </w:rPr>
        <w:t> </w:t>
      </w:r>
      <w:r>
        <w:rPr/>
        <w:t>decrease</w:t>
      </w:r>
      <w:r>
        <w:rPr>
          <w:spacing w:val="-1"/>
        </w:rPr>
        <w:t> </w:t>
      </w:r>
      <w:r>
        <w:rPr/>
        <w:t>in</w:t>
      </w:r>
      <w:r>
        <w:rPr>
          <w:spacing w:val="-5"/>
        </w:rPr>
        <w:t> </w:t>
      </w:r>
      <w:r>
        <w:rPr/>
        <w:t>the</w:t>
      </w:r>
      <w:r>
        <w:rPr>
          <w:spacing w:val="-2"/>
        </w:rPr>
        <w:t> </w:t>
      </w:r>
      <w:r>
        <w:rPr/>
        <w:t>number</w:t>
      </w:r>
      <w:r>
        <w:rPr>
          <w:spacing w:val="-2"/>
        </w:rPr>
        <w:t> </w:t>
      </w:r>
      <w:r>
        <w:rPr/>
        <w:t>of</w:t>
      </w:r>
      <w:r>
        <w:rPr>
          <w:spacing w:val="-2"/>
        </w:rPr>
        <w:t> </w:t>
      </w:r>
      <w:r>
        <w:rPr/>
        <w:t>indicators</w:t>
      </w:r>
      <w:r>
        <w:rPr>
          <w:spacing w:val="-2"/>
        </w:rPr>
        <w:t> </w:t>
      </w:r>
      <w:r>
        <w:rPr/>
        <w:t>from</w:t>
      </w:r>
      <w:r>
        <w:rPr>
          <w:spacing w:val="-4"/>
        </w:rPr>
        <w:t> </w:t>
      </w:r>
      <w:r>
        <w:rPr/>
        <w:t>31</w:t>
      </w:r>
      <w:r>
        <w:rPr>
          <w:spacing w:val="-2"/>
        </w:rPr>
        <w:t> </w:t>
      </w:r>
      <w:r>
        <w:rPr/>
        <w:t>in</w:t>
      </w:r>
      <w:r>
        <w:rPr>
          <w:spacing w:val="-5"/>
        </w:rPr>
        <w:t> </w:t>
      </w:r>
      <w:r>
        <w:rPr/>
        <w:t>2017</w:t>
      </w:r>
      <w:r>
        <w:rPr>
          <w:spacing w:val="-2"/>
        </w:rPr>
        <w:t> </w:t>
      </w:r>
      <w:r>
        <w:rPr/>
        <w:t>to</w:t>
      </w:r>
      <w:r>
        <w:rPr>
          <w:spacing w:val="-1"/>
        </w:rPr>
        <w:t> </w:t>
      </w:r>
      <w:r>
        <w:rPr/>
        <w:t>14</w:t>
      </w:r>
      <w:r>
        <w:rPr>
          <w:spacing w:val="-4"/>
        </w:rPr>
        <w:t> </w:t>
      </w:r>
      <w:r>
        <w:rPr/>
        <w:t>Target</w:t>
      </w:r>
      <w:r>
        <w:rPr>
          <w:spacing w:val="-4"/>
        </w:rPr>
        <w:t> </w:t>
      </w:r>
      <w:r>
        <w:rPr/>
        <w:t>areas</w:t>
      </w:r>
      <w:r>
        <w:rPr>
          <w:spacing w:val="-4"/>
        </w:rPr>
        <w:t> </w:t>
      </w:r>
      <w:r>
        <w:rPr/>
        <w:t>with</w:t>
      </w:r>
      <w:r>
        <w:rPr>
          <w:spacing w:val="-2"/>
        </w:rPr>
        <w:t> </w:t>
      </w:r>
      <w:r>
        <w:rPr/>
        <w:t>a</w:t>
      </w:r>
      <w:r>
        <w:rPr>
          <w:spacing w:val="-2"/>
        </w:rPr>
        <w:t> </w:t>
      </w:r>
      <w:r>
        <w:rPr/>
        <w:t>corresponding 22 indicators in 2018 (and 30 Expected Results Statements).</w:t>
      </w:r>
    </w:p>
    <w:p>
      <w:pPr>
        <w:pStyle w:val="BodyText"/>
      </w:pPr>
    </w:p>
    <w:p>
      <w:pPr>
        <w:pStyle w:val="BodyText"/>
        <w:spacing w:before="6"/>
        <w:rPr>
          <w:sz w:val="17"/>
        </w:rPr>
      </w:pPr>
    </w:p>
    <w:p>
      <w:pPr>
        <w:pStyle w:val="Heading1"/>
        <w:numPr>
          <w:ilvl w:val="0"/>
          <w:numId w:val="4"/>
        </w:numPr>
        <w:tabs>
          <w:tab w:pos="940" w:val="left" w:leader="none"/>
          <w:tab w:pos="941" w:val="left" w:leader="none"/>
        </w:tabs>
        <w:spacing w:line="240" w:lineRule="auto" w:before="0" w:after="0"/>
        <w:ind w:left="940" w:right="0" w:hanging="721"/>
        <w:jc w:val="left"/>
        <w:rPr>
          <w:b w:val="0"/>
          <w:color w:val="4471C4"/>
        </w:rPr>
      </w:pPr>
      <w:bookmarkStart w:name="_bookmark6" w:id="7"/>
      <w:bookmarkEnd w:id="7"/>
      <w:r>
        <w:rPr>
          <w:b w:val="0"/>
          <w:color w:val="4471C4"/>
        </w:rPr>
        <w:t>T</w:t>
      </w:r>
      <w:r>
        <w:rPr>
          <w:b w:val="0"/>
          <w:color w:val="4471C4"/>
        </w:rPr>
        <w:t>he</w:t>
      </w:r>
      <w:r>
        <w:rPr>
          <w:b w:val="0"/>
          <w:color w:val="4471C4"/>
          <w:spacing w:val="22"/>
        </w:rPr>
        <w:t> </w:t>
      </w:r>
      <w:r>
        <w:rPr>
          <w:b w:val="0"/>
          <w:color w:val="4471C4"/>
        </w:rPr>
        <w:t>Assessment</w:t>
      </w:r>
      <w:r>
        <w:rPr>
          <w:b w:val="0"/>
          <w:color w:val="4471C4"/>
          <w:spacing w:val="33"/>
        </w:rPr>
        <w:t> </w:t>
      </w:r>
      <w:r>
        <w:rPr>
          <w:b w:val="0"/>
          <w:color w:val="4471C4"/>
          <w:spacing w:val="-2"/>
        </w:rPr>
        <w:t>Methodology</w:t>
      </w:r>
    </w:p>
    <w:p>
      <w:pPr>
        <w:pStyle w:val="Heading4"/>
        <w:spacing w:before="256"/>
        <w:rPr>
          <w:b w:val="0"/>
        </w:rPr>
      </w:pPr>
      <w:r>
        <w:rPr>
          <w:b w:val="0"/>
          <w:color w:val="4471C4"/>
        </w:rPr>
        <w:t>Data </w:t>
      </w:r>
      <w:r>
        <w:rPr>
          <w:b w:val="0"/>
          <w:color w:val="4471C4"/>
          <w:spacing w:val="-2"/>
        </w:rPr>
        <w:t>Collection</w:t>
      </w:r>
    </w:p>
    <w:p>
      <w:pPr>
        <w:pStyle w:val="BodyText"/>
        <w:spacing w:before="199"/>
        <w:ind w:left="220" w:right="1253"/>
        <w:jc w:val="both"/>
      </w:pPr>
      <w:r>
        <w:rPr/>
        <w:t>It was agreed in the last Independent Assessment that the performance cycle period would align</w:t>
      </w:r>
      <w:r>
        <w:rPr>
          <w:spacing w:val="40"/>
        </w:rPr>
        <w:t> </w:t>
      </w:r>
      <w:r>
        <w:rPr/>
        <w:t>with MEHRD’s calendar year reporting of 2018. Background and contextual information was collected through the review of key documents (Appendix 3) and interviews with key informants at MEHRD, Office of the Auditor General and AHC including relevant technical advisers (Appendix 4). A Monitoring, Evaluation and Learning Plan (MEL Plan) was developed in 2017 to report against the NEAP 2016–2020 and the Education Strategic Framework 2016–2030, as well as international goals such as the Pacific Education Development Framework (PEDF) 2009-2015 and the Sustainable Development Goals (SDGs).</w:t>
      </w:r>
    </w:p>
    <w:p>
      <w:pPr>
        <w:pStyle w:val="BodyText"/>
        <w:spacing w:before="7"/>
        <w:rPr>
          <w:sz w:val="16"/>
        </w:rPr>
      </w:pPr>
    </w:p>
    <w:p>
      <w:pPr>
        <w:pStyle w:val="BodyText"/>
        <w:ind w:left="220" w:right="1252"/>
        <w:jc w:val="both"/>
      </w:pPr>
      <w:r>
        <w:rPr/>
        <w:t>The 2017 Performance Assessment Report (PAR) produced according to the new MEL Plan established a baseline and reported on agreed intermediate and end-of-program outcomes. The Annual Report for 2017 also reporting on outputs. Unfortunately, </w:t>
      </w:r>
      <w:r>
        <w:rPr>
          <w:b/>
        </w:rPr>
        <w:t>neither the 2018 PAR nor the</w:t>
      </w:r>
      <w:r>
        <w:rPr>
          <w:b/>
          <w:spacing w:val="40"/>
        </w:rPr>
        <w:t> </w:t>
      </w:r>
      <w:r>
        <w:rPr>
          <w:b/>
        </w:rPr>
        <w:t>2018 Annual Report were available at the time of this assessment. </w:t>
      </w:r>
      <w:r>
        <w:rPr/>
        <w:t>The unavailability of these key reports made the task of verification of progress challenging, particularly as data in the Solomon Islands Education</w:t>
      </w:r>
      <w:r>
        <w:rPr>
          <w:spacing w:val="-3"/>
        </w:rPr>
        <w:t> </w:t>
      </w:r>
      <w:r>
        <w:rPr/>
        <w:t>Management</w:t>
      </w:r>
      <w:r>
        <w:rPr>
          <w:spacing w:val="-2"/>
        </w:rPr>
        <w:t> </w:t>
      </w:r>
      <w:r>
        <w:rPr/>
        <w:t>Information System</w:t>
      </w:r>
      <w:r>
        <w:rPr>
          <w:spacing w:val="-1"/>
        </w:rPr>
        <w:t> </w:t>
      </w:r>
      <w:r>
        <w:rPr/>
        <w:t>(SIEMIS) was not ‘locked-down’ at</w:t>
      </w:r>
      <w:r>
        <w:rPr>
          <w:spacing w:val="-2"/>
        </w:rPr>
        <w:t> </w:t>
      </w:r>
      <w:r>
        <w:rPr/>
        <w:t>a certain date therefore data shifted as it was updated. The MEHRD team were helpful in providing various documents such as policies, meeting minutes, data and expenditure reports. The Annual Work Plan process that produces quarterly reports for the Senior Management Team proved useful.</w:t>
      </w:r>
    </w:p>
    <w:p>
      <w:pPr>
        <w:pStyle w:val="BodyText"/>
        <w:spacing w:before="4"/>
        <w:rPr>
          <w:sz w:val="16"/>
        </w:rPr>
      </w:pPr>
    </w:p>
    <w:p>
      <w:pPr>
        <w:pStyle w:val="BodyText"/>
        <w:spacing w:line="276" w:lineRule="auto"/>
        <w:ind w:left="220" w:right="1246"/>
      </w:pPr>
      <w:r>
        <w:rPr/>
        <w:t>The</w:t>
      </w:r>
      <w:r>
        <w:rPr>
          <w:spacing w:val="-3"/>
        </w:rPr>
        <w:t> </w:t>
      </w:r>
      <w:r>
        <w:rPr/>
        <w:t>assessor</w:t>
      </w:r>
      <w:r>
        <w:rPr>
          <w:spacing w:val="-3"/>
        </w:rPr>
        <w:t> </w:t>
      </w:r>
      <w:r>
        <w:rPr/>
        <w:t>worked</w:t>
      </w:r>
      <w:r>
        <w:rPr>
          <w:spacing w:val="-3"/>
        </w:rPr>
        <w:t> </w:t>
      </w:r>
      <w:r>
        <w:rPr/>
        <w:t>closely</w:t>
      </w:r>
      <w:r>
        <w:rPr>
          <w:spacing w:val="-3"/>
        </w:rPr>
        <w:t> </w:t>
      </w:r>
      <w:r>
        <w:rPr/>
        <w:t>with</w:t>
      </w:r>
      <w:r>
        <w:rPr>
          <w:spacing w:val="-3"/>
        </w:rPr>
        <w:t> </w:t>
      </w:r>
      <w:r>
        <w:rPr/>
        <w:t>the</w:t>
      </w:r>
      <w:r>
        <w:rPr>
          <w:spacing w:val="-1"/>
        </w:rPr>
        <w:t> </w:t>
      </w:r>
      <w:r>
        <w:rPr/>
        <w:t>Strategic</w:t>
      </w:r>
      <w:r>
        <w:rPr>
          <w:spacing w:val="-5"/>
        </w:rPr>
        <w:t> </w:t>
      </w:r>
      <w:r>
        <w:rPr/>
        <w:t>Support</w:t>
      </w:r>
      <w:r>
        <w:rPr>
          <w:spacing w:val="-3"/>
        </w:rPr>
        <w:t> </w:t>
      </w:r>
      <w:r>
        <w:rPr/>
        <w:t>Unit</w:t>
      </w:r>
      <w:r>
        <w:rPr>
          <w:spacing w:val="-2"/>
        </w:rPr>
        <w:t> </w:t>
      </w:r>
      <w:r>
        <w:rPr/>
        <w:t>(SSU)</w:t>
      </w:r>
      <w:r>
        <w:rPr>
          <w:spacing w:val="-4"/>
        </w:rPr>
        <w:t> </w:t>
      </w:r>
      <w:r>
        <w:rPr/>
        <w:t>to</w:t>
      </w:r>
      <w:r>
        <w:rPr>
          <w:spacing w:val="-3"/>
        </w:rPr>
        <w:t> </w:t>
      </w:r>
      <w:r>
        <w:rPr/>
        <w:t>validate</w:t>
      </w:r>
      <w:r>
        <w:rPr>
          <w:spacing w:val="-3"/>
        </w:rPr>
        <w:t> </w:t>
      </w:r>
      <w:r>
        <w:rPr/>
        <w:t>findings</w:t>
      </w:r>
      <w:r>
        <w:rPr>
          <w:spacing w:val="-3"/>
        </w:rPr>
        <w:t> </w:t>
      </w:r>
      <w:r>
        <w:rPr/>
        <w:t>and</w:t>
      </w:r>
      <w:r>
        <w:rPr>
          <w:spacing w:val="-3"/>
        </w:rPr>
        <w:t> </w:t>
      </w:r>
      <w:r>
        <w:rPr/>
        <w:t>where possible, supplement MEHRD’s existing data collection processes.</w:t>
      </w:r>
    </w:p>
    <w:p>
      <w:pPr>
        <w:pStyle w:val="BodyText"/>
        <w:spacing w:before="5"/>
        <w:rPr>
          <w:sz w:val="16"/>
        </w:rPr>
      </w:pPr>
    </w:p>
    <w:p>
      <w:pPr>
        <w:pStyle w:val="BodyText"/>
        <w:ind w:left="220" w:right="1251"/>
        <w:jc w:val="both"/>
      </w:pPr>
      <w:r>
        <w:rPr/>
        <w:t>The assessor presented the preliminary findings of the independent assessment at the Mid-Year Review Workshop, held on 12 June 2019 in Honiara.</w:t>
      </w:r>
      <w:r>
        <w:rPr>
          <w:spacing w:val="-1"/>
        </w:rPr>
        <w:t> </w:t>
      </w:r>
      <w:r>
        <w:rPr/>
        <w:t>MEHRD Workshop presentations on Curriculum Development and Expenditure Performance also informed the findings of this assessment. The Workshop also identified challenges and considered future priorities for the education sector and donor partner support.</w:t>
      </w:r>
    </w:p>
    <w:p>
      <w:pPr>
        <w:pStyle w:val="BodyText"/>
        <w:spacing w:before="5"/>
        <w:rPr>
          <w:sz w:val="16"/>
        </w:rPr>
      </w:pPr>
    </w:p>
    <w:p>
      <w:pPr>
        <w:pStyle w:val="Heading4"/>
        <w:spacing w:before="1"/>
        <w:jc w:val="left"/>
        <w:rPr>
          <w:b w:val="0"/>
        </w:rPr>
      </w:pPr>
      <w:r>
        <w:rPr>
          <w:b w:val="0"/>
          <w:color w:val="4471C4"/>
        </w:rPr>
        <w:t>Measuring</w:t>
      </w:r>
      <w:r>
        <w:rPr>
          <w:b w:val="0"/>
          <w:color w:val="4471C4"/>
          <w:spacing w:val="-4"/>
        </w:rPr>
        <w:t> </w:t>
      </w:r>
      <w:r>
        <w:rPr>
          <w:b w:val="0"/>
          <w:color w:val="4471C4"/>
          <w:spacing w:val="-2"/>
        </w:rPr>
        <w:t>Performance</w:t>
      </w:r>
    </w:p>
    <w:p>
      <w:pPr>
        <w:pStyle w:val="BodyText"/>
        <w:spacing w:line="276" w:lineRule="auto" w:before="199"/>
        <w:ind w:left="220" w:right="1252"/>
        <w:jc w:val="both"/>
      </w:pPr>
      <w:r>
        <w:rPr/>
        <w:t>The 2018 EPM consisted of three priority areas: access, quality and management systems, with 14 targets and a corresponding 22 indicators (and</w:t>
      </w:r>
      <w:r>
        <w:rPr>
          <w:spacing w:val="-3"/>
        </w:rPr>
        <w:t> </w:t>
      </w:r>
      <w:r>
        <w:rPr/>
        <w:t>30</w:t>
      </w:r>
      <w:r>
        <w:rPr>
          <w:spacing w:val="-1"/>
        </w:rPr>
        <w:t> </w:t>
      </w:r>
      <w:r>
        <w:rPr/>
        <w:t>Expected Results Statements).</w:t>
      </w:r>
      <w:r>
        <w:rPr>
          <w:spacing w:val="-2"/>
        </w:rPr>
        <w:t> </w:t>
      </w:r>
      <w:r>
        <w:rPr/>
        <w:t>As per the</w:t>
      </w:r>
      <w:r>
        <w:rPr>
          <w:spacing w:val="-1"/>
        </w:rPr>
        <w:t> </w:t>
      </w:r>
      <w:r>
        <w:rPr/>
        <w:t>DFA, the performance-linked aid payment was calculated based on the percentage of performance indicators that were achieved, multiplied by the total performance-linked aid payment available, which for 2018</w:t>
      </w:r>
      <w:r>
        <w:rPr>
          <w:spacing w:val="18"/>
        </w:rPr>
        <w:t> </w:t>
      </w:r>
      <w:r>
        <w:rPr/>
        <w:t>is</w:t>
      </w:r>
      <w:r>
        <w:rPr>
          <w:spacing w:val="21"/>
        </w:rPr>
        <w:t> </w:t>
      </w:r>
      <w:r>
        <w:rPr/>
        <w:t>AUD1.6</w:t>
      </w:r>
      <w:r>
        <w:rPr>
          <w:spacing w:val="-3"/>
        </w:rPr>
        <w:t> </w:t>
      </w:r>
      <w:r>
        <w:rPr/>
        <w:t>million.</w:t>
      </w:r>
      <w:r>
        <w:rPr>
          <w:spacing w:val="19"/>
        </w:rPr>
        <w:t> </w:t>
      </w:r>
      <w:r>
        <w:rPr/>
        <w:t>For</w:t>
      </w:r>
      <w:r>
        <w:rPr>
          <w:spacing w:val="19"/>
        </w:rPr>
        <w:t> </w:t>
      </w:r>
      <w:r>
        <w:rPr/>
        <w:t>2018,</w:t>
      </w:r>
      <w:r>
        <w:rPr>
          <w:spacing w:val="20"/>
        </w:rPr>
        <w:t> </w:t>
      </w:r>
      <w:r>
        <w:rPr/>
        <w:t>as</w:t>
      </w:r>
      <w:r>
        <w:rPr>
          <w:spacing w:val="20"/>
        </w:rPr>
        <w:t> </w:t>
      </w:r>
      <w:r>
        <w:rPr/>
        <w:t>per</w:t>
      </w:r>
      <w:r>
        <w:rPr>
          <w:spacing w:val="20"/>
        </w:rPr>
        <w:t> </w:t>
      </w:r>
      <w:r>
        <w:rPr/>
        <w:t>the</w:t>
      </w:r>
      <w:r>
        <w:rPr>
          <w:spacing w:val="20"/>
        </w:rPr>
        <w:t> </w:t>
      </w:r>
      <w:r>
        <w:rPr/>
        <w:t>DFA,</w:t>
      </w:r>
      <w:r>
        <w:rPr>
          <w:spacing w:val="21"/>
        </w:rPr>
        <w:t> </w:t>
      </w:r>
      <w:r>
        <w:rPr/>
        <w:t>each</w:t>
      </w:r>
      <w:r>
        <w:rPr>
          <w:spacing w:val="19"/>
        </w:rPr>
        <w:t> </w:t>
      </w:r>
      <w:r>
        <w:rPr/>
        <w:t>target</w:t>
      </w:r>
      <w:r>
        <w:rPr>
          <w:spacing w:val="20"/>
        </w:rPr>
        <w:t> </w:t>
      </w:r>
      <w:r>
        <w:rPr/>
        <w:t>area</w:t>
      </w:r>
      <w:r>
        <w:rPr>
          <w:spacing w:val="18"/>
        </w:rPr>
        <w:t> </w:t>
      </w:r>
      <w:r>
        <w:rPr/>
        <w:t>will</w:t>
      </w:r>
      <w:r>
        <w:rPr>
          <w:spacing w:val="19"/>
        </w:rPr>
        <w:t> </w:t>
      </w:r>
      <w:r>
        <w:rPr/>
        <w:t>have</w:t>
      </w:r>
      <w:r>
        <w:rPr>
          <w:spacing w:val="20"/>
        </w:rPr>
        <w:t> </w:t>
      </w:r>
      <w:r>
        <w:rPr/>
        <w:t>equal</w:t>
      </w:r>
      <w:r>
        <w:rPr>
          <w:spacing w:val="19"/>
        </w:rPr>
        <w:t> </w:t>
      </w:r>
      <w:r>
        <w:rPr/>
        <w:t>weight</w:t>
      </w:r>
      <w:r>
        <w:rPr>
          <w:spacing w:val="22"/>
        </w:rPr>
        <w:t> </w:t>
      </w:r>
      <w:r>
        <w:rPr/>
        <w:t>(1/14</w:t>
      </w:r>
      <w:r>
        <w:rPr>
          <w:spacing w:val="19"/>
        </w:rPr>
        <w:t> </w:t>
      </w:r>
      <w:r>
        <w:rPr>
          <w:spacing w:val="-12"/>
        </w:rPr>
        <w:t>=</w:t>
      </w:r>
    </w:p>
    <w:p>
      <w:pPr>
        <w:pStyle w:val="BodyText"/>
        <w:spacing w:before="1"/>
        <w:ind w:left="220"/>
      </w:pPr>
      <w:r>
        <w:rPr>
          <w:spacing w:val="-2"/>
        </w:rPr>
        <w:t>$114,286).</w:t>
      </w:r>
    </w:p>
    <w:p>
      <w:pPr>
        <w:pStyle w:val="BodyText"/>
        <w:spacing w:before="9"/>
        <w:rPr>
          <w:sz w:val="19"/>
        </w:rPr>
      </w:pPr>
    </w:p>
    <w:p>
      <w:pPr>
        <w:spacing w:line="276" w:lineRule="auto" w:before="0"/>
        <w:ind w:left="220" w:right="1252" w:firstLine="0"/>
        <w:jc w:val="both"/>
        <w:rPr>
          <w:sz w:val="22"/>
        </w:rPr>
      </w:pPr>
      <w:r>
        <w:rPr>
          <w:sz w:val="22"/>
        </w:rPr>
        <w:t>In</w:t>
      </w:r>
      <w:r>
        <w:rPr>
          <w:spacing w:val="-1"/>
          <w:sz w:val="22"/>
        </w:rPr>
        <w:t> </w:t>
      </w:r>
      <w:r>
        <w:rPr>
          <w:sz w:val="22"/>
        </w:rPr>
        <w:t>2018, </w:t>
      </w:r>
      <w:r>
        <w:rPr>
          <w:b/>
          <w:sz w:val="22"/>
        </w:rPr>
        <w:t>the 30 Expected Results Statements in the EPM were allocated a percentage of each total performance indicator</w:t>
      </w:r>
      <w:r>
        <w:rPr>
          <w:sz w:val="22"/>
        </w:rPr>
        <w:t>. For example, Performance Indicator </w:t>
      </w:r>
      <w:r>
        <w:rPr>
          <w:i/>
          <w:sz w:val="22"/>
        </w:rPr>
        <w:t>2.2: Revised National professional</w:t>
      </w:r>
      <w:r>
        <w:rPr>
          <w:i/>
          <w:sz w:val="22"/>
        </w:rPr>
        <w:t> standards for teachers </w:t>
      </w:r>
      <w:r>
        <w:rPr>
          <w:sz w:val="22"/>
        </w:rPr>
        <w:t>has two Expected Results Statements each allocated 50% of the total for that Indicator (consultation on</w:t>
      </w:r>
      <w:r>
        <w:rPr>
          <w:spacing w:val="-3"/>
          <w:sz w:val="22"/>
        </w:rPr>
        <w:t> </w:t>
      </w:r>
      <w:r>
        <w:rPr>
          <w:sz w:val="22"/>
        </w:rPr>
        <w:t>professional standards for</w:t>
      </w:r>
      <w:r>
        <w:rPr>
          <w:spacing w:val="-2"/>
          <w:sz w:val="22"/>
        </w:rPr>
        <w:t> </w:t>
      </w:r>
      <w:r>
        <w:rPr>
          <w:sz w:val="22"/>
        </w:rPr>
        <w:t>teachers</w:t>
      </w:r>
      <w:r>
        <w:rPr>
          <w:spacing w:val="-2"/>
          <w:sz w:val="22"/>
        </w:rPr>
        <w:t> </w:t>
      </w:r>
      <w:r>
        <w:rPr>
          <w:sz w:val="22"/>
        </w:rPr>
        <w:t>50%, approval minute from the Senior Management</w:t>
      </w:r>
      <w:r>
        <w:rPr>
          <w:spacing w:val="8"/>
          <w:sz w:val="22"/>
        </w:rPr>
        <w:t> </w:t>
      </w:r>
      <w:r>
        <w:rPr>
          <w:sz w:val="22"/>
        </w:rPr>
        <w:t>Team</w:t>
      </w:r>
      <w:r>
        <w:rPr>
          <w:spacing w:val="7"/>
          <w:sz w:val="22"/>
        </w:rPr>
        <w:t> </w:t>
      </w:r>
      <w:r>
        <w:rPr>
          <w:sz w:val="22"/>
        </w:rPr>
        <w:t>on</w:t>
      </w:r>
      <w:r>
        <w:rPr>
          <w:spacing w:val="7"/>
          <w:sz w:val="22"/>
        </w:rPr>
        <w:t> </w:t>
      </w:r>
      <w:r>
        <w:rPr>
          <w:sz w:val="22"/>
        </w:rPr>
        <w:t>these</w:t>
      </w:r>
      <w:r>
        <w:rPr>
          <w:spacing w:val="11"/>
          <w:sz w:val="22"/>
        </w:rPr>
        <w:t> </w:t>
      </w:r>
      <w:r>
        <w:rPr>
          <w:sz w:val="22"/>
        </w:rPr>
        <w:t>professional</w:t>
      </w:r>
      <w:r>
        <w:rPr>
          <w:spacing w:val="8"/>
          <w:sz w:val="22"/>
        </w:rPr>
        <w:t> </w:t>
      </w:r>
      <w:r>
        <w:rPr>
          <w:sz w:val="22"/>
        </w:rPr>
        <w:t>standards</w:t>
      </w:r>
      <w:r>
        <w:rPr>
          <w:spacing w:val="8"/>
          <w:sz w:val="22"/>
        </w:rPr>
        <w:t> </w:t>
      </w:r>
      <w:r>
        <w:rPr>
          <w:sz w:val="22"/>
        </w:rPr>
        <w:t>for</w:t>
      </w:r>
      <w:r>
        <w:rPr>
          <w:spacing w:val="8"/>
          <w:sz w:val="22"/>
        </w:rPr>
        <w:t> </w:t>
      </w:r>
      <w:r>
        <w:rPr>
          <w:sz w:val="22"/>
        </w:rPr>
        <w:t>teachers</w:t>
      </w:r>
      <w:r>
        <w:rPr>
          <w:spacing w:val="8"/>
          <w:sz w:val="22"/>
        </w:rPr>
        <w:t> </w:t>
      </w:r>
      <w:r>
        <w:rPr>
          <w:sz w:val="22"/>
        </w:rPr>
        <w:t>50%).</w:t>
      </w:r>
      <w:r>
        <w:rPr>
          <w:spacing w:val="12"/>
          <w:sz w:val="22"/>
        </w:rPr>
        <w:t> </w:t>
      </w:r>
      <w:r>
        <w:rPr>
          <w:sz w:val="22"/>
        </w:rPr>
        <w:t>While</w:t>
      </w:r>
      <w:r>
        <w:rPr>
          <w:spacing w:val="11"/>
          <w:sz w:val="22"/>
        </w:rPr>
        <w:t> </w:t>
      </w:r>
      <w:r>
        <w:rPr>
          <w:sz w:val="22"/>
        </w:rPr>
        <w:t>aiming</w:t>
      </w:r>
      <w:r>
        <w:rPr>
          <w:spacing w:val="9"/>
          <w:sz w:val="22"/>
        </w:rPr>
        <w:t> </w:t>
      </w:r>
      <w:r>
        <w:rPr>
          <w:sz w:val="22"/>
        </w:rPr>
        <w:t>for</w:t>
      </w:r>
      <w:r>
        <w:rPr>
          <w:spacing w:val="8"/>
          <w:sz w:val="22"/>
        </w:rPr>
        <w:t> </w:t>
      </w:r>
      <w:r>
        <w:rPr>
          <w:sz w:val="22"/>
        </w:rPr>
        <w:t>clarity</w:t>
      </w:r>
      <w:r>
        <w:rPr>
          <w:spacing w:val="12"/>
          <w:sz w:val="22"/>
        </w:rPr>
        <w:t> </w:t>
      </w:r>
      <w:r>
        <w:rPr>
          <w:spacing w:val="-5"/>
          <w:sz w:val="22"/>
        </w:rPr>
        <w:t>and</w:t>
      </w:r>
    </w:p>
    <w:p>
      <w:pPr>
        <w:spacing w:after="0" w:line="276" w:lineRule="auto"/>
        <w:jc w:val="both"/>
        <w:rPr>
          <w:sz w:val="22"/>
        </w:rPr>
        <w:sectPr>
          <w:pgSz w:w="11900" w:h="16850"/>
          <w:pgMar w:header="867" w:footer="830" w:top="1060" w:bottom="1020" w:left="1220" w:right="180"/>
        </w:sectPr>
      </w:pPr>
    </w:p>
    <w:p>
      <w:pPr>
        <w:pStyle w:val="BodyText"/>
        <w:rPr>
          <w:sz w:val="20"/>
        </w:rPr>
      </w:pPr>
    </w:p>
    <w:p>
      <w:pPr>
        <w:pStyle w:val="BodyText"/>
        <w:spacing w:before="6"/>
        <w:rPr>
          <w:sz w:val="26"/>
        </w:rPr>
      </w:pPr>
    </w:p>
    <w:p>
      <w:pPr>
        <w:spacing w:line="276" w:lineRule="auto" w:before="57"/>
        <w:ind w:left="220" w:right="1256" w:firstLine="0"/>
        <w:jc w:val="both"/>
        <w:rPr>
          <w:b/>
          <w:sz w:val="22"/>
        </w:rPr>
      </w:pPr>
      <w:r>
        <w:rPr>
          <w:sz w:val="22"/>
        </w:rPr>
        <w:t>specificity, this is at times confusing and obscures the broader intent of achieving the Performance Indicator. </w:t>
      </w:r>
      <w:r>
        <w:rPr>
          <w:b/>
          <w:sz w:val="22"/>
        </w:rPr>
        <w:t>Where feasible, the assessor has followed this protocol.</w:t>
      </w:r>
    </w:p>
    <w:p>
      <w:pPr>
        <w:pStyle w:val="BodyText"/>
        <w:spacing w:before="5"/>
        <w:rPr>
          <w:b/>
          <w:sz w:val="16"/>
        </w:rPr>
      </w:pPr>
    </w:p>
    <w:p>
      <w:pPr>
        <w:pStyle w:val="BodyText"/>
        <w:spacing w:line="276" w:lineRule="auto"/>
        <w:ind w:left="220" w:right="1250"/>
        <w:jc w:val="both"/>
      </w:pPr>
      <w:r>
        <w:rPr/>
        <w:t>In</w:t>
      </w:r>
      <w:r>
        <w:rPr>
          <w:spacing w:val="-3"/>
        </w:rPr>
        <w:t> </w:t>
      </w:r>
      <w:r>
        <w:rPr/>
        <w:t>other</w:t>
      </w:r>
      <w:r>
        <w:rPr>
          <w:spacing w:val="-2"/>
        </w:rPr>
        <w:t> </w:t>
      </w:r>
      <w:r>
        <w:rPr/>
        <w:t>cases,</w:t>
      </w:r>
      <w:r>
        <w:rPr>
          <w:spacing w:val="-4"/>
        </w:rPr>
        <w:t> </w:t>
      </w:r>
      <w:r>
        <w:rPr/>
        <w:t>where</w:t>
      </w:r>
      <w:r>
        <w:rPr>
          <w:spacing w:val="-1"/>
        </w:rPr>
        <w:t> </w:t>
      </w:r>
      <w:r>
        <w:rPr/>
        <w:t>Expected</w:t>
      </w:r>
      <w:r>
        <w:rPr>
          <w:spacing w:val="-3"/>
        </w:rPr>
        <w:t> </w:t>
      </w:r>
      <w:r>
        <w:rPr/>
        <w:t>Results</w:t>
      </w:r>
      <w:r>
        <w:rPr>
          <w:spacing w:val="-1"/>
        </w:rPr>
        <w:t> </w:t>
      </w:r>
      <w:r>
        <w:rPr/>
        <w:t>Statements</w:t>
      </w:r>
      <w:r>
        <w:rPr>
          <w:spacing w:val="-2"/>
        </w:rPr>
        <w:t> </w:t>
      </w:r>
      <w:r>
        <w:rPr/>
        <w:t>are</w:t>
      </w:r>
      <w:r>
        <w:rPr>
          <w:spacing w:val="-1"/>
        </w:rPr>
        <w:t> </w:t>
      </w:r>
      <w:r>
        <w:rPr/>
        <w:t>only</w:t>
      </w:r>
      <w:r>
        <w:rPr>
          <w:spacing w:val="-4"/>
        </w:rPr>
        <w:t> </w:t>
      </w:r>
      <w:r>
        <w:rPr/>
        <w:t>partly</w:t>
      </w:r>
      <w:r>
        <w:rPr>
          <w:spacing w:val="-2"/>
        </w:rPr>
        <w:t> </w:t>
      </w:r>
      <w:r>
        <w:rPr/>
        <w:t>achieved,</w:t>
      </w:r>
      <w:r>
        <w:rPr>
          <w:spacing w:val="-2"/>
        </w:rPr>
        <w:t> </w:t>
      </w:r>
      <w:r>
        <w:rPr/>
        <w:t>a</w:t>
      </w:r>
      <w:r>
        <w:rPr>
          <w:spacing w:val="-2"/>
        </w:rPr>
        <w:t> </w:t>
      </w:r>
      <w:r>
        <w:rPr/>
        <w:t>pro-rata</w:t>
      </w:r>
      <w:r>
        <w:rPr>
          <w:spacing w:val="-2"/>
        </w:rPr>
        <w:t> </w:t>
      </w:r>
      <w:r>
        <w:rPr/>
        <w:t>performance- linked aid payment is made based on verification of progress. The 2018 EPM provided guidance on what kind of source documents would support the indicators, and the assessor weighted the evidence or the stage at which the evidence was at, to show partial achievement of an indicator.</w:t>
      </w:r>
    </w:p>
    <w:p>
      <w:pPr>
        <w:pStyle w:val="BodyText"/>
      </w:pPr>
    </w:p>
    <w:p>
      <w:pPr>
        <w:pStyle w:val="BodyText"/>
        <w:spacing w:before="5"/>
        <w:rPr>
          <w:sz w:val="17"/>
        </w:rPr>
      </w:pPr>
    </w:p>
    <w:p>
      <w:pPr>
        <w:pStyle w:val="Heading1"/>
        <w:numPr>
          <w:ilvl w:val="0"/>
          <w:numId w:val="4"/>
        </w:numPr>
        <w:tabs>
          <w:tab w:pos="940" w:val="left" w:leader="none"/>
          <w:tab w:pos="941" w:val="left" w:leader="none"/>
        </w:tabs>
        <w:spacing w:line="278" w:lineRule="auto" w:before="0" w:after="0"/>
        <w:ind w:left="220" w:right="1479" w:firstLine="0"/>
        <w:jc w:val="left"/>
        <w:rPr>
          <w:b w:val="0"/>
          <w:color w:val="4471C4"/>
        </w:rPr>
      </w:pPr>
      <w:bookmarkStart w:name="_bookmark7" w:id="8"/>
      <w:bookmarkEnd w:id="8"/>
      <w:r>
        <w:rPr>
          <w:b w:val="0"/>
          <w:color w:val="4471C4"/>
        </w:rPr>
        <w:t>Re</w:t>
      </w:r>
      <w:r>
        <w:rPr>
          <w:b w:val="0"/>
          <w:color w:val="4471C4"/>
        </w:rPr>
        <w:t>view of performance against 2018 Education Performance</w:t>
      </w:r>
      <w:r>
        <w:rPr>
          <w:b w:val="0"/>
          <w:color w:val="4471C4"/>
          <w:spacing w:val="40"/>
        </w:rPr>
        <w:t> </w:t>
      </w:r>
      <w:r>
        <w:rPr>
          <w:b w:val="0"/>
          <w:color w:val="4471C4"/>
          <w:spacing w:val="-2"/>
        </w:rPr>
        <w:t>Matrix</w:t>
      </w:r>
    </w:p>
    <w:p>
      <w:pPr>
        <w:pStyle w:val="BodyText"/>
        <w:spacing w:before="191"/>
        <w:ind w:left="220" w:right="1254"/>
        <w:jc w:val="both"/>
      </w:pPr>
      <w:r>
        <w:rPr/>
        <w:t>This section of the report provides information about the extent to which the 2018 EPM targets</w:t>
      </w:r>
      <w:r>
        <w:rPr>
          <w:spacing w:val="40"/>
        </w:rPr>
        <w:t> </w:t>
      </w:r>
      <w:r>
        <w:rPr/>
        <w:t>were achieved based on MEHRD reporting and evidence provided to the assessor. It also provides comment on challenges, and suggestions about how MEHRD could improve, where necessary, the processes and procedures it uses to collect data or achieve targets.</w:t>
      </w:r>
    </w:p>
    <w:p>
      <w:pPr>
        <w:spacing w:after="0"/>
        <w:jc w:val="both"/>
        <w:sectPr>
          <w:pgSz w:w="11900" w:h="16850"/>
          <w:pgMar w:header="867" w:footer="830" w:top="1060" w:bottom="1020" w:left="1220" w:right="180"/>
        </w:sectPr>
      </w:pPr>
    </w:p>
    <w:p>
      <w:pPr>
        <w:pStyle w:val="BodyText"/>
        <w:rPr>
          <w:sz w:val="20"/>
        </w:rPr>
      </w:pPr>
    </w:p>
    <w:p>
      <w:pPr>
        <w:pStyle w:val="BodyText"/>
        <w:spacing w:before="4"/>
        <w:rPr>
          <w:sz w:val="27"/>
        </w:rPr>
      </w:pPr>
    </w:p>
    <w:p>
      <w:pPr>
        <w:pStyle w:val="Heading3"/>
        <w:numPr>
          <w:ilvl w:val="1"/>
          <w:numId w:val="4"/>
        </w:numPr>
        <w:tabs>
          <w:tab w:pos="940" w:val="left" w:leader="none"/>
          <w:tab w:pos="941" w:val="left" w:leader="none"/>
        </w:tabs>
        <w:spacing w:line="240" w:lineRule="auto" w:before="47" w:after="0"/>
        <w:ind w:left="940" w:right="0" w:hanging="721"/>
        <w:jc w:val="left"/>
        <w:rPr>
          <w:b w:val="0"/>
          <w:color w:val="4471C4"/>
        </w:rPr>
      </w:pPr>
      <w:bookmarkStart w:name="_bookmark8" w:id="9"/>
      <w:bookmarkEnd w:id="9"/>
      <w:r>
        <w:rPr>
          <w:b w:val="0"/>
          <w:color w:val="4471C4"/>
        </w:rPr>
        <w:t>Educa</w:t>
      </w:r>
      <w:r>
        <w:rPr>
          <w:b w:val="0"/>
          <w:color w:val="4471C4"/>
        </w:rPr>
        <w:t>tion</w:t>
      </w:r>
      <w:r>
        <w:rPr>
          <w:b w:val="0"/>
          <w:color w:val="4471C4"/>
          <w:spacing w:val="-13"/>
        </w:rPr>
        <w:t> </w:t>
      </w:r>
      <w:r>
        <w:rPr>
          <w:b w:val="0"/>
          <w:color w:val="4471C4"/>
          <w:spacing w:val="-2"/>
        </w:rPr>
        <w:t>Access</w:t>
      </w:r>
    </w:p>
    <w:p>
      <w:pPr>
        <w:pStyle w:val="BodyText"/>
        <w:spacing w:before="2"/>
        <w:rPr>
          <w:rFonts w:ascii="Calibri Light"/>
          <w:b w:val="0"/>
          <w:sz w:val="20"/>
        </w:rPr>
      </w:pPr>
    </w:p>
    <w:p>
      <w:pPr>
        <w:pStyle w:val="Heading4"/>
        <w:numPr>
          <w:ilvl w:val="2"/>
          <w:numId w:val="4"/>
        </w:numPr>
        <w:tabs>
          <w:tab w:pos="940" w:val="left" w:leader="none"/>
          <w:tab w:pos="941" w:val="left" w:leader="none"/>
        </w:tabs>
        <w:spacing w:line="240" w:lineRule="auto" w:before="0" w:after="0"/>
        <w:ind w:left="940" w:right="0" w:hanging="721"/>
        <w:jc w:val="left"/>
        <w:rPr>
          <w:b w:val="0"/>
        </w:rPr>
      </w:pPr>
      <w:bookmarkStart w:name="_bookmark9" w:id="10"/>
      <w:bookmarkEnd w:id="10"/>
      <w:r>
        <w:rPr>
          <w:b w:val="0"/>
          <w:color w:val="4471C4"/>
        </w:rPr>
        <w:t>T</w:t>
      </w:r>
      <w:r>
        <w:rPr>
          <w:b w:val="0"/>
          <w:color w:val="4471C4"/>
        </w:rPr>
        <w:t>arget</w:t>
      </w:r>
      <w:r>
        <w:rPr>
          <w:b w:val="0"/>
          <w:color w:val="4471C4"/>
          <w:spacing w:val="28"/>
        </w:rPr>
        <w:t> </w:t>
      </w:r>
      <w:r>
        <w:rPr>
          <w:b w:val="0"/>
          <w:color w:val="4471C4"/>
        </w:rPr>
        <w:t>1.1:</w:t>
      </w:r>
      <w:r>
        <w:rPr>
          <w:b w:val="0"/>
          <w:color w:val="4471C4"/>
          <w:spacing w:val="25"/>
        </w:rPr>
        <w:t> </w:t>
      </w:r>
      <w:r>
        <w:rPr>
          <w:b w:val="0"/>
          <w:color w:val="4471C4"/>
        </w:rPr>
        <w:t>Transition</w:t>
      </w:r>
      <w:r>
        <w:rPr>
          <w:b w:val="0"/>
          <w:color w:val="4471C4"/>
          <w:spacing w:val="26"/>
        </w:rPr>
        <w:t> </w:t>
      </w:r>
      <w:r>
        <w:rPr>
          <w:b w:val="0"/>
          <w:color w:val="4471C4"/>
        </w:rPr>
        <w:t>rates</w:t>
      </w:r>
      <w:r>
        <w:rPr>
          <w:b w:val="0"/>
          <w:color w:val="4471C4"/>
          <w:spacing w:val="26"/>
        </w:rPr>
        <w:t> </w:t>
      </w:r>
      <w:r>
        <w:rPr>
          <w:b w:val="0"/>
          <w:color w:val="4471C4"/>
        </w:rPr>
        <w:t>by</w:t>
      </w:r>
      <w:r>
        <w:rPr>
          <w:b w:val="0"/>
          <w:color w:val="4471C4"/>
          <w:spacing w:val="25"/>
        </w:rPr>
        <w:t> </w:t>
      </w:r>
      <w:r>
        <w:rPr>
          <w:b w:val="0"/>
          <w:color w:val="4471C4"/>
        </w:rPr>
        <w:t>level</w:t>
      </w:r>
      <w:r>
        <w:rPr>
          <w:b w:val="0"/>
          <w:color w:val="4471C4"/>
          <w:spacing w:val="25"/>
        </w:rPr>
        <w:t> </w:t>
      </w:r>
      <w:r>
        <w:rPr>
          <w:b w:val="0"/>
          <w:color w:val="4471C4"/>
        </w:rPr>
        <w:t>and</w:t>
      </w:r>
      <w:r>
        <w:rPr>
          <w:b w:val="0"/>
          <w:color w:val="4471C4"/>
          <w:spacing w:val="27"/>
        </w:rPr>
        <w:t> </w:t>
      </w:r>
      <w:r>
        <w:rPr>
          <w:b w:val="0"/>
          <w:color w:val="4471C4"/>
          <w:spacing w:val="-2"/>
        </w:rPr>
        <w:t>gender</w:t>
      </w:r>
    </w:p>
    <w:p>
      <w:pPr>
        <w:pStyle w:val="BodyText"/>
        <w:rPr>
          <w:rFonts w:ascii="Calibri Light"/>
          <w:b w:val="0"/>
          <w:sz w:val="13"/>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143"/>
        <w:gridCol w:w="2206"/>
        <w:gridCol w:w="1508"/>
      </w:tblGrid>
      <w:tr>
        <w:trPr>
          <w:trHeight w:val="683" w:hRule="atLeast"/>
        </w:trPr>
        <w:tc>
          <w:tcPr>
            <w:tcW w:w="2143" w:type="dxa"/>
            <w:tcBorders>
              <w:left w:val="single" w:sz="6" w:space="0" w:color="4471C4"/>
              <w:right w:val="single" w:sz="6" w:space="0" w:color="4471C4"/>
            </w:tcBorders>
            <w:shd w:val="clear" w:color="auto" w:fill="B4C5E7"/>
          </w:tcPr>
          <w:p>
            <w:pPr>
              <w:pStyle w:val="TableParagraph"/>
              <w:spacing w:before="5"/>
              <w:rPr>
                <w:rFonts w:ascii="Calibri Light"/>
                <w:b w:val="0"/>
                <w:sz w:val="18"/>
              </w:rPr>
            </w:pPr>
          </w:p>
          <w:p>
            <w:pPr>
              <w:pStyle w:val="TableParagraph"/>
              <w:ind w:left="127"/>
              <w:rPr>
                <w:b/>
                <w:sz w:val="19"/>
              </w:rPr>
            </w:pPr>
            <w:r>
              <w:rPr>
                <w:b/>
                <w:spacing w:val="-2"/>
                <w:w w:val="105"/>
                <w:sz w:val="19"/>
              </w:rPr>
              <w:t>Performance</w:t>
            </w:r>
            <w:r>
              <w:rPr>
                <w:b/>
                <w:w w:val="105"/>
                <w:sz w:val="19"/>
              </w:rPr>
              <w:t> </w:t>
            </w:r>
            <w:r>
              <w:rPr>
                <w:b/>
                <w:spacing w:val="-2"/>
                <w:w w:val="105"/>
                <w:sz w:val="19"/>
              </w:rPr>
              <w:t>Indicators</w:t>
            </w:r>
          </w:p>
        </w:tc>
        <w:tc>
          <w:tcPr>
            <w:tcW w:w="2206" w:type="dxa"/>
            <w:tcBorders>
              <w:left w:val="single" w:sz="6" w:space="0" w:color="4471C4"/>
              <w:right w:val="single" w:sz="6" w:space="0" w:color="4471C4"/>
            </w:tcBorders>
            <w:shd w:val="clear" w:color="auto" w:fill="B4C5E7"/>
          </w:tcPr>
          <w:p>
            <w:pPr>
              <w:pStyle w:val="TableParagraph"/>
              <w:spacing w:line="256" w:lineRule="auto" w:before="106"/>
              <w:ind w:left="617" w:hanging="229"/>
              <w:rPr>
                <w:b/>
                <w:sz w:val="19"/>
              </w:rPr>
            </w:pPr>
            <w:r>
              <w:rPr>
                <w:b/>
                <w:w w:val="105"/>
                <w:sz w:val="19"/>
              </w:rPr>
              <w:t>Expected</w:t>
            </w:r>
            <w:r>
              <w:rPr>
                <w:b/>
                <w:spacing w:val="-12"/>
                <w:w w:val="105"/>
                <w:sz w:val="19"/>
              </w:rPr>
              <w:t> </w:t>
            </w:r>
            <w:r>
              <w:rPr>
                <w:b/>
                <w:w w:val="105"/>
                <w:sz w:val="19"/>
              </w:rPr>
              <w:t>Results </w:t>
            </w:r>
            <w:r>
              <w:rPr>
                <w:b/>
                <w:spacing w:val="-2"/>
                <w:w w:val="105"/>
                <w:sz w:val="19"/>
              </w:rPr>
              <w:t>Statements</w:t>
            </w:r>
          </w:p>
        </w:tc>
        <w:tc>
          <w:tcPr>
            <w:tcW w:w="1508" w:type="dxa"/>
            <w:tcBorders>
              <w:left w:val="single" w:sz="6" w:space="0" w:color="4471C4"/>
            </w:tcBorders>
            <w:shd w:val="clear" w:color="auto" w:fill="B4C5E7"/>
          </w:tcPr>
          <w:p>
            <w:pPr>
              <w:pStyle w:val="TableParagraph"/>
              <w:spacing w:before="5"/>
              <w:rPr>
                <w:rFonts w:ascii="Calibri Light"/>
                <w:b w:val="0"/>
                <w:sz w:val="18"/>
              </w:rPr>
            </w:pPr>
          </w:p>
          <w:p>
            <w:pPr>
              <w:pStyle w:val="TableParagraph"/>
              <w:ind w:left="207" w:right="192"/>
              <w:jc w:val="center"/>
              <w:rPr>
                <w:b/>
                <w:sz w:val="19"/>
              </w:rPr>
            </w:pPr>
            <w:r>
              <w:rPr>
                <w:b/>
                <w:spacing w:val="-5"/>
                <w:w w:val="105"/>
                <w:sz w:val="19"/>
              </w:rPr>
              <w:t>IA</w:t>
            </w:r>
          </w:p>
        </w:tc>
      </w:tr>
      <w:tr>
        <w:trPr>
          <w:trHeight w:val="2129" w:hRule="atLeast"/>
        </w:trPr>
        <w:tc>
          <w:tcPr>
            <w:tcW w:w="2143" w:type="dxa"/>
            <w:tcBorders>
              <w:left w:val="single" w:sz="6" w:space="0" w:color="4471C4"/>
              <w:right w:val="single" w:sz="6" w:space="0" w:color="4471C4"/>
            </w:tcBorders>
          </w:tcPr>
          <w:p>
            <w:pPr>
              <w:pStyle w:val="TableParagraph"/>
              <w:spacing w:line="259" w:lineRule="auto" w:before="7"/>
              <w:ind w:left="34" w:right="11"/>
              <w:rPr>
                <w:sz w:val="18"/>
              </w:rPr>
            </w:pPr>
            <w:r>
              <w:rPr>
                <w:w w:val="105"/>
                <w:sz w:val="18"/>
              </w:rPr>
              <w:t>1.1.1</w:t>
            </w:r>
            <w:r>
              <w:rPr>
                <w:spacing w:val="40"/>
                <w:w w:val="105"/>
                <w:sz w:val="18"/>
              </w:rPr>
              <w:t> </w:t>
            </w:r>
            <w:r>
              <w:rPr>
                <w:w w:val="105"/>
                <w:sz w:val="18"/>
              </w:rPr>
              <w:t>By the end of 2018, the SISE Phase-out Committee</w:t>
            </w:r>
            <w:r>
              <w:rPr>
                <w:spacing w:val="-11"/>
                <w:w w:val="105"/>
                <w:sz w:val="18"/>
              </w:rPr>
              <w:t> </w:t>
            </w:r>
            <w:r>
              <w:rPr>
                <w:w w:val="105"/>
                <w:sz w:val="18"/>
              </w:rPr>
              <w:t>has</w:t>
            </w:r>
            <w:r>
              <w:rPr>
                <w:spacing w:val="-11"/>
                <w:w w:val="105"/>
                <w:sz w:val="18"/>
              </w:rPr>
              <w:t> </w:t>
            </w:r>
            <w:r>
              <w:rPr>
                <w:w w:val="105"/>
                <w:sz w:val="18"/>
              </w:rPr>
              <w:t>costed</w:t>
            </w:r>
            <w:r>
              <w:rPr>
                <w:spacing w:val="-11"/>
                <w:w w:val="105"/>
                <w:sz w:val="18"/>
              </w:rPr>
              <w:t> </w:t>
            </w:r>
            <w:r>
              <w:rPr>
                <w:w w:val="105"/>
                <w:sz w:val="18"/>
              </w:rPr>
              <w:t>plan in place to cater for increased enrolments in years 7 and 10</w:t>
            </w:r>
            <w:r>
              <w:rPr>
                <w:spacing w:val="40"/>
                <w:w w:val="105"/>
                <w:sz w:val="18"/>
              </w:rPr>
              <w:t> </w:t>
            </w:r>
            <w:r>
              <w:rPr>
                <w:w w:val="105"/>
                <w:sz w:val="18"/>
              </w:rPr>
              <w:t>and alternative placement </w:t>
            </w:r>
            <w:r>
              <w:rPr>
                <w:spacing w:val="-2"/>
                <w:w w:val="105"/>
                <w:sz w:val="18"/>
              </w:rPr>
              <w:t>method</w:t>
            </w:r>
            <w:r>
              <w:rPr>
                <w:spacing w:val="-6"/>
                <w:w w:val="105"/>
                <w:sz w:val="18"/>
              </w:rPr>
              <w:t> </w:t>
            </w:r>
            <w:r>
              <w:rPr>
                <w:spacing w:val="-2"/>
                <w:w w:val="105"/>
                <w:sz w:val="18"/>
              </w:rPr>
              <w:t>and</w:t>
            </w:r>
            <w:r>
              <w:rPr>
                <w:spacing w:val="-6"/>
                <w:w w:val="105"/>
                <w:sz w:val="18"/>
              </w:rPr>
              <w:t> </w:t>
            </w:r>
            <w:r>
              <w:rPr>
                <w:spacing w:val="-2"/>
                <w:w w:val="105"/>
                <w:sz w:val="18"/>
              </w:rPr>
              <w:t>plan</w:t>
            </w:r>
            <w:r>
              <w:rPr>
                <w:spacing w:val="-6"/>
                <w:w w:val="105"/>
                <w:sz w:val="18"/>
              </w:rPr>
              <w:t> </w:t>
            </w:r>
            <w:r>
              <w:rPr>
                <w:spacing w:val="-2"/>
                <w:w w:val="105"/>
                <w:sz w:val="18"/>
              </w:rPr>
              <w:t>socialised</w:t>
            </w:r>
          </w:p>
          <w:p>
            <w:pPr>
              <w:pStyle w:val="TableParagraph"/>
              <w:spacing w:line="201" w:lineRule="exact" w:before="3"/>
              <w:ind w:left="34"/>
              <w:rPr>
                <w:sz w:val="18"/>
              </w:rPr>
            </w:pPr>
            <w:r>
              <w:rPr>
                <w:sz w:val="18"/>
              </w:rPr>
              <w:t>with</w:t>
            </w:r>
            <w:r>
              <w:rPr>
                <w:spacing w:val="4"/>
                <w:sz w:val="18"/>
              </w:rPr>
              <w:t> </w:t>
            </w:r>
            <w:r>
              <w:rPr>
                <w:spacing w:val="-5"/>
                <w:sz w:val="18"/>
              </w:rPr>
              <w:t>EAs</w:t>
            </w:r>
          </w:p>
        </w:tc>
        <w:tc>
          <w:tcPr>
            <w:tcW w:w="2206" w:type="dxa"/>
            <w:tcBorders>
              <w:left w:val="single" w:sz="6" w:space="0" w:color="4471C4"/>
              <w:right w:val="single" w:sz="6" w:space="0" w:color="4471C4"/>
            </w:tcBorders>
          </w:tcPr>
          <w:p>
            <w:pPr>
              <w:pStyle w:val="TableParagraph"/>
              <w:spacing w:line="259" w:lineRule="auto" w:before="7"/>
              <w:ind w:left="34" w:right="82"/>
              <w:rPr>
                <w:sz w:val="18"/>
              </w:rPr>
            </w:pPr>
            <w:r>
              <w:rPr>
                <w:w w:val="105"/>
                <w:sz w:val="18"/>
              </w:rPr>
              <w:t>Quality costed plan (30%) </w:t>
            </w:r>
            <w:r>
              <w:rPr>
                <w:spacing w:val="-2"/>
                <w:w w:val="105"/>
                <w:sz w:val="18"/>
              </w:rPr>
              <w:t>SMT</w:t>
            </w:r>
            <w:r>
              <w:rPr>
                <w:spacing w:val="-9"/>
                <w:w w:val="105"/>
                <w:sz w:val="18"/>
              </w:rPr>
              <w:t> </w:t>
            </w:r>
            <w:r>
              <w:rPr>
                <w:spacing w:val="-2"/>
                <w:w w:val="105"/>
                <w:sz w:val="18"/>
              </w:rPr>
              <w:t>Minute</w:t>
            </w:r>
            <w:r>
              <w:rPr>
                <w:spacing w:val="-9"/>
                <w:w w:val="105"/>
                <w:sz w:val="18"/>
              </w:rPr>
              <w:t> </w:t>
            </w:r>
            <w:r>
              <w:rPr>
                <w:spacing w:val="-2"/>
                <w:w w:val="105"/>
                <w:sz w:val="18"/>
              </w:rPr>
              <w:t>endorsing</w:t>
            </w:r>
            <w:r>
              <w:rPr>
                <w:spacing w:val="-9"/>
                <w:w w:val="105"/>
                <w:sz w:val="18"/>
              </w:rPr>
              <w:t> </w:t>
            </w:r>
            <w:r>
              <w:rPr>
                <w:spacing w:val="-2"/>
                <w:w w:val="105"/>
                <w:sz w:val="18"/>
              </w:rPr>
              <w:t>plan (50%)</w:t>
            </w:r>
          </w:p>
          <w:p>
            <w:pPr>
              <w:pStyle w:val="TableParagraph"/>
              <w:spacing w:line="259" w:lineRule="auto" w:before="1"/>
              <w:ind w:left="34"/>
              <w:rPr>
                <w:sz w:val="18"/>
              </w:rPr>
            </w:pPr>
            <w:r>
              <w:rPr>
                <w:spacing w:val="-2"/>
                <w:w w:val="105"/>
                <w:sz w:val="18"/>
              </w:rPr>
              <w:t>EAs socialisation</w:t>
            </w:r>
            <w:r>
              <w:rPr>
                <w:spacing w:val="-4"/>
                <w:w w:val="105"/>
                <w:sz w:val="18"/>
              </w:rPr>
              <w:t> </w:t>
            </w:r>
            <w:r>
              <w:rPr>
                <w:spacing w:val="-2"/>
                <w:w w:val="105"/>
                <w:sz w:val="18"/>
              </w:rPr>
              <w:t>completed (10%)</w:t>
            </w:r>
          </w:p>
        </w:tc>
        <w:tc>
          <w:tcPr>
            <w:tcW w:w="1508" w:type="dxa"/>
            <w:tcBorders>
              <w:left w:val="single" w:sz="6" w:space="0" w:color="4471C4"/>
            </w:tcBorders>
            <w:shd w:val="clear" w:color="auto" w:fill="FFC000"/>
          </w:tcPr>
          <w:p>
            <w:pPr>
              <w:pStyle w:val="TableParagraph"/>
              <w:spacing w:before="18"/>
              <w:ind w:left="208" w:right="192"/>
              <w:jc w:val="center"/>
              <w:rPr>
                <w:sz w:val="21"/>
              </w:rPr>
            </w:pPr>
            <w:r>
              <w:rPr>
                <w:w w:val="110"/>
                <w:sz w:val="21"/>
              </w:rPr>
              <w:t>20% (of</w:t>
            </w:r>
            <w:r>
              <w:rPr>
                <w:spacing w:val="-1"/>
                <w:w w:val="110"/>
                <w:sz w:val="21"/>
              </w:rPr>
              <w:t> </w:t>
            </w:r>
            <w:r>
              <w:rPr>
                <w:spacing w:val="-5"/>
                <w:w w:val="110"/>
                <w:sz w:val="21"/>
              </w:rPr>
              <w:t>90)</w:t>
            </w:r>
          </w:p>
        </w:tc>
      </w:tr>
      <w:tr>
        <w:trPr>
          <w:trHeight w:val="1267" w:hRule="atLeast"/>
        </w:trPr>
        <w:tc>
          <w:tcPr>
            <w:tcW w:w="2143" w:type="dxa"/>
            <w:tcBorders>
              <w:left w:val="single" w:sz="6" w:space="0" w:color="4471C4"/>
              <w:right w:val="single" w:sz="6" w:space="0" w:color="4471C4"/>
            </w:tcBorders>
          </w:tcPr>
          <w:p>
            <w:pPr>
              <w:pStyle w:val="TableParagraph"/>
              <w:spacing w:line="259" w:lineRule="auto" w:before="46"/>
              <w:ind w:left="34" w:right="85"/>
              <w:jc w:val="both"/>
              <w:rPr>
                <w:sz w:val="18"/>
              </w:rPr>
            </w:pPr>
            <w:r>
              <w:rPr>
                <w:w w:val="105"/>
                <w:sz w:val="18"/>
              </w:rPr>
              <w:t>1.1.2</w:t>
            </w:r>
            <w:r>
              <w:rPr>
                <w:spacing w:val="40"/>
                <w:w w:val="105"/>
                <w:sz w:val="18"/>
              </w:rPr>
              <w:t> </w:t>
            </w:r>
            <w:r>
              <w:rPr>
                <w:w w:val="105"/>
                <w:sz w:val="18"/>
              </w:rPr>
              <w:t>Transition</w:t>
            </w:r>
            <w:r>
              <w:rPr>
                <w:spacing w:val="-11"/>
                <w:w w:val="105"/>
                <w:sz w:val="18"/>
              </w:rPr>
              <w:t> </w:t>
            </w:r>
            <w:r>
              <w:rPr>
                <w:w w:val="105"/>
                <w:sz w:val="18"/>
              </w:rPr>
              <w:t>Rates</w:t>
            </w:r>
            <w:r>
              <w:rPr>
                <w:spacing w:val="-9"/>
                <w:w w:val="105"/>
                <w:sz w:val="18"/>
              </w:rPr>
              <w:t> </w:t>
            </w:r>
            <w:r>
              <w:rPr>
                <w:w w:val="105"/>
                <w:sz w:val="18"/>
              </w:rPr>
              <w:t>for year 6 to 7 and year 9 to</w:t>
            </w:r>
          </w:p>
          <w:p>
            <w:pPr>
              <w:pStyle w:val="TableParagraph"/>
              <w:spacing w:line="259" w:lineRule="auto" w:before="1"/>
              <w:ind w:left="34" w:right="396"/>
              <w:jc w:val="both"/>
              <w:rPr>
                <w:sz w:val="18"/>
              </w:rPr>
            </w:pPr>
            <w:r>
              <w:rPr>
                <w:w w:val="105"/>
                <w:sz w:val="18"/>
              </w:rPr>
              <w:t>10</w:t>
            </w:r>
            <w:r>
              <w:rPr>
                <w:spacing w:val="-4"/>
                <w:w w:val="105"/>
                <w:sz w:val="18"/>
              </w:rPr>
              <w:t> </w:t>
            </w:r>
            <w:r>
              <w:rPr>
                <w:w w:val="105"/>
                <w:sz w:val="18"/>
              </w:rPr>
              <w:t>from</w:t>
            </w:r>
            <w:r>
              <w:rPr>
                <w:spacing w:val="-6"/>
                <w:w w:val="105"/>
                <w:sz w:val="18"/>
              </w:rPr>
              <w:t> </w:t>
            </w:r>
            <w:r>
              <w:rPr>
                <w:w w:val="105"/>
                <w:sz w:val="18"/>
              </w:rPr>
              <w:t>2017</w:t>
            </w:r>
            <w:r>
              <w:rPr>
                <w:spacing w:val="-4"/>
                <w:w w:val="105"/>
                <w:sz w:val="18"/>
              </w:rPr>
              <w:t> </w:t>
            </w:r>
            <w:r>
              <w:rPr>
                <w:w w:val="105"/>
                <w:sz w:val="18"/>
              </w:rPr>
              <w:t>to 2018 show</w:t>
            </w:r>
            <w:r>
              <w:rPr>
                <w:spacing w:val="-11"/>
                <w:w w:val="105"/>
                <w:sz w:val="18"/>
              </w:rPr>
              <w:t> </w:t>
            </w:r>
            <w:r>
              <w:rPr>
                <w:w w:val="105"/>
                <w:sz w:val="18"/>
              </w:rPr>
              <w:t>an</w:t>
            </w:r>
            <w:r>
              <w:rPr>
                <w:spacing w:val="-11"/>
                <w:w w:val="105"/>
                <w:sz w:val="18"/>
              </w:rPr>
              <w:t> </w:t>
            </w:r>
            <w:r>
              <w:rPr>
                <w:w w:val="105"/>
                <w:sz w:val="18"/>
              </w:rPr>
              <w:t>increase</w:t>
            </w:r>
            <w:r>
              <w:rPr>
                <w:spacing w:val="-11"/>
                <w:w w:val="105"/>
                <w:sz w:val="18"/>
              </w:rPr>
              <w:t> </w:t>
            </w:r>
            <w:r>
              <w:rPr>
                <w:w w:val="105"/>
                <w:sz w:val="18"/>
              </w:rPr>
              <w:t>over </w:t>
            </w:r>
            <w:r>
              <w:rPr>
                <w:spacing w:val="-2"/>
                <w:w w:val="105"/>
                <w:sz w:val="18"/>
              </w:rPr>
              <w:t>2016-2017</w:t>
            </w:r>
          </w:p>
        </w:tc>
        <w:tc>
          <w:tcPr>
            <w:tcW w:w="2206" w:type="dxa"/>
            <w:tcBorders>
              <w:left w:val="single" w:sz="6" w:space="0" w:color="4471C4"/>
              <w:right w:val="single" w:sz="6" w:space="0" w:color="4471C4"/>
            </w:tcBorders>
          </w:tcPr>
          <w:p>
            <w:pPr>
              <w:pStyle w:val="TableParagraph"/>
              <w:spacing w:line="259" w:lineRule="auto" w:before="7"/>
              <w:ind w:left="34"/>
              <w:rPr>
                <w:sz w:val="18"/>
              </w:rPr>
            </w:pPr>
            <w:r>
              <w:rPr>
                <w:w w:val="105"/>
                <w:sz w:val="18"/>
              </w:rPr>
              <w:t>Transition Rates increase </w:t>
            </w:r>
            <w:r>
              <w:rPr>
                <w:spacing w:val="-2"/>
                <w:w w:val="105"/>
                <w:sz w:val="18"/>
              </w:rPr>
              <w:t>(10%)</w:t>
            </w:r>
            <w:r>
              <w:rPr>
                <w:spacing w:val="-9"/>
                <w:w w:val="105"/>
                <w:sz w:val="18"/>
              </w:rPr>
              <w:t> </w:t>
            </w:r>
            <w:r>
              <w:rPr>
                <w:spacing w:val="-2"/>
                <w:w w:val="105"/>
                <w:sz w:val="18"/>
              </w:rPr>
              <w:t>(as</w:t>
            </w:r>
            <w:r>
              <w:rPr>
                <w:spacing w:val="-9"/>
                <w:w w:val="105"/>
                <w:sz w:val="18"/>
              </w:rPr>
              <w:t> </w:t>
            </w:r>
            <w:r>
              <w:rPr>
                <w:spacing w:val="-2"/>
                <w:w w:val="105"/>
                <w:sz w:val="18"/>
              </w:rPr>
              <w:t>per</w:t>
            </w:r>
            <w:r>
              <w:rPr>
                <w:spacing w:val="-9"/>
                <w:w w:val="105"/>
                <w:sz w:val="18"/>
              </w:rPr>
              <w:t> </w:t>
            </w:r>
            <w:r>
              <w:rPr>
                <w:spacing w:val="-2"/>
                <w:w w:val="105"/>
                <w:sz w:val="18"/>
              </w:rPr>
              <w:t>Annual</w:t>
            </w:r>
            <w:r>
              <w:rPr>
                <w:spacing w:val="-8"/>
                <w:w w:val="105"/>
                <w:sz w:val="18"/>
              </w:rPr>
              <w:t> </w:t>
            </w:r>
            <w:r>
              <w:rPr>
                <w:spacing w:val="-2"/>
                <w:w w:val="105"/>
                <w:sz w:val="18"/>
              </w:rPr>
              <w:t>Report </w:t>
            </w:r>
            <w:r>
              <w:rPr>
                <w:spacing w:val="-4"/>
                <w:w w:val="105"/>
                <w:sz w:val="18"/>
              </w:rPr>
              <w:t>2018)</w:t>
            </w:r>
          </w:p>
        </w:tc>
        <w:tc>
          <w:tcPr>
            <w:tcW w:w="1508" w:type="dxa"/>
            <w:tcBorders>
              <w:left w:val="single" w:sz="6" w:space="0" w:color="4471C4"/>
            </w:tcBorders>
          </w:tcPr>
          <w:p>
            <w:pPr>
              <w:pStyle w:val="TableParagraph"/>
              <w:spacing w:before="18"/>
              <w:ind w:left="23"/>
              <w:jc w:val="center"/>
              <w:rPr>
                <w:sz w:val="21"/>
              </w:rPr>
            </w:pPr>
            <w:r>
              <w:rPr>
                <w:w w:val="109"/>
                <w:sz w:val="21"/>
              </w:rPr>
              <w:t>0</w:t>
            </w:r>
          </w:p>
        </w:tc>
      </w:tr>
    </w:tbl>
    <w:p>
      <w:pPr>
        <w:pStyle w:val="BodyText"/>
        <w:spacing w:before="203"/>
        <w:ind w:left="220" w:right="1254"/>
        <w:jc w:val="both"/>
      </w:pPr>
      <w:r>
        <w:rPr>
          <w:b/>
        </w:rPr>
        <w:t>Source: </w:t>
      </w:r>
      <w:r>
        <w:rPr/>
        <w:t>SIEMIS,</w:t>
      </w:r>
      <w:r>
        <w:rPr>
          <w:spacing w:val="-1"/>
        </w:rPr>
        <w:t> </w:t>
      </w:r>
      <w:r>
        <w:rPr/>
        <w:t>MEHRD SISE</w:t>
      </w:r>
      <w:r>
        <w:rPr>
          <w:spacing w:val="-1"/>
        </w:rPr>
        <w:t> </w:t>
      </w:r>
      <w:r>
        <w:rPr/>
        <w:t>Phase-out Committee working papers and</w:t>
      </w:r>
      <w:r>
        <w:rPr>
          <w:spacing w:val="-1"/>
        </w:rPr>
        <w:t> </w:t>
      </w:r>
      <w:r>
        <w:rPr/>
        <w:t>minutes, Key Output Report, Quarterly Progress Report, Mid NEAP Review Findings report.</w:t>
      </w:r>
    </w:p>
    <w:p>
      <w:pPr>
        <w:pStyle w:val="BodyText"/>
        <w:spacing w:before="4"/>
        <w:rPr>
          <w:sz w:val="16"/>
        </w:rPr>
      </w:pPr>
    </w:p>
    <w:p>
      <w:pPr>
        <w:pStyle w:val="BodyText"/>
        <w:ind w:left="220" w:right="1253"/>
        <w:jc w:val="both"/>
      </w:pPr>
      <w:r>
        <w:rPr>
          <w:b/>
        </w:rPr>
        <w:t>Performance Indicator 1.1.1 </w:t>
      </w:r>
      <w:r>
        <w:rPr/>
        <w:t>The NEAP has outlined MEHRD’s overarching plan for addressing blockages to participation by 2020. As noted in the 2018 Independent Assessment, there has been much reporting on barriers to access since 2009. The SSU has again confirmed that most of the findings from the </w:t>
      </w:r>
      <w:r>
        <w:rPr>
          <w:i/>
        </w:rPr>
        <w:t>2010 Barriers to Access Report </w:t>
      </w:r>
      <w:r>
        <w:rPr/>
        <w:t>still stand today. A costed plan to phase-out the Solomon Islands Secondary Entrance Examination (SISE) for year 6 and year 9 students is seen as a first step to reduce barriers to access. A SISE Phase-out Committee was established in 2018 for this purpose. This Committee has produced substantial analysis of the current situation and possible future implications of increased enrolments. These internal working papers include detailed and informative assessments of:</w:t>
      </w:r>
    </w:p>
    <w:p>
      <w:pPr>
        <w:pStyle w:val="BodyText"/>
        <w:spacing w:before="4"/>
        <w:rPr>
          <w:sz w:val="16"/>
        </w:rPr>
      </w:pPr>
    </w:p>
    <w:p>
      <w:pPr>
        <w:pStyle w:val="ListParagraph"/>
        <w:numPr>
          <w:ilvl w:val="3"/>
          <w:numId w:val="4"/>
        </w:numPr>
        <w:tabs>
          <w:tab w:pos="940" w:val="left" w:leader="none"/>
          <w:tab w:pos="941" w:val="left" w:leader="none"/>
        </w:tabs>
        <w:spacing w:line="240" w:lineRule="auto" w:before="1" w:after="0"/>
        <w:ind w:left="940" w:right="0" w:hanging="361"/>
        <w:jc w:val="left"/>
        <w:rPr>
          <w:sz w:val="22"/>
        </w:rPr>
      </w:pPr>
      <w:r>
        <w:rPr>
          <w:sz w:val="22"/>
        </w:rPr>
        <w:t>Available</w:t>
      </w:r>
      <w:r>
        <w:rPr>
          <w:spacing w:val="-4"/>
          <w:sz w:val="22"/>
        </w:rPr>
        <w:t> </w:t>
      </w:r>
      <w:r>
        <w:rPr>
          <w:sz w:val="22"/>
        </w:rPr>
        <w:t>school</w:t>
      </w:r>
      <w:r>
        <w:rPr>
          <w:spacing w:val="-4"/>
          <w:sz w:val="22"/>
        </w:rPr>
        <w:t> </w:t>
      </w:r>
      <w:r>
        <w:rPr>
          <w:spacing w:val="-2"/>
          <w:sz w:val="22"/>
        </w:rPr>
        <w:t>spaces</w:t>
      </w:r>
    </w:p>
    <w:p>
      <w:pPr>
        <w:pStyle w:val="ListParagraph"/>
        <w:numPr>
          <w:ilvl w:val="3"/>
          <w:numId w:val="4"/>
        </w:numPr>
        <w:tabs>
          <w:tab w:pos="940" w:val="left" w:leader="none"/>
          <w:tab w:pos="941" w:val="left" w:leader="none"/>
        </w:tabs>
        <w:spacing w:line="240" w:lineRule="auto" w:before="199" w:after="0"/>
        <w:ind w:left="940" w:right="0" w:hanging="361"/>
        <w:jc w:val="left"/>
        <w:rPr>
          <w:sz w:val="22"/>
        </w:rPr>
      </w:pPr>
      <w:r>
        <w:rPr>
          <w:sz w:val="22"/>
        </w:rPr>
        <w:t>School</w:t>
      </w:r>
      <w:r>
        <w:rPr>
          <w:spacing w:val="-5"/>
          <w:sz w:val="22"/>
        </w:rPr>
        <w:t> </w:t>
      </w:r>
      <w:r>
        <w:rPr>
          <w:sz w:val="22"/>
        </w:rPr>
        <w:t>upgrades</w:t>
      </w:r>
      <w:r>
        <w:rPr>
          <w:spacing w:val="-5"/>
          <w:sz w:val="22"/>
        </w:rPr>
        <w:t> </w:t>
      </w:r>
      <w:r>
        <w:rPr>
          <w:spacing w:val="-2"/>
          <w:sz w:val="22"/>
        </w:rPr>
        <w:t>needed</w:t>
      </w:r>
    </w:p>
    <w:p>
      <w:pPr>
        <w:pStyle w:val="ListParagraph"/>
        <w:numPr>
          <w:ilvl w:val="3"/>
          <w:numId w:val="4"/>
        </w:numPr>
        <w:tabs>
          <w:tab w:pos="940" w:val="left" w:leader="none"/>
          <w:tab w:pos="941" w:val="left" w:leader="none"/>
        </w:tabs>
        <w:spacing w:line="240" w:lineRule="auto" w:before="200" w:after="0"/>
        <w:ind w:left="940" w:right="0" w:hanging="361"/>
        <w:jc w:val="left"/>
        <w:rPr>
          <w:sz w:val="22"/>
        </w:rPr>
      </w:pPr>
      <w:r>
        <w:rPr>
          <w:sz w:val="22"/>
        </w:rPr>
        <w:t>Placement</w:t>
      </w:r>
      <w:r>
        <w:rPr>
          <w:spacing w:val="-6"/>
          <w:sz w:val="22"/>
        </w:rPr>
        <w:t> </w:t>
      </w:r>
      <w:r>
        <w:rPr>
          <w:spacing w:val="-2"/>
          <w:sz w:val="22"/>
        </w:rPr>
        <w:t>rates</w:t>
      </w:r>
    </w:p>
    <w:p>
      <w:pPr>
        <w:pStyle w:val="ListParagraph"/>
        <w:numPr>
          <w:ilvl w:val="3"/>
          <w:numId w:val="4"/>
        </w:numPr>
        <w:tabs>
          <w:tab w:pos="940" w:val="left" w:leader="none"/>
          <w:tab w:pos="941" w:val="left" w:leader="none"/>
        </w:tabs>
        <w:spacing w:line="240" w:lineRule="auto" w:before="203" w:after="0"/>
        <w:ind w:left="940" w:right="0" w:hanging="361"/>
        <w:jc w:val="left"/>
        <w:rPr>
          <w:sz w:val="22"/>
        </w:rPr>
      </w:pPr>
      <w:r>
        <w:rPr>
          <w:sz w:val="22"/>
        </w:rPr>
        <w:t>Specific</w:t>
      </w:r>
      <w:r>
        <w:rPr>
          <w:spacing w:val="-3"/>
          <w:sz w:val="22"/>
        </w:rPr>
        <w:t> </w:t>
      </w:r>
      <w:r>
        <w:rPr>
          <w:sz w:val="22"/>
        </w:rPr>
        <w:t>locations</w:t>
      </w:r>
      <w:r>
        <w:rPr>
          <w:spacing w:val="-2"/>
          <w:sz w:val="22"/>
        </w:rPr>
        <w:t> </w:t>
      </w:r>
      <w:r>
        <w:rPr>
          <w:sz w:val="22"/>
        </w:rPr>
        <w:t>that</w:t>
      </w:r>
      <w:r>
        <w:rPr>
          <w:spacing w:val="-6"/>
          <w:sz w:val="22"/>
        </w:rPr>
        <w:t> </w:t>
      </w:r>
      <w:r>
        <w:rPr>
          <w:sz w:val="22"/>
        </w:rPr>
        <w:t>need</w:t>
      </w:r>
      <w:r>
        <w:rPr>
          <w:spacing w:val="-6"/>
          <w:sz w:val="22"/>
        </w:rPr>
        <w:t> </w:t>
      </w:r>
      <w:r>
        <w:rPr>
          <w:sz w:val="22"/>
        </w:rPr>
        <w:t>further</w:t>
      </w:r>
      <w:r>
        <w:rPr>
          <w:spacing w:val="-2"/>
          <w:sz w:val="22"/>
        </w:rPr>
        <w:t> investigation</w:t>
      </w:r>
    </w:p>
    <w:p>
      <w:pPr>
        <w:pStyle w:val="ListParagraph"/>
        <w:numPr>
          <w:ilvl w:val="3"/>
          <w:numId w:val="4"/>
        </w:numPr>
        <w:tabs>
          <w:tab w:pos="940" w:val="left" w:leader="none"/>
          <w:tab w:pos="941" w:val="left" w:leader="none"/>
        </w:tabs>
        <w:spacing w:line="240" w:lineRule="auto" w:before="199" w:after="0"/>
        <w:ind w:left="940" w:right="0" w:hanging="361"/>
        <w:jc w:val="left"/>
        <w:rPr>
          <w:sz w:val="22"/>
        </w:rPr>
      </w:pPr>
      <w:r>
        <w:rPr>
          <w:sz w:val="22"/>
        </w:rPr>
        <w:t>Future</w:t>
      </w:r>
      <w:r>
        <w:rPr>
          <w:spacing w:val="-3"/>
          <w:sz w:val="22"/>
        </w:rPr>
        <w:t> </w:t>
      </w:r>
      <w:r>
        <w:rPr>
          <w:sz w:val="22"/>
        </w:rPr>
        <w:t>classes</w:t>
      </w:r>
      <w:r>
        <w:rPr>
          <w:spacing w:val="-2"/>
          <w:sz w:val="22"/>
        </w:rPr>
        <w:t> required</w:t>
      </w:r>
    </w:p>
    <w:p>
      <w:pPr>
        <w:pStyle w:val="ListParagraph"/>
        <w:numPr>
          <w:ilvl w:val="3"/>
          <w:numId w:val="4"/>
        </w:numPr>
        <w:tabs>
          <w:tab w:pos="940" w:val="left" w:leader="none"/>
          <w:tab w:pos="941" w:val="left" w:leader="none"/>
        </w:tabs>
        <w:spacing w:line="240" w:lineRule="auto" w:before="200" w:after="0"/>
        <w:ind w:left="940" w:right="0" w:hanging="361"/>
        <w:jc w:val="left"/>
        <w:rPr>
          <w:sz w:val="22"/>
        </w:rPr>
      </w:pPr>
      <w:r>
        <w:rPr>
          <w:sz w:val="22"/>
        </w:rPr>
        <w:t>Teacher</w:t>
      </w:r>
      <w:r>
        <w:rPr>
          <w:spacing w:val="-4"/>
          <w:sz w:val="22"/>
        </w:rPr>
        <w:t> </w:t>
      </w:r>
      <w:r>
        <w:rPr>
          <w:spacing w:val="-2"/>
          <w:sz w:val="22"/>
        </w:rPr>
        <w:t>distribution</w:t>
      </w:r>
    </w:p>
    <w:p>
      <w:pPr>
        <w:pStyle w:val="ListParagraph"/>
        <w:numPr>
          <w:ilvl w:val="3"/>
          <w:numId w:val="4"/>
        </w:numPr>
        <w:tabs>
          <w:tab w:pos="940" w:val="left" w:leader="none"/>
          <w:tab w:pos="941" w:val="left" w:leader="none"/>
        </w:tabs>
        <w:spacing w:line="240" w:lineRule="auto" w:before="200" w:after="0"/>
        <w:ind w:left="940" w:right="0" w:hanging="361"/>
        <w:jc w:val="left"/>
        <w:rPr>
          <w:sz w:val="22"/>
        </w:rPr>
      </w:pPr>
      <w:r>
        <w:rPr>
          <w:sz w:val="22"/>
        </w:rPr>
        <w:t>Several</w:t>
      </w:r>
      <w:r>
        <w:rPr>
          <w:spacing w:val="-6"/>
          <w:sz w:val="22"/>
        </w:rPr>
        <w:t> </w:t>
      </w:r>
      <w:r>
        <w:rPr>
          <w:sz w:val="22"/>
        </w:rPr>
        <w:t>options</w:t>
      </w:r>
      <w:r>
        <w:rPr>
          <w:spacing w:val="-2"/>
          <w:sz w:val="22"/>
        </w:rPr>
        <w:t> </w:t>
      </w:r>
      <w:r>
        <w:rPr>
          <w:sz w:val="22"/>
        </w:rPr>
        <w:t>for</w:t>
      </w:r>
      <w:r>
        <w:rPr>
          <w:spacing w:val="-2"/>
          <w:sz w:val="22"/>
        </w:rPr>
        <w:t> implementation</w:t>
      </w:r>
    </w:p>
    <w:p>
      <w:pPr>
        <w:pStyle w:val="ListParagraph"/>
        <w:numPr>
          <w:ilvl w:val="3"/>
          <w:numId w:val="4"/>
        </w:numPr>
        <w:tabs>
          <w:tab w:pos="940" w:val="left" w:leader="none"/>
          <w:tab w:pos="941" w:val="left" w:leader="none"/>
        </w:tabs>
        <w:spacing w:line="240" w:lineRule="auto" w:before="200" w:after="0"/>
        <w:ind w:left="940" w:right="0" w:hanging="361"/>
        <w:jc w:val="left"/>
        <w:rPr>
          <w:sz w:val="22"/>
        </w:rPr>
      </w:pPr>
      <w:r>
        <w:rPr>
          <w:sz w:val="22"/>
        </w:rPr>
        <w:t>Enrolment</w:t>
      </w:r>
      <w:r>
        <w:rPr>
          <w:spacing w:val="-5"/>
          <w:sz w:val="22"/>
        </w:rPr>
        <w:t> </w:t>
      </w:r>
      <w:r>
        <w:rPr>
          <w:sz w:val="22"/>
        </w:rPr>
        <w:t>trends</w:t>
      </w:r>
      <w:r>
        <w:rPr>
          <w:spacing w:val="-5"/>
          <w:sz w:val="22"/>
        </w:rPr>
        <w:t> </w:t>
      </w:r>
      <w:r>
        <w:rPr>
          <w:sz w:val="22"/>
        </w:rPr>
        <w:t>over</w:t>
      </w:r>
      <w:r>
        <w:rPr>
          <w:spacing w:val="-3"/>
          <w:sz w:val="22"/>
        </w:rPr>
        <w:t> </w:t>
      </w:r>
      <w:r>
        <w:rPr>
          <w:sz w:val="22"/>
        </w:rPr>
        <w:t>the</w:t>
      </w:r>
      <w:r>
        <w:rPr>
          <w:spacing w:val="-4"/>
          <w:sz w:val="22"/>
        </w:rPr>
        <w:t> </w:t>
      </w:r>
      <w:r>
        <w:rPr>
          <w:sz w:val="22"/>
        </w:rPr>
        <w:t>period</w:t>
      </w:r>
      <w:r>
        <w:rPr>
          <w:spacing w:val="-6"/>
          <w:sz w:val="22"/>
        </w:rPr>
        <w:t> </w:t>
      </w:r>
      <w:r>
        <w:rPr>
          <w:sz w:val="22"/>
        </w:rPr>
        <w:t>2011-2018</w:t>
      </w:r>
      <w:r>
        <w:rPr>
          <w:spacing w:val="-3"/>
          <w:sz w:val="22"/>
        </w:rPr>
        <w:t> </w:t>
      </w:r>
      <w:r>
        <w:rPr>
          <w:sz w:val="22"/>
        </w:rPr>
        <w:t>by</w:t>
      </w:r>
      <w:r>
        <w:rPr>
          <w:spacing w:val="-2"/>
          <w:sz w:val="22"/>
        </w:rPr>
        <w:t> gender</w:t>
      </w:r>
    </w:p>
    <w:p>
      <w:pPr>
        <w:pStyle w:val="ListParagraph"/>
        <w:numPr>
          <w:ilvl w:val="3"/>
          <w:numId w:val="4"/>
        </w:numPr>
        <w:tabs>
          <w:tab w:pos="940" w:val="left" w:leader="none"/>
          <w:tab w:pos="941" w:val="left" w:leader="none"/>
        </w:tabs>
        <w:spacing w:line="240" w:lineRule="auto" w:before="199" w:after="0"/>
        <w:ind w:left="940" w:right="0" w:hanging="361"/>
        <w:jc w:val="left"/>
        <w:rPr>
          <w:sz w:val="22"/>
        </w:rPr>
      </w:pPr>
      <w:r>
        <w:rPr>
          <w:sz w:val="22"/>
        </w:rPr>
        <w:t>Subject</w:t>
      </w:r>
      <w:r>
        <w:rPr>
          <w:spacing w:val="-6"/>
          <w:sz w:val="22"/>
        </w:rPr>
        <w:t> </w:t>
      </w:r>
      <w:r>
        <w:rPr>
          <w:sz w:val="22"/>
        </w:rPr>
        <w:t>performance</w:t>
      </w:r>
      <w:r>
        <w:rPr>
          <w:spacing w:val="-5"/>
          <w:sz w:val="22"/>
        </w:rPr>
        <w:t> </w:t>
      </w:r>
      <w:r>
        <w:rPr>
          <w:sz w:val="22"/>
        </w:rPr>
        <w:t>by</w:t>
      </w:r>
      <w:r>
        <w:rPr>
          <w:spacing w:val="-5"/>
          <w:sz w:val="22"/>
        </w:rPr>
        <w:t> </w:t>
      </w:r>
      <w:r>
        <w:rPr>
          <w:spacing w:val="-2"/>
          <w:sz w:val="22"/>
        </w:rPr>
        <w:t>gender</w:t>
      </w:r>
    </w:p>
    <w:p>
      <w:pPr>
        <w:pStyle w:val="ListParagraph"/>
        <w:numPr>
          <w:ilvl w:val="3"/>
          <w:numId w:val="4"/>
        </w:numPr>
        <w:tabs>
          <w:tab w:pos="940" w:val="left" w:leader="none"/>
          <w:tab w:pos="941" w:val="left" w:leader="none"/>
        </w:tabs>
        <w:spacing w:line="240" w:lineRule="auto" w:before="200" w:after="0"/>
        <w:ind w:left="940" w:right="0" w:hanging="361"/>
        <w:jc w:val="left"/>
        <w:rPr>
          <w:sz w:val="22"/>
        </w:rPr>
      </w:pPr>
      <w:r>
        <w:rPr>
          <w:spacing w:val="-2"/>
          <w:sz w:val="22"/>
        </w:rPr>
        <w:t>Pushouts</w:t>
      </w:r>
    </w:p>
    <w:p>
      <w:pPr>
        <w:spacing w:after="0" w:line="240" w:lineRule="auto"/>
        <w:jc w:val="left"/>
        <w:rPr>
          <w:sz w:val="22"/>
        </w:rPr>
        <w:sectPr>
          <w:pgSz w:w="11900" w:h="16850"/>
          <w:pgMar w:header="867" w:footer="830" w:top="1060" w:bottom="1020" w:left="1220" w:right="180"/>
        </w:sectPr>
      </w:pPr>
    </w:p>
    <w:p>
      <w:pPr>
        <w:pStyle w:val="BodyText"/>
        <w:rPr>
          <w:sz w:val="20"/>
        </w:rPr>
      </w:pPr>
    </w:p>
    <w:p>
      <w:pPr>
        <w:pStyle w:val="BodyText"/>
        <w:spacing w:before="6"/>
        <w:rPr>
          <w:sz w:val="26"/>
        </w:rPr>
      </w:pPr>
    </w:p>
    <w:p>
      <w:pPr>
        <w:spacing w:before="57"/>
        <w:ind w:left="220" w:right="1256" w:firstLine="0"/>
        <w:jc w:val="both"/>
        <w:rPr>
          <w:b/>
          <w:sz w:val="22"/>
        </w:rPr>
      </w:pPr>
      <w:r>
        <w:rPr>
          <w:sz w:val="22"/>
        </w:rPr>
        <w:t>A fully costed plan was not completed in 2018; however, the MEHRD Permanent Secretary remains fully committed to removing Year 6 exams in 2019 and analytical work on its implications is continuing.</w:t>
      </w:r>
      <w:r>
        <w:rPr>
          <w:spacing w:val="40"/>
          <w:sz w:val="22"/>
        </w:rPr>
        <w:t> </w:t>
      </w:r>
      <w:r>
        <w:rPr>
          <w:sz w:val="22"/>
        </w:rPr>
        <w:t>In recognition of the quality analysis and effort of the SISE Phase-out Committee to progress this issue, </w:t>
      </w:r>
      <w:r>
        <w:rPr>
          <w:b/>
          <w:sz w:val="22"/>
        </w:rPr>
        <w:t>indicator 1.1.1 is assessed at 20 per cent achieved (of a possible 90 per cent).</w:t>
      </w:r>
    </w:p>
    <w:p>
      <w:pPr>
        <w:pStyle w:val="BodyText"/>
        <w:spacing w:before="4"/>
        <w:rPr>
          <w:b/>
          <w:sz w:val="16"/>
        </w:rPr>
      </w:pPr>
    </w:p>
    <w:p>
      <w:pPr>
        <w:pStyle w:val="BodyText"/>
        <w:ind w:left="220" w:right="1253"/>
        <w:jc w:val="both"/>
      </w:pPr>
      <w:r>
        <w:rPr>
          <w:b/>
        </w:rPr>
        <w:t>Performance Indicator 1.1.2 </w:t>
      </w:r>
      <w:r>
        <w:rPr/>
        <w:t>In 2017 to 2018, transition rates of students from year 6 to 7 has decreased</w:t>
      </w:r>
      <w:r>
        <w:rPr>
          <w:spacing w:val="9"/>
        </w:rPr>
        <w:t> </w:t>
      </w:r>
      <w:r>
        <w:rPr/>
        <w:t>slightly</w:t>
      </w:r>
      <w:r>
        <w:rPr>
          <w:spacing w:val="11"/>
        </w:rPr>
        <w:t> </w:t>
      </w:r>
      <w:r>
        <w:rPr/>
        <w:t>from</w:t>
      </w:r>
      <w:r>
        <w:rPr>
          <w:spacing w:val="10"/>
        </w:rPr>
        <w:t> </w:t>
      </w:r>
      <w:r>
        <w:rPr/>
        <w:t>89.1</w:t>
      </w:r>
      <w:r>
        <w:rPr>
          <w:spacing w:val="11"/>
        </w:rPr>
        <w:t> </w:t>
      </w:r>
      <w:r>
        <w:rPr/>
        <w:t>to</w:t>
      </w:r>
      <w:r>
        <w:rPr>
          <w:spacing w:val="11"/>
        </w:rPr>
        <w:t> </w:t>
      </w:r>
      <w:r>
        <w:rPr/>
        <w:t>88.5</w:t>
      </w:r>
      <w:r>
        <w:rPr>
          <w:spacing w:val="12"/>
        </w:rPr>
        <w:t> </w:t>
      </w:r>
      <w:r>
        <w:rPr/>
        <w:t>per</w:t>
      </w:r>
      <w:r>
        <w:rPr>
          <w:spacing w:val="10"/>
        </w:rPr>
        <w:t> </w:t>
      </w:r>
      <w:r>
        <w:rPr/>
        <w:t>cent.</w:t>
      </w:r>
      <w:r>
        <w:rPr>
          <w:spacing w:val="7"/>
        </w:rPr>
        <w:t> </w:t>
      </w:r>
      <w:r>
        <w:rPr/>
        <w:t>Year</w:t>
      </w:r>
      <w:r>
        <w:rPr>
          <w:spacing w:val="8"/>
        </w:rPr>
        <w:t> </w:t>
      </w:r>
      <w:r>
        <w:rPr/>
        <w:t>9</w:t>
      </w:r>
      <w:r>
        <w:rPr>
          <w:spacing w:val="7"/>
        </w:rPr>
        <w:t> </w:t>
      </w:r>
      <w:r>
        <w:rPr/>
        <w:t>to</w:t>
      </w:r>
      <w:r>
        <w:rPr>
          <w:spacing w:val="9"/>
        </w:rPr>
        <w:t> </w:t>
      </w:r>
      <w:r>
        <w:rPr/>
        <w:t>10</w:t>
      </w:r>
      <w:r>
        <w:rPr>
          <w:spacing w:val="10"/>
        </w:rPr>
        <w:t> </w:t>
      </w:r>
      <w:r>
        <w:rPr/>
        <w:t>transition</w:t>
      </w:r>
      <w:r>
        <w:rPr>
          <w:spacing w:val="9"/>
        </w:rPr>
        <w:t> </w:t>
      </w:r>
      <w:r>
        <w:rPr/>
        <w:t>rates</w:t>
      </w:r>
      <w:r>
        <w:rPr>
          <w:spacing w:val="7"/>
        </w:rPr>
        <w:t> </w:t>
      </w:r>
      <w:r>
        <w:rPr/>
        <w:t>also</w:t>
      </w:r>
      <w:r>
        <w:rPr>
          <w:spacing w:val="6"/>
        </w:rPr>
        <w:t> </w:t>
      </w:r>
      <w:r>
        <w:rPr/>
        <w:t>has</w:t>
      </w:r>
      <w:r>
        <w:rPr>
          <w:spacing w:val="10"/>
        </w:rPr>
        <w:t> </w:t>
      </w:r>
      <w:r>
        <w:rPr/>
        <w:t>decreased</w:t>
      </w:r>
      <w:r>
        <w:rPr>
          <w:spacing w:val="10"/>
        </w:rPr>
        <w:t> </w:t>
      </w:r>
      <w:r>
        <w:rPr>
          <w:spacing w:val="-4"/>
        </w:rPr>
        <w:t>from</w:t>
      </w:r>
    </w:p>
    <w:p>
      <w:pPr>
        <w:pStyle w:val="BodyText"/>
        <w:spacing w:before="1"/>
        <w:ind w:left="220" w:right="1252"/>
        <w:jc w:val="both"/>
      </w:pPr>
      <w:r>
        <w:rPr/>
        <w:t>77.3 to 76.2 per cent. Over the three-year period 2016 to 2018 (see Table 1) all years from Prep to year 9 are showing a decrease in transition rates. It is unclear why this is happening, though it could be a function of better data collection and visits to provinces to verify data against School Census Forms. It is also highly unusual to have a drop from Prep to Primary, which would indicate a data quality issue rather rather than a drop in actual transition rates.</w:t>
      </w:r>
    </w:p>
    <w:p>
      <w:pPr>
        <w:pStyle w:val="BodyText"/>
        <w:spacing w:before="8"/>
        <w:rPr>
          <w:sz w:val="16"/>
        </w:rPr>
      </w:pPr>
    </w:p>
    <w:p>
      <w:pPr>
        <w:pStyle w:val="Heading4"/>
        <w:rPr>
          <w:b w:val="0"/>
        </w:rPr>
      </w:pPr>
      <w:bookmarkStart w:name="_bookmark10" w:id="11"/>
      <w:bookmarkEnd w:id="11"/>
      <w:r>
        <w:rPr/>
      </w:r>
      <w:r>
        <w:rPr>
          <w:b w:val="0"/>
          <w:color w:val="2E5395"/>
        </w:rPr>
        <w:t>Table</w:t>
      </w:r>
      <w:r>
        <w:rPr>
          <w:b w:val="0"/>
          <w:color w:val="2E5395"/>
          <w:spacing w:val="-5"/>
        </w:rPr>
        <w:t> </w:t>
      </w:r>
      <w:r>
        <w:rPr>
          <w:b w:val="0"/>
          <w:color w:val="2E5395"/>
        </w:rPr>
        <w:t>1:</w:t>
      </w:r>
      <w:r>
        <w:rPr>
          <w:b w:val="0"/>
          <w:color w:val="2E5395"/>
          <w:spacing w:val="-1"/>
        </w:rPr>
        <w:t> </w:t>
      </w:r>
      <w:r>
        <w:rPr>
          <w:b w:val="0"/>
          <w:color w:val="2E5395"/>
        </w:rPr>
        <w:t>Transition</w:t>
      </w:r>
      <w:r>
        <w:rPr>
          <w:b w:val="0"/>
          <w:color w:val="2E5395"/>
          <w:spacing w:val="-1"/>
        </w:rPr>
        <w:t> </w:t>
      </w:r>
      <w:r>
        <w:rPr>
          <w:b w:val="0"/>
          <w:color w:val="2E5395"/>
        </w:rPr>
        <w:t>rates for</w:t>
      </w:r>
      <w:r>
        <w:rPr>
          <w:b w:val="0"/>
          <w:color w:val="2E5395"/>
          <w:spacing w:val="-2"/>
        </w:rPr>
        <w:t> </w:t>
      </w:r>
      <w:r>
        <w:rPr>
          <w:b w:val="0"/>
          <w:color w:val="2E5395"/>
        </w:rPr>
        <w:t>Pre-Primary,</w:t>
      </w:r>
      <w:r>
        <w:rPr>
          <w:b w:val="0"/>
          <w:color w:val="2E5395"/>
          <w:spacing w:val="-2"/>
        </w:rPr>
        <w:t> </w:t>
      </w:r>
      <w:r>
        <w:rPr>
          <w:b w:val="0"/>
          <w:color w:val="2E5395"/>
        </w:rPr>
        <w:t>Year</w:t>
      </w:r>
      <w:r>
        <w:rPr>
          <w:b w:val="0"/>
          <w:color w:val="2E5395"/>
          <w:spacing w:val="-2"/>
        </w:rPr>
        <w:t> </w:t>
      </w:r>
      <w:r>
        <w:rPr>
          <w:b w:val="0"/>
          <w:color w:val="2E5395"/>
        </w:rPr>
        <w:t>6,</w:t>
      </w:r>
      <w:r>
        <w:rPr>
          <w:b w:val="0"/>
          <w:color w:val="2E5395"/>
          <w:spacing w:val="-1"/>
        </w:rPr>
        <w:t> </w:t>
      </w:r>
      <w:r>
        <w:rPr>
          <w:b w:val="0"/>
          <w:color w:val="2E5395"/>
        </w:rPr>
        <w:t>9,</w:t>
      </w:r>
      <w:r>
        <w:rPr>
          <w:b w:val="0"/>
          <w:color w:val="2E5395"/>
          <w:spacing w:val="-2"/>
        </w:rPr>
        <w:t> </w:t>
      </w:r>
      <w:r>
        <w:rPr>
          <w:b w:val="0"/>
          <w:color w:val="2E5395"/>
        </w:rPr>
        <w:t>11 and</w:t>
      </w:r>
      <w:r>
        <w:rPr>
          <w:b w:val="0"/>
          <w:color w:val="2E5395"/>
          <w:spacing w:val="-3"/>
        </w:rPr>
        <w:t> </w:t>
      </w:r>
      <w:r>
        <w:rPr>
          <w:b w:val="0"/>
          <w:color w:val="2E5395"/>
        </w:rPr>
        <w:t>12</w:t>
      </w:r>
      <w:r>
        <w:rPr>
          <w:b w:val="0"/>
          <w:color w:val="2E5395"/>
          <w:spacing w:val="1"/>
        </w:rPr>
        <w:t> </w:t>
      </w:r>
      <w:r>
        <w:rPr>
          <w:b w:val="0"/>
          <w:color w:val="2E5395"/>
        </w:rPr>
        <w:t>(2016-</w:t>
      </w:r>
      <w:r>
        <w:rPr>
          <w:b w:val="0"/>
          <w:color w:val="2E5395"/>
          <w:spacing w:val="-2"/>
        </w:rPr>
        <w:t>2018).</w:t>
      </w:r>
    </w:p>
    <w:p>
      <w:pPr>
        <w:pStyle w:val="BodyText"/>
        <w:spacing w:before="6"/>
        <w:rPr>
          <w:rFonts w:ascii="Calibri Light"/>
          <w:b w:val="0"/>
          <w:sz w:val="21"/>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869"/>
        <w:gridCol w:w="871"/>
        <w:gridCol w:w="869"/>
        <w:gridCol w:w="872"/>
        <w:gridCol w:w="869"/>
        <w:gridCol w:w="871"/>
        <w:gridCol w:w="881"/>
        <w:gridCol w:w="881"/>
        <w:gridCol w:w="879"/>
      </w:tblGrid>
      <w:tr>
        <w:trPr>
          <w:trHeight w:val="467" w:hRule="atLeast"/>
        </w:trPr>
        <w:tc>
          <w:tcPr>
            <w:tcW w:w="1490" w:type="dxa"/>
            <w:tcBorders>
              <w:bottom w:val="single" w:sz="8" w:space="0" w:color="FFFFFF"/>
            </w:tcBorders>
            <w:shd w:val="clear" w:color="auto" w:fill="4471C4"/>
          </w:tcPr>
          <w:p>
            <w:pPr>
              <w:pStyle w:val="TableParagraph"/>
              <w:rPr>
                <w:rFonts w:ascii="Times New Roman"/>
                <w:sz w:val="20"/>
              </w:rPr>
            </w:pPr>
          </w:p>
        </w:tc>
        <w:tc>
          <w:tcPr>
            <w:tcW w:w="869" w:type="dxa"/>
            <w:tcBorders>
              <w:bottom w:val="single" w:sz="8" w:space="0" w:color="FFFFFF"/>
            </w:tcBorders>
            <w:shd w:val="clear" w:color="auto" w:fill="4471C4"/>
          </w:tcPr>
          <w:p>
            <w:pPr>
              <w:pStyle w:val="TableParagraph"/>
              <w:spacing w:line="268" w:lineRule="exact"/>
              <w:ind w:left="113"/>
              <w:rPr>
                <w:b/>
                <w:sz w:val="22"/>
              </w:rPr>
            </w:pPr>
            <w:r>
              <w:rPr>
                <w:b/>
                <w:spacing w:val="-4"/>
                <w:sz w:val="22"/>
              </w:rPr>
              <w:t>2016</w:t>
            </w:r>
          </w:p>
        </w:tc>
        <w:tc>
          <w:tcPr>
            <w:tcW w:w="871" w:type="dxa"/>
            <w:tcBorders>
              <w:bottom w:val="single" w:sz="8" w:space="0" w:color="FFFFFF"/>
            </w:tcBorders>
            <w:shd w:val="clear" w:color="auto" w:fill="4471C4"/>
          </w:tcPr>
          <w:p>
            <w:pPr>
              <w:pStyle w:val="TableParagraph"/>
              <w:rPr>
                <w:rFonts w:ascii="Times New Roman"/>
                <w:sz w:val="20"/>
              </w:rPr>
            </w:pPr>
          </w:p>
        </w:tc>
        <w:tc>
          <w:tcPr>
            <w:tcW w:w="869" w:type="dxa"/>
            <w:tcBorders>
              <w:bottom w:val="single" w:sz="8" w:space="0" w:color="FFFFFF"/>
            </w:tcBorders>
            <w:shd w:val="clear" w:color="auto" w:fill="4471C4"/>
          </w:tcPr>
          <w:p>
            <w:pPr>
              <w:pStyle w:val="TableParagraph"/>
              <w:rPr>
                <w:rFonts w:ascii="Times New Roman"/>
                <w:sz w:val="20"/>
              </w:rPr>
            </w:pPr>
          </w:p>
        </w:tc>
        <w:tc>
          <w:tcPr>
            <w:tcW w:w="872" w:type="dxa"/>
            <w:tcBorders>
              <w:bottom w:val="single" w:sz="8" w:space="0" w:color="FFFFFF"/>
            </w:tcBorders>
            <w:shd w:val="clear" w:color="auto" w:fill="4471C4"/>
          </w:tcPr>
          <w:p>
            <w:pPr>
              <w:pStyle w:val="TableParagraph"/>
              <w:spacing w:line="268" w:lineRule="exact"/>
              <w:ind w:left="113"/>
              <w:rPr>
                <w:b/>
                <w:sz w:val="22"/>
              </w:rPr>
            </w:pPr>
            <w:r>
              <w:rPr>
                <w:b/>
                <w:spacing w:val="-4"/>
                <w:sz w:val="22"/>
              </w:rPr>
              <w:t>2017</w:t>
            </w:r>
          </w:p>
        </w:tc>
        <w:tc>
          <w:tcPr>
            <w:tcW w:w="869" w:type="dxa"/>
            <w:tcBorders>
              <w:bottom w:val="single" w:sz="8" w:space="0" w:color="FFFFFF"/>
            </w:tcBorders>
            <w:shd w:val="clear" w:color="auto" w:fill="4471C4"/>
          </w:tcPr>
          <w:p>
            <w:pPr>
              <w:pStyle w:val="TableParagraph"/>
              <w:rPr>
                <w:rFonts w:ascii="Times New Roman"/>
                <w:sz w:val="20"/>
              </w:rPr>
            </w:pPr>
          </w:p>
        </w:tc>
        <w:tc>
          <w:tcPr>
            <w:tcW w:w="871" w:type="dxa"/>
            <w:tcBorders>
              <w:bottom w:val="single" w:sz="8" w:space="0" w:color="FFFFFF"/>
            </w:tcBorders>
            <w:shd w:val="clear" w:color="auto" w:fill="4471C4"/>
          </w:tcPr>
          <w:p>
            <w:pPr>
              <w:pStyle w:val="TableParagraph"/>
              <w:rPr>
                <w:rFonts w:ascii="Times New Roman"/>
                <w:sz w:val="20"/>
              </w:rPr>
            </w:pPr>
          </w:p>
        </w:tc>
        <w:tc>
          <w:tcPr>
            <w:tcW w:w="881" w:type="dxa"/>
            <w:tcBorders>
              <w:bottom w:val="single" w:sz="8" w:space="0" w:color="FFFFFF"/>
            </w:tcBorders>
            <w:shd w:val="clear" w:color="auto" w:fill="4471C4"/>
          </w:tcPr>
          <w:p>
            <w:pPr>
              <w:pStyle w:val="TableParagraph"/>
              <w:spacing w:line="268" w:lineRule="exact"/>
              <w:ind w:left="113"/>
              <w:rPr>
                <w:b/>
                <w:sz w:val="22"/>
              </w:rPr>
            </w:pPr>
            <w:r>
              <w:rPr>
                <w:b/>
                <w:spacing w:val="-4"/>
                <w:sz w:val="22"/>
              </w:rPr>
              <w:t>2018</w:t>
            </w:r>
          </w:p>
        </w:tc>
        <w:tc>
          <w:tcPr>
            <w:tcW w:w="881" w:type="dxa"/>
            <w:tcBorders>
              <w:bottom w:val="single" w:sz="8" w:space="0" w:color="FFFFFF"/>
            </w:tcBorders>
            <w:shd w:val="clear" w:color="auto" w:fill="4471C4"/>
          </w:tcPr>
          <w:p>
            <w:pPr>
              <w:pStyle w:val="TableParagraph"/>
              <w:rPr>
                <w:rFonts w:ascii="Times New Roman"/>
                <w:sz w:val="20"/>
              </w:rPr>
            </w:pPr>
          </w:p>
        </w:tc>
        <w:tc>
          <w:tcPr>
            <w:tcW w:w="879" w:type="dxa"/>
            <w:tcBorders>
              <w:bottom w:val="single" w:sz="8" w:space="0" w:color="FFFFFF"/>
            </w:tcBorders>
            <w:shd w:val="clear" w:color="auto" w:fill="4471C4"/>
          </w:tcPr>
          <w:p>
            <w:pPr>
              <w:pStyle w:val="TableParagraph"/>
              <w:rPr>
                <w:rFonts w:ascii="Times New Roman"/>
                <w:sz w:val="20"/>
              </w:rPr>
            </w:pPr>
          </w:p>
        </w:tc>
      </w:tr>
      <w:tr>
        <w:trPr>
          <w:trHeight w:val="463" w:hRule="atLeast"/>
        </w:trPr>
        <w:tc>
          <w:tcPr>
            <w:tcW w:w="1490" w:type="dxa"/>
            <w:tcBorders>
              <w:top w:val="single" w:sz="8" w:space="0" w:color="FFFFFF"/>
              <w:bottom w:val="single" w:sz="12" w:space="0" w:color="FFFFFF"/>
              <w:right w:val="single" w:sz="4" w:space="0" w:color="FFFFFF"/>
            </w:tcBorders>
            <w:shd w:val="clear" w:color="auto" w:fill="4471C4"/>
          </w:tcPr>
          <w:p>
            <w:pPr>
              <w:pStyle w:val="TableParagraph"/>
              <w:spacing w:line="267" w:lineRule="exact"/>
              <w:ind w:left="93"/>
              <w:rPr>
                <w:b/>
                <w:sz w:val="22"/>
              </w:rPr>
            </w:pPr>
            <w:r>
              <w:rPr>
                <w:b/>
                <w:sz w:val="22"/>
              </w:rPr>
              <w:t>Year</w:t>
            </w:r>
            <w:r>
              <w:rPr>
                <w:b/>
                <w:spacing w:val="-4"/>
                <w:sz w:val="22"/>
              </w:rPr>
              <w:t> </w:t>
            </w:r>
            <w:r>
              <w:rPr>
                <w:b/>
                <w:spacing w:val="-2"/>
                <w:sz w:val="22"/>
              </w:rPr>
              <w:t>Level</w:t>
            </w:r>
          </w:p>
        </w:tc>
        <w:tc>
          <w:tcPr>
            <w:tcW w:w="869" w:type="dxa"/>
            <w:tcBorders>
              <w:top w:val="single" w:sz="8" w:space="0" w:color="FFFFFF"/>
              <w:left w:val="single" w:sz="4" w:space="0" w:color="FFFFFF"/>
              <w:bottom w:val="single" w:sz="12" w:space="0" w:color="FFFFFF"/>
            </w:tcBorders>
            <w:shd w:val="clear" w:color="auto" w:fill="B4C5E7"/>
          </w:tcPr>
          <w:p>
            <w:pPr>
              <w:pStyle w:val="TableParagraph"/>
              <w:spacing w:line="267" w:lineRule="exact"/>
              <w:ind w:left="108"/>
              <w:rPr>
                <w:b/>
                <w:sz w:val="22"/>
              </w:rPr>
            </w:pPr>
            <w:r>
              <w:rPr>
                <w:b/>
                <w:w w:val="100"/>
                <w:sz w:val="22"/>
              </w:rPr>
              <w:t>M</w:t>
            </w:r>
          </w:p>
        </w:tc>
        <w:tc>
          <w:tcPr>
            <w:tcW w:w="871"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w w:val="100"/>
                <w:sz w:val="22"/>
              </w:rPr>
              <w:t>F</w:t>
            </w:r>
          </w:p>
        </w:tc>
        <w:tc>
          <w:tcPr>
            <w:tcW w:w="869"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spacing w:val="-2"/>
                <w:sz w:val="22"/>
              </w:rPr>
              <w:t>Total</w:t>
            </w:r>
          </w:p>
        </w:tc>
        <w:tc>
          <w:tcPr>
            <w:tcW w:w="872"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w w:val="100"/>
                <w:sz w:val="22"/>
              </w:rPr>
              <w:t>M</w:t>
            </w:r>
          </w:p>
        </w:tc>
        <w:tc>
          <w:tcPr>
            <w:tcW w:w="869"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w w:val="100"/>
                <w:sz w:val="22"/>
              </w:rPr>
              <w:t>F</w:t>
            </w:r>
          </w:p>
        </w:tc>
        <w:tc>
          <w:tcPr>
            <w:tcW w:w="871" w:type="dxa"/>
            <w:tcBorders>
              <w:top w:val="single" w:sz="8" w:space="0" w:color="FFFFFF"/>
              <w:bottom w:val="single" w:sz="12" w:space="0" w:color="FFFFFF"/>
            </w:tcBorders>
            <w:shd w:val="clear" w:color="auto" w:fill="B4C5E7"/>
          </w:tcPr>
          <w:p>
            <w:pPr>
              <w:pStyle w:val="TableParagraph"/>
              <w:spacing w:line="267" w:lineRule="exact"/>
              <w:ind w:left="112"/>
              <w:rPr>
                <w:b/>
                <w:sz w:val="22"/>
              </w:rPr>
            </w:pPr>
            <w:r>
              <w:rPr>
                <w:b/>
                <w:spacing w:val="-2"/>
                <w:sz w:val="22"/>
              </w:rPr>
              <w:t>Total</w:t>
            </w:r>
          </w:p>
        </w:tc>
        <w:tc>
          <w:tcPr>
            <w:tcW w:w="881"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w w:val="100"/>
                <w:sz w:val="22"/>
              </w:rPr>
              <w:t>M</w:t>
            </w:r>
          </w:p>
        </w:tc>
        <w:tc>
          <w:tcPr>
            <w:tcW w:w="881"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w w:val="100"/>
                <w:sz w:val="22"/>
              </w:rPr>
              <w:t>F</w:t>
            </w:r>
          </w:p>
        </w:tc>
        <w:tc>
          <w:tcPr>
            <w:tcW w:w="879" w:type="dxa"/>
            <w:tcBorders>
              <w:top w:val="single" w:sz="8" w:space="0" w:color="FFFFFF"/>
              <w:bottom w:val="single" w:sz="12" w:space="0" w:color="FFFFFF"/>
            </w:tcBorders>
            <w:shd w:val="clear" w:color="auto" w:fill="B4C5E7"/>
          </w:tcPr>
          <w:p>
            <w:pPr>
              <w:pStyle w:val="TableParagraph"/>
              <w:spacing w:line="267" w:lineRule="exact"/>
              <w:ind w:left="113"/>
              <w:rPr>
                <w:b/>
                <w:sz w:val="22"/>
              </w:rPr>
            </w:pPr>
            <w:r>
              <w:rPr>
                <w:b/>
                <w:spacing w:val="-2"/>
                <w:sz w:val="22"/>
              </w:rPr>
              <w:t>Total</w:t>
            </w:r>
          </w:p>
        </w:tc>
      </w:tr>
      <w:tr>
        <w:trPr>
          <w:trHeight w:val="463" w:hRule="atLeast"/>
        </w:trPr>
        <w:tc>
          <w:tcPr>
            <w:tcW w:w="1490" w:type="dxa"/>
            <w:tcBorders>
              <w:top w:val="single" w:sz="12" w:space="0" w:color="FFFFFF"/>
              <w:bottom w:val="single" w:sz="8" w:space="0" w:color="FFFFFF"/>
              <w:right w:val="single" w:sz="4" w:space="0" w:color="FFFFFF"/>
            </w:tcBorders>
            <w:shd w:val="clear" w:color="auto" w:fill="4471C4"/>
          </w:tcPr>
          <w:p>
            <w:pPr>
              <w:pStyle w:val="TableParagraph"/>
              <w:spacing w:line="264" w:lineRule="exact"/>
              <w:ind w:left="93"/>
              <w:rPr>
                <w:b/>
                <w:sz w:val="22"/>
              </w:rPr>
            </w:pPr>
            <w:r>
              <w:rPr>
                <w:b/>
                <w:spacing w:val="-4"/>
                <w:sz w:val="22"/>
              </w:rPr>
              <w:t>Prep</w:t>
            </w:r>
          </w:p>
        </w:tc>
        <w:tc>
          <w:tcPr>
            <w:tcW w:w="869" w:type="dxa"/>
            <w:tcBorders>
              <w:top w:val="single" w:sz="12" w:space="0" w:color="FFFFFF"/>
              <w:left w:val="single" w:sz="4" w:space="0" w:color="FFFFFF"/>
              <w:bottom w:val="single" w:sz="8" w:space="0" w:color="FFFFFF"/>
            </w:tcBorders>
            <w:shd w:val="clear" w:color="auto" w:fill="D9E1F3"/>
          </w:tcPr>
          <w:p>
            <w:pPr>
              <w:pStyle w:val="TableParagraph"/>
              <w:spacing w:line="264" w:lineRule="exact"/>
              <w:ind w:left="108"/>
              <w:rPr>
                <w:sz w:val="22"/>
              </w:rPr>
            </w:pPr>
            <w:r>
              <w:rPr>
                <w:spacing w:val="-2"/>
                <w:sz w:val="22"/>
              </w:rPr>
              <w:t>90.0%</w:t>
            </w:r>
          </w:p>
        </w:tc>
        <w:tc>
          <w:tcPr>
            <w:tcW w:w="871" w:type="dxa"/>
            <w:tcBorders>
              <w:top w:val="single" w:sz="12" w:space="0" w:color="FFFFFF"/>
              <w:bottom w:val="single" w:sz="8" w:space="0" w:color="FFFFFF"/>
            </w:tcBorders>
            <w:shd w:val="clear" w:color="auto" w:fill="D9E1F3"/>
          </w:tcPr>
          <w:p>
            <w:pPr>
              <w:pStyle w:val="TableParagraph"/>
              <w:spacing w:line="264" w:lineRule="exact"/>
              <w:ind w:left="113"/>
              <w:rPr>
                <w:sz w:val="22"/>
              </w:rPr>
            </w:pPr>
            <w:r>
              <w:rPr>
                <w:spacing w:val="-2"/>
                <w:sz w:val="22"/>
              </w:rPr>
              <w:t>90.1%</w:t>
            </w:r>
          </w:p>
        </w:tc>
        <w:tc>
          <w:tcPr>
            <w:tcW w:w="869" w:type="dxa"/>
            <w:tcBorders>
              <w:top w:val="single" w:sz="12" w:space="0" w:color="FFFFFF"/>
              <w:bottom w:val="single" w:sz="8" w:space="0" w:color="FFFFFF"/>
            </w:tcBorders>
            <w:shd w:val="clear" w:color="auto" w:fill="D9E1F3"/>
          </w:tcPr>
          <w:p>
            <w:pPr>
              <w:pStyle w:val="TableParagraph"/>
              <w:spacing w:line="264" w:lineRule="exact"/>
              <w:ind w:left="113"/>
              <w:rPr>
                <w:b/>
                <w:sz w:val="22"/>
              </w:rPr>
            </w:pPr>
            <w:r>
              <w:rPr>
                <w:b/>
                <w:spacing w:val="-4"/>
                <w:sz w:val="22"/>
              </w:rPr>
              <w:t>90.1%</w:t>
            </w:r>
          </w:p>
        </w:tc>
        <w:tc>
          <w:tcPr>
            <w:tcW w:w="872" w:type="dxa"/>
            <w:tcBorders>
              <w:top w:val="single" w:sz="12" w:space="0" w:color="FFFFFF"/>
              <w:bottom w:val="single" w:sz="8" w:space="0" w:color="FFFFFF"/>
            </w:tcBorders>
            <w:shd w:val="clear" w:color="auto" w:fill="D9E1F3"/>
          </w:tcPr>
          <w:p>
            <w:pPr>
              <w:pStyle w:val="TableParagraph"/>
              <w:spacing w:line="264" w:lineRule="exact"/>
              <w:ind w:left="113"/>
              <w:rPr>
                <w:sz w:val="22"/>
              </w:rPr>
            </w:pPr>
            <w:r>
              <w:rPr>
                <w:spacing w:val="-2"/>
                <w:sz w:val="22"/>
              </w:rPr>
              <w:t>86.4%</w:t>
            </w:r>
          </w:p>
        </w:tc>
        <w:tc>
          <w:tcPr>
            <w:tcW w:w="869" w:type="dxa"/>
            <w:tcBorders>
              <w:top w:val="single" w:sz="12" w:space="0" w:color="FFFFFF"/>
              <w:bottom w:val="single" w:sz="8" w:space="0" w:color="FFFFFF"/>
            </w:tcBorders>
            <w:shd w:val="clear" w:color="auto" w:fill="D9E1F3"/>
          </w:tcPr>
          <w:p>
            <w:pPr>
              <w:pStyle w:val="TableParagraph"/>
              <w:spacing w:line="264" w:lineRule="exact"/>
              <w:ind w:left="113"/>
              <w:rPr>
                <w:sz w:val="22"/>
              </w:rPr>
            </w:pPr>
            <w:r>
              <w:rPr>
                <w:spacing w:val="-2"/>
                <w:sz w:val="22"/>
              </w:rPr>
              <w:t>86.1%</w:t>
            </w:r>
          </w:p>
        </w:tc>
        <w:tc>
          <w:tcPr>
            <w:tcW w:w="871" w:type="dxa"/>
            <w:tcBorders>
              <w:top w:val="single" w:sz="12" w:space="0" w:color="FFFFFF"/>
              <w:bottom w:val="single" w:sz="8" w:space="0" w:color="FFFFFF"/>
            </w:tcBorders>
            <w:shd w:val="clear" w:color="auto" w:fill="D9E1F3"/>
          </w:tcPr>
          <w:p>
            <w:pPr>
              <w:pStyle w:val="TableParagraph"/>
              <w:spacing w:line="264" w:lineRule="exact"/>
              <w:ind w:left="112"/>
              <w:rPr>
                <w:b/>
                <w:sz w:val="22"/>
              </w:rPr>
            </w:pPr>
            <w:r>
              <w:rPr>
                <w:b/>
                <w:spacing w:val="-4"/>
                <w:sz w:val="22"/>
              </w:rPr>
              <w:t>86.2%</w:t>
            </w:r>
          </w:p>
        </w:tc>
        <w:tc>
          <w:tcPr>
            <w:tcW w:w="881" w:type="dxa"/>
            <w:tcBorders>
              <w:top w:val="single" w:sz="12" w:space="0" w:color="FFFFFF"/>
              <w:bottom w:val="single" w:sz="8" w:space="0" w:color="FFFFFF"/>
            </w:tcBorders>
            <w:shd w:val="clear" w:color="auto" w:fill="D9E1F3"/>
          </w:tcPr>
          <w:p>
            <w:pPr>
              <w:pStyle w:val="TableParagraph"/>
              <w:spacing w:line="264" w:lineRule="exact"/>
              <w:ind w:left="113"/>
              <w:rPr>
                <w:sz w:val="22"/>
              </w:rPr>
            </w:pPr>
            <w:r>
              <w:rPr>
                <w:spacing w:val="-2"/>
                <w:sz w:val="22"/>
              </w:rPr>
              <w:t>83.9%</w:t>
            </w:r>
          </w:p>
        </w:tc>
        <w:tc>
          <w:tcPr>
            <w:tcW w:w="881" w:type="dxa"/>
            <w:tcBorders>
              <w:top w:val="single" w:sz="12" w:space="0" w:color="FFFFFF"/>
              <w:bottom w:val="single" w:sz="8" w:space="0" w:color="FFFFFF"/>
            </w:tcBorders>
            <w:shd w:val="clear" w:color="auto" w:fill="D9E1F3"/>
          </w:tcPr>
          <w:p>
            <w:pPr>
              <w:pStyle w:val="TableParagraph"/>
              <w:spacing w:line="264" w:lineRule="exact"/>
              <w:ind w:left="113"/>
              <w:rPr>
                <w:sz w:val="22"/>
              </w:rPr>
            </w:pPr>
            <w:r>
              <w:rPr>
                <w:spacing w:val="-2"/>
                <w:sz w:val="22"/>
              </w:rPr>
              <w:t>83.1%</w:t>
            </w:r>
          </w:p>
        </w:tc>
        <w:tc>
          <w:tcPr>
            <w:tcW w:w="879" w:type="dxa"/>
            <w:tcBorders>
              <w:top w:val="single" w:sz="12" w:space="0" w:color="FFFFFF"/>
              <w:bottom w:val="single" w:sz="8" w:space="0" w:color="FFFFFF"/>
            </w:tcBorders>
            <w:shd w:val="clear" w:color="auto" w:fill="D9E1F3"/>
          </w:tcPr>
          <w:p>
            <w:pPr>
              <w:pStyle w:val="TableParagraph"/>
              <w:spacing w:line="264" w:lineRule="exact"/>
              <w:ind w:left="113"/>
              <w:rPr>
                <w:b/>
                <w:sz w:val="22"/>
              </w:rPr>
            </w:pPr>
            <w:r>
              <w:rPr>
                <w:b/>
                <w:spacing w:val="-4"/>
                <w:sz w:val="22"/>
              </w:rPr>
              <w:t>83.5%</w:t>
            </w:r>
          </w:p>
        </w:tc>
      </w:tr>
      <w:tr>
        <w:trPr>
          <w:trHeight w:val="469" w:hRule="atLeast"/>
        </w:trPr>
        <w:tc>
          <w:tcPr>
            <w:tcW w:w="1490" w:type="dxa"/>
            <w:tcBorders>
              <w:top w:val="single" w:sz="8" w:space="0" w:color="FFFFFF"/>
              <w:bottom w:val="single" w:sz="8" w:space="0" w:color="FFFFFF"/>
              <w:right w:val="single" w:sz="4" w:space="0" w:color="FFFFFF"/>
            </w:tcBorders>
            <w:shd w:val="clear" w:color="auto" w:fill="4471C4"/>
          </w:tcPr>
          <w:p>
            <w:pPr>
              <w:pStyle w:val="TableParagraph"/>
              <w:spacing w:line="267" w:lineRule="exact"/>
              <w:ind w:left="93"/>
              <w:rPr>
                <w:b/>
                <w:sz w:val="22"/>
              </w:rPr>
            </w:pPr>
            <w:r>
              <w:rPr>
                <w:b/>
                <w:sz w:val="22"/>
              </w:rPr>
              <w:t>Year</w:t>
            </w:r>
            <w:r>
              <w:rPr>
                <w:b/>
                <w:spacing w:val="-2"/>
                <w:sz w:val="22"/>
              </w:rPr>
              <w:t> </w:t>
            </w:r>
            <w:r>
              <w:rPr>
                <w:b/>
                <w:spacing w:val="-10"/>
                <w:sz w:val="22"/>
              </w:rPr>
              <w:t>6</w:t>
            </w:r>
          </w:p>
        </w:tc>
        <w:tc>
          <w:tcPr>
            <w:tcW w:w="869" w:type="dxa"/>
            <w:tcBorders>
              <w:top w:val="single" w:sz="8" w:space="0" w:color="FFFFFF"/>
              <w:left w:val="single" w:sz="4" w:space="0" w:color="FFFFFF"/>
              <w:bottom w:val="single" w:sz="8" w:space="0" w:color="FFFFFF"/>
            </w:tcBorders>
            <w:shd w:val="clear" w:color="auto" w:fill="B4C5E7"/>
          </w:tcPr>
          <w:p>
            <w:pPr>
              <w:pStyle w:val="TableParagraph"/>
              <w:spacing w:line="267" w:lineRule="exact"/>
              <w:ind w:left="108"/>
              <w:rPr>
                <w:sz w:val="22"/>
              </w:rPr>
            </w:pPr>
            <w:r>
              <w:rPr>
                <w:spacing w:val="-2"/>
                <w:sz w:val="22"/>
              </w:rPr>
              <w:t>88.9%</w:t>
            </w:r>
          </w:p>
        </w:tc>
        <w:tc>
          <w:tcPr>
            <w:tcW w:w="871" w:type="dxa"/>
            <w:tcBorders>
              <w:top w:val="single" w:sz="8" w:space="0" w:color="FFFFFF"/>
              <w:bottom w:val="single" w:sz="8" w:space="0" w:color="FFFFFF"/>
            </w:tcBorders>
            <w:shd w:val="clear" w:color="auto" w:fill="B4C5E7"/>
          </w:tcPr>
          <w:p>
            <w:pPr>
              <w:pStyle w:val="TableParagraph"/>
              <w:spacing w:line="267" w:lineRule="exact"/>
              <w:ind w:left="113"/>
              <w:rPr>
                <w:sz w:val="22"/>
              </w:rPr>
            </w:pPr>
            <w:r>
              <w:rPr>
                <w:spacing w:val="-2"/>
                <w:sz w:val="22"/>
              </w:rPr>
              <w:t>93.2%</w:t>
            </w:r>
          </w:p>
        </w:tc>
        <w:tc>
          <w:tcPr>
            <w:tcW w:w="869" w:type="dxa"/>
            <w:tcBorders>
              <w:top w:val="single" w:sz="8" w:space="0" w:color="FFFFFF"/>
              <w:bottom w:val="single" w:sz="8" w:space="0" w:color="FFFFFF"/>
            </w:tcBorders>
            <w:shd w:val="clear" w:color="auto" w:fill="B4C5E7"/>
          </w:tcPr>
          <w:p>
            <w:pPr>
              <w:pStyle w:val="TableParagraph"/>
              <w:spacing w:line="267" w:lineRule="exact"/>
              <w:ind w:left="113"/>
              <w:rPr>
                <w:b/>
                <w:sz w:val="22"/>
              </w:rPr>
            </w:pPr>
            <w:r>
              <w:rPr>
                <w:b/>
                <w:spacing w:val="-4"/>
                <w:sz w:val="22"/>
              </w:rPr>
              <w:t>91.1%</w:t>
            </w:r>
          </w:p>
        </w:tc>
        <w:tc>
          <w:tcPr>
            <w:tcW w:w="872" w:type="dxa"/>
            <w:tcBorders>
              <w:top w:val="single" w:sz="8" w:space="0" w:color="FFFFFF"/>
              <w:bottom w:val="single" w:sz="8" w:space="0" w:color="FFFFFF"/>
            </w:tcBorders>
            <w:shd w:val="clear" w:color="auto" w:fill="B4C5E7"/>
          </w:tcPr>
          <w:p>
            <w:pPr>
              <w:pStyle w:val="TableParagraph"/>
              <w:spacing w:line="267" w:lineRule="exact"/>
              <w:ind w:left="113"/>
              <w:rPr>
                <w:sz w:val="22"/>
              </w:rPr>
            </w:pPr>
            <w:r>
              <w:rPr>
                <w:spacing w:val="-2"/>
                <w:sz w:val="22"/>
              </w:rPr>
              <w:t>88.1%</w:t>
            </w:r>
          </w:p>
        </w:tc>
        <w:tc>
          <w:tcPr>
            <w:tcW w:w="869" w:type="dxa"/>
            <w:tcBorders>
              <w:top w:val="single" w:sz="8" w:space="0" w:color="FFFFFF"/>
              <w:bottom w:val="single" w:sz="8" w:space="0" w:color="FFFFFF"/>
            </w:tcBorders>
            <w:shd w:val="clear" w:color="auto" w:fill="B4C5E7"/>
          </w:tcPr>
          <w:p>
            <w:pPr>
              <w:pStyle w:val="TableParagraph"/>
              <w:spacing w:line="267" w:lineRule="exact"/>
              <w:ind w:left="113"/>
              <w:rPr>
                <w:sz w:val="22"/>
              </w:rPr>
            </w:pPr>
            <w:r>
              <w:rPr>
                <w:spacing w:val="-2"/>
                <w:sz w:val="22"/>
              </w:rPr>
              <w:t>90.2%</w:t>
            </w:r>
          </w:p>
        </w:tc>
        <w:tc>
          <w:tcPr>
            <w:tcW w:w="871" w:type="dxa"/>
            <w:tcBorders>
              <w:top w:val="single" w:sz="8" w:space="0" w:color="FFFFFF"/>
              <w:bottom w:val="single" w:sz="8" w:space="0" w:color="FFFFFF"/>
            </w:tcBorders>
            <w:shd w:val="clear" w:color="auto" w:fill="B4C5E7"/>
          </w:tcPr>
          <w:p>
            <w:pPr>
              <w:pStyle w:val="TableParagraph"/>
              <w:spacing w:line="267" w:lineRule="exact"/>
              <w:ind w:left="112"/>
              <w:rPr>
                <w:b/>
                <w:sz w:val="22"/>
              </w:rPr>
            </w:pPr>
            <w:r>
              <w:rPr>
                <w:b/>
                <w:spacing w:val="-4"/>
                <w:sz w:val="22"/>
              </w:rPr>
              <w:t>89.1%</w:t>
            </w:r>
          </w:p>
        </w:tc>
        <w:tc>
          <w:tcPr>
            <w:tcW w:w="881" w:type="dxa"/>
            <w:tcBorders>
              <w:top w:val="single" w:sz="8" w:space="0" w:color="FFFFFF"/>
              <w:bottom w:val="single" w:sz="8" w:space="0" w:color="FFFFFF"/>
            </w:tcBorders>
            <w:shd w:val="clear" w:color="auto" w:fill="B4C5E7"/>
          </w:tcPr>
          <w:p>
            <w:pPr>
              <w:pStyle w:val="TableParagraph"/>
              <w:spacing w:line="267" w:lineRule="exact"/>
              <w:ind w:left="113"/>
              <w:rPr>
                <w:sz w:val="22"/>
              </w:rPr>
            </w:pPr>
            <w:r>
              <w:rPr>
                <w:spacing w:val="-2"/>
                <w:sz w:val="22"/>
              </w:rPr>
              <w:t>89.5%</w:t>
            </w:r>
          </w:p>
        </w:tc>
        <w:tc>
          <w:tcPr>
            <w:tcW w:w="881" w:type="dxa"/>
            <w:tcBorders>
              <w:top w:val="single" w:sz="8" w:space="0" w:color="FFFFFF"/>
              <w:bottom w:val="single" w:sz="8" w:space="0" w:color="FFFFFF"/>
            </w:tcBorders>
            <w:shd w:val="clear" w:color="auto" w:fill="B4C5E7"/>
          </w:tcPr>
          <w:p>
            <w:pPr>
              <w:pStyle w:val="TableParagraph"/>
              <w:spacing w:line="267" w:lineRule="exact"/>
              <w:ind w:left="113"/>
              <w:rPr>
                <w:sz w:val="22"/>
              </w:rPr>
            </w:pPr>
            <w:r>
              <w:rPr>
                <w:spacing w:val="-2"/>
                <w:sz w:val="22"/>
              </w:rPr>
              <w:t>87.5%</w:t>
            </w:r>
          </w:p>
        </w:tc>
        <w:tc>
          <w:tcPr>
            <w:tcW w:w="879" w:type="dxa"/>
            <w:tcBorders>
              <w:top w:val="single" w:sz="8" w:space="0" w:color="FFFFFF"/>
              <w:bottom w:val="single" w:sz="8" w:space="0" w:color="FFFFFF"/>
            </w:tcBorders>
            <w:shd w:val="clear" w:color="auto" w:fill="B4C5E7"/>
          </w:tcPr>
          <w:p>
            <w:pPr>
              <w:pStyle w:val="TableParagraph"/>
              <w:spacing w:line="267" w:lineRule="exact"/>
              <w:ind w:left="113"/>
              <w:rPr>
                <w:b/>
                <w:sz w:val="22"/>
              </w:rPr>
            </w:pPr>
            <w:r>
              <w:rPr>
                <w:b/>
                <w:spacing w:val="-4"/>
                <w:sz w:val="22"/>
              </w:rPr>
              <w:t>88.5%</w:t>
            </w:r>
          </w:p>
        </w:tc>
      </w:tr>
      <w:tr>
        <w:trPr>
          <w:trHeight w:val="467" w:hRule="atLeast"/>
        </w:trPr>
        <w:tc>
          <w:tcPr>
            <w:tcW w:w="1490" w:type="dxa"/>
            <w:tcBorders>
              <w:top w:val="single" w:sz="8" w:space="0" w:color="FFFFFF"/>
              <w:bottom w:val="single" w:sz="8" w:space="0" w:color="FFFFFF"/>
              <w:right w:val="single" w:sz="4" w:space="0" w:color="FFFFFF"/>
            </w:tcBorders>
            <w:shd w:val="clear" w:color="auto" w:fill="4471C4"/>
          </w:tcPr>
          <w:p>
            <w:pPr>
              <w:pStyle w:val="TableParagraph"/>
              <w:spacing w:line="267" w:lineRule="exact"/>
              <w:ind w:left="93"/>
              <w:rPr>
                <w:b/>
                <w:sz w:val="22"/>
              </w:rPr>
            </w:pPr>
            <w:r>
              <w:rPr>
                <w:b/>
                <w:sz w:val="22"/>
              </w:rPr>
              <w:t>Year</w:t>
            </w:r>
            <w:r>
              <w:rPr>
                <w:b/>
                <w:spacing w:val="-2"/>
                <w:sz w:val="22"/>
              </w:rPr>
              <w:t> </w:t>
            </w:r>
            <w:r>
              <w:rPr>
                <w:b/>
                <w:spacing w:val="-10"/>
                <w:sz w:val="22"/>
              </w:rPr>
              <w:t>9</w:t>
            </w:r>
          </w:p>
        </w:tc>
        <w:tc>
          <w:tcPr>
            <w:tcW w:w="869" w:type="dxa"/>
            <w:tcBorders>
              <w:top w:val="single" w:sz="8" w:space="0" w:color="FFFFFF"/>
              <w:left w:val="single" w:sz="4" w:space="0" w:color="FFFFFF"/>
              <w:bottom w:val="single" w:sz="8" w:space="0" w:color="FFFFFF"/>
            </w:tcBorders>
            <w:shd w:val="clear" w:color="auto" w:fill="D9E1F3"/>
          </w:tcPr>
          <w:p>
            <w:pPr>
              <w:pStyle w:val="TableParagraph"/>
              <w:spacing w:line="267" w:lineRule="exact"/>
              <w:ind w:left="108"/>
              <w:rPr>
                <w:sz w:val="22"/>
              </w:rPr>
            </w:pPr>
            <w:r>
              <w:rPr>
                <w:spacing w:val="-2"/>
                <w:sz w:val="22"/>
              </w:rPr>
              <w:t>77.9%</w:t>
            </w:r>
          </w:p>
        </w:tc>
        <w:tc>
          <w:tcPr>
            <w:tcW w:w="871" w:type="dxa"/>
            <w:tcBorders>
              <w:top w:val="single" w:sz="8" w:space="0" w:color="FFFFFF"/>
              <w:bottom w:val="single" w:sz="8" w:space="0" w:color="FFFFFF"/>
            </w:tcBorders>
            <w:shd w:val="clear" w:color="auto" w:fill="D9E1F3"/>
          </w:tcPr>
          <w:p>
            <w:pPr>
              <w:pStyle w:val="TableParagraph"/>
              <w:spacing w:line="267" w:lineRule="exact"/>
              <w:ind w:left="113"/>
              <w:rPr>
                <w:sz w:val="22"/>
              </w:rPr>
            </w:pPr>
            <w:r>
              <w:rPr>
                <w:spacing w:val="-2"/>
                <w:sz w:val="22"/>
              </w:rPr>
              <w:t>78.4%</w:t>
            </w:r>
          </w:p>
        </w:tc>
        <w:tc>
          <w:tcPr>
            <w:tcW w:w="869" w:type="dxa"/>
            <w:tcBorders>
              <w:top w:val="single" w:sz="8" w:space="0" w:color="FFFFFF"/>
              <w:bottom w:val="single" w:sz="8" w:space="0" w:color="FFFFFF"/>
            </w:tcBorders>
            <w:shd w:val="clear" w:color="auto" w:fill="D9E1F3"/>
          </w:tcPr>
          <w:p>
            <w:pPr>
              <w:pStyle w:val="TableParagraph"/>
              <w:spacing w:line="267" w:lineRule="exact"/>
              <w:ind w:left="113"/>
              <w:rPr>
                <w:b/>
                <w:sz w:val="22"/>
              </w:rPr>
            </w:pPr>
            <w:r>
              <w:rPr>
                <w:b/>
                <w:spacing w:val="-4"/>
                <w:sz w:val="22"/>
              </w:rPr>
              <w:t>78.2%</w:t>
            </w:r>
          </w:p>
        </w:tc>
        <w:tc>
          <w:tcPr>
            <w:tcW w:w="872" w:type="dxa"/>
            <w:tcBorders>
              <w:top w:val="single" w:sz="8" w:space="0" w:color="FFFFFF"/>
              <w:bottom w:val="single" w:sz="8" w:space="0" w:color="FFFFFF"/>
            </w:tcBorders>
            <w:shd w:val="clear" w:color="auto" w:fill="D9E1F3"/>
          </w:tcPr>
          <w:p>
            <w:pPr>
              <w:pStyle w:val="TableParagraph"/>
              <w:spacing w:line="267" w:lineRule="exact"/>
              <w:ind w:left="113"/>
              <w:rPr>
                <w:sz w:val="22"/>
              </w:rPr>
            </w:pPr>
            <w:r>
              <w:rPr>
                <w:spacing w:val="-2"/>
                <w:sz w:val="22"/>
              </w:rPr>
              <w:t>78.1%</w:t>
            </w:r>
          </w:p>
        </w:tc>
        <w:tc>
          <w:tcPr>
            <w:tcW w:w="869" w:type="dxa"/>
            <w:tcBorders>
              <w:top w:val="single" w:sz="8" w:space="0" w:color="FFFFFF"/>
              <w:bottom w:val="single" w:sz="8" w:space="0" w:color="FFFFFF"/>
            </w:tcBorders>
            <w:shd w:val="clear" w:color="auto" w:fill="D9E1F3"/>
          </w:tcPr>
          <w:p>
            <w:pPr>
              <w:pStyle w:val="TableParagraph"/>
              <w:spacing w:line="267" w:lineRule="exact"/>
              <w:ind w:left="113"/>
              <w:rPr>
                <w:sz w:val="22"/>
              </w:rPr>
            </w:pPr>
            <w:r>
              <w:rPr>
                <w:spacing w:val="-2"/>
                <w:sz w:val="22"/>
              </w:rPr>
              <w:t>76.5%</w:t>
            </w:r>
          </w:p>
        </w:tc>
        <w:tc>
          <w:tcPr>
            <w:tcW w:w="871" w:type="dxa"/>
            <w:tcBorders>
              <w:top w:val="single" w:sz="8" w:space="0" w:color="FFFFFF"/>
              <w:bottom w:val="single" w:sz="8" w:space="0" w:color="FFFFFF"/>
            </w:tcBorders>
            <w:shd w:val="clear" w:color="auto" w:fill="D9E1F3"/>
          </w:tcPr>
          <w:p>
            <w:pPr>
              <w:pStyle w:val="TableParagraph"/>
              <w:spacing w:line="267" w:lineRule="exact"/>
              <w:ind w:left="112"/>
              <w:rPr>
                <w:b/>
                <w:sz w:val="22"/>
              </w:rPr>
            </w:pPr>
            <w:r>
              <w:rPr>
                <w:b/>
                <w:spacing w:val="-4"/>
                <w:sz w:val="22"/>
              </w:rPr>
              <w:t>77.3%</w:t>
            </w:r>
          </w:p>
        </w:tc>
        <w:tc>
          <w:tcPr>
            <w:tcW w:w="881" w:type="dxa"/>
            <w:tcBorders>
              <w:top w:val="single" w:sz="8" w:space="0" w:color="FFFFFF"/>
              <w:bottom w:val="single" w:sz="8" w:space="0" w:color="FFFFFF"/>
            </w:tcBorders>
            <w:shd w:val="clear" w:color="auto" w:fill="D9E1F3"/>
          </w:tcPr>
          <w:p>
            <w:pPr>
              <w:pStyle w:val="TableParagraph"/>
              <w:spacing w:line="267" w:lineRule="exact"/>
              <w:ind w:left="113"/>
              <w:rPr>
                <w:sz w:val="22"/>
              </w:rPr>
            </w:pPr>
            <w:r>
              <w:rPr>
                <w:spacing w:val="-2"/>
                <w:sz w:val="22"/>
              </w:rPr>
              <w:t>76.3%</w:t>
            </w:r>
          </w:p>
        </w:tc>
        <w:tc>
          <w:tcPr>
            <w:tcW w:w="881" w:type="dxa"/>
            <w:tcBorders>
              <w:top w:val="single" w:sz="8" w:space="0" w:color="FFFFFF"/>
              <w:bottom w:val="single" w:sz="8" w:space="0" w:color="FFFFFF"/>
            </w:tcBorders>
            <w:shd w:val="clear" w:color="auto" w:fill="D9E1F3"/>
          </w:tcPr>
          <w:p>
            <w:pPr>
              <w:pStyle w:val="TableParagraph"/>
              <w:spacing w:line="267" w:lineRule="exact"/>
              <w:ind w:left="113"/>
              <w:rPr>
                <w:sz w:val="22"/>
              </w:rPr>
            </w:pPr>
            <w:r>
              <w:rPr>
                <w:spacing w:val="-2"/>
                <w:sz w:val="22"/>
              </w:rPr>
              <w:t>76.1%</w:t>
            </w:r>
          </w:p>
        </w:tc>
        <w:tc>
          <w:tcPr>
            <w:tcW w:w="879" w:type="dxa"/>
            <w:tcBorders>
              <w:top w:val="single" w:sz="8" w:space="0" w:color="FFFFFF"/>
              <w:bottom w:val="single" w:sz="8" w:space="0" w:color="FFFFFF"/>
            </w:tcBorders>
            <w:shd w:val="clear" w:color="auto" w:fill="D9E1F3"/>
          </w:tcPr>
          <w:p>
            <w:pPr>
              <w:pStyle w:val="TableParagraph"/>
              <w:spacing w:line="267" w:lineRule="exact"/>
              <w:ind w:left="113"/>
              <w:rPr>
                <w:b/>
                <w:sz w:val="22"/>
              </w:rPr>
            </w:pPr>
            <w:r>
              <w:rPr>
                <w:b/>
                <w:spacing w:val="-4"/>
                <w:sz w:val="22"/>
              </w:rPr>
              <w:t>76.2%</w:t>
            </w:r>
          </w:p>
        </w:tc>
      </w:tr>
      <w:tr>
        <w:trPr>
          <w:trHeight w:val="470" w:hRule="atLeast"/>
        </w:trPr>
        <w:tc>
          <w:tcPr>
            <w:tcW w:w="1490" w:type="dxa"/>
            <w:tcBorders>
              <w:top w:val="single" w:sz="8" w:space="0" w:color="FFFFFF"/>
              <w:bottom w:val="single" w:sz="8" w:space="0" w:color="FFFFFF"/>
              <w:right w:val="single" w:sz="4" w:space="0" w:color="FFFFFF"/>
            </w:tcBorders>
            <w:shd w:val="clear" w:color="auto" w:fill="4471C4"/>
          </w:tcPr>
          <w:p>
            <w:pPr>
              <w:pStyle w:val="TableParagraph"/>
              <w:spacing w:line="268" w:lineRule="exact"/>
              <w:ind w:left="93"/>
              <w:rPr>
                <w:b/>
                <w:sz w:val="22"/>
              </w:rPr>
            </w:pPr>
            <w:r>
              <w:rPr>
                <w:b/>
                <w:sz w:val="22"/>
              </w:rPr>
              <w:t>Year</w:t>
            </w:r>
            <w:r>
              <w:rPr>
                <w:b/>
                <w:spacing w:val="-2"/>
                <w:sz w:val="22"/>
              </w:rPr>
              <w:t> </w:t>
            </w:r>
            <w:r>
              <w:rPr>
                <w:b/>
                <w:spacing w:val="-5"/>
                <w:sz w:val="22"/>
              </w:rPr>
              <w:t>11</w:t>
            </w:r>
          </w:p>
        </w:tc>
        <w:tc>
          <w:tcPr>
            <w:tcW w:w="869" w:type="dxa"/>
            <w:tcBorders>
              <w:top w:val="single" w:sz="8" w:space="0" w:color="FFFFFF"/>
              <w:left w:val="single" w:sz="4" w:space="0" w:color="FFFFFF"/>
              <w:bottom w:val="single" w:sz="8" w:space="0" w:color="FFFFFF"/>
            </w:tcBorders>
            <w:shd w:val="clear" w:color="auto" w:fill="B4C5E7"/>
          </w:tcPr>
          <w:p>
            <w:pPr>
              <w:pStyle w:val="TableParagraph"/>
              <w:spacing w:line="268" w:lineRule="exact"/>
              <w:ind w:left="108"/>
              <w:rPr>
                <w:sz w:val="22"/>
              </w:rPr>
            </w:pPr>
            <w:r>
              <w:rPr>
                <w:spacing w:val="-2"/>
                <w:sz w:val="22"/>
              </w:rPr>
              <w:t>59.1%</w:t>
            </w:r>
          </w:p>
        </w:tc>
        <w:tc>
          <w:tcPr>
            <w:tcW w:w="871" w:type="dxa"/>
            <w:tcBorders>
              <w:top w:val="single" w:sz="8" w:space="0" w:color="FFFFFF"/>
              <w:bottom w:val="single" w:sz="8" w:space="0" w:color="FFFFFF"/>
            </w:tcBorders>
            <w:shd w:val="clear" w:color="auto" w:fill="B4C5E7"/>
          </w:tcPr>
          <w:p>
            <w:pPr>
              <w:pStyle w:val="TableParagraph"/>
              <w:spacing w:line="268" w:lineRule="exact"/>
              <w:ind w:left="113"/>
              <w:rPr>
                <w:sz w:val="22"/>
              </w:rPr>
            </w:pPr>
            <w:r>
              <w:rPr>
                <w:spacing w:val="-2"/>
                <w:sz w:val="22"/>
              </w:rPr>
              <w:t>61.0%</w:t>
            </w:r>
          </w:p>
        </w:tc>
        <w:tc>
          <w:tcPr>
            <w:tcW w:w="869" w:type="dxa"/>
            <w:tcBorders>
              <w:top w:val="single" w:sz="8" w:space="0" w:color="FFFFFF"/>
              <w:bottom w:val="single" w:sz="8" w:space="0" w:color="FFFFFF"/>
            </w:tcBorders>
            <w:shd w:val="clear" w:color="auto" w:fill="B4C5E7"/>
          </w:tcPr>
          <w:p>
            <w:pPr>
              <w:pStyle w:val="TableParagraph"/>
              <w:spacing w:line="268" w:lineRule="exact"/>
              <w:ind w:left="113"/>
              <w:rPr>
                <w:b/>
                <w:sz w:val="22"/>
              </w:rPr>
            </w:pPr>
            <w:r>
              <w:rPr>
                <w:b/>
                <w:spacing w:val="-4"/>
                <w:sz w:val="22"/>
              </w:rPr>
              <w:t>60.0%</w:t>
            </w:r>
          </w:p>
        </w:tc>
        <w:tc>
          <w:tcPr>
            <w:tcW w:w="872" w:type="dxa"/>
            <w:tcBorders>
              <w:top w:val="single" w:sz="8" w:space="0" w:color="FFFFFF"/>
              <w:bottom w:val="single" w:sz="8" w:space="0" w:color="FFFFFF"/>
            </w:tcBorders>
            <w:shd w:val="clear" w:color="auto" w:fill="B4C5E7"/>
          </w:tcPr>
          <w:p>
            <w:pPr>
              <w:pStyle w:val="TableParagraph"/>
              <w:spacing w:line="268" w:lineRule="exact"/>
              <w:ind w:left="113"/>
              <w:rPr>
                <w:sz w:val="22"/>
              </w:rPr>
            </w:pPr>
            <w:r>
              <w:rPr>
                <w:spacing w:val="-2"/>
                <w:sz w:val="22"/>
              </w:rPr>
              <w:t>59.4%</w:t>
            </w:r>
          </w:p>
        </w:tc>
        <w:tc>
          <w:tcPr>
            <w:tcW w:w="869" w:type="dxa"/>
            <w:tcBorders>
              <w:top w:val="single" w:sz="8" w:space="0" w:color="FFFFFF"/>
              <w:bottom w:val="single" w:sz="8" w:space="0" w:color="FFFFFF"/>
            </w:tcBorders>
            <w:shd w:val="clear" w:color="auto" w:fill="B4C5E7"/>
          </w:tcPr>
          <w:p>
            <w:pPr>
              <w:pStyle w:val="TableParagraph"/>
              <w:spacing w:line="268" w:lineRule="exact"/>
              <w:ind w:left="113"/>
              <w:rPr>
                <w:sz w:val="22"/>
              </w:rPr>
            </w:pPr>
            <w:r>
              <w:rPr>
                <w:spacing w:val="-2"/>
                <w:sz w:val="22"/>
              </w:rPr>
              <w:t>57.0%</w:t>
            </w:r>
          </w:p>
        </w:tc>
        <w:tc>
          <w:tcPr>
            <w:tcW w:w="871" w:type="dxa"/>
            <w:tcBorders>
              <w:top w:val="single" w:sz="8" w:space="0" w:color="FFFFFF"/>
              <w:bottom w:val="single" w:sz="8" w:space="0" w:color="FFFFFF"/>
            </w:tcBorders>
            <w:shd w:val="clear" w:color="auto" w:fill="B4C5E7"/>
          </w:tcPr>
          <w:p>
            <w:pPr>
              <w:pStyle w:val="TableParagraph"/>
              <w:spacing w:line="268" w:lineRule="exact"/>
              <w:ind w:left="112"/>
              <w:rPr>
                <w:b/>
                <w:sz w:val="22"/>
              </w:rPr>
            </w:pPr>
            <w:r>
              <w:rPr>
                <w:b/>
                <w:spacing w:val="-4"/>
                <w:sz w:val="22"/>
              </w:rPr>
              <w:t>58.3%</w:t>
            </w:r>
          </w:p>
        </w:tc>
        <w:tc>
          <w:tcPr>
            <w:tcW w:w="881" w:type="dxa"/>
            <w:tcBorders>
              <w:top w:val="single" w:sz="8" w:space="0" w:color="FFFFFF"/>
              <w:bottom w:val="single" w:sz="8" w:space="0" w:color="FFFFFF"/>
            </w:tcBorders>
            <w:shd w:val="clear" w:color="auto" w:fill="B4C5E7"/>
          </w:tcPr>
          <w:p>
            <w:pPr>
              <w:pStyle w:val="TableParagraph"/>
              <w:spacing w:line="268" w:lineRule="exact"/>
              <w:ind w:left="113"/>
              <w:rPr>
                <w:sz w:val="22"/>
              </w:rPr>
            </w:pPr>
            <w:r>
              <w:rPr>
                <w:spacing w:val="-2"/>
                <w:sz w:val="22"/>
              </w:rPr>
              <w:t>61.8%</w:t>
            </w:r>
          </w:p>
        </w:tc>
        <w:tc>
          <w:tcPr>
            <w:tcW w:w="881" w:type="dxa"/>
            <w:tcBorders>
              <w:top w:val="single" w:sz="8" w:space="0" w:color="FFFFFF"/>
              <w:bottom w:val="single" w:sz="8" w:space="0" w:color="FFFFFF"/>
            </w:tcBorders>
            <w:shd w:val="clear" w:color="auto" w:fill="B4C5E7"/>
          </w:tcPr>
          <w:p>
            <w:pPr>
              <w:pStyle w:val="TableParagraph"/>
              <w:spacing w:line="268" w:lineRule="exact"/>
              <w:ind w:left="113"/>
              <w:rPr>
                <w:sz w:val="22"/>
              </w:rPr>
            </w:pPr>
            <w:r>
              <w:rPr>
                <w:spacing w:val="-2"/>
                <w:sz w:val="22"/>
              </w:rPr>
              <w:t>59.4%</w:t>
            </w:r>
          </w:p>
        </w:tc>
        <w:tc>
          <w:tcPr>
            <w:tcW w:w="879" w:type="dxa"/>
            <w:tcBorders>
              <w:top w:val="single" w:sz="8" w:space="0" w:color="FFFFFF"/>
              <w:bottom w:val="single" w:sz="8" w:space="0" w:color="FFFFFF"/>
            </w:tcBorders>
            <w:shd w:val="clear" w:color="auto" w:fill="B4C5E7"/>
          </w:tcPr>
          <w:p>
            <w:pPr>
              <w:pStyle w:val="TableParagraph"/>
              <w:spacing w:line="268" w:lineRule="exact"/>
              <w:ind w:left="113"/>
              <w:rPr>
                <w:b/>
                <w:sz w:val="22"/>
              </w:rPr>
            </w:pPr>
            <w:r>
              <w:rPr>
                <w:b/>
                <w:spacing w:val="-4"/>
                <w:sz w:val="22"/>
              </w:rPr>
              <w:t>60.7%</w:t>
            </w:r>
          </w:p>
        </w:tc>
      </w:tr>
      <w:tr>
        <w:trPr>
          <w:trHeight w:val="467" w:hRule="atLeast"/>
        </w:trPr>
        <w:tc>
          <w:tcPr>
            <w:tcW w:w="1490" w:type="dxa"/>
            <w:tcBorders>
              <w:top w:val="single" w:sz="8" w:space="0" w:color="FFFFFF"/>
              <w:right w:val="single" w:sz="4" w:space="0" w:color="FFFFFF"/>
            </w:tcBorders>
            <w:shd w:val="clear" w:color="auto" w:fill="4471C4"/>
          </w:tcPr>
          <w:p>
            <w:pPr>
              <w:pStyle w:val="TableParagraph"/>
              <w:spacing w:line="267" w:lineRule="exact"/>
              <w:ind w:left="93"/>
              <w:rPr>
                <w:b/>
                <w:sz w:val="22"/>
              </w:rPr>
            </w:pPr>
            <w:r>
              <w:rPr>
                <w:b/>
                <w:sz w:val="22"/>
              </w:rPr>
              <w:t>Year</w:t>
            </w:r>
            <w:r>
              <w:rPr>
                <w:b/>
                <w:spacing w:val="-2"/>
                <w:sz w:val="22"/>
              </w:rPr>
              <w:t> </w:t>
            </w:r>
            <w:r>
              <w:rPr>
                <w:b/>
                <w:spacing w:val="-5"/>
                <w:sz w:val="22"/>
              </w:rPr>
              <w:t>12</w:t>
            </w:r>
          </w:p>
        </w:tc>
        <w:tc>
          <w:tcPr>
            <w:tcW w:w="869" w:type="dxa"/>
            <w:tcBorders>
              <w:top w:val="single" w:sz="8" w:space="0" w:color="FFFFFF"/>
              <w:left w:val="single" w:sz="4" w:space="0" w:color="FFFFFF"/>
            </w:tcBorders>
            <w:shd w:val="clear" w:color="auto" w:fill="D9E1F3"/>
          </w:tcPr>
          <w:p>
            <w:pPr>
              <w:pStyle w:val="TableParagraph"/>
              <w:spacing w:line="267" w:lineRule="exact"/>
              <w:ind w:left="108"/>
              <w:rPr>
                <w:sz w:val="22"/>
              </w:rPr>
            </w:pPr>
            <w:r>
              <w:rPr>
                <w:spacing w:val="-2"/>
                <w:sz w:val="22"/>
              </w:rPr>
              <w:t>22.7%</w:t>
            </w:r>
          </w:p>
        </w:tc>
        <w:tc>
          <w:tcPr>
            <w:tcW w:w="871" w:type="dxa"/>
            <w:tcBorders>
              <w:top w:val="single" w:sz="8" w:space="0" w:color="FFFFFF"/>
            </w:tcBorders>
            <w:shd w:val="clear" w:color="auto" w:fill="D9E1F3"/>
          </w:tcPr>
          <w:p>
            <w:pPr>
              <w:pStyle w:val="TableParagraph"/>
              <w:spacing w:line="267" w:lineRule="exact"/>
              <w:ind w:left="113"/>
              <w:rPr>
                <w:sz w:val="22"/>
              </w:rPr>
            </w:pPr>
            <w:r>
              <w:rPr>
                <w:spacing w:val="-2"/>
                <w:sz w:val="22"/>
              </w:rPr>
              <w:t>17.3%</w:t>
            </w:r>
          </w:p>
        </w:tc>
        <w:tc>
          <w:tcPr>
            <w:tcW w:w="869" w:type="dxa"/>
            <w:tcBorders>
              <w:top w:val="single" w:sz="8" w:space="0" w:color="FFFFFF"/>
            </w:tcBorders>
            <w:shd w:val="clear" w:color="auto" w:fill="D9E1F3"/>
          </w:tcPr>
          <w:p>
            <w:pPr>
              <w:pStyle w:val="TableParagraph"/>
              <w:spacing w:line="267" w:lineRule="exact"/>
              <w:ind w:left="113"/>
              <w:rPr>
                <w:b/>
                <w:sz w:val="22"/>
              </w:rPr>
            </w:pPr>
            <w:r>
              <w:rPr>
                <w:b/>
                <w:spacing w:val="-4"/>
                <w:sz w:val="22"/>
              </w:rPr>
              <w:t>20.2%</w:t>
            </w:r>
          </w:p>
        </w:tc>
        <w:tc>
          <w:tcPr>
            <w:tcW w:w="872" w:type="dxa"/>
            <w:tcBorders>
              <w:top w:val="single" w:sz="8" w:space="0" w:color="FFFFFF"/>
            </w:tcBorders>
            <w:shd w:val="clear" w:color="auto" w:fill="D9E1F3"/>
          </w:tcPr>
          <w:p>
            <w:pPr>
              <w:pStyle w:val="TableParagraph"/>
              <w:spacing w:line="267" w:lineRule="exact"/>
              <w:ind w:left="113"/>
              <w:rPr>
                <w:sz w:val="22"/>
              </w:rPr>
            </w:pPr>
            <w:r>
              <w:rPr>
                <w:spacing w:val="-2"/>
                <w:sz w:val="22"/>
              </w:rPr>
              <w:t>21.8%</w:t>
            </w:r>
          </w:p>
        </w:tc>
        <w:tc>
          <w:tcPr>
            <w:tcW w:w="869" w:type="dxa"/>
            <w:tcBorders>
              <w:top w:val="single" w:sz="8" w:space="0" w:color="FFFFFF"/>
            </w:tcBorders>
            <w:shd w:val="clear" w:color="auto" w:fill="D9E1F3"/>
          </w:tcPr>
          <w:p>
            <w:pPr>
              <w:pStyle w:val="TableParagraph"/>
              <w:spacing w:line="267" w:lineRule="exact"/>
              <w:ind w:left="113"/>
              <w:rPr>
                <w:sz w:val="22"/>
              </w:rPr>
            </w:pPr>
            <w:r>
              <w:rPr>
                <w:spacing w:val="-2"/>
                <w:sz w:val="22"/>
              </w:rPr>
              <w:t>15.5%</w:t>
            </w:r>
          </w:p>
        </w:tc>
        <w:tc>
          <w:tcPr>
            <w:tcW w:w="871" w:type="dxa"/>
            <w:tcBorders>
              <w:top w:val="single" w:sz="8" w:space="0" w:color="FFFFFF"/>
            </w:tcBorders>
            <w:shd w:val="clear" w:color="auto" w:fill="D9E1F3"/>
          </w:tcPr>
          <w:p>
            <w:pPr>
              <w:pStyle w:val="TableParagraph"/>
              <w:spacing w:line="267" w:lineRule="exact"/>
              <w:ind w:left="112"/>
              <w:rPr>
                <w:b/>
                <w:sz w:val="22"/>
              </w:rPr>
            </w:pPr>
            <w:r>
              <w:rPr>
                <w:b/>
                <w:spacing w:val="-4"/>
                <w:sz w:val="22"/>
              </w:rPr>
              <w:t>18.8%</w:t>
            </w:r>
          </w:p>
        </w:tc>
        <w:tc>
          <w:tcPr>
            <w:tcW w:w="881" w:type="dxa"/>
            <w:tcBorders>
              <w:top w:val="single" w:sz="8" w:space="0" w:color="FFFFFF"/>
            </w:tcBorders>
            <w:shd w:val="clear" w:color="auto" w:fill="D9E1F3"/>
          </w:tcPr>
          <w:p>
            <w:pPr>
              <w:pStyle w:val="TableParagraph"/>
              <w:spacing w:line="267" w:lineRule="exact"/>
              <w:ind w:left="113"/>
              <w:rPr>
                <w:sz w:val="22"/>
              </w:rPr>
            </w:pPr>
            <w:r>
              <w:rPr>
                <w:spacing w:val="-2"/>
                <w:sz w:val="22"/>
              </w:rPr>
              <w:t>20.8%</w:t>
            </w:r>
          </w:p>
        </w:tc>
        <w:tc>
          <w:tcPr>
            <w:tcW w:w="881" w:type="dxa"/>
            <w:tcBorders>
              <w:top w:val="single" w:sz="8" w:space="0" w:color="FFFFFF"/>
            </w:tcBorders>
            <w:shd w:val="clear" w:color="auto" w:fill="D9E1F3"/>
          </w:tcPr>
          <w:p>
            <w:pPr>
              <w:pStyle w:val="TableParagraph"/>
              <w:spacing w:line="267" w:lineRule="exact"/>
              <w:ind w:left="113"/>
              <w:rPr>
                <w:sz w:val="22"/>
              </w:rPr>
            </w:pPr>
            <w:r>
              <w:rPr>
                <w:spacing w:val="-2"/>
                <w:sz w:val="22"/>
              </w:rPr>
              <w:t>17.0%</w:t>
            </w:r>
          </w:p>
        </w:tc>
        <w:tc>
          <w:tcPr>
            <w:tcW w:w="879" w:type="dxa"/>
            <w:tcBorders>
              <w:top w:val="single" w:sz="8" w:space="0" w:color="FFFFFF"/>
            </w:tcBorders>
            <w:shd w:val="clear" w:color="auto" w:fill="D9E1F3"/>
          </w:tcPr>
          <w:p>
            <w:pPr>
              <w:pStyle w:val="TableParagraph"/>
              <w:spacing w:line="267" w:lineRule="exact"/>
              <w:ind w:left="113"/>
              <w:rPr>
                <w:b/>
                <w:sz w:val="22"/>
              </w:rPr>
            </w:pPr>
            <w:r>
              <w:rPr>
                <w:b/>
                <w:spacing w:val="-4"/>
                <w:sz w:val="22"/>
              </w:rPr>
              <w:t>19.0%</w:t>
            </w:r>
          </w:p>
        </w:tc>
      </w:tr>
    </w:tbl>
    <w:p>
      <w:pPr>
        <w:pStyle w:val="BodyText"/>
        <w:rPr>
          <w:rFonts w:ascii="Calibri Light"/>
          <w:b w:val="0"/>
          <w:sz w:val="24"/>
        </w:rPr>
      </w:pPr>
    </w:p>
    <w:p>
      <w:pPr>
        <w:pStyle w:val="BodyText"/>
        <w:spacing w:before="198"/>
        <w:ind w:left="220" w:right="1253"/>
        <w:jc w:val="both"/>
      </w:pPr>
      <w:r>
        <w:rPr>
          <w:b/>
        </w:rPr>
        <w:t>Source: </w:t>
      </w:r>
      <w:r>
        <w:rPr/>
        <w:t>Draft MEHRD Performance Assessment Report 2018. Key Output Report – Information and </w:t>
      </w:r>
      <w:r>
        <w:rPr>
          <w:spacing w:val="-2"/>
        </w:rPr>
        <w:t>Systems.</w:t>
      </w:r>
    </w:p>
    <w:p>
      <w:pPr>
        <w:pStyle w:val="BodyText"/>
        <w:spacing w:before="5"/>
        <w:rPr>
          <w:sz w:val="16"/>
        </w:rPr>
      </w:pPr>
    </w:p>
    <w:p>
      <w:pPr>
        <w:pStyle w:val="BodyText"/>
        <w:ind w:left="220"/>
        <w:jc w:val="both"/>
      </w:pPr>
      <w:r>
        <w:rPr>
          <w:color w:val="4471C4"/>
        </w:rPr>
        <w:t>Improved</w:t>
      </w:r>
      <w:r>
        <w:rPr>
          <w:color w:val="4471C4"/>
          <w:spacing w:val="-4"/>
        </w:rPr>
        <w:t> </w:t>
      </w:r>
      <w:r>
        <w:rPr>
          <w:color w:val="4471C4"/>
        </w:rPr>
        <w:t>Data</w:t>
      </w:r>
      <w:r>
        <w:rPr>
          <w:color w:val="4471C4"/>
          <w:spacing w:val="-3"/>
        </w:rPr>
        <w:t> </w:t>
      </w:r>
      <w:r>
        <w:rPr>
          <w:color w:val="4471C4"/>
        </w:rPr>
        <w:t>and</w:t>
      </w:r>
      <w:r>
        <w:rPr>
          <w:color w:val="4471C4"/>
          <w:spacing w:val="-3"/>
        </w:rPr>
        <w:t> </w:t>
      </w:r>
      <w:r>
        <w:rPr>
          <w:color w:val="4471C4"/>
        </w:rPr>
        <w:t>EMIS</w:t>
      </w:r>
      <w:r>
        <w:rPr>
          <w:color w:val="4471C4"/>
          <w:spacing w:val="-2"/>
        </w:rPr>
        <w:t> systems</w:t>
      </w:r>
    </w:p>
    <w:p>
      <w:pPr>
        <w:pStyle w:val="BodyText"/>
        <w:spacing w:before="4"/>
        <w:rPr>
          <w:sz w:val="16"/>
        </w:rPr>
      </w:pPr>
    </w:p>
    <w:p>
      <w:pPr>
        <w:pStyle w:val="BodyText"/>
        <w:ind w:left="220" w:right="1253"/>
        <w:jc w:val="both"/>
      </w:pPr>
      <w:r>
        <w:rPr/>
        <w:t>A targeted school</w:t>
      </w:r>
      <w:r>
        <w:rPr>
          <w:spacing w:val="-2"/>
        </w:rPr>
        <w:t> </w:t>
      </w:r>
      <w:r>
        <w:rPr/>
        <w:t>enrolment verification exercise was</w:t>
      </w:r>
      <w:r>
        <w:rPr>
          <w:spacing w:val="-2"/>
        </w:rPr>
        <w:t> </w:t>
      </w:r>
      <w:r>
        <w:rPr/>
        <w:t>conducted July to September 2018</w:t>
      </w:r>
      <w:r>
        <w:rPr>
          <w:spacing w:val="-2"/>
        </w:rPr>
        <w:t> </w:t>
      </w:r>
      <w:r>
        <w:rPr/>
        <w:t>with about 2 weeks spent at each of the selected schools in Malaita, Honiara City Council, Makira and Western Province.</w:t>
      </w:r>
      <w:r>
        <w:rPr>
          <w:spacing w:val="40"/>
        </w:rPr>
        <w:t> </w:t>
      </w:r>
      <w:r>
        <w:rPr/>
        <w:t>This exercise found data errors and that large numbers of students reported at the beginning of the year had dropped out by year’s end. The School Census Forms have for the first</w:t>
      </w:r>
      <w:r>
        <w:rPr>
          <w:spacing w:val="40"/>
        </w:rPr>
        <w:t> </w:t>
      </w:r>
      <w:r>
        <w:rPr/>
        <w:t>time in 2019 included names of students. In coming years, the Forms will include student details</w:t>
      </w:r>
      <w:r>
        <w:rPr>
          <w:spacing w:val="40"/>
        </w:rPr>
        <w:t> </w:t>
      </w:r>
      <w:r>
        <w:rPr/>
        <w:t>such as: dates of birth, gender, unique student identifiers, transferred, deceased, left school, pushouts, promoted to next level and those repeating a level. This will see further improvements in data accuracy over time. Ensuring students’ privacy when collecting this data will need to be addressed in the National Education Bill.</w:t>
      </w:r>
    </w:p>
    <w:p>
      <w:pPr>
        <w:pStyle w:val="BodyText"/>
        <w:spacing w:before="4"/>
        <w:rPr>
          <w:sz w:val="16"/>
        </w:rPr>
      </w:pPr>
    </w:p>
    <w:p>
      <w:pPr>
        <w:pStyle w:val="BodyText"/>
        <w:ind w:left="220" w:right="1254"/>
        <w:jc w:val="both"/>
      </w:pPr>
      <w:r>
        <w:rPr/>
        <w:t>The School Census Forms also allows for entry of qualitative data by School Leaders. There is a wealth of information (some of this is heart-wrenching in its call for assistance</w:t>
      </w:r>
      <w:r>
        <w:rPr>
          <w:vertAlign w:val="superscript"/>
        </w:rPr>
        <w:t>1</w:t>
      </w:r>
      <w:r>
        <w:rPr>
          <w:vertAlign w:val="baseline"/>
        </w:rPr>
        <w:t>) that is simply entered into SIEMIS but never analysed or acted upon directly. Only in cases of a school not</w:t>
      </w:r>
      <w:r>
        <w:rPr>
          <w:spacing w:val="40"/>
          <w:vertAlign w:val="baseline"/>
        </w:rPr>
        <w:t> </w:t>
      </w:r>
      <w:r>
        <w:rPr>
          <w:vertAlign w:val="baseline"/>
        </w:rPr>
        <w:t>receiving</w:t>
      </w:r>
      <w:r>
        <w:rPr>
          <w:spacing w:val="-1"/>
          <w:vertAlign w:val="baseline"/>
        </w:rPr>
        <w:t> </w:t>
      </w:r>
      <w:r>
        <w:rPr>
          <w:vertAlign w:val="baseline"/>
        </w:rPr>
        <w:t>the</w:t>
      </w:r>
      <w:r>
        <w:rPr>
          <w:spacing w:val="-2"/>
          <w:vertAlign w:val="baseline"/>
        </w:rPr>
        <w:t> </w:t>
      </w:r>
      <w:r>
        <w:rPr>
          <w:vertAlign w:val="baseline"/>
        </w:rPr>
        <w:t>school</w:t>
      </w:r>
      <w:r>
        <w:rPr>
          <w:spacing w:val="-2"/>
          <w:vertAlign w:val="baseline"/>
        </w:rPr>
        <w:t> </w:t>
      </w:r>
      <w:r>
        <w:rPr>
          <w:vertAlign w:val="baseline"/>
        </w:rPr>
        <w:t>grant</w:t>
      </w:r>
      <w:r>
        <w:rPr>
          <w:spacing w:val="2"/>
          <w:vertAlign w:val="baseline"/>
        </w:rPr>
        <w:t> </w:t>
      </w:r>
      <w:r>
        <w:rPr>
          <w:vertAlign w:val="baseline"/>
        </w:rPr>
        <w:t>is the</w:t>
      </w:r>
      <w:r>
        <w:rPr>
          <w:spacing w:val="-2"/>
          <w:vertAlign w:val="baseline"/>
        </w:rPr>
        <w:t> </w:t>
      </w:r>
      <w:r>
        <w:rPr>
          <w:vertAlign w:val="baseline"/>
        </w:rPr>
        <w:t>issue</w:t>
      </w:r>
      <w:r>
        <w:rPr>
          <w:spacing w:val="-2"/>
          <w:vertAlign w:val="baseline"/>
        </w:rPr>
        <w:t> </w:t>
      </w:r>
      <w:r>
        <w:rPr>
          <w:vertAlign w:val="baseline"/>
        </w:rPr>
        <w:t>seen</w:t>
      </w:r>
      <w:r>
        <w:rPr>
          <w:spacing w:val="-1"/>
          <w:vertAlign w:val="baseline"/>
        </w:rPr>
        <w:t> </w:t>
      </w:r>
      <w:r>
        <w:rPr>
          <w:vertAlign w:val="baseline"/>
        </w:rPr>
        <w:t>as</w:t>
      </w:r>
      <w:r>
        <w:rPr>
          <w:spacing w:val="-2"/>
          <w:vertAlign w:val="baseline"/>
        </w:rPr>
        <w:t> </w:t>
      </w:r>
      <w:r>
        <w:rPr>
          <w:vertAlign w:val="baseline"/>
        </w:rPr>
        <w:t>‘urgent’</w:t>
      </w:r>
      <w:r>
        <w:rPr>
          <w:spacing w:val="-2"/>
          <w:vertAlign w:val="baseline"/>
        </w:rPr>
        <w:t> </w:t>
      </w:r>
      <w:r>
        <w:rPr>
          <w:vertAlign w:val="baseline"/>
        </w:rPr>
        <w:t>and</w:t>
      </w:r>
      <w:r>
        <w:rPr>
          <w:spacing w:val="-1"/>
          <w:vertAlign w:val="baseline"/>
        </w:rPr>
        <w:t> </w:t>
      </w:r>
      <w:r>
        <w:rPr>
          <w:vertAlign w:val="baseline"/>
        </w:rPr>
        <w:t>passed</w:t>
      </w:r>
      <w:r>
        <w:rPr>
          <w:spacing w:val="-2"/>
          <w:vertAlign w:val="baseline"/>
        </w:rPr>
        <w:t> </w:t>
      </w:r>
      <w:r>
        <w:rPr>
          <w:vertAlign w:val="baseline"/>
        </w:rPr>
        <w:t>to</w:t>
      </w:r>
      <w:r>
        <w:rPr>
          <w:spacing w:val="1"/>
          <w:vertAlign w:val="baseline"/>
        </w:rPr>
        <w:t> </w:t>
      </w:r>
      <w:r>
        <w:rPr>
          <w:vertAlign w:val="baseline"/>
        </w:rPr>
        <w:t>Grants for</w:t>
      </w:r>
      <w:r>
        <w:rPr>
          <w:spacing w:val="-2"/>
          <w:vertAlign w:val="baseline"/>
        </w:rPr>
        <w:t> </w:t>
      </w:r>
      <w:r>
        <w:rPr>
          <w:vertAlign w:val="baseline"/>
        </w:rPr>
        <w:t>actioning.</w:t>
      </w:r>
      <w:r>
        <w:rPr>
          <w:spacing w:val="3"/>
          <w:vertAlign w:val="baseline"/>
        </w:rPr>
        <w:t> </w:t>
      </w:r>
      <w:r>
        <w:rPr>
          <w:vertAlign w:val="baseline"/>
        </w:rPr>
        <w:t>Where</w:t>
      </w:r>
      <w:r>
        <w:rPr>
          <w:spacing w:val="-1"/>
          <w:vertAlign w:val="baseline"/>
        </w:rPr>
        <w:t> </w:t>
      </w:r>
      <w:r>
        <w:rPr>
          <w:spacing w:val="-5"/>
          <w:vertAlign w:val="baseline"/>
        </w:rPr>
        <w:t>the</w:t>
      </w:r>
    </w:p>
    <w:p>
      <w:pPr>
        <w:pStyle w:val="BodyText"/>
        <w:spacing w:before="4"/>
        <w:rPr>
          <w:sz w:val="14"/>
        </w:rPr>
      </w:pPr>
      <w:r>
        <w:rPr/>
        <w:pict>
          <v:rect style="position:absolute;margin-left:72.024002pt;margin-top:9.950908pt;width:144.020pt;height:.72003pt;mso-position-horizontal-relative:page;mso-position-vertical-relative:paragraph;z-index:-15728640;mso-wrap-distance-left:0;mso-wrap-distance-right:0" id="docshape5" filled="true" fillcolor="#000000" stroked="false">
            <v:fill type="solid"/>
            <w10:wrap type="topAndBottom"/>
          </v:rect>
        </w:pict>
      </w:r>
    </w:p>
    <w:p>
      <w:pPr>
        <w:spacing w:before="102"/>
        <w:ind w:left="220" w:right="1246" w:firstLine="0"/>
        <w:jc w:val="left"/>
        <w:rPr>
          <w:sz w:val="18"/>
        </w:rPr>
      </w:pPr>
      <w:r>
        <w:rPr>
          <w:position w:val="5"/>
          <w:sz w:val="12"/>
        </w:rPr>
        <w:t>1</w:t>
      </w:r>
      <w:r>
        <w:rPr>
          <w:spacing w:val="10"/>
          <w:position w:val="5"/>
          <w:sz w:val="12"/>
        </w:rPr>
        <w:t> </w:t>
      </w:r>
      <w:r>
        <w:rPr>
          <w:sz w:val="18"/>
        </w:rPr>
        <w:t>For</w:t>
      </w:r>
      <w:r>
        <w:rPr>
          <w:spacing w:val="-2"/>
          <w:sz w:val="18"/>
        </w:rPr>
        <w:t> </w:t>
      </w:r>
      <w:r>
        <w:rPr>
          <w:sz w:val="18"/>
        </w:rPr>
        <w:t>example:</w:t>
      </w:r>
      <w:r>
        <w:rPr>
          <w:spacing w:val="-2"/>
          <w:sz w:val="18"/>
        </w:rPr>
        <w:t> </w:t>
      </w:r>
      <w:r>
        <w:rPr>
          <w:sz w:val="18"/>
        </w:rPr>
        <w:t>classes</w:t>
      </w:r>
      <w:r>
        <w:rPr>
          <w:spacing w:val="-3"/>
          <w:sz w:val="18"/>
        </w:rPr>
        <w:t> </w:t>
      </w:r>
      <w:r>
        <w:rPr>
          <w:sz w:val="18"/>
        </w:rPr>
        <w:t>still</w:t>
      </w:r>
      <w:r>
        <w:rPr>
          <w:spacing w:val="-3"/>
          <w:sz w:val="18"/>
        </w:rPr>
        <w:t> </w:t>
      </w:r>
      <w:r>
        <w:rPr>
          <w:sz w:val="18"/>
        </w:rPr>
        <w:t>being</w:t>
      </w:r>
      <w:r>
        <w:rPr>
          <w:spacing w:val="-3"/>
          <w:sz w:val="18"/>
        </w:rPr>
        <w:t> </w:t>
      </w:r>
      <w:r>
        <w:rPr>
          <w:sz w:val="18"/>
        </w:rPr>
        <w:t>held</w:t>
      </w:r>
      <w:r>
        <w:rPr>
          <w:spacing w:val="-3"/>
          <w:sz w:val="18"/>
        </w:rPr>
        <w:t> </w:t>
      </w:r>
      <w:r>
        <w:rPr>
          <w:sz w:val="18"/>
        </w:rPr>
        <w:t>in</w:t>
      </w:r>
      <w:r>
        <w:rPr>
          <w:spacing w:val="-3"/>
          <w:sz w:val="18"/>
        </w:rPr>
        <w:t> </w:t>
      </w:r>
      <w:r>
        <w:rPr>
          <w:sz w:val="18"/>
        </w:rPr>
        <w:t>tents</w:t>
      </w:r>
      <w:r>
        <w:rPr>
          <w:spacing w:val="-3"/>
          <w:sz w:val="18"/>
        </w:rPr>
        <w:t> </w:t>
      </w:r>
      <w:r>
        <w:rPr>
          <w:sz w:val="18"/>
        </w:rPr>
        <w:t>some</w:t>
      </w:r>
      <w:r>
        <w:rPr>
          <w:spacing w:val="-3"/>
          <w:sz w:val="18"/>
        </w:rPr>
        <w:t> </w:t>
      </w:r>
      <w:r>
        <w:rPr>
          <w:sz w:val="18"/>
        </w:rPr>
        <w:t>12</w:t>
      </w:r>
      <w:r>
        <w:rPr>
          <w:spacing w:val="-2"/>
          <w:sz w:val="18"/>
        </w:rPr>
        <w:t> </w:t>
      </w:r>
      <w:r>
        <w:rPr>
          <w:sz w:val="18"/>
        </w:rPr>
        <w:t>months</w:t>
      </w:r>
      <w:r>
        <w:rPr>
          <w:spacing w:val="-3"/>
          <w:sz w:val="18"/>
        </w:rPr>
        <w:t> </w:t>
      </w:r>
      <w:r>
        <w:rPr>
          <w:sz w:val="18"/>
        </w:rPr>
        <w:t>after</w:t>
      </w:r>
      <w:r>
        <w:rPr>
          <w:spacing w:val="-2"/>
          <w:sz w:val="18"/>
        </w:rPr>
        <w:t> </w:t>
      </w:r>
      <w:r>
        <w:rPr>
          <w:sz w:val="18"/>
        </w:rPr>
        <w:t>a</w:t>
      </w:r>
      <w:r>
        <w:rPr>
          <w:spacing w:val="-3"/>
          <w:sz w:val="18"/>
        </w:rPr>
        <w:t> </w:t>
      </w:r>
      <w:r>
        <w:rPr>
          <w:sz w:val="18"/>
        </w:rPr>
        <w:t>natural</w:t>
      </w:r>
      <w:r>
        <w:rPr>
          <w:spacing w:val="-1"/>
          <w:sz w:val="18"/>
        </w:rPr>
        <w:t> </w:t>
      </w:r>
      <w:r>
        <w:rPr>
          <w:sz w:val="18"/>
        </w:rPr>
        <w:t>disaster;</w:t>
      </w:r>
      <w:r>
        <w:rPr>
          <w:spacing w:val="-3"/>
          <w:sz w:val="18"/>
        </w:rPr>
        <w:t> </w:t>
      </w:r>
      <w:r>
        <w:rPr>
          <w:sz w:val="18"/>
        </w:rPr>
        <w:t>two</w:t>
      </w:r>
      <w:r>
        <w:rPr>
          <w:spacing w:val="-2"/>
          <w:sz w:val="18"/>
        </w:rPr>
        <w:t> </w:t>
      </w:r>
      <w:r>
        <w:rPr>
          <w:sz w:val="18"/>
        </w:rPr>
        <w:t>exhausted</w:t>
      </w:r>
      <w:r>
        <w:rPr>
          <w:spacing w:val="-3"/>
          <w:sz w:val="18"/>
        </w:rPr>
        <w:t> </w:t>
      </w:r>
      <w:r>
        <w:rPr>
          <w:sz w:val="18"/>
        </w:rPr>
        <w:t>teachers</w:t>
      </w:r>
      <w:r>
        <w:rPr>
          <w:spacing w:val="-3"/>
          <w:sz w:val="18"/>
        </w:rPr>
        <w:t> </w:t>
      </w:r>
      <w:r>
        <w:rPr>
          <w:sz w:val="18"/>
        </w:rPr>
        <w:t>carrying</w:t>
      </w:r>
      <w:r>
        <w:rPr>
          <w:spacing w:val="-1"/>
          <w:sz w:val="18"/>
        </w:rPr>
        <w:t> </w:t>
      </w:r>
      <w:r>
        <w:rPr>
          <w:sz w:val="18"/>
        </w:rPr>
        <w:t>the workload of nine teachers; a call for help that has been the same for 31 years; lack of water, toilets, books, chairs and </w:t>
      </w:r>
      <w:r>
        <w:rPr>
          <w:spacing w:val="-2"/>
          <w:sz w:val="18"/>
        </w:rPr>
        <w:t>tables.</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6"/>
        <w:jc w:val="both"/>
      </w:pPr>
      <w:r>
        <w:rPr/>
        <w:t>SIEMIS team identify pressing concerns that can’t be addressed by Grants, there should be the discretion to pass this onto the Senior Management Team.</w:t>
      </w:r>
    </w:p>
    <w:p>
      <w:pPr>
        <w:pStyle w:val="BodyText"/>
        <w:spacing w:before="4"/>
        <w:rPr>
          <w:sz w:val="16"/>
        </w:rPr>
      </w:pPr>
    </w:p>
    <w:p>
      <w:pPr>
        <w:pStyle w:val="BodyText"/>
        <w:ind w:left="220" w:right="1254"/>
        <w:jc w:val="both"/>
      </w:pPr>
      <w:r>
        <w:rPr/>
        <w:t>This</w:t>
      </w:r>
      <w:r>
        <w:rPr>
          <w:spacing w:val="-2"/>
        </w:rPr>
        <w:t> </w:t>
      </w:r>
      <w:r>
        <w:rPr/>
        <w:t>qualitative</w:t>
      </w:r>
      <w:r>
        <w:rPr>
          <w:spacing w:val="-1"/>
        </w:rPr>
        <w:t> </w:t>
      </w:r>
      <w:r>
        <w:rPr/>
        <w:t>data</w:t>
      </w:r>
      <w:r>
        <w:rPr>
          <w:spacing w:val="-1"/>
        </w:rPr>
        <w:t> </w:t>
      </w:r>
      <w:r>
        <w:rPr/>
        <w:t>could</w:t>
      </w:r>
      <w:r>
        <w:rPr>
          <w:spacing w:val="-3"/>
        </w:rPr>
        <w:t> </w:t>
      </w:r>
      <w:r>
        <w:rPr/>
        <w:t>be</w:t>
      </w:r>
      <w:r>
        <w:rPr>
          <w:spacing w:val="-2"/>
        </w:rPr>
        <w:t> </w:t>
      </w:r>
      <w:r>
        <w:rPr/>
        <w:t>analysed</w:t>
      </w:r>
      <w:r>
        <w:rPr>
          <w:spacing w:val="-3"/>
        </w:rPr>
        <w:t> </w:t>
      </w:r>
      <w:r>
        <w:rPr/>
        <w:t>with</w:t>
      </w:r>
      <w:r>
        <w:rPr>
          <w:spacing w:val="-2"/>
        </w:rPr>
        <w:t> </w:t>
      </w:r>
      <w:r>
        <w:rPr/>
        <w:t>Computer</w:t>
      </w:r>
      <w:r>
        <w:rPr>
          <w:spacing w:val="-2"/>
        </w:rPr>
        <w:t> </w:t>
      </w:r>
      <w:r>
        <w:rPr/>
        <w:t>Assisted</w:t>
      </w:r>
      <w:r>
        <w:rPr>
          <w:spacing w:val="-2"/>
        </w:rPr>
        <w:t> </w:t>
      </w:r>
      <w:r>
        <w:rPr/>
        <w:t>Qualitative</w:t>
      </w:r>
      <w:r>
        <w:rPr>
          <w:spacing w:val="-1"/>
        </w:rPr>
        <w:t> </w:t>
      </w:r>
      <w:r>
        <w:rPr/>
        <w:t>Data</w:t>
      </w:r>
      <w:r>
        <w:rPr>
          <w:spacing w:val="-4"/>
        </w:rPr>
        <w:t> </w:t>
      </w:r>
      <w:r>
        <w:rPr/>
        <w:t>Analysis</w:t>
      </w:r>
      <w:r>
        <w:rPr>
          <w:spacing w:val="-2"/>
        </w:rPr>
        <w:t> </w:t>
      </w:r>
      <w:r>
        <w:rPr/>
        <w:t>Software</w:t>
      </w:r>
      <w:r>
        <w:rPr>
          <w:spacing w:val="-4"/>
        </w:rPr>
        <w:t> </w:t>
      </w:r>
      <w:r>
        <w:rPr/>
        <w:t>to address real-time needs at schools. With the current upgrading of the SIEMIS system this could be a timely addition. The SIEMIS team is extremely capable and would be able to use such software. Qualitative data is also invaluable to provide the human dimension to already available quantitative data: It can paint a picture of policy implications for key political decision makers plus be a valuable communication tool with media, communities and grass-roots organisations. The Permanent Secretary noted at the Mid-term Review the need for research in the Solomon Islands’ education sector. The School Census Forms could provide a rich source of primary research data.</w:t>
      </w:r>
    </w:p>
    <w:p>
      <w:pPr>
        <w:pStyle w:val="BodyText"/>
        <w:spacing w:before="6"/>
        <w:rPr>
          <w:sz w:val="16"/>
        </w:rPr>
      </w:pPr>
    </w:p>
    <w:p>
      <w:pPr>
        <w:pStyle w:val="BodyText"/>
        <w:ind w:left="220" w:right="1253"/>
        <w:jc w:val="both"/>
      </w:pPr>
      <w:r>
        <w:rPr/>
        <w:t>SIEMIS is the main tool that supports the management of decision-making in MEHRD. However, it only records student aggregates and does not have an electronic student register so there is</w:t>
      </w:r>
      <w:r>
        <w:rPr>
          <w:spacing w:val="40"/>
        </w:rPr>
        <w:t> </w:t>
      </w:r>
      <w:r>
        <w:rPr/>
        <w:t>difficulty in tracking student enrolment and progress in a systematic and accurate way. The review and analysis stage during the preparation of the ICT Master Plan identified the need to upgrade SIEMIS. The proposed upgraded EMIS will promote a primary central data system and one management system to manage all inter-related data.</w:t>
      </w:r>
      <w:r>
        <w:rPr>
          <w:spacing w:val="40"/>
        </w:rPr>
        <w:t> </w:t>
      </w:r>
      <w:r>
        <w:rPr/>
        <w:t>This data will include student information, student assessment management as well as school information, teachers, resources and school infrastructure.</w:t>
      </w:r>
      <w:r>
        <w:rPr>
          <w:spacing w:val="40"/>
        </w:rPr>
        <w:t> </w:t>
      </w:r>
      <w:r>
        <w:rPr/>
        <w:t>This information should not be fragmented across systems or departments.</w:t>
      </w:r>
    </w:p>
    <w:p>
      <w:pPr>
        <w:pStyle w:val="BodyText"/>
        <w:spacing w:before="4"/>
        <w:rPr>
          <w:sz w:val="16"/>
        </w:rPr>
      </w:pPr>
    </w:p>
    <w:p>
      <w:pPr>
        <w:pStyle w:val="BodyText"/>
        <w:ind w:left="220" w:right="1256"/>
        <w:jc w:val="both"/>
      </w:pPr>
      <w:r>
        <w:rPr/>
        <w:t>While upgrading systems is</w:t>
      </w:r>
      <w:r>
        <w:rPr>
          <w:spacing w:val="-2"/>
        </w:rPr>
        <w:t> </w:t>
      </w:r>
      <w:r>
        <w:rPr/>
        <w:t>commendable and necessary, the quality of data entered and its analysis is crucial: It is used to make decisions on expenditure and, more importantly, on students’ educational needs. Ongoing verification by MEHRD of data collection and impressing upon EAs and School Leaders the importance of this data is crucial. For donors, Performance Linked Aid (PLA) payments are particularly dependent upon the quality and timeliness of data collection and its analysis to make informed decisions on payment. Some European Aid Agencies, that have a heavy emphasis on using PLA, carry-out data quality audits (personal correspondence Thornton, B. 2019</w:t>
      </w:r>
      <w:r>
        <w:rPr>
          <w:vertAlign w:val="superscript"/>
        </w:rPr>
        <w:t>2</w:t>
      </w:r>
      <w:r>
        <w:rPr>
          <w:vertAlign w:val="baseline"/>
        </w:rPr>
        <w:t>) before triggering a payment. Recommendations on a possible future approach to PLA and data quality is in sections 5 and 6 below.</w:t>
      </w:r>
    </w:p>
    <w:p>
      <w:pPr>
        <w:pStyle w:val="BodyText"/>
        <w:spacing w:before="4"/>
        <w:rPr>
          <w:sz w:val="16"/>
        </w:rPr>
      </w:pPr>
    </w:p>
    <w:p>
      <w:pPr>
        <w:spacing w:before="0"/>
        <w:ind w:left="220" w:right="1252" w:firstLine="0"/>
        <w:jc w:val="both"/>
        <w:rPr>
          <w:b/>
          <w:sz w:val="22"/>
        </w:rPr>
      </w:pPr>
      <w:r>
        <w:rPr>
          <w:b/>
          <w:sz w:val="22"/>
        </w:rPr>
        <w:t>Indicator 1.1.2 is assessed as not achieved (0 per cent of a possible 10 per cent), though progress on collecting better data is commended.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r>
        <w:rPr/>
        <w:pict>
          <v:rect style="position:absolute;margin-left:72.024002pt;margin-top:17.606499pt;width:144.020pt;height:.71997pt;mso-position-horizontal-relative:page;mso-position-vertical-relative:paragraph;z-index:-15728128;mso-wrap-distance-left:0;mso-wrap-distance-right:0" id="docshape6" filled="true" fillcolor="#000000" stroked="false">
            <v:fill type="solid"/>
            <w10:wrap type="topAndBottom"/>
          </v:rect>
        </w:pict>
      </w:r>
    </w:p>
    <w:p>
      <w:pPr>
        <w:spacing w:before="100"/>
        <w:ind w:left="220" w:right="0" w:firstLine="0"/>
        <w:jc w:val="left"/>
        <w:rPr>
          <w:sz w:val="18"/>
        </w:rPr>
      </w:pPr>
      <w:bookmarkStart w:name="_bookmark11" w:id="12"/>
      <w:bookmarkEnd w:id="12"/>
      <w:r>
        <w:rPr/>
      </w:r>
      <w:r>
        <w:rPr>
          <w:position w:val="5"/>
          <w:sz w:val="12"/>
        </w:rPr>
        <w:t>2</w:t>
      </w:r>
      <w:r>
        <w:rPr>
          <w:spacing w:val="10"/>
          <w:position w:val="5"/>
          <w:sz w:val="12"/>
        </w:rPr>
        <w:t> </w:t>
      </w:r>
      <w:r>
        <w:rPr>
          <w:sz w:val="18"/>
        </w:rPr>
        <w:t>Thornton,</w:t>
      </w:r>
      <w:r>
        <w:rPr>
          <w:spacing w:val="-1"/>
          <w:sz w:val="18"/>
        </w:rPr>
        <w:t> </w:t>
      </w:r>
      <w:r>
        <w:rPr>
          <w:sz w:val="18"/>
        </w:rPr>
        <w:t>B.</w:t>
      </w:r>
      <w:r>
        <w:rPr>
          <w:spacing w:val="-2"/>
          <w:sz w:val="18"/>
        </w:rPr>
        <w:t> </w:t>
      </w:r>
      <w:r>
        <w:rPr>
          <w:sz w:val="18"/>
        </w:rPr>
        <w:t>Personal</w:t>
      </w:r>
      <w:r>
        <w:rPr>
          <w:spacing w:val="-2"/>
          <w:sz w:val="18"/>
        </w:rPr>
        <w:t> </w:t>
      </w:r>
      <w:r>
        <w:rPr>
          <w:sz w:val="18"/>
        </w:rPr>
        <w:t>email</w:t>
      </w:r>
      <w:r>
        <w:rPr>
          <w:spacing w:val="-3"/>
          <w:sz w:val="18"/>
        </w:rPr>
        <w:t> </w:t>
      </w:r>
      <w:r>
        <w:rPr>
          <w:sz w:val="18"/>
        </w:rPr>
        <w:t>dated</w:t>
      </w:r>
      <w:r>
        <w:rPr>
          <w:spacing w:val="-2"/>
          <w:sz w:val="18"/>
        </w:rPr>
        <w:t> </w:t>
      </w:r>
      <w:r>
        <w:rPr>
          <w:sz w:val="18"/>
        </w:rPr>
        <w:t>23</w:t>
      </w:r>
      <w:r>
        <w:rPr>
          <w:spacing w:val="-1"/>
          <w:sz w:val="18"/>
        </w:rPr>
        <w:t> </w:t>
      </w:r>
      <w:r>
        <w:rPr>
          <w:sz w:val="18"/>
        </w:rPr>
        <w:t>June</w:t>
      </w:r>
      <w:r>
        <w:rPr>
          <w:spacing w:val="-2"/>
          <w:sz w:val="18"/>
        </w:rPr>
        <w:t> 2019.</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11"/>
        <w:rPr>
          <w:sz w:val="26"/>
        </w:rPr>
      </w:pPr>
    </w:p>
    <w:p>
      <w:pPr>
        <w:pStyle w:val="Heading4"/>
        <w:numPr>
          <w:ilvl w:val="2"/>
          <w:numId w:val="4"/>
        </w:numPr>
        <w:tabs>
          <w:tab w:pos="940" w:val="left" w:leader="none"/>
          <w:tab w:pos="941" w:val="left" w:leader="none"/>
        </w:tabs>
        <w:spacing w:line="240" w:lineRule="auto" w:before="52" w:after="0"/>
        <w:ind w:left="940" w:right="0" w:hanging="721"/>
        <w:jc w:val="left"/>
        <w:rPr>
          <w:b w:val="0"/>
        </w:rPr>
      </w:pPr>
      <w:r>
        <w:rPr>
          <w:b w:val="0"/>
          <w:color w:val="4471C4"/>
        </w:rPr>
        <w:t>Target</w:t>
      </w:r>
      <w:r>
        <w:rPr>
          <w:b w:val="0"/>
          <w:color w:val="4471C4"/>
          <w:spacing w:val="28"/>
        </w:rPr>
        <w:t> </w:t>
      </w:r>
      <w:r>
        <w:rPr>
          <w:b w:val="0"/>
          <w:color w:val="4471C4"/>
        </w:rPr>
        <w:t>1.2:</w:t>
      </w:r>
      <w:r>
        <w:rPr>
          <w:b w:val="0"/>
          <w:color w:val="4471C4"/>
          <w:spacing w:val="26"/>
        </w:rPr>
        <w:t> </w:t>
      </w:r>
      <w:r>
        <w:rPr>
          <w:b w:val="0"/>
          <w:color w:val="4471C4"/>
        </w:rPr>
        <w:t>Safe</w:t>
      </w:r>
      <w:r>
        <w:rPr>
          <w:b w:val="0"/>
          <w:color w:val="4471C4"/>
          <w:spacing w:val="27"/>
        </w:rPr>
        <w:t> </w:t>
      </w:r>
      <w:r>
        <w:rPr>
          <w:b w:val="0"/>
          <w:color w:val="4471C4"/>
        </w:rPr>
        <w:t>and</w:t>
      </w:r>
      <w:r>
        <w:rPr>
          <w:b w:val="0"/>
          <w:color w:val="4471C4"/>
          <w:spacing w:val="28"/>
        </w:rPr>
        <w:t> </w:t>
      </w:r>
      <w:r>
        <w:rPr>
          <w:b w:val="0"/>
          <w:color w:val="4471C4"/>
        </w:rPr>
        <w:t>equitable</w:t>
      </w:r>
      <w:r>
        <w:rPr>
          <w:b w:val="0"/>
          <w:color w:val="4471C4"/>
          <w:spacing w:val="27"/>
        </w:rPr>
        <w:t> </w:t>
      </w:r>
      <w:r>
        <w:rPr>
          <w:b w:val="0"/>
          <w:color w:val="4471C4"/>
          <w:spacing w:val="-2"/>
        </w:rPr>
        <w:t>access</w:t>
      </w:r>
    </w:p>
    <w:p>
      <w:pPr>
        <w:pStyle w:val="BodyText"/>
        <w:spacing w:before="6"/>
        <w:rPr>
          <w:rFonts w:ascii="Calibri Light"/>
          <w:b w:val="0"/>
          <w:sz w:val="19"/>
        </w:rPr>
      </w:pPr>
    </w:p>
    <w:tbl>
      <w:tblPr>
        <w:tblW w:w="0" w:type="auto"/>
        <w:jc w:val="left"/>
        <w:tblInd w:w="23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54"/>
        <w:gridCol w:w="2114"/>
        <w:gridCol w:w="1446"/>
      </w:tblGrid>
      <w:tr>
        <w:trPr>
          <w:trHeight w:val="689" w:hRule="atLeast"/>
        </w:trPr>
        <w:tc>
          <w:tcPr>
            <w:tcW w:w="2054" w:type="dxa"/>
            <w:shd w:val="clear" w:color="auto" w:fill="B4C5E7"/>
          </w:tcPr>
          <w:p>
            <w:pPr>
              <w:pStyle w:val="TableParagraph"/>
              <w:spacing w:before="9"/>
              <w:rPr>
                <w:rFonts w:ascii="Calibri Light"/>
                <w:b w:val="0"/>
                <w:sz w:val="18"/>
              </w:rPr>
            </w:pPr>
          </w:p>
          <w:p>
            <w:pPr>
              <w:pStyle w:val="TableParagraph"/>
              <w:ind w:left="124"/>
              <w:rPr>
                <w:b/>
                <w:sz w:val="19"/>
              </w:rPr>
            </w:pPr>
            <w:r>
              <w:rPr>
                <w:b/>
                <w:spacing w:val="-2"/>
                <w:sz w:val="19"/>
              </w:rPr>
              <w:t>Performance</w:t>
            </w:r>
            <w:r>
              <w:rPr>
                <w:b/>
                <w:spacing w:val="-1"/>
                <w:sz w:val="19"/>
              </w:rPr>
              <w:t> </w:t>
            </w:r>
            <w:r>
              <w:rPr>
                <w:b/>
                <w:spacing w:val="-2"/>
                <w:sz w:val="19"/>
              </w:rPr>
              <w:t>Indicators</w:t>
            </w:r>
          </w:p>
        </w:tc>
        <w:tc>
          <w:tcPr>
            <w:tcW w:w="2114" w:type="dxa"/>
            <w:shd w:val="clear" w:color="auto" w:fill="B4C5E7"/>
          </w:tcPr>
          <w:p>
            <w:pPr>
              <w:pStyle w:val="TableParagraph"/>
              <w:spacing w:line="259" w:lineRule="auto" w:before="109"/>
              <w:ind w:left="593" w:hanging="220"/>
              <w:rPr>
                <w:b/>
                <w:sz w:val="19"/>
              </w:rPr>
            </w:pPr>
            <w:r>
              <w:rPr>
                <w:b/>
                <w:sz w:val="19"/>
              </w:rPr>
              <w:t>Expected</w:t>
            </w:r>
            <w:r>
              <w:rPr>
                <w:b/>
                <w:spacing w:val="-11"/>
                <w:sz w:val="19"/>
              </w:rPr>
              <w:t> </w:t>
            </w:r>
            <w:r>
              <w:rPr>
                <w:b/>
                <w:sz w:val="19"/>
              </w:rPr>
              <w:t>Results </w:t>
            </w:r>
            <w:r>
              <w:rPr>
                <w:b/>
                <w:spacing w:val="-2"/>
                <w:sz w:val="19"/>
              </w:rPr>
              <w:t>Statements</w:t>
            </w:r>
          </w:p>
        </w:tc>
        <w:tc>
          <w:tcPr>
            <w:tcW w:w="1446" w:type="dxa"/>
            <w:shd w:val="clear" w:color="auto" w:fill="B4C5E7"/>
          </w:tcPr>
          <w:p>
            <w:pPr>
              <w:pStyle w:val="TableParagraph"/>
              <w:spacing w:before="9"/>
              <w:rPr>
                <w:rFonts w:ascii="Calibri Light"/>
                <w:b w:val="0"/>
                <w:sz w:val="18"/>
              </w:rPr>
            </w:pPr>
          </w:p>
          <w:p>
            <w:pPr>
              <w:pStyle w:val="TableParagraph"/>
              <w:ind w:left="201" w:right="189"/>
              <w:jc w:val="center"/>
              <w:rPr>
                <w:b/>
                <w:sz w:val="19"/>
              </w:rPr>
            </w:pPr>
            <w:r>
              <w:rPr>
                <w:b/>
                <w:spacing w:val="-5"/>
                <w:sz w:val="19"/>
              </w:rPr>
              <w:t>IA</w:t>
            </w:r>
          </w:p>
        </w:tc>
      </w:tr>
      <w:tr>
        <w:trPr>
          <w:trHeight w:val="1429" w:hRule="atLeast"/>
        </w:trPr>
        <w:tc>
          <w:tcPr>
            <w:tcW w:w="2054" w:type="dxa"/>
          </w:tcPr>
          <w:p>
            <w:pPr>
              <w:pStyle w:val="TableParagraph"/>
              <w:spacing w:line="261" w:lineRule="auto" w:before="8"/>
              <w:ind w:left="34"/>
              <w:rPr>
                <w:sz w:val="18"/>
              </w:rPr>
            </w:pPr>
            <w:r>
              <w:rPr>
                <w:sz w:val="18"/>
              </w:rPr>
              <w:t>1.2.1</w:t>
            </w:r>
            <w:r>
              <w:rPr>
                <w:spacing w:val="58"/>
                <w:sz w:val="18"/>
              </w:rPr>
              <w:t> </w:t>
            </w:r>
            <w:r>
              <w:rPr>
                <w:sz w:val="18"/>
              </w:rPr>
              <w:t>By</w:t>
            </w:r>
            <w:r>
              <w:rPr>
                <w:spacing w:val="-9"/>
                <w:sz w:val="18"/>
              </w:rPr>
              <w:t> </w:t>
            </w:r>
            <w:r>
              <w:rPr>
                <w:sz w:val="18"/>
              </w:rPr>
              <w:t>the</w:t>
            </w:r>
            <w:r>
              <w:rPr>
                <w:spacing w:val="-8"/>
                <w:sz w:val="18"/>
              </w:rPr>
              <w:t> </w:t>
            </w:r>
            <w:r>
              <w:rPr>
                <w:sz w:val="18"/>
              </w:rPr>
              <w:t>end</w:t>
            </w:r>
            <w:r>
              <w:rPr>
                <w:spacing w:val="-11"/>
                <w:sz w:val="18"/>
              </w:rPr>
              <w:t> </w:t>
            </w:r>
            <w:r>
              <w:rPr>
                <w:sz w:val="18"/>
              </w:rPr>
              <w:t>of</w:t>
            </w:r>
            <w:r>
              <w:rPr>
                <w:spacing w:val="-3"/>
                <w:sz w:val="18"/>
              </w:rPr>
              <w:t> </w:t>
            </w:r>
            <w:r>
              <w:rPr>
                <w:sz w:val="18"/>
              </w:rPr>
              <w:t>2018, Gender Equality in</w:t>
            </w:r>
          </w:p>
          <w:p>
            <w:pPr>
              <w:pStyle w:val="TableParagraph"/>
              <w:spacing w:line="261" w:lineRule="auto" w:before="1"/>
              <w:ind w:left="34"/>
              <w:rPr>
                <w:sz w:val="18"/>
              </w:rPr>
            </w:pPr>
            <w:r>
              <w:rPr>
                <w:sz w:val="18"/>
              </w:rPr>
              <w:t>Education Policy – </w:t>
            </w:r>
            <w:r>
              <w:rPr>
                <w:spacing w:val="-2"/>
                <w:sz w:val="18"/>
              </w:rPr>
              <w:t>implementation</w:t>
            </w:r>
            <w:r>
              <w:rPr>
                <w:spacing w:val="-9"/>
                <w:sz w:val="18"/>
              </w:rPr>
              <w:t> </w:t>
            </w:r>
            <w:r>
              <w:rPr>
                <w:spacing w:val="-2"/>
                <w:sz w:val="18"/>
              </w:rPr>
              <w:t>strategy</w:t>
            </w:r>
            <w:r>
              <w:rPr>
                <w:sz w:val="18"/>
              </w:rPr>
              <w:t> </w:t>
            </w:r>
            <w:r>
              <w:rPr>
                <w:spacing w:val="-2"/>
                <w:sz w:val="18"/>
              </w:rPr>
              <w:t>costed</w:t>
            </w:r>
            <w:r>
              <w:rPr>
                <w:spacing w:val="-1"/>
                <w:sz w:val="18"/>
              </w:rPr>
              <w:t> </w:t>
            </w:r>
            <w:r>
              <w:rPr>
                <w:spacing w:val="-2"/>
                <w:sz w:val="18"/>
              </w:rPr>
              <w:t>and</w:t>
            </w:r>
            <w:r>
              <w:rPr>
                <w:spacing w:val="-1"/>
                <w:sz w:val="18"/>
              </w:rPr>
              <w:t> </w:t>
            </w:r>
            <w:r>
              <w:rPr>
                <w:spacing w:val="-2"/>
                <w:sz w:val="18"/>
              </w:rPr>
              <w:t>approved</w:t>
            </w:r>
            <w:r>
              <w:rPr>
                <w:spacing w:val="-1"/>
                <w:sz w:val="18"/>
              </w:rPr>
              <w:t> </w:t>
            </w:r>
            <w:r>
              <w:rPr>
                <w:spacing w:val="-5"/>
                <w:sz w:val="18"/>
              </w:rPr>
              <w:t>by</w:t>
            </w:r>
          </w:p>
          <w:p>
            <w:pPr>
              <w:pStyle w:val="TableParagraph"/>
              <w:spacing w:line="201" w:lineRule="exact" w:before="2"/>
              <w:ind w:left="34"/>
              <w:rPr>
                <w:sz w:val="18"/>
              </w:rPr>
            </w:pPr>
            <w:r>
              <w:rPr>
                <w:spacing w:val="-5"/>
                <w:sz w:val="18"/>
              </w:rPr>
              <w:t>NEB</w:t>
            </w:r>
          </w:p>
        </w:tc>
        <w:tc>
          <w:tcPr>
            <w:tcW w:w="2114" w:type="dxa"/>
          </w:tcPr>
          <w:p>
            <w:pPr>
              <w:pStyle w:val="TableParagraph"/>
              <w:spacing w:line="261" w:lineRule="auto" w:before="8"/>
              <w:ind w:left="34"/>
              <w:rPr>
                <w:sz w:val="18"/>
              </w:rPr>
            </w:pPr>
            <w:r>
              <w:rPr>
                <w:spacing w:val="-2"/>
                <w:sz w:val="18"/>
              </w:rPr>
              <w:t>A</w:t>
            </w:r>
            <w:r>
              <w:rPr>
                <w:spacing w:val="-9"/>
                <w:sz w:val="18"/>
              </w:rPr>
              <w:t> </w:t>
            </w:r>
            <w:r>
              <w:rPr>
                <w:spacing w:val="-2"/>
                <w:sz w:val="18"/>
              </w:rPr>
              <w:t>quality</w:t>
            </w:r>
            <w:r>
              <w:rPr>
                <w:spacing w:val="-8"/>
                <w:sz w:val="18"/>
              </w:rPr>
              <w:t> </w:t>
            </w:r>
            <w:r>
              <w:rPr>
                <w:spacing w:val="-2"/>
                <w:sz w:val="18"/>
              </w:rPr>
              <w:t>Gender</w:t>
            </w:r>
            <w:r>
              <w:rPr>
                <w:spacing w:val="-8"/>
                <w:sz w:val="18"/>
              </w:rPr>
              <w:t> </w:t>
            </w:r>
            <w:r>
              <w:rPr>
                <w:spacing w:val="-2"/>
                <w:sz w:val="18"/>
              </w:rPr>
              <w:t>Equality</w:t>
            </w:r>
            <w:r>
              <w:rPr>
                <w:spacing w:val="-8"/>
                <w:sz w:val="18"/>
              </w:rPr>
              <w:t> </w:t>
            </w:r>
            <w:r>
              <w:rPr>
                <w:spacing w:val="-2"/>
                <w:sz w:val="18"/>
              </w:rPr>
              <w:t>in</w:t>
            </w:r>
            <w:r>
              <w:rPr>
                <w:sz w:val="18"/>
              </w:rPr>
              <w:t> Education Policy – implementation</w:t>
            </w:r>
            <w:r>
              <w:rPr>
                <w:spacing w:val="-11"/>
                <w:sz w:val="18"/>
              </w:rPr>
              <w:t> </w:t>
            </w:r>
            <w:r>
              <w:rPr>
                <w:sz w:val="18"/>
              </w:rPr>
              <w:t>strategy costed (30%) and NEB </w:t>
            </w:r>
            <w:r>
              <w:rPr>
                <w:spacing w:val="-2"/>
                <w:sz w:val="18"/>
              </w:rPr>
              <w:t>endorsement</w:t>
            </w:r>
            <w:r>
              <w:rPr>
                <w:spacing w:val="-9"/>
                <w:sz w:val="18"/>
              </w:rPr>
              <w:t> </w:t>
            </w:r>
            <w:r>
              <w:rPr>
                <w:spacing w:val="-2"/>
                <w:sz w:val="18"/>
              </w:rPr>
              <w:t>minute</w:t>
            </w:r>
            <w:r>
              <w:rPr>
                <w:spacing w:val="-8"/>
                <w:sz w:val="18"/>
              </w:rPr>
              <w:t> </w:t>
            </w:r>
            <w:r>
              <w:rPr>
                <w:spacing w:val="-2"/>
                <w:sz w:val="18"/>
              </w:rPr>
              <w:t>(30%)</w:t>
            </w:r>
          </w:p>
        </w:tc>
        <w:tc>
          <w:tcPr>
            <w:tcW w:w="1446" w:type="dxa"/>
            <w:shd w:val="clear" w:color="auto" w:fill="FFC000"/>
          </w:tcPr>
          <w:p>
            <w:pPr>
              <w:pStyle w:val="TableParagraph"/>
              <w:spacing w:before="10"/>
              <w:ind w:left="202" w:right="189"/>
              <w:jc w:val="center"/>
              <w:rPr>
                <w:sz w:val="22"/>
              </w:rPr>
            </w:pPr>
            <w:r>
              <w:rPr>
                <w:sz w:val="22"/>
              </w:rPr>
              <w:t>20%</w:t>
            </w:r>
            <w:r>
              <w:rPr>
                <w:spacing w:val="-1"/>
                <w:sz w:val="22"/>
              </w:rPr>
              <w:t> </w:t>
            </w:r>
            <w:r>
              <w:rPr>
                <w:sz w:val="22"/>
              </w:rPr>
              <w:t>(of </w:t>
            </w:r>
            <w:r>
              <w:rPr>
                <w:spacing w:val="-5"/>
                <w:sz w:val="22"/>
              </w:rPr>
              <w:t>60)</w:t>
            </w:r>
          </w:p>
        </w:tc>
      </w:tr>
      <w:tr>
        <w:trPr>
          <w:trHeight w:val="1439" w:hRule="atLeast"/>
        </w:trPr>
        <w:tc>
          <w:tcPr>
            <w:tcW w:w="2054" w:type="dxa"/>
          </w:tcPr>
          <w:p>
            <w:pPr>
              <w:pStyle w:val="TableParagraph"/>
              <w:spacing w:line="261" w:lineRule="auto" w:before="8"/>
              <w:ind w:left="34" w:right="21"/>
              <w:rPr>
                <w:sz w:val="18"/>
              </w:rPr>
            </w:pPr>
            <w:r>
              <w:rPr>
                <w:sz w:val="18"/>
              </w:rPr>
              <w:t>1.2.2</w:t>
            </w:r>
            <w:r>
              <w:rPr>
                <w:spacing w:val="80"/>
                <w:sz w:val="18"/>
              </w:rPr>
              <w:t> </w:t>
            </w:r>
            <w:r>
              <w:rPr>
                <w:sz w:val="18"/>
              </w:rPr>
              <w:t>By the end</w:t>
            </w:r>
            <w:r>
              <w:rPr>
                <w:spacing w:val="-2"/>
                <w:sz w:val="18"/>
              </w:rPr>
              <w:t> </w:t>
            </w:r>
            <w:r>
              <w:rPr>
                <w:sz w:val="18"/>
              </w:rPr>
              <w:t>of 2018, Child Protection Policy consulted</w:t>
            </w:r>
            <w:r>
              <w:rPr>
                <w:spacing w:val="-11"/>
                <w:sz w:val="18"/>
              </w:rPr>
              <w:t> </w:t>
            </w:r>
            <w:r>
              <w:rPr>
                <w:sz w:val="18"/>
              </w:rPr>
              <w:t>on</w:t>
            </w:r>
            <w:r>
              <w:rPr>
                <w:spacing w:val="-10"/>
                <w:sz w:val="18"/>
              </w:rPr>
              <w:t> </w:t>
            </w:r>
            <w:r>
              <w:rPr>
                <w:sz w:val="18"/>
              </w:rPr>
              <w:t>and</w:t>
            </w:r>
            <w:r>
              <w:rPr>
                <w:spacing w:val="-10"/>
                <w:sz w:val="18"/>
              </w:rPr>
              <w:t> </w:t>
            </w:r>
            <w:r>
              <w:rPr>
                <w:sz w:val="18"/>
              </w:rPr>
              <w:t>revised</w:t>
            </w:r>
            <w:r>
              <w:rPr>
                <w:spacing w:val="-10"/>
                <w:sz w:val="18"/>
              </w:rPr>
              <w:t> </w:t>
            </w:r>
            <w:r>
              <w:rPr>
                <w:sz w:val="18"/>
              </w:rPr>
              <w:t>in light of consultations</w:t>
            </w:r>
          </w:p>
        </w:tc>
        <w:tc>
          <w:tcPr>
            <w:tcW w:w="2114" w:type="dxa"/>
          </w:tcPr>
          <w:p>
            <w:pPr>
              <w:pStyle w:val="TableParagraph"/>
              <w:spacing w:line="261" w:lineRule="auto" w:before="8"/>
              <w:ind w:left="34" w:firstLine="39"/>
              <w:rPr>
                <w:sz w:val="18"/>
              </w:rPr>
            </w:pPr>
            <w:r>
              <w:rPr>
                <w:spacing w:val="-2"/>
                <w:sz w:val="18"/>
              </w:rPr>
              <w:t>A</w:t>
            </w:r>
            <w:r>
              <w:rPr>
                <w:spacing w:val="-7"/>
                <w:sz w:val="18"/>
              </w:rPr>
              <w:t> </w:t>
            </w:r>
            <w:r>
              <w:rPr>
                <w:spacing w:val="-2"/>
                <w:sz w:val="18"/>
              </w:rPr>
              <w:t>quality</w:t>
            </w:r>
            <w:r>
              <w:rPr>
                <w:spacing w:val="-4"/>
                <w:sz w:val="18"/>
              </w:rPr>
              <w:t> </w:t>
            </w:r>
            <w:r>
              <w:rPr>
                <w:spacing w:val="-2"/>
                <w:sz w:val="18"/>
              </w:rPr>
              <w:t>Child</w:t>
            </w:r>
            <w:r>
              <w:rPr>
                <w:spacing w:val="-7"/>
                <w:sz w:val="18"/>
              </w:rPr>
              <w:t> </w:t>
            </w:r>
            <w:r>
              <w:rPr>
                <w:spacing w:val="-2"/>
                <w:sz w:val="18"/>
              </w:rPr>
              <w:t>Protection</w:t>
            </w:r>
            <w:r>
              <w:rPr>
                <w:sz w:val="18"/>
              </w:rPr>
              <w:t> Policy consulted with selected EAs and schools (30%)</w:t>
            </w:r>
            <w:r>
              <w:rPr>
                <w:spacing w:val="-11"/>
                <w:sz w:val="18"/>
              </w:rPr>
              <w:t> </w:t>
            </w:r>
            <w:r>
              <w:rPr>
                <w:sz w:val="18"/>
              </w:rPr>
              <w:t>and</w:t>
            </w:r>
            <w:r>
              <w:rPr>
                <w:spacing w:val="-10"/>
                <w:sz w:val="18"/>
              </w:rPr>
              <w:t> </w:t>
            </w:r>
            <w:r>
              <w:rPr>
                <w:sz w:val="18"/>
              </w:rPr>
              <w:t>revisions</w:t>
            </w:r>
            <w:r>
              <w:rPr>
                <w:spacing w:val="-10"/>
                <w:sz w:val="18"/>
              </w:rPr>
              <w:t> </w:t>
            </w:r>
            <w:r>
              <w:rPr>
                <w:sz w:val="18"/>
              </w:rPr>
              <w:t>made based on consultations</w:t>
            </w:r>
          </w:p>
          <w:p>
            <w:pPr>
              <w:pStyle w:val="TableParagraph"/>
              <w:spacing w:line="211" w:lineRule="exact" w:before="3"/>
              <w:ind w:left="34"/>
              <w:rPr>
                <w:sz w:val="18"/>
              </w:rPr>
            </w:pPr>
            <w:r>
              <w:rPr>
                <w:spacing w:val="-2"/>
                <w:sz w:val="18"/>
              </w:rPr>
              <w:t>(10%)</w:t>
            </w:r>
          </w:p>
        </w:tc>
        <w:tc>
          <w:tcPr>
            <w:tcW w:w="1446" w:type="dxa"/>
            <w:shd w:val="clear" w:color="auto" w:fill="FFC000"/>
          </w:tcPr>
          <w:p>
            <w:pPr>
              <w:pStyle w:val="TableParagraph"/>
              <w:spacing w:before="10"/>
              <w:ind w:left="154"/>
              <w:rPr>
                <w:sz w:val="22"/>
              </w:rPr>
            </w:pPr>
            <w:r>
              <w:rPr>
                <w:sz w:val="22"/>
              </w:rPr>
              <w:t>100%</w:t>
            </w:r>
            <w:r>
              <w:rPr>
                <w:spacing w:val="-2"/>
                <w:sz w:val="22"/>
              </w:rPr>
              <w:t> </w:t>
            </w:r>
            <w:r>
              <w:rPr>
                <w:sz w:val="22"/>
              </w:rPr>
              <w:t>(of</w:t>
            </w:r>
            <w:r>
              <w:rPr>
                <w:spacing w:val="-2"/>
                <w:sz w:val="22"/>
              </w:rPr>
              <w:t> </w:t>
            </w:r>
            <w:r>
              <w:rPr>
                <w:spacing w:val="-5"/>
                <w:sz w:val="22"/>
              </w:rPr>
              <w:t>30)</w:t>
            </w:r>
          </w:p>
          <w:p>
            <w:pPr>
              <w:pStyle w:val="TableParagraph"/>
              <w:spacing w:before="22"/>
              <w:ind w:left="124"/>
              <w:rPr>
                <w:sz w:val="22"/>
              </w:rPr>
            </w:pPr>
            <w:r>
              <w:rPr>
                <w:sz w:val="22"/>
              </w:rPr>
              <w:t>+</w:t>
            </w:r>
            <w:r>
              <w:rPr>
                <w:spacing w:val="-3"/>
                <w:sz w:val="22"/>
              </w:rPr>
              <w:t> </w:t>
            </w:r>
            <w:r>
              <w:rPr>
                <w:sz w:val="22"/>
              </w:rPr>
              <w:t>40% (of </w:t>
            </w:r>
            <w:r>
              <w:rPr>
                <w:spacing w:val="-5"/>
                <w:sz w:val="22"/>
              </w:rPr>
              <w:t>10)</w:t>
            </w:r>
          </w:p>
        </w:tc>
      </w:tr>
    </w:tbl>
    <w:p>
      <w:pPr>
        <w:pStyle w:val="BodyText"/>
        <w:spacing w:before="161"/>
        <w:ind w:left="220"/>
        <w:jc w:val="both"/>
      </w:pPr>
      <w:r>
        <w:rPr>
          <w:b/>
        </w:rPr>
        <w:t>Source:</w:t>
      </w:r>
      <w:r>
        <w:rPr>
          <w:b/>
          <w:spacing w:val="-7"/>
        </w:rPr>
        <w:t> </w:t>
      </w:r>
      <w:r>
        <w:rPr/>
        <w:t>Quarterly</w:t>
      </w:r>
      <w:r>
        <w:rPr>
          <w:spacing w:val="-4"/>
        </w:rPr>
        <w:t> </w:t>
      </w:r>
      <w:r>
        <w:rPr/>
        <w:t>Progress</w:t>
      </w:r>
      <w:r>
        <w:rPr>
          <w:spacing w:val="-6"/>
        </w:rPr>
        <w:t> </w:t>
      </w:r>
      <w:r>
        <w:rPr/>
        <w:t>reports,</w:t>
      </w:r>
      <w:r>
        <w:rPr>
          <w:spacing w:val="-4"/>
        </w:rPr>
        <w:t> </w:t>
      </w:r>
      <w:r>
        <w:rPr/>
        <w:t>Key</w:t>
      </w:r>
      <w:r>
        <w:rPr>
          <w:spacing w:val="-5"/>
        </w:rPr>
        <w:t> </w:t>
      </w:r>
      <w:r>
        <w:rPr/>
        <w:t>Output</w:t>
      </w:r>
      <w:r>
        <w:rPr>
          <w:spacing w:val="-4"/>
        </w:rPr>
        <w:t> </w:t>
      </w:r>
      <w:r>
        <w:rPr/>
        <w:t>Report</w:t>
      </w:r>
      <w:r>
        <w:rPr>
          <w:spacing w:val="-4"/>
        </w:rPr>
        <w:t> </w:t>
      </w:r>
      <w:r>
        <w:rPr/>
        <w:t>–</w:t>
      </w:r>
      <w:r>
        <w:rPr>
          <w:spacing w:val="-3"/>
        </w:rPr>
        <w:t> </w:t>
      </w:r>
      <w:r>
        <w:rPr/>
        <w:t>Access,</w:t>
      </w:r>
      <w:r>
        <w:rPr>
          <w:spacing w:val="-5"/>
        </w:rPr>
        <w:t> </w:t>
      </w:r>
      <w:r>
        <w:rPr/>
        <w:t>Output</w:t>
      </w:r>
      <w:r>
        <w:rPr>
          <w:spacing w:val="-4"/>
        </w:rPr>
        <w:t> </w:t>
      </w:r>
      <w:r>
        <w:rPr/>
        <w:t>Indicator</w:t>
      </w:r>
      <w:r>
        <w:rPr>
          <w:spacing w:val="-6"/>
        </w:rPr>
        <w:t> </w:t>
      </w:r>
      <w:r>
        <w:rPr/>
        <w:t>Tracker</w:t>
      </w:r>
      <w:r>
        <w:rPr>
          <w:spacing w:val="-6"/>
        </w:rPr>
        <w:t> </w:t>
      </w:r>
      <w:r>
        <w:rPr>
          <w:spacing w:val="-2"/>
        </w:rPr>
        <w:t>Table.</w:t>
      </w:r>
    </w:p>
    <w:p>
      <w:pPr>
        <w:pStyle w:val="BodyText"/>
        <w:spacing w:before="8"/>
        <w:rPr>
          <w:sz w:val="19"/>
        </w:rPr>
      </w:pPr>
    </w:p>
    <w:p>
      <w:pPr>
        <w:pStyle w:val="BodyText"/>
        <w:ind w:left="220" w:right="1252"/>
        <w:jc w:val="both"/>
      </w:pPr>
      <w:r>
        <w:rPr>
          <w:b/>
        </w:rPr>
        <w:t>Performance Indicator 1.2.1 </w:t>
      </w:r>
      <w:r>
        <w:rPr/>
        <w:t>In the 2018 Independent Assessment, the assessor noted that the Gender in Education Policy was still in draft form. Consultations, including with National Education Board (NEB) in November 2017, were finished and the Policy area was making the necessary changes, finalising and</w:t>
      </w:r>
      <w:r>
        <w:rPr>
          <w:spacing w:val="-1"/>
        </w:rPr>
        <w:t> </w:t>
      </w:r>
      <w:r>
        <w:rPr/>
        <w:t>costing the implementation plan. As anticipated,</w:t>
      </w:r>
      <w:r>
        <w:rPr>
          <w:spacing w:val="-1"/>
        </w:rPr>
        <w:t> </w:t>
      </w:r>
      <w:r>
        <w:rPr/>
        <w:t>the draft</w:t>
      </w:r>
      <w:r>
        <w:rPr>
          <w:spacing w:val="-3"/>
        </w:rPr>
        <w:t> </w:t>
      </w:r>
      <w:r>
        <w:rPr/>
        <w:t>policy went before the NEB in December 2018. The necessary costings and timeframe were not attached, consequently the NEB requested these inclusions. The Implementation plan only was re-submitted in 2019. Consequently, the Strategy was not taken to Cabinet, as costings were not included for NEB consideration. MEHRD has requested technical assistance to support costings analysis, as it has found it difficult to work out what is required.</w:t>
      </w:r>
    </w:p>
    <w:p>
      <w:pPr>
        <w:pStyle w:val="BodyText"/>
        <w:spacing w:before="4"/>
        <w:rPr>
          <w:sz w:val="16"/>
        </w:rPr>
      </w:pPr>
    </w:p>
    <w:p>
      <w:pPr>
        <w:pStyle w:val="BodyText"/>
        <w:ind w:left="220" w:right="1254"/>
        <w:jc w:val="both"/>
      </w:pPr>
      <w:r>
        <w:rPr/>
        <w:t>Consultations have continued with Gender Equality in Education School Awareness conducted in Choiseul (3 schools) and Central Province (3 schools), awareness training with 70 teachers (39 males and 31 females), and 423 girls attended the gender/STEM awareness program in 2018.</w:t>
      </w:r>
    </w:p>
    <w:p>
      <w:pPr>
        <w:pStyle w:val="BodyText"/>
        <w:spacing w:before="5"/>
        <w:rPr>
          <w:sz w:val="16"/>
        </w:rPr>
      </w:pPr>
    </w:p>
    <w:p>
      <w:pPr>
        <w:pStyle w:val="BodyText"/>
        <w:ind w:left="220" w:right="1251"/>
        <w:jc w:val="both"/>
        <w:rPr>
          <w:b/>
        </w:rPr>
      </w:pPr>
      <w:r>
        <w:rPr/>
        <w:t>There is passion and commitment from the MEHRD team to progress this policy, particularly to address sexual harassment. Informants noted the historical, philosophical, cultural and religious views/beliefs that impacted on the pace of change in progressing gender equality. Socialisation of any</w:t>
      </w:r>
      <w:r>
        <w:rPr>
          <w:spacing w:val="-2"/>
        </w:rPr>
        <w:t> </w:t>
      </w:r>
      <w:r>
        <w:rPr/>
        <w:t>new</w:t>
      </w:r>
      <w:r>
        <w:rPr>
          <w:spacing w:val="-2"/>
        </w:rPr>
        <w:t> </w:t>
      </w:r>
      <w:r>
        <w:rPr/>
        <w:t>policy is</w:t>
      </w:r>
      <w:r>
        <w:rPr>
          <w:spacing w:val="-2"/>
        </w:rPr>
        <w:t> </w:t>
      </w:r>
      <w:r>
        <w:rPr/>
        <w:t>time-consuming</w:t>
      </w:r>
      <w:r>
        <w:rPr>
          <w:spacing w:val="-3"/>
        </w:rPr>
        <w:t> </w:t>
      </w:r>
      <w:r>
        <w:rPr/>
        <w:t>but</w:t>
      </w:r>
      <w:r>
        <w:rPr>
          <w:spacing w:val="-2"/>
        </w:rPr>
        <w:t> </w:t>
      </w:r>
      <w:r>
        <w:rPr/>
        <w:t>necessary.</w:t>
      </w:r>
      <w:r>
        <w:rPr>
          <w:spacing w:val="-3"/>
        </w:rPr>
        <w:t> </w:t>
      </w:r>
      <w:r>
        <w:rPr/>
        <w:t>The</w:t>
      </w:r>
      <w:r>
        <w:rPr>
          <w:spacing w:val="-2"/>
        </w:rPr>
        <w:t> </w:t>
      </w:r>
      <w:r>
        <w:rPr/>
        <w:t>assessor</w:t>
      </w:r>
      <w:r>
        <w:rPr>
          <w:spacing w:val="-2"/>
        </w:rPr>
        <w:t> </w:t>
      </w:r>
      <w:r>
        <w:rPr/>
        <w:t>is</w:t>
      </w:r>
      <w:r>
        <w:rPr>
          <w:spacing w:val="-2"/>
        </w:rPr>
        <w:t> </w:t>
      </w:r>
      <w:r>
        <w:rPr/>
        <w:t>cognisant</w:t>
      </w:r>
      <w:r>
        <w:rPr>
          <w:spacing w:val="-4"/>
        </w:rPr>
        <w:t> </w:t>
      </w:r>
      <w:r>
        <w:rPr/>
        <w:t>of</w:t>
      </w:r>
      <w:r>
        <w:rPr>
          <w:spacing w:val="-2"/>
        </w:rPr>
        <w:t> </w:t>
      </w:r>
      <w:r>
        <w:rPr/>
        <w:t>the</w:t>
      </w:r>
      <w:r>
        <w:rPr>
          <w:spacing w:val="-6"/>
        </w:rPr>
        <w:t> </w:t>
      </w:r>
      <w:r>
        <w:rPr/>
        <w:t>underlying</w:t>
      </w:r>
      <w:r>
        <w:rPr>
          <w:spacing w:val="-4"/>
        </w:rPr>
        <w:t> </w:t>
      </w:r>
      <w:r>
        <w:rPr/>
        <w:t>issues</w:t>
      </w:r>
      <w:r>
        <w:rPr>
          <w:spacing w:val="-2"/>
        </w:rPr>
        <w:t> </w:t>
      </w:r>
      <w:r>
        <w:rPr/>
        <w:t>in achieving this indicator; and, given the continued commitment of and consultations by MEHRD to progress the Gender in Education Policy, </w:t>
      </w:r>
      <w:r>
        <w:rPr>
          <w:b/>
        </w:rPr>
        <w:t>indicator 1.2.1 is assessed as 20 per cent achieved (of a possible 60 per cent).</w:t>
      </w:r>
    </w:p>
    <w:p>
      <w:pPr>
        <w:pStyle w:val="BodyText"/>
        <w:spacing w:before="6"/>
        <w:rPr>
          <w:b/>
          <w:sz w:val="16"/>
        </w:rPr>
      </w:pPr>
    </w:p>
    <w:p>
      <w:pPr>
        <w:pStyle w:val="BodyText"/>
        <w:ind w:left="220" w:right="1251"/>
        <w:jc w:val="both"/>
      </w:pPr>
      <w:r>
        <w:rPr>
          <w:b/>
        </w:rPr>
        <w:t>Performance Indicator 1.2.2 </w:t>
      </w:r>
      <w:r>
        <w:rPr/>
        <w:t>Child protection remains an issue with children reporting instances of physical and verbal abuse</w:t>
      </w:r>
      <w:r>
        <w:rPr>
          <w:vertAlign w:val="superscript"/>
        </w:rPr>
        <w:t>3</w:t>
      </w:r>
      <w:r>
        <w:rPr>
          <w:vertAlign w:val="baseline"/>
        </w:rPr>
        <w:t>. MEHRD is responding with a child protection policy, which is currently in its third draft. Child protection consultations were carried out in the following provinces: Malaita (3 schools), Central Islands (5 schools), Makira Province (4 schools), Honiara/Guadcanal (7 schools), Western Province (4 schools). A questionnaire was developed and used with focus groups of Education Authorities, teachers, students, communities and parents.</w:t>
      </w:r>
    </w:p>
    <w:p>
      <w:pPr>
        <w:pStyle w:val="BodyText"/>
        <w:rPr>
          <w:sz w:val="20"/>
        </w:rPr>
      </w:pPr>
    </w:p>
    <w:p>
      <w:pPr>
        <w:pStyle w:val="BodyText"/>
        <w:rPr>
          <w:sz w:val="20"/>
        </w:rPr>
      </w:pPr>
    </w:p>
    <w:p>
      <w:pPr>
        <w:pStyle w:val="BodyText"/>
        <w:spacing w:before="1"/>
      </w:pPr>
      <w:r>
        <w:rPr/>
        <w:pict>
          <v:rect style="position:absolute;margin-left:72.024002pt;margin-top:14.719965pt;width:144.020pt;height:.72003pt;mso-position-horizontal-relative:page;mso-position-vertical-relative:paragraph;z-index:-15727616;mso-wrap-distance-left:0;mso-wrap-distance-right:0" id="docshape7" filled="true" fillcolor="#000000" stroked="false">
            <v:fill type="solid"/>
            <w10:wrap type="topAndBottom"/>
          </v:rect>
        </w:pict>
      </w:r>
    </w:p>
    <w:p>
      <w:pPr>
        <w:spacing w:before="102"/>
        <w:ind w:left="220" w:right="1319" w:firstLine="0"/>
        <w:jc w:val="left"/>
        <w:rPr>
          <w:sz w:val="18"/>
        </w:rPr>
      </w:pPr>
      <w:r>
        <w:rPr>
          <w:position w:val="5"/>
          <w:sz w:val="12"/>
        </w:rPr>
        <w:t>3</w:t>
      </w:r>
      <w:r>
        <w:rPr>
          <w:spacing w:val="10"/>
          <w:position w:val="5"/>
          <w:sz w:val="12"/>
        </w:rPr>
        <w:t> </w:t>
      </w:r>
      <w:r>
        <w:rPr>
          <w:sz w:val="18"/>
        </w:rPr>
        <w:t>Thornton,</w:t>
      </w:r>
      <w:r>
        <w:rPr>
          <w:spacing w:val="-2"/>
          <w:sz w:val="18"/>
        </w:rPr>
        <w:t> </w:t>
      </w:r>
      <w:r>
        <w:rPr>
          <w:sz w:val="18"/>
        </w:rPr>
        <w:t>B.</w:t>
      </w:r>
      <w:r>
        <w:rPr>
          <w:spacing w:val="-3"/>
          <w:sz w:val="18"/>
        </w:rPr>
        <w:t> </w:t>
      </w:r>
      <w:r>
        <w:rPr>
          <w:sz w:val="18"/>
        </w:rPr>
        <w:t>and</w:t>
      </w:r>
      <w:r>
        <w:rPr>
          <w:spacing w:val="-4"/>
          <w:sz w:val="18"/>
        </w:rPr>
        <w:t> </w:t>
      </w:r>
      <w:r>
        <w:rPr>
          <w:sz w:val="18"/>
        </w:rPr>
        <w:t>Upton,</w:t>
      </w:r>
      <w:r>
        <w:rPr>
          <w:spacing w:val="-2"/>
          <w:sz w:val="18"/>
        </w:rPr>
        <w:t> </w:t>
      </w:r>
      <w:r>
        <w:rPr>
          <w:sz w:val="18"/>
        </w:rPr>
        <w:t>V.</w:t>
      </w:r>
      <w:r>
        <w:rPr>
          <w:spacing w:val="-3"/>
          <w:sz w:val="18"/>
        </w:rPr>
        <w:t> </w:t>
      </w:r>
      <w:r>
        <w:rPr>
          <w:sz w:val="18"/>
        </w:rPr>
        <w:t>(October</w:t>
      </w:r>
      <w:r>
        <w:rPr>
          <w:spacing w:val="-2"/>
          <w:sz w:val="18"/>
        </w:rPr>
        <w:t> </w:t>
      </w:r>
      <w:r>
        <w:rPr>
          <w:sz w:val="18"/>
        </w:rPr>
        <w:t>2018), </w:t>
      </w:r>
      <w:r>
        <w:rPr>
          <w:i/>
          <w:sz w:val="18"/>
        </w:rPr>
        <w:t>Education</w:t>
      </w:r>
      <w:r>
        <w:rPr>
          <w:i/>
          <w:spacing w:val="-2"/>
          <w:sz w:val="18"/>
        </w:rPr>
        <w:t> </w:t>
      </w:r>
      <w:r>
        <w:rPr>
          <w:i/>
          <w:sz w:val="18"/>
        </w:rPr>
        <w:t>Sector</w:t>
      </w:r>
      <w:r>
        <w:rPr>
          <w:i/>
          <w:spacing w:val="-2"/>
          <w:sz w:val="18"/>
        </w:rPr>
        <w:t> </w:t>
      </w:r>
      <w:r>
        <w:rPr>
          <w:i/>
          <w:sz w:val="18"/>
        </w:rPr>
        <w:t>Program</w:t>
      </w:r>
      <w:r>
        <w:rPr>
          <w:i/>
          <w:spacing w:val="-3"/>
          <w:sz w:val="18"/>
        </w:rPr>
        <w:t> </w:t>
      </w:r>
      <w:r>
        <w:rPr>
          <w:i/>
          <w:sz w:val="18"/>
        </w:rPr>
        <w:t>2:</w:t>
      </w:r>
      <w:r>
        <w:rPr>
          <w:i/>
          <w:spacing w:val="-3"/>
          <w:sz w:val="18"/>
        </w:rPr>
        <w:t> </w:t>
      </w:r>
      <w:r>
        <w:rPr>
          <w:i/>
          <w:sz w:val="18"/>
        </w:rPr>
        <w:t>Basic</w:t>
      </w:r>
      <w:r>
        <w:rPr>
          <w:i/>
          <w:spacing w:val="-3"/>
          <w:sz w:val="18"/>
        </w:rPr>
        <w:t> </w:t>
      </w:r>
      <w:r>
        <w:rPr>
          <w:i/>
          <w:sz w:val="18"/>
        </w:rPr>
        <w:t>Education</w:t>
      </w:r>
      <w:r>
        <w:rPr>
          <w:i/>
          <w:spacing w:val="-2"/>
          <w:sz w:val="18"/>
        </w:rPr>
        <w:t> </w:t>
      </w:r>
      <w:r>
        <w:rPr>
          <w:i/>
          <w:sz w:val="18"/>
        </w:rPr>
        <w:t>Component</w:t>
      </w:r>
      <w:r>
        <w:rPr>
          <w:i/>
          <w:spacing w:val="-2"/>
          <w:sz w:val="18"/>
        </w:rPr>
        <w:t> </w:t>
      </w:r>
      <w:r>
        <w:rPr>
          <w:i/>
          <w:sz w:val="18"/>
        </w:rPr>
        <w:t>Independent</w:t>
      </w:r>
      <w:r>
        <w:rPr>
          <w:i/>
          <w:spacing w:val="-2"/>
          <w:sz w:val="18"/>
        </w:rPr>
        <w:t> </w:t>
      </w:r>
      <w:r>
        <w:rPr>
          <w:i/>
          <w:sz w:val="18"/>
        </w:rPr>
        <w:t>Mid-</w:t>
      </w:r>
      <w:r>
        <w:rPr>
          <w:i/>
          <w:sz w:val="18"/>
        </w:rPr>
        <w:t> Term Review. </w:t>
      </w:r>
      <w:r>
        <w:rPr>
          <w:sz w:val="18"/>
        </w:rPr>
        <w:t>Prepared for the Australian Department of Foreign Affairs and Trade, Australian High Commission in Solomon</w:t>
      </w:r>
      <w:r>
        <w:rPr>
          <w:spacing w:val="-2"/>
          <w:sz w:val="18"/>
        </w:rPr>
        <w:t> </w:t>
      </w:r>
      <w:r>
        <w:rPr>
          <w:sz w:val="18"/>
        </w:rPr>
        <w:t>Islands.</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jc w:val="both"/>
        <w:rPr>
          <w:b/>
        </w:rPr>
      </w:pPr>
      <w:r>
        <w:rPr/>
        <w:t>These</w:t>
      </w:r>
      <w:r>
        <w:rPr>
          <w:spacing w:val="17"/>
        </w:rPr>
        <w:t> </w:t>
      </w:r>
      <w:r>
        <w:rPr/>
        <w:t>consultations</w:t>
      </w:r>
      <w:r>
        <w:rPr>
          <w:spacing w:val="18"/>
        </w:rPr>
        <w:t> </w:t>
      </w:r>
      <w:r>
        <w:rPr/>
        <w:t>did</w:t>
      </w:r>
      <w:r>
        <w:rPr>
          <w:spacing w:val="18"/>
        </w:rPr>
        <w:t> </w:t>
      </w:r>
      <w:r>
        <w:rPr/>
        <w:t>inform</w:t>
      </w:r>
      <w:r>
        <w:rPr>
          <w:spacing w:val="17"/>
        </w:rPr>
        <w:t> </w:t>
      </w:r>
      <w:r>
        <w:rPr/>
        <w:t>draft</w:t>
      </w:r>
      <w:r>
        <w:rPr>
          <w:spacing w:val="19"/>
        </w:rPr>
        <w:t> </w:t>
      </w:r>
      <w:r>
        <w:rPr/>
        <w:t>policy</w:t>
      </w:r>
      <w:r>
        <w:rPr>
          <w:spacing w:val="19"/>
        </w:rPr>
        <w:t> </w:t>
      </w:r>
      <w:r>
        <w:rPr/>
        <w:t>though</w:t>
      </w:r>
      <w:r>
        <w:rPr>
          <w:spacing w:val="18"/>
        </w:rPr>
        <w:t> </w:t>
      </w:r>
      <w:r>
        <w:rPr/>
        <w:t>there</w:t>
      </w:r>
      <w:r>
        <w:rPr>
          <w:spacing w:val="19"/>
        </w:rPr>
        <w:t> </w:t>
      </w:r>
      <w:r>
        <w:rPr/>
        <w:t>is</w:t>
      </w:r>
      <w:r>
        <w:rPr>
          <w:spacing w:val="17"/>
        </w:rPr>
        <w:t> </w:t>
      </w:r>
      <w:r>
        <w:rPr/>
        <w:t>more</w:t>
      </w:r>
      <w:r>
        <w:rPr>
          <w:spacing w:val="19"/>
        </w:rPr>
        <w:t> </w:t>
      </w:r>
      <w:r>
        <w:rPr/>
        <w:t>work</w:t>
      </w:r>
      <w:r>
        <w:rPr>
          <w:spacing w:val="17"/>
        </w:rPr>
        <w:t> </w:t>
      </w:r>
      <w:r>
        <w:rPr/>
        <w:t>to</w:t>
      </w:r>
      <w:r>
        <w:rPr>
          <w:spacing w:val="20"/>
        </w:rPr>
        <w:t> </w:t>
      </w:r>
      <w:r>
        <w:rPr/>
        <w:t>be</w:t>
      </w:r>
      <w:r>
        <w:rPr>
          <w:spacing w:val="19"/>
        </w:rPr>
        <w:t> </w:t>
      </w:r>
      <w:r>
        <w:rPr/>
        <w:t>completed.</w:t>
      </w:r>
      <w:r>
        <w:rPr>
          <w:spacing w:val="20"/>
        </w:rPr>
        <w:t> </w:t>
      </w:r>
      <w:r>
        <w:rPr>
          <w:b/>
          <w:spacing w:val="-2"/>
        </w:rPr>
        <w:t>Indicator</w:t>
      </w:r>
    </w:p>
    <w:p>
      <w:pPr>
        <w:spacing w:before="0"/>
        <w:ind w:left="220" w:right="1264" w:firstLine="0"/>
        <w:jc w:val="both"/>
        <w:rPr>
          <w:b/>
          <w:sz w:val="22"/>
        </w:rPr>
      </w:pPr>
      <w:r>
        <w:rPr>
          <w:b/>
          <w:sz w:val="22"/>
        </w:rPr>
        <w:t>1.2.2 is assessed as 100 per cent achieved (out of a possible 30 per cent) for consultation; and 40 per cent achieved (out of a possible 10 per cent) achieved for revisions made based on these </w:t>
      </w:r>
      <w:r>
        <w:rPr>
          <w:b/>
          <w:spacing w:val="-2"/>
          <w:sz w:val="22"/>
        </w:rPr>
        <w:t>consultations.</w:t>
      </w:r>
    </w:p>
    <w:p>
      <w:pPr>
        <w:pStyle w:val="BodyText"/>
        <w:spacing w:before="7"/>
        <w:rPr>
          <w:b/>
          <w:sz w:val="16"/>
        </w:rPr>
      </w:pPr>
    </w:p>
    <w:p>
      <w:pPr>
        <w:pStyle w:val="Heading2"/>
        <w:numPr>
          <w:ilvl w:val="1"/>
          <w:numId w:val="4"/>
        </w:numPr>
        <w:tabs>
          <w:tab w:pos="941" w:val="left" w:leader="none"/>
        </w:tabs>
        <w:spacing w:line="240" w:lineRule="auto" w:before="0" w:after="0"/>
        <w:ind w:left="940" w:right="0" w:hanging="721"/>
        <w:jc w:val="both"/>
        <w:rPr>
          <w:b w:val="0"/>
          <w:color w:val="4471C4"/>
        </w:rPr>
      </w:pPr>
      <w:bookmarkStart w:name="_bookmark12" w:id="13"/>
      <w:bookmarkEnd w:id="13"/>
      <w:r>
        <w:rPr>
          <w:b w:val="0"/>
          <w:color w:val="4471C4"/>
          <w:spacing w:val="-2"/>
        </w:rPr>
        <w:t>E</w:t>
      </w:r>
      <w:r>
        <w:rPr>
          <w:b w:val="0"/>
          <w:color w:val="4471C4"/>
          <w:spacing w:val="-2"/>
        </w:rPr>
        <w:t>ducation</w:t>
      </w:r>
      <w:r>
        <w:rPr>
          <w:b w:val="0"/>
          <w:color w:val="4471C4"/>
          <w:spacing w:val="-9"/>
        </w:rPr>
        <w:t> </w:t>
      </w:r>
      <w:r>
        <w:rPr>
          <w:b w:val="0"/>
          <w:color w:val="4471C4"/>
          <w:spacing w:val="-2"/>
        </w:rPr>
        <w:t>Quality</w:t>
      </w:r>
    </w:p>
    <w:p>
      <w:pPr>
        <w:pStyle w:val="Heading4"/>
        <w:numPr>
          <w:ilvl w:val="2"/>
          <w:numId w:val="4"/>
        </w:numPr>
        <w:tabs>
          <w:tab w:pos="941" w:val="left" w:leader="none"/>
        </w:tabs>
        <w:spacing w:line="240" w:lineRule="auto" w:before="249" w:after="0"/>
        <w:ind w:left="940" w:right="0" w:hanging="721"/>
        <w:jc w:val="both"/>
        <w:rPr>
          <w:b w:val="0"/>
        </w:rPr>
      </w:pPr>
      <w:bookmarkStart w:name="_bookmark13" w:id="14"/>
      <w:bookmarkEnd w:id="14"/>
      <w:r>
        <w:rPr>
          <w:b w:val="0"/>
          <w:color w:val="4471C4"/>
        </w:rPr>
        <w:t>T</w:t>
      </w:r>
      <w:r>
        <w:rPr>
          <w:b w:val="0"/>
          <w:color w:val="4471C4"/>
        </w:rPr>
        <w:t>arget</w:t>
      </w:r>
      <w:r>
        <w:rPr>
          <w:b w:val="0"/>
          <w:color w:val="4471C4"/>
          <w:spacing w:val="32"/>
        </w:rPr>
        <w:t> </w:t>
      </w:r>
      <w:r>
        <w:rPr>
          <w:b w:val="0"/>
          <w:color w:val="4471C4"/>
        </w:rPr>
        <w:t>2.1:</w:t>
      </w:r>
      <w:r>
        <w:rPr>
          <w:b w:val="0"/>
          <w:color w:val="4471C4"/>
          <w:spacing w:val="28"/>
        </w:rPr>
        <w:t> </w:t>
      </w:r>
      <w:r>
        <w:rPr>
          <w:b w:val="0"/>
          <w:color w:val="4471C4"/>
        </w:rPr>
        <w:t>More</w:t>
      </w:r>
      <w:r>
        <w:rPr>
          <w:b w:val="0"/>
          <w:color w:val="4471C4"/>
          <w:spacing w:val="29"/>
        </w:rPr>
        <w:t> </w:t>
      </w:r>
      <w:r>
        <w:rPr>
          <w:b w:val="0"/>
          <w:color w:val="4471C4"/>
        </w:rPr>
        <w:t>teachers</w:t>
      </w:r>
      <w:r>
        <w:rPr>
          <w:b w:val="0"/>
          <w:color w:val="4471C4"/>
          <w:spacing w:val="30"/>
        </w:rPr>
        <w:t> </w:t>
      </w:r>
      <w:r>
        <w:rPr>
          <w:b w:val="0"/>
          <w:color w:val="4471C4"/>
        </w:rPr>
        <w:t>using</w:t>
      </w:r>
      <w:r>
        <w:rPr>
          <w:b w:val="0"/>
          <w:color w:val="4471C4"/>
          <w:spacing w:val="30"/>
        </w:rPr>
        <w:t> </w:t>
      </w:r>
      <w:r>
        <w:rPr>
          <w:b w:val="0"/>
          <w:color w:val="4471C4"/>
        </w:rPr>
        <w:t>improved</w:t>
      </w:r>
      <w:r>
        <w:rPr>
          <w:b w:val="0"/>
          <w:color w:val="4471C4"/>
          <w:spacing w:val="30"/>
        </w:rPr>
        <w:t> </w:t>
      </w:r>
      <w:r>
        <w:rPr>
          <w:b w:val="0"/>
          <w:color w:val="4471C4"/>
          <w:spacing w:val="-2"/>
        </w:rPr>
        <w:t>curriculum</w:t>
      </w: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14"/>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627"/>
        <w:gridCol w:w="2704"/>
        <w:gridCol w:w="1849"/>
      </w:tblGrid>
      <w:tr>
        <w:trPr>
          <w:trHeight w:val="689" w:hRule="atLeast"/>
        </w:trPr>
        <w:tc>
          <w:tcPr>
            <w:tcW w:w="2627"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57"/>
              <w:rPr>
                <w:b/>
                <w:sz w:val="19"/>
              </w:rPr>
            </w:pPr>
            <w:r>
              <w:rPr>
                <w:b/>
                <w:w w:val="125"/>
                <w:sz w:val="19"/>
              </w:rPr>
              <w:t>Performance</w:t>
            </w:r>
            <w:r>
              <w:rPr>
                <w:b/>
                <w:spacing w:val="8"/>
                <w:w w:val="125"/>
                <w:sz w:val="19"/>
              </w:rPr>
              <w:t> </w:t>
            </w:r>
            <w:r>
              <w:rPr>
                <w:b/>
                <w:spacing w:val="-2"/>
                <w:w w:val="125"/>
                <w:sz w:val="19"/>
              </w:rPr>
              <w:t>Indicators</w:t>
            </w:r>
          </w:p>
        </w:tc>
        <w:tc>
          <w:tcPr>
            <w:tcW w:w="2704" w:type="dxa"/>
            <w:tcBorders>
              <w:left w:val="single" w:sz="6" w:space="0" w:color="4471C4"/>
              <w:right w:val="single" w:sz="6" w:space="0" w:color="4471C4"/>
            </w:tcBorders>
            <w:shd w:val="clear" w:color="auto" w:fill="B4C5E7"/>
          </w:tcPr>
          <w:p>
            <w:pPr>
              <w:pStyle w:val="TableParagraph"/>
              <w:spacing w:line="259" w:lineRule="auto" w:before="109"/>
              <w:ind w:left="757" w:right="131" w:hanging="281"/>
              <w:rPr>
                <w:b/>
                <w:sz w:val="19"/>
              </w:rPr>
            </w:pPr>
            <w:r>
              <w:rPr>
                <w:b/>
                <w:w w:val="125"/>
                <w:sz w:val="19"/>
              </w:rPr>
              <w:t>Expected </w:t>
            </w:r>
            <w:r>
              <w:rPr>
                <w:b/>
                <w:w w:val="125"/>
                <w:sz w:val="19"/>
              </w:rPr>
              <w:t>Results </w:t>
            </w:r>
            <w:r>
              <w:rPr>
                <w:b/>
                <w:spacing w:val="-2"/>
                <w:w w:val="125"/>
                <w:sz w:val="19"/>
              </w:rPr>
              <w:t>Statements</w:t>
            </w:r>
          </w:p>
        </w:tc>
        <w:tc>
          <w:tcPr>
            <w:tcW w:w="1849"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90" w:right="174"/>
              <w:jc w:val="center"/>
              <w:rPr>
                <w:b/>
                <w:sz w:val="19"/>
              </w:rPr>
            </w:pPr>
            <w:r>
              <w:rPr>
                <w:b/>
                <w:spacing w:val="-5"/>
                <w:w w:val="125"/>
                <w:sz w:val="19"/>
              </w:rPr>
              <w:t>IA</w:t>
            </w:r>
          </w:p>
        </w:tc>
      </w:tr>
      <w:tr>
        <w:trPr>
          <w:trHeight w:val="949" w:hRule="atLeast"/>
        </w:trPr>
        <w:tc>
          <w:tcPr>
            <w:tcW w:w="2627" w:type="dxa"/>
            <w:tcBorders>
              <w:left w:val="single" w:sz="6" w:space="0" w:color="4471C4"/>
              <w:right w:val="single" w:sz="6" w:space="0" w:color="4471C4"/>
            </w:tcBorders>
          </w:tcPr>
          <w:p>
            <w:pPr>
              <w:pStyle w:val="TableParagraph"/>
              <w:spacing w:line="261" w:lineRule="auto" w:before="8"/>
              <w:ind w:left="43"/>
              <w:rPr>
                <w:sz w:val="18"/>
              </w:rPr>
            </w:pPr>
            <w:r>
              <w:rPr>
                <w:w w:val="125"/>
                <w:sz w:val="18"/>
              </w:rPr>
              <w:t>2.1.1</w:t>
            </w:r>
            <w:r>
              <w:rPr>
                <w:spacing w:val="40"/>
                <w:w w:val="125"/>
                <w:sz w:val="18"/>
              </w:rPr>
              <w:t> </w:t>
            </w:r>
            <w:r>
              <w:rPr>
                <w:w w:val="125"/>
                <w:sz w:val="18"/>
              </w:rPr>
              <w:t>By</w:t>
            </w:r>
            <w:r>
              <w:rPr>
                <w:spacing w:val="-2"/>
                <w:w w:val="125"/>
                <w:sz w:val="18"/>
              </w:rPr>
              <w:t> </w:t>
            </w:r>
            <w:r>
              <w:rPr>
                <w:w w:val="125"/>
                <w:sz w:val="18"/>
              </w:rPr>
              <w:t>the end</w:t>
            </w:r>
            <w:r>
              <w:rPr>
                <w:spacing w:val="-6"/>
                <w:w w:val="125"/>
                <w:sz w:val="18"/>
              </w:rPr>
              <w:t> </w:t>
            </w:r>
            <w:r>
              <w:rPr>
                <w:w w:val="125"/>
                <w:sz w:val="18"/>
              </w:rPr>
              <w:t>of </w:t>
            </w:r>
            <w:r>
              <w:rPr>
                <w:w w:val="125"/>
                <w:sz w:val="18"/>
              </w:rPr>
              <w:t>2018,</w:t>
            </w:r>
            <w:r>
              <w:rPr>
                <w:w w:val="125"/>
                <w:sz w:val="18"/>
              </w:rPr>
              <w:t> PPY Pilot in Honiara, Guadalcanal and Malaita</w:t>
            </w:r>
          </w:p>
          <w:p>
            <w:pPr>
              <w:pStyle w:val="TableParagraph"/>
              <w:spacing w:line="201" w:lineRule="exact" w:before="2"/>
              <w:ind w:left="43"/>
              <w:rPr>
                <w:sz w:val="18"/>
              </w:rPr>
            </w:pPr>
            <w:r>
              <w:rPr>
                <w:w w:val="125"/>
                <w:sz w:val="18"/>
              </w:rPr>
              <w:t>completed</w:t>
            </w:r>
            <w:r>
              <w:rPr>
                <w:spacing w:val="-1"/>
                <w:w w:val="125"/>
                <w:sz w:val="18"/>
              </w:rPr>
              <w:t> </w:t>
            </w:r>
            <w:r>
              <w:rPr>
                <w:w w:val="125"/>
                <w:sz w:val="18"/>
              </w:rPr>
              <w:t>and </w:t>
            </w:r>
            <w:r>
              <w:rPr>
                <w:spacing w:val="-2"/>
                <w:w w:val="125"/>
                <w:sz w:val="18"/>
              </w:rPr>
              <w:t>evaluated</w:t>
            </w:r>
          </w:p>
        </w:tc>
        <w:tc>
          <w:tcPr>
            <w:tcW w:w="2704" w:type="dxa"/>
            <w:tcBorders>
              <w:left w:val="single" w:sz="6" w:space="0" w:color="4471C4"/>
              <w:right w:val="single" w:sz="6" w:space="0" w:color="4471C4"/>
            </w:tcBorders>
          </w:tcPr>
          <w:p>
            <w:pPr>
              <w:pStyle w:val="TableParagraph"/>
              <w:spacing w:line="261" w:lineRule="auto" w:before="8"/>
              <w:ind w:left="43" w:right="131"/>
              <w:rPr>
                <w:sz w:val="18"/>
              </w:rPr>
            </w:pPr>
            <w:r>
              <w:rPr>
                <w:w w:val="125"/>
                <w:sz w:val="18"/>
              </w:rPr>
              <w:t>PPY Monitoring Report received</w:t>
            </w:r>
            <w:r>
              <w:rPr>
                <w:spacing w:val="-9"/>
                <w:w w:val="125"/>
                <w:sz w:val="18"/>
              </w:rPr>
              <w:t> </w:t>
            </w:r>
            <w:r>
              <w:rPr>
                <w:w w:val="125"/>
                <w:sz w:val="18"/>
              </w:rPr>
              <w:t>by</w:t>
            </w:r>
            <w:r>
              <w:rPr>
                <w:spacing w:val="-5"/>
                <w:w w:val="125"/>
                <w:sz w:val="18"/>
              </w:rPr>
              <w:t> </w:t>
            </w:r>
            <w:r>
              <w:rPr>
                <w:w w:val="125"/>
                <w:sz w:val="18"/>
              </w:rPr>
              <w:t>MEHRD</w:t>
            </w:r>
            <w:r>
              <w:rPr>
                <w:spacing w:val="-5"/>
                <w:w w:val="125"/>
                <w:sz w:val="18"/>
              </w:rPr>
              <w:t> </w:t>
            </w:r>
            <w:r>
              <w:rPr>
                <w:w w:val="125"/>
                <w:sz w:val="18"/>
              </w:rPr>
              <w:t>and UNICEF (35%)</w:t>
            </w:r>
          </w:p>
        </w:tc>
        <w:tc>
          <w:tcPr>
            <w:tcW w:w="1849" w:type="dxa"/>
            <w:tcBorders>
              <w:left w:val="single" w:sz="6" w:space="0" w:color="4471C4"/>
              <w:right w:val="single" w:sz="6" w:space="0" w:color="4471C4"/>
            </w:tcBorders>
            <w:shd w:val="clear" w:color="auto" w:fill="A9D08E"/>
          </w:tcPr>
          <w:p>
            <w:pPr>
              <w:pStyle w:val="TableParagraph"/>
              <w:spacing w:before="10"/>
              <w:ind w:left="190" w:right="185"/>
              <w:jc w:val="center"/>
              <w:rPr>
                <w:sz w:val="22"/>
              </w:rPr>
            </w:pPr>
            <w:r>
              <w:rPr>
                <w:w w:val="125"/>
                <w:sz w:val="22"/>
              </w:rPr>
              <w:t>100%</w:t>
            </w:r>
            <w:r>
              <w:rPr>
                <w:spacing w:val="9"/>
                <w:w w:val="125"/>
                <w:sz w:val="22"/>
              </w:rPr>
              <w:t> </w:t>
            </w:r>
            <w:r>
              <w:rPr>
                <w:w w:val="125"/>
                <w:sz w:val="22"/>
              </w:rPr>
              <w:t>(of</w:t>
            </w:r>
            <w:r>
              <w:rPr>
                <w:spacing w:val="10"/>
                <w:w w:val="125"/>
                <w:sz w:val="22"/>
              </w:rPr>
              <w:t> </w:t>
            </w:r>
            <w:r>
              <w:rPr>
                <w:spacing w:val="-5"/>
                <w:w w:val="125"/>
                <w:sz w:val="22"/>
              </w:rPr>
              <w:t>35)</w:t>
            </w:r>
          </w:p>
        </w:tc>
      </w:tr>
      <w:tr>
        <w:trPr>
          <w:trHeight w:val="1089" w:hRule="atLeast"/>
        </w:trPr>
        <w:tc>
          <w:tcPr>
            <w:tcW w:w="2627" w:type="dxa"/>
            <w:tcBorders>
              <w:left w:val="single" w:sz="6" w:space="0" w:color="4471C4"/>
              <w:right w:val="single" w:sz="6" w:space="0" w:color="4471C4"/>
            </w:tcBorders>
          </w:tcPr>
          <w:p>
            <w:pPr>
              <w:pStyle w:val="TableParagraph"/>
              <w:spacing w:line="261" w:lineRule="auto" w:before="8"/>
              <w:ind w:left="43"/>
              <w:rPr>
                <w:sz w:val="18"/>
              </w:rPr>
            </w:pPr>
            <w:r>
              <w:rPr>
                <w:w w:val="125"/>
                <w:sz w:val="18"/>
              </w:rPr>
              <w:t>2.1.2</w:t>
            </w:r>
            <w:r>
              <w:rPr>
                <w:spacing w:val="40"/>
                <w:w w:val="125"/>
                <w:sz w:val="18"/>
              </w:rPr>
              <w:t> </w:t>
            </w:r>
            <w:r>
              <w:rPr>
                <w:w w:val="125"/>
                <w:sz w:val="18"/>
              </w:rPr>
              <w:t>By</w:t>
            </w:r>
            <w:r>
              <w:rPr>
                <w:spacing w:val="-2"/>
                <w:w w:val="125"/>
                <w:sz w:val="18"/>
              </w:rPr>
              <w:t> </w:t>
            </w:r>
            <w:r>
              <w:rPr>
                <w:w w:val="125"/>
                <w:sz w:val="18"/>
              </w:rPr>
              <w:t>the end</w:t>
            </w:r>
            <w:r>
              <w:rPr>
                <w:spacing w:val="-6"/>
                <w:w w:val="125"/>
                <w:sz w:val="18"/>
              </w:rPr>
              <w:t> </w:t>
            </w:r>
            <w:r>
              <w:rPr>
                <w:w w:val="125"/>
                <w:sz w:val="18"/>
              </w:rPr>
              <w:t>of </w:t>
            </w:r>
            <w:r>
              <w:rPr>
                <w:w w:val="125"/>
                <w:sz w:val="18"/>
              </w:rPr>
              <w:t>2018,</w:t>
            </w:r>
            <w:r>
              <w:rPr>
                <w:w w:val="125"/>
                <w:sz w:val="18"/>
              </w:rPr>
              <w:t> Cognition contract (as at June 2018) deliverables completed and accepted</w:t>
            </w:r>
          </w:p>
        </w:tc>
        <w:tc>
          <w:tcPr>
            <w:tcW w:w="2704" w:type="dxa"/>
            <w:tcBorders>
              <w:left w:val="single" w:sz="6" w:space="0" w:color="4471C4"/>
              <w:right w:val="single" w:sz="6" w:space="0" w:color="4471C4"/>
            </w:tcBorders>
          </w:tcPr>
          <w:p>
            <w:pPr>
              <w:pStyle w:val="TableParagraph"/>
              <w:spacing w:line="261" w:lineRule="auto" w:before="8"/>
              <w:ind w:left="43" w:right="131"/>
              <w:rPr>
                <w:sz w:val="18"/>
              </w:rPr>
            </w:pPr>
            <w:r>
              <w:rPr>
                <w:w w:val="125"/>
                <w:sz w:val="18"/>
              </w:rPr>
              <w:t>Cognition</w:t>
            </w:r>
            <w:r>
              <w:rPr>
                <w:spacing w:val="-13"/>
                <w:w w:val="125"/>
                <w:sz w:val="18"/>
              </w:rPr>
              <w:t> </w:t>
            </w:r>
            <w:r>
              <w:rPr>
                <w:w w:val="125"/>
                <w:sz w:val="18"/>
              </w:rPr>
              <w:t>deliverables </w:t>
            </w:r>
            <w:r>
              <w:rPr>
                <w:spacing w:val="-2"/>
                <w:w w:val="125"/>
                <w:sz w:val="18"/>
              </w:rPr>
              <w:t>(65%)</w:t>
            </w:r>
          </w:p>
        </w:tc>
        <w:tc>
          <w:tcPr>
            <w:tcW w:w="1849" w:type="dxa"/>
            <w:tcBorders>
              <w:left w:val="single" w:sz="6" w:space="0" w:color="4471C4"/>
              <w:right w:val="single" w:sz="6" w:space="0" w:color="4471C4"/>
            </w:tcBorders>
            <w:shd w:val="clear" w:color="auto" w:fill="A9D08E"/>
          </w:tcPr>
          <w:p>
            <w:pPr>
              <w:pStyle w:val="TableParagraph"/>
              <w:spacing w:before="10"/>
              <w:ind w:left="190" w:right="185"/>
              <w:jc w:val="center"/>
              <w:rPr>
                <w:sz w:val="22"/>
              </w:rPr>
            </w:pPr>
            <w:r>
              <w:rPr>
                <w:w w:val="125"/>
                <w:sz w:val="22"/>
              </w:rPr>
              <w:t>100%</w:t>
            </w:r>
            <w:r>
              <w:rPr>
                <w:spacing w:val="9"/>
                <w:w w:val="125"/>
                <w:sz w:val="22"/>
              </w:rPr>
              <w:t> </w:t>
            </w:r>
            <w:r>
              <w:rPr>
                <w:w w:val="125"/>
                <w:sz w:val="22"/>
              </w:rPr>
              <w:t>(of</w:t>
            </w:r>
            <w:r>
              <w:rPr>
                <w:spacing w:val="10"/>
                <w:w w:val="125"/>
                <w:sz w:val="22"/>
              </w:rPr>
              <w:t> </w:t>
            </w:r>
            <w:r>
              <w:rPr>
                <w:spacing w:val="-5"/>
                <w:w w:val="125"/>
                <w:sz w:val="22"/>
              </w:rPr>
              <w:t>65)</w:t>
            </w:r>
          </w:p>
        </w:tc>
      </w:tr>
    </w:tbl>
    <w:p>
      <w:pPr>
        <w:pStyle w:val="BodyText"/>
        <w:spacing w:before="11"/>
        <w:rPr>
          <w:rFonts w:ascii="Calibri Light"/>
          <w:b w:val="0"/>
          <w:sz w:val="19"/>
        </w:rPr>
      </w:pPr>
    </w:p>
    <w:p>
      <w:pPr>
        <w:pStyle w:val="BodyText"/>
        <w:spacing w:line="273" w:lineRule="auto"/>
        <w:ind w:left="220" w:right="1246"/>
      </w:pPr>
      <w:r>
        <w:rPr>
          <w:b/>
        </w:rPr>
        <w:t>Source:</w:t>
      </w:r>
      <w:r>
        <w:rPr>
          <w:b/>
          <w:spacing w:val="-4"/>
        </w:rPr>
        <w:t> </w:t>
      </w:r>
      <w:r>
        <w:rPr/>
        <w:t>UNICEF,</w:t>
      </w:r>
      <w:r>
        <w:rPr>
          <w:spacing w:val="-3"/>
        </w:rPr>
        <w:t> </w:t>
      </w:r>
      <w:r>
        <w:rPr/>
        <w:t>Key</w:t>
      </w:r>
      <w:r>
        <w:rPr>
          <w:spacing w:val="-3"/>
        </w:rPr>
        <w:t> </w:t>
      </w:r>
      <w:r>
        <w:rPr/>
        <w:t>Output</w:t>
      </w:r>
      <w:r>
        <w:rPr>
          <w:spacing w:val="-3"/>
        </w:rPr>
        <w:t> </w:t>
      </w:r>
      <w:r>
        <w:rPr/>
        <w:t>Report</w:t>
      </w:r>
      <w:r>
        <w:rPr>
          <w:spacing w:val="-4"/>
        </w:rPr>
        <w:t> </w:t>
      </w:r>
      <w:r>
        <w:rPr/>
        <w:t>–</w:t>
      </w:r>
      <w:r>
        <w:rPr>
          <w:spacing w:val="-2"/>
        </w:rPr>
        <w:t> </w:t>
      </w:r>
      <w:r>
        <w:rPr/>
        <w:t>Curriculum,</w:t>
      </w:r>
      <w:r>
        <w:rPr>
          <w:spacing w:val="-3"/>
        </w:rPr>
        <w:t> </w:t>
      </w:r>
      <w:r>
        <w:rPr/>
        <w:t>Quarterly</w:t>
      </w:r>
      <w:r>
        <w:rPr>
          <w:spacing w:val="-5"/>
        </w:rPr>
        <w:t> </w:t>
      </w:r>
      <w:r>
        <w:rPr/>
        <w:t>Progress</w:t>
      </w:r>
      <w:r>
        <w:rPr>
          <w:spacing w:val="-5"/>
        </w:rPr>
        <w:t> </w:t>
      </w:r>
      <w:r>
        <w:rPr/>
        <w:t>Reports,</w:t>
      </w:r>
      <w:r>
        <w:rPr>
          <w:spacing w:val="-5"/>
        </w:rPr>
        <w:t> </w:t>
      </w:r>
      <w:r>
        <w:rPr/>
        <w:t>Output</w:t>
      </w:r>
      <w:r>
        <w:rPr>
          <w:spacing w:val="-3"/>
        </w:rPr>
        <w:t> </w:t>
      </w:r>
      <w:r>
        <w:rPr/>
        <w:t>Indicator Tracker, Mid NEAP Review Findings Report, Cognition Completion Report.</w:t>
      </w:r>
    </w:p>
    <w:p>
      <w:pPr>
        <w:pStyle w:val="BodyText"/>
        <w:spacing w:before="8"/>
        <w:rPr>
          <w:sz w:val="16"/>
        </w:rPr>
      </w:pPr>
    </w:p>
    <w:p>
      <w:pPr>
        <w:pStyle w:val="BodyText"/>
        <w:spacing w:before="1"/>
        <w:ind w:left="220" w:right="1254"/>
        <w:jc w:val="both"/>
      </w:pPr>
      <w:r>
        <w:rPr>
          <w:b/>
        </w:rPr>
        <w:t>Performance Indicator 2.1.1 </w:t>
      </w:r>
      <w:r>
        <w:rPr/>
        <w:t>New curriculum development</w:t>
      </w:r>
      <w:r>
        <w:rPr>
          <w:spacing w:val="-2"/>
        </w:rPr>
        <w:t> </w:t>
      </w:r>
      <w:r>
        <w:rPr/>
        <w:t>was one</w:t>
      </w:r>
      <w:r>
        <w:rPr>
          <w:spacing w:val="-1"/>
        </w:rPr>
        <w:t> </w:t>
      </w:r>
      <w:r>
        <w:rPr/>
        <w:t>of the priorities identified in</w:t>
      </w:r>
      <w:r>
        <w:rPr>
          <w:spacing w:val="-1"/>
        </w:rPr>
        <w:t> </w:t>
      </w:r>
      <w:r>
        <w:rPr/>
        <w:t>the NEAP 2016-2020. The identified strategy was to outsource the curriculum development to reduce lead time and ensure quality; develop new curricula for PPY and Senior Secondary and complete existing curricula for Primary and Junior Secondary within this NEAP.</w:t>
      </w:r>
    </w:p>
    <w:p>
      <w:pPr>
        <w:pStyle w:val="BodyText"/>
        <w:spacing w:before="4"/>
        <w:rPr>
          <w:sz w:val="16"/>
        </w:rPr>
      </w:pPr>
    </w:p>
    <w:p>
      <w:pPr>
        <w:pStyle w:val="BodyText"/>
        <w:ind w:left="220" w:right="1250"/>
        <w:jc w:val="both"/>
      </w:pPr>
      <w:r>
        <w:rPr/>
        <w:t>The Pre-Primary Year (PPY) initiative to develop new improved curriculum was led and funded by UNICEF. The PPY curriculum framework and syllabus were finalised after inputs from trial findings and in-service teacher</w:t>
      </w:r>
      <w:r>
        <w:rPr>
          <w:spacing w:val="-2"/>
        </w:rPr>
        <w:t> </w:t>
      </w:r>
      <w:r>
        <w:rPr/>
        <w:t>training (INSET) in</w:t>
      </w:r>
      <w:r>
        <w:rPr>
          <w:spacing w:val="-1"/>
        </w:rPr>
        <w:t> </w:t>
      </w:r>
      <w:r>
        <w:rPr/>
        <w:t>Guadalcanal,</w:t>
      </w:r>
      <w:r>
        <w:rPr>
          <w:spacing w:val="-2"/>
        </w:rPr>
        <w:t> </w:t>
      </w:r>
      <w:r>
        <w:rPr/>
        <w:t>Honiara and</w:t>
      </w:r>
      <w:r>
        <w:rPr>
          <w:spacing w:val="-3"/>
        </w:rPr>
        <w:t> </w:t>
      </w:r>
      <w:r>
        <w:rPr/>
        <w:t>Malaita.</w:t>
      </w:r>
      <w:r>
        <w:rPr>
          <w:spacing w:val="40"/>
        </w:rPr>
        <w:t> </w:t>
      </w:r>
      <w:r>
        <w:rPr/>
        <w:t>Two</w:t>
      </w:r>
      <w:r>
        <w:rPr>
          <w:spacing w:val="-1"/>
        </w:rPr>
        <w:t> </w:t>
      </w:r>
      <w:r>
        <w:rPr/>
        <w:t>teacher</w:t>
      </w:r>
      <w:r>
        <w:rPr>
          <w:spacing w:val="-2"/>
        </w:rPr>
        <w:t> </w:t>
      </w:r>
      <w:r>
        <w:rPr/>
        <w:t>guides and one</w:t>
      </w:r>
      <w:r>
        <w:rPr>
          <w:spacing w:val="-1"/>
        </w:rPr>
        <w:t> </w:t>
      </w:r>
      <w:r>
        <w:rPr/>
        <w:t>manual have been printed in</w:t>
      </w:r>
      <w:r>
        <w:rPr>
          <w:spacing w:val="-1"/>
        </w:rPr>
        <w:t> </w:t>
      </w:r>
      <w:r>
        <w:rPr/>
        <w:t>readiness for roll-out</w:t>
      </w:r>
      <w:r>
        <w:rPr>
          <w:spacing w:val="-2"/>
        </w:rPr>
        <w:t> </w:t>
      </w:r>
      <w:r>
        <w:rPr/>
        <w:t>in</w:t>
      </w:r>
      <w:r>
        <w:rPr>
          <w:spacing w:val="-1"/>
        </w:rPr>
        <w:t> </w:t>
      </w:r>
      <w:r>
        <w:rPr/>
        <w:t>2019. Train</w:t>
      </w:r>
      <w:r>
        <w:rPr>
          <w:spacing w:val="-3"/>
        </w:rPr>
        <w:t> </w:t>
      </w:r>
      <w:r>
        <w:rPr/>
        <w:t>the</w:t>
      </w:r>
      <w:r>
        <w:rPr>
          <w:spacing w:val="-1"/>
        </w:rPr>
        <w:t> </w:t>
      </w:r>
      <w:r>
        <w:rPr/>
        <w:t>trainers sessions</w:t>
      </w:r>
      <w:r>
        <w:rPr>
          <w:spacing w:val="-2"/>
        </w:rPr>
        <w:t> </w:t>
      </w:r>
      <w:r>
        <w:rPr/>
        <w:t>were held across 14 venues. Twenty schools in Honiara were monitored to follow progress on implementation of the new PPY curriculum. This curriculum is now implemented by provinces that have received teacher training in the curriculum to 5-year-olds in Solomon Islands.</w:t>
      </w:r>
    </w:p>
    <w:p>
      <w:pPr>
        <w:pStyle w:val="BodyText"/>
        <w:spacing w:before="6"/>
        <w:rPr>
          <w:sz w:val="16"/>
        </w:rPr>
      </w:pPr>
    </w:p>
    <w:p>
      <w:pPr>
        <w:pStyle w:val="BodyText"/>
        <w:spacing w:before="1"/>
        <w:ind w:left="220" w:right="1251"/>
        <w:jc w:val="both"/>
      </w:pPr>
      <w:r>
        <w:rPr/>
        <w:t>UNICEF notes this initiative is a way to finalise and refine curriculum resources in a real-life</w:t>
      </w:r>
      <w:r>
        <w:rPr>
          <w:spacing w:val="40"/>
        </w:rPr>
        <w:t> </w:t>
      </w:r>
      <w:r>
        <w:rPr/>
        <w:t>classroom setting. Curriculum changes were incorporated and revised based on feedback during development. UNICEF will measure the outcomes of teacher training for students over time. Causality will be an issue if trying to evaluate that training is linked to children’s learning outcomes.</w:t>
      </w:r>
    </w:p>
    <w:p>
      <w:pPr>
        <w:pStyle w:val="BodyText"/>
        <w:spacing w:before="4"/>
        <w:rPr>
          <w:sz w:val="16"/>
        </w:rPr>
      </w:pPr>
    </w:p>
    <w:p>
      <w:pPr>
        <w:pStyle w:val="BodyText"/>
        <w:ind w:left="220" w:right="1253"/>
        <w:jc w:val="both"/>
      </w:pPr>
      <w:r>
        <w:rPr/>
        <w:t>There has been some misunderstanding and/or miscommunication about the printing of PPY resources. The MEHRD Curriculum Unit understood that UNICEF would pay for printing the PPY resources; however, UNICEF only paid for the training component. Due to this assumption, the Curriculum Unit</w:t>
      </w:r>
      <w:r>
        <w:rPr>
          <w:spacing w:val="-1"/>
        </w:rPr>
        <w:t> </w:t>
      </w:r>
      <w:r>
        <w:rPr/>
        <w:t>did</w:t>
      </w:r>
      <w:r>
        <w:rPr>
          <w:spacing w:val="-2"/>
        </w:rPr>
        <w:t> </w:t>
      </w:r>
      <w:r>
        <w:rPr/>
        <w:t>not</w:t>
      </w:r>
      <w:r>
        <w:rPr>
          <w:spacing w:val="-1"/>
        </w:rPr>
        <w:t> </w:t>
      </w:r>
      <w:r>
        <w:rPr/>
        <w:t>seek</w:t>
      </w:r>
      <w:r>
        <w:rPr>
          <w:spacing w:val="-1"/>
        </w:rPr>
        <w:t> </w:t>
      </w:r>
      <w:r>
        <w:rPr/>
        <w:t>the</w:t>
      </w:r>
      <w:r>
        <w:rPr>
          <w:spacing w:val="-3"/>
        </w:rPr>
        <w:t> </w:t>
      </w:r>
      <w:r>
        <w:rPr/>
        <w:t>SIG</w:t>
      </w:r>
      <w:r>
        <w:rPr>
          <w:spacing w:val="-4"/>
        </w:rPr>
        <w:t> </w:t>
      </w:r>
      <w:r>
        <w:rPr/>
        <w:t>mandated</w:t>
      </w:r>
      <w:r>
        <w:rPr>
          <w:spacing w:val="-4"/>
        </w:rPr>
        <w:t> </w:t>
      </w:r>
      <w:r>
        <w:rPr/>
        <w:t>three</w:t>
      </w:r>
      <w:r>
        <w:rPr>
          <w:spacing w:val="-5"/>
        </w:rPr>
        <w:t> </w:t>
      </w:r>
      <w:r>
        <w:rPr/>
        <w:t>quotes</w:t>
      </w:r>
      <w:r>
        <w:rPr>
          <w:spacing w:val="-1"/>
        </w:rPr>
        <w:t> </w:t>
      </w:r>
      <w:r>
        <w:rPr/>
        <w:t>for</w:t>
      </w:r>
      <w:r>
        <w:rPr>
          <w:spacing w:val="-3"/>
        </w:rPr>
        <w:t> </w:t>
      </w:r>
      <w:r>
        <w:rPr/>
        <w:t>services</w:t>
      </w:r>
      <w:r>
        <w:rPr>
          <w:spacing w:val="-3"/>
        </w:rPr>
        <w:t> </w:t>
      </w:r>
      <w:r>
        <w:rPr/>
        <w:t>and</w:t>
      </w:r>
      <w:r>
        <w:rPr>
          <w:spacing w:val="-2"/>
        </w:rPr>
        <w:t> </w:t>
      </w:r>
      <w:r>
        <w:rPr/>
        <w:t>was</w:t>
      </w:r>
      <w:r>
        <w:rPr>
          <w:spacing w:val="-1"/>
        </w:rPr>
        <w:t> </w:t>
      </w:r>
      <w:r>
        <w:rPr/>
        <w:t>therefore</w:t>
      </w:r>
      <w:r>
        <w:rPr>
          <w:spacing w:val="-3"/>
        </w:rPr>
        <w:t> </w:t>
      </w:r>
      <w:r>
        <w:rPr/>
        <w:t>liable</w:t>
      </w:r>
      <w:r>
        <w:rPr>
          <w:spacing w:val="-1"/>
        </w:rPr>
        <w:t> </w:t>
      </w:r>
      <w:r>
        <w:rPr/>
        <w:t>for the costs of printing.</w:t>
      </w:r>
      <w:r>
        <w:rPr>
          <w:spacing w:val="40"/>
        </w:rPr>
        <w:t> </w:t>
      </w:r>
      <w:r>
        <w:rPr/>
        <w:t>This example highlights the need for clear written expectations, scope of services, agreements or contracts between MEHRD and other entities (whether they be private companies, NGOs, multilateral organisations or donors). The issue of contracting will be explored further in Section 6.</w:t>
      </w:r>
    </w:p>
    <w:p>
      <w:pPr>
        <w:spacing w:after="0"/>
        <w:jc w:val="both"/>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jc w:val="both"/>
      </w:pPr>
      <w:r>
        <w:rPr/>
        <w:t>The</w:t>
      </w:r>
      <w:r>
        <w:rPr>
          <w:spacing w:val="-5"/>
        </w:rPr>
        <w:t> </w:t>
      </w:r>
      <w:r>
        <w:rPr/>
        <w:t>PPY curriculum</w:t>
      </w:r>
      <w:r>
        <w:rPr>
          <w:spacing w:val="-2"/>
        </w:rPr>
        <w:t> </w:t>
      </w:r>
      <w:r>
        <w:rPr/>
        <w:t>has</w:t>
      </w:r>
      <w:r>
        <w:rPr>
          <w:spacing w:val="-1"/>
        </w:rPr>
        <w:t> </w:t>
      </w:r>
      <w:r>
        <w:rPr/>
        <w:t>been</w:t>
      </w:r>
      <w:r>
        <w:rPr>
          <w:spacing w:val="-2"/>
        </w:rPr>
        <w:t> </w:t>
      </w:r>
      <w:r>
        <w:rPr/>
        <w:t>developed,</w:t>
      </w:r>
      <w:r>
        <w:rPr>
          <w:spacing w:val="-2"/>
        </w:rPr>
        <w:t> </w:t>
      </w:r>
      <w:r>
        <w:rPr/>
        <w:t>tested</w:t>
      </w:r>
      <w:r>
        <w:rPr>
          <w:spacing w:val="-1"/>
        </w:rPr>
        <w:t> </w:t>
      </w:r>
      <w:r>
        <w:rPr/>
        <w:t>and</w:t>
      </w:r>
      <w:r>
        <w:rPr>
          <w:spacing w:val="-1"/>
        </w:rPr>
        <w:t> </w:t>
      </w:r>
      <w:r>
        <w:rPr/>
        <w:t>is</w:t>
      </w:r>
      <w:r>
        <w:rPr>
          <w:spacing w:val="-1"/>
        </w:rPr>
        <w:t> </w:t>
      </w:r>
      <w:r>
        <w:rPr/>
        <w:t>ready</w:t>
      </w:r>
      <w:r>
        <w:rPr>
          <w:spacing w:val="-1"/>
        </w:rPr>
        <w:t> </w:t>
      </w:r>
      <w:r>
        <w:rPr/>
        <w:t>for</w:t>
      </w:r>
      <w:r>
        <w:rPr>
          <w:spacing w:val="-1"/>
        </w:rPr>
        <w:t> </w:t>
      </w:r>
      <w:r>
        <w:rPr/>
        <w:t>use along</w:t>
      </w:r>
      <w:r>
        <w:rPr>
          <w:spacing w:val="-4"/>
        </w:rPr>
        <w:t> </w:t>
      </w:r>
      <w:r>
        <w:rPr/>
        <w:t>with</w:t>
      </w:r>
      <w:r>
        <w:rPr>
          <w:spacing w:val="-3"/>
        </w:rPr>
        <w:t> </w:t>
      </w:r>
      <w:r>
        <w:rPr/>
        <w:t>447 teachers</w:t>
      </w:r>
      <w:r>
        <w:rPr>
          <w:spacing w:val="-1"/>
        </w:rPr>
        <w:t> </w:t>
      </w:r>
      <w:r>
        <w:rPr>
          <w:spacing w:val="-2"/>
        </w:rPr>
        <w:t>trained.</w:t>
      </w:r>
    </w:p>
    <w:p>
      <w:pPr>
        <w:spacing w:before="21"/>
        <w:ind w:left="220" w:right="0" w:firstLine="0"/>
        <w:jc w:val="both"/>
        <w:rPr>
          <w:b/>
          <w:sz w:val="22"/>
        </w:rPr>
      </w:pPr>
      <w:r>
        <w:rPr>
          <w:b/>
          <w:sz w:val="22"/>
        </w:rPr>
        <w:t>Indicator</w:t>
      </w:r>
      <w:r>
        <w:rPr>
          <w:b/>
          <w:spacing w:val="-7"/>
          <w:sz w:val="22"/>
        </w:rPr>
        <w:t> </w:t>
      </w:r>
      <w:r>
        <w:rPr>
          <w:b/>
          <w:sz w:val="22"/>
        </w:rPr>
        <w:t>2.1.1</w:t>
      </w:r>
      <w:r>
        <w:rPr>
          <w:b/>
          <w:spacing w:val="-5"/>
          <w:sz w:val="22"/>
        </w:rPr>
        <w:t> </w:t>
      </w:r>
      <w:r>
        <w:rPr>
          <w:b/>
          <w:sz w:val="22"/>
        </w:rPr>
        <w:t>is</w:t>
      </w:r>
      <w:r>
        <w:rPr>
          <w:b/>
          <w:spacing w:val="-4"/>
          <w:sz w:val="22"/>
        </w:rPr>
        <w:t> </w:t>
      </w:r>
      <w:r>
        <w:rPr>
          <w:b/>
          <w:sz w:val="22"/>
        </w:rPr>
        <w:t>assessed</w:t>
      </w:r>
      <w:r>
        <w:rPr>
          <w:b/>
          <w:spacing w:val="-6"/>
          <w:sz w:val="22"/>
        </w:rPr>
        <w:t> </w:t>
      </w:r>
      <w:r>
        <w:rPr>
          <w:b/>
          <w:sz w:val="22"/>
        </w:rPr>
        <w:t>as</w:t>
      </w:r>
      <w:r>
        <w:rPr>
          <w:b/>
          <w:spacing w:val="-3"/>
          <w:sz w:val="22"/>
        </w:rPr>
        <w:t> </w:t>
      </w:r>
      <w:r>
        <w:rPr>
          <w:b/>
          <w:sz w:val="22"/>
        </w:rPr>
        <w:t>100</w:t>
      </w:r>
      <w:r>
        <w:rPr>
          <w:b/>
          <w:spacing w:val="-2"/>
          <w:sz w:val="22"/>
        </w:rPr>
        <w:t> </w:t>
      </w:r>
      <w:r>
        <w:rPr>
          <w:b/>
          <w:sz w:val="22"/>
        </w:rPr>
        <w:t>per</w:t>
      </w:r>
      <w:r>
        <w:rPr>
          <w:b/>
          <w:spacing w:val="-5"/>
          <w:sz w:val="22"/>
        </w:rPr>
        <w:t> </w:t>
      </w:r>
      <w:r>
        <w:rPr>
          <w:b/>
          <w:sz w:val="22"/>
        </w:rPr>
        <w:t>cent</w:t>
      </w:r>
      <w:r>
        <w:rPr>
          <w:b/>
          <w:spacing w:val="-3"/>
          <w:sz w:val="22"/>
        </w:rPr>
        <w:t> </w:t>
      </w:r>
      <w:r>
        <w:rPr>
          <w:b/>
          <w:sz w:val="22"/>
        </w:rPr>
        <w:t>achieved</w:t>
      </w:r>
      <w:r>
        <w:rPr>
          <w:b/>
          <w:spacing w:val="-3"/>
          <w:sz w:val="22"/>
        </w:rPr>
        <w:t> </w:t>
      </w:r>
      <w:r>
        <w:rPr>
          <w:b/>
          <w:sz w:val="22"/>
        </w:rPr>
        <w:t>(of</w:t>
      </w:r>
      <w:r>
        <w:rPr>
          <w:b/>
          <w:spacing w:val="-4"/>
          <w:sz w:val="22"/>
        </w:rPr>
        <w:t> </w:t>
      </w:r>
      <w:r>
        <w:rPr>
          <w:b/>
          <w:sz w:val="22"/>
        </w:rPr>
        <w:t>a</w:t>
      </w:r>
      <w:r>
        <w:rPr>
          <w:b/>
          <w:spacing w:val="-4"/>
          <w:sz w:val="22"/>
        </w:rPr>
        <w:t> </w:t>
      </w:r>
      <w:r>
        <w:rPr>
          <w:b/>
          <w:sz w:val="22"/>
        </w:rPr>
        <w:t>possible</w:t>
      </w:r>
      <w:r>
        <w:rPr>
          <w:b/>
          <w:spacing w:val="-5"/>
          <w:sz w:val="22"/>
        </w:rPr>
        <w:t> </w:t>
      </w:r>
      <w:r>
        <w:rPr>
          <w:b/>
          <w:sz w:val="22"/>
        </w:rPr>
        <w:t>35</w:t>
      </w:r>
      <w:r>
        <w:rPr>
          <w:b/>
          <w:spacing w:val="-5"/>
          <w:sz w:val="22"/>
        </w:rPr>
        <w:t> </w:t>
      </w:r>
      <w:r>
        <w:rPr>
          <w:b/>
          <w:sz w:val="22"/>
        </w:rPr>
        <w:t>per</w:t>
      </w:r>
      <w:r>
        <w:rPr>
          <w:b/>
          <w:spacing w:val="-4"/>
          <w:sz w:val="22"/>
        </w:rPr>
        <w:t> </w:t>
      </w:r>
      <w:r>
        <w:rPr>
          <w:b/>
          <w:spacing w:val="-2"/>
          <w:sz w:val="22"/>
        </w:rPr>
        <w:t>cent).</w:t>
      </w:r>
    </w:p>
    <w:p>
      <w:pPr>
        <w:pStyle w:val="BodyText"/>
        <w:spacing w:before="1"/>
        <w:rPr>
          <w:b/>
          <w:sz w:val="18"/>
        </w:rPr>
      </w:pPr>
    </w:p>
    <w:p>
      <w:pPr>
        <w:pStyle w:val="BodyText"/>
        <w:spacing w:before="1"/>
        <w:ind w:left="220" w:right="1253"/>
        <w:jc w:val="both"/>
      </w:pPr>
      <w:r>
        <w:rPr>
          <w:b/>
        </w:rPr>
        <w:t>Performance Indicator 2.1.2 </w:t>
      </w:r>
      <w:r>
        <w:rPr/>
        <w:t>Management of the Curriculum development program was awarded</w:t>
      </w:r>
      <w:r>
        <w:rPr>
          <w:spacing w:val="-1"/>
        </w:rPr>
        <w:t> </w:t>
      </w:r>
      <w:r>
        <w:rPr/>
        <w:t>to Cognition in October 2017. Cognition contract deliverables have been completed and accepted, as </w:t>
      </w:r>
      <w:r>
        <w:rPr>
          <w:spacing w:val="-2"/>
        </w:rPr>
        <w:t>follows:</w:t>
      </w:r>
    </w:p>
    <w:p>
      <w:pPr>
        <w:pStyle w:val="BodyText"/>
        <w:spacing w:before="4"/>
        <w:rPr>
          <w:sz w:val="16"/>
        </w:rPr>
      </w:pPr>
    </w:p>
    <w:p>
      <w:pPr>
        <w:pStyle w:val="ListParagraph"/>
        <w:numPr>
          <w:ilvl w:val="0"/>
          <w:numId w:val="6"/>
        </w:numPr>
        <w:tabs>
          <w:tab w:pos="940" w:val="left" w:leader="none"/>
          <w:tab w:pos="941" w:val="left" w:leader="none"/>
        </w:tabs>
        <w:spacing w:line="240" w:lineRule="auto" w:before="1" w:after="0"/>
        <w:ind w:left="940" w:right="0" w:hanging="361"/>
        <w:jc w:val="left"/>
        <w:rPr>
          <w:sz w:val="22"/>
        </w:rPr>
      </w:pPr>
      <w:r>
        <w:rPr>
          <w:sz w:val="22"/>
        </w:rPr>
        <w:t>Math</w:t>
      </w:r>
      <w:r>
        <w:rPr>
          <w:spacing w:val="-5"/>
          <w:sz w:val="22"/>
        </w:rPr>
        <w:t> </w:t>
      </w:r>
      <w:r>
        <w:rPr>
          <w:sz w:val="22"/>
        </w:rPr>
        <w:t>Teacher</w:t>
      </w:r>
      <w:r>
        <w:rPr>
          <w:spacing w:val="-6"/>
          <w:sz w:val="22"/>
        </w:rPr>
        <w:t> </w:t>
      </w:r>
      <w:r>
        <w:rPr>
          <w:sz w:val="22"/>
        </w:rPr>
        <w:t>Guide</w:t>
      </w:r>
      <w:r>
        <w:rPr>
          <w:spacing w:val="-2"/>
          <w:sz w:val="22"/>
        </w:rPr>
        <w:t> </w:t>
      </w:r>
      <w:r>
        <w:rPr>
          <w:sz w:val="22"/>
        </w:rPr>
        <w:t>Year</w:t>
      </w:r>
      <w:r>
        <w:rPr>
          <w:spacing w:val="-5"/>
          <w:sz w:val="22"/>
        </w:rPr>
        <w:t> </w:t>
      </w:r>
      <w:r>
        <w:rPr>
          <w:sz w:val="22"/>
        </w:rPr>
        <w:t>8</w:t>
      </w:r>
      <w:r>
        <w:rPr>
          <w:spacing w:val="-3"/>
          <w:sz w:val="22"/>
        </w:rPr>
        <w:t> </w:t>
      </w:r>
      <w:r>
        <w:rPr>
          <w:sz w:val="22"/>
        </w:rPr>
        <w:t>(</w:t>
      </w:r>
      <w:r>
        <w:rPr>
          <w:i/>
          <w:sz w:val="22"/>
        </w:rPr>
        <w:t>novated</w:t>
      </w:r>
      <w:r>
        <w:rPr>
          <w:i/>
          <w:spacing w:val="-3"/>
          <w:sz w:val="22"/>
        </w:rPr>
        <w:t> </w:t>
      </w:r>
      <w:r>
        <w:rPr>
          <w:i/>
          <w:sz w:val="22"/>
        </w:rPr>
        <w:t>to</w:t>
      </w:r>
      <w:r>
        <w:rPr>
          <w:i/>
          <w:spacing w:val="-6"/>
          <w:sz w:val="22"/>
        </w:rPr>
        <w:t> </w:t>
      </w:r>
      <w:r>
        <w:rPr>
          <w:i/>
          <w:sz w:val="22"/>
        </w:rPr>
        <w:t>Cognition</w:t>
      </w:r>
      <w:r>
        <w:rPr>
          <w:i/>
          <w:spacing w:val="-4"/>
          <w:sz w:val="22"/>
        </w:rPr>
        <w:t> </w:t>
      </w:r>
      <w:r>
        <w:rPr>
          <w:i/>
          <w:sz w:val="22"/>
        </w:rPr>
        <w:t>from</w:t>
      </w:r>
      <w:r>
        <w:rPr>
          <w:i/>
          <w:spacing w:val="-1"/>
          <w:sz w:val="22"/>
        </w:rPr>
        <w:t> </w:t>
      </w:r>
      <w:r>
        <w:rPr>
          <w:i/>
          <w:sz w:val="22"/>
        </w:rPr>
        <w:t>previous</w:t>
      </w:r>
      <w:r>
        <w:rPr>
          <w:i/>
          <w:spacing w:val="-2"/>
          <w:sz w:val="22"/>
        </w:rPr>
        <w:t> contractor</w:t>
      </w:r>
      <w:r>
        <w:rPr>
          <w:spacing w:val="-2"/>
          <w:sz w:val="22"/>
        </w:rPr>
        <w:t>)</w:t>
      </w:r>
    </w:p>
    <w:p>
      <w:pPr>
        <w:pStyle w:val="ListParagraph"/>
        <w:numPr>
          <w:ilvl w:val="0"/>
          <w:numId w:val="6"/>
        </w:numPr>
        <w:tabs>
          <w:tab w:pos="940" w:val="left" w:leader="none"/>
          <w:tab w:pos="941" w:val="left" w:leader="none"/>
        </w:tabs>
        <w:spacing w:line="240" w:lineRule="auto" w:before="199" w:after="0"/>
        <w:ind w:left="940" w:right="0" w:hanging="361"/>
        <w:jc w:val="left"/>
        <w:rPr>
          <w:sz w:val="22"/>
        </w:rPr>
      </w:pPr>
      <w:r>
        <w:rPr>
          <w:sz w:val="22"/>
        </w:rPr>
        <w:t>Math</w:t>
      </w:r>
      <w:r>
        <w:rPr>
          <w:spacing w:val="-2"/>
          <w:sz w:val="22"/>
        </w:rPr>
        <w:t> </w:t>
      </w:r>
      <w:r>
        <w:rPr>
          <w:sz w:val="22"/>
        </w:rPr>
        <w:t>Teacher</w:t>
      </w:r>
      <w:r>
        <w:rPr>
          <w:spacing w:val="-5"/>
          <w:sz w:val="22"/>
        </w:rPr>
        <w:t> </w:t>
      </w:r>
      <w:r>
        <w:rPr>
          <w:sz w:val="22"/>
        </w:rPr>
        <w:t>Guide</w:t>
      </w:r>
      <w:r>
        <w:rPr>
          <w:spacing w:val="-1"/>
          <w:sz w:val="22"/>
        </w:rPr>
        <w:t> </w:t>
      </w:r>
      <w:r>
        <w:rPr>
          <w:sz w:val="22"/>
        </w:rPr>
        <w:t>Year</w:t>
      </w:r>
      <w:r>
        <w:rPr>
          <w:spacing w:val="-3"/>
          <w:sz w:val="22"/>
        </w:rPr>
        <w:t> </w:t>
      </w:r>
      <w:r>
        <w:rPr>
          <w:spacing w:val="-10"/>
          <w:sz w:val="22"/>
        </w:rPr>
        <w:t>9</w:t>
      </w:r>
    </w:p>
    <w:p>
      <w:pPr>
        <w:pStyle w:val="ListParagraph"/>
        <w:numPr>
          <w:ilvl w:val="0"/>
          <w:numId w:val="6"/>
        </w:numPr>
        <w:tabs>
          <w:tab w:pos="940" w:val="left" w:leader="none"/>
          <w:tab w:pos="941" w:val="left" w:leader="none"/>
        </w:tabs>
        <w:spacing w:line="240" w:lineRule="auto" w:before="200" w:after="0"/>
        <w:ind w:left="940" w:right="0" w:hanging="361"/>
        <w:jc w:val="left"/>
        <w:rPr>
          <w:sz w:val="22"/>
        </w:rPr>
      </w:pPr>
      <w:r>
        <w:rPr>
          <w:sz w:val="22"/>
        </w:rPr>
        <w:t>English</w:t>
      </w:r>
      <w:r>
        <w:rPr>
          <w:spacing w:val="-3"/>
          <w:sz w:val="22"/>
        </w:rPr>
        <w:t> </w:t>
      </w:r>
      <w:r>
        <w:rPr>
          <w:sz w:val="22"/>
        </w:rPr>
        <w:t>Teacher</w:t>
      </w:r>
      <w:r>
        <w:rPr>
          <w:spacing w:val="-5"/>
          <w:sz w:val="22"/>
        </w:rPr>
        <w:t> </w:t>
      </w:r>
      <w:r>
        <w:rPr>
          <w:sz w:val="22"/>
        </w:rPr>
        <w:t>and</w:t>
      </w:r>
      <w:r>
        <w:rPr>
          <w:spacing w:val="-4"/>
          <w:sz w:val="22"/>
        </w:rPr>
        <w:t> </w:t>
      </w:r>
      <w:r>
        <w:rPr>
          <w:sz w:val="22"/>
        </w:rPr>
        <w:t>Learner</w:t>
      </w:r>
      <w:r>
        <w:rPr>
          <w:spacing w:val="-3"/>
          <w:sz w:val="22"/>
        </w:rPr>
        <w:t> </w:t>
      </w:r>
      <w:r>
        <w:rPr>
          <w:sz w:val="22"/>
        </w:rPr>
        <w:t>Guide</w:t>
      </w:r>
      <w:r>
        <w:rPr>
          <w:spacing w:val="-2"/>
          <w:sz w:val="22"/>
        </w:rPr>
        <w:t> </w:t>
      </w:r>
      <w:r>
        <w:rPr>
          <w:sz w:val="22"/>
        </w:rPr>
        <w:t>Year</w:t>
      </w:r>
      <w:r>
        <w:rPr>
          <w:spacing w:val="-2"/>
          <w:sz w:val="22"/>
        </w:rPr>
        <w:t> </w:t>
      </w:r>
      <w:r>
        <w:rPr>
          <w:spacing w:val="-10"/>
          <w:sz w:val="22"/>
        </w:rPr>
        <w:t>9</w:t>
      </w:r>
    </w:p>
    <w:p>
      <w:pPr>
        <w:pStyle w:val="ListParagraph"/>
        <w:numPr>
          <w:ilvl w:val="0"/>
          <w:numId w:val="6"/>
        </w:numPr>
        <w:tabs>
          <w:tab w:pos="940" w:val="left" w:leader="none"/>
          <w:tab w:pos="941" w:val="left" w:leader="none"/>
        </w:tabs>
        <w:spacing w:line="240" w:lineRule="auto" w:before="200" w:after="0"/>
        <w:ind w:left="940" w:right="0" w:hanging="361"/>
        <w:jc w:val="left"/>
        <w:rPr>
          <w:sz w:val="22"/>
        </w:rPr>
      </w:pPr>
      <w:r>
        <w:rPr>
          <w:sz w:val="22"/>
        </w:rPr>
        <w:t>Social</w:t>
      </w:r>
      <w:r>
        <w:rPr>
          <w:spacing w:val="-5"/>
          <w:sz w:val="22"/>
        </w:rPr>
        <w:t> </w:t>
      </w:r>
      <w:r>
        <w:rPr>
          <w:sz w:val="22"/>
        </w:rPr>
        <w:t>Studies</w:t>
      </w:r>
      <w:r>
        <w:rPr>
          <w:spacing w:val="-5"/>
          <w:sz w:val="22"/>
        </w:rPr>
        <w:t> </w:t>
      </w:r>
      <w:r>
        <w:rPr>
          <w:sz w:val="22"/>
        </w:rPr>
        <w:t>Teacher</w:t>
      </w:r>
      <w:r>
        <w:rPr>
          <w:spacing w:val="-4"/>
          <w:sz w:val="22"/>
        </w:rPr>
        <w:t> </w:t>
      </w:r>
      <w:r>
        <w:rPr>
          <w:sz w:val="22"/>
        </w:rPr>
        <w:t>Guide</w:t>
      </w:r>
      <w:r>
        <w:rPr>
          <w:spacing w:val="-2"/>
          <w:sz w:val="22"/>
        </w:rPr>
        <w:t> </w:t>
      </w:r>
      <w:r>
        <w:rPr>
          <w:sz w:val="22"/>
        </w:rPr>
        <w:t>Year</w:t>
      </w:r>
      <w:r>
        <w:rPr>
          <w:spacing w:val="-3"/>
          <w:sz w:val="22"/>
        </w:rPr>
        <w:t> </w:t>
      </w:r>
      <w:r>
        <w:rPr>
          <w:spacing w:val="-10"/>
          <w:sz w:val="22"/>
        </w:rPr>
        <w:t>9</w:t>
      </w:r>
    </w:p>
    <w:p>
      <w:pPr>
        <w:pStyle w:val="ListParagraph"/>
        <w:numPr>
          <w:ilvl w:val="0"/>
          <w:numId w:val="6"/>
        </w:numPr>
        <w:tabs>
          <w:tab w:pos="940" w:val="left" w:leader="none"/>
          <w:tab w:pos="941" w:val="left" w:leader="none"/>
        </w:tabs>
        <w:spacing w:line="240" w:lineRule="auto" w:before="200" w:after="0"/>
        <w:ind w:left="940" w:right="0" w:hanging="361"/>
        <w:jc w:val="left"/>
        <w:rPr>
          <w:sz w:val="22"/>
        </w:rPr>
      </w:pPr>
      <w:r>
        <w:rPr>
          <w:sz w:val="22"/>
        </w:rPr>
        <w:t>Social</w:t>
      </w:r>
      <w:r>
        <w:rPr>
          <w:spacing w:val="-5"/>
          <w:sz w:val="22"/>
        </w:rPr>
        <w:t> </w:t>
      </w:r>
      <w:r>
        <w:rPr>
          <w:sz w:val="22"/>
        </w:rPr>
        <w:t>Studies</w:t>
      </w:r>
      <w:r>
        <w:rPr>
          <w:spacing w:val="-6"/>
          <w:sz w:val="22"/>
        </w:rPr>
        <w:t> </w:t>
      </w:r>
      <w:r>
        <w:rPr>
          <w:sz w:val="22"/>
        </w:rPr>
        <w:t>Learner</w:t>
      </w:r>
      <w:r>
        <w:rPr>
          <w:spacing w:val="-3"/>
          <w:sz w:val="22"/>
        </w:rPr>
        <w:t> </w:t>
      </w:r>
      <w:r>
        <w:rPr>
          <w:sz w:val="22"/>
        </w:rPr>
        <w:t>Guide</w:t>
      </w:r>
      <w:r>
        <w:rPr>
          <w:spacing w:val="-3"/>
          <w:sz w:val="22"/>
        </w:rPr>
        <w:t> </w:t>
      </w:r>
      <w:r>
        <w:rPr>
          <w:sz w:val="22"/>
        </w:rPr>
        <w:t>Year</w:t>
      </w:r>
      <w:r>
        <w:rPr>
          <w:spacing w:val="-3"/>
          <w:sz w:val="22"/>
        </w:rPr>
        <w:t> </w:t>
      </w:r>
      <w:r>
        <w:rPr>
          <w:spacing w:val="-10"/>
          <w:sz w:val="22"/>
        </w:rPr>
        <w:t>9</w:t>
      </w:r>
    </w:p>
    <w:p>
      <w:pPr>
        <w:pStyle w:val="ListParagraph"/>
        <w:numPr>
          <w:ilvl w:val="0"/>
          <w:numId w:val="6"/>
        </w:numPr>
        <w:tabs>
          <w:tab w:pos="940" w:val="left" w:leader="none"/>
          <w:tab w:pos="941" w:val="left" w:leader="none"/>
        </w:tabs>
        <w:spacing w:line="240" w:lineRule="auto" w:before="200" w:after="0"/>
        <w:ind w:left="940" w:right="0" w:hanging="361"/>
        <w:jc w:val="left"/>
        <w:rPr>
          <w:sz w:val="22"/>
        </w:rPr>
      </w:pPr>
      <w:r>
        <w:rPr>
          <w:sz w:val="22"/>
        </w:rPr>
        <w:t>Nguzu</w:t>
      </w:r>
      <w:r>
        <w:rPr>
          <w:spacing w:val="-4"/>
          <w:sz w:val="22"/>
        </w:rPr>
        <w:t> </w:t>
      </w:r>
      <w:r>
        <w:rPr>
          <w:sz w:val="22"/>
        </w:rPr>
        <w:t>Nguzu</w:t>
      </w:r>
      <w:r>
        <w:rPr>
          <w:spacing w:val="-3"/>
          <w:sz w:val="22"/>
        </w:rPr>
        <w:t> </w:t>
      </w:r>
      <w:r>
        <w:rPr>
          <w:sz w:val="22"/>
        </w:rPr>
        <w:t>Teaching</w:t>
      </w:r>
      <w:r>
        <w:rPr>
          <w:spacing w:val="-3"/>
          <w:sz w:val="22"/>
        </w:rPr>
        <w:t> </w:t>
      </w:r>
      <w:r>
        <w:rPr>
          <w:sz w:val="22"/>
        </w:rPr>
        <w:t>Guide</w:t>
      </w:r>
      <w:r>
        <w:rPr>
          <w:spacing w:val="-1"/>
          <w:sz w:val="22"/>
        </w:rPr>
        <w:t> </w:t>
      </w:r>
      <w:r>
        <w:rPr>
          <w:sz w:val="22"/>
        </w:rPr>
        <w:t>for</w:t>
      </w:r>
      <w:r>
        <w:rPr>
          <w:spacing w:val="-4"/>
          <w:sz w:val="22"/>
        </w:rPr>
        <w:t> </w:t>
      </w:r>
      <w:r>
        <w:rPr>
          <w:sz w:val="22"/>
        </w:rPr>
        <w:t>Maths</w:t>
      </w:r>
      <w:r>
        <w:rPr>
          <w:spacing w:val="-5"/>
          <w:sz w:val="22"/>
        </w:rPr>
        <w:t> </w:t>
      </w:r>
      <w:r>
        <w:rPr>
          <w:sz w:val="22"/>
        </w:rPr>
        <w:t>Year</w:t>
      </w:r>
      <w:r>
        <w:rPr>
          <w:spacing w:val="-2"/>
          <w:sz w:val="22"/>
        </w:rPr>
        <w:t> </w:t>
      </w:r>
      <w:r>
        <w:rPr>
          <w:spacing w:val="-10"/>
          <w:sz w:val="22"/>
        </w:rPr>
        <w:t>1</w:t>
      </w:r>
    </w:p>
    <w:p>
      <w:pPr>
        <w:pStyle w:val="ListParagraph"/>
        <w:numPr>
          <w:ilvl w:val="0"/>
          <w:numId w:val="6"/>
        </w:numPr>
        <w:tabs>
          <w:tab w:pos="940" w:val="left" w:leader="none"/>
          <w:tab w:pos="941" w:val="left" w:leader="none"/>
        </w:tabs>
        <w:spacing w:line="240" w:lineRule="auto" w:before="202" w:after="0"/>
        <w:ind w:left="940" w:right="0" w:hanging="361"/>
        <w:jc w:val="left"/>
        <w:rPr>
          <w:sz w:val="22"/>
        </w:rPr>
      </w:pPr>
      <w:r>
        <w:rPr>
          <w:sz w:val="22"/>
        </w:rPr>
        <w:t>Nguzu</w:t>
      </w:r>
      <w:r>
        <w:rPr>
          <w:spacing w:val="-4"/>
          <w:sz w:val="22"/>
        </w:rPr>
        <w:t> </w:t>
      </w:r>
      <w:r>
        <w:rPr>
          <w:sz w:val="22"/>
        </w:rPr>
        <w:t>Nguzu</w:t>
      </w:r>
      <w:r>
        <w:rPr>
          <w:spacing w:val="-3"/>
          <w:sz w:val="22"/>
        </w:rPr>
        <w:t> </w:t>
      </w:r>
      <w:r>
        <w:rPr>
          <w:sz w:val="22"/>
        </w:rPr>
        <w:t>Learner</w:t>
      </w:r>
      <w:r>
        <w:rPr>
          <w:spacing w:val="-2"/>
          <w:sz w:val="22"/>
        </w:rPr>
        <w:t> </w:t>
      </w:r>
      <w:r>
        <w:rPr>
          <w:sz w:val="22"/>
        </w:rPr>
        <w:t>Guide</w:t>
      </w:r>
      <w:r>
        <w:rPr>
          <w:spacing w:val="-1"/>
          <w:sz w:val="22"/>
        </w:rPr>
        <w:t> </w:t>
      </w:r>
      <w:r>
        <w:rPr>
          <w:sz w:val="22"/>
        </w:rPr>
        <w:t>for</w:t>
      </w:r>
      <w:r>
        <w:rPr>
          <w:spacing w:val="-5"/>
          <w:sz w:val="22"/>
        </w:rPr>
        <w:t> </w:t>
      </w:r>
      <w:r>
        <w:rPr>
          <w:sz w:val="22"/>
        </w:rPr>
        <w:t>Maths</w:t>
      </w:r>
      <w:r>
        <w:rPr>
          <w:spacing w:val="-2"/>
          <w:sz w:val="22"/>
        </w:rPr>
        <w:t> </w:t>
      </w:r>
      <w:r>
        <w:rPr>
          <w:sz w:val="22"/>
        </w:rPr>
        <w:t>Year</w:t>
      </w:r>
      <w:r>
        <w:rPr>
          <w:spacing w:val="-4"/>
          <w:sz w:val="22"/>
        </w:rPr>
        <w:t> </w:t>
      </w:r>
      <w:r>
        <w:rPr>
          <w:spacing w:val="-10"/>
          <w:sz w:val="22"/>
        </w:rPr>
        <w:t>1</w:t>
      </w:r>
    </w:p>
    <w:p>
      <w:pPr>
        <w:pStyle w:val="ListParagraph"/>
        <w:numPr>
          <w:ilvl w:val="0"/>
          <w:numId w:val="6"/>
        </w:numPr>
        <w:tabs>
          <w:tab w:pos="940" w:val="left" w:leader="none"/>
          <w:tab w:pos="941" w:val="left" w:leader="none"/>
        </w:tabs>
        <w:spacing w:line="240" w:lineRule="auto" w:before="200" w:after="0"/>
        <w:ind w:left="940" w:right="0" w:hanging="361"/>
        <w:jc w:val="left"/>
        <w:rPr>
          <w:sz w:val="22"/>
        </w:rPr>
      </w:pPr>
      <w:r>
        <w:rPr>
          <w:sz w:val="22"/>
        </w:rPr>
        <w:t>Nguzu</w:t>
      </w:r>
      <w:r>
        <w:rPr>
          <w:spacing w:val="-4"/>
          <w:sz w:val="22"/>
        </w:rPr>
        <w:t> </w:t>
      </w:r>
      <w:r>
        <w:rPr>
          <w:sz w:val="22"/>
        </w:rPr>
        <w:t>Nguzu</w:t>
      </w:r>
      <w:r>
        <w:rPr>
          <w:spacing w:val="-3"/>
          <w:sz w:val="22"/>
        </w:rPr>
        <w:t> </w:t>
      </w:r>
      <w:r>
        <w:rPr>
          <w:sz w:val="22"/>
        </w:rPr>
        <w:t>Teaching</w:t>
      </w:r>
      <w:r>
        <w:rPr>
          <w:spacing w:val="-3"/>
          <w:sz w:val="22"/>
        </w:rPr>
        <w:t> </w:t>
      </w:r>
      <w:r>
        <w:rPr>
          <w:sz w:val="22"/>
        </w:rPr>
        <w:t>Guide</w:t>
      </w:r>
      <w:r>
        <w:rPr>
          <w:spacing w:val="-1"/>
          <w:sz w:val="22"/>
        </w:rPr>
        <w:t> </w:t>
      </w:r>
      <w:r>
        <w:rPr>
          <w:sz w:val="22"/>
        </w:rPr>
        <w:t>for</w:t>
      </w:r>
      <w:r>
        <w:rPr>
          <w:spacing w:val="-4"/>
          <w:sz w:val="22"/>
        </w:rPr>
        <w:t> </w:t>
      </w:r>
      <w:r>
        <w:rPr>
          <w:sz w:val="22"/>
        </w:rPr>
        <w:t>Maths</w:t>
      </w:r>
      <w:r>
        <w:rPr>
          <w:spacing w:val="-5"/>
          <w:sz w:val="22"/>
        </w:rPr>
        <w:t> </w:t>
      </w:r>
      <w:r>
        <w:rPr>
          <w:sz w:val="22"/>
        </w:rPr>
        <w:t>Year</w:t>
      </w:r>
      <w:r>
        <w:rPr>
          <w:spacing w:val="-2"/>
          <w:sz w:val="22"/>
        </w:rPr>
        <w:t> </w:t>
      </w:r>
      <w:r>
        <w:rPr>
          <w:spacing w:val="-10"/>
          <w:sz w:val="22"/>
        </w:rPr>
        <w:t>2</w:t>
      </w:r>
    </w:p>
    <w:p>
      <w:pPr>
        <w:pStyle w:val="ListParagraph"/>
        <w:numPr>
          <w:ilvl w:val="0"/>
          <w:numId w:val="6"/>
        </w:numPr>
        <w:tabs>
          <w:tab w:pos="940" w:val="left" w:leader="none"/>
          <w:tab w:pos="941" w:val="left" w:leader="none"/>
        </w:tabs>
        <w:spacing w:line="240" w:lineRule="auto" w:before="199" w:after="0"/>
        <w:ind w:left="940" w:right="0" w:hanging="361"/>
        <w:jc w:val="left"/>
        <w:rPr>
          <w:sz w:val="22"/>
        </w:rPr>
      </w:pPr>
      <w:r>
        <w:rPr>
          <w:sz w:val="22"/>
        </w:rPr>
        <w:t>Nguzu</w:t>
      </w:r>
      <w:r>
        <w:rPr>
          <w:spacing w:val="-3"/>
          <w:sz w:val="22"/>
        </w:rPr>
        <w:t> </w:t>
      </w:r>
      <w:r>
        <w:rPr>
          <w:sz w:val="22"/>
        </w:rPr>
        <w:t>Nguzu</w:t>
      </w:r>
      <w:r>
        <w:rPr>
          <w:spacing w:val="-3"/>
          <w:sz w:val="22"/>
        </w:rPr>
        <w:t> </w:t>
      </w:r>
      <w:r>
        <w:rPr>
          <w:sz w:val="22"/>
        </w:rPr>
        <w:t>Learner</w:t>
      </w:r>
      <w:r>
        <w:rPr>
          <w:spacing w:val="47"/>
          <w:sz w:val="22"/>
        </w:rPr>
        <w:t> </w:t>
      </w:r>
      <w:r>
        <w:rPr>
          <w:sz w:val="22"/>
        </w:rPr>
        <w:t>Guide</w:t>
      </w:r>
      <w:r>
        <w:rPr>
          <w:spacing w:val="-1"/>
          <w:sz w:val="22"/>
        </w:rPr>
        <w:t> </w:t>
      </w:r>
      <w:r>
        <w:rPr>
          <w:sz w:val="22"/>
        </w:rPr>
        <w:t>for</w:t>
      </w:r>
      <w:r>
        <w:rPr>
          <w:spacing w:val="-5"/>
          <w:sz w:val="22"/>
        </w:rPr>
        <w:t> </w:t>
      </w:r>
      <w:r>
        <w:rPr>
          <w:sz w:val="22"/>
        </w:rPr>
        <w:t>Maths</w:t>
      </w:r>
      <w:r>
        <w:rPr>
          <w:spacing w:val="-2"/>
          <w:sz w:val="22"/>
        </w:rPr>
        <w:t> </w:t>
      </w:r>
      <w:r>
        <w:rPr>
          <w:sz w:val="22"/>
        </w:rPr>
        <w:t>Year</w:t>
      </w:r>
      <w:r>
        <w:rPr>
          <w:spacing w:val="-3"/>
          <w:sz w:val="22"/>
        </w:rPr>
        <w:t> </w:t>
      </w:r>
      <w:r>
        <w:rPr>
          <w:spacing w:val="-10"/>
          <w:sz w:val="22"/>
        </w:rPr>
        <w:t>2</w:t>
      </w:r>
    </w:p>
    <w:p>
      <w:pPr>
        <w:pStyle w:val="BodyText"/>
        <w:spacing w:line="276" w:lineRule="auto" w:before="200"/>
        <w:ind w:left="220" w:right="1566"/>
        <w:jc w:val="both"/>
      </w:pPr>
      <w:r>
        <w:rPr/>
        <w:t>All</w:t>
      </w:r>
      <w:r>
        <w:rPr>
          <w:spacing w:val="-2"/>
        </w:rPr>
        <w:t> </w:t>
      </w:r>
      <w:r>
        <w:rPr/>
        <w:t>the</w:t>
      </w:r>
      <w:r>
        <w:rPr>
          <w:spacing w:val="-2"/>
        </w:rPr>
        <w:t> </w:t>
      </w:r>
      <w:r>
        <w:rPr/>
        <w:t>above</w:t>
      </w:r>
      <w:r>
        <w:rPr>
          <w:spacing w:val="-1"/>
        </w:rPr>
        <w:t> </w:t>
      </w:r>
      <w:r>
        <w:rPr/>
        <w:t>teacher</w:t>
      </w:r>
      <w:r>
        <w:rPr>
          <w:spacing w:val="-2"/>
        </w:rPr>
        <w:t> </w:t>
      </w:r>
      <w:r>
        <w:rPr/>
        <w:t>and</w:t>
      </w:r>
      <w:r>
        <w:rPr>
          <w:spacing w:val="-3"/>
        </w:rPr>
        <w:t> </w:t>
      </w:r>
      <w:r>
        <w:rPr/>
        <w:t>learner</w:t>
      </w:r>
      <w:r>
        <w:rPr>
          <w:spacing w:val="-2"/>
        </w:rPr>
        <w:t> </w:t>
      </w:r>
      <w:r>
        <w:rPr/>
        <w:t>guides</w:t>
      </w:r>
      <w:r>
        <w:rPr>
          <w:spacing w:val="-1"/>
        </w:rPr>
        <w:t> </w:t>
      </w:r>
      <w:r>
        <w:rPr/>
        <w:t>are</w:t>
      </w:r>
      <w:r>
        <w:rPr>
          <w:spacing w:val="-1"/>
        </w:rPr>
        <w:t> </w:t>
      </w:r>
      <w:r>
        <w:rPr/>
        <w:t>ready</w:t>
      </w:r>
      <w:r>
        <w:rPr>
          <w:spacing w:val="-4"/>
        </w:rPr>
        <w:t> </w:t>
      </w:r>
      <w:r>
        <w:rPr/>
        <w:t>to</w:t>
      </w:r>
      <w:r>
        <w:rPr>
          <w:spacing w:val="-3"/>
        </w:rPr>
        <w:t> </w:t>
      </w:r>
      <w:r>
        <w:rPr/>
        <w:t>be</w:t>
      </w:r>
      <w:r>
        <w:rPr>
          <w:spacing w:val="-1"/>
        </w:rPr>
        <w:t> </w:t>
      </w:r>
      <w:r>
        <w:rPr/>
        <w:t>sent</w:t>
      </w:r>
      <w:r>
        <w:rPr>
          <w:spacing w:val="-4"/>
        </w:rPr>
        <w:t> </w:t>
      </w:r>
      <w:r>
        <w:rPr/>
        <w:t>to</w:t>
      </w:r>
      <w:r>
        <w:rPr>
          <w:spacing w:val="-3"/>
        </w:rPr>
        <w:t> </w:t>
      </w:r>
      <w:r>
        <w:rPr/>
        <w:t>a</w:t>
      </w:r>
      <w:r>
        <w:rPr>
          <w:spacing w:val="-4"/>
        </w:rPr>
        <w:t> </w:t>
      </w:r>
      <w:r>
        <w:rPr/>
        <w:t>Desk</w:t>
      </w:r>
      <w:r>
        <w:rPr>
          <w:spacing w:val="-4"/>
        </w:rPr>
        <w:t> </w:t>
      </w:r>
      <w:r>
        <w:rPr/>
        <w:t>Top</w:t>
      </w:r>
      <w:r>
        <w:rPr>
          <w:spacing w:val="-3"/>
        </w:rPr>
        <w:t> </w:t>
      </w:r>
      <w:r>
        <w:rPr/>
        <w:t>publisher</w:t>
      </w:r>
      <w:r>
        <w:rPr>
          <w:spacing w:val="-2"/>
        </w:rPr>
        <w:t> </w:t>
      </w:r>
      <w:r>
        <w:rPr/>
        <w:t>and</w:t>
      </w:r>
      <w:r>
        <w:rPr>
          <w:spacing w:val="-3"/>
        </w:rPr>
        <w:t> </w:t>
      </w:r>
      <w:r>
        <w:rPr/>
        <w:t>printed (via a tender process).</w:t>
      </w:r>
    </w:p>
    <w:p>
      <w:pPr>
        <w:pStyle w:val="BodyText"/>
        <w:spacing w:before="6"/>
        <w:rPr>
          <w:sz w:val="16"/>
        </w:rPr>
      </w:pPr>
    </w:p>
    <w:p>
      <w:pPr>
        <w:pStyle w:val="BodyText"/>
        <w:ind w:left="220"/>
        <w:jc w:val="both"/>
      </w:pPr>
      <w:r>
        <w:rPr/>
        <w:t>These</w:t>
      </w:r>
      <w:r>
        <w:rPr>
          <w:spacing w:val="-4"/>
        </w:rPr>
        <w:t> </w:t>
      </w:r>
      <w:r>
        <w:rPr/>
        <w:t>deliverables</w:t>
      </w:r>
      <w:r>
        <w:rPr>
          <w:spacing w:val="-5"/>
        </w:rPr>
        <w:t> </w:t>
      </w:r>
      <w:r>
        <w:rPr/>
        <w:t>were</w:t>
      </w:r>
      <w:r>
        <w:rPr>
          <w:spacing w:val="-5"/>
        </w:rPr>
        <w:t> </w:t>
      </w:r>
      <w:r>
        <w:rPr/>
        <w:t>also</w:t>
      </w:r>
      <w:r>
        <w:rPr>
          <w:spacing w:val="-3"/>
        </w:rPr>
        <w:t> </w:t>
      </w:r>
      <w:r>
        <w:rPr/>
        <w:t>completed</w:t>
      </w:r>
      <w:r>
        <w:rPr>
          <w:spacing w:val="-7"/>
        </w:rPr>
        <w:t> </w:t>
      </w:r>
      <w:r>
        <w:rPr/>
        <w:t>under</w:t>
      </w:r>
      <w:r>
        <w:rPr>
          <w:spacing w:val="-3"/>
        </w:rPr>
        <w:t> </w:t>
      </w:r>
      <w:r>
        <w:rPr/>
        <w:t>this</w:t>
      </w:r>
      <w:r>
        <w:rPr>
          <w:spacing w:val="-5"/>
        </w:rPr>
        <w:t> </w:t>
      </w:r>
      <w:r>
        <w:rPr>
          <w:spacing w:val="-2"/>
        </w:rPr>
        <w:t>contract:</w:t>
      </w:r>
    </w:p>
    <w:p>
      <w:pPr>
        <w:pStyle w:val="BodyText"/>
        <w:spacing w:before="4"/>
        <w:rPr>
          <w:sz w:val="16"/>
        </w:rPr>
      </w:pPr>
    </w:p>
    <w:p>
      <w:pPr>
        <w:pStyle w:val="ListParagraph"/>
        <w:numPr>
          <w:ilvl w:val="0"/>
          <w:numId w:val="6"/>
        </w:numPr>
        <w:tabs>
          <w:tab w:pos="940" w:val="left" w:leader="none"/>
          <w:tab w:pos="941" w:val="left" w:leader="none"/>
        </w:tabs>
        <w:spacing w:line="240" w:lineRule="auto" w:before="0" w:after="0"/>
        <w:ind w:left="940" w:right="0" w:hanging="361"/>
        <w:jc w:val="left"/>
        <w:rPr>
          <w:sz w:val="22"/>
        </w:rPr>
      </w:pPr>
      <w:r>
        <w:rPr>
          <w:sz w:val="22"/>
        </w:rPr>
        <w:t>Finalisation</w:t>
      </w:r>
      <w:r>
        <w:rPr>
          <w:spacing w:val="-8"/>
          <w:sz w:val="22"/>
        </w:rPr>
        <w:t> </w:t>
      </w:r>
      <w:r>
        <w:rPr>
          <w:sz w:val="22"/>
        </w:rPr>
        <w:t>of</w:t>
      </w:r>
      <w:r>
        <w:rPr>
          <w:spacing w:val="-2"/>
          <w:sz w:val="22"/>
        </w:rPr>
        <w:t> </w:t>
      </w:r>
      <w:r>
        <w:rPr>
          <w:sz w:val="22"/>
        </w:rPr>
        <w:t>the</w:t>
      </w:r>
      <w:r>
        <w:rPr>
          <w:spacing w:val="-4"/>
          <w:sz w:val="22"/>
        </w:rPr>
        <w:t> </w:t>
      </w:r>
      <w:r>
        <w:rPr>
          <w:sz w:val="22"/>
        </w:rPr>
        <w:t>syllabi</w:t>
      </w:r>
      <w:r>
        <w:rPr>
          <w:spacing w:val="-2"/>
          <w:sz w:val="22"/>
        </w:rPr>
        <w:t> </w:t>
      </w:r>
      <w:r>
        <w:rPr>
          <w:sz w:val="22"/>
        </w:rPr>
        <w:t>for</w:t>
      </w:r>
      <w:r>
        <w:rPr>
          <w:spacing w:val="-2"/>
          <w:sz w:val="22"/>
        </w:rPr>
        <w:t> </w:t>
      </w:r>
      <w:r>
        <w:rPr>
          <w:sz w:val="22"/>
        </w:rPr>
        <w:t>Years</w:t>
      </w:r>
      <w:r>
        <w:rPr>
          <w:spacing w:val="-5"/>
          <w:sz w:val="22"/>
        </w:rPr>
        <w:t> </w:t>
      </w:r>
      <w:r>
        <w:rPr>
          <w:sz w:val="22"/>
        </w:rPr>
        <w:t>1-6</w:t>
      </w:r>
      <w:r>
        <w:rPr>
          <w:spacing w:val="-2"/>
          <w:sz w:val="22"/>
        </w:rPr>
        <w:t> </w:t>
      </w:r>
      <w:r>
        <w:rPr>
          <w:sz w:val="22"/>
        </w:rPr>
        <w:t>Maths</w:t>
      </w:r>
      <w:r>
        <w:rPr>
          <w:spacing w:val="-2"/>
          <w:sz w:val="22"/>
        </w:rPr>
        <w:t> </w:t>
      </w:r>
      <w:r>
        <w:rPr>
          <w:sz w:val="22"/>
        </w:rPr>
        <w:t>and</w:t>
      </w:r>
      <w:r>
        <w:rPr>
          <w:spacing w:val="-3"/>
          <w:sz w:val="22"/>
        </w:rPr>
        <w:t> </w:t>
      </w:r>
      <w:r>
        <w:rPr>
          <w:sz w:val="22"/>
        </w:rPr>
        <w:t>English</w:t>
      </w:r>
      <w:r>
        <w:rPr>
          <w:spacing w:val="-2"/>
          <w:sz w:val="22"/>
        </w:rPr>
        <w:t> </w:t>
      </w:r>
      <w:r>
        <w:rPr>
          <w:sz w:val="22"/>
        </w:rPr>
        <w:t>with</w:t>
      </w:r>
      <w:r>
        <w:rPr>
          <w:spacing w:val="-3"/>
          <w:sz w:val="22"/>
        </w:rPr>
        <w:t> </w:t>
      </w:r>
      <w:r>
        <w:rPr>
          <w:sz w:val="22"/>
        </w:rPr>
        <w:t>the</w:t>
      </w:r>
      <w:r>
        <w:rPr>
          <w:spacing w:val="-1"/>
          <w:sz w:val="22"/>
        </w:rPr>
        <w:t> </w:t>
      </w:r>
      <w:r>
        <w:rPr>
          <w:sz w:val="22"/>
        </w:rPr>
        <w:t>latter</w:t>
      </w:r>
      <w:r>
        <w:rPr>
          <w:spacing w:val="-2"/>
          <w:sz w:val="22"/>
        </w:rPr>
        <w:t> </w:t>
      </w:r>
      <w:r>
        <w:rPr>
          <w:sz w:val="22"/>
        </w:rPr>
        <w:t>now</w:t>
      </w:r>
      <w:r>
        <w:rPr>
          <w:spacing w:val="-1"/>
          <w:sz w:val="22"/>
        </w:rPr>
        <w:t> </w:t>
      </w:r>
      <w:r>
        <w:rPr>
          <w:sz w:val="22"/>
        </w:rPr>
        <w:t>in</w:t>
      </w:r>
      <w:r>
        <w:rPr>
          <w:spacing w:val="-6"/>
          <w:sz w:val="22"/>
        </w:rPr>
        <w:t> </w:t>
      </w:r>
      <w:r>
        <w:rPr>
          <w:spacing w:val="-2"/>
          <w:sz w:val="22"/>
        </w:rPr>
        <w:t>schools.</w:t>
      </w:r>
    </w:p>
    <w:p>
      <w:pPr>
        <w:pStyle w:val="ListParagraph"/>
        <w:numPr>
          <w:ilvl w:val="0"/>
          <w:numId w:val="6"/>
        </w:numPr>
        <w:tabs>
          <w:tab w:pos="941" w:val="left" w:leader="none"/>
        </w:tabs>
        <w:spacing w:line="240" w:lineRule="auto" w:before="200" w:after="0"/>
        <w:ind w:left="940" w:right="1255" w:hanging="360"/>
        <w:jc w:val="both"/>
        <w:rPr>
          <w:sz w:val="22"/>
        </w:rPr>
      </w:pPr>
      <w:r>
        <w:rPr>
          <w:sz w:val="22"/>
        </w:rPr>
        <w:t>A review of Learner Books and Teachers’ Guides for core subjects in Years 1–8 to inform future approaches to both curriculum and professional development.</w:t>
      </w:r>
    </w:p>
    <w:p>
      <w:pPr>
        <w:pStyle w:val="BodyText"/>
        <w:spacing w:before="4"/>
        <w:rPr>
          <w:sz w:val="16"/>
        </w:rPr>
      </w:pPr>
    </w:p>
    <w:p>
      <w:pPr>
        <w:pStyle w:val="ListParagraph"/>
        <w:numPr>
          <w:ilvl w:val="0"/>
          <w:numId w:val="6"/>
        </w:numPr>
        <w:tabs>
          <w:tab w:pos="941" w:val="left" w:leader="none"/>
        </w:tabs>
        <w:spacing w:line="240" w:lineRule="auto" w:before="1" w:after="0"/>
        <w:ind w:left="940" w:right="1253" w:hanging="360"/>
        <w:jc w:val="both"/>
        <w:rPr>
          <w:sz w:val="22"/>
        </w:rPr>
      </w:pPr>
      <w:r>
        <w:rPr>
          <w:sz w:val="22"/>
        </w:rPr>
        <w:t>The development of a </w:t>
      </w:r>
      <w:r>
        <w:rPr>
          <w:i/>
          <w:sz w:val="22"/>
        </w:rPr>
        <w:t>Senior Secondary Curriculum Framework, </w:t>
      </w:r>
      <w:r>
        <w:rPr>
          <w:sz w:val="22"/>
        </w:rPr>
        <w:t>which lays the foundation for the re-development of the senior secondary curriculum over the next few years. Most significantly, this includes a focus on the cross-curricular Capabilities, which are designed to inform </w:t>
      </w:r>
      <w:r>
        <w:rPr>
          <w:i/>
          <w:sz w:val="22"/>
        </w:rPr>
        <w:t>all </w:t>
      </w:r>
      <w:r>
        <w:rPr>
          <w:sz w:val="22"/>
        </w:rPr>
        <w:t>new curriculum development work, as appropriate in different subjects at different levels of schooling.</w:t>
      </w:r>
    </w:p>
    <w:p>
      <w:pPr>
        <w:pStyle w:val="BodyText"/>
        <w:spacing w:before="3"/>
        <w:rPr>
          <w:sz w:val="16"/>
        </w:rPr>
      </w:pPr>
    </w:p>
    <w:p>
      <w:pPr>
        <w:pStyle w:val="ListParagraph"/>
        <w:numPr>
          <w:ilvl w:val="0"/>
          <w:numId w:val="6"/>
        </w:numPr>
        <w:tabs>
          <w:tab w:pos="941" w:val="left" w:leader="none"/>
        </w:tabs>
        <w:spacing w:line="240" w:lineRule="auto" w:before="0" w:after="0"/>
        <w:ind w:left="940" w:right="1251" w:hanging="360"/>
        <w:jc w:val="both"/>
        <w:rPr>
          <w:sz w:val="22"/>
        </w:rPr>
      </w:pPr>
      <w:r>
        <w:rPr>
          <w:sz w:val="22"/>
        </w:rPr>
        <w:t>Development of a </w:t>
      </w:r>
      <w:r>
        <w:rPr>
          <w:i/>
          <w:sz w:val="22"/>
        </w:rPr>
        <w:t>Five-Year Curriculum and Professional Development Plan, </w:t>
      </w:r>
      <w:r>
        <w:rPr>
          <w:sz w:val="22"/>
        </w:rPr>
        <w:t>which provides</w:t>
      </w:r>
      <w:r>
        <w:rPr>
          <w:spacing w:val="80"/>
          <w:sz w:val="22"/>
        </w:rPr>
        <w:t> </w:t>
      </w:r>
      <w:r>
        <w:rPr>
          <w:sz w:val="22"/>
        </w:rPr>
        <w:t>a coherent framework and plan for development of remaining curricula up to 2024. It also outlines the associated professional development required to ensure that innovative, outcomes based and student-centered approaches to learning and teaching become an increasing feature of all Solomon Islands classrooms.</w:t>
      </w:r>
    </w:p>
    <w:p>
      <w:pPr>
        <w:pStyle w:val="BodyText"/>
        <w:spacing w:before="5"/>
        <w:rPr>
          <w:sz w:val="16"/>
        </w:rPr>
      </w:pPr>
    </w:p>
    <w:p>
      <w:pPr>
        <w:pStyle w:val="ListParagraph"/>
        <w:numPr>
          <w:ilvl w:val="0"/>
          <w:numId w:val="6"/>
        </w:numPr>
        <w:tabs>
          <w:tab w:pos="941" w:val="left" w:leader="none"/>
        </w:tabs>
        <w:spacing w:line="240" w:lineRule="auto" w:before="1" w:after="0"/>
        <w:ind w:left="940" w:right="1253" w:hanging="360"/>
        <w:jc w:val="both"/>
        <w:rPr>
          <w:sz w:val="22"/>
        </w:rPr>
      </w:pPr>
      <w:r>
        <w:rPr>
          <w:sz w:val="22"/>
        </w:rPr>
        <w:t>Development of requirements needed to prepare for implementation of the </w:t>
      </w:r>
      <w:r>
        <w:rPr>
          <w:i/>
          <w:sz w:val="22"/>
        </w:rPr>
        <w:t>Five-Year</w:t>
      </w:r>
      <w:r>
        <w:rPr>
          <w:i/>
          <w:sz w:val="22"/>
        </w:rPr>
        <w:t> Curriculum and Professional Development Plan </w:t>
      </w:r>
      <w:r>
        <w:rPr>
          <w:sz w:val="22"/>
        </w:rPr>
        <w:t>including:</w:t>
      </w:r>
    </w:p>
    <w:p>
      <w:pPr>
        <w:pStyle w:val="BodyText"/>
        <w:spacing w:before="4"/>
        <w:rPr>
          <w:sz w:val="16"/>
        </w:rPr>
      </w:pPr>
    </w:p>
    <w:p>
      <w:pPr>
        <w:pStyle w:val="ListParagraph"/>
        <w:numPr>
          <w:ilvl w:val="1"/>
          <w:numId w:val="6"/>
        </w:numPr>
        <w:tabs>
          <w:tab w:pos="1661" w:val="left" w:leader="none"/>
        </w:tabs>
        <w:spacing w:line="240" w:lineRule="auto" w:before="0" w:after="0"/>
        <w:ind w:left="1660" w:right="0" w:hanging="361"/>
        <w:jc w:val="left"/>
        <w:rPr>
          <w:sz w:val="22"/>
        </w:rPr>
      </w:pPr>
      <w:r>
        <w:rPr>
          <w:sz w:val="22"/>
        </w:rPr>
        <w:t>Alignment</w:t>
      </w:r>
      <w:r>
        <w:rPr>
          <w:spacing w:val="-8"/>
          <w:sz w:val="22"/>
        </w:rPr>
        <w:t> </w:t>
      </w:r>
      <w:r>
        <w:rPr>
          <w:sz w:val="22"/>
        </w:rPr>
        <w:t>of</w:t>
      </w:r>
      <w:r>
        <w:rPr>
          <w:spacing w:val="-5"/>
          <w:sz w:val="22"/>
        </w:rPr>
        <w:t> </w:t>
      </w:r>
      <w:r>
        <w:rPr>
          <w:sz w:val="22"/>
        </w:rPr>
        <w:t>the</w:t>
      </w:r>
      <w:r>
        <w:rPr>
          <w:spacing w:val="-3"/>
          <w:sz w:val="22"/>
        </w:rPr>
        <w:t> </w:t>
      </w:r>
      <w:r>
        <w:rPr>
          <w:sz w:val="22"/>
        </w:rPr>
        <w:t>competencies/capabilities</w:t>
      </w:r>
      <w:r>
        <w:rPr>
          <w:spacing w:val="-3"/>
          <w:sz w:val="22"/>
        </w:rPr>
        <w:t> </w:t>
      </w:r>
      <w:r>
        <w:rPr>
          <w:sz w:val="22"/>
        </w:rPr>
        <w:t>from</w:t>
      </w:r>
      <w:r>
        <w:rPr>
          <w:spacing w:val="-4"/>
          <w:sz w:val="22"/>
        </w:rPr>
        <w:t> </w:t>
      </w:r>
      <w:r>
        <w:rPr>
          <w:sz w:val="22"/>
        </w:rPr>
        <w:t>Pre-primary</w:t>
      </w:r>
      <w:r>
        <w:rPr>
          <w:spacing w:val="-6"/>
          <w:sz w:val="22"/>
        </w:rPr>
        <w:t> </w:t>
      </w:r>
      <w:r>
        <w:rPr>
          <w:sz w:val="22"/>
        </w:rPr>
        <w:t>to</w:t>
      </w:r>
      <w:r>
        <w:rPr>
          <w:spacing w:val="-6"/>
          <w:sz w:val="22"/>
        </w:rPr>
        <w:t> </w:t>
      </w:r>
      <w:r>
        <w:rPr>
          <w:sz w:val="22"/>
        </w:rPr>
        <w:t>Year</w:t>
      </w:r>
      <w:r>
        <w:rPr>
          <w:spacing w:val="-4"/>
          <w:sz w:val="22"/>
        </w:rPr>
        <w:t> </w:t>
      </w:r>
      <w:r>
        <w:rPr>
          <w:spacing w:val="-5"/>
          <w:sz w:val="22"/>
        </w:rPr>
        <w:t>12.</w:t>
      </w:r>
    </w:p>
    <w:p>
      <w:pPr>
        <w:pStyle w:val="ListParagraph"/>
        <w:numPr>
          <w:ilvl w:val="1"/>
          <w:numId w:val="6"/>
        </w:numPr>
        <w:tabs>
          <w:tab w:pos="1661" w:val="left" w:leader="none"/>
        </w:tabs>
        <w:spacing w:line="235" w:lineRule="auto" w:before="196" w:after="0"/>
        <w:ind w:left="1660" w:right="1257" w:hanging="360"/>
        <w:jc w:val="left"/>
        <w:rPr>
          <w:sz w:val="22"/>
        </w:rPr>
      </w:pPr>
      <w:r>
        <w:rPr>
          <w:sz w:val="22"/>
        </w:rPr>
        <w:t>A</w:t>
      </w:r>
      <w:r>
        <w:rPr>
          <w:spacing w:val="40"/>
          <w:sz w:val="22"/>
        </w:rPr>
        <w:t> </w:t>
      </w:r>
      <w:r>
        <w:rPr>
          <w:sz w:val="22"/>
        </w:rPr>
        <w:t>workshop</w:t>
      </w:r>
      <w:r>
        <w:rPr>
          <w:spacing w:val="40"/>
          <w:sz w:val="22"/>
        </w:rPr>
        <w:t> </w:t>
      </w:r>
      <w:r>
        <w:rPr>
          <w:sz w:val="22"/>
        </w:rPr>
        <w:t>outline,</w:t>
      </w:r>
      <w:r>
        <w:rPr>
          <w:spacing w:val="40"/>
          <w:sz w:val="22"/>
        </w:rPr>
        <w:t> </w:t>
      </w:r>
      <w:r>
        <w:rPr>
          <w:sz w:val="22"/>
        </w:rPr>
        <w:t>which</w:t>
      </w:r>
      <w:r>
        <w:rPr>
          <w:spacing w:val="40"/>
          <w:sz w:val="22"/>
        </w:rPr>
        <w:t> </w:t>
      </w:r>
      <w:r>
        <w:rPr>
          <w:sz w:val="22"/>
        </w:rPr>
        <w:t>will</w:t>
      </w:r>
      <w:r>
        <w:rPr>
          <w:spacing w:val="40"/>
          <w:sz w:val="22"/>
        </w:rPr>
        <w:t> </w:t>
      </w:r>
      <w:r>
        <w:rPr>
          <w:sz w:val="22"/>
        </w:rPr>
        <w:t>guide</w:t>
      </w:r>
      <w:r>
        <w:rPr>
          <w:spacing w:val="40"/>
          <w:sz w:val="22"/>
        </w:rPr>
        <w:t> </w:t>
      </w:r>
      <w:r>
        <w:rPr>
          <w:sz w:val="22"/>
        </w:rPr>
        <w:t>writers</w:t>
      </w:r>
      <w:r>
        <w:rPr>
          <w:spacing w:val="40"/>
          <w:sz w:val="22"/>
        </w:rPr>
        <w:t> </w:t>
      </w:r>
      <w:r>
        <w:rPr>
          <w:sz w:val="22"/>
        </w:rPr>
        <w:t>in</w:t>
      </w:r>
      <w:r>
        <w:rPr>
          <w:spacing w:val="40"/>
          <w:sz w:val="22"/>
        </w:rPr>
        <w:t> </w:t>
      </w:r>
      <w:r>
        <w:rPr>
          <w:sz w:val="22"/>
        </w:rPr>
        <w:t>the</w:t>
      </w:r>
      <w:r>
        <w:rPr>
          <w:spacing w:val="40"/>
          <w:sz w:val="22"/>
        </w:rPr>
        <w:t> </w:t>
      </w:r>
      <w:r>
        <w:rPr>
          <w:sz w:val="22"/>
        </w:rPr>
        <w:t>development</w:t>
      </w:r>
      <w:r>
        <w:rPr>
          <w:spacing w:val="40"/>
          <w:sz w:val="22"/>
        </w:rPr>
        <w:t> </w:t>
      </w:r>
      <w:r>
        <w:rPr>
          <w:sz w:val="22"/>
        </w:rPr>
        <w:t>of</w:t>
      </w:r>
      <w:r>
        <w:rPr>
          <w:spacing w:val="40"/>
          <w:sz w:val="22"/>
        </w:rPr>
        <w:t> </w:t>
      </w:r>
      <w:r>
        <w:rPr>
          <w:sz w:val="22"/>
        </w:rPr>
        <w:t>curriculum resources which integrate the Capabilities.</w:t>
      </w:r>
    </w:p>
    <w:p>
      <w:pPr>
        <w:spacing w:after="0" w:line="235" w:lineRule="auto"/>
        <w:jc w:val="left"/>
        <w:rPr>
          <w:sz w:val="22"/>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2"/>
        <w:jc w:val="both"/>
      </w:pPr>
      <w:r>
        <w:rPr/>
        <w:t>The Senior Secondary curriculum could not be developed, as there was no existing framework in place. Therefore, Cognition developed</w:t>
      </w:r>
      <w:r>
        <w:rPr>
          <w:spacing w:val="-1"/>
        </w:rPr>
        <w:t> </w:t>
      </w:r>
      <w:r>
        <w:rPr/>
        <w:t>the Senior</w:t>
      </w:r>
      <w:r>
        <w:rPr>
          <w:spacing w:val="-1"/>
        </w:rPr>
        <w:t> </w:t>
      </w:r>
      <w:r>
        <w:rPr/>
        <w:t>Secondary Curriculum Framework, which</w:t>
      </w:r>
      <w:r>
        <w:rPr>
          <w:spacing w:val="-2"/>
        </w:rPr>
        <w:t> </w:t>
      </w:r>
      <w:r>
        <w:rPr/>
        <w:t>has been approved by SMT. At the time of writing this assessment, MEHRD had received a bid waiver for Cognition to write the curriculum teacher and learner guides for Math Year 3, Math Year 4, Nguzu Nguzu English Year 5, Nguzu Nguzu English Year 6.</w:t>
      </w:r>
    </w:p>
    <w:p>
      <w:pPr>
        <w:pStyle w:val="BodyText"/>
        <w:spacing w:before="4"/>
        <w:rPr>
          <w:sz w:val="16"/>
        </w:rPr>
      </w:pPr>
    </w:p>
    <w:p>
      <w:pPr>
        <w:pStyle w:val="BodyText"/>
        <w:spacing w:before="1"/>
        <w:ind w:left="220" w:right="1253"/>
        <w:jc w:val="both"/>
        <w:rPr>
          <w:b/>
        </w:rPr>
      </w:pPr>
      <w:r>
        <w:rPr/>
        <w:t>The original contract deliverables have gone through several iterations, as deliverables were based on certain items of original curriculum that had never been finalised, approved or completed to standard.</w:t>
      </w:r>
      <w:r>
        <w:rPr>
          <w:spacing w:val="40"/>
        </w:rPr>
        <w:t> </w:t>
      </w:r>
      <w:r>
        <w:rPr/>
        <w:t>Cognition led the process of writing textbooks with local input. There were significant delays due largely to the inexperience of local experts in this area or their lack of time to commit to the tasks. </w:t>
      </w:r>
      <w:r>
        <w:rPr>
          <w:b/>
        </w:rPr>
        <w:t>Indicator 2.1.2 is assessed as achieved 100 per cent (of a possible 65 per cent).</w:t>
      </w:r>
    </w:p>
    <w:p>
      <w:pPr>
        <w:pStyle w:val="BodyText"/>
        <w:rPr>
          <w:b/>
        </w:rPr>
      </w:pPr>
    </w:p>
    <w:p>
      <w:pPr>
        <w:pStyle w:val="BodyText"/>
        <w:rPr>
          <w:b/>
        </w:rPr>
      </w:pPr>
    </w:p>
    <w:p>
      <w:pPr>
        <w:pStyle w:val="Heading4"/>
        <w:numPr>
          <w:ilvl w:val="2"/>
          <w:numId w:val="4"/>
        </w:numPr>
        <w:tabs>
          <w:tab w:pos="940" w:val="left" w:leader="none"/>
          <w:tab w:pos="941" w:val="left" w:leader="none"/>
        </w:tabs>
        <w:spacing w:line="240" w:lineRule="auto" w:before="172" w:after="0"/>
        <w:ind w:left="940" w:right="0" w:hanging="721"/>
        <w:jc w:val="left"/>
        <w:rPr>
          <w:b w:val="0"/>
        </w:rPr>
      </w:pPr>
      <w:bookmarkStart w:name="_bookmark14" w:id="15"/>
      <w:bookmarkEnd w:id="15"/>
      <w:r>
        <w:rPr>
          <w:b w:val="0"/>
          <w:color w:val="4471C4"/>
        </w:rPr>
        <w:t>T</w:t>
      </w:r>
      <w:r>
        <w:rPr>
          <w:b w:val="0"/>
          <w:color w:val="4471C4"/>
        </w:rPr>
        <w:t>arget</w:t>
      </w:r>
      <w:r>
        <w:rPr>
          <w:b w:val="0"/>
          <w:color w:val="4471C4"/>
          <w:spacing w:val="21"/>
        </w:rPr>
        <w:t> </w:t>
      </w:r>
      <w:r>
        <w:rPr>
          <w:b w:val="0"/>
          <w:color w:val="4471C4"/>
        </w:rPr>
        <w:t>2.2:</w:t>
      </w:r>
      <w:r>
        <w:rPr>
          <w:b w:val="0"/>
          <w:color w:val="4471C4"/>
          <w:spacing w:val="21"/>
        </w:rPr>
        <w:t> </w:t>
      </w:r>
      <w:r>
        <w:rPr>
          <w:b w:val="0"/>
          <w:color w:val="4471C4"/>
        </w:rPr>
        <w:t>Teachers</w:t>
      </w:r>
      <w:r>
        <w:rPr>
          <w:b w:val="0"/>
          <w:color w:val="4471C4"/>
          <w:spacing w:val="20"/>
        </w:rPr>
        <w:t> </w:t>
      </w:r>
      <w:r>
        <w:rPr>
          <w:b w:val="0"/>
          <w:color w:val="4471C4"/>
        </w:rPr>
        <w:t>meeting</w:t>
      </w:r>
      <w:r>
        <w:rPr>
          <w:b w:val="0"/>
          <w:color w:val="4471C4"/>
          <w:spacing w:val="15"/>
        </w:rPr>
        <w:t> </w:t>
      </w:r>
      <w:r>
        <w:rPr>
          <w:b w:val="0"/>
          <w:color w:val="4471C4"/>
        </w:rPr>
        <w:t>agreed</w:t>
      </w:r>
      <w:r>
        <w:rPr>
          <w:b w:val="0"/>
          <w:color w:val="4471C4"/>
          <w:spacing w:val="19"/>
        </w:rPr>
        <w:t> </w:t>
      </w:r>
      <w:r>
        <w:rPr>
          <w:b w:val="0"/>
          <w:color w:val="4471C4"/>
          <w:spacing w:val="-2"/>
        </w:rPr>
        <w:t>standards.</w:t>
      </w:r>
    </w:p>
    <w:p>
      <w:pPr>
        <w:pStyle w:val="BodyText"/>
        <w:spacing w:before="10" w:after="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345"/>
        <w:gridCol w:w="2414"/>
        <w:gridCol w:w="1651"/>
      </w:tblGrid>
      <w:tr>
        <w:trPr>
          <w:trHeight w:val="689" w:hRule="atLeast"/>
        </w:trPr>
        <w:tc>
          <w:tcPr>
            <w:tcW w:w="2345"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40"/>
              <w:rPr>
                <w:b/>
                <w:sz w:val="19"/>
              </w:rPr>
            </w:pPr>
            <w:r>
              <w:rPr>
                <w:b/>
                <w:spacing w:val="-2"/>
                <w:w w:val="115"/>
                <w:sz w:val="19"/>
              </w:rPr>
              <w:t>Performance</w:t>
            </w:r>
            <w:r>
              <w:rPr>
                <w:b/>
                <w:spacing w:val="-3"/>
                <w:w w:val="115"/>
                <w:sz w:val="19"/>
              </w:rPr>
              <w:t> </w:t>
            </w:r>
            <w:r>
              <w:rPr>
                <w:b/>
                <w:spacing w:val="-2"/>
                <w:w w:val="115"/>
                <w:sz w:val="19"/>
              </w:rPr>
              <w:t>Indicators</w:t>
            </w:r>
          </w:p>
        </w:tc>
        <w:tc>
          <w:tcPr>
            <w:tcW w:w="2414" w:type="dxa"/>
            <w:tcBorders>
              <w:left w:val="single" w:sz="6" w:space="0" w:color="4471C4"/>
              <w:right w:val="single" w:sz="6" w:space="0" w:color="4471C4"/>
            </w:tcBorders>
            <w:shd w:val="clear" w:color="auto" w:fill="B4C5E7"/>
          </w:tcPr>
          <w:p>
            <w:pPr>
              <w:pStyle w:val="TableParagraph"/>
              <w:spacing w:line="259" w:lineRule="auto" w:before="109"/>
              <w:ind w:left="675" w:hanging="251"/>
              <w:rPr>
                <w:b/>
                <w:sz w:val="19"/>
              </w:rPr>
            </w:pPr>
            <w:r>
              <w:rPr>
                <w:b/>
                <w:w w:val="115"/>
                <w:sz w:val="19"/>
              </w:rPr>
              <w:t>Expected</w:t>
            </w:r>
            <w:r>
              <w:rPr>
                <w:b/>
                <w:spacing w:val="-13"/>
                <w:w w:val="115"/>
                <w:sz w:val="19"/>
              </w:rPr>
              <w:t> </w:t>
            </w:r>
            <w:r>
              <w:rPr>
                <w:b/>
                <w:w w:val="115"/>
                <w:sz w:val="19"/>
              </w:rPr>
              <w:t>Results </w:t>
            </w:r>
            <w:r>
              <w:rPr>
                <w:b/>
                <w:spacing w:val="-2"/>
                <w:w w:val="115"/>
                <w:sz w:val="19"/>
              </w:rPr>
              <w:t>Statements</w:t>
            </w:r>
          </w:p>
        </w:tc>
        <w:tc>
          <w:tcPr>
            <w:tcW w:w="1651"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59" w:right="145"/>
              <w:jc w:val="center"/>
              <w:rPr>
                <w:b/>
                <w:sz w:val="19"/>
              </w:rPr>
            </w:pPr>
            <w:r>
              <w:rPr>
                <w:b/>
                <w:spacing w:val="-5"/>
                <w:w w:val="115"/>
                <w:sz w:val="19"/>
              </w:rPr>
              <w:t>IA</w:t>
            </w:r>
          </w:p>
        </w:tc>
      </w:tr>
      <w:tr>
        <w:trPr>
          <w:trHeight w:val="1470" w:hRule="atLeast"/>
        </w:trPr>
        <w:tc>
          <w:tcPr>
            <w:tcW w:w="2345" w:type="dxa"/>
            <w:tcBorders>
              <w:left w:val="single" w:sz="6" w:space="0" w:color="4471C4"/>
              <w:right w:val="single" w:sz="6" w:space="0" w:color="4471C4"/>
            </w:tcBorders>
          </w:tcPr>
          <w:p>
            <w:pPr>
              <w:pStyle w:val="TableParagraph"/>
              <w:spacing w:line="261" w:lineRule="auto" w:before="8"/>
              <w:ind w:left="37"/>
              <w:rPr>
                <w:sz w:val="18"/>
              </w:rPr>
            </w:pPr>
            <w:r>
              <w:rPr>
                <w:w w:val="115"/>
                <w:sz w:val="18"/>
              </w:rPr>
              <w:t>2.2.1</w:t>
            </w:r>
            <w:r>
              <w:rPr>
                <w:spacing w:val="65"/>
                <w:w w:val="115"/>
                <w:sz w:val="18"/>
              </w:rPr>
              <w:t> </w:t>
            </w:r>
            <w:r>
              <w:rPr>
                <w:w w:val="115"/>
                <w:sz w:val="18"/>
              </w:rPr>
              <w:t>By</w:t>
            </w:r>
            <w:r>
              <w:rPr>
                <w:spacing w:val="-11"/>
                <w:w w:val="115"/>
                <w:sz w:val="18"/>
              </w:rPr>
              <w:t> </w:t>
            </w:r>
            <w:r>
              <w:rPr>
                <w:w w:val="115"/>
                <w:sz w:val="18"/>
              </w:rPr>
              <w:t>the</w:t>
            </w:r>
            <w:r>
              <w:rPr>
                <w:spacing w:val="-9"/>
                <w:w w:val="115"/>
                <w:sz w:val="18"/>
              </w:rPr>
              <w:t> </w:t>
            </w:r>
            <w:r>
              <w:rPr>
                <w:w w:val="115"/>
                <w:sz w:val="18"/>
              </w:rPr>
              <w:t>end</w:t>
            </w:r>
            <w:r>
              <w:rPr>
                <w:spacing w:val="-12"/>
                <w:w w:val="115"/>
                <w:sz w:val="18"/>
              </w:rPr>
              <w:t> </w:t>
            </w:r>
            <w:r>
              <w:rPr>
                <w:w w:val="115"/>
                <w:sz w:val="18"/>
              </w:rPr>
              <w:t>of</w:t>
            </w:r>
            <w:r>
              <w:rPr>
                <w:spacing w:val="-5"/>
                <w:w w:val="115"/>
                <w:sz w:val="18"/>
              </w:rPr>
              <w:t> </w:t>
            </w:r>
            <w:r>
              <w:rPr>
                <w:w w:val="115"/>
                <w:sz w:val="18"/>
              </w:rPr>
              <w:t>2018, revised</w:t>
            </w:r>
            <w:r>
              <w:rPr>
                <w:spacing w:val="-10"/>
                <w:w w:val="115"/>
                <w:sz w:val="18"/>
              </w:rPr>
              <w:t> </w:t>
            </w:r>
            <w:r>
              <w:rPr>
                <w:w w:val="115"/>
                <w:sz w:val="18"/>
              </w:rPr>
              <w:t>National </w:t>
            </w:r>
            <w:r>
              <w:rPr>
                <w:spacing w:val="-2"/>
                <w:w w:val="115"/>
                <w:sz w:val="18"/>
              </w:rPr>
              <w:t>professional</w:t>
            </w:r>
            <w:r>
              <w:rPr>
                <w:spacing w:val="-7"/>
                <w:w w:val="115"/>
                <w:sz w:val="18"/>
              </w:rPr>
              <w:t> </w:t>
            </w:r>
            <w:r>
              <w:rPr>
                <w:spacing w:val="-2"/>
                <w:w w:val="115"/>
                <w:sz w:val="18"/>
              </w:rPr>
              <w:t>standards</w:t>
            </w:r>
            <w:r>
              <w:rPr>
                <w:spacing w:val="-7"/>
                <w:w w:val="115"/>
                <w:sz w:val="18"/>
              </w:rPr>
              <w:t> </w:t>
            </w:r>
            <w:r>
              <w:rPr>
                <w:spacing w:val="-2"/>
                <w:w w:val="115"/>
                <w:sz w:val="18"/>
              </w:rPr>
              <w:t>for </w:t>
            </w:r>
            <w:r>
              <w:rPr>
                <w:w w:val="115"/>
                <w:sz w:val="18"/>
              </w:rPr>
              <w:t>teachers (within Teacher Service Handbook)</w:t>
            </w:r>
          </w:p>
        </w:tc>
        <w:tc>
          <w:tcPr>
            <w:tcW w:w="2414" w:type="dxa"/>
            <w:tcBorders>
              <w:left w:val="single" w:sz="6" w:space="0" w:color="4471C4"/>
              <w:right w:val="single" w:sz="6" w:space="0" w:color="4471C4"/>
            </w:tcBorders>
          </w:tcPr>
          <w:p>
            <w:pPr>
              <w:pStyle w:val="TableParagraph"/>
              <w:spacing w:line="261" w:lineRule="auto" w:before="8"/>
              <w:ind w:left="38"/>
              <w:rPr>
                <w:sz w:val="18"/>
              </w:rPr>
            </w:pPr>
            <w:r>
              <w:rPr>
                <w:w w:val="115"/>
                <w:sz w:val="18"/>
              </w:rPr>
              <w:t>Revised quality National </w:t>
            </w:r>
            <w:r>
              <w:rPr>
                <w:spacing w:val="-2"/>
                <w:w w:val="115"/>
                <w:sz w:val="18"/>
              </w:rPr>
              <w:t>professional</w:t>
            </w:r>
            <w:r>
              <w:rPr>
                <w:spacing w:val="-10"/>
                <w:w w:val="115"/>
                <w:sz w:val="18"/>
              </w:rPr>
              <w:t> </w:t>
            </w:r>
            <w:r>
              <w:rPr>
                <w:spacing w:val="-2"/>
                <w:w w:val="115"/>
                <w:sz w:val="18"/>
              </w:rPr>
              <w:t>standards</w:t>
            </w:r>
            <w:r>
              <w:rPr>
                <w:spacing w:val="-10"/>
                <w:w w:val="115"/>
                <w:sz w:val="18"/>
              </w:rPr>
              <w:t> </w:t>
            </w:r>
            <w:r>
              <w:rPr>
                <w:spacing w:val="-2"/>
                <w:w w:val="115"/>
                <w:sz w:val="18"/>
              </w:rPr>
              <w:t>draft </w:t>
            </w:r>
            <w:r>
              <w:rPr>
                <w:w w:val="115"/>
                <w:sz w:val="18"/>
              </w:rPr>
              <w:t>consulted with selected provinces (50%) Approval minute from SMT (50%)</w:t>
            </w:r>
          </w:p>
        </w:tc>
        <w:tc>
          <w:tcPr>
            <w:tcW w:w="1651" w:type="dxa"/>
            <w:tcBorders>
              <w:left w:val="single" w:sz="6" w:space="0" w:color="4471C4"/>
              <w:right w:val="single" w:sz="6" w:space="0" w:color="4471C4"/>
            </w:tcBorders>
            <w:shd w:val="clear" w:color="auto" w:fill="FFC000"/>
          </w:tcPr>
          <w:p>
            <w:pPr>
              <w:pStyle w:val="TableParagraph"/>
              <w:spacing w:before="10"/>
              <w:ind w:left="159" w:right="156"/>
              <w:jc w:val="center"/>
              <w:rPr>
                <w:sz w:val="22"/>
              </w:rPr>
            </w:pPr>
            <w:r>
              <w:rPr>
                <w:w w:val="115"/>
                <w:sz w:val="22"/>
              </w:rPr>
              <w:t>20%</w:t>
            </w:r>
            <w:r>
              <w:rPr>
                <w:spacing w:val="-2"/>
                <w:w w:val="115"/>
                <w:sz w:val="22"/>
              </w:rPr>
              <w:t> </w:t>
            </w:r>
            <w:r>
              <w:rPr>
                <w:w w:val="115"/>
                <w:sz w:val="22"/>
              </w:rPr>
              <w:t>(of</w:t>
            </w:r>
            <w:r>
              <w:rPr>
                <w:spacing w:val="-2"/>
                <w:w w:val="115"/>
                <w:sz w:val="22"/>
              </w:rPr>
              <w:t> </w:t>
            </w:r>
            <w:r>
              <w:rPr>
                <w:spacing w:val="-4"/>
                <w:w w:val="115"/>
                <w:sz w:val="22"/>
              </w:rPr>
              <w:t>100)</w:t>
            </w:r>
          </w:p>
        </w:tc>
      </w:tr>
    </w:tbl>
    <w:p>
      <w:pPr>
        <w:pStyle w:val="BodyText"/>
        <w:spacing w:before="9"/>
        <w:rPr>
          <w:rFonts w:ascii="Calibri Light"/>
          <w:b w:val="0"/>
          <w:sz w:val="19"/>
        </w:rPr>
      </w:pPr>
    </w:p>
    <w:p>
      <w:pPr>
        <w:pStyle w:val="BodyText"/>
        <w:ind w:left="220" w:right="1253"/>
        <w:jc w:val="both"/>
      </w:pPr>
      <w:r>
        <w:rPr>
          <w:b/>
        </w:rPr>
        <w:t>Source: </w:t>
      </w:r>
      <w:r>
        <w:rPr/>
        <w:t>Output indicator tracker, Key Output Reports – Professional Development; and Teacher Management, Mid NEAP Review Findings.</w:t>
      </w:r>
    </w:p>
    <w:p>
      <w:pPr>
        <w:pStyle w:val="BodyText"/>
        <w:spacing w:before="5"/>
        <w:rPr>
          <w:sz w:val="16"/>
        </w:rPr>
      </w:pPr>
    </w:p>
    <w:p>
      <w:pPr>
        <w:pStyle w:val="BodyText"/>
        <w:ind w:left="220" w:right="1252"/>
        <w:jc w:val="both"/>
      </w:pPr>
      <w:r>
        <w:rPr>
          <w:b/>
        </w:rPr>
        <w:t>Performance Indicator 2.2.1 </w:t>
      </w:r>
      <w:r>
        <w:rPr/>
        <w:t>The Teacher Service Handbook is being reviewed and updated but requires school (teacher) standards to be endorsed prior to completion. The performance standards are the centrepiece for teacher, school leader and school performance, accountability and improvement.</w:t>
      </w:r>
      <w:r>
        <w:rPr>
          <w:spacing w:val="40"/>
        </w:rPr>
        <w:t> </w:t>
      </w:r>
      <w:r>
        <w:rPr/>
        <w:t>Lack of agreed and utilised standards is inhibiting education reform and improvement. (Note: The Draft National Education Bill has linked aspects including the Teachers Service Handbook and the Scheme of Service for teachers, which will be explored further in Performance Indicator 3.2.)</w:t>
      </w:r>
    </w:p>
    <w:p>
      <w:pPr>
        <w:pStyle w:val="BodyText"/>
        <w:spacing w:before="5"/>
        <w:rPr>
          <w:sz w:val="16"/>
        </w:rPr>
      </w:pPr>
    </w:p>
    <w:p>
      <w:pPr>
        <w:pStyle w:val="BodyText"/>
        <w:spacing w:before="1"/>
        <w:ind w:left="220" w:right="1250"/>
        <w:jc w:val="both"/>
      </w:pPr>
      <w:r>
        <w:rPr/>
        <w:t>Revised National Professional Standards for teachers have not been completed in 2018. However, this is progressing well in 2019. MFAT has funded a technical adviser who is assisting with laying the groundwork for the revised standards. The new approach is a teacher self-assessment model with a reduced number of indicators and a simplified approach. Draft standards for School Leaders include: strategic leadership, leading teaching and learning, relationships and community, systems and accountability, student achievement and</w:t>
      </w:r>
      <w:r>
        <w:rPr>
          <w:spacing w:val="-1"/>
        </w:rPr>
        <w:t> </w:t>
      </w:r>
      <w:r>
        <w:rPr/>
        <w:t>progress.</w:t>
      </w:r>
      <w:r>
        <w:rPr>
          <w:spacing w:val="-1"/>
        </w:rPr>
        <w:t> </w:t>
      </w:r>
      <w:r>
        <w:rPr/>
        <w:t>Draft standards</w:t>
      </w:r>
      <w:r>
        <w:rPr>
          <w:spacing w:val="-1"/>
        </w:rPr>
        <w:t> </w:t>
      </w:r>
      <w:r>
        <w:rPr/>
        <w:t>for</w:t>
      </w:r>
      <w:r>
        <w:rPr>
          <w:spacing w:val="-1"/>
        </w:rPr>
        <w:t> </w:t>
      </w:r>
      <w:r>
        <w:rPr/>
        <w:t>teachers include: professional learning, professional practice, supportive learning environment, accountability and commitment, student achievement and progress.</w:t>
      </w:r>
    </w:p>
    <w:p>
      <w:pPr>
        <w:pStyle w:val="BodyText"/>
        <w:spacing w:before="3"/>
        <w:rPr>
          <w:sz w:val="16"/>
        </w:rPr>
      </w:pPr>
    </w:p>
    <w:p>
      <w:pPr>
        <w:pStyle w:val="BodyText"/>
        <w:spacing w:before="1"/>
        <w:ind w:left="220" w:right="1253"/>
        <w:jc w:val="both"/>
      </w:pPr>
      <w:r>
        <w:rPr/>
        <w:t>It is expected by end of 2019, a self-evaluation standards trial with the new format will be</w:t>
      </w:r>
      <w:r>
        <w:rPr>
          <w:spacing w:val="80"/>
        </w:rPr>
        <w:t> </w:t>
      </w:r>
      <w:r>
        <w:rPr/>
        <w:t>completed in 3 provinces for teachers and school leaders. The current performance statements for teachers will be reduced to a set of standards. Teachers would self-assess against these standards and then review with EAs. This also would serve as a selection process for promotion. Training and support in the standards is essential for EAs and school leaders to prepare the groundwork for increased EA responsibilities in lifting quality and giving direction to the Education Bill. Building professional</w:t>
      </w:r>
      <w:r>
        <w:rPr>
          <w:spacing w:val="44"/>
        </w:rPr>
        <w:t> </w:t>
      </w:r>
      <w:r>
        <w:rPr/>
        <w:t>networks</w:t>
      </w:r>
      <w:r>
        <w:rPr>
          <w:spacing w:val="42"/>
        </w:rPr>
        <w:t> </w:t>
      </w:r>
      <w:r>
        <w:rPr/>
        <w:t>of</w:t>
      </w:r>
      <w:r>
        <w:rPr>
          <w:spacing w:val="42"/>
        </w:rPr>
        <w:t> </w:t>
      </w:r>
      <w:r>
        <w:rPr/>
        <w:t>EAs</w:t>
      </w:r>
      <w:r>
        <w:rPr>
          <w:spacing w:val="45"/>
        </w:rPr>
        <w:t> </w:t>
      </w:r>
      <w:r>
        <w:rPr/>
        <w:t>will</w:t>
      </w:r>
      <w:r>
        <w:rPr>
          <w:spacing w:val="44"/>
        </w:rPr>
        <w:t> </w:t>
      </w:r>
      <w:r>
        <w:rPr/>
        <w:t>go</w:t>
      </w:r>
      <w:r>
        <w:rPr>
          <w:spacing w:val="43"/>
        </w:rPr>
        <w:t> </w:t>
      </w:r>
      <w:r>
        <w:rPr/>
        <w:t>some-way</w:t>
      </w:r>
      <w:r>
        <w:rPr>
          <w:spacing w:val="46"/>
        </w:rPr>
        <w:t> </w:t>
      </w:r>
      <w:r>
        <w:rPr/>
        <w:t>towards</w:t>
      </w:r>
      <w:r>
        <w:rPr>
          <w:spacing w:val="44"/>
        </w:rPr>
        <w:t> </w:t>
      </w:r>
      <w:r>
        <w:rPr/>
        <w:t>reducing</w:t>
      </w:r>
      <w:r>
        <w:rPr>
          <w:spacing w:val="43"/>
        </w:rPr>
        <w:t> </w:t>
      </w:r>
      <w:r>
        <w:rPr/>
        <w:t>isolation.</w:t>
      </w:r>
      <w:r>
        <w:rPr>
          <w:spacing w:val="45"/>
        </w:rPr>
        <w:t> </w:t>
      </w:r>
      <w:r>
        <w:rPr/>
        <w:t>The</w:t>
      </w:r>
      <w:r>
        <w:rPr>
          <w:spacing w:val="45"/>
        </w:rPr>
        <w:t> </w:t>
      </w:r>
      <w:r>
        <w:rPr/>
        <w:t>aim</w:t>
      </w:r>
      <w:r>
        <w:rPr>
          <w:spacing w:val="45"/>
        </w:rPr>
        <w:t> </w:t>
      </w:r>
      <w:r>
        <w:rPr/>
        <w:t>is</w:t>
      </w:r>
      <w:r>
        <w:rPr>
          <w:spacing w:val="44"/>
        </w:rPr>
        <w:t> </w:t>
      </w:r>
      <w:r>
        <w:rPr/>
        <w:t>to</w:t>
      </w:r>
      <w:r>
        <w:rPr>
          <w:spacing w:val="46"/>
        </w:rPr>
        <w:t> </w:t>
      </w:r>
      <w:r>
        <w:rPr>
          <w:spacing w:val="-2"/>
        </w:rPr>
        <w:t>build</w:t>
      </w:r>
    </w:p>
    <w:p>
      <w:pPr>
        <w:spacing w:after="0"/>
        <w:jc w:val="both"/>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3"/>
        <w:jc w:val="both"/>
      </w:pPr>
      <w:r>
        <w:rPr/>
        <w:t>professional teachers with good support and strong leaders. Challenges are expected with a self- assessment approach due to cultural norms within a consensus society and working within tightknit communities: Risks will be identified and mitigated throughout the trial.</w:t>
      </w:r>
    </w:p>
    <w:p>
      <w:pPr>
        <w:pStyle w:val="BodyText"/>
        <w:spacing w:before="4"/>
        <w:rPr>
          <w:sz w:val="16"/>
        </w:rPr>
      </w:pPr>
    </w:p>
    <w:p>
      <w:pPr>
        <w:pStyle w:val="BodyText"/>
        <w:ind w:left="220"/>
        <w:jc w:val="both"/>
      </w:pPr>
      <w:r>
        <w:rPr>
          <w:color w:val="4471C4"/>
        </w:rPr>
        <w:t>Teacher</w:t>
      </w:r>
      <w:r>
        <w:rPr>
          <w:color w:val="4471C4"/>
          <w:spacing w:val="-4"/>
        </w:rPr>
        <w:t> </w:t>
      </w:r>
      <w:r>
        <w:rPr>
          <w:color w:val="4471C4"/>
          <w:spacing w:val="-2"/>
        </w:rPr>
        <w:t>Appraisals</w:t>
      </w:r>
    </w:p>
    <w:p>
      <w:pPr>
        <w:pStyle w:val="BodyText"/>
        <w:spacing w:before="4"/>
        <w:rPr>
          <w:sz w:val="16"/>
        </w:rPr>
      </w:pPr>
    </w:p>
    <w:p>
      <w:pPr>
        <w:pStyle w:val="BodyText"/>
        <w:ind w:left="220" w:right="1251"/>
        <w:jc w:val="both"/>
      </w:pPr>
      <w:r>
        <w:rPr/>
        <w:t>The Independent Assessment 2018 noted the low number of probationary teacher appraisals: 216 appraisals in 2016, and 161 appraisals in 2017, with a significant backlog of teacher appraisals of</w:t>
      </w:r>
      <w:r>
        <w:rPr>
          <w:spacing w:val="40"/>
        </w:rPr>
        <w:t> </w:t>
      </w:r>
      <w:r>
        <w:rPr/>
        <w:t>over 3,000 (outstanding since 2009). The time-consuming Whole School Inspection process was replaced with a team of MEHRD and provincial inspectors to focus solely on appraising probationary teachers against the standards.</w:t>
      </w:r>
    </w:p>
    <w:p>
      <w:pPr>
        <w:pStyle w:val="BodyText"/>
        <w:spacing w:before="5"/>
        <w:rPr>
          <w:sz w:val="16"/>
        </w:rPr>
      </w:pPr>
    </w:p>
    <w:p>
      <w:pPr>
        <w:pStyle w:val="BodyText"/>
        <w:ind w:left="220" w:right="1251"/>
        <w:jc w:val="both"/>
      </w:pPr>
      <w:r>
        <w:rPr/>
        <w:t>Approximately 3,000 prolonged probationer teacher appraisals throughout the Solomon Islands</w:t>
      </w:r>
      <w:r>
        <w:rPr>
          <w:spacing w:val="40"/>
        </w:rPr>
        <w:t> </w:t>
      </w:r>
      <w:r>
        <w:rPr/>
        <w:t>were undertaken since the last assessment. Over 2,000 Teacher Appraisals were submitted to the Teaching Service Commission at the end of October 2018. Retraining of 122 School Leaders (Seghe, North Malaita and Nila Clusters) for the teachers’ appraisal procedures and processes was carried out. Monitoring of teachers’ attendance in all the schools visited during the appraisals was undertaken to:</w:t>
      </w:r>
      <w:r>
        <w:rPr>
          <w:spacing w:val="40"/>
        </w:rPr>
        <w:t> </w:t>
      </w:r>
      <w:r>
        <w:rPr/>
        <w:t>report absenteeism in the school (ghost teachers to Teaching Services Division office), discuss the effects of absenteeism to teaching and learning, underline the importance of keeping teacher attendance records for monitoring and provide advice on the control and reporting on absenteeism.</w:t>
      </w:r>
    </w:p>
    <w:p>
      <w:pPr>
        <w:pStyle w:val="BodyText"/>
        <w:spacing w:before="4"/>
        <w:rPr>
          <w:sz w:val="16"/>
        </w:rPr>
      </w:pPr>
    </w:p>
    <w:p>
      <w:pPr>
        <w:pStyle w:val="BodyText"/>
        <w:spacing w:before="1"/>
        <w:ind w:left="220"/>
        <w:jc w:val="both"/>
        <w:rPr>
          <w:b/>
        </w:rPr>
      </w:pPr>
      <w:r>
        <w:rPr/>
        <w:t>In</w:t>
      </w:r>
      <w:r>
        <w:rPr>
          <w:spacing w:val="15"/>
        </w:rPr>
        <w:t> </w:t>
      </w:r>
      <w:r>
        <w:rPr/>
        <w:t>recognition</w:t>
      </w:r>
      <w:r>
        <w:rPr>
          <w:spacing w:val="16"/>
        </w:rPr>
        <w:t> </w:t>
      </w:r>
      <w:r>
        <w:rPr/>
        <w:t>of</w:t>
      </w:r>
      <w:r>
        <w:rPr>
          <w:spacing w:val="17"/>
        </w:rPr>
        <w:t> </w:t>
      </w:r>
      <w:r>
        <w:rPr/>
        <w:t>the</w:t>
      </w:r>
      <w:r>
        <w:rPr>
          <w:spacing w:val="21"/>
        </w:rPr>
        <w:t> </w:t>
      </w:r>
      <w:r>
        <w:rPr/>
        <w:t>significant</w:t>
      </w:r>
      <w:r>
        <w:rPr>
          <w:spacing w:val="20"/>
        </w:rPr>
        <w:t> </w:t>
      </w:r>
      <w:r>
        <w:rPr/>
        <w:t>work</w:t>
      </w:r>
      <w:r>
        <w:rPr>
          <w:spacing w:val="18"/>
        </w:rPr>
        <w:t> </w:t>
      </w:r>
      <w:r>
        <w:rPr/>
        <w:t>in</w:t>
      </w:r>
      <w:r>
        <w:rPr>
          <w:spacing w:val="19"/>
        </w:rPr>
        <w:t> </w:t>
      </w:r>
      <w:r>
        <w:rPr/>
        <w:t>clearing</w:t>
      </w:r>
      <w:r>
        <w:rPr>
          <w:spacing w:val="19"/>
        </w:rPr>
        <w:t> </w:t>
      </w:r>
      <w:r>
        <w:rPr/>
        <w:t>the</w:t>
      </w:r>
      <w:r>
        <w:rPr>
          <w:spacing w:val="15"/>
        </w:rPr>
        <w:t> </w:t>
      </w:r>
      <w:r>
        <w:rPr/>
        <w:t>backlog</w:t>
      </w:r>
      <w:r>
        <w:rPr>
          <w:spacing w:val="16"/>
        </w:rPr>
        <w:t> </w:t>
      </w:r>
      <w:r>
        <w:rPr/>
        <w:t>of</w:t>
      </w:r>
      <w:r>
        <w:rPr>
          <w:spacing w:val="17"/>
        </w:rPr>
        <w:t> </w:t>
      </w:r>
      <w:r>
        <w:rPr/>
        <w:t>3,000</w:t>
      </w:r>
      <w:r>
        <w:rPr>
          <w:spacing w:val="20"/>
        </w:rPr>
        <w:t> </w:t>
      </w:r>
      <w:r>
        <w:rPr/>
        <w:t>teacher</w:t>
      </w:r>
      <w:r>
        <w:rPr>
          <w:spacing w:val="17"/>
        </w:rPr>
        <w:t> </w:t>
      </w:r>
      <w:r>
        <w:rPr/>
        <w:t>appraisals,</w:t>
      </w:r>
      <w:r>
        <w:rPr>
          <w:spacing w:val="20"/>
        </w:rPr>
        <w:t> </w:t>
      </w:r>
      <w:r>
        <w:rPr>
          <w:b/>
          <w:spacing w:val="-2"/>
        </w:rPr>
        <w:t>indicator</w:t>
      </w:r>
    </w:p>
    <w:p>
      <w:pPr>
        <w:spacing w:before="0"/>
        <w:ind w:left="220" w:right="0" w:firstLine="0"/>
        <w:jc w:val="left"/>
        <w:rPr>
          <w:sz w:val="22"/>
        </w:rPr>
      </w:pPr>
      <w:r>
        <w:rPr>
          <w:b/>
          <w:sz w:val="22"/>
        </w:rPr>
        <w:t>2.2.1</w:t>
      </w:r>
      <w:r>
        <w:rPr>
          <w:b/>
          <w:spacing w:val="-5"/>
          <w:sz w:val="22"/>
        </w:rPr>
        <w:t> </w:t>
      </w:r>
      <w:r>
        <w:rPr>
          <w:b/>
          <w:sz w:val="22"/>
        </w:rPr>
        <w:t>is</w:t>
      </w:r>
      <w:r>
        <w:rPr>
          <w:b/>
          <w:spacing w:val="-3"/>
          <w:sz w:val="22"/>
        </w:rPr>
        <w:t> </w:t>
      </w:r>
      <w:r>
        <w:rPr>
          <w:b/>
          <w:sz w:val="22"/>
        </w:rPr>
        <w:t>assessed</w:t>
      </w:r>
      <w:r>
        <w:rPr>
          <w:b/>
          <w:spacing w:val="-4"/>
          <w:sz w:val="22"/>
        </w:rPr>
        <w:t> </w:t>
      </w:r>
      <w:r>
        <w:rPr>
          <w:b/>
          <w:sz w:val="22"/>
        </w:rPr>
        <w:t>as</w:t>
      </w:r>
      <w:r>
        <w:rPr>
          <w:b/>
          <w:spacing w:val="-1"/>
          <w:sz w:val="22"/>
        </w:rPr>
        <w:t> </w:t>
      </w:r>
      <w:r>
        <w:rPr>
          <w:b/>
          <w:sz w:val="22"/>
        </w:rPr>
        <w:t>20</w:t>
      </w:r>
      <w:r>
        <w:rPr>
          <w:b/>
          <w:spacing w:val="-3"/>
          <w:sz w:val="22"/>
        </w:rPr>
        <w:t> </w:t>
      </w:r>
      <w:r>
        <w:rPr>
          <w:b/>
          <w:sz w:val="22"/>
        </w:rPr>
        <w:t>per</w:t>
      </w:r>
      <w:r>
        <w:rPr>
          <w:b/>
          <w:spacing w:val="-5"/>
          <w:sz w:val="22"/>
        </w:rPr>
        <w:t> </w:t>
      </w:r>
      <w:r>
        <w:rPr>
          <w:b/>
          <w:sz w:val="22"/>
        </w:rPr>
        <w:t>cent</w:t>
      </w:r>
      <w:r>
        <w:rPr>
          <w:b/>
          <w:spacing w:val="-3"/>
          <w:sz w:val="22"/>
        </w:rPr>
        <w:t> </w:t>
      </w:r>
      <w:r>
        <w:rPr>
          <w:b/>
          <w:sz w:val="22"/>
        </w:rPr>
        <w:t>achieved</w:t>
      </w:r>
      <w:r>
        <w:rPr>
          <w:b/>
          <w:spacing w:val="-2"/>
          <w:sz w:val="22"/>
        </w:rPr>
        <w:t> </w:t>
      </w:r>
      <w:r>
        <w:rPr>
          <w:b/>
          <w:sz w:val="22"/>
        </w:rPr>
        <w:t>(out</w:t>
      </w:r>
      <w:r>
        <w:rPr>
          <w:b/>
          <w:spacing w:val="-3"/>
          <w:sz w:val="22"/>
        </w:rPr>
        <w:t> </w:t>
      </w:r>
      <w:r>
        <w:rPr>
          <w:b/>
          <w:sz w:val="22"/>
        </w:rPr>
        <w:t>of</w:t>
      </w:r>
      <w:r>
        <w:rPr>
          <w:b/>
          <w:spacing w:val="-4"/>
          <w:sz w:val="22"/>
        </w:rPr>
        <w:t> </w:t>
      </w:r>
      <w:r>
        <w:rPr>
          <w:b/>
          <w:sz w:val="22"/>
        </w:rPr>
        <w:t>a</w:t>
      </w:r>
      <w:r>
        <w:rPr>
          <w:b/>
          <w:spacing w:val="-5"/>
          <w:sz w:val="22"/>
        </w:rPr>
        <w:t> </w:t>
      </w:r>
      <w:r>
        <w:rPr>
          <w:b/>
          <w:sz w:val="22"/>
        </w:rPr>
        <w:t>possible</w:t>
      </w:r>
      <w:r>
        <w:rPr>
          <w:b/>
          <w:spacing w:val="-4"/>
          <w:sz w:val="22"/>
        </w:rPr>
        <w:t> </w:t>
      </w:r>
      <w:r>
        <w:rPr>
          <w:b/>
          <w:sz w:val="22"/>
        </w:rPr>
        <w:t>100</w:t>
      </w:r>
      <w:r>
        <w:rPr>
          <w:b/>
          <w:spacing w:val="-5"/>
          <w:sz w:val="22"/>
        </w:rPr>
        <w:t> </w:t>
      </w:r>
      <w:r>
        <w:rPr>
          <w:b/>
          <w:sz w:val="22"/>
        </w:rPr>
        <w:t>per</w:t>
      </w:r>
      <w:r>
        <w:rPr>
          <w:b/>
          <w:spacing w:val="-4"/>
          <w:sz w:val="22"/>
        </w:rPr>
        <w:t> </w:t>
      </w:r>
      <w:r>
        <w:rPr>
          <w:b/>
          <w:spacing w:val="-2"/>
          <w:sz w:val="22"/>
        </w:rPr>
        <w:t>cent)</w:t>
      </w:r>
      <w:r>
        <w:rPr>
          <w:spacing w:val="-2"/>
          <w:sz w:val="22"/>
        </w:rPr>
        <w:t>.</w:t>
      </w:r>
    </w:p>
    <w:p>
      <w:pPr>
        <w:pStyle w:val="BodyText"/>
      </w:pPr>
    </w:p>
    <w:p>
      <w:pPr>
        <w:pStyle w:val="BodyText"/>
      </w:pPr>
    </w:p>
    <w:p>
      <w:pPr>
        <w:pStyle w:val="Heading4"/>
        <w:numPr>
          <w:ilvl w:val="2"/>
          <w:numId w:val="4"/>
        </w:numPr>
        <w:tabs>
          <w:tab w:pos="940" w:val="left" w:leader="none"/>
          <w:tab w:pos="941" w:val="left" w:leader="none"/>
        </w:tabs>
        <w:spacing w:line="273" w:lineRule="auto" w:before="193" w:after="0"/>
        <w:ind w:left="220" w:right="1758" w:firstLine="0"/>
        <w:jc w:val="left"/>
        <w:rPr>
          <w:b w:val="0"/>
        </w:rPr>
      </w:pPr>
      <w:bookmarkStart w:name="_bookmark15" w:id="16"/>
      <w:bookmarkEnd w:id="16"/>
      <w:r>
        <w:rPr>
          <w:b w:val="0"/>
          <w:color w:val="4471C4"/>
        </w:rPr>
        <w:t>T</w:t>
      </w:r>
      <w:r>
        <w:rPr>
          <w:b w:val="0"/>
          <w:color w:val="4471C4"/>
        </w:rPr>
        <w:t>arget 2.3: Students achieving at or above the expected literacy and numeracy </w:t>
      </w:r>
      <w:r>
        <w:rPr>
          <w:b w:val="0"/>
          <w:color w:val="4471C4"/>
          <w:spacing w:val="-2"/>
        </w:rPr>
        <w:t>level</w:t>
      </w:r>
    </w:p>
    <w:p>
      <w:pPr>
        <w:pStyle w:val="BodyText"/>
        <w:rPr>
          <w:rFonts w:ascii="Calibri Light"/>
          <w:b w:val="0"/>
          <w:sz w:val="20"/>
        </w:rPr>
      </w:pPr>
    </w:p>
    <w:p>
      <w:pPr>
        <w:pStyle w:val="BodyText"/>
        <w:spacing w:before="9"/>
        <w:rPr>
          <w:rFonts w:ascii="Calibri Light"/>
          <w:b w:val="0"/>
          <w:sz w:val="10"/>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460"/>
        <w:gridCol w:w="2532"/>
        <w:gridCol w:w="1731"/>
      </w:tblGrid>
      <w:tr>
        <w:trPr>
          <w:trHeight w:val="689" w:hRule="atLeast"/>
        </w:trPr>
        <w:tc>
          <w:tcPr>
            <w:tcW w:w="2460"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47"/>
              <w:rPr>
                <w:b/>
                <w:sz w:val="19"/>
              </w:rPr>
            </w:pPr>
            <w:r>
              <w:rPr>
                <w:b/>
                <w:spacing w:val="-2"/>
                <w:w w:val="120"/>
                <w:sz w:val="19"/>
              </w:rPr>
              <w:t>Performance Indicators</w:t>
            </w:r>
          </w:p>
        </w:tc>
        <w:tc>
          <w:tcPr>
            <w:tcW w:w="2532" w:type="dxa"/>
            <w:tcBorders>
              <w:left w:val="single" w:sz="6" w:space="0" w:color="4471C4"/>
              <w:right w:val="single" w:sz="6" w:space="0" w:color="4471C4"/>
            </w:tcBorders>
            <w:shd w:val="clear" w:color="auto" w:fill="B4C5E7"/>
          </w:tcPr>
          <w:p>
            <w:pPr>
              <w:pStyle w:val="TableParagraph"/>
              <w:spacing w:line="259" w:lineRule="auto" w:before="108"/>
              <w:ind w:left="708" w:right="200" w:hanging="263"/>
              <w:rPr>
                <w:b/>
                <w:sz w:val="19"/>
              </w:rPr>
            </w:pPr>
            <w:r>
              <w:rPr>
                <w:b/>
                <w:w w:val="120"/>
                <w:sz w:val="19"/>
              </w:rPr>
              <w:t>Expected</w:t>
            </w:r>
            <w:r>
              <w:rPr>
                <w:b/>
                <w:spacing w:val="-13"/>
                <w:w w:val="120"/>
                <w:sz w:val="19"/>
              </w:rPr>
              <w:t> </w:t>
            </w:r>
            <w:r>
              <w:rPr>
                <w:b/>
                <w:w w:val="120"/>
                <w:sz w:val="19"/>
              </w:rPr>
              <w:t>Results </w:t>
            </w:r>
            <w:r>
              <w:rPr>
                <w:b/>
                <w:spacing w:val="-2"/>
                <w:w w:val="120"/>
                <w:sz w:val="19"/>
              </w:rPr>
              <w:t>Statements</w:t>
            </w:r>
          </w:p>
        </w:tc>
        <w:tc>
          <w:tcPr>
            <w:tcW w:w="1731"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72" w:right="157"/>
              <w:jc w:val="center"/>
              <w:rPr>
                <w:b/>
                <w:sz w:val="19"/>
              </w:rPr>
            </w:pPr>
            <w:r>
              <w:rPr>
                <w:b/>
                <w:spacing w:val="-5"/>
                <w:w w:val="120"/>
                <w:sz w:val="19"/>
              </w:rPr>
              <w:t>IA</w:t>
            </w:r>
          </w:p>
        </w:tc>
      </w:tr>
      <w:tr>
        <w:trPr>
          <w:trHeight w:val="2322" w:hRule="atLeast"/>
        </w:trPr>
        <w:tc>
          <w:tcPr>
            <w:tcW w:w="2460" w:type="dxa"/>
            <w:tcBorders>
              <w:left w:val="single" w:sz="6" w:space="0" w:color="4471C4"/>
              <w:right w:val="single" w:sz="6" w:space="0" w:color="4471C4"/>
            </w:tcBorders>
          </w:tcPr>
          <w:p>
            <w:pPr>
              <w:pStyle w:val="TableParagraph"/>
              <w:spacing w:before="9"/>
              <w:ind w:left="40"/>
              <w:rPr>
                <w:sz w:val="18"/>
              </w:rPr>
            </w:pPr>
            <w:r>
              <w:rPr>
                <w:w w:val="120"/>
                <w:sz w:val="18"/>
              </w:rPr>
              <w:t>2.3.1</w:t>
            </w:r>
            <w:r>
              <w:rPr>
                <w:spacing w:val="39"/>
                <w:w w:val="120"/>
                <w:sz w:val="18"/>
              </w:rPr>
              <w:t> </w:t>
            </w:r>
            <w:r>
              <w:rPr>
                <w:w w:val="120"/>
                <w:sz w:val="18"/>
              </w:rPr>
              <w:t>By</w:t>
            </w:r>
            <w:r>
              <w:rPr>
                <w:spacing w:val="-5"/>
                <w:w w:val="120"/>
                <w:sz w:val="18"/>
              </w:rPr>
              <w:t> </w:t>
            </w:r>
            <w:r>
              <w:rPr>
                <w:w w:val="120"/>
                <w:sz w:val="18"/>
              </w:rPr>
              <w:t>the</w:t>
            </w:r>
            <w:r>
              <w:rPr>
                <w:spacing w:val="-4"/>
                <w:w w:val="120"/>
                <w:sz w:val="18"/>
              </w:rPr>
              <w:t> </w:t>
            </w:r>
            <w:r>
              <w:rPr>
                <w:w w:val="120"/>
                <w:sz w:val="18"/>
              </w:rPr>
              <w:t>end</w:t>
            </w:r>
            <w:r>
              <w:rPr>
                <w:spacing w:val="-9"/>
                <w:w w:val="120"/>
                <w:sz w:val="18"/>
              </w:rPr>
              <w:t> </w:t>
            </w:r>
            <w:r>
              <w:rPr>
                <w:w w:val="120"/>
                <w:sz w:val="18"/>
              </w:rPr>
              <w:t>of</w:t>
            </w:r>
            <w:r>
              <w:rPr>
                <w:spacing w:val="2"/>
                <w:w w:val="120"/>
                <w:sz w:val="18"/>
              </w:rPr>
              <w:t> </w:t>
            </w:r>
            <w:r>
              <w:rPr>
                <w:spacing w:val="-4"/>
                <w:w w:val="120"/>
                <w:sz w:val="18"/>
              </w:rPr>
              <w:t>2018,</w:t>
            </w:r>
          </w:p>
          <w:p>
            <w:pPr>
              <w:pStyle w:val="TableParagraph"/>
              <w:spacing w:line="261" w:lineRule="auto" w:before="20"/>
              <w:ind w:left="40" w:right="61"/>
              <w:rPr>
                <w:sz w:val="18"/>
              </w:rPr>
            </w:pPr>
            <w:r>
              <w:rPr>
                <w:w w:val="120"/>
                <w:sz w:val="18"/>
              </w:rPr>
              <w:t>2017 SISTA results </w:t>
            </w:r>
            <w:r>
              <w:rPr>
                <w:spacing w:val="-2"/>
                <w:w w:val="120"/>
                <w:sz w:val="18"/>
              </w:rPr>
              <w:t>analysed</w:t>
            </w:r>
            <w:r>
              <w:rPr>
                <w:spacing w:val="-11"/>
                <w:w w:val="120"/>
                <w:sz w:val="18"/>
              </w:rPr>
              <w:t> </w:t>
            </w:r>
            <w:r>
              <w:rPr>
                <w:spacing w:val="-2"/>
                <w:w w:val="120"/>
                <w:sz w:val="18"/>
              </w:rPr>
              <w:t>and</w:t>
            </w:r>
            <w:r>
              <w:rPr>
                <w:spacing w:val="-10"/>
                <w:w w:val="120"/>
                <w:sz w:val="18"/>
              </w:rPr>
              <w:t> </w:t>
            </w:r>
            <w:r>
              <w:rPr>
                <w:spacing w:val="-2"/>
                <w:w w:val="120"/>
                <w:sz w:val="18"/>
              </w:rPr>
              <w:t>disseminated </w:t>
            </w:r>
            <w:r>
              <w:rPr>
                <w:w w:val="120"/>
                <w:sz w:val="18"/>
              </w:rPr>
              <w:t>in user-friendly way to national, EAs and school </w:t>
            </w:r>
            <w:r>
              <w:rPr>
                <w:spacing w:val="-4"/>
                <w:w w:val="120"/>
                <w:sz w:val="18"/>
              </w:rPr>
              <w:t>level</w:t>
            </w:r>
          </w:p>
        </w:tc>
        <w:tc>
          <w:tcPr>
            <w:tcW w:w="2532" w:type="dxa"/>
            <w:tcBorders>
              <w:left w:val="single" w:sz="6" w:space="0" w:color="4471C4"/>
              <w:right w:val="single" w:sz="6" w:space="0" w:color="4471C4"/>
            </w:tcBorders>
          </w:tcPr>
          <w:p>
            <w:pPr>
              <w:pStyle w:val="TableParagraph"/>
              <w:spacing w:line="261" w:lineRule="auto" w:before="9"/>
              <w:ind w:left="40" w:right="200"/>
              <w:rPr>
                <w:sz w:val="18"/>
              </w:rPr>
            </w:pPr>
            <w:r>
              <w:rPr>
                <w:spacing w:val="-2"/>
                <w:w w:val="120"/>
                <w:sz w:val="18"/>
              </w:rPr>
              <w:t>SMT</w:t>
            </w:r>
            <w:r>
              <w:rPr>
                <w:spacing w:val="-11"/>
                <w:w w:val="120"/>
                <w:sz w:val="18"/>
              </w:rPr>
              <w:t> </w:t>
            </w:r>
            <w:r>
              <w:rPr>
                <w:spacing w:val="-2"/>
                <w:w w:val="120"/>
                <w:sz w:val="18"/>
              </w:rPr>
              <w:t>endorsement</w:t>
            </w:r>
            <w:r>
              <w:rPr>
                <w:spacing w:val="-10"/>
                <w:w w:val="120"/>
                <w:sz w:val="18"/>
              </w:rPr>
              <w:t> </w:t>
            </w:r>
            <w:r>
              <w:rPr>
                <w:spacing w:val="-2"/>
                <w:w w:val="120"/>
                <w:sz w:val="18"/>
              </w:rPr>
              <w:t>minute </w:t>
            </w:r>
            <w:r>
              <w:rPr>
                <w:w w:val="120"/>
                <w:sz w:val="18"/>
              </w:rPr>
              <w:t>of SISTA results including national, provincial and school</w:t>
            </w:r>
            <w:r>
              <w:rPr>
                <w:spacing w:val="-13"/>
                <w:w w:val="120"/>
                <w:sz w:val="18"/>
              </w:rPr>
              <w:t> </w:t>
            </w:r>
            <w:r>
              <w:rPr>
                <w:w w:val="120"/>
                <w:sz w:val="18"/>
              </w:rPr>
              <w:t>level</w:t>
            </w:r>
            <w:r>
              <w:rPr>
                <w:spacing w:val="-12"/>
                <w:w w:val="120"/>
                <w:sz w:val="18"/>
              </w:rPr>
              <w:t> </w:t>
            </w:r>
            <w:r>
              <w:rPr>
                <w:w w:val="120"/>
                <w:sz w:val="18"/>
              </w:rPr>
              <w:t>reports</w:t>
            </w:r>
            <w:r>
              <w:rPr>
                <w:spacing w:val="-12"/>
                <w:w w:val="120"/>
                <w:sz w:val="18"/>
              </w:rPr>
              <w:t> </w:t>
            </w:r>
            <w:r>
              <w:rPr>
                <w:w w:val="120"/>
                <w:sz w:val="18"/>
              </w:rPr>
              <w:t>(40%) </w:t>
            </w:r>
            <w:r>
              <w:rPr>
                <w:spacing w:val="-2"/>
                <w:w w:val="120"/>
                <w:sz w:val="18"/>
              </w:rPr>
              <w:t>Evidence</w:t>
            </w:r>
            <w:r>
              <w:rPr>
                <w:spacing w:val="-9"/>
                <w:w w:val="120"/>
                <w:sz w:val="18"/>
              </w:rPr>
              <w:t> </w:t>
            </w:r>
            <w:r>
              <w:rPr>
                <w:spacing w:val="-2"/>
                <w:w w:val="120"/>
                <w:sz w:val="18"/>
              </w:rPr>
              <w:t>of</w:t>
            </w:r>
            <w:r>
              <w:rPr>
                <w:spacing w:val="-5"/>
                <w:w w:val="120"/>
                <w:sz w:val="18"/>
              </w:rPr>
              <w:t> </w:t>
            </w:r>
            <w:r>
              <w:rPr>
                <w:spacing w:val="-2"/>
                <w:w w:val="120"/>
                <w:sz w:val="18"/>
              </w:rPr>
              <w:t>dissemination </w:t>
            </w:r>
            <w:r>
              <w:rPr>
                <w:w w:val="120"/>
                <w:sz w:val="18"/>
              </w:rPr>
              <w:t>to</w:t>
            </w:r>
            <w:r>
              <w:rPr>
                <w:spacing w:val="-13"/>
                <w:w w:val="120"/>
                <w:sz w:val="18"/>
              </w:rPr>
              <w:t> </w:t>
            </w:r>
            <w:r>
              <w:rPr>
                <w:w w:val="120"/>
                <w:sz w:val="18"/>
              </w:rPr>
              <w:t>national,</w:t>
            </w:r>
            <w:r>
              <w:rPr>
                <w:spacing w:val="-12"/>
                <w:w w:val="120"/>
                <w:sz w:val="18"/>
              </w:rPr>
              <w:t> </w:t>
            </w:r>
            <w:r>
              <w:rPr>
                <w:w w:val="120"/>
                <w:sz w:val="18"/>
              </w:rPr>
              <w:t>provincial</w:t>
            </w:r>
            <w:r>
              <w:rPr>
                <w:spacing w:val="-12"/>
                <w:w w:val="120"/>
                <w:sz w:val="18"/>
              </w:rPr>
              <w:t> </w:t>
            </w:r>
            <w:r>
              <w:rPr>
                <w:w w:val="120"/>
                <w:sz w:val="18"/>
              </w:rPr>
              <w:t>and school</w:t>
            </w:r>
            <w:r>
              <w:rPr>
                <w:spacing w:val="-3"/>
                <w:w w:val="120"/>
                <w:sz w:val="18"/>
              </w:rPr>
              <w:t> </w:t>
            </w:r>
            <w:r>
              <w:rPr>
                <w:w w:val="120"/>
                <w:sz w:val="18"/>
              </w:rPr>
              <w:t>level</w:t>
            </w:r>
            <w:r>
              <w:rPr>
                <w:spacing w:val="-3"/>
                <w:w w:val="120"/>
                <w:sz w:val="18"/>
              </w:rPr>
              <w:t> </w:t>
            </w:r>
            <w:r>
              <w:rPr>
                <w:w w:val="120"/>
                <w:sz w:val="18"/>
              </w:rPr>
              <w:t>(e.g. meeting minutes, back to office reports)</w:t>
            </w:r>
            <w:r>
              <w:rPr>
                <w:spacing w:val="-6"/>
                <w:w w:val="120"/>
                <w:sz w:val="18"/>
              </w:rPr>
              <w:t> </w:t>
            </w:r>
            <w:r>
              <w:rPr>
                <w:w w:val="120"/>
                <w:sz w:val="18"/>
              </w:rPr>
              <w:t>(30%)</w:t>
            </w:r>
          </w:p>
        </w:tc>
        <w:tc>
          <w:tcPr>
            <w:tcW w:w="1731" w:type="dxa"/>
            <w:tcBorders>
              <w:left w:val="single" w:sz="6" w:space="0" w:color="4471C4"/>
              <w:right w:val="single" w:sz="6" w:space="0" w:color="4471C4"/>
            </w:tcBorders>
            <w:shd w:val="clear" w:color="auto" w:fill="A9D08E"/>
          </w:tcPr>
          <w:p>
            <w:pPr>
              <w:pStyle w:val="TableParagraph"/>
              <w:spacing w:before="11"/>
              <w:ind w:left="172" w:right="168"/>
              <w:jc w:val="center"/>
              <w:rPr>
                <w:sz w:val="22"/>
              </w:rPr>
            </w:pPr>
            <w:r>
              <w:rPr>
                <w:w w:val="120"/>
                <w:sz w:val="22"/>
              </w:rPr>
              <w:t>100%</w:t>
            </w:r>
            <w:r>
              <w:rPr>
                <w:spacing w:val="-3"/>
                <w:w w:val="120"/>
                <w:sz w:val="22"/>
              </w:rPr>
              <w:t> </w:t>
            </w:r>
            <w:r>
              <w:rPr>
                <w:w w:val="120"/>
                <w:sz w:val="22"/>
              </w:rPr>
              <w:t>(of</w:t>
            </w:r>
            <w:r>
              <w:rPr>
                <w:spacing w:val="-3"/>
                <w:w w:val="120"/>
                <w:sz w:val="22"/>
              </w:rPr>
              <w:t> </w:t>
            </w:r>
            <w:r>
              <w:rPr>
                <w:spacing w:val="-5"/>
                <w:w w:val="120"/>
                <w:sz w:val="22"/>
              </w:rPr>
              <w:t>70)</w:t>
            </w:r>
          </w:p>
        </w:tc>
      </w:tr>
      <w:tr>
        <w:trPr>
          <w:trHeight w:val="930" w:hRule="atLeast"/>
        </w:trPr>
        <w:tc>
          <w:tcPr>
            <w:tcW w:w="2460" w:type="dxa"/>
            <w:tcBorders>
              <w:left w:val="single" w:sz="6" w:space="0" w:color="4471C4"/>
              <w:right w:val="single" w:sz="6" w:space="0" w:color="4471C4"/>
            </w:tcBorders>
          </w:tcPr>
          <w:p>
            <w:pPr>
              <w:pStyle w:val="TableParagraph"/>
              <w:spacing w:line="261" w:lineRule="auto" w:before="9"/>
              <w:ind w:left="40"/>
              <w:rPr>
                <w:sz w:val="18"/>
              </w:rPr>
            </w:pPr>
            <w:r>
              <w:rPr>
                <w:w w:val="120"/>
                <w:sz w:val="18"/>
              </w:rPr>
              <w:t>2.3.2 SISTA 2017 results show an improvement in </w:t>
            </w:r>
            <w:r>
              <w:rPr>
                <w:spacing w:val="-2"/>
                <w:w w:val="120"/>
                <w:sz w:val="18"/>
              </w:rPr>
              <w:t>both</w:t>
            </w:r>
            <w:r>
              <w:rPr>
                <w:spacing w:val="-11"/>
                <w:w w:val="120"/>
                <w:sz w:val="18"/>
              </w:rPr>
              <w:t> </w:t>
            </w:r>
            <w:r>
              <w:rPr>
                <w:spacing w:val="-2"/>
                <w:w w:val="120"/>
                <w:sz w:val="18"/>
              </w:rPr>
              <w:t>literacy</w:t>
            </w:r>
            <w:r>
              <w:rPr>
                <w:spacing w:val="-8"/>
                <w:w w:val="120"/>
                <w:sz w:val="18"/>
              </w:rPr>
              <w:t> </w:t>
            </w:r>
            <w:r>
              <w:rPr>
                <w:spacing w:val="-2"/>
                <w:w w:val="120"/>
                <w:sz w:val="18"/>
              </w:rPr>
              <w:t>and</w:t>
            </w:r>
            <w:r>
              <w:rPr>
                <w:spacing w:val="-11"/>
                <w:w w:val="120"/>
                <w:sz w:val="18"/>
              </w:rPr>
              <w:t> </w:t>
            </w:r>
            <w:r>
              <w:rPr>
                <w:spacing w:val="-2"/>
                <w:w w:val="120"/>
                <w:sz w:val="18"/>
              </w:rPr>
              <w:t>numeracy</w:t>
            </w:r>
          </w:p>
          <w:p>
            <w:pPr>
              <w:pStyle w:val="TableParagraph"/>
              <w:spacing w:line="181" w:lineRule="exact" w:before="1"/>
              <w:ind w:left="40"/>
              <w:rPr>
                <w:sz w:val="18"/>
              </w:rPr>
            </w:pPr>
            <w:r>
              <w:rPr>
                <w:w w:val="120"/>
                <w:sz w:val="18"/>
              </w:rPr>
              <w:t>for</w:t>
            </w:r>
            <w:r>
              <w:rPr>
                <w:spacing w:val="-9"/>
                <w:w w:val="120"/>
                <w:sz w:val="18"/>
              </w:rPr>
              <w:t> </w:t>
            </w:r>
            <w:r>
              <w:rPr>
                <w:w w:val="120"/>
                <w:sz w:val="18"/>
              </w:rPr>
              <w:t>both</w:t>
            </w:r>
            <w:r>
              <w:rPr>
                <w:spacing w:val="-12"/>
                <w:w w:val="120"/>
                <w:sz w:val="18"/>
              </w:rPr>
              <w:t> </w:t>
            </w:r>
            <w:r>
              <w:rPr>
                <w:w w:val="120"/>
                <w:sz w:val="18"/>
              </w:rPr>
              <w:t>grades</w:t>
            </w:r>
            <w:r>
              <w:rPr>
                <w:spacing w:val="-6"/>
                <w:w w:val="120"/>
                <w:sz w:val="18"/>
              </w:rPr>
              <w:t> </w:t>
            </w:r>
            <w:r>
              <w:rPr>
                <w:w w:val="120"/>
                <w:sz w:val="18"/>
              </w:rPr>
              <w:t>4</w:t>
            </w:r>
            <w:r>
              <w:rPr>
                <w:spacing w:val="-8"/>
                <w:w w:val="120"/>
                <w:sz w:val="18"/>
              </w:rPr>
              <w:t> </w:t>
            </w:r>
            <w:r>
              <w:rPr>
                <w:w w:val="120"/>
                <w:sz w:val="18"/>
              </w:rPr>
              <w:t>and</w:t>
            </w:r>
            <w:r>
              <w:rPr>
                <w:spacing w:val="-10"/>
                <w:w w:val="120"/>
                <w:sz w:val="18"/>
              </w:rPr>
              <w:t> 6</w:t>
            </w:r>
          </w:p>
        </w:tc>
        <w:tc>
          <w:tcPr>
            <w:tcW w:w="2532" w:type="dxa"/>
            <w:tcBorders>
              <w:left w:val="single" w:sz="6" w:space="0" w:color="4471C4"/>
              <w:right w:val="single" w:sz="6" w:space="0" w:color="4471C4"/>
            </w:tcBorders>
          </w:tcPr>
          <w:p>
            <w:pPr>
              <w:pStyle w:val="TableParagraph"/>
              <w:spacing w:line="261" w:lineRule="auto" w:before="9"/>
              <w:ind w:left="40"/>
              <w:rPr>
                <w:sz w:val="18"/>
              </w:rPr>
            </w:pPr>
            <w:r>
              <w:rPr>
                <w:w w:val="120"/>
                <w:sz w:val="18"/>
              </w:rPr>
              <w:t>An average of all literacy </w:t>
            </w:r>
            <w:r>
              <w:rPr>
                <w:spacing w:val="-2"/>
                <w:w w:val="120"/>
                <w:sz w:val="18"/>
              </w:rPr>
              <w:t>domains</w:t>
            </w:r>
            <w:r>
              <w:rPr>
                <w:spacing w:val="-11"/>
                <w:w w:val="120"/>
                <w:sz w:val="18"/>
              </w:rPr>
              <w:t> </w:t>
            </w:r>
            <w:r>
              <w:rPr>
                <w:spacing w:val="-2"/>
                <w:w w:val="120"/>
                <w:sz w:val="18"/>
              </w:rPr>
              <w:t>has</w:t>
            </w:r>
            <w:r>
              <w:rPr>
                <w:spacing w:val="-10"/>
                <w:w w:val="120"/>
                <w:sz w:val="18"/>
              </w:rPr>
              <w:t> </w:t>
            </w:r>
            <w:r>
              <w:rPr>
                <w:spacing w:val="-2"/>
                <w:w w:val="120"/>
                <w:sz w:val="18"/>
              </w:rPr>
              <w:t>improved</w:t>
            </w:r>
            <w:r>
              <w:rPr>
                <w:spacing w:val="-10"/>
                <w:w w:val="120"/>
                <w:sz w:val="18"/>
              </w:rPr>
              <w:t> </w:t>
            </w:r>
            <w:r>
              <w:rPr>
                <w:spacing w:val="-2"/>
                <w:w w:val="120"/>
                <w:sz w:val="18"/>
              </w:rPr>
              <w:t>and </w:t>
            </w:r>
            <w:r>
              <w:rPr>
                <w:w w:val="120"/>
                <w:sz w:val="18"/>
              </w:rPr>
              <w:t>numeracy has improved</w:t>
            </w:r>
          </w:p>
          <w:p>
            <w:pPr>
              <w:pStyle w:val="TableParagraph"/>
              <w:spacing w:line="181" w:lineRule="exact" w:before="1"/>
              <w:ind w:left="40"/>
              <w:rPr>
                <w:sz w:val="18"/>
              </w:rPr>
            </w:pPr>
            <w:r>
              <w:rPr>
                <w:spacing w:val="-4"/>
                <w:w w:val="120"/>
                <w:sz w:val="18"/>
              </w:rPr>
              <w:t>(30%)</w:t>
            </w:r>
          </w:p>
        </w:tc>
        <w:tc>
          <w:tcPr>
            <w:tcW w:w="1731" w:type="dxa"/>
            <w:tcBorders>
              <w:left w:val="single" w:sz="6" w:space="0" w:color="4471C4"/>
              <w:right w:val="single" w:sz="6" w:space="0" w:color="4471C4"/>
            </w:tcBorders>
            <w:shd w:val="clear" w:color="auto" w:fill="FFC000"/>
          </w:tcPr>
          <w:p>
            <w:pPr>
              <w:pStyle w:val="TableParagraph"/>
              <w:spacing w:before="10"/>
              <w:ind w:left="172" w:right="157"/>
              <w:jc w:val="center"/>
              <w:rPr>
                <w:sz w:val="22"/>
              </w:rPr>
            </w:pPr>
            <w:r>
              <w:rPr>
                <w:w w:val="120"/>
                <w:sz w:val="22"/>
              </w:rPr>
              <w:t>10%</w:t>
            </w:r>
            <w:r>
              <w:rPr>
                <w:spacing w:val="-1"/>
                <w:w w:val="120"/>
                <w:sz w:val="22"/>
              </w:rPr>
              <w:t> </w:t>
            </w:r>
            <w:r>
              <w:rPr>
                <w:w w:val="120"/>
                <w:sz w:val="22"/>
              </w:rPr>
              <w:t>(of</w:t>
            </w:r>
            <w:r>
              <w:rPr>
                <w:spacing w:val="-1"/>
                <w:w w:val="120"/>
                <w:sz w:val="22"/>
              </w:rPr>
              <w:t> </w:t>
            </w:r>
            <w:r>
              <w:rPr>
                <w:spacing w:val="-5"/>
                <w:w w:val="120"/>
                <w:sz w:val="22"/>
              </w:rPr>
              <w:t>30)</w:t>
            </w:r>
          </w:p>
        </w:tc>
      </w:tr>
    </w:tbl>
    <w:p>
      <w:pPr>
        <w:pStyle w:val="BodyText"/>
        <w:rPr>
          <w:rFonts w:ascii="Calibri Light"/>
          <w:b w:val="0"/>
          <w:sz w:val="24"/>
        </w:rPr>
      </w:pPr>
    </w:p>
    <w:p>
      <w:pPr>
        <w:pStyle w:val="BodyText"/>
        <w:spacing w:before="5"/>
        <w:rPr>
          <w:rFonts w:ascii="Calibri Light"/>
          <w:b w:val="0"/>
          <w:sz w:val="18"/>
        </w:rPr>
      </w:pPr>
    </w:p>
    <w:p>
      <w:pPr>
        <w:pStyle w:val="BodyText"/>
        <w:ind w:left="220" w:right="1253"/>
        <w:jc w:val="both"/>
      </w:pPr>
      <w:r>
        <w:rPr>
          <w:b/>
        </w:rPr>
        <w:t>Source: </w:t>
      </w:r>
      <w:r>
        <w:rPr/>
        <w:t>Key Output Report – student assessment, SISTA presentation to EAs, SISTA reports 205 and </w:t>
      </w:r>
      <w:r>
        <w:rPr>
          <w:spacing w:val="-2"/>
        </w:rPr>
        <w:t>2017.</w:t>
      </w:r>
    </w:p>
    <w:p>
      <w:pPr>
        <w:spacing w:after="0"/>
        <w:jc w:val="both"/>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3"/>
        <w:jc w:val="both"/>
        <w:rPr>
          <w:b/>
        </w:rPr>
      </w:pPr>
      <w:r>
        <w:rPr>
          <w:b/>
        </w:rPr>
        <w:t>Performance Indicator 2.3.1 </w:t>
      </w:r>
      <w:r>
        <w:rPr/>
        <w:t>The Solomon Islands Standardised Tests of Achievement (SISTA) main study</w:t>
      </w:r>
      <w:r>
        <w:rPr>
          <w:spacing w:val="-1"/>
        </w:rPr>
        <w:t> </w:t>
      </w:r>
      <w:r>
        <w:rPr/>
        <w:t>was</w:t>
      </w:r>
      <w:r>
        <w:rPr>
          <w:spacing w:val="-1"/>
        </w:rPr>
        <w:t> </w:t>
      </w:r>
      <w:r>
        <w:rPr/>
        <w:t>carried</w:t>
      </w:r>
      <w:r>
        <w:rPr>
          <w:spacing w:val="-4"/>
        </w:rPr>
        <w:t> </w:t>
      </w:r>
      <w:r>
        <w:rPr/>
        <w:t>out in</w:t>
      </w:r>
      <w:r>
        <w:rPr>
          <w:spacing w:val="-2"/>
        </w:rPr>
        <w:t> </w:t>
      </w:r>
      <w:r>
        <w:rPr/>
        <w:t>November</w:t>
      </w:r>
      <w:r>
        <w:rPr>
          <w:spacing w:val="-1"/>
        </w:rPr>
        <w:t> </w:t>
      </w:r>
      <w:r>
        <w:rPr/>
        <w:t>2017.</w:t>
      </w:r>
      <w:r>
        <w:rPr>
          <w:spacing w:val="-2"/>
        </w:rPr>
        <w:t> </w:t>
      </w:r>
      <w:r>
        <w:rPr/>
        <w:t>Development</w:t>
      </w:r>
      <w:r>
        <w:rPr>
          <w:spacing w:val="-1"/>
        </w:rPr>
        <w:t> </w:t>
      </w:r>
      <w:r>
        <w:rPr/>
        <w:t>of new instruments</w:t>
      </w:r>
      <w:r>
        <w:rPr>
          <w:spacing w:val="-1"/>
        </w:rPr>
        <w:t> </w:t>
      </w:r>
      <w:r>
        <w:rPr/>
        <w:t>for Science (Years</w:t>
      </w:r>
      <w:r>
        <w:rPr>
          <w:spacing w:val="-1"/>
        </w:rPr>
        <w:t> </w:t>
      </w:r>
      <w:r>
        <w:rPr/>
        <w:t>1 to</w:t>
      </w:r>
      <w:r>
        <w:rPr>
          <w:spacing w:val="-2"/>
        </w:rPr>
        <w:t> </w:t>
      </w:r>
      <w:r>
        <w:rPr/>
        <w:t>6) and Literacy and Numeracy (Year 9) were not completed and activities have been moved to 2019. Reports were available from EQAP/SPC in early 2018. This was shared with stakeholders in an EA Conference/workshop and school reports shared with individual schools. This is a good first step in dissemination at a broader level. It possibly needs closer follow up with schools (through EAs) to increase understanding of what SISTA means for schools and its implications. As noted in the last independent assessment, the different user-friendly reporting formats should be the responsibility</w:t>
      </w:r>
      <w:r>
        <w:rPr>
          <w:spacing w:val="40"/>
        </w:rPr>
        <w:t> </w:t>
      </w:r>
      <w:r>
        <w:rPr/>
        <w:t>of the future contractor and outlined in the contract with MEHRD. </w:t>
      </w:r>
      <w:r>
        <w:rPr>
          <w:b/>
        </w:rPr>
        <w:t>Indicator 2.3.1 is 100 per cent achieved (out of a possible 70 per cent).</w:t>
      </w:r>
    </w:p>
    <w:p>
      <w:pPr>
        <w:pStyle w:val="BodyText"/>
        <w:spacing w:before="3"/>
        <w:rPr>
          <w:b/>
          <w:sz w:val="16"/>
        </w:rPr>
      </w:pPr>
    </w:p>
    <w:p>
      <w:pPr>
        <w:pStyle w:val="BodyText"/>
        <w:ind w:left="220" w:right="1253"/>
        <w:jc w:val="both"/>
      </w:pPr>
      <w:r>
        <w:rPr>
          <w:b/>
        </w:rPr>
        <w:t>Performance Indicator 2.3.2 </w:t>
      </w:r>
      <w:r>
        <w:rPr/>
        <w:t>The Solomon Islands standardised test of achievement (SISTA) for literacy, writing and numeracy percentages for students achieving at or above the expected</w:t>
      </w:r>
      <w:r>
        <w:rPr>
          <w:spacing w:val="80"/>
        </w:rPr>
        <w:t> </w:t>
      </w:r>
      <w:r>
        <w:rPr/>
        <w:t>standard was compared 2015 to 2017. However, for numeracy and writing there were not enough linking items to be able to compare with any degree of accuracy (at least 30 per cent</w:t>
      </w:r>
      <w:r>
        <w:rPr>
          <w:spacing w:val="-1"/>
        </w:rPr>
        <w:t> </w:t>
      </w:r>
      <w:r>
        <w:rPr/>
        <w:t>of items tested need to hold constant over time).</w:t>
      </w:r>
    </w:p>
    <w:p>
      <w:pPr>
        <w:pStyle w:val="BodyText"/>
        <w:spacing w:before="6"/>
        <w:rPr>
          <w:sz w:val="16"/>
        </w:rPr>
      </w:pPr>
    </w:p>
    <w:p>
      <w:pPr>
        <w:pStyle w:val="BodyText"/>
        <w:ind w:left="220" w:right="1253"/>
        <w:jc w:val="both"/>
        <w:rPr>
          <w:b/>
        </w:rPr>
      </w:pPr>
      <w:r>
        <w:rPr/>
        <w:t>For literacy in Year 6</w:t>
      </w:r>
      <w:r>
        <w:rPr>
          <w:vertAlign w:val="superscript"/>
        </w:rPr>
        <w:t>4</w:t>
      </w:r>
      <w:r>
        <w:rPr>
          <w:spacing w:val="-2"/>
          <w:vertAlign w:val="baseline"/>
        </w:rPr>
        <w:t> </w:t>
      </w:r>
      <w:r>
        <w:rPr>
          <w:vertAlign w:val="baseline"/>
        </w:rPr>
        <w:t>there appears to be sufficient linking items to make comparisons with some confidence. There has been a 7.4 per cent improvement in Year 6 literacy (from 61.5 to 68.9 per cent). In recognition of the fact that improvements in quality typically take time to achieve, this provides</w:t>
      </w:r>
      <w:r>
        <w:rPr>
          <w:spacing w:val="-4"/>
          <w:vertAlign w:val="baseline"/>
        </w:rPr>
        <w:t> </w:t>
      </w:r>
      <w:r>
        <w:rPr>
          <w:vertAlign w:val="baseline"/>
        </w:rPr>
        <w:t>some</w:t>
      </w:r>
      <w:r>
        <w:rPr>
          <w:spacing w:val="-1"/>
          <w:vertAlign w:val="baseline"/>
        </w:rPr>
        <w:t> </w:t>
      </w:r>
      <w:r>
        <w:rPr>
          <w:vertAlign w:val="baseline"/>
        </w:rPr>
        <w:t>indication</w:t>
      </w:r>
      <w:r>
        <w:rPr>
          <w:spacing w:val="-2"/>
          <w:vertAlign w:val="baseline"/>
        </w:rPr>
        <w:t> </w:t>
      </w:r>
      <w:r>
        <w:rPr>
          <w:vertAlign w:val="baseline"/>
        </w:rPr>
        <w:t>that</w:t>
      </w:r>
      <w:r>
        <w:rPr>
          <w:spacing w:val="-2"/>
          <w:vertAlign w:val="baseline"/>
        </w:rPr>
        <w:t> </w:t>
      </w:r>
      <w:r>
        <w:rPr>
          <w:vertAlign w:val="baseline"/>
        </w:rPr>
        <w:t>literacy</w:t>
      </w:r>
      <w:r>
        <w:rPr>
          <w:spacing w:val="-2"/>
          <w:vertAlign w:val="baseline"/>
        </w:rPr>
        <w:t> </w:t>
      </w:r>
      <w:r>
        <w:rPr>
          <w:vertAlign w:val="baseline"/>
        </w:rPr>
        <w:t>is</w:t>
      </w:r>
      <w:r>
        <w:rPr>
          <w:spacing w:val="-4"/>
          <w:vertAlign w:val="baseline"/>
        </w:rPr>
        <w:t> </w:t>
      </w:r>
      <w:r>
        <w:rPr>
          <w:vertAlign w:val="baseline"/>
        </w:rPr>
        <w:t>starting</w:t>
      </w:r>
      <w:r>
        <w:rPr>
          <w:spacing w:val="-5"/>
          <w:vertAlign w:val="baseline"/>
        </w:rPr>
        <w:t> </w:t>
      </w:r>
      <w:r>
        <w:rPr>
          <w:vertAlign w:val="baseline"/>
        </w:rPr>
        <w:t>to</w:t>
      </w:r>
      <w:r>
        <w:rPr>
          <w:spacing w:val="-3"/>
          <w:vertAlign w:val="baseline"/>
        </w:rPr>
        <w:t> </w:t>
      </w:r>
      <w:r>
        <w:rPr>
          <w:vertAlign w:val="baseline"/>
        </w:rPr>
        <w:t>improve</w:t>
      </w:r>
      <w:r>
        <w:rPr>
          <w:vertAlign w:val="superscript"/>
        </w:rPr>
        <w:t>5</w:t>
      </w:r>
      <w:r>
        <w:rPr>
          <w:vertAlign w:val="baseline"/>
        </w:rPr>
        <w:t>,</w:t>
      </w:r>
      <w:r>
        <w:rPr>
          <w:spacing w:val="-2"/>
          <w:vertAlign w:val="baseline"/>
        </w:rPr>
        <w:t> </w:t>
      </w:r>
      <w:r>
        <w:rPr>
          <w:vertAlign w:val="baseline"/>
        </w:rPr>
        <w:t>therefore</w:t>
      </w:r>
      <w:r>
        <w:rPr>
          <w:spacing w:val="-4"/>
          <w:vertAlign w:val="baseline"/>
        </w:rPr>
        <w:t> </w:t>
      </w:r>
      <w:r>
        <w:rPr>
          <w:b/>
          <w:vertAlign w:val="baseline"/>
        </w:rPr>
        <w:t>indicator 2.3.2 is assessed as 10 per cent achieved (of a possible 30 per cent).</w:t>
      </w:r>
    </w:p>
    <w:p>
      <w:pPr>
        <w:pStyle w:val="BodyText"/>
        <w:rPr>
          <w:b/>
        </w:rPr>
      </w:pPr>
    </w:p>
    <w:p>
      <w:pPr>
        <w:pStyle w:val="BodyText"/>
        <w:rPr>
          <w:b/>
        </w:rPr>
      </w:pPr>
    </w:p>
    <w:p>
      <w:pPr>
        <w:pStyle w:val="Heading4"/>
        <w:numPr>
          <w:ilvl w:val="2"/>
          <w:numId w:val="4"/>
        </w:numPr>
        <w:tabs>
          <w:tab w:pos="940" w:val="left" w:leader="none"/>
          <w:tab w:pos="941" w:val="left" w:leader="none"/>
        </w:tabs>
        <w:spacing w:line="240" w:lineRule="auto" w:before="180" w:after="0"/>
        <w:ind w:left="940" w:right="0" w:hanging="721"/>
        <w:jc w:val="left"/>
        <w:rPr>
          <w:b w:val="0"/>
        </w:rPr>
      </w:pPr>
      <w:bookmarkStart w:name="_bookmark16" w:id="17"/>
      <w:bookmarkEnd w:id="17"/>
      <w:r>
        <w:rPr>
          <w:b w:val="0"/>
          <w:color w:val="4471C4"/>
        </w:rPr>
        <w:t>T</w:t>
      </w:r>
      <w:r>
        <w:rPr>
          <w:b w:val="0"/>
          <w:color w:val="4471C4"/>
        </w:rPr>
        <w:t>arget</w:t>
      </w:r>
      <w:r>
        <w:rPr>
          <w:b w:val="0"/>
          <w:color w:val="4471C4"/>
          <w:spacing w:val="20"/>
        </w:rPr>
        <w:t> </w:t>
      </w:r>
      <w:r>
        <w:rPr>
          <w:b w:val="0"/>
          <w:color w:val="4471C4"/>
        </w:rPr>
        <w:t>2.4:</w:t>
      </w:r>
      <w:r>
        <w:rPr>
          <w:b w:val="0"/>
          <w:color w:val="4471C4"/>
          <w:spacing w:val="19"/>
        </w:rPr>
        <w:t> </w:t>
      </w:r>
      <w:r>
        <w:rPr>
          <w:b w:val="0"/>
          <w:color w:val="4471C4"/>
        </w:rPr>
        <w:t>Percentage</w:t>
      </w:r>
      <w:r>
        <w:rPr>
          <w:b w:val="0"/>
          <w:color w:val="4471C4"/>
          <w:spacing w:val="20"/>
        </w:rPr>
        <w:t> </w:t>
      </w:r>
      <w:r>
        <w:rPr>
          <w:b w:val="0"/>
          <w:color w:val="4471C4"/>
        </w:rPr>
        <w:t>of</w:t>
      </w:r>
      <w:r>
        <w:rPr>
          <w:b w:val="0"/>
          <w:color w:val="4471C4"/>
          <w:spacing w:val="19"/>
        </w:rPr>
        <w:t> </w:t>
      </w:r>
      <w:r>
        <w:rPr>
          <w:b w:val="0"/>
          <w:color w:val="4471C4"/>
        </w:rPr>
        <w:t>Certified</w:t>
      </w:r>
      <w:r>
        <w:rPr>
          <w:b w:val="0"/>
          <w:color w:val="4471C4"/>
          <w:spacing w:val="17"/>
        </w:rPr>
        <w:t> </w:t>
      </w:r>
      <w:r>
        <w:rPr>
          <w:b w:val="0"/>
          <w:color w:val="4471C4"/>
        </w:rPr>
        <w:t>Teachers</w:t>
      </w:r>
      <w:r>
        <w:rPr>
          <w:b w:val="0"/>
          <w:color w:val="4471C4"/>
          <w:spacing w:val="18"/>
        </w:rPr>
        <w:t> </w:t>
      </w:r>
      <w:r>
        <w:rPr>
          <w:b w:val="0"/>
          <w:color w:val="4471C4"/>
        </w:rPr>
        <w:t>by</w:t>
      </w:r>
      <w:r>
        <w:rPr>
          <w:b w:val="0"/>
          <w:color w:val="4471C4"/>
          <w:spacing w:val="20"/>
        </w:rPr>
        <w:t> </w:t>
      </w:r>
      <w:r>
        <w:rPr>
          <w:b w:val="0"/>
          <w:color w:val="4471C4"/>
          <w:spacing w:val="-2"/>
        </w:rPr>
        <w:t>gender</w:t>
      </w:r>
    </w:p>
    <w:p>
      <w:pPr>
        <w:pStyle w:val="BodyText"/>
        <w:spacing w:before="1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509"/>
        <w:gridCol w:w="2582"/>
        <w:gridCol w:w="1765"/>
      </w:tblGrid>
      <w:tr>
        <w:trPr>
          <w:trHeight w:val="687" w:hRule="atLeast"/>
        </w:trPr>
        <w:tc>
          <w:tcPr>
            <w:tcW w:w="2509" w:type="dxa"/>
            <w:tcBorders>
              <w:left w:val="single" w:sz="6" w:space="0" w:color="4471C4"/>
              <w:bottom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50"/>
              <w:rPr>
                <w:b/>
                <w:sz w:val="19"/>
              </w:rPr>
            </w:pPr>
            <w:r>
              <w:rPr>
                <w:b/>
                <w:w w:val="120"/>
                <w:sz w:val="19"/>
              </w:rPr>
              <w:t>Performance</w:t>
            </w:r>
            <w:r>
              <w:rPr>
                <w:b/>
                <w:spacing w:val="-4"/>
                <w:w w:val="120"/>
                <w:sz w:val="19"/>
              </w:rPr>
              <w:t> </w:t>
            </w:r>
            <w:r>
              <w:rPr>
                <w:b/>
                <w:spacing w:val="-2"/>
                <w:w w:val="120"/>
                <w:sz w:val="19"/>
              </w:rPr>
              <w:t>Indicators</w:t>
            </w:r>
          </w:p>
        </w:tc>
        <w:tc>
          <w:tcPr>
            <w:tcW w:w="2582" w:type="dxa"/>
            <w:tcBorders>
              <w:left w:val="single" w:sz="6" w:space="0" w:color="4471C4"/>
              <w:bottom w:val="single" w:sz="6" w:space="0" w:color="4471C4"/>
              <w:right w:val="single" w:sz="6" w:space="0" w:color="4471C4"/>
            </w:tcBorders>
            <w:shd w:val="clear" w:color="auto" w:fill="B4C5E7"/>
          </w:tcPr>
          <w:p>
            <w:pPr>
              <w:pStyle w:val="TableParagraph"/>
              <w:spacing w:line="259" w:lineRule="auto" w:before="109"/>
              <w:ind w:left="723" w:hanging="268"/>
              <w:rPr>
                <w:b/>
                <w:sz w:val="19"/>
              </w:rPr>
            </w:pPr>
            <w:r>
              <w:rPr>
                <w:b/>
                <w:w w:val="120"/>
                <w:sz w:val="19"/>
              </w:rPr>
              <w:t>Expected </w:t>
            </w:r>
            <w:r>
              <w:rPr>
                <w:b/>
                <w:w w:val="120"/>
                <w:sz w:val="19"/>
              </w:rPr>
              <w:t>Results </w:t>
            </w:r>
            <w:r>
              <w:rPr>
                <w:b/>
                <w:spacing w:val="-2"/>
                <w:w w:val="120"/>
                <w:sz w:val="19"/>
              </w:rPr>
              <w:t>Statements</w:t>
            </w:r>
          </w:p>
        </w:tc>
        <w:tc>
          <w:tcPr>
            <w:tcW w:w="1765" w:type="dxa"/>
            <w:tcBorders>
              <w:left w:val="single" w:sz="6" w:space="0" w:color="4471C4"/>
              <w:bottom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82" w:right="162"/>
              <w:jc w:val="center"/>
              <w:rPr>
                <w:b/>
                <w:sz w:val="19"/>
              </w:rPr>
            </w:pPr>
            <w:r>
              <w:rPr>
                <w:b/>
                <w:spacing w:val="-5"/>
                <w:w w:val="120"/>
                <w:sz w:val="19"/>
              </w:rPr>
              <w:t>IA</w:t>
            </w:r>
          </w:p>
        </w:tc>
      </w:tr>
      <w:tr>
        <w:trPr>
          <w:trHeight w:val="1417" w:hRule="atLeast"/>
        </w:trPr>
        <w:tc>
          <w:tcPr>
            <w:tcW w:w="2509" w:type="dxa"/>
            <w:tcBorders>
              <w:top w:val="single" w:sz="6" w:space="0" w:color="4471C4"/>
              <w:left w:val="single" w:sz="6" w:space="0" w:color="4471C4"/>
              <w:right w:val="single" w:sz="6" w:space="0" w:color="4471C4"/>
            </w:tcBorders>
          </w:tcPr>
          <w:p>
            <w:pPr>
              <w:pStyle w:val="TableParagraph"/>
              <w:spacing w:line="261" w:lineRule="auto" w:before="6"/>
              <w:ind w:left="41" w:right="25"/>
              <w:rPr>
                <w:sz w:val="18"/>
              </w:rPr>
            </w:pPr>
            <w:r>
              <w:rPr>
                <w:w w:val="120"/>
                <w:sz w:val="18"/>
              </w:rPr>
              <w:t>2.4.1</w:t>
            </w:r>
            <w:r>
              <w:rPr>
                <w:spacing w:val="40"/>
                <w:w w:val="120"/>
                <w:sz w:val="18"/>
              </w:rPr>
              <w:t> </w:t>
            </w:r>
            <w:r>
              <w:rPr>
                <w:w w:val="120"/>
                <w:sz w:val="18"/>
              </w:rPr>
              <w:t>By the end of 2018, delivery of USP Certificate in Teaching Primary (courses</w:t>
            </w:r>
            <w:r>
              <w:rPr>
                <w:spacing w:val="-7"/>
                <w:w w:val="120"/>
                <w:sz w:val="18"/>
              </w:rPr>
              <w:t> </w:t>
            </w:r>
            <w:r>
              <w:rPr>
                <w:w w:val="120"/>
                <w:sz w:val="18"/>
              </w:rPr>
              <w:t>ED152</w:t>
            </w:r>
            <w:r>
              <w:rPr>
                <w:spacing w:val="-8"/>
                <w:w w:val="120"/>
                <w:sz w:val="18"/>
              </w:rPr>
              <w:t> </w:t>
            </w:r>
            <w:r>
              <w:rPr>
                <w:w w:val="120"/>
                <w:sz w:val="18"/>
              </w:rPr>
              <w:t>and</w:t>
            </w:r>
            <w:r>
              <w:rPr>
                <w:spacing w:val="-11"/>
                <w:w w:val="120"/>
                <w:sz w:val="18"/>
              </w:rPr>
              <w:t> </w:t>
            </w:r>
            <w:r>
              <w:rPr>
                <w:w w:val="120"/>
                <w:sz w:val="18"/>
              </w:rPr>
              <w:t>ED100)</w:t>
            </w:r>
            <w:r>
              <w:rPr>
                <w:w w:val="120"/>
                <w:sz w:val="18"/>
              </w:rPr>
              <w:t> for 75 untrained teachers</w:t>
            </w:r>
          </w:p>
          <w:p>
            <w:pPr>
              <w:pStyle w:val="TableParagraph"/>
              <w:spacing w:line="192" w:lineRule="exact" w:before="2"/>
              <w:ind w:left="41"/>
              <w:rPr>
                <w:sz w:val="18"/>
              </w:rPr>
            </w:pPr>
            <w:r>
              <w:rPr>
                <w:spacing w:val="-2"/>
                <w:w w:val="120"/>
                <w:sz w:val="18"/>
              </w:rPr>
              <w:t>completed</w:t>
            </w:r>
          </w:p>
        </w:tc>
        <w:tc>
          <w:tcPr>
            <w:tcW w:w="2582" w:type="dxa"/>
            <w:tcBorders>
              <w:top w:val="single" w:sz="6" w:space="0" w:color="4471C4"/>
              <w:left w:val="single" w:sz="6" w:space="0" w:color="4471C4"/>
              <w:right w:val="single" w:sz="6" w:space="0" w:color="4471C4"/>
            </w:tcBorders>
          </w:tcPr>
          <w:p>
            <w:pPr>
              <w:pStyle w:val="TableParagraph"/>
              <w:spacing w:line="261" w:lineRule="auto" w:before="6"/>
              <w:ind w:left="41" w:right="90"/>
              <w:rPr>
                <w:sz w:val="18"/>
              </w:rPr>
            </w:pPr>
            <w:r>
              <w:rPr>
                <w:w w:val="120"/>
                <w:sz w:val="18"/>
              </w:rPr>
              <w:t>Untrained</w:t>
            </w:r>
            <w:r>
              <w:rPr>
                <w:spacing w:val="-13"/>
                <w:w w:val="120"/>
                <w:sz w:val="18"/>
              </w:rPr>
              <w:t> </w:t>
            </w:r>
            <w:r>
              <w:rPr>
                <w:w w:val="120"/>
                <w:sz w:val="18"/>
              </w:rPr>
              <w:t>teachers</w:t>
            </w:r>
            <w:r>
              <w:rPr>
                <w:spacing w:val="-12"/>
                <w:w w:val="120"/>
                <w:sz w:val="18"/>
              </w:rPr>
              <w:t> </w:t>
            </w:r>
            <w:r>
              <w:rPr>
                <w:w w:val="120"/>
                <w:sz w:val="18"/>
              </w:rPr>
              <w:t>(target of 75) complete both courses as reported in Annual Report 2018 (30%)</w:t>
            </w:r>
          </w:p>
        </w:tc>
        <w:tc>
          <w:tcPr>
            <w:tcW w:w="1765" w:type="dxa"/>
            <w:tcBorders>
              <w:top w:val="single" w:sz="6" w:space="0" w:color="4471C4"/>
              <w:left w:val="single" w:sz="6" w:space="0" w:color="4471C4"/>
              <w:right w:val="single" w:sz="6" w:space="0" w:color="4471C4"/>
            </w:tcBorders>
            <w:shd w:val="clear" w:color="auto" w:fill="A9D08E"/>
          </w:tcPr>
          <w:p>
            <w:pPr>
              <w:pStyle w:val="TableParagraph"/>
              <w:spacing w:before="8"/>
              <w:ind w:left="182" w:right="174"/>
              <w:jc w:val="center"/>
              <w:rPr>
                <w:sz w:val="22"/>
              </w:rPr>
            </w:pPr>
            <w:r>
              <w:rPr>
                <w:w w:val="120"/>
                <w:sz w:val="22"/>
              </w:rPr>
              <w:t>100%</w:t>
            </w:r>
            <w:r>
              <w:rPr>
                <w:spacing w:val="6"/>
                <w:w w:val="120"/>
                <w:sz w:val="22"/>
              </w:rPr>
              <w:t> </w:t>
            </w:r>
            <w:r>
              <w:rPr>
                <w:w w:val="120"/>
                <w:sz w:val="22"/>
              </w:rPr>
              <w:t>(of</w:t>
            </w:r>
            <w:r>
              <w:rPr>
                <w:spacing w:val="6"/>
                <w:w w:val="120"/>
                <w:sz w:val="22"/>
              </w:rPr>
              <w:t> </w:t>
            </w:r>
            <w:r>
              <w:rPr>
                <w:spacing w:val="-5"/>
                <w:w w:val="120"/>
                <w:sz w:val="22"/>
              </w:rPr>
              <w:t>30)</w:t>
            </w:r>
          </w:p>
        </w:tc>
      </w:tr>
      <w:tr>
        <w:trPr>
          <w:trHeight w:val="979" w:hRule="atLeast"/>
        </w:trPr>
        <w:tc>
          <w:tcPr>
            <w:tcW w:w="2509" w:type="dxa"/>
            <w:tcBorders>
              <w:left w:val="single" w:sz="6" w:space="0" w:color="4471C4"/>
              <w:right w:val="single" w:sz="6" w:space="0" w:color="4471C4"/>
            </w:tcBorders>
          </w:tcPr>
          <w:p>
            <w:pPr>
              <w:pStyle w:val="TableParagraph"/>
              <w:spacing w:line="261" w:lineRule="auto" w:before="8"/>
              <w:ind w:left="41" w:right="25"/>
              <w:rPr>
                <w:sz w:val="18"/>
              </w:rPr>
            </w:pPr>
            <w:r>
              <w:rPr>
                <w:w w:val="120"/>
                <w:sz w:val="18"/>
              </w:rPr>
              <w:t>2.4.2</w:t>
            </w:r>
            <w:r>
              <w:rPr>
                <w:spacing w:val="40"/>
                <w:w w:val="120"/>
                <w:sz w:val="18"/>
              </w:rPr>
              <w:t> </w:t>
            </w:r>
            <w:r>
              <w:rPr>
                <w:w w:val="120"/>
                <w:sz w:val="18"/>
              </w:rPr>
              <w:t>By</w:t>
            </w:r>
            <w:r>
              <w:rPr>
                <w:spacing w:val="-4"/>
                <w:w w:val="120"/>
                <w:sz w:val="18"/>
              </w:rPr>
              <w:t> </w:t>
            </w:r>
            <w:r>
              <w:rPr>
                <w:w w:val="120"/>
                <w:sz w:val="18"/>
              </w:rPr>
              <w:t>the</w:t>
            </w:r>
            <w:r>
              <w:rPr>
                <w:spacing w:val="-2"/>
                <w:w w:val="120"/>
                <w:sz w:val="18"/>
              </w:rPr>
              <w:t> </w:t>
            </w:r>
            <w:r>
              <w:rPr>
                <w:w w:val="120"/>
                <w:sz w:val="18"/>
              </w:rPr>
              <w:t>end</w:t>
            </w:r>
            <w:r>
              <w:rPr>
                <w:spacing w:val="-7"/>
                <w:w w:val="120"/>
                <w:sz w:val="18"/>
              </w:rPr>
              <w:t> </w:t>
            </w:r>
            <w:r>
              <w:rPr>
                <w:w w:val="120"/>
                <w:sz w:val="18"/>
              </w:rPr>
              <w:t>of 2018,</w:t>
            </w:r>
            <w:r>
              <w:rPr>
                <w:spacing w:val="-7"/>
                <w:w w:val="120"/>
                <w:sz w:val="18"/>
              </w:rPr>
              <w:t> </w:t>
            </w:r>
            <w:r>
              <w:rPr>
                <w:w w:val="120"/>
                <w:sz w:val="18"/>
              </w:rPr>
              <w:t>a</w:t>
            </w:r>
            <w:r>
              <w:rPr>
                <w:w w:val="120"/>
                <w:sz w:val="18"/>
              </w:rPr>
              <w:t> Teacher Supply and Demand</w:t>
            </w:r>
            <w:r>
              <w:rPr>
                <w:spacing w:val="-13"/>
                <w:w w:val="120"/>
                <w:sz w:val="18"/>
              </w:rPr>
              <w:t> </w:t>
            </w:r>
            <w:r>
              <w:rPr>
                <w:w w:val="120"/>
                <w:sz w:val="18"/>
              </w:rPr>
              <w:t>study</w:t>
            </w:r>
            <w:r>
              <w:rPr>
                <w:spacing w:val="-9"/>
                <w:w w:val="120"/>
                <w:sz w:val="18"/>
              </w:rPr>
              <w:t> </w:t>
            </w:r>
            <w:r>
              <w:rPr>
                <w:w w:val="120"/>
                <w:sz w:val="18"/>
              </w:rPr>
              <w:t>endorsed</w:t>
            </w:r>
            <w:r>
              <w:rPr>
                <w:spacing w:val="-13"/>
                <w:w w:val="120"/>
                <w:sz w:val="18"/>
              </w:rPr>
              <w:t> </w:t>
            </w:r>
            <w:r>
              <w:rPr>
                <w:w w:val="120"/>
                <w:sz w:val="18"/>
              </w:rPr>
              <w:t>by</w:t>
            </w:r>
          </w:p>
          <w:p>
            <w:pPr>
              <w:pStyle w:val="TableParagraph"/>
              <w:spacing w:before="1"/>
              <w:ind w:left="41"/>
              <w:rPr>
                <w:sz w:val="18"/>
              </w:rPr>
            </w:pPr>
            <w:r>
              <w:rPr>
                <w:spacing w:val="-5"/>
                <w:w w:val="120"/>
                <w:sz w:val="18"/>
              </w:rPr>
              <w:t>SMT</w:t>
            </w:r>
          </w:p>
        </w:tc>
        <w:tc>
          <w:tcPr>
            <w:tcW w:w="2582" w:type="dxa"/>
            <w:tcBorders>
              <w:left w:val="single" w:sz="6" w:space="0" w:color="4471C4"/>
              <w:right w:val="single" w:sz="6" w:space="0" w:color="4471C4"/>
            </w:tcBorders>
          </w:tcPr>
          <w:p>
            <w:pPr>
              <w:pStyle w:val="TableParagraph"/>
              <w:spacing w:line="261" w:lineRule="auto" w:before="8"/>
              <w:ind w:left="41" w:right="90"/>
              <w:rPr>
                <w:sz w:val="18"/>
              </w:rPr>
            </w:pPr>
            <w:r>
              <w:rPr>
                <w:w w:val="120"/>
                <w:sz w:val="18"/>
              </w:rPr>
              <w:t>A</w:t>
            </w:r>
            <w:r>
              <w:rPr>
                <w:spacing w:val="-13"/>
                <w:w w:val="120"/>
                <w:sz w:val="18"/>
              </w:rPr>
              <w:t> </w:t>
            </w:r>
            <w:r>
              <w:rPr>
                <w:w w:val="120"/>
                <w:sz w:val="18"/>
              </w:rPr>
              <w:t>quality</w:t>
            </w:r>
            <w:r>
              <w:rPr>
                <w:spacing w:val="-12"/>
                <w:w w:val="120"/>
                <w:sz w:val="18"/>
              </w:rPr>
              <w:t> </w:t>
            </w:r>
            <w:r>
              <w:rPr>
                <w:w w:val="120"/>
                <w:sz w:val="18"/>
              </w:rPr>
              <w:t>Teacher</w:t>
            </w:r>
            <w:r>
              <w:rPr>
                <w:spacing w:val="-12"/>
                <w:w w:val="120"/>
                <w:sz w:val="18"/>
              </w:rPr>
              <w:t> </w:t>
            </w:r>
            <w:r>
              <w:rPr>
                <w:w w:val="120"/>
                <w:sz w:val="18"/>
              </w:rPr>
              <w:t>Supply and Demand study endorsed by SMT (70%)</w:t>
            </w:r>
          </w:p>
        </w:tc>
        <w:tc>
          <w:tcPr>
            <w:tcW w:w="1765" w:type="dxa"/>
            <w:tcBorders>
              <w:left w:val="single" w:sz="6" w:space="0" w:color="4471C4"/>
              <w:right w:val="single" w:sz="6" w:space="0" w:color="4471C4"/>
            </w:tcBorders>
            <w:shd w:val="clear" w:color="auto" w:fill="FF0000"/>
          </w:tcPr>
          <w:p>
            <w:pPr>
              <w:pStyle w:val="TableParagraph"/>
              <w:spacing w:before="10"/>
              <w:ind w:left="182" w:right="161"/>
              <w:jc w:val="center"/>
              <w:rPr>
                <w:sz w:val="22"/>
              </w:rPr>
            </w:pPr>
            <w:r>
              <w:rPr>
                <w:spacing w:val="-5"/>
                <w:w w:val="120"/>
                <w:sz w:val="22"/>
              </w:rPr>
              <w:t>0%</w:t>
            </w:r>
          </w:p>
        </w:tc>
      </w:tr>
    </w:tbl>
    <w:p>
      <w:pPr>
        <w:pStyle w:val="BodyText"/>
        <w:spacing w:before="202"/>
        <w:ind w:left="220" w:right="1254"/>
        <w:jc w:val="both"/>
      </w:pPr>
      <w:r>
        <w:rPr>
          <w:b/>
        </w:rPr>
        <w:t>Source: </w:t>
      </w:r>
      <w:r>
        <w:rPr/>
        <w:t>Quarterly Progress Report, Key Output Reports – teacher professional development; and teacher management, Mid NEAP Review Findings Report.</w:t>
      </w:r>
    </w:p>
    <w:p>
      <w:pPr>
        <w:pStyle w:val="BodyText"/>
        <w:spacing w:before="4"/>
        <w:rPr>
          <w:sz w:val="16"/>
        </w:rPr>
      </w:pPr>
    </w:p>
    <w:p>
      <w:pPr>
        <w:pStyle w:val="BodyText"/>
        <w:ind w:left="220" w:right="1319"/>
      </w:pPr>
      <w:r>
        <w:rPr>
          <w:b/>
        </w:rPr>
        <w:t>Performance</w:t>
      </w:r>
      <w:r>
        <w:rPr>
          <w:b/>
          <w:spacing w:val="-5"/>
        </w:rPr>
        <w:t> </w:t>
      </w:r>
      <w:r>
        <w:rPr>
          <w:b/>
        </w:rPr>
        <w:t>Indicator</w:t>
      </w:r>
      <w:r>
        <w:rPr>
          <w:b/>
          <w:spacing w:val="-4"/>
        </w:rPr>
        <w:t> </w:t>
      </w:r>
      <w:r>
        <w:rPr>
          <w:b/>
        </w:rPr>
        <w:t>2.4.1 </w:t>
      </w:r>
      <w:r>
        <w:rPr/>
        <w:t>The</w:t>
      </w:r>
      <w:r>
        <w:rPr>
          <w:spacing w:val="-4"/>
        </w:rPr>
        <w:t> </w:t>
      </w:r>
      <w:r>
        <w:rPr/>
        <w:t>Certificate</w:t>
      </w:r>
      <w:r>
        <w:rPr>
          <w:spacing w:val="-3"/>
        </w:rPr>
        <w:t> </w:t>
      </w:r>
      <w:r>
        <w:rPr/>
        <w:t>in</w:t>
      </w:r>
      <w:r>
        <w:rPr>
          <w:spacing w:val="-3"/>
        </w:rPr>
        <w:t> </w:t>
      </w:r>
      <w:r>
        <w:rPr/>
        <w:t>Teaching</w:t>
      </w:r>
      <w:r>
        <w:rPr>
          <w:spacing w:val="-3"/>
        </w:rPr>
        <w:t> </w:t>
      </w:r>
      <w:r>
        <w:rPr/>
        <w:t>Primary/Secondary</w:t>
      </w:r>
      <w:r>
        <w:rPr>
          <w:spacing w:val="-4"/>
        </w:rPr>
        <w:t> </w:t>
      </w:r>
      <w:r>
        <w:rPr/>
        <w:t>was</w:t>
      </w:r>
      <w:r>
        <w:rPr>
          <w:spacing w:val="-4"/>
        </w:rPr>
        <w:t> </w:t>
      </w:r>
      <w:r>
        <w:rPr/>
        <w:t>conducted</w:t>
      </w:r>
      <w:r>
        <w:rPr>
          <w:spacing w:val="-3"/>
        </w:rPr>
        <w:t> </w:t>
      </w:r>
      <w:r>
        <w:rPr/>
        <w:t>this</w:t>
      </w:r>
      <w:r>
        <w:rPr>
          <w:spacing w:val="-5"/>
        </w:rPr>
        <w:t> </w:t>
      </w:r>
      <w:r>
        <w:rPr/>
        <w:t>year with 79 (31 Female and 48 Male) untrained teachers. These teachers are now qualified and can use effective teaching and assessment strategies. USP has marked final examinations; only 2 people have not been able to complete the Certificate. USP will hold a graduation ceremony in September</w:t>
      </w:r>
    </w:p>
    <w:p>
      <w:pPr>
        <w:pStyle w:val="BodyText"/>
        <w:spacing w:before="9"/>
        <w:rPr>
          <w:sz w:val="25"/>
        </w:rPr>
      </w:pPr>
      <w:r>
        <w:rPr/>
        <w:pict>
          <v:rect style="position:absolute;margin-left:72.024002pt;margin-top:16.916151pt;width:144.020pt;height:.72003pt;mso-position-horizontal-relative:page;mso-position-vertical-relative:paragraph;z-index:-15727104;mso-wrap-distance-left:0;mso-wrap-distance-right:0" id="docshape8" filled="true" fillcolor="#000000" stroked="false">
            <v:fill type="solid"/>
            <w10:wrap type="topAndBottom"/>
          </v:rect>
        </w:pict>
      </w:r>
    </w:p>
    <w:p>
      <w:pPr>
        <w:spacing w:before="100"/>
        <w:ind w:left="220" w:right="1246" w:firstLine="0"/>
        <w:jc w:val="left"/>
        <w:rPr>
          <w:sz w:val="18"/>
        </w:rPr>
      </w:pPr>
      <w:r>
        <w:rPr>
          <w:position w:val="5"/>
          <w:sz w:val="12"/>
        </w:rPr>
        <w:t>4</w:t>
      </w:r>
      <w:r>
        <w:rPr>
          <w:spacing w:val="20"/>
          <w:position w:val="5"/>
          <w:sz w:val="12"/>
        </w:rPr>
        <w:t> </w:t>
      </w:r>
      <w:r>
        <w:rPr>
          <w:sz w:val="18"/>
        </w:rPr>
        <w:t>Thornton, et al. (2018). </w:t>
      </w:r>
      <w:r>
        <w:rPr>
          <w:i/>
          <w:sz w:val="18"/>
        </w:rPr>
        <w:t>Ibid</w:t>
      </w:r>
      <w:r>
        <w:rPr>
          <w:sz w:val="18"/>
        </w:rPr>
        <w:t>. p23. “Although MEHRD is being conservative in reporting on improvements in literacy between</w:t>
      </w:r>
      <w:r>
        <w:rPr>
          <w:spacing w:val="-3"/>
          <w:sz w:val="18"/>
        </w:rPr>
        <w:t> </w:t>
      </w:r>
      <w:r>
        <w:rPr>
          <w:sz w:val="18"/>
        </w:rPr>
        <w:t>the</w:t>
      </w:r>
      <w:r>
        <w:rPr>
          <w:spacing w:val="-3"/>
          <w:sz w:val="18"/>
        </w:rPr>
        <w:t> </w:t>
      </w:r>
      <w:r>
        <w:rPr>
          <w:sz w:val="18"/>
        </w:rPr>
        <w:t>last</w:t>
      </w:r>
      <w:r>
        <w:rPr>
          <w:spacing w:val="-2"/>
          <w:sz w:val="18"/>
        </w:rPr>
        <w:t> </w:t>
      </w:r>
      <w:r>
        <w:rPr>
          <w:sz w:val="18"/>
        </w:rPr>
        <w:t>administration</w:t>
      </w:r>
      <w:r>
        <w:rPr>
          <w:spacing w:val="-1"/>
          <w:sz w:val="18"/>
        </w:rPr>
        <w:t> </w:t>
      </w:r>
      <w:r>
        <w:rPr>
          <w:sz w:val="18"/>
        </w:rPr>
        <w:t>of</w:t>
      </w:r>
      <w:r>
        <w:rPr>
          <w:spacing w:val="-3"/>
          <w:sz w:val="18"/>
        </w:rPr>
        <w:t> </w:t>
      </w:r>
      <w:r>
        <w:rPr>
          <w:sz w:val="18"/>
        </w:rPr>
        <w:t>SISTA</w:t>
      </w:r>
      <w:r>
        <w:rPr>
          <w:spacing w:val="-2"/>
          <w:sz w:val="18"/>
        </w:rPr>
        <w:t> </w:t>
      </w:r>
      <w:r>
        <w:rPr>
          <w:sz w:val="18"/>
        </w:rPr>
        <w:t>in</w:t>
      </w:r>
      <w:r>
        <w:rPr>
          <w:spacing w:val="-3"/>
          <w:sz w:val="18"/>
        </w:rPr>
        <w:t> </w:t>
      </w:r>
      <w:r>
        <w:rPr>
          <w:sz w:val="18"/>
        </w:rPr>
        <w:t>2015</w:t>
      </w:r>
      <w:r>
        <w:rPr>
          <w:spacing w:val="-3"/>
          <w:sz w:val="18"/>
        </w:rPr>
        <w:t> </w:t>
      </w:r>
      <w:r>
        <w:rPr>
          <w:sz w:val="18"/>
        </w:rPr>
        <w:t>and</w:t>
      </w:r>
      <w:r>
        <w:rPr>
          <w:spacing w:val="-1"/>
          <w:sz w:val="18"/>
        </w:rPr>
        <w:t> </w:t>
      </w:r>
      <w:r>
        <w:rPr>
          <w:sz w:val="18"/>
        </w:rPr>
        <w:t>that</w:t>
      </w:r>
      <w:r>
        <w:rPr>
          <w:spacing w:val="-3"/>
          <w:sz w:val="18"/>
        </w:rPr>
        <w:t> </w:t>
      </w:r>
      <w:r>
        <w:rPr>
          <w:sz w:val="18"/>
        </w:rPr>
        <w:t>of</w:t>
      </w:r>
      <w:r>
        <w:rPr>
          <w:spacing w:val="-3"/>
          <w:sz w:val="18"/>
        </w:rPr>
        <w:t> </w:t>
      </w:r>
      <w:r>
        <w:rPr>
          <w:sz w:val="18"/>
        </w:rPr>
        <w:t>2017,</w:t>
      </w:r>
      <w:r>
        <w:rPr>
          <w:spacing w:val="-2"/>
          <w:sz w:val="18"/>
        </w:rPr>
        <w:t> </w:t>
      </w:r>
      <w:r>
        <w:rPr>
          <w:sz w:val="18"/>
        </w:rPr>
        <w:t>there</w:t>
      </w:r>
      <w:r>
        <w:rPr>
          <w:spacing w:val="-4"/>
          <w:sz w:val="18"/>
        </w:rPr>
        <w:t> </w:t>
      </w:r>
      <w:r>
        <w:rPr>
          <w:sz w:val="18"/>
        </w:rPr>
        <w:t>are</w:t>
      </w:r>
      <w:r>
        <w:rPr>
          <w:spacing w:val="-1"/>
          <w:sz w:val="18"/>
        </w:rPr>
        <w:t> </w:t>
      </w:r>
      <w:r>
        <w:rPr>
          <w:sz w:val="18"/>
        </w:rPr>
        <w:t>probably sufficient</w:t>
      </w:r>
      <w:r>
        <w:rPr>
          <w:spacing w:val="-2"/>
          <w:sz w:val="18"/>
        </w:rPr>
        <w:t> </w:t>
      </w:r>
      <w:r>
        <w:rPr>
          <w:sz w:val="18"/>
        </w:rPr>
        <w:t>linking</w:t>
      </w:r>
      <w:r>
        <w:rPr>
          <w:spacing w:val="-3"/>
          <w:sz w:val="18"/>
        </w:rPr>
        <w:t> </w:t>
      </w:r>
      <w:r>
        <w:rPr>
          <w:sz w:val="18"/>
        </w:rPr>
        <w:t>items</w:t>
      </w:r>
      <w:r>
        <w:rPr>
          <w:spacing w:val="-3"/>
          <w:sz w:val="18"/>
        </w:rPr>
        <w:t> </w:t>
      </w:r>
      <w:r>
        <w:rPr>
          <w:sz w:val="18"/>
        </w:rPr>
        <w:t>to</w:t>
      </w:r>
      <w:r>
        <w:rPr>
          <w:spacing w:val="-2"/>
          <w:sz w:val="18"/>
        </w:rPr>
        <w:t> </w:t>
      </w:r>
      <w:r>
        <w:rPr>
          <w:sz w:val="18"/>
        </w:rPr>
        <w:t>be</w:t>
      </w:r>
      <w:r>
        <w:rPr>
          <w:spacing w:val="-3"/>
          <w:sz w:val="18"/>
        </w:rPr>
        <w:t> </w:t>
      </w:r>
      <w:r>
        <w:rPr>
          <w:sz w:val="18"/>
        </w:rPr>
        <w:t>able</w:t>
      </w:r>
      <w:r>
        <w:rPr>
          <w:spacing w:val="-3"/>
          <w:sz w:val="18"/>
        </w:rPr>
        <w:t> </w:t>
      </w:r>
      <w:r>
        <w:rPr>
          <w:sz w:val="18"/>
        </w:rPr>
        <w:t>to say there have been improvements in literacy over the last 3 years.</w:t>
      </w:r>
      <w:r>
        <w:rPr>
          <w:spacing w:val="40"/>
          <w:sz w:val="18"/>
        </w:rPr>
        <w:t> </w:t>
      </w:r>
      <w:r>
        <w:rPr>
          <w:sz w:val="18"/>
        </w:rPr>
        <w:t>This cannot be stated with confidence for numeracy where there are insufficient linking items although scores also improved in this area.”</w:t>
      </w:r>
    </w:p>
    <w:p>
      <w:pPr>
        <w:spacing w:before="38"/>
        <w:ind w:left="220" w:right="0" w:firstLine="0"/>
        <w:jc w:val="left"/>
        <w:rPr>
          <w:sz w:val="18"/>
        </w:rPr>
      </w:pPr>
      <w:r>
        <w:rPr>
          <w:position w:val="5"/>
          <w:sz w:val="12"/>
        </w:rPr>
        <w:t>5</w:t>
      </w:r>
      <w:r>
        <w:rPr>
          <w:spacing w:val="8"/>
          <w:position w:val="5"/>
          <w:sz w:val="12"/>
        </w:rPr>
        <w:t> </w:t>
      </w:r>
      <w:r>
        <w:rPr>
          <w:sz w:val="18"/>
        </w:rPr>
        <w:t>Thornton,</w:t>
      </w:r>
      <w:r>
        <w:rPr>
          <w:spacing w:val="-1"/>
          <w:sz w:val="18"/>
        </w:rPr>
        <w:t> </w:t>
      </w:r>
      <w:r>
        <w:rPr>
          <w:sz w:val="18"/>
        </w:rPr>
        <w:t>et</w:t>
      </w:r>
      <w:r>
        <w:rPr>
          <w:spacing w:val="-1"/>
          <w:sz w:val="18"/>
        </w:rPr>
        <w:t> </w:t>
      </w:r>
      <w:r>
        <w:rPr>
          <w:sz w:val="18"/>
        </w:rPr>
        <w:t>al.</w:t>
      </w:r>
      <w:r>
        <w:rPr>
          <w:spacing w:val="-2"/>
          <w:sz w:val="18"/>
        </w:rPr>
        <w:t> </w:t>
      </w:r>
      <w:r>
        <w:rPr>
          <w:sz w:val="18"/>
        </w:rPr>
        <w:t>(2018)</w:t>
      </w:r>
      <w:r>
        <w:rPr>
          <w:i/>
          <w:sz w:val="18"/>
        </w:rPr>
        <w:t>.</w:t>
      </w:r>
      <w:r>
        <w:rPr>
          <w:i/>
          <w:spacing w:val="-2"/>
          <w:sz w:val="18"/>
        </w:rPr>
        <w:t> </w:t>
      </w:r>
      <w:r>
        <w:rPr>
          <w:i/>
          <w:sz w:val="18"/>
        </w:rPr>
        <w:t>Ibid. </w:t>
      </w:r>
      <w:r>
        <w:rPr>
          <w:spacing w:val="-4"/>
          <w:sz w:val="18"/>
        </w:rPr>
        <w:t>p23.</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46"/>
      </w:pPr>
      <w:r>
        <w:rPr/>
        <w:t>2019. Another</w:t>
      </w:r>
      <w:r>
        <w:rPr>
          <w:spacing w:val="-1"/>
        </w:rPr>
        <w:t> </w:t>
      </w:r>
      <w:r>
        <w:rPr/>
        <w:t>79 teachers</w:t>
      </w:r>
      <w:r>
        <w:rPr>
          <w:spacing w:val="-4"/>
        </w:rPr>
        <w:t> </w:t>
      </w:r>
      <w:r>
        <w:rPr/>
        <w:t>are continuing the training and have now completed six of</w:t>
      </w:r>
      <w:r>
        <w:rPr>
          <w:spacing w:val="-1"/>
        </w:rPr>
        <w:t> </w:t>
      </w:r>
      <w:r>
        <w:rPr/>
        <w:t>the eight courses contained in this training program.</w:t>
      </w:r>
      <w:r>
        <w:rPr>
          <w:spacing w:val="40"/>
        </w:rPr>
        <w:t> </w:t>
      </w:r>
      <w:r>
        <w:rPr/>
        <w:t>Figure 1 below shows the gradual and welcomed increased</w:t>
      </w:r>
      <w:r>
        <w:rPr>
          <w:spacing w:val="-3"/>
        </w:rPr>
        <w:t> </w:t>
      </w:r>
      <w:r>
        <w:rPr/>
        <w:t>percentage</w:t>
      </w:r>
      <w:r>
        <w:rPr>
          <w:spacing w:val="-1"/>
        </w:rPr>
        <w:t> </w:t>
      </w:r>
      <w:r>
        <w:rPr/>
        <w:t>of</w:t>
      </w:r>
      <w:r>
        <w:rPr>
          <w:spacing w:val="-5"/>
        </w:rPr>
        <w:t> </w:t>
      </w:r>
      <w:r>
        <w:rPr/>
        <w:t>certified</w:t>
      </w:r>
      <w:r>
        <w:rPr>
          <w:spacing w:val="-2"/>
        </w:rPr>
        <w:t> </w:t>
      </w:r>
      <w:r>
        <w:rPr/>
        <w:t>teachers</w:t>
      </w:r>
      <w:r>
        <w:rPr>
          <w:spacing w:val="-4"/>
        </w:rPr>
        <w:t> </w:t>
      </w:r>
      <w:r>
        <w:rPr/>
        <w:t>over</w:t>
      </w:r>
      <w:r>
        <w:rPr>
          <w:spacing w:val="-4"/>
        </w:rPr>
        <w:t> </w:t>
      </w:r>
      <w:r>
        <w:rPr/>
        <w:t>the</w:t>
      </w:r>
      <w:r>
        <w:rPr>
          <w:spacing w:val="-2"/>
        </w:rPr>
        <w:t> </w:t>
      </w:r>
      <w:r>
        <w:rPr/>
        <w:t>last</w:t>
      </w:r>
      <w:r>
        <w:rPr>
          <w:spacing w:val="-2"/>
        </w:rPr>
        <w:t> </w:t>
      </w:r>
      <w:r>
        <w:rPr/>
        <w:t>3</w:t>
      </w:r>
      <w:r>
        <w:rPr>
          <w:spacing w:val="-4"/>
        </w:rPr>
        <w:t> </w:t>
      </w:r>
      <w:r>
        <w:rPr/>
        <w:t>years</w:t>
      </w:r>
      <w:r>
        <w:rPr>
          <w:spacing w:val="-2"/>
        </w:rPr>
        <w:t> </w:t>
      </w:r>
      <w:r>
        <w:rPr/>
        <w:t>from</w:t>
      </w:r>
      <w:r>
        <w:rPr>
          <w:spacing w:val="-4"/>
        </w:rPr>
        <w:t> </w:t>
      </w:r>
      <w:r>
        <w:rPr/>
        <w:t>70</w:t>
      </w:r>
      <w:r>
        <w:rPr>
          <w:spacing w:val="-2"/>
        </w:rPr>
        <w:t> </w:t>
      </w:r>
      <w:r>
        <w:rPr/>
        <w:t>per</w:t>
      </w:r>
      <w:r>
        <w:rPr>
          <w:spacing w:val="-4"/>
        </w:rPr>
        <w:t> </w:t>
      </w:r>
      <w:r>
        <w:rPr/>
        <w:t>cent</w:t>
      </w:r>
      <w:r>
        <w:rPr>
          <w:spacing w:val="-4"/>
        </w:rPr>
        <w:t> </w:t>
      </w:r>
      <w:r>
        <w:rPr/>
        <w:t>to</w:t>
      </w:r>
      <w:r>
        <w:rPr>
          <w:spacing w:val="-1"/>
        </w:rPr>
        <w:t> </w:t>
      </w:r>
      <w:r>
        <w:rPr/>
        <w:t>78</w:t>
      </w:r>
      <w:r>
        <w:rPr>
          <w:spacing w:val="-2"/>
        </w:rPr>
        <w:t> </w:t>
      </w:r>
      <w:r>
        <w:rPr/>
        <w:t>per</w:t>
      </w:r>
      <w:r>
        <w:rPr>
          <w:spacing w:val="-2"/>
        </w:rPr>
        <w:t> </w:t>
      </w:r>
      <w:r>
        <w:rPr/>
        <w:t>cent.</w:t>
      </w:r>
    </w:p>
    <w:p>
      <w:pPr>
        <w:pStyle w:val="BodyText"/>
        <w:spacing w:before="6"/>
        <w:rPr>
          <w:sz w:val="28"/>
        </w:rPr>
      </w:pPr>
    </w:p>
    <w:p>
      <w:pPr>
        <w:pStyle w:val="BodyText"/>
        <w:ind w:left="220" w:right="1319"/>
        <w:rPr>
          <w:b/>
        </w:rPr>
      </w:pPr>
      <w:r>
        <w:rPr/>
        <w:t>Teachers were noted as keen to learn, came early to class, were not absent and stayed for the full duration of the course. Teachers stayed in their communities, with USP lecturers working provincially to deliver the course, and teachers were given food allowances. There was also the incentive of moving from a Level 2.5 untrained teacher to Level 5 Certificate Teacher with a commensurate</w:t>
      </w:r>
      <w:r>
        <w:rPr>
          <w:spacing w:val="-4"/>
        </w:rPr>
        <w:t> </w:t>
      </w:r>
      <w:r>
        <w:rPr/>
        <w:t>pay</w:t>
      </w:r>
      <w:r>
        <w:rPr>
          <w:spacing w:val="-3"/>
        </w:rPr>
        <w:t> </w:t>
      </w:r>
      <w:r>
        <w:rPr/>
        <w:t>increase.</w:t>
      </w:r>
      <w:r>
        <w:rPr>
          <w:spacing w:val="-3"/>
        </w:rPr>
        <w:t> </w:t>
      </w:r>
      <w:r>
        <w:rPr/>
        <w:t>Anecdotally,</w:t>
      </w:r>
      <w:r>
        <w:rPr>
          <w:spacing w:val="-4"/>
        </w:rPr>
        <w:t> </w:t>
      </w:r>
      <w:r>
        <w:rPr/>
        <w:t>teachers</w:t>
      </w:r>
      <w:r>
        <w:rPr>
          <w:spacing w:val="-4"/>
        </w:rPr>
        <w:t> </w:t>
      </w:r>
      <w:r>
        <w:rPr/>
        <w:t>were</w:t>
      </w:r>
      <w:r>
        <w:rPr>
          <w:spacing w:val="-2"/>
        </w:rPr>
        <w:t> </w:t>
      </w:r>
      <w:r>
        <w:rPr/>
        <w:t>surprised</w:t>
      </w:r>
      <w:r>
        <w:rPr>
          <w:spacing w:val="-6"/>
        </w:rPr>
        <w:t> </w:t>
      </w:r>
      <w:r>
        <w:rPr/>
        <w:t>at</w:t>
      </w:r>
      <w:r>
        <w:rPr>
          <w:spacing w:val="-3"/>
        </w:rPr>
        <w:t> </w:t>
      </w:r>
      <w:r>
        <w:rPr/>
        <w:t>how</w:t>
      </w:r>
      <w:r>
        <w:rPr>
          <w:spacing w:val="-2"/>
        </w:rPr>
        <w:t> </w:t>
      </w:r>
      <w:r>
        <w:rPr/>
        <w:t>new</w:t>
      </w:r>
      <w:r>
        <w:rPr>
          <w:spacing w:val="-4"/>
        </w:rPr>
        <w:t> </w:t>
      </w:r>
      <w:r>
        <w:rPr/>
        <w:t>teaching</w:t>
      </w:r>
      <w:r>
        <w:rPr>
          <w:spacing w:val="-4"/>
        </w:rPr>
        <w:t> </w:t>
      </w:r>
      <w:r>
        <w:rPr/>
        <w:t>knowledge and practices worked successfully in the classroom. </w:t>
      </w:r>
      <w:r>
        <w:rPr>
          <w:b/>
        </w:rPr>
        <w:t>Indicator 2.4.1 is assessed as 100 per cent achieved (out of a possible 30 per cent).</w:t>
      </w:r>
    </w:p>
    <w:p>
      <w:pPr>
        <w:pStyle w:val="BodyText"/>
        <w:rPr>
          <w:b/>
          <w:sz w:val="20"/>
        </w:rPr>
      </w:pPr>
    </w:p>
    <w:p>
      <w:pPr>
        <w:pStyle w:val="BodyText"/>
        <w:spacing w:before="8"/>
        <w:rPr>
          <w:b/>
          <w:sz w:val="20"/>
        </w:rPr>
      </w:pPr>
      <w:r>
        <w:rPr/>
        <w:drawing>
          <wp:anchor distT="0" distB="0" distL="0" distR="0" allowOverlap="1" layoutInCell="1" locked="0" behindDoc="0" simplePos="0" relativeHeight="4">
            <wp:simplePos x="0" y="0"/>
            <wp:positionH relativeFrom="page">
              <wp:posOffset>914400</wp:posOffset>
            </wp:positionH>
            <wp:positionV relativeFrom="paragraph">
              <wp:posOffset>175890</wp:posOffset>
            </wp:positionV>
            <wp:extent cx="4921121" cy="248602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4921121" cy="2486025"/>
                    </a:xfrm>
                    <a:prstGeom prst="rect">
                      <a:avLst/>
                    </a:prstGeom>
                  </pic:spPr>
                </pic:pic>
              </a:graphicData>
            </a:graphic>
          </wp:anchor>
        </w:drawing>
      </w:r>
    </w:p>
    <w:p>
      <w:pPr>
        <w:pStyle w:val="BodyText"/>
        <w:spacing w:before="8"/>
        <w:rPr>
          <w:b/>
          <w:sz w:val="11"/>
        </w:rPr>
      </w:pPr>
    </w:p>
    <w:p>
      <w:pPr>
        <w:pStyle w:val="Heading4"/>
        <w:spacing w:before="52"/>
        <w:rPr>
          <w:b w:val="0"/>
        </w:rPr>
      </w:pPr>
      <w:bookmarkStart w:name="_bookmark17" w:id="18"/>
      <w:bookmarkEnd w:id="18"/>
      <w:r>
        <w:rPr/>
      </w:r>
      <w:r>
        <w:rPr>
          <w:b w:val="0"/>
          <w:color w:val="2E5395"/>
        </w:rPr>
        <w:t>Figure</w:t>
      </w:r>
      <w:r>
        <w:rPr>
          <w:b w:val="0"/>
          <w:color w:val="2E5395"/>
          <w:spacing w:val="-2"/>
        </w:rPr>
        <w:t> </w:t>
      </w:r>
      <w:r>
        <w:rPr>
          <w:b w:val="0"/>
          <w:color w:val="2E5395"/>
        </w:rPr>
        <w:t>1:</w:t>
      </w:r>
      <w:r>
        <w:rPr>
          <w:b w:val="0"/>
          <w:color w:val="2E5395"/>
          <w:spacing w:val="-2"/>
        </w:rPr>
        <w:t> </w:t>
      </w:r>
      <w:r>
        <w:rPr>
          <w:b w:val="0"/>
          <w:color w:val="2E5395"/>
        </w:rPr>
        <w:t>Percentage</w:t>
      </w:r>
      <w:r>
        <w:rPr>
          <w:b w:val="0"/>
          <w:color w:val="2E5395"/>
          <w:spacing w:val="-2"/>
        </w:rPr>
        <w:t> </w:t>
      </w:r>
      <w:r>
        <w:rPr>
          <w:b w:val="0"/>
          <w:color w:val="2E5395"/>
        </w:rPr>
        <w:t>of Teachers Certified</w:t>
      </w:r>
      <w:r>
        <w:rPr>
          <w:b w:val="0"/>
          <w:color w:val="2E5395"/>
          <w:spacing w:val="-2"/>
        </w:rPr>
        <w:t> </w:t>
      </w:r>
      <w:r>
        <w:rPr>
          <w:b w:val="0"/>
          <w:color w:val="2E5395"/>
        </w:rPr>
        <w:t>2016</w:t>
      </w:r>
      <w:r>
        <w:rPr>
          <w:b w:val="0"/>
          <w:color w:val="2E5395"/>
          <w:spacing w:val="1"/>
        </w:rPr>
        <w:t> </w:t>
      </w:r>
      <w:r>
        <w:rPr>
          <w:b w:val="0"/>
          <w:color w:val="2E5395"/>
        </w:rPr>
        <w:t>–</w:t>
      </w:r>
      <w:r>
        <w:rPr>
          <w:b w:val="0"/>
          <w:color w:val="2E5395"/>
          <w:spacing w:val="-5"/>
        </w:rPr>
        <w:t> </w:t>
      </w:r>
      <w:r>
        <w:rPr>
          <w:b w:val="0"/>
          <w:color w:val="2E5395"/>
          <w:spacing w:val="-2"/>
        </w:rPr>
        <w:t>2018.</w:t>
      </w:r>
    </w:p>
    <w:p>
      <w:pPr>
        <w:pStyle w:val="BodyText"/>
        <w:rPr>
          <w:rFonts w:ascii="Calibri Light"/>
          <w:b w:val="0"/>
          <w:sz w:val="24"/>
        </w:rPr>
      </w:pPr>
    </w:p>
    <w:p>
      <w:pPr>
        <w:pStyle w:val="BodyText"/>
        <w:spacing w:before="2"/>
        <w:rPr>
          <w:rFonts w:ascii="Calibri Light"/>
          <w:b w:val="0"/>
          <w:sz w:val="34"/>
        </w:rPr>
      </w:pPr>
    </w:p>
    <w:p>
      <w:pPr>
        <w:pStyle w:val="BodyText"/>
        <w:ind w:left="220" w:right="1256"/>
        <w:jc w:val="both"/>
      </w:pPr>
      <w:r>
        <w:rPr>
          <w:b/>
        </w:rPr>
        <w:t>Indicator 2.4.2 </w:t>
      </w:r>
      <w:r>
        <w:rPr/>
        <w:t>A Teacher Supply and Demand Study was not completed in 2018. This Study is essential for Teaching Services Division to ensure the school system has the correct number of teachers in the correct schools. This is both an accountability and planning activity.</w:t>
      </w:r>
    </w:p>
    <w:p>
      <w:pPr>
        <w:pStyle w:val="BodyText"/>
        <w:spacing w:before="5"/>
        <w:rPr>
          <w:sz w:val="16"/>
        </w:rPr>
      </w:pPr>
    </w:p>
    <w:p>
      <w:pPr>
        <w:pStyle w:val="BodyText"/>
        <w:ind w:left="220" w:right="1252"/>
        <w:jc w:val="both"/>
      </w:pPr>
      <w:r>
        <w:rPr/>
        <w:t>This activity was delayed while awaiting the revised Teachers Service Handbook and the Teacher’s Scheme of Service, which will set a new staffing formula for all school sub sectors, revised salary grading levels based on a career progression model for teachers and subject/teacher allocations per workload for all sub sectors.</w:t>
      </w:r>
    </w:p>
    <w:p>
      <w:pPr>
        <w:pStyle w:val="BodyText"/>
        <w:spacing w:before="10"/>
        <w:rPr>
          <w:sz w:val="11"/>
        </w:rPr>
      </w:pPr>
    </w:p>
    <w:p>
      <w:pPr>
        <w:pStyle w:val="BodyText"/>
        <w:spacing w:before="56"/>
        <w:ind w:left="220" w:right="1253"/>
        <w:jc w:val="both"/>
        <w:rPr>
          <w:b/>
        </w:rPr>
      </w:pPr>
      <w:r>
        <w:rPr/>
        <w:t>A technical advisor is assisting with the revision of the Teaching Services Handbook. Consultation on the draft Handbook took place with Solomon Islands National Teachers’ Association (SINTA), School Leaders, EAs and teachers in the later part of 2018. An expert HRM commenced work on career progression for the Teachers Scheme of Service for teachers in November 2018.</w:t>
      </w:r>
      <w:r>
        <w:rPr>
          <w:spacing w:val="40"/>
        </w:rPr>
        <w:t> </w:t>
      </w:r>
      <w:r>
        <w:rPr/>
        <w:t>The work on the Teaching Service Handbook, inclusive of the Scheme of Service, will continue with appropriate consultation to finalise drafts, which will be released once the Education Bill passes through Parliament. </w:t>
      </w:r>
      <w:r>
        <w:rPr>
          <w:b/>
        </w:rPr>
        <w:t>Indicator 2.4.2 is assessed as not achieved.</w:t>
      </w:r>
    </w:p>
    <w:p>
      <w:pPr>
        <w:spacing w:after="0"/>
        <w:jc w:val="both"/>
        <w:sectPr>
          <w:pgSz w:w="11900" w:h="16850"/>
          <w:pgMar w:header="867" w:footer="830" w:top="1060" w:bottom="1020" w:left="1220" w:right="180"/>
        </w:sectPr>
      </w:pPr>
    </w:p>
    <w:p>
      <w:pPr>
        <w:pStyle w:val="BodyText"/>
        <w:rPr>
          <w:b/>
          <w:sz w:val="20"/>
        </w:rPr>
      </w:pPr>
    </w:p>
    <w:p>
      <w:pPr>
        <w:pStyle w:val="BodyText"/>
        <w:spacing w:before="11"/>
        <w:rPr>
          <w:b/>
          <w:sz w:val="26"/>
        </w:rPr>
      </w:pPr>
    </w:p>
    <w:p>
      <w:pPr>
        <w:pStyle w:val="Heading4"/>
        <w:numPr>
          <w:ilvl w:val="2"/>
          <w:numId w:val="4"/>
        </w:numPr>
        <w:tabs>
          <w:tab w:pos="940" w:val="left" w:leader="none"/>
          <w:tab w:pos="941" w:val="left" w:leader="none"/>
        </w:tabs>
        <w:spacing w:line="240" w:lineRule="auto" w:before="52" w:after="0"/>
        <w:ind w:left="940" w:right="0" w:hanging="721"/>
        <w:jc w:val="left"/>
        <w:rPr>
          <w:b w:val="0"/>
        </w:rPr>
      </w:pPr>
      <w:bookmarkStart w:name="_bookmark18" w:id="19"/>
      <w:bookmarkEnd w:id="19"/>
      <w:r>
        <w:rPr>
          <w:b w:val="0"/>
          <w:color w:val="4471C4"/>
        </w:rPr>
        <w:t>T</w:t>
      </w:r>
      <w:r>
        <w:rPr>
          <w:b w:val="0"/>
          <w:color w:val="4471C4"/>
        </w:rPr>
        <w:t>arget</w:t>
      </w:r>
      <w:r>
        <w:rPr>
          <w:b w:val="0"/>
          <w:color w:val="4471C4"/>
          <w:spacing w:val="18"/>
        </w:rPr>
        <w:t> </w:t>
      </w:r>
      <w:r>
        <w:rPr>
          <w:b w:val="0"/>
          <w:color w:val="4471C4"/>
        </w:rPr>
        <w:t>2.5:</w:t>
      </w:r>
      <w:r>
        <w:rPr>
          <w:b w:val="0"/>
          <w:color w:val="4471C4"/>
          <w:spacing w:val="20"/>
        </w:rPr>
        <w:t> </w:t>
      </w:r>
      <w:r>
        <w:rPr>
          <w:b w:val="0"/>
          <w:color w:val="4471C4"/>
        </w:rPr>
        <w:t>School</w:t>
      </w:r>
      <w:r>
        <w:rPr>
          <w:b w:val="0"/>
          <w:color w:val="4471C4"/>
          <w:spacing w:val="19"/>
        </w:rPr>
        <w:t> </w:t>
      </w:r>
      <w:r>
        <w:rPr>
          <w:b w:val="0"/>
          <w:color w:val="4471C4"/>
        </w:rPr>
        <w:t>grant</w:t>
      </w:r>
      <w:r>
        <w:rPr>
          <w:b w:val="0"/>
          <w:color w:val="4471C4"/>
          <w:spacing w:val="17"/>
        </w:rPr>
        <w:t> </w:t>
      </w:r>
      <w:r>
        <w:rPr>
          <w:b w:val="0"/>
          <w:color w:val="4471C4"/>
        </w:rPr>
        <w:t>expenditure</w:t>
      </w:r>
      <w:r>
        <w:rPr>
          <w:b w:val="0"/>
          <w:color w:val="4471C4"/>
          <w:spacing w:val="18"/>
        </w:rPr>
        <w:t> </w:t>
      </w:r>
      <w:r>
        <w:rPr>
          <w:b w:val="0"/>
          <w:color w:val="4471C4"/>
        </w:rPr>
        <w:t>used</w:t>
      </w:r>
      <w:r>
        <w:rPr>
          <w:b w:val="0"/>
          <w:color w:val="4471C4"/>
          <w:spacing w:val="17"/>
        </w:rPr>
        <w:t> </w:t>
      </w:r>
      <w:r>
        <w:rPr>
          <w:b w:val="0"/>
          <w:color w:val="4471C4"/>
        </w:rPr>
        <w:t>for</w:t>
      </w:r>
      <w:r>
        <w:rPr>
          <w:b w:val="0"/>
          <w:color w:val="4471C4"/>
          <w:spacing w:val="18"/>
        </w:rPr>
        <w:t> </w:t>
      </w:r>
      <w:r>
        <w:rPr>
          <w:b w:val="0"/>
          <w:color w:val="4471C4"/>
        </w:rPr>
        <w:t>learning</w:t>
      </w:r>
      <w:r>
        <w:rPr>
          <w:b w:val="0"/>
          <w:color w:val="4471C4"/>
          <w:spacing w:val="18"/>
        </w:rPr>
        <w:t> </w:t>
      </w:r>
      <w:r>
        <w:rPr>
          <w:b w:val="0"/>
          <w:color w:val="4471C4"/>
          <w:spacing w:val="-2"/>
        </w:rPr>
        <w:t>materials.</w:t>
      </w:r>
    </w:p>
    <w:p>
      <w:pPr>
        <w:pStyle w:val="BodyText"/>
        <w:spacing w:before="1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374"/>
        <w:gridCol w:w="2443"/>
        <w:gridCol w:w="1670"/>
      </w:tblGrid>
      <w:tr>
        <w:trPr>
          <w:trHeight w:val="689" w:hRule="atLeast"/>
        </w:trPr>
        <w:tc>
          <w:tcPr>
            <w:tcW w:w="2374" w:type="dxa"/>
            <w:tcBorders>
              <w:left w:val="single" w:sz="6" w:space="0" w:color="4471C4"/>
              <w:right w:val="single" w:sz="6" w:space="0" w:color="4471C4"/>
            </w:tcBorders>
            <w:shd w:val="clear" w:color="auto" w:fill="B4C5E7"/>
          </w:tcPr>
          <w:p>
            <w:pPr>
              <w:pStyle w:val="TableParagraph"/>
              <w:spacing w:before="8"/>
              <w:rPr>
                <w:rFonts w:ascii="Calibri Light"/>
                <w:b w:val="0"/>
                <w:sz w:val="18"/>
              </w:rPr>
            </w:pPr>
          </w:p>
          <w:p>
            <w:pPr>
              <w:pStyle w:val="TableParagraph"/>
              <w:spacing w:before="1"/>
              <w:ind w:left="142"/>
              <w:rPr>
                <w:b/>
                <w:sz w:val="19"/>
              </w:rPr>
            </w:pPr>
            <w:r>
              <w:rPr>
                <w:b/>
                <w:spacing w:val="-2"/>
                <w:w w:val="115"/>
                <w:sz w:val="19"/>
              </w:rPr>
              <w:t>Performance</w:t>
            </w:r>
            <w:r>
              <w:rPr>
                <w:b/>
                <w:spacing w:val="9"/>
                <w:w w:val="115"/>
                <w:sz w:val="19"/>
              </w:rPr>
              <w:t> </w:t>
            </w:r>
            <w:r>
              <w:rPr>
                <w:b/>
                <w:spacing w:val="-2"/>
                <w:w w:val="115"/>
                <w:sz w:val="19"/>
              </w:rPr>
              <w:t>Indicators</w:t>
            </w:r>
          </w:p>
        </w:tc>
        <w:tc>
          <w:tcPr>
            <w:tcW w:w="2443" w:type="dxa"/>
            <w:tcBorders>
              <w:left w:val="single" w:sz="6" w:space="0" w:color="4471C4"/>
              <w:right w:val="single" w:sz="6" w:space="0" w:color="4471C4"/>
            </w:tcBorders>
            <w:shd w:val="clear" w:color="auto" w:fill="B4C5E7"/>
          </w:tcPr>
          <w:p>
            <w:pPr>
              <w:pStyle w:val="TableParagraph"/>
              <w:spacing w:line="259" w:lineRule="auto" w:before="109"/>
              <w:ind w:left="684" w:right="13" w:hanging="254"/>
              <w:rPr>
                <w:b/>
                <w:sz w:val="19"/>
              </w:rPr>
            </w:pPr>
            <w:r>
              <w:rPr>
                <w:b/>
                <w:w w:val="115"/>
                <w:sz w:val="19"/>
              </w:rPr>
              <w:t>Expected</w:t>
            </w:r>
            <w:r>
              <w:rPr>
                <w:b/>
                <w:spacing w:val="-12"/>
                <w:w w:val="115"/>
                <w:sz w:val="19"/>
              </w:rPr>
              <w:t> </w:t>
            </w:r>
            <w:r>
              <w:rPr>
                <w:b/>
                <w:w w:val="115"/>
                <w:sz w:val="19"/>
              </w:rPr>
              <w:t>Results </w:t>
            </w:r>
            <w:r>
              <w:rPr>
                <w:b/>
                <w:spacing w:val="-2"/>
                <w:w w:val="115"/>
                <w:sz w:val="19"/>
              </w:rPr>
              <w:t>Statements</w:t>
            </w:r>
          </w:p>
        </w:tc>
        <w:tc>
          <w:tcPr>
            <w:tcW w:w="1670" w:type="dxa"/>
            <w:tcBorders>
              <w:left w:val="single" w:sz="6" w:space="0" w:color="4471C4"/>
              <w:right w:val="single" w:sz="6" w:space="0" w:color="4471C4"/>
            </w:tcBorders>
            <w:shd w:val="clear" w:color="auto" w:fill="B4C5E7"/>
          </w:tcPr>
          <w:p>
            <w:pPr>
              <w:pStyle w:val="TableParagraph"/>
              <w:spacing w:before="8"/>
              <w:rPr>
                <w:rFonts w:ascii="Calibri Light"/>
                <w:b w:val="0"/>
                <w:sz w:val="18"/>
              </w:rPr>
            </w:pPr>
          </w:p>
          <w:p>
            <w:pPr>
              <w:pStyle w:val="TableParagraph"/>
              <w:spacing w:before="1"/>
              <w:ind w:left="540" w:right="522"/>
              <w:jc w:val="center"/>
              <w:rPr>
                <w:b/>
                <w:sz w:val="19"/>
              </w:rPr>
            </w:pPr>
            <w:r>
              <w:rPr>
                <w:b/>
                <w:spacing w:val="-5"/>
                <w:w w:val="115"/>
                <w:sz w:val="19"/>
              </w:rPr>
              <w:t>IA</w:t>
            </w:r>
          </w:p>
        </w:tc>
      </w:tr>
      <w:tr>
        <w:trPr>
          <w:trHeight w:val="1530" w:hRule="atLeast"/>
        </w:trPr>
        <w:tc>
          <w:tcPr>
            <w:tcW w:w="2374" w:type="dxa"/>
            <w:tcBorders>
              <w:left w:val="single" w:sz="6" w:space="0" w:color="4471C4"/>
              <w:right w:val="single" w:sz="6" w:space="0" w:color="4471C4"/>
            </w:tcBorders>
          </w:tcPr>
          <w:p>
            <w:pPr>
              <w:pStyle w:val="TableParagraph"/>
              <w:spacing w:line="261" w:lineRule="auto" w:before="8"/>
              <w:ind w:left="38"/>
              <w:rPr>
                <w:sz w:val="18"/>
              </w:rPr>
            </w:pPr>
            <w:r>
              <w:rPr>
                <w:w w:val="115"/>
                <w:sz w:val="18"/>
              </w:rPr>
              <w:t>2.5.1</w:t>
            </w:r>
            <w:r>
              <w:rPr>
                <w:spacing w:val="80"/>
                <w:w w:val="115"/>
                <w:sz w:val="18"/>
              </w:rPr>
              <w:t> </w:t>
            </w:r>
            <w:r>
              <w:rPr>
                <w:w w:val="115"/>
                <w:sz w:val="18"/>
              </w:rPr>
              <w:t>By</w:t>
            </w:r>
            <w:r>
              <w:rPr>
                <w:spacing w:val="-5"/>
                <w:w w:val="115"/>
                <w:sz w:val="18"/>
              </w:rPr>
              <w:t> </w:t>
            </w:r>
            <w:r>
              <w:rPr>
                <w:w w:val="115"/>
                <w:sz w:val="18"/>
              </w:rPr>
              <w:t>the</w:t>
            </w:r>
            <w:r>
              <w:rPr>
                <w:spacing w:val="-3"/>
                <w:w w:val="115"/>
                <w:sz w:val="18"/>
              </w:rPr>
              <w:t> </w:t>
            </w:r>
            <w:r>
              <w:rPr>
                <w:w w:val="115"/>
                <w:sz w:val="18"/>
              </w:rPr>
              <w:t>end</w:t>
            </w:r>
            <w:r>
              <w:rPr>
                <w:spacing w:val="-9"/>
                <w:w w:val="115"/>
                <w:sz w:val="18"/>
              </w:rPr>
              <w:t> </w:t>
            </w:r>
            <w:r>
              <w:rPr>
                <w:w w:val="115"/>
                <w:sz w:val="18"/>
              </w:rPr>
              <w:t>of 2018, school grants (Secondary, </w:t>
            </w:r>
            <w:r>
              <w:rPr>
                <w:spacing w:val="-2"/>
                <w:w w:val="115"/>
                <w:sz w:val="18"/>
              </w:rPr>
              <w:t>Primary</w:t>
            </w:r>
            <w:r>
              <w:rPr>
                <w:spacing w:val="-6"/>
                <w:w w:val="115"/>
                <w:sz w:val="18"/>
              </w:rPr>
              <w:t> </w:t>
            </w:r>
            <w:r>
              <w:rPr>
                <w:spacing w:val="-2"/>
                <w:w w:val="115"/>
                <w:sz w:val="18"/>
              </w:rPr>
              <w:t>and</w:t>
            </w:r>
            <w:r>
              <w:rPr>
                <w:spacing w:val="-10"/>
                <w:w w:val="115"/>
                <w:sz w:val="18"/>
              </w:rPr>
              <w:t> </w:t>
            </w:r>
            <w:r>
              <w:rPr>
                <w:spacing w:val="-2"/>
                <w:w w:val="115"/>
                <w:sz w:val="18"/>
              </w:rPr>
              <w:t>TVET)</w:t>
            </w:r>
            <w:r>
              <w:rPr>
                <w:spacing w:val="-9"/>
                <w:w w:val="115"/>
                <w:sz w:val="18"/>
              </w:rPr>
              <w:t> </w:t>
            </w:r>
            <w:r>
              <w:rPr>
                <w:spacing w:val="-2"/>
                <w:w w:val="115"/>
                <w:sz w:val="18"/>
              </w:rPr>
              <w:t>training </w:t>
            </w:r>
            <w:r>
              <w:rPr>
                <w:w w:val="115"/>
                <w:sz w:val="18"/>
              </w:rPr>
              <w:t>completed in three </w:t>
            </w:r>
            <w:r>
              <w:rPr>
                <w:spacing w:val="-2"/>
                <w:w w:val="115"/>
                <w:sz w:val="18"/>
              </w:rPr>
              <w:t>provinces</w:t>
            </w:r>
          </w:p>
        </w:tc>
        <w:tc>
          <w:tcPr>
            <w:tcW w:w="2443" w:type="dxa"/>
            <w:tcBorders>
              <w:left w:val="single" w:sz="6" w:space="0" w:color="4471C4"/>
              <w:right w:val="single" w:sz="6" w:space="0" w:color="4471C4"/>
            </w:tcBorders>
          </w:tcPr>
          <w:p>
            <w:pPr>
              <w:pStyle w:val="TableParagraph"/>
              <w:spacing w:line="261" w:lineRule="auto" w:before="8"/>
              <w:ind w:left="39" w:right="13"/>
              <w:rPr>
                <w:sz w:val="18"/>
              </w:rPr>
            </w:pPr>
            <w:r>
              <w:rPr>
                <w:w w:val="115"/>
                <w:sz w:val="18"/>
              </w:rPr>
              <w:t>Training</w:t>
            </w:r>
            <w:r>
              <w:rPr>
                <w:spacing w:val="-12"/>
                <w:w w:val="115"/>
                <w:sz w:val="18"/>
              </w:rPr>
              <w:t> </w:t>
            </w:r>
            <w:r>
              <w:rPr>
                <w:w w:val="115"/>
                <w:sz w:val="18"/>
              </w:rPr>
              <w:t>that</w:t>
            </w:r>
            <w:r>
              <w:rPr>
                <w:spacing w:val="-9"/>
                <w:w w:val="115"/>
                <w:sz w:val="18"/>
              </w:rPr>
              <w:t> </w:t>
            </w:r>
            <w:r>
              <w:rPr>
                <w:w w:val="115"/>
                <w:sz w:val="18"/>
              </w:rPr>
              <w:t>promotes</w:t>
            </w:r>
            <w:r>
              <w:rPr>
                <w:spacing w:val="-8"/>
                <w:w w:val="115"/>
                <w:sz w:val="18"/>
              </w:rPr>
              <w:t> </w:t>
            </w:r>
            <w:r>
              <w:rPr>
                <w:w w:val="115"/>
                <w:sz w:val="18"/>
              </w:rPr>
              <w:t>the use of school grants for learning materials carried out.</w:t>
            </w:r>
            <w:r>
              <w:rPr>
                <w:spacing w:val="40"/>
                <w:w w:val="115"/>
                <w:sz w:val="18"/>
              </w:rPr>
              <w:t> </w:t>
            </w:r>
            <w:r>
              <w:rPr>
                <w:w w:val="115"/>
                <w:sz w:val="18"/>
              </w:rPr>
              <w:t>Training reports or records</w:t>
            </w:r>
            <w:r>
              <w:rPr>
                <w:spacing w:val="-12"/>
                <w:w w:val="115"/>
                <w:sz w:val="18"/>
              </w:rPr>
              <w:t> </w:t>
            </w:r>
            <w:r>
              <w:rPr>
                <w:w w:val="115"/>
                <w:sz w:val="18"/>
              </w:rPr>
              <w:t>for</w:t>
            </w:r>
            <w:r>
              <w:rPr>
                <w:spacing w:val="-12"/>
                <w:w w:val="115"/>
                <w:sz w:val="18"/>
              </w:rPr>
              <w:t> </w:t>
            </w:r>
            <w:r>
              <w:rPr>
                <w:w w:val="115"/>
                <w:sz w:val="18"/>
              </w:rPr>
              <w:t>three</w:t>
            </w:r>
            <w:r>
              <w:rPr>
                <w:spacing w:val="-12"/>
                <w:w w:val="115"/>
                <w:sz w:val="18"/>
              </w:rPr>
              <w:t> </w:t>
            </w:r>
            <w:r>
              <w:rPr>
                <w:w w:val="115"/>
                <w:sz w:val="18"/>
              </w:rPr>
              <w:t>provinces in 2018 (50%)</w:t>
            </w:r>
          </w:p>
        </w:tc>
        <w:tc>
          <w:tcPr>
            <w:tcW w:w="1670" w:type="dxa"/>
            <w:tcBorders>
              <w:left w:val="single" w:sz="6" w:space="0" w:color="4471C4"/>
              <w:right w:val="single" w:sz="6" w:space="0" w:color="4471C4"/>
            </w:tcBorders>
            <w:shd w:val="clear" w:color="auto" w:fill="A9D08E"/>
          </w:tcPr>
          <w:p>
            <w:pPr>
              <w:pStyle w:val="TableParagraph"/>
              <w:spacing w:before="10"/>
              <w:ind w:left="542" w:right="522"/>
              <w:jc w:val="center"/>
              <w:rPr>
                <w:sz w:val="22"/>
              </w:rPr>
            </w:pPr>
            <w:r>
              <w:rPr>
                <w:spacing w:val="-4"/>
                <w:w w:val="115"/>
                <w:sz w:val="22"/>
              </w:rPr>
              <w:t>100%</w:t>
            </w:r>
          </w:p>
        </w:tc>
      </w:tr>
      <w:tr>
        <w:trPr>
          <w:trHeight w:val="1189" w:hRule="atLeast"/>
        </w:trPr>
        <w:tc>
          <w:tcPr>
            <w:tcW w:w="2374" w:type="dxa"/>
            <w:tcBorders>
              <w:left w:val="single" w:sz="6" w:space="0" w:color="4471C4"/>
              <w:right w:val="single" w:sz="6" w:space="0" w:color="4471C4"/>
            </w:tcBorders>
          </w:tcPr>
          <w:p>
            <w:pPr>
              <w:pStyle w:val="TableParagraph"/>
              <w:spacing w:line="261" w:lineRule="auto" w:before="8"/>
              <w:ind w:left="38"/>
              <w:rPr>
                <w:sz w:val="18"/>
              </w:rPr>
            </w:pPr>
            <w:r>
              <w:rPr>
                <w:w w:val="115"/>
                <w:sz w:val="18"/>
              </w:rPr>
              <w:t>2.5.2.</w:t>
            </w:r>
            <w:r>
              <w:rPr>
                <w:spacing w:val="37"/>
                <w:w w:val="115"/>
                <w:sz w:val="18"/>
              </w:rPr>
              <w:t> </w:t>
            </w:r>
            <w:r>
              <w:rPr>
                <w:w w:val="115"/>
                <w:sz w:val="18"/>
              </w:rPr>
              <w:t>By</w:t>
            </w:r>
            <w:r>
              <w:rPr>
                <w:spacing w:val="-9"/>
                <w:w w:val="115"/>
                <w:sz w:val="18"/>
              </w:rPr>
              <w:t> </w:t>
            </w:r>
            <w:r>
              <w:rPr>
                <w:w w:val="115"/>
                <w:sz w:val="18"/>
              </w:rPr>
              <w:t>the</w:t>
            </w:r>
            <w:r>
              <w:rPr>
                <w:spacing w:val="-7"/>
                <w:w w:val="115"/>
                <w:sz w:val="18"/>
              </w:rPr>
              <w:t> </w:t>
            </w:r>
            <w:r>
              <w:rPr>
                <w:w w:val="115"/>
                <w:sz w:val="18"/>
              </w:rPr>
              <w:t>end</w:t>
            </w:r>
            <w:r>
              <w:rPr>
                <w:spacing w:val="-12"/>
                <w:w w:val="115"/>
                <w:sz w:val="18"/>
              </w:rPr>
              <w:t> </w:t>
            </w:r>
            <w:r>
              <w:rPr>
                <w:w w:val="115"/>
                <w:sz w:val="18"/>
              </w:rPr>
              <w:t>of</w:t>
            </w:r>
            <w:r>
              <w:rPr>
                <w:spacing w:val="-2"/>
                <w:w w:val="115"/>
                <w:sz w:val="18"/>
              </w:rPr>
              <w:t> </w:t>
            </w:r>
            <w:r>
              <w:rPr>
                <w:w w:val="115"/>
                <w:sz w:val="18"/>
              </w:rPr>
              <w:t>2018, analysis of retirements to show breakdown of </w:t>
            </w:r>
            <w:r>
              <w:rPr>
                <w:spacing w:val="-2"/>
                <w:w w:val="115"/>
                <w:sz w:val="18"/>
              </w:rPr>
              <w:t>expenditure</w:t>
            </w:r>
          </w:p>
        </w:tc>
        <w:tc>
          <w:tcPr>
            <w:tcW w:w="2443" w:type="dxa"/>
            <w:tcBorders>
              <w:left w:val="single" w:sz="6" w:space="0" w:color="4471C4"/>
              <w:right w:val="single" w:sz="6" w:space="0" w:color="4471C4"/>
            </w:tcBorders>
          </w:tcPr>
          <w:p>
            <w:pPr>
              <w:pStyle w:val="TableParagraph"/>
              <w:spacing w:line="261" w:lineRule="auto" w:before="8"/>
              <w:ind w:left="39" w:right="13" w:firstLine="46"/>
              <w:rPr>
                <w:sz w:val="18"/>
              </w:rPr>
            </w:pPr>
            <w:r>
              <w:rPr>
                <w:w w:val="115"/>
                <w:sz w:val="18"/>
              </w:rPr>
              <w:t>Report on analysis of </w:t>
            </w:r>
            <w:r>
              <w:rPr>
                <w:spacing w:val="-2"/>
                <w:w w:val="115"/>
                <w:sz w:val="18"/>
              </w:rPr>
              <w:t>acquittals</w:t>
            </w:r>
            <w:r>
              <w:rPr>
                <w:spacing w:val="-4"/>
                <w:w w:val="115"/>
                <w:sz w:val="18"/>
              </w:rPr>
              <w:t> </w:t>
            </w:r>
            <w:r>
              <w:rPr>
                <w:spacing w:val="-2"/>
                <w:w w:val="115"/>
                <w:sz w:val="18"/>
              </w:rPr>
              <w:t>showing</w:t>
            </w:r>
            <w:r>
              <w:rPr>
                <w:spacing w:val="-9"/>
                <w:w w:val="115"/>
                <w:sz w:val="18"/>
              </w:rPr>
              <w:t> </w:t>
            </w:r>
            <w:r>
              <w:rPr>
                <w:spacing w:val="-2"/>
                <w:w w:val="115"/>
                <w:sz w:val="18"/>
              </w:rPr>
              <w:t>currently </w:t>
            </w:r>
            <w:r>
              <w:rPr>
                <w:w w:val="115"/>
                <w:sz w:val="18"/>
              </w:rPr>
              <w:t>how much of school grants is used for learning</w:t>
            </w:r>
          </w:p>
          <w:p>
            <w:pPr>
              <w:pStyle w:val="TableParagraph"/>
              <w:spacing w:line="202" w:lineRule="exact" w:before="2"/>
              <w:ind w:left="39"/>
              <w:rPr>
                <w:sz w:val="18"/>
              </w:rPr>
            </w:pPr>
            <w:r>
              <w:rPr>
                <w:w w:val="115"/>
                <w:sz w:val="18"/>
              </w:rPr>
              <w:t>materials</w:t>
            </w:r>
            <w:r>
              <w:rPr>
                <w:spacing w:val="-10"/>
                <w:w w:val="115"/>
                <w:sz w:val="18"/>
              </w:rPr>
              <w:t> </w:t>
            </w:r>
            <w:r>
              <w:rPr>
                <w:spacing w:val="-2"/>
                <w:w w:val="115"/>
                <w:sz w:val="18"/>
              </w:rPr>
              <w:t>(50%)</w:t>
            </w:r>
          </w:p>
        </w:tc>
        <w:tc>
          <w:tcPr>
            <w:tcW w:w="1670" w:type="dxa"/>
            <w:tcBorders>
              <w:left w:val="single" w:sz="6" w:space="0" w:color="4471C4"/>
              <w:right w:val="single" w:sz="6" w:space="0" w:color="4471C4"/>
            </w:tcBorders>
            <w:shd w:val="clear" w:color="auto" w:fill="FF0000"/>
          </w:tcPr>
          <w:p>
            <w:pPr>
              <w:pStyle w:val="TableParagraph"/>
              <w:spacing w:before="10"/>
              <w:ind w:left="27"/>
              <w:jc w:val="center"/>
              <w:rPr>
                <w:sz w:val="22"/>
              </w:rPr>
            </w:pPr>
            <w:r>
              <w:rPr>
                <w:w w:val="115"/>
                <w:sz w:val="22"/>
              </w:rPr>
              <w:t>0</w:t>
            </w:r>
          </w:p>
        </w:tc>
      </w:tr>
    </w:tbl>
    <w:p>
      <w:pPr>
        <w:pStyle w:val="BodyText"/>
        <w:spacing w:before="203"/>
        <w:ind w:left="220" w:right="1254"/>
        <w:jc w:val="both"/>
      </w:pPr>
      <w:r>
        <w:rPr>
          <w:b/>
        </w:rPr>
        <w:t>Source: </w:t>
      </w:r>
      <w:r>
        <w:rPr/>
        <w:t>School Financial Management training and assessment back to office reports. Key Output Report – Finance.</w:t>
      </w:r>
    </w:p>
    <w:p>
      <w:pPr>
        <w:pStyle w:val="BodyText"/>
        <w:spacing w:before="4"/>
        <w:rPr>
          <w:sz w:val="16"/>
        </w:rPr>
      </w:pPr>
    </w:p>
    <w:p>
      <w:pPr>
        <w:pStyle w:val="BodyText"/>
        <w:ind w:left="220" w:right="1253"/>
        <w:jc w:val="both"/>
      </w:pPr>
      <w:r>
        <w:rPr>
          <w:b/>
        </w:rPr>
        <w:t>Performance Indicator 2.5.1 </w:t>
      </w:r>
      <w:r>
        <w:rPr/>
        <w:t>The MEHRD Finance Team supported the School Grants Unit in the school grant manual training and the new School financial management handbook conducted for school leaders in five Education Authorities (Guadalcanal Province, Seventh Day Adventist, Honiara City Council, Isabel and Renbel). Two EAs (West Guadacanal and Renbel) were assessed for the effectiveness of the training while further assessment is planned for the remaining three EAs.</w:t>
      </w:r>
    </w:p>
    <w:p>
      <w:pPr>
        <w:pStyle w:val="BodyText"/>
        <w:spacing w:before="5"/>
        <w:rPr>
          <w:sz w:val="16"/>
        </w:rPr>
      </w:pPr>
    </w:p>
    <w:p>
      <w:pPr>
        <w:pStyle w:val="BodyText"/>
        <w:ind w:left="220" w:right="1250"/>
        <w:jc w:val="both"/>
      </w:pPr>
      <w:r>
        <w:rPr/>
        <w:t>In Isabel Zone, 48 School Leaders attended a three-day workshop on School Financial Management with an introduction to bookkeeping, school budgeting, cashbooks, financial reporting, petty cash imprest records and basic Excel (this was the only training report sighted by the assessor). Trainers explained the School Financial Management Handbook and its alignment with the School Grant Policy. School</w:t>
      </w:r>
      <w:r>
        <w:rPr>
          <w:spacing w:val="-1"/>
        </w:rPr>
        <w:t> </w:t>
      </w:r>
      <w:r>
        <w:rPr/>
        <w:t>Leaders noted that they</w:t>
      </w:r>
      <w:r>
        <w:rPr>
          <w:spacing w:val="-2"/>
        </w:rPr>
        <w:t> </w:t>
      </w:r>
      <w:r>
        <w:rPr/>
        <w:t>must</w:t>
      </w:r>
      <w:r>
        <w:rPr>
          <w:spacing w:val="-2"/>
        </w:rPr>
        <w:t> </w:t>
      </w:r>
      <w:r>
        <w:rPr/>
        <w:t>have copies of MEHRD</w:t>
      </w:r>
      <w:r>
        <w:rPr>
          <w:spacing w:val="-2"/>
        </w:rPr>
        <w:t> </w:t>
      </w:r>
      <w:r>
        <w:rPr/>
        <w:t>Policies and</w:t>
      </w:r>
      <w:r>
        <w:rPr>
          <w:spacing w:val="-3"/>
        </w:rPr>
        <w:t> </w:t>
      </w:r>
      <w:r>
        <w:rPr/>
        <w:t>Handbooks,</w:t>
      </w:r>
      <w:r>
        <w:rPr>
          <w:spacing w:val="-2"/>
        </w:rPr>
        <w:t> </w:t>
      </w:r>
      <w:r>
        <w:rPr/>
        <w:t>as</w:t>
      </w:r>
      <w:r>
        <w:rPr>
          <w:spacing w:val="-2"/>
        </w:rPr>
        <w:t> </w:t>
      </w:r>
      <w:r>
        <w:rPr/>
        <w:t>these policies are implemented at the school level. School Leaders requested ongoing training and follow- up support.</w:t>
      </w:r>
    </w:p>
    <w:p>
      <w:pPr>
        <w:pStyle w:val="BodyText"/>
        <w:spacing w:before="4"/>
        <w:rPr>
          <w:sz w:val="16"/>
        </w:rPr>
      </w:pPr>
    </w:p>
    <w:p>
      <w:pPr>
        <w:pStyle w:val="BodyText"/>
        <w:ind w:left="220" w:right="1252"/>
        <w:jc w:val="both"/>
      </w:pPr>
      <w:r>
        <w:rPr/>
        <w:t>Visits to West Guadcanal and Renbel were follow-up assessments to previous training. Ten schools were visited over a 3-week period in August/September 2018 in West Guadcanal; and another 10 Renbel schools were visited in October/November 2018. Assessments focused on the quality of</w:t>
      </w:r>
      <w:r>
        <w:rPr>
          <w:spacing w:val="40"/>
        </w:rPr>
        <w:t> </w:t>
      </w:r>
      <w:r>
        <w:rPr/>
        <w:t>grant retirements and the School Leaders’ performance in administration.</w:t>
      </w:r>
    </w:p>
    <w:p>
      <w:pPr>
        <w:pStyle w:val="BodyText"/>
        <w:spacing w:before="4"/>
        <w:rPr>
          <w:sz w:val="16"/>
        </w:rPr>
      </w:pPr>
    </w:p>
    <w:p>
      <w:pPr>
        <w:pStyle w:val="BodyText"/>
        <w:spacing w:before="1"/>
        <w:ind w:left="220" w:right="1253"/>
        <w:jc w:val="both"/>
        <w:rPr>
          <w:b/>
        </w:rPr>
      </w:pPr>
      <w:r>
        <w:rPr/>
        <w:t>Results of this assessment were mixed: Some schools are managing the grants well, whereas others are struggling with basic cash books and budget planning. Where the School Board, the community and other stakeholders (NGOs and land-owners) understand the purpose of the School Grants and</w:t>
      </w:r>
      <w:r>
        <w:rPr>
          <w:spacing w:val="40"/>
        </w:rPr>
        <w:t> </w:t>
      </w:r>
      <w:r>
        <w:rPr/>
        <w:t>its utilisation limitations, and School Leaders have some financial training, the system seems to be working reasonably well. This is confirmed by Thornton et al</w:t>
      </w:r>
      <w:r>
        <w:rPr>
          <w:vertAlign w:val="superscript"/>
        </w:rPr>
        <w:t>6</w:t>
      </w:r>
      <w:r>
        <w:rPr>
          <w:spacing w:val="-13"/>
          <w:vertAlign w:val="baseline"/>
        </w:rPr>
        <w:t> </w:t>
      </w:r>
      <w:r>
        <w:rPr>
          <w:vertAlign w:val="baseline"/>
        </w:rPr>
        <w:t>who noted the system of grants is working well where a strong parent / community – school relationship, and a strong school board exists. School Leaders who had completed the USP financial training course had no problems in managing the grants in their schools. MEHRD also mentioned that a basic financial management course during teacher training would ensure future School Leaders were prepared for their roles. </w:t>
      </w:r>
      <w:r>
        <w:rPr>
          <w:b/>
          <w:vertAlign w:val="baseline"/>
        </w:rPr>
        <w:t>Indicator 2.5.1 is assessed as 100 per cent achieved (of a possible 50 per cent).</w:t>
      </w:r>
    </w:p>
    <w:p>
      <w:pPr>
        <w:pStyle w:val="BodyText"/>
        <w:spacing w:before="4"/>
        <w:rPr>
          <w:b/>
          <w:sz w:val="16"/>
        </w:rPr>
      </w:pPr>
    </w:p>
    <w:p>
      <w:pPr>
        <w:pStyle w:val="BodyText"/>
        <w:ind w:left="220" w:right="1253"/>
        <w:jc w:val="both"/>
      </w:pPr>
      <w:r>
        <w:rPr>
          <w:b/>
        </w:rPr>
        <w:t>Performance Indicator 2.5.2 </w:t>
      </w:r>
      <w:r>
        <w:rPr/>
        <w:t>Acquittals are not able to show eligible grant expenditure by types of expenditure.</w:t>
      </w:r>
      <w:r>
        <w:rPr>
          <w:spacing w:val="19"/>
        </w:rPr>
        <w:t> </w:t>
      </w:r>
      <w:r>
        <w:rPr/>
        <w:t>At</w:t>
      </w:r>
      <w:r>
        <w:rPr>
          <w:spacing w:val="21"/>
        </w:rPr>
        <w:t> </w:t>
      </w:r>
      <w:r>
        <w:rPr/>
        <w:t>least</w:t>
      </w:r>
      <w:r>
        <w:rPr>
          <w:spacing w:val="19"/>
        </w:rPr>
        <w:t> </w:t>
      </w:r>
      <w:r>
        <w:rPr/>
        <w:t>40</w:t>
      </w:r>
      <w:r>
        <w:rPr>
          <w:spacing w:val="21"/>
        </w:rPr>
        <w:t> </w:t>
      </w:r>
      <w:r>
        <w:rPr/>
        <w:t>per</w:t>
      </w:r>
      <w:r>
        <w:rPr>
          <w:spacing w:val="20"/>
        </w:rPr>
        <w:t> </w:t>
      </w:r>
      <w:r>
        <w:rPr/>
        <w:t>cent</w:t>
      </w:r>
      <w:r>
        <w:rPr>
          <w:spacing w:val="19"/>
        </w:rPr>
        <w:t> </w:t>
      </w:r>
      <w:r>
        <w:rPr/>
        <w:t>of</w:t>
      </w:r>
      <w:r>
        <w:rPr>
          <w:spacing w:val="21"/>
        </w:rPr>
        <w:t> </w:t>
      </w:r>
      <w:r>
        <w:rPr/>
        <w:t>grant</w:t>
      </w:r>
      <w:r>
        <w:rPr>
          <w:spacing w:val="20"/>
        </w:rPr>
        <w:t> </w:t>
      </w:r>
      <w:r>
        <w:rPr/>
        <w:t>expenditure</w:t>
      </w:r>
      <w:r>
        <w:rPr>
          <w:spacing w:val="21"/>
        </w:rPr>
        <w:t> </w:t>
      </w:r>
      <w:r>
        <w:rPr/>
        <w:t>should</w:t>
      </w:r>
      <w:r>
        <w:rPr>
          <w:spacing w:val="19"/>
        </w:rPr>
        <w:t> </w:t>
      </w:r>
      <w:r>
        <w:rPr/>
        <w:t>be</w:t>
      </w:r>
      <w:r>
        <w:rPr>
          <w:spacing w:val="19"/>
        </w:rPr>
        <w:t> </w:t>
      </w:r>
      <w:r>
        <w:rPr/>
        <w:t>spent</w:t>
      </w:r>
      <w:r>
        <w:rPr>
          <w:spacing w:val="19"/>
        </w:rPr>
        <w:t> </w:t>
      </w:r>
      <w:r>
        <w:rPr/>
        <w:t>on</w:t>
      </w:r>
      <w:r>
        <w:rPr>
          <w:spacing w:val="17"/>
        </w:rPr>
        <w:t> </w:t>
      </w:r>
      <w:r>
        <w:rPr/>
        <w:t>teaching</w:t>
      </w:r>
      <w:r>
        <w:rPr>
          <w:spacing w:val="20"/>
        </w:rPr>
        <w:t> </w:t>
      </w:r>
      <w:r>
        <w:rPr/>
        <w:t>materials</w:t>
      </w:r>
      <w:r>
        <w:rPr>
          <w:spacing w:val="18"/>
        </w:rPr>
        <w:t> </w:t>
      </w:r>
      <w:r>
        <w:rPr>
          <w:spacing w:val="-5"/>
        </w:rPr>
        <w:t>and</w:t>
      </w:r>
    </w:p>
    <w:p>
      <w:pPr>
        <w:pStyle w:val="BodyText"/>
        <w:spacing w:before="6"/>
        <w:rPr>
          <w:sz w:val="12"/>
        </w:rPr>
      </w:pPr>
      <w:r>
        <w:rPr/>
        <w:pict>
          <v:rect style="position:absolute;margin-left:72.024002pt;margin-top:8.836563pt;width:144.020pt;height:.71997pt;mso-position-horizontal-relative:page;mso-position-vertical-relative:paragraph;z-index:-15726080;mso-wrap-distance-left:0;mso-wrap-distance-right:0" id="docshape9" filled="true" fillcolor="#000000" stroked="false">
            <v:fill type="solid"/>
            <w10:wrap type="topAndBottom"/>
          </v:rect>
        </w:pict>
      </w:r>
    </w:p>
    <w:p>
      <w:pPr>
        <w:spacing w:before="100"/>
        <w:ind w:left="220" w:right="0" w:firstLine="0"/>
        <w:jc w:val="left"/>
        <w:rPr>
          <w:sz w:val="18"/>
        </w:rPr>
      </w:pPr>
      <w:r>
        <w:rPr>
          <w:position w:val="5"/>
          <w:sz w:val="12"/>
        </w:rPr>
        <w:t>6</w:t>
      </w:r>
      <w:r>
        <w:rPr>
          <w:spacing w:val="8"/>
          <w:position w:val="5"/>
          <w:sz w:val="12"/>
        </w:rPr>
        <w:t> </w:t>
      </w:r>
      <w:r>
        <w:rPr>
          <w:sz w:val="18"/>
        </w:rPr>
        <w:t>Thornton,</w:t>
      </w:r>
      <w:r>
        <w:rPr>
          <w:spacing w:val="-1"/>
          <w:sz w:val="18"/>
        </w:rPr>
        <w:t> </w:t>
      </w:r>
      <w:r>
        <w:rPr>
          <w:sz w:val="18"/>
        </w:rPr>
        <w:t>et</w:t>
      </w:r>
      <w:r>
        <w:rPr>
          <w:spacing w:val="-1"/>
          <w:sz w:val="18"/>
        </w:rPr>
        <w:t> </w:t>
      </w:r>
      <w:r>
        <w:rPr>
          <w:sz w:val="18"/>
        </w:rPr>
        <w:t>al.</w:t>
      </w:r>
      <w:r>
        <w:rPr>
          <w:spacing w:val="-2"/>
          <w:sz w:val="18"/>
        </w:rPr>
        <w:t> </w:t>
      </w:r>
      <w:r>
        <w:rPr>
          <w:sz w:val="18"/>
        </w:rPr>
        <w:t>(2018). </w:t>
      </w:r>
      <w:r>
        <w:rPr>
          <w:i/>
          <w:spacing w:val="-4"/>
          <w:sz w:val="18"/>
        </w:rPr>
        <w:t>Ibid</w:t>
      </w:r>
      <w:r>
        <w:rPr>
          <w:spacing w:val="-4"/>
          <w:sz w:val="18"/>
        </w:rPr>
        <w:t>.</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2"/>
        <w:jc w:val="both"/>
      </w:pPr>
      <w:bookmarkStart w:name="_bookmark21" w:id="20"/>
      <w:bookmarkEnd w:id="20"/>
      <w:r>
        <w:rPr/>
      </w:r>
      <w:r>
        <w:rPr/>
        <w:t>equipment (learning materials). MEHRD notes that schools often see general stationery as learning materials, as some schools don’t have basic stationery. MEHRD saw a slight improvement in understanding grant usage during finance training and assessments.</w:t>
      </w:r>
    </w:p>
    <w:p>
      <w:pPr>
        <w:pStyle w:val="BodyText"/>
        <w:spacing w:before="4"/>
        <w:rPr>
          <w:sz w:val="16"/>
        </w:rPr>
      </w:pPr>
    </w:p>
    <w:p>
      <w:pPr>
        <w:pStyle w:val="BodyText"/>
        <w:ind w:left="220" w:right="1251"/>
        <w:jc w:val="both"/>
        <w:rPr>
          <w:b/>
        </w:rPr>
      </w:pPr>
      <w:r>
        <w:rPr/>
        <w:t>There is limited data collected or analysis to provide evidence of what resources (school grants)</w:t>
      </w:r>
      <w:r>
        <w:rPr>
          <w:spacing w:val="40"/>
        </w:rPr>
        <w:t> </w:t>
      </w:r>
      <w:r>
        <w:rPr/>
        <w:t>were spent on or how the resources led to improved teaching and learning in schools. Further work is required by MEHRD on school financial management training, reporting tools and data analysis. The Grants and Finance Teams appear stretched with their workload: Financial training at all levels (including</w:t>
      </w:r>
      <w:r>
        <w:rPr>
          <w:spacing w:val="-3"/>
        </w:rPr>
        <w:t> </w:t>
      </w:r>
      <w:r>
        <w:rPr/>
        <w:t>School</w:t>
      </w:r>
      <w:r>
        <w:rPr>
          <w:spacing w:val="-2"/>
        </w:rPr>
        <w:t> </w:t>
      </w:r>
      <w:r>
        <w:rPr/>
        <w:t>Boards)</w:t>
      </w:r>
      <w:r>
        <w:rPr>
          <w:spacing w:val="-4"/>
        </w:rPr>
        <w:t> </w:t>
      </w:r>
      <w:r>
        <w:rPr/>
        <w:t>is</w:t>
      </w:r>
      <w:r>
        <w:rPr>
          <w:spacing w:val="-4"/>
        </w:rPr>
        <w:t> </w:t>
      </w:r>
      <w:r>
        <w:rPr/>
        <w:t>an</w:t>
      </w:r>
      <w:r>
        <w:rPr>
          <w:spacing w:val="-2"/>
        </w:rPr>
        <w:t> </w:t>
      </w:r>
      <w:r>
        <w:rPr/>
        <w:t>area</w:t>
      </w:r>
      <w:r>
        <w:rPr>
          <w:spacing w:val="-2"/>
        </w:rPr>
        <w:t> </w:t>
      </w:r>
      <w:r>
        <w:rPr/>
        <w:t>ripe</w:t>
      </w:r>
      <w:r>
        <w:rPr>
          <w:spacing w:val="-1"/>
        </w:rPr>
        <w:t> </w:t>
      </w:r>
      <w:r>
        <w:rPr/>
        <w:t>for</w:t>
      </w:r>
      <w:r>
        <w:rPr>
          <w:spacing w:val="-2"/>
        </w:rPr>
        <w:t> </w:t>
      </w:r>
      <w:r>
        <w:rPr/>
        <w:t>contracting-out</w:t>
      </w:r>
      <w:r>
        <w:rPr>
          <w:spacing w:val="-2"/>
        </w:rPr>
        <w:t> </w:t>
      </w:r>
      <w:r>
        <w:rPr/>
        <w:t>of</w:t>
      </w:r>
      <w:r>
        <w:rPr>
          <w:spacing w:val="-2"/>
        </w:rPr>
        <w:t> </w:t>
      </w:r>
      <w:r>
        <w:rPr/>
        <w:t>services.</w:t>
      </w:r>
      <w:r>
        <w:rPr>
          <w:spacing w:val="-1"/>
        </w:rPr>
        <w:t> </w:t>
      </w:r>
      <w:r>
        <w:rPr>
          <w:b/>
        </w:rPr>
        <w:t>Indicator</w:t>
      </w:r>
      <w:r>
        <w:rPr>
          <w:b/>
          <w:spacing w:val="-2"/>
        </w:rPr>
        <w:t> </w:t>
      </w:r>
      <w:r>
        <w:rPr>
          <w:b/>
        </w:rPr>
        <w:t>2.5.2 is assessed</w:t>
      </w:r>
      <w:r>
        <w:rPr>
          <w:b/>
          <w:spacing w:val="-6"/>
        </w:rPr>
        <w:t> </w:t>
      </w:r>
      <w:r>
        <w:rPr>
          <w:b/>
        </w:rPr>
        <w:t>as not achieved.</w:t>
      </w:r>
    </w:p>
    <w:p>
      <w:pPr>
        <w:pStyle w:val="BodyText"/>
        <w:spacing w:before="6"/>
        <w:rPr>
          <w:b/>
          <w:sz w:val="16"/>
        </w:rPr>
      </w:pPr>
    </w:p>
    <w:p>
      <w:pPr>
        <w:pStyle w:val="Heading3"/>
        <w:numPr>
          <w:ilvl w:val="1"/>
          <w:numId w:val="7"/>
        </w:numPr>
        <w:tabs>
          <w:tab w:pos="940" w:val="left" w:leader="none"/>
          <w:tab w:pos="941" w:val="left" w:leader="none"/>
        </w:tabs>
        <w:spacing w:line="240" w:lineRule="auto" w:before="0" w:after="0"/>
        <w:ind w:left="940" w:right="0" w:hanging="721"/>
        <w:jc w:val="left"/>
        <w:rPr>
          <w:b w:val="0"/>
        </w:rPr>
      </w:pPr>
      <w:bookmarkStart w:name="_bookmark19" w:id="21"/>
      <w:bookmarkEnd w:id="21"/>
      <w:r>
        <w:rPr>
          <w:b w:val="0"/>
          <w:color w:val="4471C4"/>
        </w:rPr>
        <w:t>Educa</w:t>
      </w:r>
      <w:r>
        <w:rPr>
          <w:b w:val="0"/>
          <w:color w:val="4471C4"/>
        </w:rPr>
        <w:t>tion</w:t>
      </w:r>
      <w:r>
        <w:rPr>
          <w:b w:val="0"/>
          <w:color w:val="4471C4"/>
          <w:spacing w:val="-13"/>
        </w:rPr>
        <w:t> </w:t>
      </w:r>
      <w:r>
        <w:rPr>
          <w:b w:val="0"/>
          <w:color w:val="4471C4"/>
        </w:rPr>
        <w:t>Management</w:t>
      </w:r>
      <w:r>
        <w:rPr>
          <w:b w:val="0"/>
          <w:color w:val="4471C4"/>
          <w:spacing w:val="-14"/>
        </w:rPr>
        <w:t> </w:t>
      </w:r>
      <w:r>
        <w:rPr>
          <w:b w:val="0"/>
          <w:color w:val="4471C4"/>
          <w:spacing w:val="-2"/>
        </w:rPr>
        <w:t>Systems</w:t>
      </w:r>
    </w:p>
    <w:p>
      <w:pPr>
        <w:pStyle w:val="BodyText"/>
        <w:spacing w:before="3"/>
        <w:rPr>
          <w:rFonts w:ascii="Calibri Light"/>
          <w:b w:val="0"/>
          <w:sz w:val="20"/>
        </w:rPr>
      </w:pPr>
    </w:p>
    <w:p>
      <w:pPr>
        <w:pStyle w:val="Heading4"/>
        <w:numPr>
          <w:ilvl w:val="2"/>
          <w:numId w:val="7"/>
        </w:numPr>
        <w:tabs>
          <w:tab w:pos="940" w:val="left" w:leader="none"/>
          <w:tab w:pos="941" w:val="left" w:leader="none"/>
        </w:tabs>
        <w:spacing w:line="240" w:lineRule="auto" w:before="0" w:after="0"/>
        <w:ind w:left="940" w:right="0" w:hanging="721"/>
        <w:jc w:val="left"/>
        <w:rPr>
          <w:b w:val="0"/>
        </w:rPr>
      </w:pPr>
      <w:bookmarkStart w:name="_bookmark20" w:id="22"/>
      <w:bookmarkEnd w:id="22"/>
      <w:r>
        <w:rPr>
          <w:b w:val="0"/>
          <w:color w:val="4471C4"/>
        </w:rPr>
        <w:t>T</w:t>
      </w:r>
      <w:r>
        <w:rPr>
          <w:b w:val="0"/>
          <w:color w:val="4471C4"/>
        </w:rPr>
        <w:t>arget</w:t>
      </w:r>
      <w:r>
        <w:rPr>
          <w:b w:val="0"/>
          <w:color w:val="4471C4"/>
          <w:spacing w:val="18"/>
        </w:rPr>
        <w:t> </w:t>
      </w:r>
      <w:r>
        <w:rPr>
          <w:b w:val="0"/>
          <w:color w:val="4471C4"/>
        </w:rPr>
        <w:t>3.1:</w:t>
      </w:r>
      <w:r>
        <w:rPr>
          <w:b w:val="0"/>
          <w:color w:val="4471C4"/>
          <w:spacing w:val="17"/>
        </w:rPr>
        <w:t> </w:t>
      </w:r>
      <w:r>
        <w:rPr>
          <w:b w:val="0"/>
          <w:color w:val="4471C4"/>
        </w:rPr>
        <w:t>Retirement</w:t>
      </w:r>
      <w:r>
        <w:rPr>
          <w:b w:val="0"/>
          <w:color w:val="4471C4"/>
          <w:spacing w:val="19"/>
        </w:rPr>
        <w:t> </w:t>
      </w:r>
      <w:r>
        <w:rPr>
          <w:b w:val="0"/>
          <w:color w:val="4471C4"/>
        </w:rPr>
        <w:t>percentage</w:t>
      </w:r>
      <w:r>
        <w:rPr>
          <w:b w:val="0"/>
          <w:color w:val="4471C4"/>
          <w:spacing w:val="25"/>
        </w:rPr>
        <w:t> </w:t>
      </w:r>
      <w:r>
        <w:rPr>
          <w:b w:val="0"/>
          <w:color w:val="4471C4"/>
        </w:rPr>
        <w:t>of</w:t>
      </w:r>
      <w:r>
        <w:rPr>
          <w:b w:val="0"/>
          <w:color w:val="4471C4"/>
          <w:spacing w:val="19"/>
        </w:rPr>
        <w:t> </w:t>
      </w:r>
      <w:r>
        <w:rPr>
          <w:b w:val="0"/>
          <w:color w:val="4471C4"/>
        </w:rPr>
        <w:t>2018</w:t>
      </w:r>
      <w:r>
        <w:rPr>
          <w:b w:val="0"/>
          <w:color w:val="4471C4"/>
          <w:spacing w:val="17"/>
        </w:rPr>
        <w:t> </w:t>
      </w:r>
      <w:r>
        <w:rPr>
          <w:b w:val="0"/>
          <w:color w:val="4471C4"/>
        </w:rPr>
        <w:t>school</w:t>
      </w:r>
      <w:r>
        <w:rPr>
          <w:b w:val="0"/>
          <w:color w:val="4471C4"/>
          <w:spacing w:val="19"/>
        </w:rPr>
        <w:t> </w:t>
      </w:r>
      <w:r>
        <w:rPr>
          <w:b w:val="0"/>
          <w:color w:val="4471C4"/>
          <w:spacing w:val="-2"/>
        </w:rPr>
        <w:t>grants.</w:t>
      </w:r>
    </w:p>
    <w:p>
      <w:pPr>
        <w:pStyle w:val="BodyText"/>
        <w:spacing w:before="1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582"/>
        <w:gridCol w:w="2658"/>
        <w:gridCol w:w="1817"/>
      </w:tblGrid>
      <w:tr>
        <w:trPr>
          <w:trHeight w:val="690" w:hRule="atLeast"/>
        </w:trPr>
        <w:tc>
          <w:tcPr>
            <w:tcW w:w="2582"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55"/>
              <w:rPr>
                <w:b/>
                <w:sz w:val="19"/>
              </w:rPr>
            </w:pPr>
            <w:r>
              <w:rPr>
                <w:b/>
                <w:spacing w:val="-2"/>
                <w:w w:val="125"/>
                <w:sz w:val="19"/>
              </w:rPr>
              <w:t>Performance</w:t>
            </w:r>
            <w:r>
              <w:rPr>
                <w:b/>
                <w:spacing w:val="8"/>
                <w:w w:val="125"/>
                <w:sz w:val="19"/>
              </w:rPr>
              <w:t> </w:t>
            </w:r>
            <w:r>
              <w:rPr>
                <w:b/>
                <w:spacing w:val="-2"/>
                <w:w w:val="125"/>
                <w:sz w:val="19"/>
              </w:rPr>
              <w:t>Indicators</w:t>
            </w:r>
          </w:p>
        </w:tc>
        <w:tc>
          <w:tcPr>
            <w:tcW w:w="2658" w:type="dxa"/>
            <w:tcBorders>
              <w:left w:val="single" w:sz="6" w:space="0" w:color="4471C4"/>
              <w:right w:val="single" w:sz="6" w:space="0" w:color="4471C4"/>
            </w:tcBorders>
            <w:shd w:val="clear" w:color="auto" w:fill="B4C5E7"/>
          </w:tcPr>
          <w:p>
            <w:pPr>
              <w:pStyle w:val="TableParagraph"/>
              <w:spacing w:line="259" w:lineRule="auto" w:before="109"/>
              <w:ind w:left="745" w:right="5" w:hanging="276"/>
              <w:rPr>
                <w:b/>
                <w:sz w:val="19"/>
              </w:rPr>
            </w:pPr>
            <w:r>
              <w:rPr>
                <w:b/>
                <w:w w:val="125"/>
                <w:sz w:val="19"/>
              </w:rPr>
              <w:t>Expected</w:t>
            </w:r>
            <w:r>
              <w:rPr>
                <w:b/>
                <w:spacing w:val="-9"/>
                <w:w w:val="125"/>
                <w:sz w:val="19"/>
              </w:rPr>
              <w:t> </w:t>
            </w:r>
            <w:r>
              <w:rPr>
                <w:b/>
                <w:w w:val="125"/>
                <w:sz w:val="19"/>
              </w:rPr>
              <w:t>Results </w:t>
            </w:r>
            <w:r>
              <w:rPr>
                <w:b/>
                <w:spacing w:val="-2"/>
                <w:w w:val="125"/>
                <w:sz w:val="19"/>
              </w:rPr>
              <w:t>Statements</w:t>
            </w:r>
          </w:p>
        </w:tc>
        <w:tc>
          <w:tcPr>
            <w:tcW w:w="1817"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83" w:right="165"/>
              <w:jc w:val="center"/>
              <w:rPr>
                <w:b/>
                <w:sz w:val="19"/>
              </w:rPr>
            </w:pPr>
            <w:r>
              <w:rPr>
                <w:b/>
                <w:spacing w:val="-5"/>
                <w:w w:val="125"/>
                <w:sz w:val="19"/>
              </w:rPr>
              <w:t>IA</w:t>
            </w:r>
          </w:p>
        </w:tc>
      </w:tr>
      <w:tr>
        <w:trPr>
          <w:trHeight w:val="1491" w:hRule="atLeast"/>
        </w:trPr>
        <w:tc>
          <w:tcPr>
            <w:tcW w:w="2582" w:type="dxa"/>
            <w:tcBorders>
              <w:left w:val="single" w:sz="6" w:space="0" w:color="4471C4"/>
              <w:right w:val="single" w:sz="6" w:space="0" w:color="4471C4"/>
            </w:tcBorders>
          </w:tcPr>
          <w:p>
            <w:pPr>
              <w:pStyle w:val="TableParagraph"/>
              <w:spacing w:line="261" w:lineRule="auto" w:before="9"/>
              <w:ind w:left="42" w:right="90"/>
              <w:rPr>
                <w:sz w:val="18"/>
              </w:rPr>
            </w:pPr>
            <w:r>
              <w:rPr>
                <w:w w:val="125"/>
                <w:sz w:val="18"/>
              </w:rPr>
              <w:t>3.1.1</w:t>
            </w:r>
            <w:r>
              <w:rPr>
                <w:spacing w:val="-8"/>
                <w:w w:val="125"/>
                <w:sz w:val="18"/>
              </w:rPr>
              <w:t> </w:t>
            </w:r>
            <w:r>
              <w:rPr>
                <w:w w:val="125"/>
                <w:sz w:val="18"/>
              </w:rPr>
              <w:t>At</w:t>
            </w:r>
            <w:r>
              <w:rPr>
                <w:spacing w:val="-8"/>
                <w:w w:val="125"/>
                <w:sz w:val="18"/>
              </w:rPr>
              <w:t> </w:t>
            </w:r>
            <w:r>
              <w:rPr>
                <w:w w:val="125"/>
                <w:sz w:val="18"/>
              </w:rPr>
              <w:t>least</w:t>
            </w:r>
            <w:r>
              <w:rPr>
                <w:spacing w:val="-8"/>
                <w:w w:val="125"/>
                <w:sz w:val="18"/>
              </w:rPr>
              <w:t> </w:t>
            </w:r>
            <w:r>
              <w:rPr>
                <w:w w:val="125"/>
                <w:sz w:val="18"/>
              </w:rPr>
              <w:t>65%</w:t>
            </w:r>
            <w:r>
              <w:rPr>
                <w:spacing w:val="-6"/>
                <w:w w:val="125"/>
                <w:sz w:val="18"/>
              </w:rPr>
              <w:t> </w:t>
            </w:r>
            <w:r>
              <w:rPr>
                <w:w w:val="125"/>
                <w:sz w:val="18"/>
              </w:rPr>
              <w:t>of</w:t>
            </w:r>
            <w:r>
              <w:rPr>
                <w:spacing w:val="-1"/>
                <w:w w:val="125"/>
                <w:sz w:val="18"/>
              </w:rPr>
              <w:t> </w:t>
            </w:r>
            <w:r>
              <w:rPr>
                <w:w w:val="125"/>
                <w:sz w:val="18"/>
              </w:rPr>
              <w:t>2018 School grants are retired by 31 March 2019 (2018 second</w:t>
            </w:r>
            <w:r>
              <w:rPr>
                <w:spacing w:val="-4"/>
                <w:w w:val="125"/>
                <w:sz w:val="18"/>
              </w:rPr>
              <w:t> </w:t>
            </w:r>
            <w:r>
              <w:rPr>
                <w:w w:val="125"/>
                <w:sz w:val="18"/>
              </w:rPr>
              <w:t>biannual)</w:t>
            </w:r>
          </w:p>
        </w:tc>
        <w:tc>
          <w:tcPr>
            <w:tcW w:w="2658" w:type="dxa"/>
            <w:tcBorders>
              <w:left w:val="single" w:sz="6" w:space="0" w:color="4471C4"/>
              <w:right w:val="single" w:sz="6" w:space="0" w:color="4471C4"/>
            </w:tcBorders>
          </w:tcPr>
          <w:p>
            <w:pPr>
              <w:pStyle w:val="TableParagraph"/>
              <w:spacing w:line="261" w:lineRule="auto" w:before="9"/>
              <w:ind w:left="43" w:right="31"/>
              <w:jc w:val="both"/>
              <w:rPr>
                <w:sz w:val="18"/>
              </w:rPr>
            </w:pPr>
            <w:r>
              <w:rPr>
                <w:w w:val="125"/>
                <w:sz w:val="18"/>
              </w:rPr>
              <w:t>MEHRD Acquittal report for Primary,</w:t>
            </w:r>
            <w:r>
              <w:rPr>
                <w:spacing w:val="-13"/>
                <w:w w:val="125"/>
                <w:sz w:val="18"/>
              </w:rPr>
              <w:t> </w:t>
            </w:r>
            <w:r>
              <w:rPr>
                <w:w w:val="125"/>
                <w:sz w:val="18"/>
              </w:rPr>
              <w:t>Secondary,</w:t>
            </w:r>
            <w:r>
              <w:rPr>
                <w:spacing w:val="-13"/>
                <w:w w:val="125"/>
                <w:sz w:val="18"/>
              </w:rPr>
              <w:t> </w:t>
            </w:r>
            <w:r>
              <w:rPr>
                <w:w w:val="125"/>
                <w:sz w:val="18"/>
              </w:rPr>
              <w:t>TVET</w:t>
            </w:r>
            <w:r>
              <w:rPr>
                <w:spacing w:val="-13"/>
                <w:w w:val="125"/>
                <w:sz w:val="18"/>
              </w:rPr>
              <w:t> </w:t>
            </w:r>
            <w:r>
              <w:rPr>
                <w:w w:val="125"/>
                <w:sz w:val="18"/>
              </w:rPr>
              <w:t>as at 31 March 2019 –</w:t>
            </w:r>
          </w:p>
          <w:p>
            <w:pPr>
              <w:pStyle w:val="TableParagraph"/>
              <w:spacing w:before="2"/>
              <w:ind w:left="43"/>
              <w:jc w:val="both"/>
              <w:rPr>
                <w:sz w:val="18"/>
              </w:rPr>
            </w:pPr>
            <w:r>
              <w:rPr>
                <w:spacing w:val="-2"/>
                <w:w w:val="125"/>
                <w:sz w:val="18"/>
              </w:rPr>
              <w:t>retirements</w:t>
            </w:r>
            <w:r>
              <w:rPr>
                <w:spacing w:val="-3"/>
                <w:w w:val="125"/>
                <w:sz w:val="18"/>
              </w:rPr>
              <w:t> </w:t>
            </w:r>
            <w:r>
              <w:rPr>
                <w:spacing w:val="-2"/>
                <w:w w:val="125"/>
                <w:sz w:val="18"/>
              </w:rPr>
              <w:t>(50%)</w:t>
            </w:r>
          </w:p>
        </w:tc>
        <w:tc>
          <w:tcPr>
            <w:tcW w:w="1817" w:type="dxa"/>
            <w:tcBorders>
              <w:left w:val="single" w:sz="6" w:space="0" w:color="4471C4"/>
              <w:right w:val="single" w:sz="6" w:space="0" w:color="4471C4"/>
            </w:tcBorders>
            <w:shd w:val="clear" w:color="auto" w:fill="FF0000"/>
          </w:tcPr>
          <w:p>
            <w:pPr>
              <w:pStyle w:val="TableParagraph"/>
              <w:spacing w:before="10"/>
              <w:ind w:left="28"/>
              <w:jc w:val="center"/>
              <w:rPr>
                <w:sz w:val="22"/>
              </w:rPr>
            </w:pPr>
            <w:r>
              <w:rPr>
                <w:w w:val="125"/>
                <w:sz w:val="22"/>
              </w:rPr>
              <w:t>0</w:t>
            </w:r>
          </w:p>
        </w:tc>
      </w:tr>
      <w:tr>
        <w:trPr>
          <w:trHeight w:val="1381" w:hRule="atLeast"/>
        </w:trPr>
        <w:tc>
          <w:tcPr>
            <w:tcW w:w="2582" w:type="dxa"/>
            <w:tcBorders>
              <w:left w:val="single" w:sz="6" w:space="0" w:color="4471C4"/>
              <w:right w:val="single" w:sz="6" w:space="0" w:color="4471C4"/>
            </w:tcBorders>
          </w:tcPr>
          <w:p>
            <w:pPr>
              <w:pStyle w:val="TableParagraph"/>
              <w:spacing w:line="261" w:lineRule="auto" w:before="8"/>
              <w:ind w:left="42" w:right="90"/>
              <w:rPr>
                <w:sz w:val="18"/>
              </w:rPr>
            </w:pPr>
            <w:r>
              <w:rPr>
                <w:w w:val="125"/>
                <w:sz w:val="18"/>
              </w:rPr>
              <w:t>3.1.2.</w:t>
            </w:r>
            <w:r>
              <w:rPr>
                <w:spacing w:val="40"/>
                <w:w w:val="125"/>
                <w:sz w:val="18"/>
              </w:rPr>
              <w:t> </w:t>
            </w:r>
            <w:r>
              <w:rPr>
                <w:w w:val="125"/>
                <w:sz w:val="18"/>
              </w:rPr>
              <w:t>At least 85% received</w:t>
            </w:r>
            <w:r>
              <w:rPr>
                <w:spacing w:val="-13"/>
                <w:w w:val="125"/>
                <w:sz w:val="18"/>
              </w:rPr>
              <w:t> </w:t>
            </w:r>
            <w:r>
              <w:rPr>
                <w:w w:val="125"/>
                <w:sz w:val="18"/>
              </w:rPr>
              <w:t>the</w:t>
            </w:r>
            <w:r>
              <w:rPr>
                <w:spacing w:val="-13"/>
                <w:w w:val="125"/>
                <w:sz w:val="18"/>
              </w:rPr>
              <w:t> </w:t>
            </w:r>
            <w:r>
              <w:rPr>
                <w:w w:val="125"/>
                <w:sz w:val="18"/>
              </w:rPr>
              <w:t>first</w:t>
            </w:r>
            <w:r>
              <w:rPr>
                <w:spacing w:val="-13"/>
                <w:w w:val="125"/>
                <w:sz w:val="18"/>
              </w:rPr>
              <w:t> </w:t>
            </w:r>
            <w:r>
              <w:rPr>
                <w:w w:val="125"/>
                <w:sz w:val="18"/>
              </w:rPr>
              <w:t>tranche of their</w:t>
            </w:r>
            <w:r>
              <w:rPr>
                <w:spacing w:val="-7"/>
                <w:w w:val="125"/>
                <w:sz w:val="18"/>
              </w:rPr>
              <w:t> </w:t>
            </w:r>
            <w:r>
              <w:rPr>
                <w:w w:val="125"/>
                <w:sz w:val="18"/>
              </w:rPr>
              <w:t>2019</w:t>
            </w:r>
            <w:r>
              <w:rPr>
                <w:spacing w:val="-5"/>
                <w:w w:val="125"/>
                <w:sz w:val="18"/>
              </w:rPr>
              <w:t> </w:t>
            </w:r>
            <w:r>
              <w:rPr>
                <w:w w:val="125"/>
                <w:sz w:val="18"/>
              </w:rPr>
              <w:t>grant</w:t>
            </w:r>
            <w:r>
              <w:rPr>
                <w:spacing w:val="-4"/>
                <w:w w:val="125"/>
                <w:sz w:val="18"/>
              </w:rPr>
              <w:t> </w:t>
            </w:r>
            <w:r>
              <w:rPr>
                <w:w w:val="125"/>
                <w:sz w:val="18"/>
              </w:rPr>
              <w:t>by</w:t>
            </w:r>
            <w:r>
              <w:rPr>
                <w:spacing w:val="-5"/>
                <w:w w:val="125"/>
                <w:sz w:val="18"/>
              </w:rPr>
              <w:t> </w:t>
            </w:r>
            <w:r>
              <w:rPr>
                <w:w w:val="125"/>
                <w:sz w:val="18"/>
              </w:rPr>
              <w:t>31</w:t>
            </w:r>
          </w:p>
          <w:p>
            <w:pPr>
              <w:pStyle w:val="TableParagraph"/>
              <w:spacing w:before="3"/>
              <w:ind w:left="42"/>
              <w:rPr>
                <w:sz w:val="18"/>
              </w:rPr>
            </w:pPr>
            <w:r>
              <w:rPr>
                <w:w w:val="125"/>
                <w:sz w:val="18"/>
              </w:rPr>
              <w:t>March</w:t>
            </w:r>
            <w:r>
              <w:rPr>
                <w:spacing w:val="-9"/>
                <w:w w:val="125"/>
                <w:sz w:val="18"/>
              </w:rPr>
              <w:t> </w:t>
            </w:r>
            <w:r>
              <w:rPr>
                <w:spacing w:val="-4"/>
                <w:w w:val="125"/>
                <w:sz w:val="18"/>
              </w:rPr>
              <w:t>2019</w:t>
            </w:r>
          </w:p>
        </w:tc>
        <w:tc>
          <w:tcPr>
            <w:tcW w:w="2658" w:type="dxa"/>
            <w:tcBorders>
              <w:left w:val="single" w:sz="6" w:space="0" w:color="4471C4"/>
              <w:right w:val="single" w:sz="6" w:space="0" w:color="4471C4"/>
            </w:tcBorders>
          </w:tcPr>
          <w:p>
            <w:pPr>
              <w:pStyle w:val="TableParagraph"/>
              <w:spacing w:line="261" w:lineRule="auto" w:before="8"/>
              <w:ind w:left="43" w:right="5" w:firstLine="50"/>
              <w:rPr>
                <w:sz w:val="18"/>
              </w:rPr>
            </w:pPr>
            <w:r>
              <w:rPr>
                <w:w w:val="125"/>
                <w:sz w:val="18"/>
              </w:rPr>
              <w:t>MERHD</w:t>
            </w:r>
            <w:r>
              <w:rPr>
                <w:spacing w:val="-13"/>
                <w:w w:val="125"/>
                <w:sz w:val="18"/>
              </w:rPr>
              <w:t> </w:t>
            </w:r>
            <w:r>
              <w:rPr>
                <w:w w:val="125"/>
                <w:sz w:val="18"/>
              </w:rPr>
              <w:t>Acquittal</w:t>
            </w:r>
            <w:r>
              <w:rPr>
                <w:spacing w:val="-13"/>
                <w:w w:val="125"/>
                <w:sz w:val="18"/>
              </w:rPr>
              <w:t> </w:t>
            </w:r>
            <w:r>
              <w:rPr>
                <w:w w:val="125"/>
                <w:sz w:val="18"/>
              </w:rPr>
              <w:t>report</w:t>
            </w:r>
            <w:r>
              <w:rPr>
                <w:spacing w:val="-13"/>
                <w:w w:val="125"/>
                <w:sz w:val="18"/>
              </w:rPr>
              <w:t> </w:t>
            </w:r>
            <w:r>
              <w:rPr>
                <w:w w:val="125"/>
                <w:sz w:val="18"/>
              </w:rPr>
              <w:t>for Primary,</w:t>
            </w:r>
            <w:r>
              <w:rPr>
                <w:spacing w:val="-13"/>
                <w:w w:val="125"/>
                <w:sz w:val="18"/>
              </w:rPr>
              <w:t> </w:t>
            </w:r>
            <w:r>
              <w:rPr>
                <w:w w:val="125"/>
                <w:sz w:val="18"/>
              </w:rPr>
              <w:t>Secondary,</w:t>
            </w:r>
            <w:r>
              <w:rPr>
                <w:spacing w:val="-13"/>
                <w:w w:val="125"/>
                <w:sz w:val="18"/>
              </w:rPr>
              <w:t> </w:t>
            </w:r>
            <w:r>
              <w:rPr>
                <w:w w:val="125"/>
                <w:sz w:val="18"/>
              </w:rPr>
              <w:t>TVET</w:t>
            </w:r>
            <w:r>
              <w:rPr>
                <w:spacing w:val="-13"/>
                <w:w w:val="125"/>
                <w:sz w:val="18"/>
              </w:rPr>
              <w:t> </w:t>
            </w:r>
            <w:r>
              <w:rPr>
                <w:w w:val="125"/>
                <w:sz w:val="18"/>
              </w:rPr>
              <w:t>as at 31 March 2019 - disbursement of first tranche for 2019 (50%)</w:t>
            </w:r>
          </w:p>
        </w:tc>
        <w:tc>
          <w:tcPr>
            <w:tcW w:w="1817" w:type="dxa"/>
            <w:tcBorders>
              <w:left w:val="single" w:sz="6" w:space="0" w:color="4471C4"/>
              <w:right w:val="single" w:sz="6" w:space="0" w:color="4471C4"/>
            </w:tcBorders>
            <w:shd w:val="clear" w:color="auto" w:fill="A9D08E"/>
          </w:tcPr>
          <w:p>
            <w:pPr>
              <w:pStyle w:val="TableParagraph"/>
              <w:spacing w:before="11"/>
              <w:ind w:left="183" w:right="177"/>
              <w:jc w:val="center"/>
              <w:rPr>
                <w:sz w:val="22"/>
              </w:rPr>
            </w:pPr>
            <w:r>
              <w:rPr>
                <w:w w:val="125"/>
                <w:sz w:val="22"/>
              </w:rPr>
              <w:t>100%</w:t>
            </w:r>
            <w:r>
              <w:rPr>
                <w:spacing w:val="1"/>
                <w:w w:val="125"/>
                <w:sz w:val="22"/>
              </w:rPr>
              <w:t> </w:t>
            </w:r>
            <w:r>
              <w:rPr>
                <w:w w:val="125"/>
                <w:sz w:val="22"/>
              </w:rPr>
              <w:t>(of</w:t>
            </w:r>
            <w:r>
              <w:rPr>
                <w:spacing w:val="2"/>
                <w:w w:val="125"/>
                <w:sz w:val="22"/>
              </w:rPr>
              <w:t> </w:t>
            </w:r>
            <w:r>
              <w:rPr>
                <w:spacing w:val="-5"/>
                <w:w w:val="125"/>
                <w:sz w:val="22"/>
              </w:rPr>
              <w:t>50)</w:t>
            </w:r>
          </w:p>
        </w:tc>
      </w:tr>
    </w:tbl>
    <w:p>
      <w:pPr>
        <w:pStyle w:val="BodyText"/>
        <w:spacing w:before="11"/>
        <w:rPr>
          <w:rFonts w:ascii="Calibri Light"/>
          <w:b w:val="0"/>
          <w:sz w:val="19"/>
        </w:rPr>
      </w:pPr>
    </w:p>
    <w:p>
      <w:pPr>
        <w:pStyle w:val="BodyText"/>
        <w:ind w:left="220" w:right="1254"/>
        <w:jc w:val="both"/>
      </w:pPr>
      <w:r>
        <w:rPr>
          <w:b/>
        </w:rPr>
        <w:t>Source</w:t>
      </w:r>
      <w:r>
        <w:rPr/>
        <w:t>: Key Output Report: finance management. MEHRD financial reports. Financial Report presented at Mid-Term Review.</w:t>
      </w:r>
    </w:p>
    <w:p>
      <w:pPr>
        <w:pStyle w:val="BodyText"/>
        <w:spacing w:before="4"/>
        <w:rPr>
          <w:sz w:val="16"/>
        </w:rPr>
      </w:pPr>
    </w:p>
    <w:p>
      <w:pPr>
        <w:pStyle w:val="BodyText"/>
        <w:spacing w:before="1"/>
        <w:ind w:left="220" w:right="1258"/>
        <w:jc w:val="both"/>
      </w:pPr>
      <w:r>
        <w:rPr>
          <w:b/>
        </w:rPr>
        <w:t>Performance Indicator 3.1. </w:t>
      </w:r>
      <w:r>
        <w:rPr/>
        <w:t>The rate of 2018 second biannual School grants retirement as at 31 March 2019 was 60 per cent (see Table 2), below the indicator level of at least 65 per cent. Some</w:t>
      </w:r>
      <w:r>
        <w:rPr>
          <w:spacing w:val="40"/>
        </w:rPr>
        <w:t> </w:t>
      </w:r>
      <w:r>
        <w:rPr/>
        <w:t>120 acquittals are with EAs though not received nor entered into the MEHRD Grants system.</w:t>
      </w:r>
    </w:p>
    <w:p>
      <w:pPr>
        <w:pStyle w:val="BodyText"/>
        <w:spacing w:before="4"/>
        <w:rPr>
          <w:sz w:val="16"/>
        </w:rPr>
      </w:pPr>
    </w:p>
    <w:p>
      <w:pPr>
        <w:pStyle w:val="BodyText"/>
        <w:ind w:left="220" w:right="1252"/>
        <w:jc w:val="both"/>
        <w:rPr>
          <w:b/>
        </w:rPr>
      </w:pPr>
      <w:r>
        <w:rPr/>
        <w:t>As noted in last year’s Independent Assessment, this indicator had the potential to score higher and for this year to be achieved. The last assessor also recommended that this indicator be defined with more detail; that is, clarify second biannual, date of acquittal report and that ECCE not be included. While MEHRD has reasoned that the additional retirements currently sitting with EAs brings the percentage to 65 per cent, the clarity provided in this indicator around acquittal date of 31 March 2019 MEHRD report, second biannual only and exclusion of ECCE precludes assessing this indicator</w:t>
      </w:r>
      <w:r>
        <w:rPr>
          <w:spacing w:val="40"/>
        </w:rPr>
        <w:t> </w:t>
      </w:r>
      <w:r>
        <w:rPr/>
        <w:t>as achieved. </w:t>
      </w:r>
      <w:r>
        <w:rPr>
          <w:b/>
        </w:rPr>
        <w:t>Indicator 3.1.1 is assessed as not achieved.</w:t>
      </w:r>
    </w:p>
    <w:p>
      <w:pPr>
        <w:spacing w:after="0"/>
        <w:jc w:val="both"/>
        <w:sectPr>
          <w:pgSz w:w="11900" w:h="16850"/>
          <w:pgMar w:header="867" w:footer="830" w:top="1060" w:bottom="1020" w:left="1220" w:right="180"/>
        </w:sectPr>
      </w:pPr>
    </w:p>
    <w:p>
      <w:pPr>
        <w:pStyle w:val="BodyText"/>
        <w:rPr>
          <w:b/>
          <w:sz w:val="20"/>
        </w:rPr>
      </w:pPr>
    </w:p>
    <w:p>
      <w:pPr>
        <w:pStyle w:val="BodyText"/>
        <w:spacing w:before="1"/>
        <w:rPr>
          <w:b/>
          <w:sz w:val="27"/>
        </w:rPr>
      </w:pPr>
    </w:p>
    <w:p>
      <w:pPr>
        <w:pStyle w:val="Heading4"/>
        <w:spacing w:before="52"/>
        <w:rPr>
          <w:b w:val="0"/>
        </w:rPr>
      </w:pPr>
      <w:r>
        <w:rPr>
          <w:b w:val="0"/>
          <w:color w:val="2E5395"/>
        </w:rPr>
        <w:t>Table</w:t>
      </w:r>
      <w:r>
        <w:rPr>
          <w:b w:val="0"/>
          <w:color w:val="2E5395"/>
          <w:spacing w:val="-5"/>
        </w:rPr>
        <w:t> </w:t>
      </w:r>
      <w:r>
        <w:rPr>
          <w:b w:val="0"/>
          <w:color w:val="2E5395"/>
        </w:rPr>
        <w:t>2:</w:t>
      </w:r>
      <w:r>
        <w:rPr>
          <w:b w:val="0"/>
          <w:color w:val="2E5395"/>
          <w:spacing w:val="-2"/>
        </w:rPr>
        <w:t> </w:t>
      </w:r>
      <w:r>
        <w:rPr>
          <w:b w:val="0"/>
          <w:color w:val="2E5395"/>
        </w:rPr>
        <w:t>Second</w:t>
      </w:r>
      <w:r>
        <w:rPr>
          <w:b w:val="0"/>
          <w:color w:val="2E5395"/>
          <w:spacing w:val="-1"/>
        </w:rPr>
        <w:t> </w:t>
      </w:r>
      <w:r>
        <w:rPr>
          <w:b w:val="0"/>
          <w:color w:val="2E5395"/>
        </w:rPr>
        <w:t>biannual</w:t>
      </w:r>
      <w:r>
        <w:rPr>
          <w:b w:val="0"/>
          <w:color w:val="2E5395"/>
          <w:spacing w:val="-3"/>
        </w:rPr>
        <w:t> </w:t>
      </w:r>
      <w:r>
        <w:rPr>
          <w:b w:val="0"/>
          <w:color w:val="2E5395"/>
        </w:rPr>
        <w:t>grant</w:t>
      </w:r>
      <w:r>
        <w:rPr>
          <w:b w:val="0"/>
          <w:color w:val="2E5395"/>
          <w:spacing w:val="-2"/>
        </w:rPr>
        <w:t> </w:t>
      </w:r>
      <w:r>
        <w:rPr>
          <w:b w:val="0"/>
          <w:color w:val="2E5395"/>
        </w:rPr>
        <w:t>retirement rate</w:t>
      </w:r>
      <w:r>
        <w:rPr>
          <w:b w:val="0"/>
          <w:color w:val="2E5395"/>
          <w:spacing w:val="-3"/>
        </w:rPr>
        <w:t> </w:t>
      </w:r>
      <w:r>
        <w:rPr>
          <w:b w:val="0"/>
          <w:color w:val="2E5395"/>
        </w:rPr>
        <w:t>as</w:t>
      </w:r>
      <w:r>
        <w:rPr>
          <w:b w:val="0"/>
          <w:color w:val="2E5395"/>
          <w:spacing w:val="-1"/>
        </w:rPr>
        <w:t> </w:t>
      </w:r>
      <w:r>
        <w:rPr>
          <w:b w:val="0"/>
          <w:color w:val="2E5395"/>
        </w:rPr>
        <w:t>at</w:t>
      </w:r>
      <w:r>
        <w:rPr>
          <w:b w:val="0"/>
          <w:color w:val="2E5395"/>
          <w:spacing w:val="-1"/>
        </w:rPr>
        <w:t> </w:t>
      </w:r>
      <w:r>
        <w:rPr>
          <w:b w:val="0"/>
          <w:color w:val="2E5395"/>
        </w:rPr>
        <w:t>31</w:t>
      </w:r>
      <w:r>
        <w:rPr>
          <w:b w:val="0"/>
          <w:color w:val="2E5395"/>
          <w:spacing w:val="-1"/>
        </w:rPr>
        <w:t> </w:t>
      </w:r>
      <w:r>
        <w:rPr>
          <w:b w:val="0"/>
          <w:color w:val="2E5395"/>
        </w:rPr>
        <w:t>March</w:t>
      </w:r>
      <w:r>
        <w:rPr>
          <w:b w:val="0"/>
          <w:color w:val="2E5395"/>
          <w:spacing w:val="-3"/>
        </w:rPr>
        <w:t> </w:t>
      </w:r>
      <w:r>
        <w:rPr>
          <w:b w:val="0"/>
          <w:color w:val="2E5395"/>
          <w:spacing w:val="-2"/>
        </w:rPr>
        <w:t>2019.</w:t>
      </w:r>
    </w:p>
    <w:p>
      <w:pPr>
        <w:pStyle w:val="BodyText"/>
        <w:spacing w:before="9"/>
        <w:rPr>
          <w:rFonts w:ascii="Calibri Light"/>
          <w:b w:val="0"/>
          <w:sz w:val="19"/>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920"/>
        <w:gridCol w:w="1920"/>
        <w:gridCol w:w="1270"/>
      </w:tblGrid>
      <w:tr>
        <w:trPr>
          <w:trHeight w:val="567" w:hRule="atLeast"/>
        </w:trPr>
        <w:tc>
          <w:tcPr>
            <w:tcW w:w="2410" w:type="dxa"/>
            <w:tcBorders>
              <w:bottom w:val="single" w:sz="6" w:space="0" w:color="000000"/>
            </w:tcBorders>
            <w:shd w:val="clear" w:color="auto" w:fill="8EA9DB"/>
          </w:tcPr>
          <w:p>
            <w:pPr>
              <w:pStyle w:val="TableParagraph"/>
              <w:spacing w:before="10"/>
              <w:ind w:left="34"/>
              <w:rPr>
                <w:b/>
                <w:sz w:val="22"/>
              </w:rPr>
            </w:pPr>
            <w:r>
              <w:rPr>
                <w:b/>
                <w:spacing w:val="-2"/>
                <w:sz w:val="22"/>
              </w:rPr>
              <w:t>Sector</w:t>
            </w:r>
          </w:p>
        </w:tc>
        <w:tc>
          <w:tcPr>
            <w:tcW w:w="1920" w:type="dxa"/>
            <w:tcBorders>
              <w:bottom w:val="single" w:sz="6" w:space="0" w:color="000000"/>
            </w:tcBorders>
            <w:shd w:val="clear" w:color="auto" w:fill="8EA9DB"/>
          </w:tcPr>
          <w:p>
            <w:pPr>
              <w:pStyle w:val="TableParagraph"/>
              <w:spacing w:before="10"/>
              <w:ind w:left="34"/>
              <w:rPr>
                <w:b/>
                <w:sz w:val="22"/>
              </w:rPr>
            </w:pPr>
            <w:r>
              <w:rPr>
                <w:b/>
                <w:spacing w:val="-2"/>
                <w:sz w:val="22"/>
              </w:rPr>
              <w:t>Disbursement</w:t>
            </w:r>
          </w:p>
        </w:tc>
        <w:tc>
          <w:tcPr>
            <w:tcW w:w="1920" w:type="dxa"/>
            <w:tcBorders>
              <w:bottom w:val="single" w:sz="6" w:space="0" w:color="000000"/>
            </w:tcBorders>
            <w:shd w:val="clear" w:color="auto" w:fill="8EA9DB"/>
          </w:tcPr>
          <w:p>
            <w:pPr>
              <w:pStyle w:val="TableParagraph"/>
              <w:spacing w:before="10"/>
              <w:ind w:right="839"/>
              <w:jc w:val="right"/>
              <w:rPr>
                <w:b/>
                <w:sz w:val="22"/>
              </w:rPr>
            </w:pPr>
            <w:r>
              <w:rPr>
                <w:b/>
                <w:spacing w:val="-2"/>
                <w:sz w:val="22"/>
              </w:rPr>
              <w:t>Retirement</w:t>
            </w:r>
          </w:p>
        </w:tc>
        <w:tc>
          <w:tcPr>
            <w:tcW w:w="1270" w:type="dxa"/>
            <w:tcBorders>
              <w:bottom w:val="single" w:sz="6" w:space="0" w:color="000000"/>
            </w:tcBorders>
            <w:shd w:val="clear" w:color="auto" w:fill="8EA9DB"/>
          </w:tcPr>
          <w:p>
            <w:pPr>
              <w:pStyle w:val="TableParagraph"/>
              <w:spacing w:before="10"/>
              <w:ind w:left="33"/>
              <w:rPr>
                <w:b/>
                <w:sz w:val="22"/>
              </w:rPr>
            </w:pPr>
            <w:r>
              <w:rPr>
                <w:b/>
                <w:spacing w:val="-2"/>
                <w:sz w:val="22"/>
              </w:rPr>
              <w:t>Retirement</w:t>
            </w:r>
          </w:p>
          <w:p>
            <w:pPr>
              <w:pStyle w:val="TableParagraph"/>
              <w:spacing w:line="247" w:lineRule="exact" w:before="22"/>
              <w:ind w:left="33"/>
              <w:rPr>
                <w:b/>
                <w:sz w:val="22"/>
              </w:rPr>
            </w:pPr>
            <w:r>
              <w:rPr>
                <w:b/>
                <w:spacing w:val="-4"/>
                <w:sz w:val="22"/>
              </w:rPr>
              <w:t>Rate</w:t>
            </w:r>
          </w:p>
        </w:tc>
      </w:tr>
      <w:tr>
        <w:trPr>
          <w:trHeight w:val="277" w:hRule="atLeast"/>
        </w:trPr>
        <w:tc>
          <w:tcPr>
            <w:tcW w:w="2410" w:type="dxa"/>
            <w:tcBorders>
              <w:top w:val="single" w:sz="6" w:space="0" w:color="000000"/>
            </w:tcBorders>
          </w:tcPr>
          <w:p>
            <w:pPr>
              <w:pStyle w:val="TableParagraph"/>
              <w:spacing w:line="250" w:lineRule="exact" w:before="8"/>
              <w:ind w:left="34"/>
              <w:rPr>
                <w:sz w:val="22"/>
              </w:rPr>
            </w:pPr>
            <w:r>
              <w:rPr>
                <w:spacing w:val="-2"/>
                <w:sz w:val="22"/>
              </w:rPr>
              <w:t>Primary</w:t>
            </w:r>
          </w:p>
        </w:tc>
        <w:tc>
          <w:tcPr>
            <w:tcW w:w="1920" w:type="dxa"/>
            <w:tcBorders>
              <w:top w:val="single" w:sz="6" w:space="0" w:color="000000"/>
            </w:tcBorders>
          </w:tcPr>
          <w:p>
            <w:pPr>
              <w:pStyle w:val="TableParagraph"/>
              <w:spacing w:line="250" w:lineRule="exact" w:before="8"/>
              <w:ind w:left="719" w:right="711"/>
              <w:jc w:val="center"/>
              <w:rPr>
                <w:sz w:val="22"/>
              </w:rPr>
            </w:pPr>
            <w:r>
              <w:rPr>
                <w:spacing w:val="-5"/>
                <w:sz w:val="22"/>
              </w:rPr>
              <w:t>709</w:t>
            </w:r>
          </w:p>
        </w:tc>
        <w:tc>
          <w:tcPr>
            <w:tcW w:w="1920" w:type="dxa"/>
            <w:tcBorders>
              <w:top w:val="single" w:sz="6" w:space="0" w:color="000000"/>
            </w:tcBorders>
          </w:tcPr>
          <w:p>
            <w:pPr>
              <w:pStyle w:val="TableParagraph"/>
              <w:spacing w:line="250" w:lineRule="exact" w:before="8"/>
              <w:ind w:right="784"/>
              <w:jc w:val="right"/>
              <w:rPr>
                <w:sz w:val="22"/>
              </w:rPr>
            </w:pPr>
            <w:r>
              <w:rPr>
                <w:spacing w:val="-5"/>
                <w:sz w:val="22"/>
              </w:rPr>
              <w:t>445</w:t>
            </w:r>
          </w:p>
        </w:tc>
        <w:tc>
          <w:tcPr>
            <w:tcW w:w="1270" w:type="dxa"/>
            <w:tcBorders>
              <w:top w:val="single" w:sz="6" w:space="0" w:color="000000"/>
            </w:tcBorders>
          </w:tcPr>
          <w:p>
            <w:pPr>
              <w:pStyle w:val="TableParagraph"/>
              <w:spacing w:line="250" w:lineRule="exact" w:before="8"/>
              <w:ind w:right="29"/>
              <w:jc w:val="right"/>
              <w:rPr>
                <w:sz w:val="22"/>
              </w:rPr>
            </w:pPr>
            <w:r>
              <w:rPr>
                <w:spacing w:val="-5"/>
                <w:sz w:val="22"/>
              </w:rPr>
              <w:t>63%</w:t>
            </w:r>
          </w:p>
        </w:tc>
      </w:tr>
      <w:tr>
        <w:trPr>
          <w:trHeight w:val="279" w:hRule="atLeast"/>
        </w:trPr>
        <w:tc>
          <w:tcPr>
            <w:tcW w:w="2410" w:type="dxa"/>
          </w:tcPr>
          <w:p>
            <w:pPr>
              <w:pStyle w:val="TableParagraph"/>
              <w:spacing w:line="250" w:lineRule="exact" w:before="10"/>
              <w:ind w:left="34"/>
              <w:rPr>
                <w:sz w:val="22"/>
              </w:rPr>
            </w:pPr>
            <w:r>
              <w:rPr>
                <w:spacing w:val="-2"/>
                <w:sz w:val="22"/>
              </w:rPr>
              <w:t>Secondary</w:t>
            </w:r>
          </w:p>
        </w:tc>
        <w:tc>
          <w:tcPr>
            <w:tcW w:w="1920" w:type="dxa"/>
          </w:tcPr>
          <w:p>
            <w:pPr>
              <w:pStyle w:val="TableParagraph"/>
              <w:spacing w:line="250" w:lineRule="exact" w:before="10"/>
              <w:ind w:left="719" w:right="711"/>
              <w:jc w:val="center"/>
              <w:rPr>
                <w:sz w:val="22"/>
              </w:rPr>
            </w:pPr>
            <w:r>
              <w:rPr>
                <w:spacing w:val="-5"/>
                <w:sz w:val="22"/>
              </w:rPr>
              <w:t>258</w:t>
            </w:r>
          </w:p>
        </w:tc>
        <w:tc>
          <w:tcPr>
            <w:tcW w:w="1920" w:type="dxa"/>
          </w:tcPr>
          <w:p>
            <w:pPr>
              <w:pStyle w:val="TableParagraph"/>
              <w:spacing w:line="250" w:lineRule="exact" w:before="10"/>
              <w:ind w:right="784"/>
              <w:jc w:val="right"/>
              <w:rPr>
                <w:sz w:val="22"/>
              </w:rPr>
            </w:pPr>
            <w:r>
              <w:rPr>
                <w:spacing w:val="-5"/>
                <w:sz w:val="22"/>
              </w:rPr>
              <w:t>145</w:t>
            </w:r>
          </w:p>
        </w:tc>
        <w:tc>
          <w:tcPr>
            <w:tcW w:w="1270" w:type="dxa"/>
          </w:tcPr>
          <w:p>
            <w:pPr>
              <w:pStyle w:val="TableParagraph"/>
              <w:spacing w:line="250" w:lineRule="exact" w:before="10"/>
              <w:ind w:right="29"/>
              <w:jc w:val="right"/>
              <w:rPr>
                <w:sz w:val="22"/>
              </w:rPr>
            </w:pPr>
            <w:r>
              <w:rPr>
                <w:spacing w:val="-5"/>
                <w:sz w:val="22"/>
              </w:rPr>
              <w:t>56%</w:t>
            </w:r>
          </w:p>
        </w:tc>
      </w:tr>
      <w:tr>
        <w:trPr>
          <w:trHeight w:val="279" w:hRule="atLeast"/>
        </w:trPr>
        <w:tc>
          <w:tcPr>
            <w:tcW w:w="2410" w:type="dxa"/>
          </w:tcPr>
          <w:p>
            <w:pPr>
              <w:pStyle w:val="TableParagraph"/>
              <w:spacing w:line="250" w:lineRule="exact" w:before="10"/>
              <w:ind w:left="34"/>
              <w:rPr>
                <w:sz w:val="22"/>
              </w:rPr>
            </w:pPr>
            <w:r>
              <w:rPr>
                <w:spacing w:val="-4"/>
                <w:sz w:val="22"/>
              </w:rPr>
              <w:t>TVET</w:t>
            </w:r>
          </w:p>
        </w:tc>
        <w:tc>
          <w:tcPr>
            <w:tcW w:w="1920" w:type="dxa"/>
          </w:tcPr>
          <w:p>
            <w:pPr>
              <w:pStyle w:val="TableParagraph"/>
              <w:spacing w:line="250" w:lineRule="exact" w:before="10"/>
              <w:ind w:left="729" w:right="711"/>
              <w:jc w:val="center"/>
              <w:rPr>
                <w:sz w:val="22"/>
              </w:rPr>
            </w:pPr>
            <w:r>
              <w:rPr>
                <w:spacing w:val="-5"/>
                <w:sz w:val="22"/>
              </w:rPr>
              <w:t>36</w:t>
            </w:r>
          </w:p>
        </w:tc>
        <w:tc>
          <w:tcPr>
            <w:tcW w:w="1920" w:type="dxa"/>
          </w:tcPr>
          <w:p>
            <w:pPr>
              <w:pStyle w:val="TableParagraph"/>
              <w:spacing w:line="250" w:lineRule="exact" w:before="10"/>
              <w:ind w:left="9"/>
              <w:jc w:val="center"/>
              <w:rPr>
                <w:sz w:val="22"/>
              </w:rPr>
            </w:pPr>
            <w:r>
              <w:rPr>
                <w:w w:val="100"/>
                <w:sz w:val="22"/>
              </w:rPr>
              <w:t>8</w:t>
            </w:r>
          </w:p>
        </w:tc>
        <w:tc>
          <w:tcPr>
            <w:tcW w:w="1270" w:type="dxa"/>
          </w:tcPr>
          <w:p>
            <w:pPr>
              <w:pStyle w:val="TableParagraph"/>
              <w:spacing w:line="250" w:lineRule="exact" w:before="10"/>
              <w:ind w:right="29"/>
              <w:jc w:val="right"/>
              <w:rPr>
                <w:sz w:val="22"/>
              </w:rPr>
            </w:pPr>
            <w:r>
              <w:rPr>
                <w:spacing w:val="-5"/>
                <w:sz w:val="22"/>
              </w:rPr>
              <w:t>22%</w:t>
            </w:r>
          </w:p>
        </w:tc>
      </w:tr>
      <w:tr>
        <w:trPr>
          <w:trHeight w:val="277" w:hRule="atLeast"/>
        </w:trPr>
        <w:tc>
          <w:tcPr>
            <w:tcW w:w="2410" w:type="dxa"/>
            <w:shd w:val="clear" w:color="auto" w:fill="B4C5E7"/>
          </w:tcPr>
          <w:p>
            <w:pPr>
              <w:pStyle w:val="TableParagraph"/>
              <w:spacing w:line="247" w:lineRule="exact" w:before="10"/>
              <w:ind w:left="34"/>
              <w:rPr>
                <w:b/>
                <w:sz w:val="22"/>
              </w:rPr>
            </w:pPr>
            <w:r>
              <w:rPr>
                <w:b/>
                <w:sz w:val="22"/>
              </w:rPr>
              <w:t>Overall</w:t>
            </w:r>
            <w:r>
              <w:rPr>
                <w:b/>
                <w:spacing w:val="-8"/>
                <w:sz w:val="22"/>
              </w:rPr>
              <w:t> </w:t>
            </w:r>
            <w:r>
              <w:rPr>
                <w:b/>
                <w:sz w:val="22"/>
              </w:rPr>
              <w:t>rate</w:t>
            </w:r>
            <w:r>
              <w:rPr>
                <w:b/>
                <w:spacing w:val="-5"/>
                <w:sz w:val="22"/>
              </w:rPr>
              <w:t> </w:t>
            </w:r>
            <w:r>
              <w:rPr>
                <w:b/>
                <w:sz w:val="22"/>
              </w:rPr>
              <w:t>of</w:t>
            </w:r>
            <w:r>
              <w:rPr>
                <w:b/>
                <w:spacing w:val="-3"/>
                <w:sz w:val="22"/>
              </w:rPr>
              <w:t> </w:t>
            </w:r>
            <w:r>
              <w:rPr>
                <w:b/>
                <w:spacing w:val="-2"/>
                <w:sz w:val="22"/>
              </w:rPr>
              <w:t>retirement</w:t>
            </w:r>
          </w:p>
        </w:tc>
        <w:tc>
          <w:tcPr>
            <w:tcW w:w="1920" w:type="dxa"/>
            <w:tcBorders>
              <w:bottom w:val="single" w:sz="6" w:space="0" w:color="000000"/>
            </w:tcBorders>
            <w:shd w:val="clear" w:color="auto" w:fill="B4C5E7"/>
          </w:tcPr>
          <w:p>
            <w:pPr>
              <w:pStyle w:val="TableParagraph"/>
              <w:spacing w:line="247" w:lineRule="exact" w:before="10"/>
              <w:ind w:left="729" w:right="711"/>
              <w:jc w:val="center"/>
              <w:rPr>
                <w:b/>
                <w:sz w:val="22"/>
              </w:rPr>
            </w:pPr>
            <w:r>
              <w:rPr>
                <w:b/>
                <w:spacing w:val="-4"/>
                <w:sz w:val="22"/>
              </w:rPr>
              <w:t>1003</w:t>
            </w:r>
          </w:p>
        </w:tc>
        <w:tc>
          <w:tcPr>
            <w:tcW w:w="1920" w:type="dxa"/>
            <w:tcBorders>
              <w:bottom w:val="single" w:sz="6" w:space="0" w:color="000000"/>
            </w:tcBorders>
            <w:shd w:val="clear" w:color="auto" w:fill="B4C5E7"/>
          </w:tcPr>
          <w:p>
            <w:pPr>
              <w:pStyle w:val="TableParagraph"/>
              <w:spacing w:line="247" w:lineRule="exact" w:before="10"/>
              <w:ind w:right="784"/>
              <w:jc w:val="right"/>
              <w:rPr>
                <w:b/>
                <w:sz w:val="22"/>
              </w:rPr>
            </w:pPr>
            <w:r>
              <w:rPr>
                <w:b/>
                <w:spacing w:val="-5"/>
                <w:sz w:val="22"/>
              </w:rPr>
              <w:t>598</w:t>
            </w:r>
          </w:p>
        </w:tc>
        <w:tc>
          <w:tcPr>
            <w:tcW w:w="1270" w:type="dxa"/>
            <w:shd w:val="clear" w:color="auto" w:fill="B4C5E7"/>
          </w:tcPr>
          <w:p>
            <w:pPr>
              <w:pStyle w:val="TableParagraph"/>
              <w:spacing w:line="247" w:lineRule="exact" w:before="10"/>
              <w:ind w:right="26"/>
              <w:jc w:val="right"/>
              <w:rPr>
                <w:b/>
                <w:sz w:val="22"/>
              </w:rPr>
            </w:pPr>
            <w:r>
              <w:rPr>
                <w:b/>
                <w:spacing w:val="-5"/>
                <w:sz w:val="22"/>
              </w:rPr>
              <w:t>60%</w:t>
            </w:r>
          </w:p>
        </w:tc>
      </w:tr>
    </w:tbl>
    <w:p>
      <w:pPr>
        <w:pStyle w:val="BodyText"/>
        <w:rPr>
          <w:rFonts w:ascii="Calibri Light"/>
          <w:b w:val="0"/>
          <w:sz w:val="24"/>
        </w:rPr>
      </w:pPr>
    </w:p>
    <w:p>
      <w:pPr>
        <w:pStyle w:val="BodyText"/>
        <w:spacing w:before="9"/>
        <w:rPr>
          <w:rFonts w:ascii="Calibri Light"/>
          <w:b w:val="0"/>
          <w:sz w:val="30"/>
        </w:rPr>
      </w:pPr>
    </w:p>
    <w:p>
      <w:pPr>
        <w:pStyle w:val="BodyText"/>
        <w:ind w:left="220" w:right="1252"/>
        <w:jc w:val="both"/>
      </w:pPr>
      <w:r>
        <w:rPr/>
        <w:t>Late or no retirement of school and EA grants leads to schools and EAs missing out on finances and much needed resources to provide a quality education for children. The timely and accurate retirement of EA and school grants should act as an incentive to ensure the second tranche</w:t>
      </w:r>
      <w:r>
        <w:rPr>
          <w:spacing w:val="40"/>
        </w:rPr>
        <w:t> </w:t>
      </w:r>
      <w:r>
        <w:rPr/>
        <w:t>payment, but</w:t>
      </w:r>
      <w:r>
        <w:rPr>
          <w:spacing w:val="-1"/>
        </w:rPr>
        <w:t> </w:t>
      </w:r>
      <w:r>
        <w:rPr/>
        <w:t>some</w:t>
      </w:r>
      <w:r>
        <w:rPr>
          <w:spacing w:val="-1"/>
        </w:rPr>
        <w:t> </w:t>
      </w:r>
      <w:r>
        <w:rPr/>
        <w:t>EAs and schools continue to provide late</w:t>
      </w:r>
      <w:r>
        <w:rPr>
          <w:spacing w:val="-1"/>
        </w:rPr>
        <w:t> </w:t>
      </w:r>
      <w:r>
        <w:rPr/>
        <w:t>returns,</w:t>
      </w:r>
      <w:r>
        <w:rPr>
          <w:spacing w:val="-1"/>
        </w:rPr>
        <w:t> </w:t>
      </w:r>
      <w:r>
        <w:rPr/>
        <w:t>or not</w:t>
      </w:r>
      <w:r>
        <w:rPr>
          <w:spacing w:val="-1"/>
        </w:rPr>
        <w:t> </w:t>
      </w:r>
      <w:r>
        <w:rPr/>
        <w:t>at all. Schools</w:t>
      </w:r>
      <w:r>
        <w:rPr>
          <w:spacing w:val="-1"/>
        </w:rPr>
        <w:t> </w:t>
      </w:r>
      <w:r>
        <w:rPr/>
        <w:t>that</w:t>
      </w:r>
      <w:r>
        <w:rPr>
          <w:spacing w:val="-1"/>
        </w:rPr>
        <w:t> </w:t>
      </w:r>
      <w:r>
        <w:rPr/>
        <w:t>don’t retire grants do not receive the next biannual. There are cases of MEHRD officers on salary</w:t>
      </w:r>
      <w:r>
        <w:rPr>
          <w:spacing w:val="40"/>
        </w:rPr>
        <w:t> </w:t>
      </w:r>
      <w:r>
        <w:rPr/>
        <w:t>deduction for failing to retire on time and therefore not allowed to apply for imprest.</w:t>
      </w:r>
    </w:p>
    <w:p>
      <w:pPr>
        <w:pStyle w:val="BodyText"/>
        <w:spacing w:before="6"/>
        <w:rPr>
          <w:sz w:val="16"/>
        </w:rPr>
      </w:pPr>
    </w:p>
    <w:p>
      <w:pPr>
        <w:pStyle w:val="BodyText"/>
        <w:ind w:left="220" w:right="1254"/>
        <w:jc w:val="both"/>
      </w:pPr>
      <w:r>
        <w:rPr/>
        <w:t>MEHRD has</w:t>
      </w:r>
      <w:r>
        <w:rPr>
          <w:spacing w:val="-2"/>
        </w:rPr>
        <w:t> </w:t>
      </w:r>
      <w:r>
        <w:rPr/>
        <w:t>identified</w:t>
      </w:r>
      <w:r>
        <w:rPr>
          <w:spacing w:val="-2"/>
        </w:rPr>
        <w:t> </w:t>
      </w:r>
      <w:r>
        <w:rPr/>
        <w:t>some of the</w:t>
      </w:r>
      <w:r>
        <w:rPr>
          <w:spacing w:val="-2"/>
        </w:rPr>
        <w:t> </w:t>
      </w:r>
      <w:r>
        <w:rPr/>
        <w:t>key</w:t>
      </w:r>
      <w:r>
        <w:rPr>
          <w:spacing w:val="-1"/>
        </w:rPr>
        <w:t> </w:t>
      </w:r>
      <w:r>
        <w:rPr/>
        <w:t>challenges</w:t>
      </w:r>
      <w:r>
        <w:rPr>
          <w:spacing w:val="-2"/>
        </w:rPr>
        <w:t> </w:t>
      </w:r>
      <w:r>
        <w:rPr/>
        <w:t>with timely</w:t>
      </w:r>
      <w:r>
        <w:rPr>
          <w:spacing w:val="-1"/>
        </w:rPr>
        <w:t> </w:t>
      </w:r>
      <w:r>
        <w:rPr/>
        <w:t>and accurate grants acquittals:</w:t>
      </w:r>
      <w:r>
        <w:rPr>
          <w:spacing w:val="-2"/>
        </w:rPr>
        <w:t> </w:t>
      </w:r>
      <w:r>
        <w:rPr/>
        <w:t>high EA accountants’ work-load, School Leaders absenteeism, EA incomplete implementation of its Annual Work Plan, unavailability of transport, and lack of technical and critical audit areas capacities.</w:t>
      </w:r>
    </w:p>
    <w:p>
      <w:pPr>
        <w:pStyle w:val="BodyText"/>
        <w:spacing w:before="4"/>
        <w:rPr>
          <w:sz w:val="16"/>
        </w:rPr>
      </w:pPr>
    </w:p>
    <w:p>
      <w:pPr>
        <w:pStyle w:val="BodyText"/>
        <w:spacing w:before="1"/>
        <w:ind w:left="220" w:right="1252"/>
        <w:jc w:val="both"/>
      </w:pPr>
      <w:r>
        <w:rPr/>
        <w:t>The disbursement, utilisation and retirement of School grants is a key performance indicator that impacts directly on Schools on a day-to-day basis. It is an area that MEHRD and donors should consider as a priority for innovative ways to resolve this issue through a multi-pronged approach of contracting-out of training/ongoing support, using NGOs to provide on-the-ground financial</w:t>
      </w:r>
      <w:r>
        <w:rPr>
          <w:spacing w:val="40"/>
        </w:rPr>
        <w:t> </w:t>
      </w:r>
      <w:r>
        <w:rPr/>
        <w:t>guidance to all levels of a School community including parents, the Leadership and Education Authority Program (due to end September 2019), technical assistance and perhaps considering a ‘bonus’ approach to those EAs and Schools who meet certain criteria of grants usage and acquittal. Grants should continue to be an annual indicator on any revised Performance Linked Aid.</w:t>
      </w:r>
    </w:p>
    <w:p>
      <w:pPr>
        <w:pStyle w:val="BodyText"/>
        <w:spacing w:before="6"/>
        <w:rPr>
          <w:sz w:val="16"/>
        </w:rPr>
      </w:pPr>
    </w:p>
    <w:p>
      <w:pPr>
        <w:spacing w:before="0"/>
        <w:ind w:left="220" w:right="1253" w:firstLine="0"/>
        <w:jc w:val="both"/>
        <w:rPr>
          <w:b/>
          <w:sz w:val="22"/>
        </w:rPr>
      </w:pPr>
      <w:r>
        <w:rPr>
          <w:b/>
          <w:sz w:val="22"/>
        </w:rPr>
        <w:t>Performance Indicator 3.1.2 </w:t>
      </w:r>
      <w:r>
        <w:rPr>
          <w:sz w:val="22"/>
        </w:rPr>
        <w:t>There was an increase to 96.3 per cent (up 9.3 per cent from 2018 disbursement) of the first yearly tranche of 2019 grants to schools. This is a significant achievement. See Table 3 below. </w:t>
      </w:r>
      <w:r>
        <w:rPr>
          <w:b/>
          <w:sz w:val="22"/>
        </w:rPr>
        <w:t>This indicator is assessed as achieved 100 per cent (of a possible 50).</w:t>
      </w:r>
    </w:p>
    <w:p>
      <w:pPr>
        <w:pStyle w:val="BodyText"/>
        <w:spacing w:before="7"/>
        <w:rPr>
          <w:b/>
          <w:sz w:val="16"/>
        </w:rPr>
      </w:pPr>
    </w:p>
    <w:p>
      <w:pPr>
        <w:pStyle w:val="Heading4"/>
        <w:rPr>
          <w:b w:val="0"/>
        </w:rPr>
      </w:pPr>
      <w:bookmarkStart w:name="_bookmark22" w:id="23"/>
      <w:bookmarkEnd w:id="23"/>
      <w:r>
        <w:rPr/>
      </w:r>
      <w:r>
        <w:rPr>
          <w:b w:val="0"/>
          <w:color w:val="2E5395"/>
        </w:rPr>
        <w:t>Table</w:t>
      </w:r>
      <w:r>
        <w:rPr>
          <w:b w:val="0"/>
          <w:color w:val="2E5395"/>
          <w:spacing w:val="-4"/>
        </w:rPr>
        <w:t> </w:t>
      </w:r>
      <w:r>
        <w:rPr>
          <w:b w:val="0"/>
          <w:color w:val="2E5395"/>
        </w:rPr>
        <w:t>3:</w:t>
      </w:r>
      <w:r>
        <w:rPr>
          <w:b w:val="0"/>
          <w:color w:val="2E5395"/>
          <w:spacing w:val="-2"/>
        </w:rPr>
        <w:t> </w:t>
      </w:r>
      <w:r>
        <w:rPr>
          <w:b w:val="0"/>
          <w:color w:val="2E5395"/>
        </w:rPr>
        <w:t>First</w:t>
      </w:r>
      <w:r>
        <w:rPr>
          <w:b w:val="0"/>
          <w:color w:val="2E5395"/>
          <w:spacing w:val="-1"/>
        </w:rPr>
        <w:t> </w:t>
      </w:r>
      <w:r>
        <w:rPr>
          <w:b w:val="0"/>
          <w:color w:val="2E5395"/>
        </w:rPr>
        <w:t>biannual</w:t>
      </w:r>
      <w:r>
        <w:rPr>
          <w:b w:val="0"/>
          <w:color w:val="2E5395"/>
          <w:spacing w:val="-3"/>
        </w:rPr>
        <w:t> </w:t>
      </w:r>
      <w:r>
        <w:rPr>
          <w:b w:val="0"/>
          <w:color w:val="2E5395"/>
        </w:rPr>
        <w:t>disbursement</w:t>
      </w:r>
      <w:r>
        <w:rPr>
          <w:b w:val="0"/>
          <w:color w:val="2E5395"/>
          <w:spacing w:val="-1"/>
        </w:rPr>
        <w:t> </w:t>
      </w:r>
      <w:r>
        <w:rPr>
          <w:b w:val="0"/>
          <w:color w:val="2E5395"/>
        </w:rPr>
        <w:t>percentage</w:t>
      </w:r>
      <w:r>
        <w:rPr>
          <w:b w:val="0"/>
          <w:color w:val="2E5395"/>
          <w:spacing w:val="-2"/>
        </w:rPr>
        <w:t> 2019</w:t>
      </w:r>
      <w:r>
        <w:rPr>
          <w:b w:val="0"/>
          <w:color w:val="2E5395"/>
          <w:spacing w:val="-2"/>
          <w:vertAlign w:val="superscript"/>
        </w:rPr>
        <w:t>7</w:t>
      </w:r>
      <w:r>
        <w:rPr>
          <w:b w:val="0"/>
          <w:color w:val="2E5395"/>
          <w:spacing w:val="-2"/>
          <w:vertAlign w:val="baseline"/>
        </w:rPr>
        <w:t>.</w:t>
      </w:r>
    </w:p>
    <w:p>
      <w:pPr>
        <w:pStyle w:val="BodyText"/>
        <w:spacing w:before="1"/>
        <w:rPr>
          <w:rFonts w:ascii="Calibri Light"/>
          <w:b w:val="0"/>
          <w:sz w:val="20"/>
        </w:rPr>
      </w:pPr>
    </w:p>
    <w:tbl>
      <w:tblPr>
        <w:tblW w:w="0" w:type="auto"/>
        <w:jc w:val="left"/>
        <w:tblInd w:w="234" w:type="dxa"/>
        <w:tblBorders>
          <w:top w:val="single" w:sz="6" w:space="0" w:color="8EA9DB"/>
          <w:left w:val="single" w:sz="6" w:space="0" w:color="8EA9DB"/>
          <w:bottom w:val="single" w:sz="6" w:space="0" w:color="8EA9DB"/>
          <w:right w:val="single" w:sz="6" w:space="0" w:color="8EA9DB"/>
          <w:insideH w:val="single" w:sz="6" w:space="0" w:color="8EA9DB"/>
          <w:insideV w:val="single" w:sz="6" w:space="0" w:color="8EA9DB"/>
        </w:tblBorders>
        <w:tblLayout w:type="fixed"/>
        <w:tblCellMar>
          <w:top w:w="0" w:type="dxa"/>
          <w:left w:w="0" w:type="dxa"/>
          <w:bottom w:w="0" w:type="dxa"/>
          <w:right w:w="0" w:type="dxa"/>
        </w:tblCellMar>
        <w:tblLook w:val="01E0"/>
      </w:tblPr>
      <w:tblGrid>
        <w:gridCol w:w="1288"/>
        <w:gridCol w:w="2175"/>
        <w:gridCol w:w="1547"/>
        <w:gridCol w:w="1926"/>
      </w:tblGrid>
      <w:tr>
        <w:trPr>
          <w:trHeight w:val="308" w:hRule="atLeast"/>
        </w:trPr>
        <w:tc>
          <w:tcPr>
            <w:tcW w:w="1288" w:type="dxa"/>
            <w:tcBorders>
              <w:top w:val="nil"/>
              <w:left w:val="nil"/>
              <w:right w:val="nil"/>
            </w:tcBorders>
            <w:shd w:val="clear" w:color="auto" w:fill="5B9BD4"/>
          </w:tcPr>
          <w:p>
            <w:pPr>
              <w:pStyle w:val="TableParagraph"/>
              <w:spacing w:line="273" w:lineRule="exact" w:before="15"/>
              <w:ind w:left="335"/>
              <w:rPr>
                <w:b/>
                <w:sz w:val="24"/>
              </w:rPr>
            </w:pPr>
            <w:r>
              <w:rPr>
                <w:b/>
                <w:spacing w:val="-2"/>
                <w:sz w:val="24"/>
              </w:rPr>
              <w:t>Sector</w:t>
            </w:r>
          </w:p>
        </w:tc>
        <w:tc>
          <w:tcPr>
            <w:tcW w:w="2175" w:type="dxa"/>
            <w:tcBorders>
              <w:top w:val="nil"/>
              <w:left w:val="nil"/>
              <w:right w:val="nil"/>
            </w:tcBorders>
            <w:shd w:val="clear" w:color="auto" w:fill="5B9BD4"/>
          </w:tcPr>
          <w:p>
            <w:pPr>
              <w:pStyle w:val="TableParagraph"/>
              <w:spacing w:line="273" w:lineRule="exact" w:before="15"/>
              <w:ind w:left="173"/>
              <w:rPr>
                <w:b/>
                <w:sz w:val="24"/>
              </w:rPr>
            </w:pPr>
            <w:r>
              <w:rPr>
                <w:b/>
                <w:spacing w:val="-2"/>
                <w:sz w:val="24"/>
              </w:rPr>
              <w:t>Registered</w:t>
            </w:r>
            <w:r>
              <w:rPr>
                <w:b/>
                <w:spacing w:val="-9"/>
                <w:sz w:val="24"/>
              </w:rPr>
              <w:t> </w:t>
            </w:r>
            <w:r>
              <w:rPr>
                <w:b/>
                <w:spacing w:val="-2"/>
                <w:sz w:val="24"/>
              </w:rPr>
              <w:t>Schools</w:t>
            </w:r>
          </w:p>
        </w:tc>
        <w:tc>
          <w:tcPr>
            <w:tcW w:w="1547" w:type="dxa"/>
            <w:tcBorders>
              <w:top w:val="nil"/>
              <w:left w:val="nil"/>
              <w:right w:val="nil"/>
            </w:tcBorders>
            <w:shd w:val="clear" w:color="auto" w:fill="5B9BD4"/>
          </w:tcPr>
          <w:p>
            <w:pPr>
              <w:pStyle w:val="TableParagraph"/>
              <w:spacing w:line="273" w:lineRule="exact" w:before="15"/>
              <w:ind w:left="173"/>
              <w:rPr>
                <w:b/>
                <w:sz w:val="24"/>
              </w:rPr>
            </w:pPr>
            <w:r>
              <w:rPr>
                <w:b/>
                <w:sz w:val="24"/>
              </w:rPr>
              <w:t>1st</w:t>
            </w:r>
            <w:r>
              <w:rPr>
                <w:b/>
                <w:spacing w:val="-4"/>
                <w:sz w:val="24"/>
              </w:rPr>
              <w:t> </w:t>
            </w:r>
            <w:r>
              <w:rPr>
                <w:b/>
                <w:spacing w:val="-2"/>
                <w:sz w:val="24"/>
              </w:rPr>
              <w:t>Biannual</w:t>
            </w:r>
          </w:p>
        </w:tc>
        <w:tc>
          <w:tcPr>
            <w:tcW w:w="1926" w:type="dxa"/>
            <w:tcBorders>
              <w:top w:val="nil"/>
              <w:left w:val="nil"/>
              <w:right w:val="nil"/>
            </w:tcBorders>
            <w:shd w:val="clear" w:color="auto" w:fill="5B9BD4"/>
          </w:tcPr>
          <w:p>
            <w:pPr>
              <w:pStyle w:val="TableParagraph"/>
              <w:spacing w:line="273" w:lineRule="exact" w:before="15"/>
              <w:ind w:left="196"/>
              <w:rPr>
                <w:b/>
                <w:sz w:val="24"/>
              </w:rPr>
            </w:pPr>
            <w:r>
              <w:rPr>
                <w:b/>
                <w:spacing w:val="-2"/>
                <w:sz w:val="24"/>
              </w:rPr>
              <w:t>%disbursement</w:t>
            </w:r>
          </w:p>
        </w:tc>
      </w:tr>
      <w:tr>
        <w:trPr>
          <w:trHeight w:val="306" w:hRule="atLeast"/>
        </w:trPr>
        <w:tc>
          <w:tcPr>
            <w:tcW w:w="1288" w:type="dxa"/>
            <w:tcBorders>
              <w:right w:val="single" w:sz="6" w:space="0" w:color="D3D3D3"/>
            </w:tcBorders>
          </w:tcPr>
          <w:p>
            <w:pPr>
              <w:pStyle w:val="TableParagraph"/>
              <w:spacing w:line="273" w:lineRule="exact" w:before="13"/>
              <w:ind w:left="35"/>
              <w:rPr>
                <w:sz w:val="24"/>
              </w:rPr>
            </w:pPr>
            <w:r>
              <w:rPr>
                <w:spacing w:val="-2"/>
                <w:sz w:val="24"/>
              </w:rPr>
              <w:t>Primary</w:t>
            </w:r>
          </w:p>
        </w:tc>
        <w:tc>
          <w:tcPr>
            <w:tcW w:w="2175" w:type="dxa"/>
            <w:tcBorders>
              <w:left w:val="single" w:sz="6" w:space="0" w:color="D3D3D3"/>
              <w:right w:val="single" w:sz="6" w:space="0" w:color="D3D3D3"/>
            </w:tcBorders>
          </w:tcPr>
          <w:p>
            <w:pPr>
              <w:pStyle w:val="TableParagraph"/>
              <w:spacing w:line="273" w:lineRule="exact" w:before="13"/>
              <w:ind w:right="22"/>
              <w:jc w:val="right"/>
              <w:rPr>
                <w:sz w:val="24"/>
              </w:rPr>
            </w:pPr>
            <w:r>
              <w:rPr>
                <w:spacing w:val="-5"/>
                <w:sz w:val="24"/>
              </w:rPr>
              <w:t>747</w:t>
            </w:r>
          </w:p>
        </w:tc>
        <w:tc>
          <w:tcPr>
            <w:tcW w:w="1547" w:type="dxa"/>
            <w:tcBorders>
              <w:left w:val="single" w:sz="6" w:space="0" w:color="D3D3D3"/>
              <w:right w:val="single" w:sz="6" w:space="0" w:color="D3D3D3"/>
            </w:tcBorders>
          </w:tcPr>
          <w:p>
            <w:pPr>
              <w:pStyle w:val="TableParagraph"/>
              <w:spacing w:line="273" w:lineRule="exact" w:before="13"/>
              <w:ind w:right="22"/>
              <w:jc w:val="right"/>
              <w:rPr>
                <w:sz w:val="24"/>
              </w:rPr>
            </w:pPr>
            <w:r>
              <w:rPr>
                <w:spacing w:val="-5"/>
                <w:sz w:val="24"/>
              </w:rPr>
              <w:t>719</w:t>
            </w:r>
          </w:p>
        </w:tc>
        <w:tc>
          <w:tcPr>
            <w:tcW w:w="1926" w:type="dxa"/>
            <w:tcBorders>
              <w:left w:val="single" w:sz="6" w:space="0" w:color="D3D3D3"/>
            </w:tcBorders>
          </w:tcPr>
          <w:p>
            <w:pPr>
              <w:pStyle w:val="TableParagraph"/>
              <w:spacing w:line="273" w:lineRule="exact" w:before="13"/>
              <w:ind w:right="23"/>
              <w:jc w:val="right"/>
              <w:rPr>
                <w:sz w:val="24"/>
              </w:rPr>
            </w:pPr>
            <w:r>
              <w:rPr>
                <w:spacing w:val="-2"/>
                <w:sz w:val="24"/>
              </w:rPr>
              <w:t>96.3%</w:t>
            </w:r>
          </w:p>
        </w:tc>
      </w:tr>
      <w:tr>
        <w:trPr>
          <w:trHeight w:val="306" w:hRule="atLeast"/>
        </w:trPr>
        <w:tc>
          <w:tcPr>
            <w:tcW w:w="1288" w:type="dxa"/>
            <w:tcBorders>
              <w:right w:val="nil"/>
            </w:tcBorders>
            <w:shd w:val="clear" w:color="auto" w:fill="D9E0F1"/>
          </w:tcPr>
          <w:p>
            <w:pPr>
              <w:pStyle w:val="TableParagraph"/>
              <w:spacing w:line="273" w:lineRule="exact" w:before="13"/>
              <w:ind w:left="35"/>
              <w:rPr>
                <w:sz w:val="24"/>
              </w:rPr>
            </w:pPr>
            <w:r>
              <w:rPr>
                <w:spacing w:val="-2"/>
                <w:sz w:val="24"/>
              </w:rPr>
              <w:t>Secondary</w:t>
            </w:r>
          </w:p>
        </w:tc>
        <w:tc>
          <w:tcPr>
            <w:tcW w:w="2175" w:type="dxa"/>
            <w:tcBorders>
              <w:left w:val="nil"/>
              <w:right w:val="nil"/>
            </w:tcBorders>
            <w:shd w:val="clear" w:color="auto" w:fill="D9E0F1"/>
          </w:tcPr>
          <w:p>
            <w:pPr>
              <w:pStyle w:val="TableParagraph"/>
              <w:spacing w:line="273" w:lineRule="exact" w:before="13"/>
              <w:ind w:right="30"/>
              <w:jc w:val="right"/>
              <w:rPr>
                <w:sz w:val="24"/>
              </w:rPr>
            </w:pPr>
            <w:r>
              <w:rPr>
                <w:spacing w:val="-5"/>
                <w:sz w:val="24"/>
              </w:rPr>
              <w:t>273</w:t>
            </w:r>
          </w:p>
        </w:tc>
        <w:tc>
          <w:tcPr>
            <w:tcW w:w="1547" w:type="dxa"/>
            <w:tcBorders>
              <w:left w:val="nil"/>
              <w:right w:val="nil"/>
            </w:tcBorders>
            <w:shd w:val="clear" w:color="auto" w:fill="D9E0F1"/>
          </w:tcPr>
          <w:p>
            <w:pPr>
              <w:pStyle w:val="TableParagraph"/>
              <w:spacing w:line="273" w:lineRule="exact" w:before="13"/>
              <w:ind w:right="29"/>
              <w:jc w:val="right"/>
              <w:rPr>
                <w:sz w:val="24"/>
              </w:rPr>
            </w:pPr>
            <w:r>
              <w:rPr>
                <w:spacing w:val="-5"/>
                <w:sz w:val="24"/>
              </w:rPr>
              <w:t>263</w:t>
            </w:r>
          </w:p>
        </w:tc>
        <w:tc>
          <w:tcPr>
            <w:tcW w:w="1926" w:type="dxa"/>
            <w:tcBorders>
              <w:left w:val="nil"/>
            </w:tcBorders>
            <w:shd w:val="clear" w:color="auto" w:fill="D9E0F1"/>
          </w:tcPr>
          <w:p>
            <w:pPr>
              <w:pStyle w:val="TableParagraph"/>
              <w:spacing w:line="273" w:lineRule="exact" w:before="13"/>
              <w:ind w:right="23"/>
              <w:jc w:val="right"/>
              <w:rPr>
                <w:sz w:val="24"/>
              </w:rPr>
            </w:pPr>
            <w:r>
              <w:rPr>
                <w:spacing w:val="-2"/>
                <w:sz w:val="24"/>
              </w:rPr>
              <w:t>96.3%</w:t>
            </w:r>
          </w:p>
        </w:tc>
      </w:tr>
      <w:tr>
        <w:trPr>
          <w:trHeight w:val="306" w:hRule="atLeast"/>
        </w:trPr>
        <w:tc>
          <w:tcPr>
            <w:tcW w:w="1288" w:type="dxa"/>
            <w:tcBorders>
              <w:right w:val="single" w:sz="6" w:space="0" w:color="D3D3D3"/>
            </w:tcBorders>
          </w:tcPr>
          <w:p>
            <w:pPr>
              <w:pStyle w:val="TableParagraph"/>
              <w:spacing w:line="273" w:lineRule="exact" w:before="13"/>
              <w:ind w:left="35"/>
              <w:rPr>
                <w:sz w:val="24"/>
              </w:rPr>
            </w:pPr>
            <w:r>
              <w:rPr>
                <w:spacing w:val="-4"/>
                <w:sz w:val="24"/>
              </w:rPr>
              <w:t>TVET</w:t>
            </w:r>
          </w:p>
        </w:tc>
        <w:tc>
          <w:tcPr>
            <w:tcW w:w="2175" w:type="dxa"/>
            <w:tcBorders>
              <w:left w:val="single" w:sz="6" w:space="0" w:color="D3D3D3"/>
              <w:right w:val="single" w:sz="6" w:space="0" w:color="D3D3D3"/>
            </w:tcBorders>
          </w:tcPr>
          <w:p>
            <w:pPr>
              <w:pStyle w:val="TableParagraph"/>
              <w:spacing w:line="273" w:lineRule="exact" w:before="13"/>
              <w:ind w:right="22"/>
              <w:jc w:val="right"/>
              <w:rPr>
                <w:sz w:val="24"/>
              </w:rPr>
            </w:pPr>
            <w:r>
              <w:rPr>
                <w:spacing w:val="-5"/>
                <w:sz w:val="24"/>
              </w:rPr>
              <w:t>47</w:t>
            </w:r>
          </w:p>
        </w:tc>
        <w:tc>
          <w:tcPr>
            <w:tcW w:w="1547" w:type="dxa"/>
            <w:tcBorders>
              <w:left w:val="single" w:sz="6" w:space="0" w:color="D3D3D3"/>
              <w:right w:val="single" w:sz="6" w:space="0" w:color="D3D3D3"/>
            </w:tcBorders>
          </w:tcPr>
          <w:p>
            <w:pPr>
              <w:pStyle w:val="TableParagraph"/>
              <w:spacing w:line="273" w:lineRule="exact" w:before="13"/>
              <w:ind w:right="22"/>
              <w:jc w:val="right"/>
              <w:rPr>
                <w:sz w:val="24"/>
              </w:rPr>
            </w:pPr>
            <w:r>
              <w:rPr>
                <w:spacing w:val="-5"/>
                <w:sz w:val="24"/>
              </w:rPr>
              <w:t>45</w:t>
            </w:r>
          </w:p>
        </w:tc>
        <w:tc>
          <w:tcPr>
            <w:tcW w:w="1926" w:type="dxa"/>
            <w:tcBorders>
              <w:left w:val="single" w:sz="6" w:space="0" w:color="D3D3D3"/>
            </w:tcBorders>
          </w:tcPr>
          <w:p>
            <w:pPr>
              <w:pStyle w:val="TableParagraph"/>
              <w:spacing w:line="273" w:lineRule="exact" w:before="13"/>
              <w:ind w:right="23"/>
              <w:jc w:val="right"/>
              <w:rPr>
                <w:sz w:val="24"/>
              </w:rPr>
            </w:pPr>
            <w:r>
              <w:rPr>
                <w:spacing w:val="-2"/>
                <w:sz w:val="24"/>
              </w:rPr>
              <w:t>95.7%</w:t>
            </w:r>
          </w:p>
        </w:tc>
      </w:tr>
      <w:tr>
        <w:trPr>
          <w:trHeight w:val="306" w:hRule="atLeast"/>
        </w:trPr>
        <w:tc>
          <w:tcPr>
            <w:tcW w:w="1288" w:type="dxa"/>
            <w:tcBorders>
              <w:right w:val="nil"/>
            </w:tcBorders>
            <w:shd w:val="clear" w:color="auto" w:fill="D9E0F1"/>
          </w:tcPr>
          <w:p>
            <w:pPr>
              <w:pStyle w:val="TableParagraph"/>
              <w:spacing w:line="273" w:lineRule="exact" w:before="13"/>
              <w:ind w:left="35"/>
              <w:rPr>
                <w:b/>
                <w:sz w:val="24"/>
              </w:rPr>
            </w:pPr>
            <w:r>
              <w:rPr>
                <w:b/>
                <w:spacing w:val="-4"/>
                <w:sz w:val="24"/>
              </w:rPr>
              <w:t>Total</w:t>
            </w:r>
          </w:p>
        </w:tc>
        <w:tc>
          <w:tcPr>
            <w:tcW w:w="2175" w:type="dxa"/>
            <w:tcBorders>
              <w:left w:val="nil"/>
              <w:right w:val="nil"/>
            </w:tcBorders>
            <w:shd w:val="clear" w:color="auto" w:fill="D9E0F1"/>
          </w:tcPr>
          <w:p>
            <w:pPr>
              <w:pStyle w:val="TableParagraph"/>
              <w:spacing w:line="273" w:lineRule="exact" w:before="13"/>
              <w:ind w:right="30"/>
              <w:jc w:val="right"/>
              <w:rPr>
                <w:b/>
                <w:sz w:val="24"/>
              </w:rPr>
            </w:pPr>
            <w:r>
              <w:rPr>
                <w:b/>
                <w:spacing w:val="-4"/>
                <w:sz w:val="24"/>
              </w:rPr>
              <w:t>1067</w:t>
            </w:r>
          </w:p>
        </w:tc>
        <w:tc>
          <w:tcPr>
            <w:tcW w:w="1547" w:type="dxa"/>
            <w:tcBorders>
              <w:left w:val="nil"/>
              <w:right w:val="nil"/>
            </w:tcBorders>
            <w:shd w:val="clear" w:color="auto" w:fill="D9E0F1"/>
          </w:tcPr>
          <w:p>
            <w:pPr>
              <w:pStyle w:val="TableParagraph"/>
              <w:spacing w:line="273" w:lineRule="exact" w:before="13"/>
              <w:ind w:right="29"/>
              <w:jc w:val="right"/>
              <w:rPr>
                <w:b/>
                <w:sz w:val="24"/>
              </w:rPr>
            </w:pPr>
            <w:r>
              <w:rPr>
                <w:b/>
                <w:spacing w:val="-4"/>
                <w:sz w:val="24"/>
              </w:rPr>
              <w:t>1027</w:t>
            </w:r>
          </w:p>
        </w:tc>
        <w:tc>
          <w:tcPr>
            <w:tcW w:w="1926" w:type="dxa"/>
            <w:tcBorders>
              <w:left w:val="nil"/>
            </w:tcBorders>
            <w:shd w:val="clear" w:color="auto" w:fill="D9E0F1"/>
          </w:tcPr>
          <w:p>
            <w:pPr>
              <w:pStyle w:val="TableParagraph"/>
              <w:spacing w:line="273" w:lineRule="exact" w:before="13"/>
              <w:ind w:right="20"/>
              <w:jc w:val="right"/>
              <w:rPr>
                <w:b/>
                <w:sz w:val="24"/>
              </w:rPr>
            </w:pPr>
            <w:r>
              <w:rPr>
                <w:b/>
                <w:spacing w:val="-2"/>
                <w:sz w:val="24"/>
              </w:rPr>
              <w:t>96.3%</w:t>
            </w:r>
          </w:p>
        </w:tc>
      </w:tr>
    </w:tbl>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6"/>
        </w:rPr>
      </w:pPr>
      <w:r>
        <w:rPr/>
        <w:pict>
          <v:rect style="position:absolute;margin-left:72.024002pt;margin-top:17.451733pt;width:144.020pt;height:.71997pt;mso-position-horizontal-relative:page;mso-position-vertical-relative:paragraph;z-index:-15725568;mso-wrap-distance-left:0;mso-wrap-distance-right:0" id="docshape10" filled="true" fillcolor="#000000" stroked="false">
            <v:fill type="solid"/>
            <w10:wrap type="topAndBottom"/>
          </v:rect>
        </w:pict>
      </w:r>
    </w:p>
    <w:p>
      <w:pPr>
        <w:spacing w:before="100"/>
        <w:ind w:left="220" w:right="0" w:firstLine="0"/>
        <w:jc w:val="both"/>
        <w:rPr>
          <w:sz w:val="18"/>
        </w:rPr>
      </w:pPr>
      <w:r>
        <w:rPr>
          <w:position w:val="5"/>
          <w:sz w:val="12"/>
        </w:rPr>
        <w:t>7</w:t>
      </w:r>
      <w:r>
        <w:rPr>
          <w:spacing w:val="8"/>
          <w:position w:val="5"/>
          <w:sz w:val="12"/>
        </w:rPr>
        <w:t> </w:t>
      </w:r>
      <w:r>
        <w:rPr>
          <w:sz w:val="18"/>
        </w:rPr>
        <w:t>Note:</w:t>
      </w:r>
      <w:r>
        <w:rPr>
          <w:spacing w:val="-1"/>
          <w:sz w:val="18"/>
        </w:rPr>
        <w:t> </w:t>
      </w:r>
      <w:r>
        <w:rPr>
          <w:sz w:val="18"/>
        </w:rPr>
        <w:t>There</w:t>
      </w:r>
      <w:r>
        <w:rPr>
          <w:spacing w:val="-4"/>
          <w:sz w:val="18"/>
        </w:rPr>
        <w:t> </w:t>
      </w:r>
      <w:r>
        <w:rPr>
          <w:sz w:val="18"/>
        </w:rPr>
        <w:t>are</w:t>
      </w:r>
      <w:r>
        <w:rPr>
          <w:spacing w:val="-2"/>
          <w:sz w:val="18"/>
        </w:rPr>
        <w:t> </w:t>
      </w:r>
      <w:r>
        <w:rPr>
          <w:sz w:val="18"/>
        </w:rPr>
        <w:t>47</w:t>
      </w:r>
      <w:r>
        <w:rPr>
          <w:spacing w:val="-2"/>
          <w:sz w:val="18"/>
        </w:rPr>
        <w:t> </w:t>
      </w:r>
      <w:r>
        <w:rPr>
          <w:sz w:val="18"/>
        </w:rPr>
        <w:t>TVET</w:t>
      </w:r>
      <w:r>
        <w:rPr>
          <w:spacing w:val="-1"/>
          <w:sz w:val="18"/>
        </w:rPr>
        <w:t> </w:t>
      </w:r>
      <w:r>
        <w:rPr>
          <w:sz w:val="18"/>
        </w:rPr>
        <w:t>Schools.</w:t>
      </w:r>
      <w:r>
        <w:rPr>
          <w:spacing w:val="-3"/>
          <w:sz w:val="18"/>
        </w:rPr>
        <w:t> </w:t>
      </w:r>
      <w:r>
        <w:rPr>
          <w:sz w:val="18"/>
        </w:rPr>
        <w:t>Seven do</w:t>
      </w:r>
      <w:r>
        <w:rPr>
          <w:spacing w:val="-2"/>
          <w:sz w:val="18"/>
        </w:rPr>
        <w:t> </w:t>
      </w:r>
      <w:r>
        <w:rPr>
          <w:sz w:val="18"/>
        </w:rPr>
        <w:t>not</w:t>
      </w:r>
      <w:r>
        <w:rPr>
          <w:spacing w:val="-2"/>
          <w:sz w:val="18"/>
        </w:rPr>
        <w:t> </w:t>
      </w:r>
      <w:r>
        <w:rPr>
          <w:sz w:val="18"/>
        </w:rPr>
        <w:t>have</w:t>
      </w:r>
      <w:r>
        <w:rPr>
          <w:spacing w:val="-2"/>
          <w:sz w:val="18"/>
        </w:rPr>
        <w:t> </w:t>
      </w:r>
      <w:r>
        <w:rPr>
          <w:sz w:val="18"/>
        </w:rPr>
        <w:t>registration</w:t>
      </w:r>
      <w:r>
        <w:rPr>
          <w:spacing w:val="-2"/>
          <w:sz w:val="18"/>
        </w:rPr>
        <w:t> numbers.</w:t>
      </w:r>
    </w:p>
    <w:p>
      <w:pPr>
        <w:spacing w:after="0"/>
        <w:jc w:val="both"/>
        <w:rPr>
          <w:sz w:val="18"/>
        </w:rPr>
        <w:sectPr>
          <w:pgSz w:w="11900" w:h="16850"/>
          <w:pgMar w:header="867" w:footer="830" w:top="1060" w:bottom="1020" w:left="1220" w:right="180"/>
        </w:sectPr>
      </w:pPr>
    </w:p>
    <w:p>
      <w:pPr>
        <w:pStyle w:val="BodyText"/>
        <w:rPr>
          <w:sz w:val="20"/>
        </w:rPr>
      </w:pPr>
    </w:p>
    <w:p>
      <w:pPr>
        <w:pStyle w:val="BodyText"/>
        <w:spacing w:before="11"/>
        <w:rPr>
          <w:sz w:val="26"/>
        </w:rPr>
      </w:pPr>
    </w:p>
    <w:p>
      <w:pPr>
        <w:pStyle w:val="Heading4"/>
        <w:numPr>
          <w:ilvl w:val="2"/>
          <w:numId w:val="7"/>
        </w:numPr>
        <w:tabs>
          <w:tab w:pos="940" w:val="left" w:leader="none"/>
          <w:tab w:pos="941" w:val="left" w:leader="none"/>
          <w:tab w:pos="2380" w:val="left" w:leader="none"/>
        </w:tabs>
        <w:spacing w:line="240" w:lineRule="auto" w:before="52" w:after="0"/>
        <w:ind w:left="940" w:right="0" w:hanging="721"/>
        <w:jc w:val="left"/>
        <w:rPr>
          <w:b w:val="0"/>
        </w:rPr>
      </w:pPr>
      <w:bookmarkStart w:name="_bookmark23" w:id="24"/>
      <w:bookmarkEnd w:id="24"/>
      <w:r>
        <w:rPr>
          <w:b w:val="0"/>
          <w:color w:val="4471C4"/>
        </w:rPr>
        <w:t>T</w:t>
      </w:r>
      <w:r>
        <w:rPr>
          <w:b w:val="0"/>
          <w:color w:val="4471C4"/>
        </w:rPr>
        <w:t>arget</w:t>
      </w:r>
      <w:r>
        <w:rPr>
          <w:b w:val="0"/>
          <w:color w:val="4471C4"/>
          <w:spacing w:val="19"/>
        </w:rPr>
        <w:t> </w:t>
      </w:r>
      <w:r>
        <w:rPr>
          <w:b w:val="0"/>
          <w:color w:val="4471C4"/>
          <w:spacing w:val="-4"/>
        </w:rPr>
        <w:t>3.2:</w:t>
      </w:r>
      <w:r>
        <w:rPr>
          <w:b w:val="0"/>
          <w:color w:val="4471C4"/>
        </w:rPr>
        <w:tab/>
        <w:t>Draft</w:t>
      </w:r>
      <w:r>
        <w:rPr>
          <w:b w:val="0"/>
          <w:color w:val="4471C4"/>
          <w:spacing w:val="17"/>
        </w:rPr>
        <w:t> </w:t>
      </w:r>
      <w:r>
        <w:rPr>
          <w:b w:val="0"/>
          <w:color w:val="4471C4"/>
        </w:rPr>
        <w:t>Education</w:t>
      </w:r>
      <w:r>
        <w:rPr>
          <w:b w:val="0"/>
          <w:color w:val="4471C4"/>
          <w:spacing w:val="15"/>
        </w:rPr>
        <w:t> </w:t>
      </w:r>
      <w:r>
        <w:rPr>
          <w:b w:val="0"/>
          <w:color w:val="4471C4"/>
        </w:rPr>
        <w:t>Bill</w:t>
      </w:r>
      <w:r>
        <w:rPr>
          <w:b w:val="0"/>
          <w:color w:val="4471C4"/>
          <w:spacing w:val="18"/>
        </w:rPr>
        <w:t> </w:t>
      </w:r>
      <w:r>
        <w:rPr>
          <w:b w:val="0"/>
          <w:color w:val="4471C4"/>
        </w:rPr>
        <w:t>is</w:t>
      </w:r>
      <w:r>
        <w:rPr>
          <w:b w:val="0"/>
          <w:color w:val="4471C4"/>
          <w:spacing w:val="17"/>
        </w:rPr>
        <w:t> </w:t>
      </w:r>
      <w:r>
        <w:rPr>
          <w:b w:val="0"/>
          <w:color w:val="4471C4"/>
          <w:spacing w:val="-2"/>
        </w:rPr>
        <w:t>passed</w:t>
      </w:r>
    </w:p>
    <w:p>
      <w:pPr>
        <w:pStyle w:val="BodyText"/>
        <w:spacing w:before="1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497"/>
        <w:gridCol w:w="2570"/>
        <w:gridCol w:w="1757"/>
      </w:tblGrid>
      <w:tr>
        <w:trPr>
          <w:trHeight w:val="690" w:hRule="atLeast"/>
        </w:trPr>
        <w:tc>
          <w:tcPr>
            <w:tcW w:w="2497"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49"/>
              <w:rPr>
                <w:b/>
                <w:sz w:val="19"/>
              </w:rPr>
            </w:pPr>
            <w:r>
              <w:rPr>
                <w:b/>
                <w:w w:val="120"/>
                <w:sz w:val="19"/>
              </w:rPr>
              <w:t>Performance</w:t>
            </w:r>
            <w:r>
              <w:rPr>
                <w:b/>
                <w:spacing w:val="-5"/>
                <w:w w:val="120"/>
                <w:sz w:val="19"/>
              </w:rPr>
              <w:t> </w:t>
            </w:r>
            <w:r>
              <w:rPr>
                <w:b/>
                <w:spacing w:val="-2"/>
                <w:w w:val="120"/>
                <w:sz w:val="19"/>
              </w:rPr>
              <w:t>Indicators</w:t>
            </w:r>
          </w:p>
        </w:tc>
        <w:tc>
          <w:tcPr>
            <w:tcW w:w="2570" w:type="dxa"/>
            <w:tcBorders>
              <w:left w:val="single" w:sz="6" w:space="0" w:color="4471C4"/>
              <w:right w:val="single" w:sz="6" w:space="0" w:color="4471C4"/>
            </w:tcBorders>
            <w:shd w:val="clear" w:color="auto" w:fill="B4C5E7"/>
          </w:tcPr>
          <w:p>
            <w:pPr>
              <w:pStyle w:val="TableParagraph"/>
              <w:spacing w:line="259" w:lineRule="auto" w:before="109"/>
              <w:ind w:left="720" w:hanging="267"/>
              <w:rPr>
                <w:b/>
                <w:sz w:val="19"/>
              </w:rPr>
            </w:pPr>
            <w:r>
              <w:rPr>
                <w:b/>
                <w:w w:val="120"/>
                <w:sz w:val="19"/>
              </w:rPr>
              <w:t>Expected</w:t>
            </w:r>
            <w:r>
              <w:rPr>
                <w:b/>
                <w:spacing w:val="-2"/>
                <w:w w:val="120"/>
                <w:sz w:val="19"/>
              </w:rPr>
              <w:t> </w:t>
            </w:r>
            <w:r>
              <w:rPr>
                <w:b/>
                <w:w w:val="120"/>
                <w:sz w:val="19"/>
              </w:rPr>
              <w:t>Results </w:t>
            </w:r>
            <w:r>
              <w:rPr>
                <w:b/>
                <w:spacing w:val="-2"/>
                <w:w w:val="120"/>
                <w:sz w:val="19"/>
              </w:rPr>
              <w:t>Statements</w:t>
            </w:r>
          </w:p>
        </w:tc>
        <w:tc>
          <w:tcPr>
            <w:tcW w:w="1757"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78" w:right="160"/>
              <w:jc w:val="center"/>
              <w:rPr>
                <w:b/>
                <w:sz w:val="19"/>
              </w:rPr>
            </w:pPr>
            <w:r>
              <w:rPr>
                <w:b/>
                <w:spacing w:val="-5"/>
                <w:w w:val="120"/>
                <w:sz w:val="19"/>
              </w:rPr>
              <w:t>IA</w:t>
            </w:r>
          </w:p>
        </w:tc>
      </w:tr>
      <w:tr>
        <w:trPr>
          <w:trHeight w:val="770" w:hRule="atLeast"/>
        </w:trPr>
        <w:tc>
          <w:tcPr>
            <w:tcW w:w="2497" w:type="dxa"/>
            <w:vMerge w:val="restart"/>
            <w:tcBorders>
              <w:left w:val="single" w:sz="6" w:space="0" w:color="4471C4"/>
              <w:right w:val="single" w:sz="6" w:space="0" w:color="4471C4"/>
            </w:tcBorders>
          </w:tcPr>
          <w:p>
            <w:pPr>
              <w:pStyle w:val="TableParagraph"/>
              <w:spacing w:line="261" w:lineRule="auto" w:before="8"/>
              <w:ind w:left="40" w:right="46"/>
              <w:rPr>
                <w:sz w:val="18"/>
              </w:rPr>
            </w:pPr>
            <w:r>
              <w:rPr>
                <w:w w:val="120"/>
                <w:sz w:val="18"/>
              </w:rPr>
              <w:t>3.2.1</w:t>
            </w:r>
            <w:r>
              <w:rPr>
                <w:spacing w:val="-3"/>
                <w:w w:val="120"/>
                <w:sz w:val="18"/>
              </w:rPr>
              <w:t> </w:t>
            </w:r>
            <w:r>
              <w:rPr>
                <w:w w:val="120"/>
                <w:sz w:val="18"/>
              </w:rPr>
              <w:t>Draft</w:t>
            </w:r>
            <w:r>
              <w:rPr>
                <w:spacing w:val="-2"/>
                <w:w w:val="120"/>
                <w:sz w:val="18"/>
              </w:rPr>
              <w:t> </w:t>
            </w:r>
            <w:r>
              <w:rPr>
                <w:w w:val="120"/>
                <w:sz w:val="18"/>
              </w:rPr>
              <w:t>Education</w:t>
            </w:r>
            <w:r>
              <w:rPr>
                <w:spacing w:val="-7"/>
                <w:w w:val="120"/>
                <w:sz w:val="18"/>
              </w:rPr>
              <w:t> </w:t>
            </w:r>
            <w:r>
              <w:rPr>
                <w:w w:val="120"/>
                <w:sz w:val="18"/>
              </w:rPr>
              <w:t>Bill</w:t>
            </w:r>
            <w:r>
              <w:rPr>
                <w:spacing w:val="-3"/>
                <w:w w:val="120"/>
                <w:sz w:val="18"/>
              </w:rPr>
              <w:t> </w:t>
            </w:r>
            <w:r>
              <w:rPr>
                <w:w w:val="120"/>
                <w:sz w:val="18"/>
              </w:rPr>
              <w:t>is endorsed by NEB in </w:t>
            </w:r>
            <w:r>
              <w:rPr>
                <w:spacing w:val="-2"/>
                <w:w w:val="120"/>
                <w:sz w:val="18"/>
              </w:rPr>
              <w:t>October</w:t>
            </w:r>
          </w:p>
        </w:tc>
        <w:tc>
          <w:tcPr>
            <w:tcW w:w="2570" w:type="dxa"/>
            <w:tcBorders>
              <w:left w:val="single" w:sz="6" w:space="0" w:color="4471C4"/>
              <w:right w:val="single" w:sz="6" w:space="0" w:color="4471C4"/>
            </w:tcBorders>
          </w:tcPr>
          <w:p>
            <w:pPr>
              <w:pStyle w:val="TableParagraph"/>
              <w:spacing w:line="261" w:lineRule="auto" w:before="8"/>
              <w:ind w:left="41"/>
              <w:rPr>
                <w:sz w:val="18"/>
              </w:rPr>
            </w:pPr>
            <w:r>
              <w:rPr>
                <w:w w:val="120"/>
                <w:sz w:val="18"/>
              </w:rPr>
              <w:t>Bill</w:t>
            </w:r>
            <w:r>
              <w:rPr>
                <w:spacing w:val="-6"/>
                <w:w w:val="120"/>
                <w:sz w:val="18"/>
              </w:rPr>
              <w:t> </w:t>
            </w:r>
            <w:r>
              <w:rPr>
                <w:w w:val="120"/>
                <w:sz w:val="18"/>
              </w:rPr>
              <w:t>in</w:t>
            </w:r>
            <w:r>
              <w:rPr>
                <w:spacing w:val="-10"/>
                <w:w w:val="120"/>
                <w:sz w:val="18"/>
              </w:rPr>
              <w:t> </w:t>
            </w:r>
            <w:r>
              <w:rPr>
                <w:w w:val="120"/>
                <w:sz w:val="18"/>
              </w:rPr>
              <w:t>final</w:t>
            </w:r>
            <w:r>
              <w:rPr>
                <w:spacing w:val="-6"/>
                <w:w w:val="120"/>
                <w:sz w:val="18"/>
              </w:rPr>
              <w:t> </w:t>
            </w:r>
            <w:r>
              <w:rPr>
                <w:w w:val="120"/>
                <w:sz w:val="18"/>
              </w:rPr>
              <w:t>format</w:t>
            </w:r>
            <w:r>
              <w:rPr>
                <w:spacing w:val="-5"/>
                <w:w w:val="120"/>
                <w:sz w:val="18"/>
              </w:rPr>
              <w:t> </w:t>
            </w:r>
            <w:r>
              <w:rPr>
                <w:w w:val="120"/>
                <w:sz w:val="18"/>
              </w:rPr>
              <w:t>approved by SMT (50%)</w:t>
            </w:r>
          </w:p>
        </w:tc>
        <w:tc>
          <w:tcPr>
            <w:tcW w:w="1757" w:type="dxa"/>
            <w:tcBorders>
              <w:left w:val="single" w:sz="6" w:space="0" w:color="4471C4"/>
              <w:right w:val="single" w:sz="6" w:space="0" w:color="4471C4"/>
            </w:tcBorders>
            <w:shd w:val="clear" w:color="auto" w:fill="A9D08E"/>
          </w:tcPr>
          <w:p>
            <w:pPr>
              <w:pStyle w:val="TableParagraph"/>
              <w:spacing w:before="10"/>
              <w:ind w:left="178" w:right="171"/>
              <w:jc w:val="center"/>
              <w:rPr>
                <w:sz w:val="22"/>
              </w:rPr>
            </w:pPr>
            <w:r>
              <w:rPr>
                <w:w w:val="120"/>
                <w:sz w:val="22"/>
              </w:rPr>
              <w:t>100%</w:t>
            </w:r>
            <w:r>
              <w:rPr>
                <w:spacing w:val="5"/>
                <w:w w:val="120"/>
                <w:sz w:val="22"/>
              </w:rPr>
              <w:t> </w:t>
            </w:r>
            <w:r>
              <w:rPr>
                <w:w w:val="120"/>
                <w:sz w:val="22"/>
              </w:rPr>
              <w:t>(of</w:t>
            </w:r>
            <w:r>
              <w:rPr>
                <w:spacing w:val="5"/>
                <w:w w:val="120"/>
                <w:sz w:val="22"/>
              </w:rPr>
              <w:t> </w:t>
            </w:r>
            <w:r>
              <w:rPr>
                <w:spacing w:val="-5"/>
                <w:w w:val="120"/>
                <w:sz w:val="22"/>
              </w:rPr>
              <w:t>50)</w:t>
            </w:r>
          </w:p>
        </w:tc>
      </w:tr>
      <w:tr>
        <w:trPr>
          <w:trHeight w:val="559" w:hRule="atLeast"/>
        </w:trPr>
        <w:tc>
          <w:tcPr>
            <w:tcW w:w="2497" w:type="dxa"/>
            <w:vMerge/>
            <w:tcBorders>
              <w:top w:val="nil"/>
              <w:left w:val="single" w:sz="6" w:space="0" w:color="4471C4"/>
              <w:right w:val="single" w:sz="6" w:space="0" w:color="4471C4"/>
            </w:tcBorders>
          </w:tcPr>
          <w:p>
            <w:pPr>
              <w:rPr>
                <w:sz w:val="2"/>
                <w:szCs w:val="2"/>
              </w:rPr>
            </w:pPr>
          </w:p>
        </w:tc>
        <w:tc>
          <w:tcPr>
            <w:tcW w:w="2570" w:type="dxa"/>
            <w:tcBorders>
              <w:left w:val="single" w:sz="6" w:space="0" w:color="4471C4"/>
              <w:right w:val="single" w:sz="6" w:space="0" w:color="4471C4"/>
            </w:tcBorders>
          </w:tcPr>
          <w:p>
            <w:pPr>
              <w:pStyle w:val="TableParagraph"/>
              <w:spacing w:line="261" w:lineRule="auto" w:before="8"/>
              <w:ind w:left="41"/>
              <w:rPr>
                <w:sz w:val="18"/>
              </w:rPr>
            </w:pPr>
            <w:r>
              <w:rPr>
                <w:w w:val="120"/>
                <w:sz w:val="18"/>
              </w:rPr>
              <w:t>NEB memorandum to Minister</w:t>
            </w:r>
            <w:r>
              <w:rPr>
                <w:spacing w:val="-15"/>
                <w:w w:val="120"/>
                <w:sz w:val="18"/>
              </w:rPr>
              <w:t> </w:t>
            </w:r>
            <w:r>
              <w:rPr>
                <w:w w:val="120"/>
                <w:sz w:val="18"/>
              </w:rPr>
              <w:t>of</w:t>
            </w:r>
            <w:r>
              <w:rPr>
                <w:spacing w:val="-8"/>
                <w:w w:val="120"/>
                <w:sz w:val="18"/>
              </w:rPr>
              <w:t> </w:t>
            </w:r>
            <w:r>
              <w:rPr>
                <w:w w:val="120"/>
                <w:sz w:val="18"/>
              </w:rPr>
              <w:t>EHRD</w:t>
            </w:r>
            <w:r>
              <w:rPr>
                <w:spacing w:val="-12"/>
                <w:w w:val="120"/>
                <w:sz w:val="18"/>
              </w:rPr>
              <w:t> </w:t>
            </w:r>
            <w:r>
              <w:rPr>
                <w:w w:val="120"/>
                <w:sz w:val="18"/>
              </w:rPr>
              <w:t>(50%)</w:t>
            </w:r>
          </w:p>
        </w:tc>
        <w:tc>
          <w:tcPr>
            <w:tcW w:w="1757" w:type="dxa"/>
            <w:tcBorders>
              <w:left w:val="single" w:sz="6" w:space="0" w:color="4471C4"/>
              <w:right w:val="single" w:sz="6" w:space="0" w:color="4471C4"/>
            </w:tcBorders>
            <w:shd w:val="clear" w:color="auto" w:fill="A9D08E"/>
          </w:tcPr>
          <w:p>
            <w:pPr>
              <w:pStyle w:val="TableParagraph"/>
              <w:spacing w:before="10"/>
              <w:ind w:left="178" w:right="171"/>
              <w:jc w:val="center"/>
              <w:rPr>
                <w:sz w:val="22"/>
              </w:rPr>
            </w:pPr>
            <w:r>
              <w:rPr>
                <w:w w:val="120"/>
                <w:sz w:val="22"/>
              </w:rPr>
              <w:t>100%</w:t>
            </w:r>
            <w:r>
              <w:rPr>
                <w:spacing w:val="5"/>
                <w:w w:val="120"/>
                <w:sz w:val="22"/>
              </w:rPr>
              <w:t> </w:t>
            </w:r>
            <w:r>
              <w:rPr>
                <w:w w:val="120"/>
                <w:sz w:val="22"/>
              </w:rPr>
              <w:t>(of</w:t>
            </w:r>
            <w:r>
              <w:rPr>
                <w:spacing w:val="5"/>
                <w:w w:val="120"/>
                <w:sz w:val="22"/>
              </w:rPr>
              <w:t> </w:t>
            </w:r>
            <w:r>
              <w:rPr>
                <w:spacing w:val="-5"/>
                <w:w w:val="120"/>
                <w:sz w:val="22"/>
              </w:rPr>
              <w:t>50)</w:t>
            </w:r>
          </w:p>
        </w:tc>
      </w:tr>
    </w:tbl>
    <w:p>
      <w:pPr>
        <w:pStyle w:val="BodyText"/>
        <w:spacing w:before="5"/>
        <w:rPr>
          <w:rFonts w:ascii="Calibri Light"/>
          <w:b w:val="0"/>
          <w:sz w:val="20"/>
        </w:rPr>
      </w:pPr>
    </w:p>
    <w:p>
      <w:pPr>
        <w:pStyle w:val="BodyText"/>
        <w:ind w:left="220"/>
        <w:jc w:val="both"/>
      </w:pPr>
      <w:r>
        <w:rPr>
          <w:b/>
        </w:rPr>
        <w:t>Source</w:t>
      </w:r>
      <w:r>
        <w:rPr/>
        <w:t>:</w:t>
      </w:r>
      <w:r>
        <w:rPr>
          <w:spacing w:val="-7"/>
        </w:rPr>
        <w:t> </w:t>
      </w:r>
      <w:r>
        <w:rPr/>
        <w:t>Key</w:t>
      </w:r>
      <w:r>
        <w:rPr>
          <w:spacing w:val="-6"/>
        </w:rPr>
        <w:t> </w:t>
      </w:r>
      <w:r>
        <w:rPr/>
        <w:t>Output</w:t>
      </w:r>
      <w:r>
        <w:rPr>
          <w:spacing w:val="-5"/>
        </w:rPr>
        <w:t> </w:t>
      </w:r>
      <w:r>
        <w:rPr/>
        <w:t>Tracker</w:t>
      </w:r>
      <w:r>
        <w:rPr>
          <w:spacing w:val="-5"/>
        </w:rPr>
        <w:t> </w:t>
      </w:r>
      <w:r>
        <w:rPr/>
        <w:t>2018,</w:t>
      </w:r>
      <w:r>
        <w:rPr>
          <w:spacing w:val="-4"/>
        </w:rPr>
        <w:t> </w:t>
      </w:r>
      <w:r>
        <w:rPr/>
        <w:t>Quarterly</w:t>
      </w:r>
      <w:r>
        <w:rPr>
          <w:spacing w:val="-7"/>
        </w:rPr>
        <w:t> </w:t>
      </w:r>
      <w:r>
        <w:rPr/>
        <w:t>Results</w:t>
      </w:r>
      <w:r>
        <w:rPr>
          <w:spacing w:val="-5"/>
        </w:rPr>
        <w:t> </w:t>
      </w:r>
      <w:r>
        <w:rPr/>
        <w:t>and</w:t>
      </w:r>
      <w:r>
        <w:rPr>
          <w:spacing w:val="-6"/>
        </w:rPr>
        <w:t> </w:t>
      </w:r>
      <w:r>
        <w:rPr/>
        <w:t>Highlights</w:t>
      </w:r>
      <w:r>
        <w:rPr>
          <w:spacing w:val="-3"/>
        </w:rPr>
        <w:t> </w:t>
      </w:r>
      <w:r>
        <w:rPr>
          <w:spacing w:val="-2"/>
        </w:rPr>
        <w:t>report.</w:t>
      </w:r>
    </w:p>
    <w:p>
      <w:pPr>
        <w:pStyle w:val="BodyText"/>
        <w:spacing w:before="7"/>
        <w:rPr>
          <w:sz w:val="16"/>
        </w:rPr>
      </w:pPr>
    </w:p>
    <w:p>
      <w:pPr>
        <w:pStyle w:val="BodyText"/>
        <w:ind w:left="220" w:right="1251"/>
        <w:jc w:val="both"/>
        <w:rPr>
          <w:b/>
        </w:rPr>
      </w:pPr>
      <w:r>
        <w:rPr>
          <w:b/>
        </w:rPr>
        <w:t>Performance Indicator 3.2.1 </w:t>
      </w:r>
      <w:r>
        <w:rPr/>
        <w:t>The Draft National Education Bill was endorsed by NEB in December 2018. The Minister’s Instructions regarding further work on the Education Bill were drafted and submitted to the Attorney General’s office for advice on how to progress the Instructions.</w:t>
      </w:r>
      <w:r>
        <w:rPr>
          <w:spacing w:val="40"/>
        </w:rPr>
        <w:t> </w:t>
      </w:r>
      <w:r>
        <w:rPr/>
        <w:t>The Education Bill is close to ready for tabling in Parliament. The commitment of both the Minister and the Permanent Secretary to change has been a key factor in progressing this significant policy shift. </w:t>
      </w:r>
      <w:r>
        <w:rPr>
          <w:b/>
        </w:rPr>
        <w:t>This indicator is assessed as 100 per cent achieved (of a possible 100 per cent).</w:t>
      </w:r>
    </w:p>
    <w:p>
      <w:pPr>
        <w:pStyle w:val="BodyText"/>
        <w:spacing w:before="3"/>
        <w:rPr>
          <w:b/>
          <w:sz w:val="16"/>
        </w:rPr>
      </w:pPr>
    </w:p>
    <w:p>
      <w:pPr>
        <w:pStyle w:val="BodyText"/>
        <w:ind w:left="220" w:right="1251"/>
        <w:jc w:val="both"/>
      </w:pPr>
      <w:r>
        <w:rPr/>
        <w:t>This drafting of the National Education Bill is a good example of the long lead times necessary to achieve significant changes to policy. It has taken three years to reach the point of the Bill being</w:t>
      </w:r>
      <w:r>
        <w:rPr>
          <w:spacing w:val="40"/>
        </w:rPr>
        <w:t> </w:t>
      </w:r>
      <w:r>
        <w:rPr/>
        <w:t>close to being tabled in Parliament (with significant, responsive and very able technical support).</w:t>
      </w:r>
      <w:r>
        <w:rPr>
          <w:spacing w:val="40"/>
        </w:rPr>
        <w:t> </w:t>
      </w:r>
      <w:r>
        <w:rPr/>
        <w:t>This is not unusual and can take anywhere from a few months to years in a developed country setting, according to the legislative drafting adviser. It also illustrates the interdependent nature of significant policy change. The Education Regulations and Administrative Instructions legislation are necessary</w:t>
      </w:r>
      <w:r>
        <w:rPr>
          <w:spacing w:val="-2"/>
        </w:rPr>
        <w:t> </w:t>
      </w:r>
      <w:r>
        <w:rPr/>
        <w:t>to</w:t>
      </w:r>
      <w:r>
        <w:rPr>
          <w:spacing w:val="-1"/>
        </w:rPr>
        <w:t> </w:t>
      </w:r>
      <w:r>
        <w:rPr/>
        <w:t>implement</w:t>
      </w:r>
      <w:r>
        <w:rPr>
          <w:spacing w:val="-4"/>
        </w:rPr>
        <w:t> </w:t>
      </w:r>
      <w:r>
        <w:rPr/>
        <w:t>the</w:t>
      </w:r>
      <w:r>
        <w:rPr>
          <w:spacing w:val="-1"/>
        </w:rPr>
        <w:t> </w:t>
      </w:r>
      <w:r>
        <w:rPr/>
        <w:t>Bill.</w:t>
      </w:r>
      <w:r>
        <w:rPr>
          <w:spacing w:val="-3"/>
        </w:rPr>
        <w:t> </w:t>
      </w:r>
      <w:r>
        <w:rPr/>
        <w:t>There</w:t>
      </w:r>
      <w:r>
        <w:rPr>
          <w:spacing w:val="-1"/>
        </w:rPr>
        <w:t> </w:t>
      </w:r>
      <w:r>
        <w:rPr/>
        <w:t>are</w:t>
      </w:r>
      <w:r>
        <w:rPr>
          <w:spacing w:val="-1"/>
        </w:rPr>
        <w:t> </w:t>
      </w:r>
      <w:r>
        <w:rPr/>
        <w:t>links</w:t>
      </w:r>
      <w:r>
        <w:rPr>
          <w:spacing w:val="-2"/>
        </w:rPr>
        <w:t> </w:t>
      </w:r>
      <w:r>
        <w:rPr/>
        <w:t>to</w:t>
      </w:r>
      <w:r>
        <w:rPr>
          <w:spacing w:val="-1"/>
        </w:rPr>
        <w:t> </w:t>
      </w:r>
      <w:r>
        <w:rPr/>
        <w:t>and</w:t>
      </w:r>
      <w:r>
        <w:rPr>
          <w:spacing w:val="-2"/>
        </w:rPr>
        <w:t> </w:t>
      </w:r>
      <w:r>
        <w:rPr/>
        <w:t>consistency</w:t>
      </w:r>
      <w:r>
        <w:rPr>
          <w:spacing w:val="-4"/>
        </w:rPr>
        <w:t> </w:t>
      </w:r>
      <w:r>
        <w:rPr/>
        <w:t>of</w:t>
      </w:r>
      <w:r>
        <w:rPr>
          <w:spacing w:val="-2"/>
        </w:rPr>
        <w:t> </w:t>
      </w:r>
      <w:r>
        <w:rPr/>
        <w:t>approach</w:t>
      </w:r>
      <w:r>
        <w:rPr>
          <w:spacing w:val="-4"/>
        </w:rPr>
        <w:t> </w:t>
      </w:r>
      <w:r>
        <w:rPr/>
        <w:t>with</w:t>
      </w:r>
      <w:r>
        <w:rPr>
          <w:spacing w:val="-2"/>
        </w:rPr>
        <w:t> </w:t>
      </w:r>
      <w:r>
        <w:rPr/>
        <w:t>the</w:t>
      </w:r>
      <w:r>
        <w:rPr>
          <w:spacing w:val="-4"/>
        </w:rPr>
        <w:t> </w:t>
      </w:r>
      <w:r>
        <w:rPr/>
        <w:t>Bill</w:t>
      </w:r>
      <w:r>
        <w:rPr>
          <w:spacing w:val="-2"/>
        </w:rPr>
        <w:t> </w:t>
      </w:r>
      <w:r>
        <w:rPr/>
        <w:t>to</w:t>
      </w:r>
      <w:r>
        <w:rPr>
          <w:spacing w:val="-1"/>
        </w:rPr>
        <w:t> </w:t>
      </w:r>
      <w:r>
        <w:rPr/>
        <w:t>a</w:t>
      </w:r>
      <w:r>
        <w:rPr>
          <w:spacing w:val="-2"/>
        </w:rPr>
        <w:t> </w:t>
      </w:r>
      <w:r>
        <w:rPr/>
        <w:t>new Teachers Service Handbook (Professional Standards for Teachers and School Standards included), Scheme of Service, Teacher Supply and Demand study, National Inclusive Education Policy, Child Protection Policy, and Gender Equality in Education Policy.</w:t>
      </w:r>
    </w:p>
    <w:p>
      <w:pPr>
        <w:pStyle w:val="BodyText"/>
        <w:spacing w:before="7"/>
        <w:rPr>
          <w:sz w:val="16"/>
        </w:rPr>
      </w:pPr>
    </w:p>
    <w:p>
      <w:pPr>
        <w:pStyle w:val="Heading4"/>
        <w:numPr>
          <w:ilvl w:val="2"/>
          <w:numId w:val="7"/>
        </w:numPr>
        <w:tabs>
          <w:tab w:pos="940" w:val="left" w:leader="none"/>
          <w:tab w:pos="941" w:val="left" w:leader="none"/>
        </w:tabs>
        <w:spacing w:line="240" w:lineRule="auto" w:before="0" w:after="0"/>
        <w:ind w:left="940" w:right="0" w:hanging="721"/>
        <w:jc w:val="left"/>
        <w:rPr>
          <w:b w:val="0"/>
        </w:rPr>
      </w:pPr>
      <w:bookmarkStart w:name="_bookmark24" w:id="25"/>
      <w:bookmarkEnd w:id="25"/>
      <w:r>
        <w:rPr>
          <w:b w:val="0"/>
          <w:color w:val="4471C4"/>
        </w:rPr>
        <w:t>T</w:t>
      </w:r>
      <w:r>
        <w:rPr>
          <w:b w:val="0"/>
          <w:color w:val="4471C4"/>
        </w:rPr>
        <w:t>arget</w:t>
      </w:r>
      <w:r>
        <w:rPr>
          <w:b w:val="0"/>
          <w:color w:val="4471C4"/>
          <w:spacing w:val="21"/>
        </w:rPr>
        <w:t> </w:t>
      </w:r>
      <w:r>
        <w:rPr>
          <w:b w:val="0"/>
          <w:color w:val="4471C4"/>
        </w:rPr>
        <w:t>3.3:</w:t>
      </w:r>
      <w:r>
        <w:rPr>
          <w:b w:val="0"/>
          <w:color w:val="4471C4"/>
          <w:spacing w:val="23"/>
        </w:rPr>
        <w:t> </w:t>
      </w:r>
      <w:r>
        <w:rPr>
          <w:b w:val="0"/>
          <w:color w:val="4471C4"/>
        </w:rPr>
        <w:t>Education</w:t>
      </w:r>
      <w:r>
        <w:rPr>
          <w:b w:val="0"/>
          <w:color w:val="4471C4"/>
          <w:spacing w:val="16"/>
        </w:rPr>
        <w:t> </w:t>
      </w:r>
      <w:r>
        <w:rPr>
          <w:b w:val="0"/>
          <w:color w:val="4471C4"/>
        </w:rPr>
        <w:t>Authorities</w:t>
      </w:r>
      <w:r>
        <w:rPr>
          <w:b w:val="0"/>
          <w:color w:val="4471C4"/>
          <w:spacing w:val="21"/>
        </w:rPr>
        <w:t> </w:t>
      </w:r>
      <w:r>
        <w:rPr>
          <w:b w:val="0"/>
          <w:color w:val="4471C4"/>
        </w:rPr>
        <w:t>operate</w:t>
      </w:r>
      <w:r>
        <w:rPr>
          <w:b w:val="0"/>
          <w:color w:val="4471C4"/>
          <w:spacing w:val="21"/>
        </w:rPr>
        <w:t> </w:t>
      </w:r>
      <w:r>
        <w:rPr>
          <w:b w:val="0"/>
          <w:color w:val="4471C4"/>
        </w:rPr>
        <w:t>to</w:t>
      </w:r>
      <w:r>
        <w:rPr>
          <w:b w:val="0"/>
          <w:color w:val="4471C4"/>
          <w:spacing w:val="23"/>
        </w:rPr>
        <w:t> </w:t>
      </w:r>
      <w:r>
        <w:rPr>
          <w:b w:val="0"/>
          <w:color w:val="4471C4"/>
        </w:rPr>
        <w:t>agreed</w:t>
      </w:r>
      <w:r>
        <w:rPr>
          <w:b w:val="0"/>
          <w:color w:val="4471C4"/>
          <w:spacing w:val="20"/>
        </w:rPr>
        <w:t> </w:t>
      </w:r>
      <w:r>
        <w:rPr>
          <w:b w:val="0"/>
          <w:color w:val="4471C4"/>
          <w:spacing w:val="-2"/>
        </w:rPr>
        <w:t>standards</w:t>
      </w:r>
    </w:p>
    <w:p>
      <w:pPr>
        <w:pStyle w:val="BodyText"/>
        <w:spacing w:before="10"/>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563"/>
        <w:gridCol w:w="2638"/>
        <w:gridCol w:w="1804"/>
      </w:tblGrid>
      <w:tr>
        <w:trPr>
          <w:trHeight w:val="689" w:hRule="atLeast"/>
        </w:trPr>
        <w:tc>
          <w:tcPr>
            <w:tcW w:w="2563" w:type="dxa"/>
            <w:tcBorders>
              <w:left w:val="single" w:sz="6" w:space="0" w:color="4471C4"/>
              <w:right w:val="single" w:sz="6" w:space="0" w:color="4471C4"/>
            </w:tcBorders>
            <w:shd w:val="clear" w:color="auto" w:fill="B4C5E7"/>
          </w:tcPr>
          <w:p>
            <w:pPr>
              <w:pStyle w:val="TableParagraph"/>
              <w:spacing w:before="8"/>
              <w:rPr>
                <w:rFonts w:ascii="Calibri Light"/>
                <w:b w:val="0"/>
                <w:sz w:val="18"/>
              </w:rPr>
            </w:pPr>
          </w:p>
          <w:p>
            <w:pPr>
              <w:pStyle w:val="TableParagraph"/>
              <w:ind w:left="153"/>
              <w:rPr>
                <w:b/>
                <w:sz w:val="19"/>
              </w:rPr>
            </w:pPr>
            <w:r>
              <w:rPr>
                <w:b/>
                <w:spacing w:val="-2"/>
                <w:w w:val="125"/>
                <w:sz w:val="19"/>
              </w:rPr>
              <w:t>Performance</w:t>
            </w:r>
            <w:r>
              <w:rPr>
                <w:b/>
                <w:spacing w:val="-4"/>
                <w:w w:val="125"/>
                <w:sz w:val="19"/>
              </w:rPr>
              <w:t> </w:t>
            </w:r>
            <w:r>
              <w:rPr>
                <w:b/>
                <w:spacing w:val="-2"/>
                <w:w w:val="125"/>
                <w:sz w:val="19"/>
              </w:rPr>
              <w:t>Indicators</w:t>
            </w:r>
          </w:p>
        </w:tc>
        <w:tc>
          <w:tcPr>
            <w:tcW w:w="2638" w:type="dxa"/>
            <w:tcBorders>
              <w:left w:val="single" w:sz="6" w:space="0" w:color="4471C4"/>
              <w:right w:val="single" w:sz="6" w:space="0" w:color="4471C4"/>
            </w:tcBorders>
            <w:shd w:val="clear" w:color="auto" w:fill="B4C5E7"/>
          </w:tcPr>
          <w:p>
            <w:pPr>
              <w:pStyle w:val="TableParagraph"/>
              <w:spacing w:line="259" w:lineRule="auto" w:before="108"/>
              <w:ind w:left="739" w:hanging="274"/>
              <w:rPr>
                <w:b/>
                <w:sz w:val="19"/>
              </w:rPr>
            </w:pPr>
            <w:r>
              <w:rPr>
                <w:b/>
                <w:w w:val="125"/>
                <w:sz w:val="19"/>
              </w:rPr>
              <w:t>Expected</w:t>
            </w:r>
            <w:r>
              <w:rPr>
                <w:b/>
                <w:spacing w:val="-14"/>
                <w:w w:val="125"/>
                <w:sz w:val="19"/>
              </w:rPr>
              <w:t> </w:t>
            </w:r>
            <w:r>
              <w:rPr>
                <w:b/>
                <w:w w:val="125"/>
                <w:sz w:val="19"/>
              </w:rPr>
              <w:t>Results </w:t>
            </w:r>
            <w:r>
              <w:rPr>
                <w:b/>
                <w:spacing w:val="-2"/>
                <w:w w:val="125"/>
                <w:sz w:val="19"/>
              </w:rPr>
              <w:t>Statements</w:t>
            </w:r>
          </w:p>
        </w:tc>
        <w:tc>
          <w:tcPr>
            <w:tcW w:w="1804" w:type="dxa"/>
            <w:tcBorders>
              <w:left w:val="single" w:sz="6" w:space="0" w:color="4471C4"/>
              <w:right w:val="single" w:sz="6" w:space="0" w:color="4471C4"/>
            </w:tcBorders>
            <w:shd w:val="clear" w:color="auto" w:fill="B4C5E7"/>
          </w:tcPr>
          <w:p>
            <w:pPr>
              <w:pStyle w:val="TableParagraph"/>
              <w:spacing w:before="8"/>
              <w:rPr>
                <w:rFonts w:ascii="Calibri Light"/>
                <w:b w:val="0"/>
                <w:sz w:val="18"/>
              </w:rPr>
            </w:pPr>
          </w:p>
          <w:p>
            <w:pPr>
              <w:pStyle w:val="TableParagraph"/>
              <w:ind w:left="584" w:right="565"/>
              <w:jc w:val="center"/>
              <w:rPr>
                <w:b/>
                <w:sz w:val="19"/>
              </w:rPr>
            </w:pPr>
            <w:r>
              <w:rPr>
                <w:b/>
                <w:spacing w:val="-5"/>
                <w:w w:val="125"/>
                <w:sz w:val="19"/>
              </w:rPr>
              <w:t>IA</w:t>
            </w:r>
          </w:p>
        </w:tc>
      </w:tr>
      <w:tr>
        <w:trPr>
          <w:trHeight w:val="494" w:hRule="atLeast"/>
        </w:trPr>
        <w:tc>
          <w:tcPr>
            <w:tcW w:w="2563" w:type="dxa"/>
            <w:tcBorders>
              <w:left w:val="single" w:sz="6" w:space="0" w:color="4471C4"/>
              <w:bottom w:val="nil"/>
              <w:right w:val="single" w:sz="6" w:space="0" w:color="4471C4"/>
            </w:tcBorders>
          </w:tcPr>
          <w:p>
            <w:pPr>
              <w:pStyle w:val="TableParagraph"/>
              <w:spacing w:before="8"/>
              <w:ind w:left="42"/>
              <w:rPr>
                <w:sz w:val="18"/>
              </w:rPr>
            </w:pPr>
            <w:r>
              <w:rPr>
                <w:w w:val="125"/>
                <w:sz w:val="18"/>
              </w:rPr>
              <w:t>3.3.1</w:t>
            </w:r>
            <w:r>
              <w:rPr>
                <w:spacing w:val="41"/>
                <w:w w:val="125"/>
                <w:sz w:val="18"/>
              </w:rPr>
              <w:t> </w:t>
            </w:r>
            <w:r>
              <w:rPr>
                <w:w w:val="125"/>
                <w:sz w:val="18"/>
              </w:rPr>
              <w:t>By</w:t>
            </w:r>
            <w:r>
              <w:rPr>
                <w:spacing w:val="-6"/>
                <w:w w:val="125"/>
                <w:sz w:val="18"/>
              </w:rPr>
              <w:t> </w:t>
            </w:r>
            <w:r>
              <w:rPr>
                <w:w w:val="125"/>
                <w:sz w:val="18"/>
              </w:rPr>
              <w:t>the</w:t>
            </w:r>
            <w:r>
              <w:rPr>
                <w:spacing w:val="-3"/>
                <w:w w:val="125"/>
                <w:sz w:val="18"/>
              </w:rPr>
              <w:t> </w:t>
            </w:r>
            <w:r>
              <w:rPr>
                <w:w w:val="125"/>
                <w:sz w:val="18"/>
              </w:rPr>
              <w:t>end</w:t>
            </w:r>
            <w:r>
              <w:rPr>
                <w:spacing w:val="-9"/>
                <w:w w:val="125"/>
                <w:sz w:val="18"/>
              </w:rPr>
              <w:t> </w:t>
            </w:r>
            <w:r>
              <w:rPr>
                <w:w w:val="125"/>
                <w:sz w:val="18"/>
              </w:rPr>
              <w:t>of</w:t>
            </w:r>
            <w:r>
              <w:rPr>
                <w:spacing w:val="1"/>
                <w:w w:val="125"/>
                <w:sz w:val="18"/>
              </w:rPr>
              <w:t> </w:t>
            </w:r>
            <w:r>
              <w:rPr>
                <w:spacing w:val="-4"/>
                <w:w w:val="125"/>
                <w:sz w:val="18"/>
              </w:rPr>
              <w:t>2018,</w:t>
            </w:r>
          </w:p>
          <w:p>
            <w:pPr>
              <w:pStyle w:val="TableParagraph"/>
              <w:spacing w:before="20"/>
              <w:ind w:left="42"/>
              <w:rPr>
                <w:sz w:val="18"/>
              </w:rPr>
            </w:pPr>
            <w:r>
              <w:rPr>
                <w:w w:val="120"/>
                <w:sz w:val="18"/>
              </w:rPr>
              <w:t>Standards</w:t>
            </w:r>
            <w:r>
              <w:rPr>
                <w:spacing w:val="13"/>
                <w:w w:val="120"/>
                <w:sz w:val="18"/>
              </w:rPr>
              <w:t> </w:t>
            </w:r>
            <w:r>
              <w:rPr>
                <w:w w:val="120"/>
                <w:sz w:val="18"/>
              </w:rPr>
              <w:t>approved</w:t>
            </w:r>
            <w:r>
              <w:rPr>
                <w:rFonts w:ascii="Arial"/>
                <w:w w:val="120"/>
                <w:sz w:val="18"/>
              </w:rPr>
              <w:t>,</w:t>
            </w:r>
            <w:r>
              <w:rPr>
                <w:rFonts w:ascii="Arial"/>
                <w:spacing w:val="5"/>
                <w:w w:val="120"/>
                <w:sz w:val="18"/>
              </w:rPr>
              <w:t> </w:t>
            </w:r>
            <w:r>
              <w:rPr>
                <w:spacing w:val="-5"/>
                <w:w w:val="120"/>
                <w:sz w:val="18"/>
              </w:rPr>
              <w:t>27</w:t>
            </w:r>
          </w:p>
        </w:tc>
        <w:tc>
          <w:tcPr>
            <w:tcW w:w="2638" w:type="dxa"/>
            <w:tcBorders>
              <w:left w:val="single" w:sz="6" w:space="0" w:color="4471C4"/>
              <w:bottom w:val="nil"/>
              <w:right w:val="single" w:sz="6" w:space="0" w:color="4471C4"/>
            </w:tcBorders>
          </w:tcPr>
          <w:p>
            <w:pPr>
              <w:pStyle w:val="TableParagraph"/>
              <w:spacing w:before="8"/>
              <w:ind w:left="42"/>
              <w:rPr>
                <w:sz w:val="18"/>
              </w:rPr>
            </w:pPr>
            <w:r>
              <w:rPr>
                <w:w w:val="125"/>
                <w:sz w:val="18"/>
              </w:rPr>
              <w:t>Quality</w:t>
            </w:r>
            <w:r>
              <w:rPr>
                <w:spacing w:val="-12"/>
                <w:w w:val="125"/>
                <w:sz w:val="18"/>
              </w:rPr>
              <w:t> </w:t>
            </w:r>
            <w:r>
              <w:rPr>
                <w:w w:val="125"/>
                <w:sz w:val="18"/>
              </w:rPr>
              <w:t>EA</w:t>
            </w:r>
            <w:r>
              <w:rPr>
                <w:spacing w:val="-13"/>
                <w:w w:val="125"/>
                <w:sz w:val="18"/>
              </w:rPr>
              <w:t> </w:t>
            </w:r>
            <w:r>
              <w:rPr>
                <w:spacing w:val="-2"/>
                <w:w w:val="125"/>
                <w:sz w:val="18"/>
              </w:rPr>
              <w:t>Standards</w:t>
            </w:r>
          </w:p>
          <w:p>
            <w:pPr>
              <w:pStyle w:val="TableParagraph"/>
              <w:spacing w:before="20"/>
              <w:ind w:left="42"/>
              <w:rPr>
                <w:sz w:val="18"/>
              </w:rPr>
            </w:pPr>
            <w:r>
              <w:rPr>
                <w:w w:val="120"/>
                <w:sz w:val="18"/>
              </w:rPr>
              <w:t>drafted</w:t>
            </w:r>
            <w:r>
              <w:rPr>
                <w:spacing w:val="14"/>
                <w:w w:val="120"/>
                <w:sz w:val="18"/>
              </w:rPr>
              <w:t> </w:t>
            </w:r>
            <w:r>
              <w:rPr>
                <w:spacing w:val="-2"/>
                <w:w w:val="120"/>
                <w:sz w:val="18"/>
              </w:rPr>
              <w:t>(20%)</w:t>
            </w:r>
          </w:p>
        </w:tc>
        <w:tc>
          <w:tcPr>
            <w:tcW w:w="1804" w:type="dxa"/>
            <w:tcBorders>
              <w:left w:val="single" w:sz="6" w:space="0" w:color="4471C4"/>
              <w:bottom w:val="nil"/>
              <w:right w:val="single" w:sz="6" w:space="0" w:color="4471C4"/>
            </w:tcBorders>
            <w:shd w:val="clear" w:color="auto" w:fill="A9D08E"/>
          </w:tcPr>
          <w:p>
            <w:pPr>
              <w:pStyle w:val="TableParagraph"/>
              <w:spacing w:before="10"/>
              <w:ind w:left="585" w:right="565"/>
              <w:jc w:val="center"/>
              <w:rPr>
                <w:sz w:val="22"/>
              </w:rPr>
            </w:pPr>
            <w:r>
              <w:rPr>
                <w:spacing w:val="-4"/>
                <w:w w:val="125"/>
                <w:sz w:val="22"/>
              </w:rPr>
              <w:t>100%</w:t>
            </w:r>
          </w:p>
        </w:tc>
      </w:tr>
      <w:tr>
        <w:trPr>
          <w:trHeight w:val="240" w:hRule="atLeast"/>
        </w:trPr>
        <w:tc>
          <w:tcPr>
            <w:tcW w:w="2563" w:type="dxa"/>
            <w:tcBorders>
              <w:top w:val="nil"/>
              <w:left w:val="single" w:sz="6" w:space="0" w:color="4471C4"/>
              <w:bottom w:val="nil"/>
              <w:right w:val="single" w:sz="6" w:space="0" w:color="4471C4"/>
            </w:tcBorders>
          </w:tcPr>
          <w:p>
            <w:pPr>
              <w:pStyle w:val="TableParagraph"/>
              <w:spacing w:line="213" w:lineRule="exact"/>
              <w:ind w:left="42"/>
              <w:rPr>
                <w:sz w:val="18"/>
              </w:rPr>
            </w:pPr>
            <w:r>
              <w:rPr>
                <w:w w:val="125"/>
                <w:sz w:val="18"/>
              </w:rPr>
              <w:t>EAs</w:t>
            </w:r>
            <w:r>
              <w:rPr>
                <w:spacing w:val="-11"/>
                <w:w w:val="125"/>
                <w:sz w:val="18"/>
              </w:rPr>
              <w:t> </w:t>
            </w:r>
            <w:r>
              <w:rPr>
                <w:w w:val="125"/>
                <w:sz w:val="18"/>
              </w:rPr>
              <w:t>receive</w:t>
            </w:r>
            <w:r>
              <w:rPr>
                <w:spacing w:val="-9"/>
                <w:w w:val="125"/>
                <w:sz w:val="18"/>
              </w:rPr>
              <w:t> </w:t>
            </w:r>
            <w:r>
              <w:rPr>
                <w:spacing w:val="-2"/>
                <w:w w:val="125"/>
                <w:sz w:val="18"/>
              </w:rPr>
              <w:t>training</w:t>
            </w:r>
          </w:p>
        </w:tc>
        <w:tc>
          <w:tcPr>
            <w:tcW w:w="2638" w:type="dxa"/>
            <w:tcBorders>
              <w:top w:val="nil"/>
              <w:left w:val="single" w:sz="6" w:space="0" w:color="4471C4"/>
              <w:bottom w:val="nil"/>
              <w:right w:val="single" w:sz="6" w:space="0" w:color="4471C4"/>
            </w:tcBorders>
          </w:tcPr>
          <w:p>
            <w:pPr>
              <w:pStyle w:val="TableParagraph"/>
              <w:spacing w:line="213" w:lineRule="exact"/>
              <w:ind w:left="42"/>
              <w:rPr>
                <w:sz w:val="18"/>
              </w:rPr>
            </w:pPr>
            <w:r>
              <w:rPr>
                <w:w w:val="125"/>
                <w:sz w:val="18"/>
              </w:rPr>
              <w:t>SMT</w:t>
            </w:r>
            <w:r>
              <w:rPr>
                <w:spacing w:val="-12"/>
                <w:w w:val="125"/>
                <w:sz w:val="18"/>
              </w:rPr>
              <w:t> </w:t>
            </w:r>
            <w:r>
              <w:rPr>
                <w:w w:val="125"/>
                <w:sz w:val="18"/>
              </w:rPr>
              <w:t>approval</w:t>
            </w:r>
            <w:r>
              <w:rPr>
                <w:spacing w:val="-13"/>
                <w:w w:val="125"/>
                <w:sz w:val="18"/>
              </w:rPr>
              <w:t> </w:t>
            </w:r>
            <w:r>
              <w:rPr>
                <w:w w:val="125"/>
                <w:sz w:val="18"/>
              </w:rPr>
              <w:t>minute</w:t>
            </w:r>
            <w:r>
              <w:rPr>
                <w:spacing w:val="-12"/>
                <w:w w:val="125"/>
                <w:sz w:val="18"/>
              </w:rPr>
              <w:t> </w:t>
            </w:r>
            <w:r>
              <w:rPr>
                <w:w w:val="125"/>
                <w:sz w:val="18"/>
              </w:rPr>
              <w:t>of</w:t>
            </w:r>
            <w:r>
              <w:rPr>
                <w:spacing w:val="-9"/>
                <w:w w:val="125"/>
                <w:sz w:val="18"/>
              </w:rPr>
              <w:t> </w:t>
            </w:r>
            <w:r>
              <w:rPr>
                <w:spacing w:val="-5"/>
                <w:w w:val="125"/>
                <w:sz w:val="18"/>
              </w:rPr>
              <w:t>EA</w:t>
            </w:r>
          </w:p>
        </w:tc>
        <w:tc>
          <w:tcPr>
            <w:tcW w:w="1804"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240" w:hRule="atLeast"/>
        </w:trPr>
        <w:tc>
          <w:tcPr>
            <w:tcW w:w="2563" w:type="dxa"/>
            <w:tcBorders>
              <w:top w:val="nil"/>
              <w:left w:val="single" w:sz="6" w:space="0" w:color="4471C4"/>
              <w:bottom w:val="nil"/>
              <w:right w:val="single" w:sz="6" w:space="0" w:color="4471C4"/>
            </w:tcBorders>
          </w:tcPr>
          <w:p>
            <w:pPr>
              <w:pStyle w:val="TableParagraph"/>
              <w:spacing w:line="213" w:lineRule="exact"/>
              <w:ind w:left="42"/>
              <w:rPr>
                <w:sz w:val="18"/>
              </w:rPr>
            </w:pPr>
            <w:r>
              <w:rPr>
                <w:w w:val="120"/>
                <w:sz w:val="18"/>
              </w:rPr>
              <w:t>including</w:t>
            </w:r>
            <w:r>
              <w:rPr>
                <w:spacing w:val="-3"/>
                <w:w w:val="120"/>
                <w:sz w:val="18"/>
              </w:rPr>
              <w:t> </w:t>
            </w:r>
            <w:r>
              <w:rPr>
                <w:w w:val="120"/>
                <w:sz w:val="18"/>
              </w:rPr>
              <w:t>initial</w:t>
            </w:r>
            <w:r>
              <w:rPr>
                <w:spacing w:val="3"/>
                <w:w w:val="120"/>
                <w:sz w:val="18"/>
              </w:rPr>
              <w:t> </w:t>
            </w:r>
            <w:r>
              <w:rPr>
                <w:spacing w:val="-2"/>
                <w:w w:val="120"/>
                <w:sz w:val="18"/>
              </w:rPr>
              <w:t>self-</w:t>
            </w:r>
          </w:p>
        </w:tc>
        <w:tc>
          <w:tcPr>
            <w:tcW w:w="2638" w:type="dxa"/>
            <w:tcBorders>
              <w:top w:val="nil"/>
              <w:left w:val="single" w:sz="6" w:space="0" w:color="4471C4"/>
              <w:bottom w:val="nil"/>
              <w:right w:val="single" w:sz="6" w:space="0" w:color="4471C4"/>
            </w:tcBorders>
          </w:tcPr>
          <w:p>
            <w:pPr>
              <w:pStyle w:val="TableParagraph"/>
              <w:tabs>
                <w:tab w:pos="1794" w:val="left" w:leader="none"/>
              </w:tabs>
              <w:spacing w:line="213" w:lineRule="exact"/>
              <w:ind w:left="42"/>
              <w:rPr>
                <w:sz w:val="18"/>
              </w:rPr>
            </w:pPr>
            <w:r>
              <w:rPr>
                <w:spacing w:val="-2"/>
                <w:w w:val="125"/>
                <w:sz w:val="18"/>
              </w:rPr>
              <w:t>Standards</w:t>
            </w:r>
            <w:r>
              <w:rPr>
                <w:spacing w:val="-11"/>
                <w:w w:val="125"/>
                <w:sz w:val="18"/>
              </w:rPr>
              <w:t> </w:t>
            </w:r>
            <w:r>
              <w:rPr>
                <w:spacing w:val="-2"/>
                <w:w w:val="125"/>
                <w:sz w:val="18"/>
              </w:rPr>
              <w:t>(50%)</w:t>
            </w:r>
            <w:r>
              <w:rPr>
                <w:sz w:val="18"/>
              </w:rPr>
              <w:tab/>
            </w:r>
            <w:r>
              <w:rPr>
                <w:spacing w:val="-2"/>
                <w:w w:val="125"/>
                <w:sz w:val="18"/>
              </w:rPr>
              <w:t>Training</w:t>
            </w:r>
          </w:p>
        </w:tc>
        <w:tc>
          <w:tcPr>
            <w:tcW w:w="1804"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240" w:hRule="atLeast"/>
        </w:trPr>
        <w:tc>
          <w:tcPr>
            <w:tcW w:w="2563" w:type="dxa"/>
            <w:tcBorders>
              <w:top w:val="nil"/>
              <w:left w:val="single" w:sz="6" w:space="0" w:color="4471C4"/>
              <w:bottom w:val="nil"/>
              <w:right w:val="single" w:sz="6" w:space="0" w:color="4471C4"/>
            </w:tcBorders>
          </w:tcPr>
          <w:p>
            <w:pPr>
              <w:pStyle w:val="TableParagraph"/>
              <w:spacing w:line="213" w:lineRule="exact"/>
              <w:ind w:left="42"/>
              <w:rPr>
                <w:sz w:val="18"/>
              </w:rPr>
            </w:pPr>
            <w:r>
              <w:rPr>
                <w:w w:val="120"/>
                <w:sz w:val="18"/>
              </w:rPr>
              <w:t>assessments</w:t>
            </w:r>
            <w:r>
              <w:rPr>
                <w:spacing w:val="22"/>
                <w:w w:val="125"/>
                <w:sz w:val="18"/>
              </w:rPr>
              <w:t> </w:t>
            </w:r>
            <w:r>
              <w:rPr>
                <w:spacing w:val="-2"/>
                <w:w w:val="125"/>
                <w:sz w:val="18"/>
              </w:rPr>
              <w:t>completed</w:t>
            </w:r>
          </w:p>
        </w:tc>
        <w:tc>
          <w:tcPr>
            <w:tcW w:w="2638" w:type="dxa"/>
            <w:tcBorders>
              <w:top w:val="nil"/>
              <w:left w:val="single" w:sz="6" w:space="0" w:color="4471C4"/>
              <w:bottom w:val="nil"/>
              <w:right w:val="single" w:sz="6" w:space="0" w:color="4471C4"/>
            </w:tcBorders>
          </w:tcPr>
          <w:p>
            <w:pPr>
              <w:pStyle w:val="TableParagraph"/>
              <w:spacing w:line="213" w:lineRule="exact"/>
              <w:ind w:left="42"/>
              <w:rPr>
                <w:sz w:val="18"/>
              </w:rPr>
            </w:pPr>
            <w:r>
              <w:rPr>
                <w:w w:val="125"/>
                <w:sz w:val="18"/>
              </w:rPr>
              <w:t>in</w:t>
            </w:r>
            <w:r>
              <w:rPr>
                <w:spacing w:val="-13"/>
                <w:w w:val="125"/>
                <w:sz w:val="18"/>
              </w:rPr>
              <w:t> </w:t>
            </w:r>
            <w:r>
              <w:rPr>
                <w:w w:val="125"/>
                <w:sz w:val="18"/>
              </w:rPr>
              <w:t>initial</w:t>
            </w:r>
            <w:r>
              <w:rPr>
                <w:spacing w:val="-10"/>
                <w:w w:val="125"/>
                <w:sz w:val="18"/>
              </w:rPr>
              <w:t> </w:t>
            </w:r>
            <w:r>
              <w:rPr>
                <w:w w:val="125"/>
                <w:sz w:val="18"/>
              </w:rPr>
              <w:t>self-</w:t>
            </w:r>
            <w:r>
              <w:rPr>
                <w:spacing w:val="-2"/>
                <w:w w:val="125"/>
                <w:sz w:val="18"/>
              </w:rPr>
              <w:t>assessments</w:t>
            </w:r>
          </w:p>
        </w:tc>
        <w:tc>
          <w:tcPr>
            <w:tcW w:w="1804"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494" w:hRule="atLeast"/>
        </w:trPr>
        <w:tc>
          <w:tcPr>
            <w:tcW w:w="2563" w:type="dxa"/>
            <w:tcBorders>
              <w:top w:val="nil"/>
              <w:left w:val="single" w:sz="6" w:space="0" w:color="4471C4"/>
              <w:right w:val="single" w:sz="6" w:space="0" w:color="4471C4"/>
            </w:tcBorders>
          </w:tcPr>
          <w:p>
            <w:pPr>
              <w:pStyle w:val="TableParagraph"/>
              <w:spacing w:line="213" w:lineRule="exact"/>
              <w:ind w:left="42"/>
              <w:rPr>
                <w:sz w:val="18"/>
              </w:rPr>
            </w:pPr>
            <w:r>
              <w:rPr>
                <w:w w:val="125"/>
                <w:sz w:val="18"/>
              </w:rPr>
              <w:t>and</w:t>
            </w:r>
            <w:r>
              <w:rPr>
                <w:spacing w:val="-12"/>
                <w:w w:val="125"/>
                <w:sz w:val="18"/>
              </w:rPr>
              <w:t> </w:t>
            </w:r>
            <w:r>
              <w:rPr>
                <w:spacing w:val="-2"/>
                <w:w w:val="125"/>
                <w:sz w:val="18"/>
              </w:rPr>
              <w:t>analysed</w:t>
            </w:r>
          </w:p>
        </w:tc>
        <w:tc>
          <w:tcPr>
            <w:tcW w:w="2638" w:type="dxa"/>
            <w:tcBorders>
              <w:top w:val="nil"/>
              <w:left w:val="single" w:sz="6" w:space="0" w:color="4471C4"/>
              <w:right w:val="single" w:sz="6" w:space="0" w:color="4471C4"/>
            </w:tcBorders>
          </w:tcPr>
          <w:p>
            <w:pPr>
              <w:pStyle w:val="TableParagraph"/>
              <w:spacing w:line="213" w:lineRule="exact"/>
              <w:ind w:left="42"/>
              <w:rPr>
                <w:sz w:val="18"/>
              </w:rPr>
            </w:pPr>
            <w:r>
              <w:rPr>
                <w:w w:val="125"/>
                <w:sz w:val="18"/>
              </w:rPr>
              <w:t>completed</w:t>
            </w:r>
            <w:r>
              <w:rPr>
                <w:spacing w:val="-13"/>
                <w:w w:val="125"/>
                <w:sz w:val="18"/>
              </w:rPr>
              <w:t> </w:t>
            </w:r>
            <w:r>
              <w:rPr>
                <w:w w:val="125"/>
                <w:sz w:val="18"/>
              </w:rPr>
              <w:t>by</w:t>
            </w:r>
            <w:r>
              <w:rPr>
                <w:spacing w:val="-13"/>
                <w:w w:val="125"/>
                <w:sz w:val="18"/>
              </w:rPr>
              <w:t> </w:t>
            </w:r>
            <w:r>
              <w:rPr>
                <w:w w:val="125"/>
                <w:sz w:val="18"/>
              </w:rPr>
              <w:t>EACI</w:t>
            </w:r>
            <w:r>
              <w:rPr>
                <w:spacing w:val="-6"/>
                <w:w w:val="125"/>
                <w:sz w:val="18"/>
              </w:rPr>
              <w:t> </w:t>
            </w:r>
            <w:r>
              <w:rPr>
                <w:spacing w:val="-2"/>
                <w:w w:val="125"/>
                <w:sz w:val="18"/>
              </w:rPr>
              <w:t>(30%)</w:t>
            </w:r>
          </w:p>
        </w:tc>
        <w:tc>
          <w:tcPr>
            <w:tcW w:w="1804" w:type="dxa"/>
            <w:tcBorders>
              <w:top w:val="nil"/>
              <w:left w:val="single" w:sz="6" w:space="0" w:color="4471C4"/>
              <w:right w:val="single" w:sz="6" w:space="0" w:color="4471C4"/>
            </w:tcBorders>
            <w:shd w:val="clear" w:color="auto" w:fill="A9D08E"/>
          </w:tcPr>
          <w:p>
            <w:pPr>
              <w:pStyle w:val="TableParagraph"/>
              <w:rPr>
                <w:rFonts w:ascii="Times New Roman"/>
                <w:sz w:val="22"/>
              </w:rPr>
            </w:pPr>
          </w:p>
        </w:tc>
      </w:tr>
    </w:tbl>
    <w:p>
      <w:pPr>
        <w:pStyle w:val="BodyText"/>
        <w:spacing w:before="11"/>
        <w:rPr>
          <w:rFonts w:ascii="Calibri Light"/>
          <w:b w:val="0"/>
          <w:sz w:val="19"/>
        </w:rPr>
      </w:pPr>
    </w:p>
    <w:p>
      <w:pPr>
        <w:pStyle w:val="BodyText"/>
        <w:ind w:left="220" w:right="1253"/>
        <w:jc w:val="both"/>
      </w:pPr>
      <w:r>
        <w:rPr>
          <w:b/>
        </w:rPr>
        <w:t>Source: </w:t>
      </w:r>
      <w:r>
        <w:rPr/>
        <w:t>Key Output Tracker 2018. Mid Term NEAP review. Key Output Report – EA Capacity and </w:t>
      </w:r>
      <w:r>
        <w:rPr>
          <w:spacing w:val="-2"/>
        </w:rPr>
        <w:t>Standards.</w:t>
      </w:r>
    </w:p>
    <w:p>
      <w:pPr>
        <w:spacing w:after="0"/>
        <w:jc w:val="both"/>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1"/>
        <w:jc w:val="both"/>
        <w:rPr>
          <w:b/>
        </w:rPr>
      </w:pPr>
      <w:r>
        <w:rPr>
          <w:b/>
        </w:rPr>
        <w:t>Performance Indicator 3.3.1 </w:t>
      </w:r>
      <w:r>
        <w:rPr/>
        <w:t>EA Performance Standards were endorsed by NEB in August 2018. The participatory approach to the setting of these Standards should encourage ownership of the assessment process. All EAs undertook initial training in how to use the Standards and how to undertake self-assessment with EAs reportedly now clearer about their role. Data from the initial self-assessment</w:t>
      </w:r>
      <w:r>
        <w:rPr>
          <w:spacing w:val="-1"/>
        </w:rPr>
        <w:t> </w:t>
      </w:r>
      <w:r>
        <w:rPr/>
        <w:t>is being used to inform EA and MEHRD annual work planning. Thornton et al</w:t>
      </w:r>
      <w:r>
        <w:rPr>
          <w:vertAlign w:val="superscript"/>
        </w:rPr>
        <w:t>8</w:t>
      </w:r>
      <w:r>
        <w:rPr>
          <w:spacing w:val="-13"/>
          <w:vertAlign w:val="baseline"/>
        </w:rPr>
        <w:t> </w:t>
      </w:r>
      <w:r>
        <w:rPr>
          <w:vertAlign w:val="baseline"/>
        </w:rPr>
        <w:t>notes that</w:t>
      </w:r>
      <w:r>
        <w:rPr>
          <w:spacing w:val="34"/>
          <w:vertAlign w:val="baseline"/>
        </w:rPr>
        <w:t> </w:t>
      </w:r>
      <w:r>
        <w:rPr>
          <w:vertAlign w:val="baseline"/>
        </w:rPr>
        <w:t>self-assessments</w:t>
      </w:r>
      <w:r>
        <w:rPr>
          <w:spacing w:val="35"/>
          <w:vertAlign w:val="baseline"/>
        </w:rPr>
        <w:t> </w:t>
      </w:r>
      <w:r>
        <w:rPr>
          <w:vertAlign w:val="baseline"/>
        </w:rPr>
        <w:t>should</w:t>
      </w:r>
      <w:r>
        <w:rPr>
          <w:spacing w:val="35"/>
          <w:vertAlign w:val="baseline"/>
        </w:rPr>
        <w:t> </w:t>
      </w:r>
      <w:r>
        <w:rPr>
          <w:vertAlign w:val="baseline"/>
        </w:rPr>
        <w:t>act</w:t>
      </w:r>
      <w:r>
        <w:rPr>
          <w:spacing w:val="35"/>
          <w:vertAlign w:val="baseline"/>
        </w:rPr>
        <w:t> </w:t>
      </w:r>
      <w:r>
        <w:rPr>
          <w:vertAlign w:val="baseline"/>
        </w:rPr>
        <w:t>as</w:t>
      </w:r>
      <w:r>
        <w:rPr>
          <w:spacing w:val="35"/>
          <w:vertAlign w:val="baseline"/>
        </w:rPr>
        <w:t> </w:t>
      </w:r>
      <w:r>
        <w:rPr>
          <w:vertAlign w:val="baseline"/>
        </w:rPr>
        <w:t>a</w:t>
      </w:r>
      <w:r>
        <w:rPr>
          <w:spacing w:val="34"/>
          <w:vertAlign w:val="baseline"/>
        </w:rPr>
        <w:t> </w:t>
      </w:r>
      <w:r>
        <w:rPr>
          <w:vertAlign w:val="baseline"/>
        </w:rPr>
        <w:t>useful</w:t>
      </w:r>
      <w:r>
        <w:rPr>
          <w:spacing w:val="34"/>
          <w:vertAlign w:val="baseline"/>
        </w:rPr>
        <w:t> </w:t>
      </w:r>
      <w:r>
        <w:rPr>
          <w:vertAlign w:val="baseline"/>
        </w:rPr>
        <w:t>precursor</w:t>
      </w:r>
      <w:r>
        <w:rPr>
          <w:spacing w:val="33"/>
          <w:vertAlign w:val="baseline"/>
        </w:rPr>
        <w:t> </w:t>
      </w:r>
      <w:r>
        <w:rPr>
          <w:vertAlign w:val="baseline"/>
        </w:rPr>
        <w:t>to</w:t>
      </w:r>
      <w:r>
        <w:rPr>
          <w:spacing w:val="36"/>
          <w:vertAlign w:val="baseline"/>
        </w:rPr>
        <w:t> </w:t>
      </w:r>
      <w:r>
        <w:rPr>
          <w:vertAlign w:val="baseline"/>
        </w:rPr>
        <w:t>more</w:t>
      </w:r>
      <w:r>
        <w:rPr>
          <w:spacing w:val="34"/>
          <w:vertAlign w:val="baseline"/>
        </w:rPr>
        <w:t> </w:t>
      </w:r>
      <w:r>
        <w:rPr>
          <w:vertAlign w:val="baseline"/>
        </w:rPr>
        <w:t>in-depth</w:t>
      </w:r>
      <w:r>
        <w:rPr>
          <w:spacing w:val="34"/>
          <w:vertAlign w:val="baseline"/>
        </w:rPr>
        <w:t> </w:t>
      </w:r>
      <w:r>
        <w:rPr>
          <w:vertAlign w:val="baseline"/>
        </w:rPr>
        <w:t>interventions.</w:t>
      </w:r>
      <w:r>
        <w:rPr>
          <w:spacing w:val="35"/>
          <w:vertAlign w:val="baseline"/>
        </w:rPr>
        <w:t> </w:t>
      </w:r>
      <w:r>
        <w:rPr>
          <w:b/>
          <w:spacing w:val="-2"/>
          <w:vertAlign w:val="baseline"/>
        </w:rPr>
        <w:t>Indicator</w:t>
      </w:r>
    </w:p>
    <w:p>
      <w:pPr>
        <w:spacing w:line="268" w:lineRule="exact" w:before="0"/>
        <w:ind w:left="220" w:right="0" w:firstLine="0"/>
        <w:jc w:val="both"/>
        <w:rPr>
          <w:b/>
          <w:sz w:val="22"/>
        </w:rPr>
      </w:pPr>
      <w:r>
        <w:rPr>
          <w:b/>
          <w:sz w:val="22"/>
        </w:rPr>
        <w:t>3.3.1</w:t>
      </w:r>
      <w:r>
        <w:rPr>
          <w:b/>
          <w:spacing w:val="-4"/>
          <w:sz w:val="22"/>
        </w:rPr>
        <w:t> </w:t>
      </w:r>
      <w:r>
        <w:rPr>
          <w:b/>
          <w:sz w:val="22"/>
        </w:rPr>
        <w:t>is</w:t>
      </w:r>
      <w:r>
        <w:rPr>
          <w:b/>
          <w:spacing w:val="-3"/>
          <w:sz w:val="22"/>
        </w:rPr>
        <w:t> </w:t>
      </w:r>
      <w:r>
        <w:rPr>
          <w:b/>
          <w:sz w:val="22"/>
        </w:rPr>
        <w:t>assessed</w:t>
      </w:r>
      <w:r>
        <w:rPr>
          <w:b/>
          <w:spacing w:val="-4"/>
          <w:sz w:val="22"/>
        </w:rPr>
        <w:t> </w:t>
      </w:r>
      <w:r>
        <w:rPr>
          <w:b/>
          <w:sz w:val="22"/>
        </w:rPr>
        <w:t>as</w:t>
      </w:r>
      <w:r>
        <w:rPr>
          <w:b/>
          <w:spacing w:val="-3"/>
          <w:sz w:val="22"/>
        </w:rPr>
        <w:t> </w:t>
      </w:r>
      <w:r>
        <w:rPr>
          <w:b/>
          <w:sz w:val="22"/>
        </w:rPr>
        <w:t>100</w:t>
      </w:r>
      <w:r>
        <w:rPr>
          <w:b/>
          <w:spacing w:val="-5"/>
          <w:sz w:val="22"/>
        </w:rPr>
        <w:t> </w:t>
      </w:r>
      <w:r>
        <w:rPr>
          <w:b/>
          <w:sz w:val="22"/>
        </w:rPr>
        <w:t>per</w:t>
      </w:r>
      <w:r>
        <w:rPr>
          <w:b/>
          <w:spacing w:val="-3"/>
          <w:sz w:val="22"/>
        </w:rPr>
        <w:t> </w:t>
      </w:r>
      <w:r>
        <w:rPr>
          <w:b/>
          <w:sz w:val="22"/>
        </w:rPr>
        <w:t>cent</w:t>
      </w:r>
      <w:r>
        <w:rPr>
          <w:b/>
          <w:spacing w:val="-3"/>
          <w:sz w:val="22"/>
        </w:rPr>
        <w:t> </w:t>
      </w:r>
      <w:r>
        <w:rPr>
          <w:b/>
          <w:sz w:val="22"/>
        </w:rPr>
        <w:t>achieved</w:t>
      </w:r>
      <w:r>
        <w:rPr>
          <w:b/>
          <w:spacing w:val="-4"/>
          <w:sz w:val="22"/>
        </w:rPr>
        <w:t> </w:t>
      </w:r>
      <w:r>
        <w:rPr>
          <w:b/>
          <w:sz w:val="22"/>
        </w:rPr>
        <w:t>(out</w:t>
      </w:r>
      <w:r>
        <w:rPr>
          <w:b/>
          <w:spacing w:val="-3"/>
          <w:sz w:val="22"/>
        </w:rPr>
        <w:t> </w:t>
      </w:r>
      <w:r>
        <w:rPr>
          <w:b/>
          <w:sz w:val="22"/>
        </w:rPr>
        <w:t>of</w:t>
      </w:r>
      <w:r>
        <w:rPr>
          <w:b/>
          <w:spacing w:val="-4"/>
          <w:sz w:val="22"/>
        </w:rPr>
        <w:t> </w:t>
      </w:r>
      <w:r>
        <w:rPr>
          <w:b/>
          <w:sz w:val="22"/>
        </w:rPr>
        <w:t>a</w:t>
      </w:r>
      <w:r>
        <w:rPr>
          <w:b/>
          <w:spacing w:val="-5"/>
          <w:sz w:val="22"/>
        </w:rPr>
        <w:t> </w:t>
      </w:r>
      <w:r>
        <w:rPr>
          <w:b/>
          <w:sz w:val="22"/>
        </w:rPr>
        <w:t>possible</w:t>
      </w:r>
      <w:r>
        <w:rPr>
          <w:b/>
          <w:spacing w:val="-5"/>
          <w:sz w:val="22"/>
        </w:rPr>
        <w:t> </w:t>
      </w:r>
      <w:r>
        <w:rPr>
          <w:b/>
          <w:spacing w:val="-2"/>
          <w:sz w:val="22"/>
        </w:rPr>
        <w:t>100).</w:t>
      </w:r>
    </w:p>
    <w:p>
      <w:pPr>
        <w:pStyle w:val="BodyText"/>
        <w:rPr>
          <w:b/>
        </w:rPr>
      </w:pPr>
    </w:p>
    <w:p>
      <w:pPr>
        <w:pStyle w:val="BodyText"/>
        <w:spacing w:before="10"/>
        <w:rPr>
          <w:b/>
          <w:sz w:val="32"/>
        </w:rPr>
      </w:pPr>
    </w:p>
    <w:p>
      <w:pPr>
        <w:pStyle w:val="Heading4"/>
        <w:numPr>
          <w:ilvl w:val="2"/>
          <w:numId w:val="7"/>
        </w:numPr>
        <w:tabs>
          <w:tab w:pos="941" w:val="left" w:leader="none"/>
        </w:tabs>
        <w:spacing w:line="271" w:lineRule="auto" w:before="0" w:after="0"/>
        <w:ind w:left="220" w:right="2037" w:firstLine="0"/>
        <w:jc w:val="both"/>
        <w:rPr>
          <w:b w:val="0"/>
        </w:rPr>
      </w:pPr>
      <w:bookmarkStart w:name="_bookmark25" w:id="26"/>
      <w:bookmarkEnd w:id="26"/>
      <w:r>
        <w:rPr>
          <w:b w:val="0"/>
          <w:color w:val="4471C4"/>
        </w:rPr>
        <w:t>T</w:t>
      </w:r>
      <w:r>
        <w:rPr>
          <w:b w:val="0"/>
          <w:color w:val="4471C4"/>
        </w:rPr>
        <w:t>arget 3.4: 2018 recurrent expenditure for Basic Education is maintained or </w:t>
      </w:r>
      <w:r>
        <w:rPr>
          <w:b w:val="0"/>
          <w:color w:val="4471C4"/>
          <w:spacing w:val="-2"/>
        </w:rPr>
        <w:t>improved</w:t>
      </w:r>
    </w:p>
    <w:p>
      <w:pPr>
        <w:pStyle w:val="BodyText"/>
        <w:rPr>
          <w:rFonts w:ascii="Calibri Light"/>
          <w:b w:val="0"/>
          <w:sz w:val="20"/>
        </w:rPr>
      </w:pPr>
    </w:p>
    <w:p>
      <w:pPr>
        <w:pStyle w:val="BodyText"/>
        <w:spacing w:before="2" w:after="1"/>
        <w:rPr>
          <w:rFonts w:ascii="Calibri Light"/>
          <w:b w:val="0"/>
          <w:sz w:val="28"/>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485"/>
        <w:gridCol w:w="2558"/>
        <w:gridCol w:w="1749"/>
      </w:tblGrid>
      <w:tr>
        <w:trPr>
          <w:trHeight w:val="689" w:hRule="atLeast"/>
        </w:trPr>
        <w:tc>
          <w:tcPr>
            <w:tcW w:w="2485"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48"/>
              <w:rPr>
                <w:b/>
                <w:sz w:val="19"/>
              </w:rPr>
            </w:pPr>
            <w:r>
              <w:rPr>
                <w:b/>
                <w:spacing w:val="-2"/>
                <w:w w:val="120"/>
                <w:sz w:val="19"/>
              </w:rPr>
              <w:t>Performance</w:t>
            </w:r>
            <w:r>
              <w:rPr>
                <w:b/>
                <w:spacing w:val="7"/>
                <w:w w:val="120"/>
                <w:sz w:val="19"/>
              </w:rPr>
              <w:t> </w:t>
            </w:r>
            <w:r>
              <w:rPr>
                <w:b/>
                <w:spacing w:val="-2"/>
                <w:w w:val="120"/>
                <w:sz w:val="19"/>
              </w:rPr>
              <w:t>Indicators</w:t>
            </w:r>
          </w:p>
        </w:tc>
        <w:tc>
          <w:tcPr>
            <w:tcW w:w="2558" w:type="dxa"/>
            <w:tcBorders>
              <w:left w:val="single" w:sz="6" w:space="0" w:color="4471C4"/>
              <w:right w:val="single" w:sz="6" w:space="0" w:color="4471C4"/>
            </w:tcBorders>
            <w:shd w:val="clear" w:color="auto" w:fill="B4C5E7"/>
          </w:tcPr>
          <w:p>
            <w:pPr>
              <w:pStyle w:val="TableParagraph"/>
              <w:spacing w:line="259" w:lineRule="auto" w:before="109"/>
              <w:ind w:left="716" w:hanging="266"/>
              <w:rPr>
                <w:b/>
                <w:sz w:val="19"/>
              </w:rPr>
            </w:pPr>
            <w:r>
              <w:rPr>
                <w:b/>
                <w:w w:val="120"/>
                <w:sz w:val="19"/>
              </w:rPr>
              <w:t>Expected</w:t>
            </w:r>
            <w:r>
              <w:rPr>
                <w:b/>
                <w:spacing w:val="-4"/>
                <w:w w:val="120"/>
                <w:sz w:val="19"/>
              </w:rPr>
              <w:t> </w:t>
            </w:r>
            <w:r>
              <w:rPr>
                <w:b/>
                <w:w w:val="120"/>
                <w:sz w:val="19"/>
              </w:rPr>
              <w:t>Results </w:t>
            </w:r>
            <w:r>
              <w:rPr>
                <w:b/>
                <w:spacing w:val="-2"/>
                <w:w w:val="120"/>
                <w:sz w:val="19"/>
              </w:rPr>
              <w:t>Statements</w:t>
            </w:r>
          </w:p>
        </w:tc>
        <w:tc>
          <w:tcPr>
            <w:tcW w:w="1749"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566" w:right="551"/>
              <w:jc w:val="center"/>
              <w:rPr>
                <w:b/>
                <w:sz w:val="19"/>
              </w:rPr>
            </w:pPr>
            <w:r>
              <w:rPr>
                <w:b/>
                <w:spacing w:val="-5"/>
                <w:w w:val="120"/>
                <w:sz w:val="19"/>
              </w:rPr>
              <w:t>IA</w:t>
            </w:r>
          </w:p>
        </w:tc>
      </w:tr>
      <w:tr>
        <w:trPr>
          <w:trHeight w:val="280" w:hRule="atLeast"/>
        </w:trPr>
        <w:tc>
          <w:tcPr>
            <w:tcW w:w="2485" w:type="dxa"/>
            <w:tcBorders>
              <w:left w:val="single" w:sz="6" w:space="0" w:color="4471C4"/>
              <w:bottom w:val="nil"/>
              <w:right w:val="single" w:sz="6" w:space="0" w:color="4471C4"/>
            </w:tcBorders>
          </w:tcPr>
          <w:p>
            <w:pPr>
              <w:pStyle w:val="TableParagraph"/>
              <w:spacing w:before="9"/>
              <w:ind w:left="40"/>
              <w:rPr>
                <w:sz w:val="18"/>
              </w:rPr>
            </w:pPr>
            <w:r>
              <w:rPr>
                <w:w w:val="120"/>
                <w:sz w:val="18"/>
              </w:rPr>
              <w:t>3.4.1</w:t>
            </w:r>
            <w:r>
              <w:rPr>
                <w:spacing w:val="49"/>
                <w:w w:val="120"/>
                <w:sz w:val="18"/>
              </w:rPr>
              <w:t> </w:t>
            </w:r>
            <w:r>
              <w:rPr>
                <w:spacing w:val="-2"/>
                <w:w w:val="120"/>
                <w:sz w:val="18"/>
              </w:rPr>
              <w:t>Recurrent</w:t>
            </w:r>
          </w:p>
        </w:tc>
        <w:tc>
          <w:tcPr>
            <w:tcW w:w="2558" w:type="dxa"/>
            <w:tcBorders>
              <w:left w:val="single" w:sz="6" w:space="0" w:color="4471C4"/>
              <w:bottom w:val="nil"/>
              <w:right w:val="single" w:sz="6" w:space="0" w:color="4471C4"/>
            </w:tcBorders>
          </w:tcPr>
          <w:p>
            <w:pPr>
              <w:pStyle w:val="TableParagraph"/>
              <w:spacing w:before="9"/>
              <w:ind w:left="40"/>
              <w:rPr>
                <w:sz w:val="18"/>
              </w:rPr>
            </w:pPr>
            <w:r>
              <w:rPr>
                <w:w w:val="120"/>
                <w:sz w:val="18"/>
              </w:rPr>
              <w:t>Calculate</w:t>
            </w:r>
            <w:r>
              <w:rPr>
                <w:spacing w:val="-3"/>
                <w:w w:val="120"/>
                <w:sz w:val="18"/>
              </w:rPr>
              <w:t> </w:t>
            </w:r>
            <w:r>
              <w:rPr>
                <w:w w:val="120"/>
                <w:sz w:val="18"/>
              </w:rPr>
              <w:t>using</w:t>
            </w:r>
            <w:r>
              <w:rPr>
                <w:spacing w:val="-9"/>
                <w:w w:val="120"/>
                <w:sz w:val="18"/>
              </w:rPr>
              <w:t> </w:t>
            </w:r>
            <w:r>
              <w:rPr>
                <w:w w:val="120"/>
                <w:sz w:val="18"/>
              </w:rPr>
              <w:t>real</w:t>
            </w:r>
            <w:r>
              <w:rPr>
                <w:spacing w:val="-5"/>
                <w:w w:val="120"/>
                <w:sz w:val="18"/>
              </w:rPr>
              <w:t> </w:t>
            </w:r>
            <w:r>
              <w:rPr>
                <w:spacing w:val="-2"/>
                <w:w w:val="120"/>
                <w:sz w:val="18"/>
              </w:rPr>
              <w:t>prices,</w:t>
            </w:r>
          </w:p>
        </w:tc>
        <w:tc>
          <w:tcPr>
            <w:tcW w:w="1749" w:type="dxa"/>
            <w:tcBorders>
              <w:left w:val="single" w:sz="6" w:space="0" w:color="4471C4"/>
              <w:bottom w:val="nil"/>
              <w:right w:val="single" w:sz="6" w:space="0" w:color="4471C4"/>
            </w:tcBorders>
            <w:shd w:val="clear" w:color="auto" w:fill="A9D08E"/>
          </w:tcPr>
          <w:p>
            <w:pPr>
              <w:pStyle w:val="TableParagraph"/>
              <w:spacing w:line="249" w:lineRule="exact" w:before="10"/>
              <w:ind w:left="568" w:right="551"/>
              <w:jc w:val="center"/>
              <w:rPr>
                <w:sz w:val="22"/>
              </w:rPr>
            </w:pPr>
            <w:r>
              <w:rPr>
                <w:spacing w:val="-4"/>
                <w:w w:val="120"/>
                <w:sz w:val="22"/>
              </w:rPr>
              <w:t>100%</w:t>
            </w:r>
          </w:p>
        </w:tc>
      </w:tr>
      <w:tr>
        <w:trPr>
          <w:trHeight w:val="215" w:hRule="atLeast"/>
        </w:trPr>
        <w:tc>
          <w:tcPr>
            <w:tcW w:w="2485" w:type="dxa"/>
            <w:tcBorders>
              <w:top w:val="nil"/>
              <w:left w:val="single" w:sz="6" w:space="0" w:color="4471C4"/>
              <w:bottom w:val="nil"/>
              <w:right w:val="single" w:sz="6" w:space="0" w:color="4471C4"/>
            </w:tcBorders>
          </w:tcPr>
          <w:p>
            <w:pPr>
              <w:pStyle w:val="TableParagraph"/>
              <w:spacing w:line="188" w:lineRule="exact"/>
              <w:ind w:left="40"/>
              <w:rPr>
                <w:sz w:val="18"/>
              </w:rPr>
            </w:pPr>
            <w:r>
              <w:rPr>
                <w:w w:val="120"/>
                <w:sz w:val="18"/>
              </w:rPr>
              <w:t>expenditure</w:t>
            </w:r>
            <w:r>
              <w:rPr>
                <w:spacing w:val="-11"/>
                <w:w w:val="120"/>
                <w:sz w:val="18"/>
              </w:rPr>
              <w:t> </w:t>
            </w:r>
            <w:r>
              <w:rPr>
                <w:w w:val="120"/>
                <w:sz w:val="18"/>
              </w:rPr>
              <w:t>for</w:t>
            </w:r>
            <w:r>
              <w:rPr>
                <w:spacing w:val="-12"/>
                <w:w w:val="120"/>
                <w:sz w:val="18"/>
              </w:rPr>
              <w:t> </w:t>
            </w:r>
            <w:r>
              <w:rPr>
                <w:w w:val="120"/>
                <w:sz w:val="18"/>
              </w:rPr>
              <w:t>per-</w:t>
            </w:r>
            <w:r>
              <w:rPr>
                <w:spacing w:val="-4"/>
                <w:w w:val="120"/>
                <w:sz w:val="18"/>
              </w:rPr>
              <w:t>unit</w:t>
            </w:r>
          </w:p>
        </w:tc>
        <w:tc>
          <w:tcPr>
            <w:tcW w:w="2558" w:type="dxa"/>
            <w:tcBorders>
              <w:top w:val="nil"/>
              <w:left w:val="single" w:sz="6" w:space="0" w:color="4471C4"/>
              <w:bottom w:val="nil"/>
              <w:right w:val="single" w:sz="6" w:space="0" w:color="4471C4"/>
            </w:tcBorders>
          </w:tcPr>
          <w:p>
            <w:pPr>
              <w:pStyle w:val="TableParagraph"/>
              <w:spacing w:line="188" w:lineRule="exact"/>
              <w:ind w:left="40"/>
              <w:rPr>
                <w:sz w:val="18"/>
              </w:rPr>
            </w:pPr>
            <w:r>
              <w:rPr>
                <w:spacing w:val="-2"/>
                <w:w w:val="120"/>
                <w:sz w:val="18"/>
              </w:rPr>
              <w:t>recurrent</w:t>
            </w:r>
            <w:r>
              <w:rPr>
                <w:spacing w:val="-1"/>
                <w:w w:val="120"/>
                <w:sz w:val="18"/>
              </w:rPr>
              <w:t> </w:t>
            </w:r>
            <w:r>
              <w:rPr>
                <w:spacing w:val="-2"/>
                <w:w w:val="120"/>
                <w:sz w:val="18"/>
              </w:rPr>
              <w:t>allocation</w:t>
            </w:r>
          </w:p>
        </w:tc>
        <w:tc>
          <w:tcPr>
            <w:tcW w:w="1749" w:type="dxa"/>
            <w:tcBorders>
              <w:top w:val="nil"/>
              <w:left w:val="single" w:sz="6" w:space="0" w:color="4471C4"/>
              <w:bottom w:val="nil"/>
              <w:right w:val="single" w:sz="6" w:space="0" w:color="4471C4"/>
            </w:tcBorders>
            <w:shd w:val="clear" w:color="auto" w:fill="A9D08E"/>
          </w:tcPr>
          <w:p>
            <w:pPr>
              <w:pStyle w:val="TableParagraph"/>
              <w:rPr>
                <w:rFonts w:ascii="Times New Roman"/>
                <w:sz w:val="14"/>
              </w:rPr>
            </w:pPr>
          </w:p>
        </w:tc>
      </w:tr>
      <w:tr>
        <w:trPr>
          <w:trHeight w:val="239" w:hRule="atLeast"/>
        </w:trPr>
        <w:tc>
          <w:tcPr>
            <w:tcW w:w="2485" w:type="dxa"/>
            <w:tcBorders>
              <w:top w:val="nil"/>
              <w:left w:val="single" w:sz="6" w:space="0" w:color="4471C4"/>
              <w:bottom w:val="nil"/>
              <w:right w:val="single" w:sz="6" w:space="0" w:color="4471C4"/>
            </w:tcBorders>
          </w:tcPr>
          <w:p>
            <w:pPr>
              <w:pStyle w:val="TableParagraph"/>
              <w:spacing w:line="213" w:lineRule="exact"/>
              <w:ind w:left="40"/>
              <w:rPr>
                <w:sz w:val="18"/>
              </w:rPr>
            </w:pPr>
            <w:r>
              <w:rPr>
                <w:w w:val="120"/>
                <w:sz w:val="18"/>
              </w:rPr>
              <w:t>cost</w:t>
            </w:r>
            <w:r>
              <w:rPr>
                <w:spacing w:val="-5"/>
                <w:w w:val="120"/>
                <w:sz w:val="18"/>
              </w:rPr>
              <w:t> </w:t>
            </w:r>
            <w:r>
              <w:rPr>
                <w:w w:val="120"/>
                <w:sz w:val="18"/>
              </w:rPr>
              <w:t>per</w:t>
            </w:r>
            <w:r>
              <w:rPr>
                <w:spacing w:val="-6"/>
                <w:w w:val="120"/>
                <w:sz w:val="18"/>
              </w:rPr>
              <w:t> </w:t>
            </w:r>
            <w:r>
              <w:rPr>
                <w:w w:val="120"/>
                <w:sz w:val="18"/>
              </w:rPr>
              <w:t>student</w:t>
            </w:r>
            <w:r>
              <w:rPr>
                <w:spacing w:val="-4"/>
                <w:w w:val="120"/>
                <w:sz w:val="18"/>
              </w:rPr>
              <w:t> </w:t>
            </w:r>
            <w:r>
              <w:rPr>
                <w:w w:val="120"/>
                <w:sz w:val="18"/>
              </w:rPr>
              <w:t>at</w:t>
            </w:r>
            <w:r>
              <w:rPr>
                <w:spacing w:val="-4"/>
                <w:w w:val="120"/>
                <w:sz w:val="18"/>
              </w:rPr>
              <w:t> </w:t>
            </w:r>
            <w:r>
              <w:rPr>
                <w:spacing w:val="-2"/>
                <w:w w:val="120"/>
                <w:sz w:val="18"/>
              </w:rPr>
              <w:t>Primary</w:t>
            </w:r>
          </w:p>
        </w:tc>
        <w:tc>
          <w:tcPr>
            <w:tcW w:w="2558" w:type="dxa"/>
            <w:tcBorders>
              <w:top w:val="nil"/>
              <w:left w:val="single" w:sz="6" w:space="0" w:color="4471C4"/>
              <w:bottom w:val="nil"/>
              <w:right w:val="single" w:sz="6" w:space="0" w:color="4471C4"/>
            </w:tcBorders>
          </w:tcPr>
          <w:p>
            <w:pPr>
              <w:pStyle w:val="TableParagraph"/>
              <w:spacing w:line="213" w:lineRule="exact"/>
              <w:ind w:left="40"/>
              <w:rPr>
                <w:sz w:val="18"/>
              </w:rPr>
            </w:pPr>
            <w:r>
              <w:rPr>
                <w:spacing w:val="-2"/>
                <w:w w:val="120"/>
                <w:sz w:val="18"/>
              </w:rPr>
              <w:t>includes primary (50%)</w:t>
            </w:r>
            <w:r>
              <w:rPr>
                <w:spacing w:val="-6"/>
                <w:w w:val="120"/>
                <w:sz w:val="18"/>
              </w:rPr>
              <w:t> </w:t>
            </w:r>
            <w:r>
              <w:rPr>
                <w:spacing w:val="-5"/>
                <w:w w:val="120"/>
                <w:sz w:val="18"/>
              </w:rPr>
              <w:t>and</w:t>
            </w:r>
          </w:p>
        </w:tc>
        <w:tc>
          <w:tcPr>
            <w:tcW w:w="1749"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239" w:hRule="atLeast"/>
        </w:trPr>
        <w:tc>
          <w:tcPr>
            <w:tcW w:w="2485" w:type="dxa"/>
            <w:tcBorders>
              <w:top w:val="nil"/>
              <w:left w:val="single" w:sz="6" w:space="0" w:color="4471C4"/>
              <w:bottom w:val="nil"/>
              <w:right w:val="single" w:sz="6" w:space="0" w:color="4471C4"/>
            </w:tcBorders>
          </w:tcPr>
          <w:p>
            <w:pPr>
              <w:pStyle w:val="TableParagraph"/>
              <w:spacing w:line="213" w:lineRule="exact"/>
              <w:ind w:left="40"/>
              <w:rPr>
                <w:sz w:val="18"/>
              </w:rPr>
            </w:pPr>
            <w:r>
              <w:rPr>
                <w:w w:val="120"/>
                <w:sz w:val="18"/>
              </w:rPr>
              <w:t>and</w:t>
            </w:r>
            <w:r>
              <w:rPr>
                <w:spacing w:val="-7"/>
                <w:w w:val="120"/>
                <w:sz w:val="18"/>
              </w:rPr>
              <w:t> </w:t>
            </w:r>
            <w:r>
              <w:rPr>
                <w:w w:val="120"/>
                <w:sz w:val="18"/>
              </w:rPr>
              <w:t>Secondary</w:t>
            </w:r>
            <w:r>
              <w:rPr>
                <w:spacing w:val="-2"/>
                <w:w w:val="120"/>
                <w:sz w:val="18"/>
              </w:rPr>
              <w:t> </w:t>
            </w:r>
            <w:r>
              <w:rPr>
                <w:w w:val="120"/>
                <w:sz w:val="18"/>
              </w:rPr>
              <w:t>School</w:t>
            </w:r>
            <w:r>
              <w:rPr>
                <w:spacing w:val="-3"/>
                <w:w w:val="120"/>
                <w:sz w:val="18"/>
              </w:rPr>
              <w:t> </w:t>
            </w:r>
            <w:r>
              <w:rPr>
                <w:spacing w:val="-5"/>
                <w:w w:val="120"/>
                <w:sz w:val="18"/>
              </w:rPr>
              <w:t>in</w:t>
            </w:r>
          </w:p>
        </w:tc>
        <w:tc>
          <w:tcPr>
            <w:tcW w:w="2558" w:type="dxa"/>
            <w:tcBorders>
              <w:top w:val="nil"/>
              <w:left w:val="single" w:sz="6" w:space="0" w:color="4471C4"/>
              <w:bottom w:val="nil"/>
              <w:right w:val="single" w:sz="6" w:space="0" w:color="4471C4"/>
            </w:tcBorders>
          </w:tcPr>
          <w:p>
            <w:pPr>
              <w:pStyle w:val="TableParagraph"/>
              <w:spacing w:line="213" w:lineRule="exact"/>
              <w:ind w:left="40"/>
              <w:rPr>
                <w:sz w:val="18"/>
              </w:rPr>
            </w:pPr>
            <w:r>
              <w:rPr>
                <w:w w:val="120"/>
                <w:sz w:val="18"/>
              </w:rPr>
              <w:t>secondary</w:t>
            </w:r>
            <w:r>
              <w:rPr>
                <w:spacing w:val="-8"/>
                <w:w w:val="120"/>
                <w:sz w:val="18"/>
              </w:rPr>
              <w:t> </w:t>
            </w:r>
            <w:r>
              <w:rPr>
                <w:w w:val="120"/>
                <w:sz w:val="18"/>
              </w:rPr>
              <w:t>(50%)</w:t>
            </w:r>
            <w:r>
              <w:rPr>
                <w:spacing w:val="-11"/>
                <w:w w:val="120"/>
                <w:sz w:val="18"/>
              </w:rPr>
              <w:t> </w:t>
            </w:r>
            <w:r>
              <w:rPr>
                <w:spacing w:val="-2"/>
                <w:w w:val="120"/>
                <w:sz w:val="18"/>
              </w:rPr>
              <w:t>grant</w:t>
            </w:r>
          </w:p>
        </w:tc>
        <w:tc>
          <w:tcPr>
            <w:tcW w:w="1749"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240" w:hRule="atLeast"/>
        </w:trPr>
        <w:tc>
          <w:tcPr>
            <w:tcW w:w="2485" w:type="dxa"/>
            <w:tcBorders>
              <w:top w:val="nil"/>
              <w:left w:val="single" w:sz="6" w:space="0" w:color="4471C4"/>
              <w:bottom w:val="nil"/>
              <w:right w:val="single" w:sz="6" w:space="0" w:color="4471C4"/>
            </w:tcBorders>
          </w:tcPr>
          <w:p>
            <w:pPr>
              <w:pStyle w:val="TableParagraph"/>
              <w:spacing w:line="213" w:lineRule="exact"/>
              <w:ind w:left="40"/>
              <w:rPr>
                <w:sz w:val="18"/>
              </w:rPr>
            </w:pPr>
            <w:r>
              <w:rPr>
                <w:w w:val="120"/>
                <w:sz w:val="18"/>
              </w:rPr>
              <w:t>2018</w:t>
            </w:r>
            <w:r>
              <w:rPr>
                <w:spacing w:val="-5"/>
                <w:w w:val="120"/>
                <w:sz w:val="18"/>
              </w:rPr>
              <w:t> </w:t>
            </w:r>
            <w:r>
              <w:rPr>
                <w:w w:val="120"/>
                <w:sz w:val="18"/>
              </w:rPr>
              <w:t>is</w:t>
            </w:r>
            <w:r>
              <w:rPr>
                <w:spacing w:val="-4"/>
                <w:w w:val="120"/>
                <w:sz w:val="18"/>
              </w:rPr>
              <w:t> </w:t>
            </w:r>
            <w:r>
              <w:rPr>
                <w:w w:val="120"/>
                <w:sz w:val="18"/>
              </w:rPr>
              <w:t>equal</w:t>
            </w:r>
            <w:r>
              <w:rPr>
                <w:spacing w:val="-5"/>
                <w:w w:val="120"/>
                <w:sz w:val="18"/>
              </w:rPr>
              <w:t> </w:t>
            </w:r>
            <w:r>
              <w:rPr>
                <w:w w:val="120"/>
                <w:sz w:val="18"/>
              </w:rPr>
              <w:t>or</w:t>
            </w:r>
            <w:r>
              <w:rPr>
                <w:spacing w:val="-7"/>
                <w:w w:val="120"/>
                <w:sz w:val="18"/>
              </w:rPr>
              <w:t> </w:t>
            </w:r>
            <w:r>
              <w:rPr>
                <w:spacing w:val="-2"/>
                <w:w w:val="120"/>
                <w:sz w:val="18"/>
              </w:rPr>
              <w:t>greater</w:t>
            </w:r>
          </w:p>
        </w:tc>
        <w:tc>
          <w:tcPr>
            <w:tcW w:w="2558" w:type="dxa"/>
            <w:tcBorders>
              <w:top w:val="nil"/>
              <w:left w:val="single" w:sz="6" w:space="0" w:color="4471C4"/>
              <w:bottom w:val="nil"/>
              <w:right w:val="single" w:sz="6" w:space="0" w:color="4471C4"/>
            </w:tcBorders>
          </w:tcPr>
          <w:p>
            <w:pPr>
              <w:pStyle w:val="TableParagraph"/>
              <w:spacing w:line="213" w:lineRule="exact"/>
              <w:ind w:left="40"/>
              <w:rPr>
                <w:sz w:val="18"/>
              </w:rPr>
            </w:pPr>
            <w:r>
              <w:rPr>
                <w:spacing w:val="-2"/>
                <w:w w:val="120"/>
                <w:sz w:val="18"/>
              </w:rPr>
              <w:t>component.</w:t>
            </w:r>
          </w:p>
        </w:tc>
        <w:tc>
          <w:tcPr>
            <w:tcW w:w="1749"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384" w:hRule="atLeast"/>
        </w:trPr>
        <w:tc>
          <w:tcPr>
            <w:tcW w:w="2485" w:type="dxa"/>
            <w:tcBorders>
              <w:top w:val="nil"/>
              <w:left w:val="single" w:sz="6" w:space="0" w:color="4471C4"/>
              <w:right w:val="single" w:sz="6" w:space="0" w:color="4471C4"/>
            </w:tcBorders>
          </w:tcPr>
          <w:p>
            <w:pPr>
              <w:pStyle w:val="TableParagraph"/>
              <w:spacing w:line="214" w:lineRule="exact"/>
              <w:ind w:left="40"/>
              <w:rPr>
                <w:sz w:val="18"/>
              </w:rPr>
            </w:pPr>
            <w:r>
              <w:rPr>
                <w:w w:val="120"/>
                <w:sz w:val="18"/>
              </w:rPr>
              <w:t>than</w:t>
            </w:r>
            <w:r>
              <w:rPr>
                <w:spacing w:val="-9"/>
                <w:w w:val="120"/>
                <w:sz w:val="18"/>
              </w:rPr>
              <w:t> </w:t>
            </w:r>
            <w:r>
              <w:rPr>
                <w:spacing w:val="-4"/>
                <w:w w:val="120"/>
                <w:sz w:val="18"/>
              </w:rPr>
              <w:t>2017</w:t>
            </w:r>
          </w:p>
        </w:tc>
        <w:tc>
          <w:tcPr>
            <w:tcW w:w="2558" w:type="dxa"/>
            <w:tcBorders>
              <w:top w:val="nil"/>
              <w:left w:val="single" w:sz="6" w:space="0" w:color="4471C4"/>
              <w:right w:val="single" w:sz="6" w:space="0" w:color="4471C4"/>
            </w:tcBorders>
          </w:tcPr>
          <w:p>
            <w:pPr>
              <w:pStyle w:val="TableParagraph"/>
              <w:rPr>
                <w:rFonts w:ascii="Times New Roman"/>
                <w:sz w:val="20"/>
              </w:rPr>
            </w:pPr>
          </w:p>
        </w:tc>
        <w:tc>
          <w:tcPr>
            <w:tcW w:w="1749" w:type="dxa"/>
            <w:tcBorders>
              <w:top w:val="nil"/>
              <w:left w:val="single" w:sz="6" w:space="0" w:color="4471C4"/>
              <w:right w:val="single" w:sz="6" w:space="0" w:color="4471C4"/>
            </w:tcBorders>
            <w:shd w:val="clear" w:color="auto" w:fill="A9D08E"/>
          </w:tcPr>
          <w:p>
            <w:pPr>
              <w:pStyle w:val="TableParagraph"/>
              <w:rPr>
                <w:rFonts w:ascii="Times New Roman"/>
                <w:sz w:val="20"/>
              </w:rPr>
            </w:pPr>
          </w:p>
        </w:tc>
      </w:tr>
    </w:tbl>
    <w:p>
      <w:pPr>
        <w:spacing w:before="204"/>
        <w:ind w:left="220" w:right="0" w:firstLine="0"/>
        <w:jc w:val="both"/>
        <w:rPr>
          <w:sz w:val="22"/>
        </w:rPr>
      </w:pPr>
      <w:r>
        <w:rPr>
          <w:b/>
          <w:sz w:val="22"/>
        </w:rPr>
        <w:t>Source:</w:t>
      </w:r>
      <w:r>
        <w:rPr>
          <w:b/>
          <w:spacing w:val="-6"/>
          <w:sz w:val="22"/>
        </w:rPr>
        <w:t> </w:t>
      </w:r>
      <w:r>
        <w:rPr>
          <w:sz w:val="22"/>
        </w:rPr>
        <w:t>MEHRD</w:t>
      </w:r>
      <w:r>
        <w:rPr>
          <w:spacing w:val="-4"/>
          <w:sz w:val="22"/>
        </w:rPr>
        <w:t> </w:t>
      </w:r>
      <w:r>
        <w:rPr>
          <w:sz w:val="22"/>
        </w:rPr>
        <w:t>financial</w:t>
      </w:r>
      <w:r>
        <w:rPr>
          <w:spacing w:val="-5"/>
          <w:sz w:val="22"/>
        </w:rPr>
        <w:t> </w:t>
      </w:r>
      <w:r>
        <w:rPr>
          <w:spacing w:val="-2"/>
          <w:sz w:val="22"/>
        </w:rPr>
        <w:t>reports.</w:t>
      </w:r>
    </w:p>
    <w:p>
      <w:pPr>
        <w:pStyle w:val="BodyText"/>
        <w:spacing w:before="5"/>
        <w:rPr>
          <w:sz w:val="16"/>
        </w:rPr>
      </w:pPr>
    </w:p>
    <w:p>
      <w:pPr>
        <w:pStyle w:val="BodyText"/>
        <w:ind w:left="220" w:right="1253"/>
        <w:jc w:val="both"/>
      </w:pPr>
      <w:r>
        <w:rPr>
          <w:b/>
        </w:rPr>
        <w:t>Performance Indicator 3.4.1 </w:t>
      </w:r>
      <w:r>
        <w:rPr/>
        <w:t>Figure 2 below, using real prices for recurrent expenditure primary and secondary grant component per Student, shows a slight increase</w:t>
      </w:r>
      <w:r>
        <w:rPr>
          <w:spacing w:val="-1"/>
        </w:rPr>
        <w:t> </w:t>
      </w:r>
      <w:r>
        <w:rPr/>
        <w:t>of SBD13 for primary in</w:t>
      </w:r>
      <w:r>
        <w:rPr>
          <w:spacing w:val="-1"/>
        </w:rPr>
        <w:t> </w:t>
      </w:r>
      <w:r>
        <w:rPr/>
        <w:t>2018 and a slight decrease of SBD19 for secondary in 2018.</w:t>
      </w:r>
      <w:r>
        <w:rPr>
          <w:vertAlign w:val="superscript"/>
        </w:rPr>
        <w:t>9</w:t>
      </w:r>
      <w:r>
        <w:rPr>
          <w:spacing w:val="-1"/>
          <w:vertAlign w:val="baseline"/>
        </w:rPr>
        <w:t> </w:t>
      </w:r>
      <w:r>
        <w:rPr>
          <w:vertAlign w:val="baseline"/>
        </w:rPr>
        <w:t>Figure 3 shows the steady increase in grants over the period 2016 to 2018, at current prices.</w:t>
      </w:r>
    </w:p>
    <w:p>
      <w:pPr>
        <w:pStyle w:val="BodyText"/>
        <w:spacing w:before="4"/>
        <w:rPr>
          <w:sz w:val="16"/>
        </w:rPr>
      </w:pPr>
    </w:p>
    <w:p>
      <w:pPr>
        <w:pStyle w:val="BodyText"/>
        <w:spacing w:before="1"/>
        <w:ind w:left="220" w:right="1252"/>
        <w:jc w:val="both"/>
      </w:pPr>
      <w:r>
        <w:rPr/>
        <w:t>Inflation was unusually high in the Solomon Islands in 2018 at 4.2 per cent (in 2017 it was 1.8 per cent)</w:t>
      </w:r>
      <w:r>
        <w:rPr>
          <w:vertAlign w:val="superscript"/>
        </w:rPr>
        <w:t>10</w:t>
      </w:r>
      <w:r>
        <w:rPr>
          <w:vertAlign w:val="baseline"/>
        </w:rPr>
        <w:t>. The assessor considers that it is fair-minded to take into account this unusually high inflation rate, that overall there is only a SBD6 (about AUD1) drop per unit cost in total grants at real prices over the period 2017 to 2018 and that the general trend is an increase in total grants over this period. Therefore, expenditure per-unit cost in 2018 is reasonably judged as essentially ‘equal’ to 2017. </w:t>
      </w:r>
      <w:r>
        <w:rPr>
          <w:b/>
          <w:vertAlign w:val="baseline"/>
        </w:rPr>
        <w:t>This indicator is assessed as 100 per cent achieved (out of a possible 100). </w:t>
      </w:r>
      <w:r>
        <w:rPr>
          <w:vertAlign w:val="baseline"/>
        </w:rPr>
        <w:t>Teacher payroll is not included in the per-unit calculation, as payroll for teachers has been miscoded in the past. It is expected this will be rectified over time.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rect style="position:absolute;margin-left:72.024002pt;margin-top:10.622722pt;width:144.020pt;height:.71997pt;mso-position-horizontal-relative:page;mso-position-vertical-relative:paragraph;z-index:-15725056;mso-wrap-distance-left:0;mso-wrap-distance-right:0" id="docshape11" filled="true" fillcolor="#000000" stroked="false">
            <v:fill type="solid"/>
            <w10:wrap type="topAndBottom"/>
          </v:rect>
        </w:pict>
      </w:r>
    </w:p>
    <w:p>
      <w:pPr>
        <w:spacing w:before="100"/>
        <w:ind w:left="220" w:right="0" w:firstLine="0"/>
        <w:jc w:val="left"/>
        <w:rPr>
          <w:i/>
          <w:sz w:val="18"/>
        </w:rPr>
      </w:pPr>
      <w:r>
        <w:rPr>
          <w:position w:val="5"/>
          <w:sz w:val="12"/>
        </w:rPr>
        <w:t>8</w:t>
      </w:r>
      <w:r>
        <w:rPr>
          <w:spacing w:val="8"/>
          <w:position w:val="5"/>
          <w:sz w:val="12"/>
        </w:rPr>
        <w:t> </w:t>
      </w:r>
      <w:r>
        <w:rPr>
          <w:sz w:val="18"/>
        </w:rPr>
        <w:t>Thornton,</w:t>
      </w:r>
      <w:r>
        <w:rPr>
          <w:spacing w:val="-1"/>
          <w:sz w:val="18"/>
        </w:rPr>
        <w:t> </w:t>
      </w:r>
      <w:r>
        <w:rPr>
          <w:sz w:val="18"/>
        </w:rPr>
        <w:t>et</w:t>
      </w:r>
      <w:r>
        <w:rPr>
          <w:spacing w:val="-1"/>
          <w:sz w:val="18"/>
        </w:rPr>
        <w:t> </w:t>
      </w:r>
      <w:r>
        <w:rPr>
          <w:sz w:val="18"/>
        </w:rPr>
        <w:t>al.</w:t>
      </w:r>
      <w:r>
        <w:rPr>
          <w:spacing w:val="-2"/>
          <w:sz w:val="18"/>
        </w:rPr>
        <w:t> </w:t>
      </w:r>
      <w:r>
        <w:rPr>
          <w:sz w:val="18"/>
        </w:rPr>
        <w:t>(2018). </w:t>
      </w:r>
      <w:r>
        <w:rPr>
          <w:i/>
          <w:spacing w:val="-4"/>
          <w:sz w:val="18"/>
        </w:rPr>
        <w:t>Ibid.</w:t>
      </w:r>
    </w:p>
    <w:p>
      <w:pPr>
        <w:spacing w:before="41"/>
        <w:ind w:left="220" w:right="1246" w:firstLine="0"/>
        <w:jc w:val="left"/>
        <w:rPr>
          <w:sz w:val="18"/>
        </w:rPr>
      </w:pPr>
      <w:r>
        <w:rPr>
          <w:position w:val="5"/>
          <w:sz w:val="12"/>
        </w:rPr>
        <w:t>9</w:t>
      </w:r>
      <w:r>
        <w:rPr>
          <w:spacing w:val="9"/>
          <w:position w:val="5"/>
          <w:sz w:val="12"/>
        </w:rPr>
        <w:t> </w:t>
      </w:r>
      <w:r>
        <w:rPr>
          <w:sz w:val="18"/>
        </w:rPr>
        <w:t>Note:</w:t>
      </w:r>
      <w:r>
        <w:rPr>
          <w:spacing w:val="-3"/>
          <w:sz w:val="18"/>
        </w:rPr>
        <w:t> </w:t>
      </w:r>
      <w:r>
        <w:rPr>
          <w:sz w:val="18"/>
        </w:rPr>
        <w:t>In</w:t>
      </w:r>
      <w:r>
        <w:rPr>
          <w:spacing w:val="-4"/>
          <w:sz w:val="18"/>
        </w:rPr>
        <w:t> </w:t>
      </w:r>
      <w:r>
        <w:rPr>
          <w:sz w:val="18"/>
        </w:rPr>
        <w:t>2018</w:t>
      </w:r>
      <w:r>
        <w:rPr>
          <w:spacing w:val="-3"/>
          <w:sz w:val="18"/>
        </w:rPr>
        <w:t> </w:t>
      </w:r>
      <w:r>
        <w:rPr>
          <w:sz w:val="18"/>
        </w:rPr>
        <w:t>Independent</w:t>
      </w:r>
      <w:r>
        <w:rPr>
          <w:spacing w:val="-3"/>
          <w:sz w:val="18"/>
        </w:rPr>
        <w:t> </w:t>
      </w:r>
      <w:r>
        <w:rPr>
          <w:sz w:val="18"/>
        </w:rPr>
        <w:t>Assessment,</w:t>
      </w:r>
      <w:r>
        <w:rPr>
          <w:spacing w:val="-1"/>
          <w:sz w:val="18"/>
        </w:rPr>
        <w:t> </w:t>
      </w:r>
      <w:r>
        <w:rPr>
          <w:sz w:val="18"/>
        </w:rPr>
        <w:t>per-unit</w:t>
      </w:r>
      <w:r>
        <w:rPr>
          <w:spacing w:val="-3"/>
          <w:sz w:val="18"/>
        </w:rPr>
        <w:t> </w:t>
      </w:r>
      <w:r>
        <w:rPr>
          <w:sz w:val="18"/>
        </w:rPr>
        <w:t>costs</w:t>
      </w:r>
      <w:r>
        <w:rPr>
          <w:spacing w:val="-5"/>
          <w:sz w:val="18"/>
        </w:rPr>
        <w:t> </w:t>
      </w:r>
      <w:r>
        <w:rPr>
          <w:sz w:val="18"/>
        </w:rPr>
        <w:t>were</w:t>
      </w:r>
      <w:r>
        <w:rPr>
          <w:spacing w:val="-5"/>
          <w:sz w:val="18"/>
        </w:rPr>
        <w:t> </w:t>
      </w:r>
      <w:r>
        <w:rPr>
          <w:sz w:val="18"/>
        </w:rPr>
        <w:t>overstated</w:t>
      </w:r>
      <w:r>
        <w:rPr>
          <w:spacing w:val="-4"/>
          <w:sz w:val="18"/>
        </w:rPr>
        <w:t> </w:t>
      </w:r>
      <w:r>
        <w:rPr>
          <w:sz w:val="18"/>
        </w:rPr>
        <w:t>for</w:t>
      </w:r>
      <w:r>
        <w:rPr>
          <w:spacing w:val="-3"/>
          <w:sz w:val="18"/>
        </w:rPr>
        <w:t> </w:t>
      </w:r>
      <w:r>
        <w:rPr>
          <w:sz w:val="18"/>
        </w:rPr>
        <w:t>primary</w:t>
      </w:r>
      <w:r>
        <w:rPr>
          <w:spacing w:val="-3"/>
          <w:sz w:val="18"/>
        </w:rPr>
        <w:t> </w:t>
      </w:r>
      <w:r>
        <w:rPr>
          <w:sz w:val="18"/>
        </w:rPr>
        <w:t>and</w:t>
      </w:r>
      <w:r>
        <w:rPr>
          <w:spacing w:val="-2"/>
          <w:sz w:val="18"/>
        </w:rPr>
        <w:t> </w:t>
      </w:r>
      <w:r>
        <w:rPr>
          <w:sz w:val="18"/>
        </w:rPr>
        <w:t>understated</w:t>
      </w:r>
      <w:r>
        <w:rPr>
          <w:spacing w:val="-4"/>
          <w:sz w:val="18"/>
        </w:rPr>
        <w:t> </w:t>
      </w:r>
      <w:r>
        <w:rPr>
          <w:sz w:val="18"/>
        </w:rPr>
        <w:t>for</w:t>
      </w:r>
      <w:r>
        <w:rPr>
          <w:spacing w:val="-3"/>
          <w:sz w:val="18"/>
        </w:rPr>
        <w:t> </w:t>
      </w:r>
      <w:r>
        <w:rPr>
          <w:sz w:val="18"/>
        </w:rPr>
        <w:t>secondary</w:t>
      </w:r>
      <w:r>
        <w:rPr>
          <w:spacing w:val="-4"/>
          <w:sz w:val="18"/>
        </w:rPr>
        <w:t> </w:t>
      </w:r>
      <w:r>
        <w:rPr>
          <w:sz w:val="18"/>
        </w:rPr>
        <w:t>school students due to anomalies in School population calculations.</w:t>
      </w:r>
    </w:p>
    <w:p>
      <w:pPr>
        <w:spacing w:before="38"/>
        <w:ind w:left="220" w:right="0" w:firstLine="0"/>
        <w:jc w:val="left"/>
        <w:rPr>
          <w:sz w:val="18"/>
        </w:rPr>
      </w:pPr>
      <w:r>
        <w:rPr>
          <w:position w:val="5"/>
          <w:sz w:val="12"/>
        </w:rPr>
        <w:t>10</w:t>
      </w:r>
      <w:r>
        <w:rPr>
          <w:spacing w:val="10"/>
          <w:position w:val="5"/>
          <w:sz w:val="12"/>
        </w:rPr>
        <w:t> </w:t>
      </w:r>
      <w:r>
        <w:rPr>
          <w:sz w:val="18"/>
        </w:rPr>
        <w:t>2017</w:t>
      </w:r>
      <w:r>
        <w:rPr>
          <w:spacing w:val="-2"/>
          <w:sz w:val="18"/>
        </w:rPr>
        <w:t> </w:t>
      </w:r>
      <w:r>
        <w:rPr>
          <w:sz w:val="18"/>
        </w:rPr>
        <w:t>and</w:t>
      </w:r>
      <w:r>
        <w:rPr>
          <w:spacing w:val="-3"/>
          <w:sz w:val="18"/>
        </w:rPr>
        <w:t> </w:t>
      </w:r>
      <w:r>
        <w:rPr>
          <w:sz w:val="18"/>
        </w:rPr>
        <w:t>2018</w:t>
      </w:r>
      <w:r>
        <w:rPr>
          <w:spacing w:val="-2"/>
          <w:sz w:val="18"/>
        </w:rPr>
        <w:t> </w:t>
      </w:r>
      <w:r>
        <w:rPr>
          <w:sz w:val="18"/>
        </w:rPr>
        <w:t>Central</w:t>
      </w:r>
      <w:r>
        <w:rPr>
          <w:spacing w:val="-3"/>
          <w:sz w:val="18"/>
        </w:rPr>
        <w:t> </w:t>
      </w:r>
      <w:r>
        <w:rPr>
          <w:sz w:val="18"/>
        </w:rPr>
        <w:t>Bank</w:t>
      </w:r>
      <w:r>
        <w:rPr>
          <w:spacing w:val="-2"/>
          <w:sz w:val="18"/>
        </w:rPr>
        <w:t> </w:t>
      </w:r>
      <w:r>
        <w:rPr>
          <w:sz w:val="18"/>
        </w:rPr>
        <w:t>of</w:t>
      </w:r>
      <w:r>
        <w:rPr>
          <w:spacing w:val="-3"/>
          <w:sz w:val="18"/>
        </w:rPr>
        <w:t> </w:t>
      </w:r>
      <w:r>
        <w:rPr>
          <w:sz w:val="18"/>
        </w:rPr>
        <w:t>Solomon</w:t>
      </w:r>
      <w:r>
        <w:rPr>
          <w:spacing w:val="-3"/>
          <w:sz w:val="18"/>
        </w:rPr>
        <w:t> </w:t>
      </w:r>
      <w:r>
        <w:rPr>
          <w:sz w:val="18"/>
        </w:rPr>
        <w:t>Island’s</w:t>
      </w:r>
      <w:r>
        <w:rPr>
          <w:spacing w:val="-3"/>
          <w:sz w:val="18"/>
        </w:rPr>
        <w:t> </w:t>
      </w:r>
      <w:r>
        <w:rPr>
          <w:sz w:val="18"/>
        </w:rPr>
        <w:t>Annual</w:t>
      </w:r>
      <w:r>
        <w:rPr>
          <w:spacing w:val="-3"/>
          <w:sz w:val="18"/>
        </w:rPr>
        <w:t> </w:t>
      </w:r>
      <w:r>
        <w:rPr>
          <w:sz w:val="18"/>
        </w:rPr>
        <w:t>Reports. Ministry</w:t>
      </w:r>
      <w:r>
        <w:rPr>
          <w:spacing w:val="-2"/>
          <w:sz w:val="18"/>
        </w:rPr>
        <w:t> </w:t>
      </w:r>
      <w:r>
        <w:rPr>
          <w:sz w:val="18"/>
        </w:rPr>
        <w:t>of Finance</w:t>
      </w:r>
      <w:r>
        <w:rPr>
          <w:spacing w:val="-3"/>
          <w:sz w:val="18"/>
        </w:rPr>
        <w:t> </w:t>
      </w:r>
      <w:r>
        <w:rPr>
          <w:sz w:val="18"/>
        </w:rPr>
        <w:t>forecast</w:t>
      </w:r>
      <w:r>
        <w:rPr>
          <w:spacing w:val="-2"/>
          <w:sz w:val="18"/>
        </w:rPr>
        <w:t> </w:t>
      </w:r>
      <w:r>
        <w:rPr>
          <w:sz w:val="18"/>
        </w:rPr>
        <w:t>for</w:t>
      </w:r>
      <w:r>
        <w:rPr>
          <w:spacing w:val="-2"/>
          <w:sz w:val="18"/>
        </w:rPr>
        <w:t> </w:t>
      </w:r>
      <w:r>
        <w:rPr>
          <w:sz w:val="18"/>
        </w:rPr>
        <w:t>2018</w:t>
      </w:r>
      <w:r>
        <w:rPr>
          <w:spacing w:val="-2"/>
          <w:sz w:val="18"/>
        </w:rPr>
        <w:t> </w:t>
      </w:r>
      <w:r>
        <w:rPr>
          <w:sz w:val="18"/>
        </w:rPr>
        <w:t>was</w:t>
      </w:r>
      <w:r>
        <w:rPr>
          <w:spacing w:val="-3"/>
          <w:sz w:val="18"/>
        </w:rPr>
        <w:t> </w:t>
      </w:r>
      <w:r>
        <w:rPr>
          <w:sz w:val="18"/>
        </w:rPr>
        <w:t>2</w:t>
      </w:r>
      <w:r>
        <w:rPr>
          <w:spacing w:val="-2"/>
          <w:sz w:val="18"/>
        </w:rPr>
        <w:t> </w:t>
      </w:r>
      <w:r>
        <w:rPr>
          <w:sz w:val="18"/>
        </w:rPr>
        <w:t>per</w:t>
      </w:r>
      <w:r>
        <w:rPr>
          <w:spacing w:val="-2"/>
          <w:sz w:val="18"/>
        </w:rPr>
        <w:t> </w:t>
      </w:r>
      <w:r>
        <w:rPr>
          <w:sz w:val="18"/>
        </w:rPr>
        <w:t>cent. </w:t>
      </w:r>
      <w:hyperlink r:id="rId12">
        <w:r>
          <w:rPr>
            <w:spacing w:val="-2"/>
            <w:sz w:val="18"/>
          </w:rPr>
          <w:t>http://www.mof.gov.sb/Libraries/2018_Budget_Books/2018_Volume_1.sflb.ashx</w:t>
        </w:r>
      </w:hyperlink>
    </w:p>
    <w:p>
      <w:pPr>
        <w:spacing w:after="0"/>
        <w:jc w:val="left"/>
        <w:rPr>
          <w:sz w:val="18"/>
        </w:rPr>
        <w:sectPr>
          <w:pgSz w:w="11900" w:h="16850"/>
          <w:pgMar w:header="867" w:footer="830" w:top="1060" w:bottom="1020" w:left="1220" w:right="180"/>
        </w:sectPr>
      </w:pPr>
    </w:p>
    <w:p>
      <w:pPr>
        <w:pStyle w:val="BodyText"/>
        <w:rPr>
          <w:sz w:val="20"/>
        </w:rPr>
      </w:pPr>
    </w:p>
    <w:p>
      <w:pPr>
        <w:pStyle w:val="BodyText"/>
        <w:rPr>
          <w:sz w:val="20"/>
        </w:rPr>
      </w:pPr>
    </w:p>
    <w:p>
      <w:pPr>
        <w:pStyle w:val="BodyText"/>
        <w:spacing w:before="2"/>
        <w:rPr>
          <w:sz w:val="11"/>
        </w:rPr>
      </w:pPr>
    </w:p>
    <w:p>
      <w:pPr>
        <w:pStyle w:val="BodyText"/>
        <w:ind w:left="220"/>
        <w:rPr>
          <w:sz w:val="20"/>
        </w:rPr>
      </w:pPr>
      <w:r>
        <w:rPr>
          <w:sz w:val="20"/>
        </w:rPr>
        <w:drawing>
          <wp:inline distT="0" distB="0" distL="0" distR="0">
            <wp:extent cx="4583854" cy="2755392"/>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4583854" cy="2755392"/>
                    </a:xfrm>
                    <a:prstGeom prst="rect">
                      <a:avLst/>
                    </a:prstGeom>
                  </pic:spPr>
                </pic:pic>
              </a:graphicData>
            </a:graphic>
          </wp:inline>
        </w:drawing>
      </w:r>
      <w:r>
        <w:rPr>
          <w:sz w:val="20"/>
        </w:rPr>
      </w:r>
    </w:p>
    <w:p>
      <w:pPr>
        <w:pStyle w:val="BodyText"/>
        <w:spacing w:before="8"/>
        <w:rPr>
          <w:sz w:val="12"/>
        </w:rPr>
      </w:pPr>
    </w:p>
    <w:p>
      <w:pPr>
        <w:pStyle w:val="BodyText"/>
        <w:spacing w:before="56"/>
        <w:ind w:left="220"/>
        <w:rPr>
          <w:rFonts w:ascii="Calibri Light"/>
          <w:b w:val="0"/>
        </w:rPr>
      </w:pPr>
      <w:bookmarkStart w:name="_bookmark26" w:id="27"/>
      <w:bookmarkEnd w:id="27"/>
      <w:r>
        <w:rPr/>
      </w:r>
      <w:r>
        <w:rPr>
          <w:rFonts w:ascii="Calibri Light"/>
          <w:b w:val="0"/>
          <w:color w:val="2E5395"/>
          <w:spacing w:val="-2"/>
        </w:rPr>
        <w:t>Figure</w:t>
      </w:r>
      <w:r>
        <w:rPr>
          <w:rFonts w:ascii="Calibri Light"/>
          <w:b w:val="0"/>
          <w:color w:val="2E5395"/>
          <w:spacing w:val="-7"/>
        </w:rPr>
        <w:t> </w:t>
      </w:r>
      <w:r>
        <w:rPr>
          <w:rFonts w:ascii="Calibri Light"/>
          <w:b w:val="0"/>
          <w:color w:val="2E5395"/>
          <w:spacing w:val="-2"/>
        </w:rPr>
        <w:t>2:</w:t>
      </w:r>
      <w:r>
        <w:rPr>
          <w:rFonts w:ascii="Calibri Light"/>
          <w:b w:val="0"/>
          <w:color w:val="2E5395"/>
          <w:spacing w:val="-4"/>
        </w:rPr>
        <w:t> </w:t>
      </w:r>
      <w:r>
        <w:rPr>
          <w:rFonts w:ascii="Calibri Light"/>
          <w:b w:val="0"/>
          <w:color w:val="2E5395"/>
          <w:spacing w:val="-2"/>
        </w:rPr>
        <w:t>Grants</w:t>
      </w:r>
      <w:r>
        <w:rPr>
          <w:rFonts w:ascii="Calibri Light"/>
          <w:b w:val="0"/>
          <w:color w:val="2E5395"/>
          <w:spacing w:val="-5"/>
        </w:rPr>
        <w:t> </w:t>
      </w:r>
      <w:r>
        <w:rPr>
          <w:rFonts w:ascii="Calibri Light"/>
          <w:b w:val="0"/>
          <w:color w:val="2E5395"/>
          <w:spacing w:val="-2"/>
        </w:rPr>
        <w:t>per</w:t>
      </w:r>
      <w:r>
        <w:rPr>
          <w:rFonts w:ascii="Calibri Light"/>
          <w:b w:val="0"/>
          <w:color w:val="2E5395"/>
          <w:spacing w:val="-5"/>
        </w:rPr>
        <w:t> </w:t>
      </w:r>
      <w:r>
        <w:rPr>
          <w:rFonts w:ascii="Calibri Light"/>
          <w:b w:val="0"/>
          <w:color w:val="2E5395"/>
          <w:spacing w:val="-2"/>
        </w:rPr>
        <w:t>Student</w:t>
      </w:r>
      <w:r>
        <w:rPr>
          <w:rFonts w:ascii="Calibri Light"/>
          <w:b w:val="0"/>
          <w:color w:val="2E5395"/>
          <w:spacing w:val="-1"/>
        </w:rPr>
        <w:t> </w:t>
      </w:r>
      <w:r>
        <w:rPr>
          <w:rFonts w:ascii="Calibri Light"/>
          <w:b w:val="0"/>
          <w:color w:val="2E5395"/>
          <w:spacing w:val="-2"/>
        </w:rPr>
        <w:t>primary</w:t>
      </w:r>
      <w:r>
        <w:rPr>
          <w:rFonts w:ascii="Calibri Light"/>
          <w:b w:val="0"/>
          <w:color w:val="2E5395"/>
          <w:spacing w:val="-6"/>
        </w:rPr>
        <w:t> </w:t>
      </w:r>
      <w:r>
        <w:rPr>
          <w:rFonts w:ascii="Calibri Light"/>
          <w:b w:val="0"/>
          <w:color w:val="2E5395"/>
          <w:spacing w:val="-2"/>
        </w:rPr>
        <w:t>and</w:t>
      </w:r>
      <w:r>
        <w:rPr>
          <w:rFonts w:ascii="Calibri Light"/>
          <w:b w:val="0"/>
          <w:color w:val="2E5395"/>
          <w:spacing w:val="-6"/>
        </w:rPr>
        <w:t> </w:t>
      </w:r>
      <w:r>
        <w:rPr>
          <w:rFonts w:ascii="Calibri Light"/>
          <w:b w:val="0"/>
          <w:color w:val="2E5395"/>
          <w:spacing w:val="-2"/>
        </w:rPr>
        <w:t>secondary</w:t>
      </w:r>
      <w:r>
        <w:rPr>
          <w:rFonts w:ascii="Calibri Light"/>
          <w:b w:val="0"/>
          <w:color w:val="2E5395"/>
          <w:spacing w:val="-3"/>
        </w:rPr>
        <w:t> </w:t>
      </w:r>
      <w:r>
        <w:rPr>
          <w:rFonts w:ascii="Calibri Light"/>
          <w:b w:val="0"/>
          <w:color w:val="2E5395"/>
          <w:spacing w:val="-2"/>
        </w:rPr>
        <w:t>recurrent</w:t>
      </w:r>
      <w:r>
        <w:rPr>
          <w:rFonts w:ascii="Calibri Light"/>
          <w:b w:val="0"/>
          <w:color w:val="2E5395"/>
          <w:spacing w:val="-3"/>
        </w:rPr>
        <w:t> </w:t>
      </w:r>
      <w:r>
        <w:rPr>
          <w:rFonts w:ascii="Calibri Light"/>
          <w:b w:val="0"/>
          <w:color w:val="2E5395"/>
          <w:spacing w:val="-2"/>
        </w:rPr>
        <w:t>2017-2018.</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14"/>
        </w:rPr>
      </w:pPr>
      <w:r>
        <w:rPr/>
        <w:drawing>
          <wp:anchor distT="0" distB="0" distL="0" distR="0" allowOverlap="1" layoutInCell="1" locked="0" behindDoc="0" simplePos="0" relativeHeight="8">
            <wp:simplePos x="0" y="0"/>
            <wp:positionH relativeFrom="page">
              <wp:posOffset>914400</wp:posOffset>
            </wp:positionH>
            <wp:positionV relativeFrom="paragraph">
              <wp:posOffset>127253</wp:posOffset>
            </wp:positionV>
            <wp:extent cx="4964825" cy="3225641"/>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4964825" cy="3225641"/>
                    </a:xfrm>
                    <a:prstGeom prst="rect">
                      <a:avLst/>
                    </a:prstGeom>
                  </pic:spPr>
                </pic:pic>
              </a:graphicData>
            </a:graphic>
          </wp:anchor>
        </w:drawing>
      </w:r>
    </w:p>
    <w:p>
      <w:pPr>
        <w:pStyle w:val="BodyText"/>
        <w:spacing w:before="191"/>
        <w:ind w:left="220"/>
        <w:rPr>
          <w:rFonts w:ascii="Calibri Light"/>
          <w:b w:val="0"/>
        </w:rPr>
      </w:pPr>
      <w:bookmarkStart w:name="_bookmark27" w:id="28"/>
      <w:bookmarkEnd w:id="28"/>
      <w:r>
        <w:rPr/>
      </w:r>
      <w:r>
        <w:rPr>
          <w:rFonts w:ascii="Calibri Light"/>
          <w:b w:val="0"/>
          <w:color w:val="2E5395"/>
        </w:rPr>
        <w:t>Figure</w:t>
      </w:r>
      <w:r>
        <w:rPr>
          <w:rFonts w:ascii="Calibri Light"/>
          <w:b w:val="0"/>
          <w:color w:val="2E5395"/>
          <w:spacing w:val="-13"/>
        </w:rPr>
        <w:t> </w:t>
      </w:r>
      <w:r>
        <w:rPr>
          <w:rFonts w:ascii="Calibri Light"/>
          <w:b w:val="0"/>
          <w:color w:val="2E5395"/>
        </w:rPr>
        <w:t>3:</w:t>
      </w:r>
      <w:r>
        <w:rPr>
          <w:rFonts w:ascii="Calibri Light"/>
          <w:b w:val="0"/>
          <w:color w:val="2E5395"/>
          <w:spacing w:val="-12"/>
        </w:rPr>
        <w:t> </w:t>
      </w:r>
      <w:r>
        <w:rPr>
          <w:rFonts w:ascii="Calibri Light"/>
          <w:b w:val="0"/>
          <w:color w:val="2E5395"/>
        </w:rPr>
        <w:t>Basic</w:t>
      </w:r>
      <w:r>
        <w:rPr>
          <w:rFonts w:ascii="Calibri Light"/>
          <w:b w:val="0"/>
          <w:color w:val="2E5395"/>
          <w:spacing w:val="-12"/>
        </w:rPr>
        <w:t> </w:t>
      </w:r>
      <w:r>
        <w:rPr>
          <w:rFonts w:ascii="Calibri Light"/>
          <w:b w:val="0"/>
          <w:color w:val="2E5395"/>
        </w:rPr>
        <w:t>and</w:t>
      </w:r>
      <w:r>
        <w:rPr>
          <w:rFonts w:ascii="Calibri Light"/>
          <w:b w:val="0"/>
          <w:color w:val="2E5395"/>
          <w:spacing w:val="-12"/>
        </w:rPr>
        <w:t> </w:t>
      </w:r>
      <w:r>
        <w:rPr>
          <w:rFonts w:ascii="Calibri Light"/>
          <w:b w:val="0"/>
          <w:color w:val="2E5395"/>
        </w:rPr>
        <w:t>Senior</w:t>
      </w:r>
      <w:r>
        <w:rPr>
          <w:rFonts w:ascii="Calibri Light"/>
          <w:b w:val="0"/>
          <w:color w:val="2E5395"/>
          <w:spacing w:val="-10"/>
        </w:rPr>
        <w:t> </w:t>
      </w:r>
      <w:r>
        <w:rPr>
          <w:rFonts w:ascii="Calibri Light"/>
          <w:b w:val="0"/>
          <w:color w:val="2E5395"/>
        </w:rPr>
        <w:t>Education</w:t>
      </w:r>
      <w:r>
        <w:rPr>
          <w:rFonts w:ascii="Calibri Light"/>
          <w:b w:val="0"/>
          <w:color w:val="2E5395"/>
          <w:spacing w:val="-12"/>
        </w:rPr>
        <w:t> </w:t>
      </w:r>
      <w:r>
        <w:rPr>
          <w:rFonts w:ascii="Calibri Light"/>
          <w:b w:val="0"/>
          <w:color w:val="2E5395"/>
        </w:rPr>
        <w:t>Grants</w:t>
      </w:r>
      <w:r>
        <w:rPr>
          <w:rFonts w:ascii="Calibri Light"/>
          <w:b w:val="0"/>
          <w:color w:val="2E5395"/>
          <w:spacing w:val="-13"/>
        </w:rPr>
        <w:t> </w:t>
      </w:r>
      <w:r>
        <w:rPr>
          <w:rFonts w:ascii="Calibri Light"/>
          <w:b w:val="0"/>
          <w:color w:val="2E5395"/>
        </w:rPr>
        <w:t>2016</w:t>
      </w:r>
      <w:r>
        <w:rPr>
          <w:rFonts w:ascii="Calibri Light"/>
          <w:b w:val="0"/>
          <w:color w:val="2E5395"/>
          <w:spacing w:val="-12"/>
        </w:rPr>
        <w:t> </w:t>
      </w:r>
      <w:r>
        <w:rPr>
          <w:rFonts w:ascii="Calibri Light"/>
          <w:b w:val="0"/>
          <w:color w:val="2E5395"/>
        </w:rPr>
        <w:t>to</w:t>
      </w:r>
      <w:r>
        <w:rPr>
          <w:rFonts w:ascii="Calibri Light"/>
          <w:b w:val="0"/>
          <w:color w:val="2E5395"/>
          <w:spacing w:val="-12"/>
        </w:rPr>
        <w:t> </w:t>
      </w:r>
      <w:r>
        <w:rPr>
          <w:rFonts w:ascii="Calibri Light"/>
          <w:b w:val="0"/>
          <w:color w:val="2E5395"/>
        </w:rPr>
        <w:t>2018</w:t>
      </w:r>
      <w:r>
        <w:rPr>
          <w:rFonts w:ascii="Calibri Light"/>
          <w:b w:val="0"/>
          <w:color w:val="2E5395"/>
          <w:spacing w:val="-11"/>
        </w:rPr>
        <w:t> </w:t>
      </w:r>
      <w:r>
        <w:rPr>
          <w:rFonts w:ascii="Calibri Light"/>
          <w:b w:val="0"/>
          <w:color w:val="2E5395"/>
        </w:rPr>
        <w:t>in</w:t>
      </w:r>
      <w:r>
        <w:rPr>
          <w:rFonts w:ascii="Calibri Light"/>
          <w:b w:val="0"/>
          <w:color w:val="2E5395"/>
          <w:spacing w:val="-12"/>
        </w:rPr>
        <w:t> </w:t>
      </w:r>
      <w:r>
        <w:rPr>
          <w:rFonts w:ascii="Calibri Light"/>
          <w:b w:val="0"/>
          <w:color w:val="2E5395"/>
        </w:rPr>
        <w:t>SBD</w:t>
      </w:r>
      <w:r>
        <w:rPr>
          <w:rFonts w:ascii="Calibri Light"/>
          <w:b w:val="0"/>
          <w:color w:val="2E5395"/>
          <w:spacing w:val="-12"/>
        </w:rPr>
        <w:t> </w:t>
      </w:r>
      <w:r>
        <w:rPr>
          <w:rFonts w:ascii="Calibri Light"/>
          <w:b w:val="0"/>
          <w:color w:val="2E5395"/>
          <w:spacing w:val="-2"/>
        </w:rPr>
        <w:t>millions.</w:t>
      </w:r>
    </w:p>
    <w:p>
      <w:pPr>
        <w:spacing w:after="0"/>
        <w:rPr>
          <w:rFonts w:ascii="Calibri Light"/>
        </w:rPr>
        <w:sectPr>
          <w:pgSz w:w="11900" w:h="16850"/>
          <w:pgMar w:header="867" w:footer="830" w:top="1060" w:bottom="1020" w:left="1220" w:right="180"/>
        </w:sectPr>
      </w:pPr>
    </w:p>
    <w:p>
      <w:pPr>
        <w:pStyle w:val="BodyText"/>
        <w:rPr>
          <w:rFonts w:ascii="Calibri Light"/>
          <w:b w:val="0"/>
          <w:sz w:val="20"/>
        </w:rPr>
      </w:pPr>
    </w:p>
    <w:p>
      <w:pPr>
        <w:pStyle w:val="BodyText"/>
        <w:spacing w:before="11"/>
        <w:rPr>
          <w:rFonts w:ascii="Calibri Light"/>
          <w:b w:val="0"/>
          <w:sz w:val="26"/>
        </w:rPr>
      </w:pPr>
    </w:p>
    <w:p>
      <w:pPr>
        <w:pStyle w:val="Heading4"/>
        <w:numPr>
          <w:ilvl w:val="2"/>
          <w:numId w:val="7"/>
        </w:numPr>
        <w:tabs>
          <w:tab w:pos="940" w:val="left" w:leader="none"/>
          <w:tab w:pos="941" w:val="left" w:leader="none"/>
        </w:tabs>
        <w:spacing w:line="240" w:lineRule="auto" w:before="52" w:after="0"/>
        <w:ind w:left="940" w:right="0" w:hanging="721"/>
        <w:jc w:val="left"/>
        <w:rPr>
          <w:b w:val="0"/>
        </w:rPr>
      </w:pPr>
      <w:bookmarkStart w:name="_bookmark28" w:id="29"/>
      <w:bookmarkEnd w:id="29"/>
      <w:r>
        <w:rPr>
          <w:b w:val="0"/>
          <w:color w:val="4471C4"/>
        </w:rPr>
        <w:t>T</w:t>
      </w:r>
      <w:r>
        <w:rPr>
          <w:b w:val="0"/>
          <w:color w:val="4471C4"/>
        </w:rPr>
        <w:t>arget</w:t>
      </w:r>
      <w:r>
        <w:rPr>
          <w:b w:val="0"/>
          <w:color w:val="4471C4"/>
          <w:spacing w:val="20"/>
        </w:rPr>
        <w:t> </w:t>
      </w:r>
      <w:r>
        <w:rPr>
          <w:b w:val="0"/>
          <w:color w:val="4471C4"/>
        </w:rPr>
        <w:t>3.5:</w:t>
      </w:r>
      <w:r>
        <w:rPr>
          <w:b w:val="0"/>
          <w:color w:val="4471C4"/>
          <w:spacing w:val="22"/>
        </w:rPr>
        <w:t> </w:t>
      </w:r>
      <w:r>
        <w:rPr>
          <w:b w:val="0"/>
          <w:color w:val="4471C4"/>
        </w:rPr>
        <w:t>Solomon</w:t>
      </w:r>
      <w:r>
        <w:rPr>
          <w:b w:val="0"/>
          <w:color w:val="4471C4"/>
          <w:spacing w:val="18"/>
        </w:rPr>
        <w:t> </w:t>
      </w:r>
      <w:r>
        <w:rPr>
          <w:b w:val="0"/>
          <w:color w:val="4471C4"/>
        </w:rPr>
        <w:t>Islands</w:t>
      </w:r>
      <w:r>
        <w:rPr>
          <w:b w:val="0"/>
          <w:color w:val="4471C4"/>
          <w:spacing w:val="23"/>
        </w:rPr>
        <w:t> </w:t>
      </w:r>
      <w:r>
        <w:rPr>
          <w:b w:val="0"/>
          <w:color w:val="4471C4"/>
        </w:rPr>
        <w:t>Government</w:t>
      </w:r>
      <w:r>
        <w:rPr>
          <w:b w:val="0"/>
          <w:color w:val="4471C4"/>
          <w:spacing w:val="23"/>
        </w:rPr>
        <w:t> </w:t>
      </w:r>
      <w:r>
        <w:rPr>
          <w:b w:val="0"/>
          <w:color w:val="4471C4"/>
        </w:rPr>
        <w:t>Scholarships</w:t>
      </w:r>
      <w:r>
        <w:rPr>
          <w:b w:val="0"/>
          <w:color w:val="4471C4"/>
          <w:spacing w:val="20"/>
        </w:rPr>
        <w:t> </w:t>
      </w:r>
      <w:r>
        <w:rPr>
          <w:b w:val="0"/>
          <w:color w:val="4471C4"/>
        </w:rPr>
        <w:t>are</w:t>
      </w:r>
      <w:r>
        <w:rPr>
          <w:b w:val="0"/>
          <w:color w:val="4471C4"/>
          <w:spacing w:val="34"/>
        </w:rPr>
        <w:t> </w:t>
      </w:r>
      <w:r>
        <w:rPr>
          <w:b w:val="0"/>
          <w:color w:val="4471C4"/>
          <w:spacing w:val="-2"/>
        </w:rPr>
        <w:t>sustainable.</w:t>
      </w:r>
    </w:p>
    <w:p>
      <w:pPr>
        <w:pStyle w:val="BodyText"/>
        <w:rPr>
          <w:rFonts w:ascii="Calibri Light"/>
          <w:b w:val="0"/>
          <w:sz w:val="20"/>
        </w:rPr>
      </w:pPr>
    </w:p>
    <w:p>
      <w:pPr>
        <w:pStyle w:val="BodyText"/>
        <w:rPr>
          <w:rFonts w:ascii="Calibri Light"/>
          <w:b w:val="0"/>
          <w:sz w:val="20"/>
        </w:rPr>
      </w:pPr>
    </w:p>
    <w:p>
      <w:pPr>
        <w:pStyle w:val="BodyText"/>
        <w:spacing w:before="2"/>
        <w:rPr>
          <w:rFonts w:ascii="Calibri Light"/>
          <w:b w:val="0"/>
          <w:sz w:val="19"/>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491"/>
        <w:gridCol w:w="2564"/>
        <w:gridCol w:w="1753"/>
      </w:tblGrid>
      <w:tr>
        <w:trPr>
          <w:trHeight w:val="643" w:hRule="atLeast"/>
        </w:trPr>
        <w:tc>
          <w:tcPr>
            <w:tcW w:w="2491" w:type="dxa"/>
            <w:tcBorders>
              <w:left w:val="single" w:sz="6" w:space="0" w:color="4471C4"/>
              <w:right w:val="single" w:sz="6" w:space="0" w:color="4471C4"/>
            </w:tcBorders>
            <w:shd w:val="clear" w:color="auto" w:fill="B4C5E7"/>
          </w:tcPr>
          <w:p>
            <w:pPr>
              <w:pStyle w:val="TableParagraph"/>
              <w:rPr>
                <w:rFonts w:ascii="Calibri Light"/>
                <w:b w:val="0"/>
                <w:sz w:val="18"/>
              </w:rPr>
            </w:pPr>
          </w:p>
          <w:p>
            <w:pPr>
              <w:pStyle w:val="TableParagraph"/>
              <w:spacing w:before="1"/>
              <w:ind w:left="149"/>
              <w:rPr>
                <w:b/>
                <w:sz w:val="17"/>
              </w:rPr>
            </w:pPr>
            <w:r>
              <w:rPr>
                <w:b/>
                <w:w w:val="135"/>
                <w:sz w:val="17"/>
              </w:rPr>
              <w:t>Performance</w:t>
            </w:r>
            <w:r>
              <w:rPr>
                <w:b/>
                <w:spacing w:val="-13"/>
                <w:w w:val="135"/>
                <w:sz w:val="17"/>
              </w:rPr>
              <w:t> </w:t>
            </w:r>
            <w:r>
              <w:rPr>
                <w:b/>
                <w:spacing w:val="-2"/>
                <w:w w:val="135"/>
                <w:sz w:val="17"/>
              </w:rPr>
              <w:t>Indicators</w:t>
            </w:r>
          </w:p>
        </w:tc>
        <w:tc>
          <w:tcPr>
            <w:tcW w:w="2564" w:type="dxa"/>
            <w:tcBorders>
              <w:left w:val="single" w:sz="6" w:space="0" w:color="4471C4"/>
              <w:right w:val="single" w:sz="6" w:space="0" w:color="4471C4"/>
            </w:tcBorders>
            <w:shd w:val="clear" w:color="auto" w:fill="B4C5E7"/>
          </w:tcPr>
          <w:p>
            <w:pPr>
              <w:pStyle w:val="TableParagraph"/>
              <w:spacing w:line="271" w:lineRule="auto" w:before="109"/>
              <w:ind w:left="718" w:hanging="267"/>
              <w:rPr>
                <w:b/>
                <w:sz w:val="17"/>
              </w:rPr>
            </w:pPr>
            <w:r>
              <w:rPr>
                <w:b/>
                <w:w w:val="135"/>
                <w:sz w:val="17"/>
              </w:rPr>
              <w:t>Expected</w:t>
            </w:r>
            <w:r>
              <w:rPr>
                <w:b/>
                <w:spacing w:val="-12"/>
                <w:w w:val="135"/>
                <w:sz w:val="17"/>
              </w:rPr>
              <w:t> </w:t>
            </w:r>
            <w:r>
              <w:rPr>
                <w:b/>
                <w:w w:val="135"/>
                <w:sz w:val="17"/>
              </w:rPr>
              <w:t>Results </w:t>
            </w:r>
            <w:r>
              <w:rPr>
                <w:b/>
                <w:spacing w:val="-2"/>
                <w:w w:val="135"/>
                <w:sz w:val="17"/>
              </w:rPr>
              <w:t>Statements</w:t>
            </w:r>
          </w:p>
        </w:tc>
        <w:tc>
          <w:tcPr>
            <w:tcW w:w="1753" w:type="dxa"/>
            <w:tcBorders>
              <w:left w:val="single" w:sz="6" w:space="0" w:color="4471C4"/>
              <w:right w:val="single" w:sz="6" w:space="0" w:color="4471C4"/>
            </w:tcBorders>
            <w:shd w:val="clear" w:color="auto" w:fill="B4C5E7"/>
          </w:tcPr>
          <w:p>
            <w:pPr>
              <w:pStyle w:val="TableParagraph"/>
              <w:rPr>
                <w:rFonts w:ascii="Calibri Light"/>
                <w:b w:val="0"/>
                <w:sz w:val="18"/>
              </w:rPr>
            </w:pPr>
          </w:p>
          <w:p>
            <w:pPr>
              <w:pStyle w:val="TableParagraph"/>
              <w:spacing w:before="1"/>
              <w:ind w:left="625" w:right="609"/>
              <w:jc w:val="center"/>
              <w:rPr>
                <w:b/>
                <w:sz w:val="17"/>
              </w:rPr>
            </w:pPr>
            <w:r>
              <w:rPr>
                <w:b/>
                <w:spacing w:val="-5"/>
                <w:w w:val="135"/>
                <w:sz w:val="17"/>
              </w:rPr>
              <w:t>IA</w:t>
            </w:r>
          </w:p>
        </w:tc>
      </w:tr>
      <w:tr>
        <w:trPr>
          <w:trHeight w:val="261" w:hRule="atLeast"/>
        </w:trPr>
        <w:tc>
          <w:tcPr>
            <w:tcW w:w="2491" w:type="dxa"/>
            <w:tcBorders>
              <w:left w:val="single" w:sz="6" w:space="0" w:color="4471C4"/>
              <w:bottom w:val="nil"/>
              <w:right w:val="single" w:sz="6" w:space="0" w:color="4471C4"/>
            </w:tcBorders>
          </w:tcPr>
          <w:p>
            <w:pPr>
              <w:pStyle w:val="TableParagraph"/>
              <w:spacing w:before="6"/>
              <w:ind w:left="40"/>
              <w:rPr>
                <w:sz w:val="17"/>
              </w:rPr>
            </w:pPr>
            <w:r>
              <w:rPr>
                <w:w w:val="130"/>
                <w:sz w:val="17"/>
              </w:rPr>
              <w:t>3.5.1</w:t>
            </w:r>
            <w:r>
              <w:rPr>
                <w:spacing w:val="38"/>
                <w:w w:val="130"/>
                <w:sz w:val="17"/>
              </w:rPr>
              <w:t> </w:t>
            </w:r>
            <w:r>
              <w:rPr>
                <w:w w:val="130"/>
                <w:sz w:val="17"/>
              </w:rPr>
              <w:t>The</w:t>
            </w:r>
            <w:r>
              <w:rPr>
                <w:spacing w:val="-4"/>
                <w:w w:val="130"/>
                <w:sz w:val="17"/>
              </w:rPr>
              <w:t> </w:t>
            </w:r>
            <w:r>
              <w:rPr>
                <w:w w:val="130"/>
                <w:sz w:val="17"/>
              </w:rPr>
              <w:t>total</w:t>
            </w:r>
            <w:r>
              <w:rPr>
                <w:spacing w:val="-7"/>
                <w:w w:val="130"/>
                <w:sz w:val="17"/>
              </w:rPr>
              <w:t> </w:t>
            </w:r>
            <w:r>
              <w:rPr>
                <w:w w:val="130"/>
                <w:sz w:val="17"/>
              </w:rPr>
              <w:t>of new</w:t>
            </w:r>
            <w:r>
              <w:rPr>
                <w:spacing w:val="-3"/>
                <w:w w:val="130"/>
                <w:sz w:val="17"/>
              </w:rPr>
              <w:t> </w:t>
            </w:r>
            <w:r>
              <w:rPr>
                <w:spacing w:val="-5"/>
                <w:w w:val="130"/>
                <w:sz w:val="17"/>
              </w:rPr>
              <w:t>SIG</w:t>
            </w:r>
          </w:p>
        </w:tc>
        <w:tc>
          <w:tcPr>
            <w:tcW w:w="2564" w:type="dxa"/>
            <w:tcBorders>
              <w:left w:val="single" w:sz="6" w:space="0" w:color="4471C4"/>
              <w:bottom w:val="nil"/>
              <w:right w:val="single" w:sz="6" w:space="0" w:color="4471C4"/>
            </w:tcBorders>
          </w:tcPr>
          <w:p>
            <w:pPr>
              <w:pStyle w:val="TableParagraph"/>
              <w:spacing w:before="6"/>
              <w:ind w:left="41"/>
              <w:rPr>
                <w:sz w:val="17"/>
              </w:rPr>
            </w:pPr>
            <w:r>
              <w:rPr>
                <w:w w:val="125"/>
                <w:sz w:val="17"/>
              </w:rPr>
              <w:t>SIEMIS</w:t>
            </w:r>
            <w:r>
              <w:rPr>
                <w:spacing w:val="3"/>
                <w:w w:val="125"/>
                <w:sz w:val="17"/>
              </w:rPr>
              <w:t> </w:t>
            </w:r>
            <w:r>
              <w:rPr>
                <w:w w:val="125"/>
                <w:sz w:val="17"/>
              </w:rPr>
              <w:t>Expenditure</w:t>
            </w:r>
            <w:r>
              <w:rPr>
                <w:spacing w:val="8"/>
                <w:w w:val="125"/>
                <w:sz w:val="17"/>
              </w:rPr>
              <w:t> </w:t>
            </w:r>
            <w:r>
              <w:rPr>
                <w:spacing w:val="-2"/>
                <w:w w:val="125"/>
                <w:sz w:val="17"/>
              </w:rPr>
              <w:t>Report</w:t>
            </w:r>
          </w:p>
        </w:tc>
        <w:tc>
          <w:tcPr>
            <w:tcW w:w="1753" w:type="dxa"/>
            <w:tcBorders>
              <w:left w:val="single" w:sz="6" w:space="0" w:color="4471C4"/>
              <w:bottom w:val="nil"/>
              <w:right w:val="single" w:sz="6" w:space="0" w:color="4471C4"/>
            </w:tcBorders>
            <w:shd w:val="clear" w:color="auto" w:fill="FFC000"/>
          </w:tcPr>
          <w:p>
            <w:pPr>
              <w:pStyle w:val="TableParagraph"/>
              <w:spacing w:line="226" w:lineRule="exact" w:before="14"/>
              <w:ind w:left="625" w:right="620"/>
              <w:jc w:val="center"/>
              <w:rPr>
                <w:sz w:val="20"/>
              </w:rPr>
            </w:pPr>
            <w:r>
              <w:rPr>
                <w:spacing w:val="-5"/>
                <w:w w:val="135"/>
                <w:sz w:val="20"/>
              </w:rPr>
              <w:t>70%</w:t>
            </w:r>
          </w:p>
        </w:tc>
      </w:tr>
      <w:tr>
        <w:trPr>
          <w:trHeight w:val="200" w:hRule="atLeast"/>
        </w:trPr>
        <w:tc>
          <w:tcPr>
            <w:tcW w:w="2491" w:type="dxa"/>
            <w:tcBorders>
              <w:top w:val="nil"/>
              <w:left w:val="single" w:sz="6" w:space="0" w:color="4471C4"/>
              <w:bottom w:val="nil"/>
              <w:right w:val="single" w:sz="6" w:space="0" w:color="4471C4"/>
            </w:tcBorders>
          </w:tcPr>
          <w:p>
            <w:pPr>
              <w:pStyle w:val="TableParagraph"/>
              <w:spacing w:line="176" w:lineRule="exact"/>
              <w:ind w:left="40"/>
              <w:rPr>
                <w:sz w:val="17"/>
              </w:rPr>
            </w:pPr>
            <w:r>
              <w:rPr>
                <w:w w:val="125"/>
                <w:sz w:val="17"/>
              </w:rPr>
              <w:t>scholarship</w:t>
            </w:r>
            <w:r>
              <w:rPr>
                <w:spacing w:val="6"/>
                <w:w w:val="130"/>
                <w:sz w:val="17"/>
              </w:rPr>
              <w:t> </w:t>
            </w:r>
            <w:r>
              <w:rPr>
                <w:spacing w:val="-2"/>
                <w:w w:val="130"/>
                <w:sz w:val="17"/>
              </w:rPr>
              <w:t>awards</w:t>
            </w:r>
          </w:p>
        </w:tc>
        <w:tc>
          <w:tcPr>
            <w:tcW w:w="2564" w:type="dxa"/>
            <w:tcBorders>
              <w:top w:val="nil"/>
              <w:left w:val="single" w:sz="6" w:space="0" w:color="4471C4"/>
              <w:bottom w:val="nil"/>
              <w:right w:val="single" w:sz="6" w:space="0" w:color="4471C4"/>
            </w:tcBorders>
          </w:tcPr>
          <w:p>
            <w:pPr>
              <w:pStyle w:val="TableParagraph"/>
              <w:spacing w:line="176" w:lineRule="exact"/>
              <w:ind w:left="41"/>
              <w:rPr>
                <w:sz w:val="17"/>
              </w:rPr>
            </w:pPr>
            <w:r>
              <w:rPr>
                <w:spacing w:val="-2"/>
                <w:w w:val="130"/>
                <w:sz w:val="17"/>
              </w:rPr>
              <w:t>as</w:t>
            </w:r>
            <w:r>
              <w:rPr>
                <w:spacing w:val="-9"/>
                <w:w w:val="130"/>
                <w:sz w:val="17"/>
              </w:rPr>
              <w:t> </w:t>
            </w:r>
            <w:r>
              <w:rPr>
                <w:spacing w:val="-2"/>
                <w:w w:val="130"/>
                <w:sz w:val="17"/>
              </w:rPr>
              <w:t>per</w:t>
            </w:r>
            <w:r>
              <w:rPr>
                <w:spacing w:val="-11"/>
                <w:w w:val="130"/>
                <w:sz w:val="17"/>
              </w:rPr>
              <w:t> </w:t>
            </w:r>
            <w:r>
              <w:rPr>
                <w:spacing w:val="-2"/>
                <w:w w:val="130"/>
                <w:sz w:val="17"/>
              </w:rPr>
              <w:t>2018</w:t>
            </w:r>
            <w:r>
              <w:rPr>
                <w:spacing w:val="-9"/>
                <w:w w:val="130"/>
                <w:sz w:val="17"/>
              </w:rPr>
              <w:t> </w:t>
            </w:r>
            <w:r>
              <w:rPr>
                <w:spacing w:val="-2"/>
                <w:w w:val="130"/>
                <w:sz w:val="17"/>
              </w:rPr>
              <w:t>Annual</w:t>
            </w:r>
            <w:r>
              <w:rPr>
                <w:spacing w:val="-9"/>
                <w:w w:val="130"/>
                <w:sz w:val="17"/>
              </w:rPr>
              <w:t> </w:t>
            </w:r>
            <w:r>
              <w:rPr>
                <w:spacing w:val="-2"/>
                <w:w w:val="130"/>
                <w:sz w:val="17"/>
              </w:rPr>
              <w:t>Report</w:t>
            </w: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2"/>
              </w:rPr>
            </w:pPr>
          </w:p>
        </w:tc>
      </w:tr>
      <w:tr>
        <w:trPr>
          <w:trHeight w:val="224" w:hRule="atLeast"/>
        </w:trPr>
        <w:tc>
          <w:tcPr>
            <w:tcW w:w="2491" w:type="dxa"/>
            <w:tcBorders>
              <w:top w:val="nil"/>
              <w:left w:val="single" w:sz="6" w:space="0" w:color="4471C4"/>
              <w:bottom w:val="nil"/>
              <w:right w:val="single" w:sz="6" w:space="0" w:color="4471C4"/>
            </w:tcBorders>
          </w:tcPr>
          <w:p>
            <w:pPr>
              <w:pStyle w:val="TableParagraph"/>
              <w:spacing w:line="200" w:lineRule="exact"/>
              <w:ind w:left="40"/>
              <w:rPr>
                <w:sz w:val="17"/>
              </w:rPr>
            </w:pPr>
            <w:r>
              <w:rPr>
                <w:w w:val="130"/>
                <w:sz w:val="17"/>
              </w:rPr>
              <w:t>allocated</w:t>
            </w:r>
            <w:r>
              <w:rPr>
                <w:spacing w:val="-11"/>
                <w:w w:val="130"/>
                <w:sz w:val="17"/>
              </w:rPr>
              <w:t> </w:t>
            </w:r>
            <w:r>
              <w:rPr>
                <w:w w:val="130"/>
                <w:sz w:val="17"/>
              </w:rPr>
              <w:t>for</w:t>
            </w:r>
            <w:r>
              <w:rPr>
                <w:spacing w:val="-9"/>
                <w:w w:val="130"/>
                <w:sz w:val="17"/>
              </w:rPr>
              <w:t> </w:t>
            </w:r>
            <w:r>
              <w:rPr>
                <w:w w:val="130"/>
                <w:sz w:val="17"/>
              </w:rPr>
              <w:t>2018</w:t>
            </w:r>
            <w:r>
              <w:rPr>
                <w:spacing w:val="-6"/>
                <w:w w:val="130"/>
                <w:sz w:val="17"/>
              </w:rPr>
              <w:t> </w:t>
            </w:r>
            <w:r>
              <w:rPr>
                <w:w w:val="130"/>
                <w:sz w:val="17"/>
              </w:rPr>
              <w:t>is</w:t>
            </w:r>
            <w:r>
              <w:rPr>
                <w:spacing w:val="-5"/>
                <w:w w:val="130"/>
                <w:sz w:val="17"/>
              </w:rPr>
              <w:t> 700</w:t>
            </w:r>
          </w:p>
        </w:tc>
        <w:tc>
          <w:tcPr>
            <w:tcW w:w="2564" w:type="dxa"/>
            <w:tcBorders>
              <w:top w:val="nil"/>
              <w:left w:val="single" w:sz="6" w:space="0" w:color="4471C4"/>
              <w:bottom w:val="nil"/>
              <w:right w:val="single" w:sz="6" w:space="0" w:color="4471C4"/>
            </w:tcBorders>
          </w:tcPr>
          <w:p>
            <w:pPr>
              <w:pStyle w:val="TableParagraph"/>
              <w:spacing w:line="200" w:lineRule="exact"/>
              <w:ind w:left="41"/>
              <w:rPr>
                <w:sz w:val="17"/>
              </w:rPr>
            </w:pPr>
            <w:r>
              <w:rPr>
                <w:w w:val="130"/>
                <w:sz w:val="17"/>
              </w:rPr>
              <w:t>and</w:t>
            </w:r>
            <w:r>
              <w:rPr>
                <w:spacing w:val="-13"/>
                <w:w w:val="130"/>
                <w:sz w:val="17"/>
              </w:rPr>
              <w:t> </w:t>
            </w:r>
            <w:r>
              <w:rPr>
                <w:w w:val="130"/>
                <w:sz w:val="17"/>
              </w:rPr>
              <w:t>NTU</w:t>
            </w:r>
            <w:r>
              <w:rPr>
                <w:spacing w:val="-6"/>
                <w:w w:val="130"/>
                <w:sz w:val="17"/>
              </w:rPr>
              <w:t> </w:t>
            </w:r>
            <w:r>
              <w:rPr>
                <w:w w:val="130"/>
                <w:sz w:val="17"/>
              </w:rPr>
              <w:t>SIMS</w:t>
            </w:r>
            <w:r>
              <w:rPr>
                <w:spacing w:val="-11"/>
                <w:w w:val="130"/>
                <w:sz w:val="17"/>
              </w:rPr>
              <w:t> </w:t>
            </w:r>
            <w:r>
              <w:rPr>
                <w:w w:val="130"/>
                <w:sz w:val="17"/>
              </w:rPr>
              <w:t>data</w:t>
            </w:r>
            <w:r>
              <w:rPr>
                <w:spacing w:val="-6"/>
                <w:w w:val="130"/>
                <w:sz w:val="17"/>
              </w:rPr>
              <w:t> </w:t>
            </w:r>
            <w:r>
              <w:rPr>
                <w:spacing w:val="-2"/>
                <w:w w:val="130"/>
                <w:sz w:val="17"/>
              </w:rPr>
              <w:t>report</w:t>
            </w: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6"/>
              </w:rPr>
            </w:pPr>
          </w:p>
        </w:tc>
      </w:tr>
      <w:tr>
        <w:trPr>
          <w:trHeight w:val="224" w:hRule="atLeast"/>
        </w:trPr>
        <w:tc>
          <w:tcPr>
            <w:tcW w:w="2491" w:type="dxa"/>
            <w:tcBorders>
              <w:top w:val="nil"/>
              <w:left w:val="single" w:sz="6" w:space="0" w:color="4471C4"/>
              <w:bottom w:val="nil"/>
              <w:right w:val="single" w:sz="6" w:space="0" w:color="4471C4"/>
            </w:tcBorders>
          </w:tcPr>
          <w:p>
            <w:pPr>
              <w:pStyle w:val="TableParagraph"/>
              <w:spacing w:line="200" w:lineRule="exact"/>
              <w:ind w:left="40"/>
              <w:rPr>
                <w:sz w:val="17"/>
              </w:rPr>
            </w:pPr>
            <w:r>
              <w:rPr>
                <w:w w:val="125"/>
                <w:sz w:val="17"/>
              </w:rPr>
              <w:t>or</w:t>
            </w:r>
            <w:r>
              <w:rPr>
                <w:spacing w:val="5"/>
                <w:w w:val="125"/>
                <w:sz w:val="17"/>
              </w:rPr>
              <w:t> </w:t>
            </w:r>
            <w:r>
              <w:rPr>
                <w:w w:val="125"/>
                <w:sz w:val="17"/>
              </w:rPr>
              <w:t>fewer</w:t>
            </w:r>
            <w:r>
              <w:rPr>
                <w:spacing w:val="6"/>
                <w:w w:val="125"/>
                <w:sz w:val="17"/>
              </w:rPr>
              <w:t> </w:t>
            </w:r>
            <w:r>
              <w:rPr>
                <w:w w:val="125"/>
                <w:sz w:val="17"/>
              </w:rPr>
              <w:t>including</w:t>
            </w:r>
            <w:r>
              <w:rPr>
                <w:spacing w:val="2"/>
                <w:w w:val="125"/>
                <w:sz w:val="17"/>
              </w:rPr>
              <w:t> </w:t>
            </w:r>
            <w:r>
              <w:rPr>
                <w:w w:val="125"/>
                <w:sz w:val="17"/>
              </w:rPr>
              <w:t>for</w:t>
            </w:r>
            <w:r>
              <w:rPr>
                <w:spacing w:val="5"/>
                <w:w w:val="125"/>
                <w:sz w:val="17"/>
              </w:rPr>
              <w:t> </w:t>
            </w:r>
            <w:r>
              <w:rPr>
                <w:spacing w:val="-4"/>
                <w:w w:val="125"/>
                <w:sz w:val="17"/>
              </w:rPr>
              <w:t>local</w:t>
            </w:r>
          </w:p>
        </w:tc>
        <w:tc>
          <w:tcPr>
            <w:tcW w:w="2564" w:type="dxa"/>
            <w:tcBorders>
              <w:top w:val="nil"/>
              <w:left w:val="single" w:sz="6" w:space="0" w:color="4471C4"/>
              <w:bottom w:val="nil"/>
              <w:right w:val="single" w:sz="6" w:space="0" w:color="4471C4"/>
            </w:tcBorders>
          </w:tcPr>
          <w:p>
            <w:pPr>
              <w:pStyle w:val="TableParagraph"/>
              <w:spacing w:line="200" w:lineRule="exact"/>
              <w:ind w:left="41"/>
              <w:rPr>
                <w:sz w:val="17"/>
              </w:rPr>
            </w:pPr>
            <w:r>
              <w:rPr>
                <w:spacing w:val="-2"/>
                <w:w w:val="130"/>
                <w:sz w:val="17"/>
              </w:rPr>
              <w:t>(100%)</w:t>
            </w: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6"/>
              </w:rPr>
            </w:pPr>
          </w:p>
        </w:tc>
      </w:tr>
      <w:tr>
        <w:trPr>
          <w:trHeight w:val="224" w:hRule="atLeast"/>
        </w:trPr>
        <w:tc>
          <w:tcPr>
            <w:tcW w:w="2491" w:type="dxa"/>
            <w:tcBorders>
              <w:top w:val="nil"/>
              <w:left w:val="single" w:sz="6" w:space="0" w:color="4471C4"/>
              <w:bottom w:val="nil"/>
              <w:right w:val="single" w:sz="6" w:space="0" w:color="4471C4"/>
            </w:tcBorders>
          </w:tcPr>
          <w:p>
            <w:pPr>
              <w:pStyle w:val="TableParagraph"/>
              <w:spacing w:line="200" w:lineRule="exact"/>
              <w:ind w:left="40"/>
              <w:rPr>
                <w:sz w:val="17"/>
              </w:rPr>
            </w:pPr>
            <w:r>
              <w:rPr>
                <w:w w:val="125"/>
                <w:sz w:val="17"/>
              </w:rPr>
              <w:t>and</w:t>
            </w:r>
            <w:r>
              <w:rPr>
                <w:spacing w:val="-2"/>
                <w:w w:val="130"/>
                <w:sz w:val="17"/>
              </w:rPr>
              <w:t> international</w:t>
            </w:r>
          </w:p>
        </w:tc>
        <w:tc>
          <w:tcPr>
            <w:tcW w:w="2564" w:type="dxa"/>
            <w:tcBorders>
              <w:top w:val="nil"/>
              <w:left w:val="single" w:sz="6" w:space="0" w:color="4471C4"/>
              <w:bottom w:val="nil"/>
              <w:right w:val="single" w:sz="6" w:space="0" w:color="4471C4"/>
            </w:tcBorders>
          </w:tcPr>
          <w:p>
            <w:pPr>
              <w:pStyle w:val="TableParagraph"/>
              <w:rPr>
                <w:rFonts w:ascii="Times New Roman"/>
                <w:sz w:val="16"/>
              </w:rPr>
            </w:pP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6"/>
              </w:rPr>
            </w:pPr>
          </w:p>
        </w:tc>
      </w:tr>
      <w:tr>
        <w:trPr>
          <w:trHeight w:val="200" w:hRule="atLeast"/>
        </w:trPr>
        <w:tc>
          <w:tcPr>
            <w:tcW w:w="2491" w:type="dxa"/>
            <w:tcBorders>
              <w:top w:val="nil"/>
              <w:left w:val="single" w:sz="6" w:space="0" w:color="4471C4"/>
              <w:right w:val="single" w:sz="6" w:space="0" w:color="4471C4"/>
            </w:tcBorders>
          </w:tcPr>
          <w:p>
            <w:pPr>
              <w:pStyle w:val="TableParagraph"/>
              <w:spacing w:line="181" w:lineRule="exact"/>
              <w:ind w:left="40"/>
              <w:rPr>
                <w:sz w:val="17"/>
              </w:rPr>
            </w:pPr>
            <w:r>
              <w:rPr>
                <w:spacing w:val="-2"/>
                <w:w w:val="130"/>
                <w:sz w:val="17"/>
              </w:rPr>
              <w:t>institutions</w:t>
            </w:r>
          </w:p>
        </w:tc>
        <w:tc>
          <w:tcPr>
            <w:tcW w:w="2564" w:type="dxa"/>
            <w:tcBorders>
              <w:top w:val="nil"/>
              <w:left w:val="single" w:sz="6" w:space="0" w:color="4471C4"/>
              <w:bottom w:val="single" w:sz="4" w:space="0" w:color="D3D3D3"/>
              <w:right w:val="single" w:sz="6" w:space="0" w:color="4471C4"/>
            </w:tcBorders>
          </w:tcPr>
          <w:p>
            <w:pPr>
              <w:pStyle w:val="TableParagraph"/>
              <w:rPr>
                <w:rFonts w:ascii="Times New Roman"/>
                <w:sz w:val="12"/>
              </w:rPr>
            </w:pP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2"/>
              </w:rPr>
            </w:pPr>
          </w:p>
        </w:tc>
      </w:tr>
      <w:tr>
        <w:trPr>
          <w:trHeight w:val="232" w:hRule="atLeast"/>
        </w:trPr>
        <w:tc>
          <w:tcPr>
            <w:tcW w:w="2491" w:type="dxa"/>
            <w:tcBorders>
              <w:left w:val="single" w:sz="6" w:space="0" w:color="4471C4"/>
              <w:bottom w:val="nil"/>
              <w:right w:val="single" w:sz="6" w:space="0" w:color="4471C4"/>
            </w:tcBorders>
          </w:tcPr>
          <w:p>
            <w:pPr>
              <w:pStyle w:val="TableParagraph"/>
              <w:spacing w:line="207" w:lineRule="exact" w:before="6"/>
              <w:ind w:left="40"/>
              <w:rPr>
                <w:sz w:val="17"/>
              </w:rPr>
            </w:pPr>
            <w:r>
              <w:rPr>
                <w:w w:val="130"/>
                <w:sz w:val="17"/>
              </w:rPr>
              <w:t>3.5.2</w:t>
            </w:r>
            <w:r>
              <w:rPr>
                <w:spacing w:val="-11"/>
                <w:w w:val="130"/>
                <w:sz w:val="17"/>
              </w:rPr>
              <w:t> </w:t>
            </w:r>
            <w:r>
              <w:rPr>
                <w:w w:val="130"/>
                <w:sz w:val="17"/>
              </w:rPr>
              <w:t>2018</w:t>
            </w:r>
            <w:r>
              <w:rPr>
                <w:spacing w:val="-10"/>
                <w:w w:val="130"/>
                <w:sz w:val="17"/>
              </w:rPr>
              <w:t> </w:t>
            </w:r>
            <w:r>
              <w:rPr>
                <w:spacing w:val="-2"/>
                <w:w w:val="130"/>
                <w:sz w:val="17"/>
              </w:rPr>
              <w:t>MEHRD</w:t>
            </w:r>
          </w:p>
        </w:tc>
        <w:tc>
          <w:tcPr>
            <w:tcW w:w="2564" w:type="dxa"/>
            <w:vMerge w:val="restart"/>
            <w:tcBorders>
              <w:top w:val="single" w:sz="4" w:space="0" w:color="D3D3D3"/>
              <w:left w:val="single" w:sz="6" w:space="0" w:color="4471C4"/>
              <w:right w:val="single" w:sz="6" w:space="0" w:color="4471C4"/>
            </w:tcBorders>
          </w:tcPr>
          <w:p>
            <w:pPr>
              <w:pStyle w:val="TableParagraph"/>
              <w:rPr>
                <w:rFonts w:ascii="Times New Roman"/>
                <w:sz w:val="20"/>
              </w:rPr>
            </w:pP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6"/>
              </w:rPr>
            </w:pPr>
          </w:p>
        </w:tc>
      </w:tr>
      <w:tr>
        <w:trPr>
          <w:trHeight w:val="214" w:hRule="atLeast"/>
        </w:trPr>
        <w:tc>
          <w:tcPr>
            <w:tcW w:w="2491" w:type="dxa"/>
            <w:tcBorders>
              <w:top w:val="nil"/>
              <w:left w:val="single" w:sz="6" w:space="0" w:color="4471C4"/>
              <w:bottom w:val="nil"/>
              <w:right w:val="single" w:sz="6" w:space="0" w:color="4471C4"/>
            </w:tcBorders>
          </w:tcPr>
          <w:p>
            <w:pPr>
              <w:pStyle w:val="TableParagraph"/>
              <w:spacing w:line="194" w:lineRule="exact"/>
              <w:ind w:left="40"/>
              <w:rPr>
                <w:sz w:val="17"/>
              </w:rPr>
            </w:pPr>
            <w:r>
              <w:rPr>
                <w:w w:val="125"/>
                <w:sz w:val="17"/>
              </w:rPr>
              <w:t>Scholarship</w:t>
            </w:r>
            <w:r>
              <w:rPr>
                <w:spacing w:val="-2"/>
                <w:w w:val="125"/>
                <w:sz w:val="17"/>
              </w:rPr>
              <w:t> </w:t>
            </w:r>
            <w:r>
              <w:rPr>
                <w:w w:val="125"/>
                <w:sz w:val="17"/>
              </w:rPr>
              <w:t>expenditure</w:t>
            </w:r>
            <w:r>
              <w:rPr>
                <w:spacing w:val="4"/>
                <w:w w:val="125"/>
                <w:sz w:val="17"/>
              </w:rPr>
              <w:t> </w:t>
            </w:r>
            <w:r>
              <w:rPr>
                <w:spacing w:val="-5"/>
                <w:w w:val="125"/>
                <w:sz w:val="17"/>
              </w:rPr>
              <w:t>is</w:t>
            </w:r>
          </w:p>
        </w:tc>
        <w:tc>
          <w:tcPr>
            <w:tcW w:w="2564" w:type="dxa"/>
            <w:vMerge/>
            <w:tcBorders>
              <w:top w:val="nil"/>
              <w:left w:val="single" w:sz="6" w:space="0" w:color="4471C4"/>
              <w:right w:val="single" w:sz="6" w:space="0" w:color="4471C4"/>
            </w:tcBorders>
          </w:tcPr>
          <w:p>
            <w:pPr>
              <w:rPr>
                <w:sz w:val="2"/>
                <w:szCs w:val="2"/>
              </w:rPr>
            </w:pP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4"/>
              </w:rPr>
            </w:pPr>
          </w:p>
        </w:tc>
      </w:tr>
      <w:tr>
        <w:trPr>
          <w:trHeight w:val="214" w:hRule="atLeast"/>
        </w:trPr>
        <w:tc>
          <w:tcPr>
            <w:tcW w:w="2491" w:type="dxa"/>
            <w:tcBorders>
              <w:top w:val="nil"/>
              <w:left w:val="single" w:sz="6" w:space="0" w:color="4471C4"/>
              <w:bottom w:val="nil"/>
              <w:right w:val="single" w:sz="6" w:space="0" w:color="4471C4"/>
            </w:tcBorders>
          </w:tcPr>
          <w:p>
            <w:pPr>
              <w:pStyle w:val="TableParagraph"/>
              <w:spacing w:line="194" w:lineRule="exact"/>
              <w:ind w:left="40"/>
              <w:rPr>
                <w:sz w:val="17"/>
              </w:rPr>
            </w:pPr>
            <w:r>
              <w:rPr>
                <w:w w:val="125"/>
                <w:sz w:val="17"/>
              </w:rPr>
              <w:t>not</w:t>
            </w:r>
            <w:r>
              <w:rPr>
                <w:spacing w:val="1"/>
                <w:w w:val="125"/>
                <w:sz w:val="17"/>
              </w:rPr>
              <w:t> </w:t>
            </w:r>
            <w:r>
              <w:rPr>
                <w:w w:val="125"/>
                <w:sz w:val="17"/>
              </w:rPr>
              <w:t>higher</w:t>
            </w:r>
            <w:r>
              <w:rPr>
                <w:spacing w:val="-2"/>
                <w:w w:val="125"/>
                <w:sz w:val="17"/>
              </w:rPr>
              <w:t> </w:t>
            </w:r>
            <w:r>
              <w:rPr>
                <w:w w:val="125"/>
                <w:sz w:val="17"/>
              </w:rPr>
              <w:t>than</w:t>
            </w:r>
            <w:r>
              <w:rPr>
                <w:spacing w:val="-4"/>
                <w:w w:val="125"/>
                <w:sz w:val="17"/>
              </w:rPr>
              <w:t> 2017</w:t>
            </w:r>
          </w:p>
        </w:tc>
        <w:tc>
          <w:tcPr>
            <w:tcW w:w="2564" w:type="dxa"/>
            <w:vMerge/>
            <w:tcBorders>
              <w:top w:val="nil"/>
              <w:left w:val="single" w:sz="6" w:space="0" w:color="4471C4"/>
              <w:right w:val="single" w:sz="6" w:space="0" w:color="4471C4"/>
            </w:tcBorders>
          </w:tcPr>
          <w:p>
            <w:pPr>
              <w:rPr>
                <w:sz w:val="2"/>
                <w:szCs w:val="2"/>
              </w:rPr>
            </w:pP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4"/>
              </w:rPr>
            </w:pPr>
          </w:p>
        </w:tc>
      </w:tr>
      <w:tr>
        <w:trPr>
          <w:trHeight w:val="214" w:hRule="atLeast"/>
        </w:trPr>
        <w:tc>
          <w:tcPr>
            <w:tcW w:w="2491" w:type="dxa"/>
            <w:tcBorders>
              <w:top w:val="nil"/>
              <w:left w:val="single" w:sz="6" w:space="0" w:color="4471C4"/>
              <w:bottom w:val="nil"/>
              <w:right w:val="single" w:sz="6" w:space="0" w:color="4471C4"/>
            </w:tcBorders>
          </w:tcPr>
          <w:p>
            <w:pPr>
              <w:pStyle w:val="TableParagraph"/>
              <w:spacing w:line="194" w:lineRule="exact"/>
              <w:ind w:left="40"/>
              <w:rPr>
                <w:sz w:val="17"/>
              </w:rPr>
            </w:pPr>
            <w:r>
              <w:rPr>
                <w:w w:val="125"/>
                <w:sz w:val="17"/>
              </w:rPr>
              <w:t>MEHRD</w:t>
            </w:r>
            <w:r>
              <w:rPr>
                <w:spacing w:val="7"/>
                <w:w w:val="130"/>
                <w:sz w:val="17"/>
              </w:rPr>
              <w:t> </w:t>
            </w:r>
            <w:r>
              <w:rPr>
                <w:spacing w:val="-2"/>
                <w:w w:val="130"/>
                <w:sz w:val="17"/>
              </w:rPr>
              <w:t>Scholarship</w:t>
            </w:r>
          </w:p>
        </w:tc>
        <w:tc>
          <w:tcPr>
            <w:tcW w:w="2564" w:type="dxa"/>
            <w:vMerge/>
            <w:tcBorders>
              <w:top w:val="nil"/>
              <w:left w:val="single" w:sz="6" w:space="0" w:color="4471C4"/>
              <w:right w:val="single" w:sz="6" w:space="0" w:color="4471C4"/>
            </w:tcBorders>
          </w:tcPr>
          <w:p>
            <w:pPr>
              <w:rPr>
                <w:sz w:val="2"/>
                <w:szCs w:val="2"/>
              </w:rPr>
            </w:pPr>
          </w:p>
        </w:tc>
        <w:tc>
          <w:tcPr>
            <w:tcW w:w="1753" w:type="dxa"/>
            <w:tcBorders>
              <w:top w:val="nil"/>
              <w:left w:val="single" w:sz="6" w:space="0" w:color="4471C4"/>
              <w:bottom w:val="nil"/>
              <w:right w:val="single" w:sz="6" w:space="0" w:color="4471C4"/>
            </w:tcBorders>
            <w:shd w:val="clear" w:color="auto" w:fill="FFC000"/>
          </w:tcPr>
          <w:p>
            <w:pPr>
              <w:pStyle w:val="TableParagraph"/>
              <w:rPr>
                <w:rFonts w:ascii="Times New Roman"/>
                <w:sz w:val="14"/>
              </w:rPr>
            </w:pPr>
          </w:p>
        </w:tc>
      </w:tr>
      <w:tr>
        <w:trPr>
          <w:trHeight w:val="419" w:hRule="atLeast"/>
        </w:trPr>
        <w:tc>
          <w:tcPr>
            <w:tcW w:w="2491" w:type="dxa"/>
            <w:tcBorders>
              <w:top w:val="nil"/>
              <w:left w:val="single" w:sz="6" w:space="0" w:color="4471C4"/>
              <w:right w:val="single" w:sz="6" w:space="0" w:color="4471C4"/>
            </w:tcBorders>
          </w:tcPr>
          <w:p>
            <w:pPr>
              <w:pStyle w:val="TableParagraph"/>
              <w:spacing w:line="195" w:lineRule="exact"/>
              <w:ind w:left="40"/>
              <w:rPr>
                <w:sz w:val="17"/>
              </w:rPr>
            </w:pPr>
            <w:r>
              <w:rPr>
                <w:spacing w:val="-2"/>
                <w:w w:val="130"/>
                <w:sz w:val="17"/>
              </w:rPr>
              <w:t>expenditure</w:t>
            </w:r>
          </w:p>
        </w:tc>
        <w:tc>
          <w:tcPr>
            <w:tcW w:w="2564" w:type="dxa"/>
            <w:vMerge/>
            <w:tcBorders>
              <w:top w:val="nil"/>
              <w:left w:val="single" w:sz="6" w:space="0" w:color="4471C4"/>
              <w:right w:val="single" w:sz="6" w:space="0" w:color="4471C4"/>
            </w:tcBorders>
          </w:tcPr>
          <w:p>
            <w:pPr>
              <w:rPr>
                <w:sz w:val="2"/>
                <w:szCs w:val="2"/>
              </w:rPr>
            </w:pPr>
          </w:p>
        </w:tc>
        <w:tc>
          <w:tcPr>
            <w:tcW w:w="1753" w:type="dxa"/>
            <w:tcBorders>
              <w:top w:val="nil"/>
              <w:left w:val="single" w:sz="6" w:space="0" w:color="4471C4"/>
              <w:right w:val="single" w:sz="6" w:space="0" w:color="4471C4"/>
            </w:tcBorders>
            <w:shd w:val="clear" w:color="auto" w:fill="FFC000"/>
          </w:tcPr>
          <w:p>
            <w:pPr>
              <w:pStyle w:val="TableParagraph"/>
              <w:rPr>
                <w:rFonts w:ascii="Times New Roman"/>
                <w:sz w:val="20"/>
              </w:rPr>
            </w:pPr>
          </w:p>
        </w:tc>
      </w:tr>
    </w:tbl>
    <w:p>
      <w:pPr>
        <w:pStyle w:val="BodyText"/>
        <w:spacing w:before="210"/>
        <w:ind w:left="220" w:right="1256"/>
        <w:jc w:val="both"/>
      </w:pPr>
      <w:r>
        <w:rPr>
          <w:b/>
        </w:rPr>
        <w:t>Source</w:t>
      </w:r>
      <w:r>
        <w:rPr/>
        <w:t>: SIMS data, MEHRD Finance Reports, Mid NEAP Report, Notes from Core Economic Working </w:t>
      </w:r>
      <w:r>
        <w:rPr>
          <w:spacing w:val="-2"/>
        </w:rPr>
        <w:t>Group.</w:t>
      </w:r>
    </w:p>
    <w:p>
      <w:pPr>
        <w:pStyle w:val="BodyText"/>
        <w:spacing w:before="6"/>
        <w:rPr>
          <w:sz w:val="16"/>
        </w:rPr>
      </w:pPr>
    </w:p>
    <w:p>
      <w:pPr>
        <w:pStyle w:val="BodyText"/>
        <w:ind w:left="220" w:right="1251"/>
        <w:jc w:val="both"/>
      </w:pPr>
      <w:r>
        <w:rPr>
          <w:b/>
        </w:rPr>
        <w:t>Performance Indicator 3.5.1 and Performance Indicator 3.5.2. </w:t>
      </w:r>
      <w:r>
        <w:rPr/>
        <w:t>The assessor has made a judgement call to evaluate these two Performance Indicators as one indicator (rather than 50 per cent for each Expected Results Statement). This is because of the interlinked nature of the indicators and recent moves towards local scholarships where the spend will be less but the number of awarded scholarships could be higher. A reduction in scholarship spend as a percentage of the overall education budget is arguably of more significance than the actual number of new scholarships awarded</w:t>
      </w:r>
      <w:r>
        <w:rPr>
          <w:vertAlign w:val="superscript"/>
        </w:rPr>
        <w:t>11</w:t>
      </w:r>
      <w:r>
        <w:rPr>
          <w:vertAlign w:val="baseline"/>
        </w:rPr>
        <w:t>, though both are important. (For future PLA and linked to any new DFA: expenditure percentage of total education budget and the ratio of local/Rural Training Centres to international scholarships is recommended as a better measure of results rather than raw numbers of</w:t>
      </w:r>
      <w:r>
        <w:rPr>
          <w:spacing w:val="40"/>
          <w:vertAlign w:val="baseline"/>
        </w:rPr>
        <w:t> </w:t>
      </w:r>
      <w:r>
        <w:rPr>
          <w:vertAlign w:val="baseline"/>
        </w:rPr>
        <w:t>scholarships awarded.)</w:t>
      </w:r>
    </w:p>
    <w:p>
      <w:pPr>
        <w:pStyle w:val="BodyText"/>
        <w:spacing w:before="5"/>
        <w:rPr>
          <w:sz w:val="16"/>
        </w:rPr>
      </w:pPr>
    </w:p>
    <w:p>
      <w:pPr>
        <w:pStyle w:val="BodyText"/>
        <w:ind w:left="220" w:right="1253"/>
        <w:jc w:val="both"/>
      </w:pPr>
      <w:r>
        <w:rPr/>
        <w:t>The Core Economic Working Group (CEWG) did an assessment of the PLA matrix in mid-2018. The inclusion of this indicator by MEHRD was seen as a welcome sign of the intention to reduce the number of scholarships and spending. The Ministry is also getting tougher on underperforming students, which will lessen expenditure. (It was reported in the Solomon Times March 2019, that</w:t>
      </w:r>
      <w:r>
        <w:rPr>
          <w:spacing w:val="80"/>
        </w:rPr>
        <w:t> </w:t>
      </w:r>
      <w:r>
        <w:rPr/>
        <w:t>179 Solomon Islanders’ scholarships to Fiji were terminated due to poor grades</w:t>
      </w:r>
      <w:r>
        <w:rPr>
          <w:vertAlign w:val="superscript"/>
        </w:rPr>
        <w:t>12</w:t>
      </w:r>
      <w:r>
        <w:rPr>
          <w:vertAlign w:val="baseline"/>
        </w:rPr>
        <w:t>.)</w:t>
      </w:r>
    </w:p>
    <w:p>
      <w:pPr>
        <w:pStyle w:val="BodyText"/>
        <w:spacing w:before="200"/>
        <w:ind w:left="220" w:right="1251"/>
        <w:jc w:val="both"/>
      </w:pPr>
      <w:r>
        <w:rPr/>
        <w:t>The revised SIG budget allocation to scholarships was high, claiming 37 per cent of recurrent education 2018 expenditure. Actual expenditure was 33 per cent of total MEHRD recurrent expenditure at SBD371,283,664 (see Figure 4 and Diagram 1 below)</w:t>
      </w:r>
      <w:r>
        <w:rPr>
          <w:vertAlign w:val="superscript"/>
        </w:rPr>
        <w:t>13</w:t>
      </w:r>
      <w:r>
        <w:rPr>
          <w:vertAlign w:val="baseline"/>
        </w:rPr>
        <w:t>. This is an almost 5 per cent drop in actual expenditure from 2017; though still well above 2016 levels</w:t>
      </w:r>
      <w:r>
        <w:rPr>
          <w:vertAlign w:val="superscript"/>
        </w:rPr>
        <w:t>14</w:t>
      </w:r>
      <w:r>
        <w:rPr>
          <w:vertAlign w:val="baseline"/>
        </w:rPr>
        <w:t>.</w:t>
      </w:r>
    </w:p>
    <w:p>
      <w:pPr>
        <w:pStyle w:val="BodyText"/>
        <w:rPr>
          <w:sz w:val="20"/>
        </w:rPr>
      </w:pPr>
    </w:p>
    <w:p>
      <w:pPr>
        <w:pStyle w:val="BodyText"/>
        <w:rPr>
          <w:sz w:val="20"/>
        </w:rPr>
      </w:pPr>
    </w:p>
    <w:p>
      <w:pPr>
        <w:pStyle w:val="BodyText"/>
        <w:rPr>
          <w:sz w:val="20"/>
        </w:rPr>
      </w:pPr>
    </w:p>
    <w:p>
      <w:pPr>
        <w:pStyle w:val="BodyText"/>
        <w:spacing w:before="6"/>
        <w:rPr>
          <w:sz w:val="26"/>
        </w:rPr>
      </w:pPr>
      <w:r>
        <w:rPr/>
        <w:pict>
          <v:rect style="position:absolute;margin-left:72.024002pt;margin-top:17.398159pt;width:144.020pt;height:.71997pt;mso-position-horizontal-relative:page;mso-position-vertical-relative:paragraph;z-index:-15724032;mso-wrap-distance-left:0;mso-wrap-distance-right:0" id="docshape12" filled="true" fillcolor="#000000" stroked="false">
            <v:fill type="solid"/>
            <w10:wrap type="topAndBottom"/>
          </v:rect>
        </w:pict>
      </w:r>
    </w:p>
    <w:p>
      <w:pPr>
        <w:spacing w:before="102"/>
        <w:ind w:left="220" w:right="1246" w:firstLine="0"/>
        <w:jc w:val="left"/>
        <w:rPr>
          <w:sz w:val="18"/>
        </w:rPr>
      </w:pPr>
      <w:r>
        <w:rPr>
          <w:position w:val="5"/>
          <w:sz w:val="12"/>
        </w:rPr>
        <w:t>11</w:t>
      </w:r>
      <w:r>
        <w:rPr>
          <w:spacing w:val="10"/>
          <w:position w:val="5"/>
          <w:sz w:val="12"/>
        </w:rPr>
        <w:t> </w:t>
      </w:r>
      <w:r>
        <w:rPr>
          <w:sz w:val="18"/>
        </w:rPr>
        <w:t>DFA</w:t>
      </w:r>
      <w:r>
        <w:rPr>
          <w:spacing w:val="-4"/>
          <w:sz w:val="18"/>
        </w:rPr>
        <w:t> </w:t>
      </w:r>
      <w:r>
        <w:rPr>
          <w:sz w:val="18"/>
        </w:rPr>
        <w:t>states</w:t>
      </w:r>
      <w:r>
        <w:rPr>
          <w:spacing w:val="-3"/>
          <w:sz w:val="18"/>
        </w:rPr>
        <w:t> </w:t>
      </w:r>
      <w:r>
        <w:rPr>
          <w:sz w:val="18"/>
        </w:rPr>
        <w:t>that</w:t>
      </w:r>
      <w:r>
        <w:rPr>
          <w:spacing w:val="-3"/>
          <w:sz w:val="18"/>
        </w:rPr>
        <w:t> </w:t>
      </w:r>
      <w:r>
        <w:rPr>
          <w:sz w:val="18"/>
        </w:rPr>
        <w:t>SIG</w:t>
      </w:r>
      <w:r>
        <w:rPr>
          <w:spacing w:val="-3"/>
          <w:sz w:val="18"/>
        </w:rPr>
        <w:t> </w:t>
      </w:r>
      <w:r>
        <w:rPr>
          <w:sz w:val="18"/>
        </w:rPr>
        <w:t>will</w:t>
      </w:r>
      <w:r>
        <w:rPr>
          <w:spacing w:val="-3"/>
          <w:sz w:val="18"/>
        </w:rPr>
        <w:t> </w:t>
      </w:r>
      <w:r>
        <w:rPr>
          <w:sz w:val="18"/>
        </w:rPr>
        <w:t>contain</w:t>
      </w:r>
      <w:r>
        <w:rPr>
          <w:spacing w:val="-3"/>
          <w:sz w:val="18"/>
        </w:rPr>
        <w:t> </w:t>
      </w:r>
      <w:r>
        <w:rPr>
          <w:sz w:val="18"/>
        </w:rPr>
        <w:t>its</w:t>
      </w:r>
      <w:r>
        <w:rPr>
          <w:spacing w:val="-4"/>
          <w:sz w:val="18"/>
        </w:rPr>
        <w:t> </w:t>
      </w:r>
      <w:r>
        <w:rPr>
          <w:sz w:val="18"/>
        </w:rPr>
        <w:t>expenditure</w:t>
      </w:r>
      <w:r>
        <w:rPr>
          <w:spacing w:val="-4"/>
          <w:sz w:val="18"/>
        </w:rPr>
        <w:t> </w:t>
      </w:r>
      <w:r>
        <w:rPr>
          <w:sz w:val="18"/>
        </w:rPr>
        <w:t>on</w:t>
      </w:r>
      <w:r>
        <w:rPr>
          <w:spacing w:val="-3"/>
          <w:sz w:val="18"/>
        </w:rPr>
        <w:t> </w:t>
      </w:r>
      <w:r>
        <w:rPr>
          <w:sz w:val="18"/>
        </w:rPr>
        <w:t>scholarships,</w:t>
      </w:r>
      <w:r>
        <w:rPr>
          <w:spacing w:val="-2"/>
          <w:sz w:val="18"/>
        </w:rPr>
        <w:t> </w:t>
      </w:r>
      <w:r>
        <w:rPr>
          <w:sz w:val="18"/>
        </w:rPr>
        <w:t>will</w:t>
      </w:r>
      <w:r>
        <w:rPr>
          <w:spacing w:val="-3"/>
          <w:sz w:val="18"/>
        </w:rPr>
        <w:t> </w:t>
      </w:r>
      <w:r>
        <w:rPr>
          <w:sz w:val="18"/>
        </w:rPr>
        <w:t>manage</w:t>
      </w:r>
      <w:r>
        <w:rPr>
          <w:spacing w:val="-1"/>
          <w:sz w:val="18"/>
        </w:rPr>
        <w:t> </w:t>
      </w:r>
      <w:r>
        <w:rPr>
          <w:sz w:val="18"/>
        </w:rPr>
        <w:t>risks,</w:t>
      </w:r>
      <w:r>
        <w:rPr>
          <w:spacing w:val="-2"/>
          <w:sz w:val="18"/>
        </w:rPr>
        <w:t> </w:t>
      </w:r>
      <w:r>
        <w:rPr>
          <w:sz w:val="18"/>
        </w:rPr>
        <w:t>and</w:t>
      </w:r>
      <w:r>
        <w:rPr>
          <w:spacing w:val="-3"/>
          <w:sz w:val="18"/>
        </w:rPr>
        <w:t> </w:t>
      </w:r>
      <w:r>
        <w:rPr>
          <w:sz w:val="18"/>
        </w:rPr>
        <w:t>ensure</w:t>
      </w:r>
      <w:r>
        <w:rPr>
          <w:spacing w:val="-3"/>
          <w:sz w:val="18"/>
        </w:rPr>
        <w:t> </w:t>
      </w:r>
      <w:r>
        <w:rPr>
          <w:sz w:val="18"/>
        </w:rPr>
        <w:t>budget</w:t>
      </w:r>
      <w:r>
        <w:rPr>
          <w:spacing w:val="-2"/>
          <w:sz w:val="18"/>
        </w:rPr>
        <w:t> </w:t>
      </w:r>
      <w:r>
        <w:rPr>
          <w:sz w:val="18"/>
        </w:rPr>
        <w:t>and</w:t>
      </w:r>
      <w:r>
        <w:rPr>
          <w:spacing w:val="-3"/>
          <w:sz w:val="18"/>
        </w:rPr>
        <w:t> </w:t>
      </w:r>
      <w:r>
        <w:rPr>
          <w:sz w:val="18"/>
        </w:rPr>
        <w:t>expenditure</w:t>
      </w:r>
      <w:r>
        <w:rPr>
          <w:spacing w:val="-3"/>
          <w:sz w:val="18"/>
        </w:rPr>
        <w:t> </w:t>
      </w:r>
      <w:r>
        <w:rPr>
          <w:sz w:val="18"/>
        </w:rPr>
        <w:t>is </w:t>
      </w:r>
      <w:r>
        <w:rPr>
          <w:spacing w:val="-2"/>
          <w:sz w:val="18"/>
        </w:rPr>
        <w:t>sustainable.</w:t>
      </w:r>
    </w:p>
    <w:p>
      <w:pPr>
        <w:spacing w:before="38"/>
        <w:ind w:left="220" w:right="0" w:firstLine="0"/>
        <w:jc w:val="left"/>
        <w:rPr>
          <w:sz w:val="18"/>
        </w:rPr>
      </w:pPr>
      <w:r>
        <w:rPr>
          <w:spacing w:val="-2"/>
          <w:position w:val="5"/>
          <w:sz w:val="12"/>
        </w:rPr>
        <w:t>12</w:t>
      </w:r>
      <w:r>
        <w:rPr>
          <w:spacing w:val="45"/>
          <w:position w:val="5"/>
          <w:sz w:val="12"/>
        </w:rPr>
        <w:t>  </w:t>
      </w:r>
      <w:r>
        <w:rPr>
          <w:spacing w:val="-2"/>
          <w:sz w:val="18"/>
        </w:rPr>
        <w:t>https</w:t>
      </w:r>
      <w:hyperlink r:id="rId15">
        <w:r>
          <w:rPr>
            <w:spacing w:val="-2"/>
            <w:sz w:val="18"/>
          </w:rPr>
          <w:t>://w</w:t>
        </w:r>
      </w:hyperlink>
      <w:r>
        <w:rPr>
          <w:spacing w:val="-2"/>
          <w:sz w:val="18"/>
        </w:rPr>
        <w:t>ww</w:t>
      </w:r>
      <w:hyperlink r:id="rId15">
        <w:r>
          <w:rPr>
            <w:spacing w:val="-2"/>
            <w:sz w:val="18"/>
          </w:rPr>
          <w:t>.s</w:t>
        </w:r>
      </w:hyperlink>
      <w:r>
        <w:rPr>
          <w:spacing w:val="-2"/>
          <w:sz w:val="18"/>
        </w:rPr>
        <w:t>o</w:t>
      </w:r>
      <w:hyperlink r:id="rId15">
        <w:r>
          <w:rPr>
            <w:spacing w:val="-2"/>
            <w:sz w:val="18"/>
          </w:rPr>
          <w:t>lomontimes.com/news/government-terminates-179-scholarships/8895</w:t>
        </w:r>
      </w:hyperlink>
    </w:p>
    <w:p>
      <w:pPr>
        <w:spacing w:before="42"/>
        <w:ind w:left="220" w:right="1246" w:firstLine="0"/>
        <w:jc w:val="left"/>
        <w:rPr>
          <w:sz w:val="18"/>
        </w:rPr>
      </w:pPr>
      <w:r>
        <w:rPr>
          <w:position w:val="5"/>
          <w:sz w:val="12"/>
        </w:rPr>
        <w:t>13</w:t>
      </w:r>
      <w:r>
        <w:rPr>
          <w:spacing w:val="10"/>
          <w:position w:val="5"/>
          <w:sz w:val="12"/>
        </w:rPr>
        <w:t> </w:t>
      </w:r>
      <w:r>
        <w:rPr>
          <w:sz w:val="18"/>
        </w:rPr>
        <w:t>This</w:t>
      </w:r>
      <w:r>
        <w:rPr>
          <w:spacing w:val="-3"/>
          <w:sz w:val="18"/>
        </w:rPr>
        <w:t> </w:t>
      </w:r>
      <w:r>
        <w:rPr>
          <w:sz w:val="18"/>
        </w:rPr>
        <w:t>also</w:t>
      </w:r>
      <w:r>
        <w:rPr>
          <w:spacing w:val="-2"/>
          <w:sz w:val="18"/>
        </w:rPr>
        <w:t> </w:t>
      </w:r>
      <w:r>
        <w:rPr>
          <w:sz w:val="18"/>
        </w:rPr>
        <w:t>factors</w:t>
      </w:r>
      <w:r>
        <w:rPr>
          <w:spacing w:val="-3"/>
          <w:sz w:val="18"/>
        </w:rPr>
        <w:t> </w:t>
      </w:r>
      <w:r>
        <w:rPr>
          <w:sz w:val="18"/>
        </w:rPr>
        <w:t>in</w:t>
      </w:r>
      <w:r>
        <w:rPr>
          <w:spacing w:val="-3"/>
          <w:sz w:val="18"/>
        </w:rPr>
        <w:t> </w:t>
      </w:r>
      <w:r>
        <w:rPr>
          <w:sz w:val="18"/>
        </w:rPr>
        <w:t>the</w:t>
      </w:r>
      <w:r>
        <w:rPr>
          <w:spacing w:val="-3"/>
          <w:sz w:val="18"/>
        </w:rPr>
        <w:t> </w:t>
      </w:r>
      <w:r>
        <w:rPr>
          <w:sz w:val="18"/>
        </w:rPr>
        <w:t>cost</w:t>
      </w:r>
      <w:r>
        <w:rPr>
          <w:spacing w:val="-2"/>
          <w:sz w:val="18"/>
        </w:rPr>
        <w:t> </w:t>
      </w:r>
      <w:r>
        <w:rPr>
          <w:sz w:val="18"/>
        </w:rPr>
        <w:t>of</w:t>
      </w:r>
      <w:r>
        <w:rPr>
          <w:spacing w:val="-3"/>
          <w:sz w:val="18"/>
        </w:rPr>
        <w:t> </w:t>
      </w:r>
      <w:r>
        <w:rPr>
          <w:sz w:val="18"/>
        </w:rPr>
        <w:t>continuing</w:t>
      </w:r>
      <w:r>
        <w:rPr>
          <w:spacing w:val="-1"/>
          <w:sz w:val="18"/>
        </w:rPr>
        <w:t> </w:t>
      </w:r>
      <w:r>
        <w:rPr>
          <w:sz w:val="18"/>
        </w:rPr>
        <w:t>students</w:t>
      </w:r>
      <w:r>
        <w:rPr>
          <w:spacing w:val="-4"/>
          <w:sz w:val="18"/>
        </w:rPr>
        <w:t> </w:t>
      </w:r>
      <w:r>
        <w:rPr>
          <w:sz w:val="18"/>
        </w:rPr>
        <w:t>from</w:t>
      </w:r>
      <w:r>
        <w:rPr>
          <w:spacing w:val="-2"/>
          <w:sz w:val="18"/>
        </w:rPr>
        <w:t> </w:t>
      </w:r>
      <w:r>
        <w:rPr>
          <w:sz w:val="18"/>
        </w:rPr>
        <w:t>previous</w:t>
      </w:r>
      <w:r>
        <w:rPr>
          <w:spacing w:val="-1"/>
          <w:sz w:val="18"/>
        </w:rPr>
        <w:t> </w:t>
      </w:r>
      <w:r>
        <w:rPr>
          <w:sz w:val="18"/>
        </w:rPr>
        <w:t>years,</w:t>
      </w:r>
      <w:r>
        <w:rPr>
          <w:spacing w:val="-2"/>
          <w:sz w:val="18"/>
        </w:rPr>
        <w:t> </w:t>
      </w:r>
      <w:r>
        <w:rPr>
          <w:sz w:val="18"/>
        </w:rPr>
        <w:t>and</w:t>
      </w:r>
      <w:r>
        <w:rPr>
          <w:spacing w:val="-3"/>
          <w:sz w:val="18"/>
        </w:rPr>
        <w:t> </w:t>
      </w:r>
      <w:r>
        <w:rPr>
          <w:sz w:val="18"/>
        </w:rPr>
        <w:t>as</w:t>
      </w:r>
      <w:r>
        <w:rPr>
          <w:spacing w:val="-3"/>
          <w:sz w:val="18"/>
        </w:rPr>
        <w:t> </w:t>
      </w:r>
      <w:r>
        <w:rPr>
          <w:sz w:val="18"/>
        </w:rPr>
        <w:t>these</w:t>
      </w:r>
      <w:r>
        <w:rPr>
          <w:spacing w:val="-3"/>
          <w:sz w:val="18"/>
        </w:rPr>
        <w:t> </w:t>
      </w:r>
      <w:r>
        <w:rPr>
          <w:sz w:val="18"/>
        </w:rPr>
        <w:t>students</w:t>
      </w:r>
      <w:r>
        <w:rPr>
          <w:spacing w:val="-4"/>
          <w:sz w:val="18"/>
        </w:rPr>
        <w:t> </w:t>
      </w:r>
      <w:r>
        <w:rPr>
          <w:sz w:val="18"/>
        </w:rPr>
        <w:t>graduate,</w:t>
      </w:r>
      <w:r>
        <w:rPr>
          <w:spacing w:val="-2"/>
          <w:sz w:val="18"/>
        </w:rPr>
        <w:t> </w:t>
      </w:r>
      <w:r>
        <w:rPr>
          <w:sz w:val="18"/>
        </w:rPr>
        <w:t>expenditure pressures are expected to ease.</w:t>
      </w:r>
    </w:p>
    <w:p>
      <w:pPr>
        <w:spacing w:before="38"/>
        <w:ind w:left="220" w:right="1246" w:firstLine="0"/>
        <w:jc w:val="left"/>
        <w:rPr>
          <w:sz w:val="18"/>
        </w:rPr>
      </w:pPr>
      <w:r>
        <w:rPr>
          <w:position w:val="5"/>
          <w:sz w:val="12"/>
        </w:rPr>
        <w:t>14</w:t>
      </w:r>
      <w:r>
        <w:rPr>
          <w:spacing w:val="10"/>
          <w:position w:val="5"/>
          <w:sz w:val="12"/>
        </w:rPr>
        <w:t> </w:t>
      </w:r>
      <w:r>
        <w:rPr>
          <w:sz w:val="18"/>
        </w:rPr>
        <w:t>Actual</w:t>
      </w:r>
      <w:r>
        <w:rPr>
          <w:spacing w:val="-3"/>
          <w:sz w:val="18"/>
        </w:rPr>
        <w:t> </w:t>
      </w:r>
      <w:r>
        <w:rPr>
          <w:sz w:val="18"/>
        </w:rPr>
        <w:t>expenditure</w:t>
      </w:r>
      <w:r>
        <w:rPr>
          <w:spacing w:val="-4"/>
          <w:sz w:val="18"/>
        </w:rPr>
        <w:t> </w:t>
      </w:r>
      <w:r>
        <w:rPr>
          <w:sz w:val="18"/>
        </w:rPr>
        <w:t>in</w:t>
      </w:r>
      <w:r>
        <w:rPr>
          <w:spacing w:val="-3"/>
          <w:sz w:val="18"/>
        </w:rPr>
        <w:t> </w:t>
      </w:r>
      <w:r>
        <w:rPr>
          <w:sz w:val="18"/>
        </w:rPr>
        <w:t>2016</w:t>
      </w:r>
      <w:r>
        <w:rPr>
          <w:spacing w:val="-2"/>
          <w:sz w:val="18"/>
        </w:rPr>
        <w:t> </w:t>
      </w:r>
      <w:r>
        <w:rPr>
          <w:sz w:val="18"/>
        </w:rPr>
        <w:t>was</w:t>
      </w:r>
      <w:r>
        <w:rPr>
          <w:spacing w:val="-1"/>
          <w:sz w:val="18"/>
        </w:rPr>
        <w:t> </w:t>
      </w:r>
      <w:r>
        <w:rPr>
          <w:sz w:val="18"/>
        </w:rPr>
        <w:t>SBD242,309,678.</w:t>
      </w:r>
      <w:r>
        <w:rPr>
          <w:spacing w:val="-2"/>
          <w:sz w:val="18"/>
        </w:rPr>
        <w:t> </w:t>
      </w:r>
      <w:r>
        <w:rPr>
          <w:sz w:val="18"/>
        </w:rPr>
        <w:t>At</w:t>
      </w:r>
      <w:r>
        <w:rPr>
          <w:spacing w:val="-2"/>
          <w:sz w:val="18"/>
        </w:rPr>
        <w:t> </w:t>
      </w:r>
      <w:r>
        <w:rPr>
          <w:sz w:val="18"/>
        </w:rPr>
        <w:t>current</w:t>
      </w:r>
      <w:r>
        <w:rPr>
          <w:spacing w:val="-2"/>
          <w:sz w:val="18"/>
        </w:rPr>
        <w:t> </w:t>
      </w:r>
      <w:r>
        <w:rPr>
          <w:sz w:val="18"/>
        </w:rPr>
        <w:t>prices</w:t>
      </w:r>
      <w:r>
        <w:rPr>
          <w:spacing w:val="-3"/>
          <w:sz w:val="18"/>
        </w:rPr>
        <w:t> </w:t>
      </w:r>
      <w:r>
        <w:rPr>
          <w:sz w:val="18"/>
        </w:rPr>
        <w:t>this</w:t>
      </w:r>
      <w:r>
        <w:rPr>
          <w:spacing w:val="-1"/>
          <w:sz w:val="18"/>
        </w:rPr>
        <w:t> </w:t>
      </w:r>
      <w:r>
        <w:rPr>
          <w:sz w:val="18"/>
        </w:rPr>
        <w:t>is</w:t>
      </w:r>
      <w:r>
        <w:rPr>
          <w:spacing w:val="-3"/>
          <w:sz w:val="18"/>
        </w:rPr>
        <w:t> </w:t>
      </w:r>
      <w:r>
        <w:rPr>
          <w:sz w:val="18"/>
        </w:rPr>
        <w:t>SBD252,486,684.</w:t>
      </w:r>
      <w:r>
        <w:rPr>
          <w:spacing w:val="-2"/>
          <w:sz w:val="18"/>
        </w:rPr>
        <w:t> </w:t>
      </w:r>
      <w:r>
        <w:rPr>
          <w:sz w:val="18"/>
        </w:rPr>
        <w:t>Therefore,</w:t>
      </w:r>
      <w:r>
        <w:rPr>
          <w:spacing w:val="-2"/>
          <w:sz w:val="18"/>
        </w:rPr>
        <w:t> </w:t>
      </w:r>
      <w:r>
        <w:rPr>
          <w:sz w:val="18"/>
        </w:rPr>
        <w:t>a</w:t>
      </w:r>
      <w:r>
        <w:rPr>
          <w:spacing w:val="-3"/>
          <w:sz w:val="18"/>
        </w:rPr>
        <w:t> </w:t>
      </w:r>
      <w:r>
        <w:rPr>
          <w:sz w:val="18"/>
        </w:rPr>
        <w:t>drop</w:t>
      </w:r>
      <w:r>
        <w:rPr>
          <w:spacing w:val="-3"/>
          <w:sz w:val="18"/>
        </w:rPr>
        <w:t> </w:t>
      </w:r>
      <w:r>
        <w:rPr>
          <w:sz w:val="18"/>
        </w:rPr>
        <w:t>of</w:t>
      </w:r>
      <w:r>
        <w:rPr>
          <w:spacing w:val="-3"/>
          <w:sz w:val="18"/>
        </w:rPr>
        <w:t> </w:t>
      </w:r>
      <w:r>
        <w:rPr>
          <w:sz w:val="18"/>
        </w:rPr>
        <w:t>over SBD119m (AUD20m approximately) is necessary to return to 2016 levels of scholarship expenditure.</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3"/>
        <w:jc w:val="both"/>
      </w:pPr>
      <w:r>
        <w:rPr/>
        <w:t>MEHRD budget allocations</w:t>
      </w:r>
      <w:r>
        <w:rPr>
          <w:spacing w:val="-1"/>
        </w:rPr>
        <w:t> </w:t>
      </w:r>
      <w:r>
        <w:rPr/>
        <w:t>to scholarships are</w:t>
      </w:r>
      <w:r>
        <w:rPr>
          <w:spacing w:val="-1"/>
        </w:rPr>
        <w:t> </w:t>
      </w:r>
      <w:r>
        <w:rPr/>
        <w:t>‘ring-fenced’, meaning that whatever is not expended on scholarships is not able to be used on other parts of the MEHRD budget, such as basic education. This ‘ring-fencing’ is done because of uncertainty around student numbers and consequently to ensure there is enough budget when numbers are</w:t>
      </w:r>
      <w:r>
        <w:rPr>
          <w:spacing w:val="-2"/>
        </w:rPr>
        <w:t> </w:t>
      </w:r>
      <w:r>
        <w:rPr/>
        <w:t>confirmed. For</w:t>
      </w:r>
      <w:r>
        <w:rPr>
          <w:spacing w:val="-2"/>
        </w:rPr>
        <w:t> </w:t>
      </w:r>
      <w:r>
        <w:rPr/>
        <w:t>example, as</w:t>
      </w:r>
      <w:r>
        <w:rPr>
          <w:spacing w:val="-2"/>
        </w:rPr>
        <w:t> </w:t>
      </w:r>
      <w:r>
        <w:rPr/>
        <w:t>of June 2019 a</w:t>
      </w:r>
      <w:r>
        <w:rPr>
          <w:spacing w:val="-2"/>
        </w:rPr>
        <w:t> </w:t>
      </w:r>
      <w:r>
        <w:rPr/>
        <w:t>master list of actual student numbers has not been able to be finalised. If the list was finalised, the savings identified could be used for other priorities within MEHRD. As it stands the funds will most likely be returned to consolidated revenue at year’s end. If MEHRD does manage to reduce scholarship expenditure over time there may not be any corresponding advantage to other parts of the education sector, although other parts of the Solomon Islands economy could benefit when funds are returned to consolidated revenue.</w:t>
      </w:r>
    </w:p>
    <w:p>
      <w:pPr>
        <w:pStyle w:val="BodyText"/>
        <w:rPr>
          <w:sz w:val="20"/>
        </w:rPr>
      </w:pP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10">
            <wp:simplePos x="0" y="0"/>
            <wp:positionH relativeFrom="page">
              <wp:posOffset>914400</wp:posOffset>
            </wp:positionH>
            <wp:positionV relativeFrom="paragraph">
              <wp:posOffset>179646</wp:posOffset>
            </wp:positionV>
            <wp:extent cx="5231640" cy="260299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5231640" cy="2602992"/>
                    </a:xfrm>
                    <a:prstGeom prst="rect">
                      <a:avLst/>
                    </a:prstGeom>
                  </pic:spPr>
                </pic:pic>
              </a:graphicData>
            </a:graphic>
          </wp:anchor>
        </w:drawing>
      </w:r>
    </w:p>
    <w:p>
      <w:pPr>
        <w:pStyle w:val="BodyText"/>
        <w:spacing w:before="4"/>
        <w:rPr>
          <w:sz w:val="17"/>
        </w:rPr>
      </w:pPr>
    </w:p>
    <w:p>
      <w:pPr>
        <w:pStyle w:val="Heading4"/>
        <w:rPr>
          <w:b w:val="0"/>
        </w:rPr>
      </w:pPr>
      <w:bookmarkStart w:name="_bookmark29" w:id="30"/>
      <w:bookmarkEnd w:id="30"/>
      <w:r>
        <w:rPr/>
      </w:r>
      <w:r>
        <w:rPr>
          <w:b w:val="0"/>
          <w:color w:val="2E5395"/>
        </w:rPr>
        <w:t>Figure</w:t>
      </w:r>
      <w:r>
        <w:rPr>
          <w:b w:val="0"/>
          <w:color w:val="2E5395"/>
          <w:spacing w:val="-3"/>
        </w:rPr>
        <w:t> </w:t>
      </w:r>
      <w:r>
        <w:rPr>
          <w:b w:val="0"/>
          <w:color w:val="2E5395"/>
        </w:rPr>
        <w:t>4:</w:t>
      </w:r>
      <w:r>
        <w:rPr>
          <w:b w:val="0"/>
          <w:color w:val="2E5395"/>
          <w:spacing w:val="-2"/>
        </w:rPr>
        <w:t> </w:t>
      </w:r>
      <w:r>
        <w:rPr>
          <w:b w:val="0"/>
          <w:color w:val="2E5395"/>
        </w:rPr>
        <w:t>Scholarships:</w:t>
      </w:r>
      <w:r>
        <w:rPr>
          <w:b w:val="0"/>
          <w:color w:val="2E5395"/>
          <w:spacing w:val="-1"/>
        </w:rPr>
        <w:t> </w:t>
      </w:r>
      <w:r>
        <w:rPr>
          <w:b w:val="0"/>
          <w:color w:val="2E5395"/>
        </w:rPr>
        <w:t>Budget</w:t>
      </w:r>
      <w:r>
        <w:rPr>
          <w:b w:val="0"/>
          <w:color w:val="2E5395"/>
          <w:spacing w:val="-1"/>
        </w:rPr>
        <w:t> </w:t>
      </w:r>
      <w:r>
        <w:rPr>
          <w:b w:val="0"/>
          <w:color w:val="2E5395"/>
        </w:rPr>
        <w:t>vs</w:t>
      </w:r>
      <w:r>
        <w:rPr>
          <w:b w:val="0"/>
          <w:color w:val="2E5395"/>
          <w:spacing w:val="-1"/>
        </w:rPr>
        <w:t> </w:t>
      </w:r>
      <w:r>
        <w:rPr>
          <w:b w:val="0"/>
          <w:color w:val="2E5395"/>
        </w:rPr>
        <w:t>Actuals</w:t>
      </w:r>
      <w:r>
        <w:rPr>
          <w:b w:val="0"/>
          <w:color w:val="2E5395"/>
          <w:spacing w:val="-1"/>
        </w:rPr>
        <w:t> </w:t>
      </w:r>
      <w:r>
        <w:rPr>
          <w:b w:val="0"/>
          <w:color w:val="2E5395"/>
        </w:rPr>
        <w:t>2016-</w:t>
      </w:r>
      <w:r>
        <w:rPr>
          <w:b w:val="0"/>
          <w:color w:val="2E5395"/>
          <w:spacing w:val="-4"/>
        </w:rPr>
        <w:t>2018.</w:t>
      </w:r>
    </w:p>
    <w:p>
      <w:pPr>
        <w:pStyle w:val="BodyText"/>
        <w:rPr>
          <w:rFonts w:ascii="Calibri Light"/>
          <w:b w:val="0"/>
          <w:sz w:val="20"/>
        </w:rPr>
      </w:pPr>
    </w:p>
    <w:p>
      <w:pPr>
        <w:pStyle w:val="BodyText"/>
        <w:rPr>
          <w:rFonts w:ascii="Calibri Light"/>
          <w:b w:val="0"/>
          <w:sz w:val="20"/>
        </w:rPr>
      </w:pPr>
    </w:p>
    <w:p>
      <w:pPr>
        <w:pStyle w:val="BodyText"/>
        <w:spacing w:before="6"/>
        <w:rPr>
          <w:rFonts w:ascii="Calibri Light"/>
          <w:b w:val="0"/>
          <w:sz w:val="19"/>
        </w:rPr>
      </w:pPr>
      <w:r>
        <w:rPr/>
        <w:drawing>
          <wp:anchor distT="0" distB="0" distL="0" distR="0" allowOverlap="1" layoutInCell="1" locked="0" behindDoc="0" simplePos="0" relativeHeight="11">
            <wp:simplePos x="0" y="0"/>
            <wp:positionH relativeFrom="page">
              <wp:posOffset>914400</wp:posOffset>
            </wp:positionH>
            <wp:positionV relativeFrom="paragraph">
              <wp:posOffset>166770</wp:posOffset>
            </wp:positionV>
            <wp:extent cx="5583819" cy="1980438"/>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7" cstate="print"/>
                    <a:stretch>
                      <a:fillRect/>
                    </a:stretch>
                  </pic:blipFill>
                  <pic:spPr>
                    <a:xfrm>
                      <a:off x="0" y="0"/>
                      <a:ext cx="5583819" cy="1980438"/>
                    </a:xfrm>
                    <a:prstGeom prst="rect">
                      <a:avLst/>
                    </a:prstGeom>
                  </pic:spPr>
                </pic:pic>
              </a:graphicData>
            </a:graphic>
          </wp:anchor>
        </w:drawing>
      </w:r>
    </w:p>
    <w:p>
      <w:pPr>
        <w:spacing w:before="204"/>
        <w:ind w:left="220" w:right="0" w:firstLine="0"/>
        <w:jc w:val="both"/>
        <w:rPr>
          <w:rFonts w:ascii="Calibri Light"/>
          <w:b w:val="0"/>
          <w:sz w:val="24"/>
        </w:rPr>
      </w:pPr>
      <w:bookmarkStart w:name="_bookmark30" w:id="31"/>
      <w:bookmarkEnd w:id="31"/>
      <w:r>
        <w:rPr/>
      </w:r>
      <w:r>
        <w:rPr>
          <w:rFonts w:ascii="Calibri Light"/>
          <w:b w:val="0"/>
          <w:color w:val="2E5395"/>
          <w:sz w:val="24"/>
        </w:rPr>
        <w:t>Diagram</w:t>
      </w:r>
      <w:r>
        <w:rPr>
          <w:rFonts w:ascii="Calibri Light"/>
          <w:b w:val="0"/>
          <w:color w:val="2E5395"/>
          <w:spacing w:val="-4"/>
          <w:sz w:val="24"/>
        </w:rPr>
        <w:t> </w:t>
      </w:r>
      <w:r>
        <w:rPr>
          <w:rFonts w:ascii="Calibri Light"/>
          <w:b w:val="0"/>
          <w:color w:val="2E5395"/>
          <w:sz w:val="24"/>
        </w:rPr>
        <w:t>1:</w:t>
      </w:r>
      <w:r>
        <w:rPr>
          <w:rFonts w:ascii="Calibri Light"/>
          <w:b w:val="0"/>
          <w:color w:val="2E5395"/>
          <w:spacing w:val="-2"/>
          <w:sz w:val="24"/>
        </w:rPr>
        <w:t> </w:t>
      </w:r>
      <w:r>
        <w:rPr>
          <w:rFonts w:ascii="Calibri Light"/>
          <w:b w:val="0"/>
          <w:color w:val="2E5395"/>
          <w:sz w:val="24"/>
        </w:rPr>
        <w:t>MEHRD</w:t>
      </w:r>
      <w:r>
        <w:rPr>
          <w:rFonts w:ascii="Calibri Light"/>
          <w:b w:val="0"/>
          <w:color w:val="2E5395"/>
          <w:spacing w:val="-2"/>
          <w:sz w:val="24"/>
        </w:rPr>
        <w:t> </w:t>
      </w:r>
      <w:r>
        <w:rPr>
          <w:rFonts w:ascii="Calibri Light"/>
          <w:b w:val="0"/>
          <w:color w:val="2E5395"/>
          <w:sz w:val="24"/>
        </w:rPr>
        <w:t>actual</w:t>
      </w:r>
      <w:r>
        <w:rPr>
          <w:rFonts w:ascii="Calibri Light"/>
          <w:b w:val="0"/>
          <w:color w:val="2E5395"/>
          <w:spacing w:val="-1"/>
          <w:sz w:val="24"/>
        </w:rPr>
        <w:t> </w:t>
      </w:r>
      <w:r>
        <w:rPr>
          <w:rFonts w:ascii="Calibri Light"/>
          <w:b w:val="0"/>
          <w:color w:val="2E5395"/>
          <w:sz w:val="24"/>
        </w:rPr>
        <w:t>and</w:t>
      </w:r>
      <w:r>
        <w:rPr>
          <w:rFonts w:ascii="Calibri Light"/>
          <w:b w:val="0"/>
          <w:color w:val="2E5395"/>
          <w:spacing w:val="-2"/>
          <w:sz w:val="24"/>
        </w:rPr>
        <w:t> </w:t>
      </w:r>
      <w:r>
        <w:rPr>
          <w:rFonts w:ascii="Calibri Light"/>
          <w:b w:val="0"/>
          <w:color w:val="2E5395"/>
          <w:sz w:val="24"/>
        </w:rPr>
        <w:t>budgeted</w:t>
      </w:r>
      <w:r>
        <w:rPr>
          <w:rFonts w:ascii="Calibri Light"/>
          <w:b w:val="0"/>
          <w:color w:val="2E5395"/>
          <w:spacing w:val="-2"/>
          <w:sz w:val="24"/>
        </w:rPr>
        <w:t> </w:t>
      </w:r>
      <w:r>
        <w:rPr>
          <w:rFonts w:ascii="Calibri Light"/>
          <w:b w:val="0"/>
          <w:color w:val="2E5395"/>
          <w:sz w:val="24"/>
        </w:rPr>
        <w:t>expenditure</w:t>
      </w:r>
      <w:r>
        <w:rPr>
          <w:rFonts w:ascii="Calibri Light"/>
          <w:b w:val="0"/>
          <w:color w:val="2E5395"/>
          <w:spacing w:val="-2"/>
          <w:sz w:val="24"/>
        </w:rPr>
        <w:t> </w:t>
      </w:r>
      <w:r>
        <w:rPr>
          <w:rFonts w:ascii="Calibri Light"/>
          <w:b w:val="0"/>
          <w:color w:val="2E5395"/>
          <w:sz w:val="24"/>
        </w:rPr>
        <w:t>in</w:t>
      </w:r>
      <w:r>
        <w:rPr>
          <w:rFonts w:ascii="Calibri Light"/>
          <w:b w:val="0"/>
          <w:color w:val="2E5395"/>
          <w:spacing w:val="-2"/>
          <w:sz w:val="24"/>
        </w:rPr>
        <w:t> 2018.</w:t>
      </w:r>
    </w:p>
    <w:p>
      <w:pPr>
        <w:spacing w:after="0"/>
        <w:jc w:val="both"/>
        <w:rPr>
          <w:rFonts w:ascii="Calibri Light"/>
          <w:sz w:val="24"/>
        </w:rPr>
        <w:sectPr>
          <w:pgSz w:w="11900" w:h="16850"/>
          <w:pgMar w:header="867" w:footer="830" w:top="1060" w:bottom="1020" w:left="1220" w:right="180"/>
        </w:sectPr>
      </w:pPr>
    </w:p>
    <w:p>
      <w:pPr>
        <w:pStyle w:val="BodyText"/>
        <w:rPr>
          <w:rFonts w:ascii="Calibri Light"/>
          <w:b w:val="0"/>
          <w:sz w:val="20"/>
        </w:rPr>
      </w:pPr>
    </w:p>
    <w:p>
      <w:pPr>
        <w:pStyle w:val="BodyText"/>
        <w:spacing w:before="6"/>
        <w:rPr>
          <w:rFonts w:ascii="Calibri Light"/>
          <w:b w:val="0"/>
          <w:sz w:val="26"/>
        </w:rPr>
      </w:pPr>
    </w:p>
    <w:p>
      <w:pPr>
        <w:pStyle w:val="BodyText"/>
        <w:spacing w:before="57"/>
        <w:ind w:left="220" w:right="1252"/>
        <w:jc w:val="both"/>
      </w:pPr>
      <w:r>
        <w:rPr/>
        <w:t>The move towards more rural technical vocational scholarships, local Universities rather than overseas, and that the first year of some scholarships will be in the Solomon Islands are positive trends in reducing the number of and educational spend on scholarships. Targets for 2020 are not yet set. New awards will see less international awards and more to Solomon Islands National University and Rural Training Centres. Scholarship Policy and Procedures are to be revised in 2019 in an attempt to increase fairness and transparency in awarding scholarships. The Scholarship Management Instructions are an operational guide to align award of scholarships with the existing Scholarships Policy; however, have yet to be completed. The establishment of the Solomon Islands Tertiary Education and Skills Authority (SITESA), which will be responsible and accountable to the Minister for the management of the SIG scholarship program, should generate better planning, monitoring and reporting on scholarships.</w:t>
      </w:r>
    </w:p>
    <w:p>
      <w:pPr>
        <w:pStyle w:val="BodyText"/>
        <w:spacing w:before="4"/>
        <w:rPr>
          <w:sz w:val="16"/>
        </w:rPr>
      </w:pPr>
    </w:p>
    <w:p>
      <w:pPr>
        <w:pStyle w:val="BodyText"/>
        <w:ind w:left="220" w:right="1252"/>
        <w:jc w:val="both"/>
      </w:pPr>
      <w:r>
        <w:rPr/>
        <w:t>The CEWG noted SIG’s intention to further limit new scholarships awards going forward. Diagram 2 below shows that </w:t>
      </w:r>
      <w:r>
        <w:rPr>
          <w:b/>
        </w:rPr>
        <w:t>new awards in 2018 decreased almost 60 per cent from 2017 (1969 to 835)</w:t>
      </w:r>
      <w:r>
        <w:rPr/>
        <w:t>.</w:t>
      </w:r>
      <w:r>
        <w:rPr>
          <w:spacing w:val="40"/>
        </w:rPr>
        <w:t> </w:t>
      </w:r>
      <w:r>
        <w:rPr/>
        <w:t>There</w:t>
      </w:r>
      <w:r>
        <w:rPr>
          <w:spacing w:val="-1"/>
        </w:rPr>
        <w:t> </w:t>
      </w:r>
      <w:r>
        <w:rPr/>
        <w:t>is</w:t>
      </w:r>
      <w:r>
        <w:rPr>
          <w:spacing w:val="-2"/>
        </w:rPr>
        <w:t> </w:t>
      </w:r>
      <w:r>
        <w:rPr/>
        <w:t>a</w:t>
      </w:r>
      <w:r>
        <w:rPr>
          <w:spacing w:val="-2"/>
        </w:rPr>
        <w:t> </w:t>
      </w:r>
      <w:r>
        <w:rPr/>
        <w:t>slight</w:t>
      </w:r>
      <w:r>
        <w:rPr>
          <w:spacing w:val="-2"/>
        </w:rPr>
        <w:t> </w:t>
      </w:r>
      <w:r>
        <w:rPr/>
        <w:t>increase</w:t>
      </w:r>
      <w:r>
        <w:rPr>
          <w:spacing w:val="-1"/>
        </w:rPr>
        <w:t> </w:t>
      </w:r>
      <w:r>
        <w:rPr/>
        <w:t>by</w:t>
      </w:r>
      <w:r>
        <w:rPr>
          <w:spacing w:val="-3"/>
        </w:rPr>
        <w:t> </w:t>
      </w:r>
      <w:r>
        <w:rPr/>
        <w:t>5</w:t>
      </w:r>
      <w:r>
        <w:rPr>
          <w:spacing w:val="-1"/>
        </w:rPr>
        <w:t> </w:t>
      </w:r>
      <w:r>
        <w:rPr/>
        <w:t>per</w:t>
      </w:r>
      <w:r>
        <w:rPr>
          <w:spacing w:val="-2"/>
        </w:rPr>
        <w:t> </w:t>
      </w:r>
      <w:r>
        <w:rPr/>
        <w:t>cent</w:t>
      </w:r>
      <w:r>
        <w:rPr>
          <w:spacing w:val="-2"/>
        </w:rPr>
        <w:t> </w:t>
      </w:r>
      <w:r>
        <w:rPr/>
        <w:t>from</w:t>
      </w:r>
      <w:r>
        <w:rPr>
          <w:spacing w:val="-1"/>
        </w:rPr>
        <w:t> </w:t>
      </w:r>
      <w:r>
        <w:rPr/>
        <w:t>2018</w:t>
      </w:r>
      <w:r>
        <w:rPr>
          <w:spacing w:val="-2"/>
        </w:rPr>
        <w:t> </w:t>
      </w:r>
      <w:r>
        <w:rPr/>
        <w:t>(835</w:t>
      </w:r>
      <w:r>
        <w:rPr>
          <w:spacing w:val="-2"/>
        </w:rPr>
        <w:t> </w:t>
      </w:r>
      <w:r>
        <w:rPr/>
        <w:t>to</w:t>
      </w:r>
      <w:r>
        <w:rPr>
          <w:spacing w:val="-1"/>
        </w:rPr>
        <w:t> </w:t>
      </w:r>
      <w:r>
        <w:rPr/>
        <w:t>876 as</w:t>
      </w:r>
      <w:r>
        <w:rPr>
          <w:spacing w:val="-2"/>
        </w:rPr>
        <w:t> </w:t>
      </w:r>
      <w:r>
        <w:rPr/>
        <w:t>at</w:t>
      </w:r>
      <w:r>
        <w:rPr>
          <w:spacing w:val="-2"/>
        </w:rPr>
        <w:t> </w:t>
      </w:r>
      <w:r>
        <w:rPr/>
        <w:t>June</w:t>
      </w:r>
      <w:r>
        <w:rPr>
          <w:spacing w:val="-1"/>
        </w:rPr>
        <w:t> </w:t>
      </w:r>
      <w:r>
        <w:rPr/>
        <w:t>2019),</w:t>
      </w:r>
      <w:r>
        <w:rPr>
          <w:spacing w:val="-2"/>
        </w:rPr>
        <w:t> </w:t>
      </w:r>
      <w:r>
        <w:rPr/>
        <w:t>though</w:t>
      </w:r>
      <w:r>
        <w:rPr>
          <w:spacing w:val="-2"/>
        </w:rPr>
        <w:t> </w:t>
      </w:r>
      <w:r>
        <w:rPr/>
        <w:t>more</w:t>
      </w:r>
      <w:r>
        <w:rPr>
          <w:spacing w:val="-3"/>
        </w:rPr>
        <w:t> </w:t>
      </w:r>
      <w:r>
        <w:rPr/>
        <w:t>of</w:t>
      </w:r>
      <w:r>
        <w:rPr>
          <w:spacing w:val="-2"/>
        </w:rPr>
        <w:t> </w:t>
      </w:r>
      <w:r>
        <w:rPr/>
        <w:t>these awards are reportedly to be locally based so expenditure could be expected to decrease.</w:t>
      </w:r>
    </w:p>
    <w:p>
      <w:pPr>
        <w:pStyle w:val="BodyText"/>
        <w:rPr>
          <w:sz w:val="20"/>
        </w:rPr>
      </w:pPr>
    </w:p>
    <w:p>
      <w:pPr>
        <w:pStyle w:val="BodyText"/>
        <w:rPr>
          <w:sz w:val="20"/>
        </w:rPr>
      </w:pPr>
    </w:p>
    <w:p>
      <w:pPr>
        <w:pStyle w:val="BodyText"/>
        <w:spacing w:before="2"/>
        <w:rPr>
          <w:sz w:val="16"/>
        </w:rPr>
      </w:pPr>
      <w:r>
        <w:rPr/>
        <w:drawing>
          <wp:anchor distT="0" distB="0" distL="0" distR="0" allowOverlap="1" layoutInCell="1" locked="0" behindDoc="0" simplePos="0" relativeHeight="12">
            <wp:simplePos x="0" y="0"/>
            <wp:positionH relativeFrom="page">
              <wp:posOffset>914400</wp:posOffset>
            </wp:positionH>
            <wp:positionV relativeFrom="paragraph">
              <wp:posOffset>140565</wp:posOffset>
            </wp:positionV>
            <wp:extent cx="4583854" cy="2755391"/>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8" cstate="print"/>
                    <a:stretch>
                      <a:fillRect/>
                    </a:stretch>
                  </pic:blipFill>
                  <pic:spPr>
                    <a:xfrm>
                      <a:off x="0" y="0"/>
                      <a:ext cx="4583854" cy="2755391"/>
                    </a:xfrm>
                    <a:prstGeom prst="rect">
                      <a:avLst/>
                    </a:prstGeom>
                  </pic:spPr>
                </pic:pic>
              </a:graphicData>
            </a:graphic>
          </wp:anchor>
        </w:drawing>
      </w:r>
    </w:p>
    <w:p>
      <w:pPr>
        <w:pStyle w:val="BodyText"/>
      </w:pPr>
    </w:p>
    <w:p>
      <w:pPr>
        <w:pStyle w:val="BodyText"/>
      </w:pPr>
    </w:p>
    <w:p>
      <w:pPr>
        <w:pStyle w:val="Heading4"/>
        <w:spacing w:before="186"/>
        <w:rPr>
          <w:b w:val="0"/>
        </w:rPr>
      </w:pPr>
      <w:bookmarkStart w:name="_bookmark31" w:id="32"/>
      <w:bookmarkEnd w:id="32"/>
      <w:r>
        <w:rPr/>
      </w:r>
      <w:r>
        <w:rPr>
          <w:b w:val="0"/>
          <w:color w:val="2E5395"/>
        </w:rPr>
        <w:t>Diagram</w:t>
      </w:r>
      <w:r>
        <w:rPr>
          <w:b w:val="0"/>
          <w:color w:val="2E5395"/>
          <w:spacing w:val="-3"/>
        </w:rPr>
        <w:t> </w:t>
      </w:r>
      <w:r>
        <w:rPr>
          <w:b w:val="0"/>
          <w:color w:val="2E5395"/>
        </w:rPr>
        <w:t>2:</w:t>
      </w:r>
      <w:r>
        <w:rPr>
          <w:b w:val="0"/>
          <w:color w:val="2E5395"/>
          <w:spacing w:val="-2"/>
        </w:rPr>
        <w:t> </w:t>
      </w:r>
      <w:r>
        <w:rPr>
          <w:b w:val="0"/>
          <w:color w:val="2E5395"/>
        </w:rPr>
        <w:t>SIG</w:t>
      </w:r>
      <w:r>
        <w:rPr>
          <w:b w:val="0"/>
          <w:color w:val="2E5395"/>
          <w:spacing w:val="-2"/>
        </w:rPr>
        <w:t> </w:t>
      </w:r>
      <w:r>
        <w:rPr>
          <w:b w:val="0"/>
          <w:color w:val="2E5395"/>
        </w:rPr>
        <w:t>Tertiary</w:t>
      </w:r>
      <w:r>
        <w:rPr>
          <w:b w:val="0"/>
          <w:color w:val="2E5395"/>
          <w:spacing w:val="-2"/>
        </w:rPr>
        <w:t> </w:t>
      </w:r>
      <w:r>
        <w:rPr>
          <w:b w:val="0"/>
          <w:color w:val="2E5395"/>
        </w:rPr>
        <w:t>Scholarship</w:t>
      </w:r>
      <w:r>
        <w:rPr>
          <w:b w:val="0"/>
          <w:color w:val="2E5395"/>
          <w:spacing w:val="-3"/>
        </w:rPr>
        <w:t> </w:t>
      </w:r>
      <w:r>
        <w:rPr>
          <w:b w:val="0"/>
          <w:color w:val="2E5395"/>
        </w:rPr>
        <w:t>Awards</w:t>
      </w:r>
      <w:r>
        <w:rPr>
          <w:b w:val="0"/>
          <w:color w:val="2E5395"/>
          <w:spacing w:val="-1"/>
        </w:rPr>
        <w:t> </w:t>
      </w:r>
      <w:r>
        <w:rPr>
          <w:b w:val="0"/>
          <w:color w:val="2E5395"/>
        </w:rPr>
        <w:t>2016-</w:t>
      </w:r>
      <w:r>
        <w:rPr>
          <w:b w:val="0"/>
          <w:color w:val="2E5395"/>
          <w:spacing w:val="-2"/>
        </w:rPr>
        <w:t>2019</w:t>
      </w:r>
      <w:r>
        <w:rPr>
          <w:b w:val="0"/>
          <w:color w:val="2E5395"/>
          <w:spacing w:val="-2"/>
          <w:vertAlign w:val="superscript"/>
        </w:rPr>
        <w:t>15</w:t>
      </w:r>
    </w:p>
    <w:p>
      <w:pPr>
        <w:pStyle w:val="BodyText"/>
        <w:spacing w:before="10"/>
        <w:rPr>
          <w:rFonts w:ascii="Calibri Light"/>
          <w:b w:val="0"/>
          <w:sz w:val="19"/>
        </w:rPr>
      </w:pPr>
    </w:p>
    <w:p>
      <w:pPr>
        <w:pStyle w:val="BodyText"/>
        <w:ind w:left="220" w:right="1251"/>
        <w:jc w:val="both"/>
      </w:pPr>
      <w:r>
        <w:rPr/>
        <w:t>A Scholarship database (SIMS) review identified that the system was underutilised with only a small percentage of scholarship data entered: Most data was stored in a range of excel spreadsheets.</w:t>
      </w:r>
      <w:r>
        <w:rPr>
          <w:spacing w:val="40"/>
        </w:rPr>
        <w:t> </w:t>
      </w:r>
      <w:r>
        <w:rPr/>
        <w:t>All 2019</w:t>
      </w:r>
      <w:r>
        <w:rPr>
          <w:spacing w:val="7"/>
        </w:rPr>
        <w:t> </w:t>
      </w:r>
      <w:r>
        <w:rPr/>
        <w:t>scholarship</w:t>
      </w:r>
      <w:r>
        <w:rPr>
          <w:spacing w:val="6"/>
        </w:rPr>
        <w:t> </w:t>
      </w:r>
      <w:r>
        <w:rPr/>
        <w:t>applications</w:t>
      </w:r>
      <w:r>
        <w:rPr>
          <w:spacing w:val="9"/>
        </w:rPr>
        <w:t> </w:t>
      </w:r>
      <w:r>
        <w:rPr/>
        <w:t>are</w:t>
      </w:r>
      <w:r>
        <w:rPr>
          <w:spacing w:val="7"/>
        </w:rPr>
        <w:t> </w:t>
      </w:r>
      <w:r>
        <w:rPr/>
        <w:t>now</w:t>
      </w:r>
      <w:r>
        <w:rPr>
          <w:spacing w:val="7"/>
        </w:rPr>
        <w:t> </w:t>
      </w:r>
      <w:r>
        <w:rPr/>
        <w:t>entered</w:t>
      </w:r>
      <w:r>
        <w:rPr>
          <w:spacing w:val="7"/>
        </w:rPr>
        <w:t> </w:t>
      </w:r>
      <w:r>
        <w:rPr/>
        <w:t>on</w:t>
      </w:r>
      <w:r>
        <w:rPr>
          <w:spacing w:val="6"/>
        </w:rPr>
        <w:t> </w:t>
      </w:r>
      <w:r>
        <w:rPr/>
        <w:t>a</w:t>
      </w:r>
      <w:r>
        <w:rPr>
          <w:spacing w:val="6"/>
        </w:rPr>
        <w:t> </w:t>
      </w:r>
      <w:r>
        <w:rPr/>
        <w:t>revised</w:t>
      </w:r>
      <w:r>
        <w:rPr>
          <w:spacing w:val="7"/>
        </w:rPr>
        <w:t> </w:t>
      </w:r>
      <w:r>
        <w:rPr/>
        <w:t>database</w:t>
      </w:r>
      <w:r>
        <w:rPr>
          <w:spacing w:val="4"/>
        </w:rPr>
        <w:t> </w:t>
      </w:r>
      <w:r>
        <w:rPr/>
        <w:t>with</w:t>
      </w:r>
      <w:r>
        <w:rPr>
          <w:spacing w:val="7"/>
        </w:rPr>
        <w:t> </w:t>
      </w:r>
      <w:r>
        <w:rPr/>
        <w:t>the</w:t>
      </w:r>
      <w:r>
        <w:rPr>
          <w:spacing w:val="7"/>
        </w:rPr>
        <w:t> </w:t>
      </w:r>
      <w:r>
        <w:rPr/>
        <w:t>next</w:t>
      </w:r>
      <w:r>
        <w:rPr>
          <w:spacing w:val="7"/>
        </w:rPr>
        <w:t> </w:t>
      </w:r>
      <w:r>
        <w:rPr/>
        <w:t>task</w:t>
      </w:r>
      <w:r>
        <w:rPr>
          <w:spacing w:val="8"/>
        </w:rPr>
        <w:t> </w:t>
      </w:r>
      <w:r>
        <w:rPr/>
        <w:t>to</w:t>
      </w:r>
      <w:r>
        <w:rPr>
          <w:spacing w:val="8"/>
        </w:rPr>
        <w:t> </w:t>
      </w:r>
      <w:r>
        <w:rPr/>
        <w:t>enter</w:t>
      </w:r>
      <w:r>
        <w:rPr>
          <w:spacing w:val="8"/>
        </w:rPr>
        <w:t> </w:t>
      </w:r>
      <w:r>
        <w:rPr>
          <w:spacing w:val="-5"/>
        </w:rPr>
        <w:t>all</w:t>
      </w:r>
    </w:p>
    <w:p>
      <w:pPr>
        <w:pStyle w:val="BodyText"/>
        <w:rPr>
          <w:sz w:val="20"/>
        </w:rPr>
      </w:pPr>
    </w:p>
    <w:p>
      <w:pPr>
        <w:pStyle w:val="BodyText"/>
        <w:rPr>
          <w:sz w:val="20"/>
        </w:rPr>
      </w:pPr>
    </w:p>
    <w:p>
      <w:pPr>
        <w:pStyle w:val="BodyText"/>
        <w:spacing w:before="1"/>
        <w:rPr>
          <w:sz w:val="10"/>
        </w:rPr>
      </w:pPr>
      <w:r>
        <w:rPr/>
        <w:pict>
          <v:rect style="position:absolute;margin-left:72.024002pt;margin-top:7.362118pt;width:144.020pt;height:.72003pt;mso-position-horizontal-relative:page;mso-position-vertical-relative:paragraph;z-index:-15721984;mso-wrap-distance-left:0;mso-wrap-distance-right:0" id="docshape13" filled="true" fillcolor="#000000" stroked="false">
            <v:fill type="solid"/>
            <w10:wrap type="topAndBottom"/>
          </v:rect>
        </w:pict>
      </w:r>
    </w:p>
    <w:p>
      <w:pPr>
        <w:spacing w:before="102"/>
        <w:ind w:left="220" w:right="1246" w:firstLine="0"/>
        <w:jc w:val="left"/>
        <w:rPr>
          <w:sz w:val="18"/>
        </w:rPr>
      </w:pPr>
      <w:r>
        <w:rPr>
          <w:position w:val="5"/>
          <w:sz w:val="12"/>
        </w:rPr>
        <w:t>15</w:t>
      </w:r>
      <w:r>
        <w:rPr>
          <w:spacing w:val="19"/>
          <w:position w:val="5"/>
          <w:sz w:val="12"/>
        </w:rPr>
        <w:t> </w:t>
      </w:r>
      <w:r>
        <w:rPr>
          <w:sz w:val="18"/>
        </w:rPr>
        <w:t>Note: these numbers do not tally with last year’s Independent Assessment (1721 students in 2016. 2756 students in 2018).</w:t>
      </w:r>
      <w:r>
        <w:rPr>
          <w:spacing w:val="-2"/>
          <w:sz w:val="18"/>
        </w:rPr>
        <w:t> </w:t>
      </w:r>
      <w:r>
        <w:rPr>
          <w:sz w:val="18"/>
        </w:rPr>
        <w:t>The</w:t>
      </w:r>
      <w:r>
        <w:rPr>
          <w:spacing w:val="-3"/>
          <w:sz w:val="18"/>
        </w:rPr>
        <w:t> </w:t>
      </w:r>
      <w:r>
        <w:rPr>
          <w:sz w:val="18"/>
        </w:rPr>
        <w:t>overall</w:t>
      </w:r>
      <w:r>
        <w:rPr>
          <w:spacing w:val="-3"/>
          <w:sz w:val="18"/>
        </w:rPr>
        <w:t> </w:t>
      </w:r>
      <w:r>
        <w:rPr>
          <w:sz w:val="18"/>
        </w:rPr>
        <w:t>trend</w:t>
      </w:r>
      <w:r>
        <w:rPr>
          <w:spacing w:val="-3"/>
          <w:sz w:val="18"/>
        </w:rPr>
        <w:t> </w:t>
      </w:r>
      <w:r>
        <w:rPr>
          <w:sz w:val="18"/>
        </w:rPr>
        <w:t>of</w:t>
      </w:r>
      <w:r>
        <w:rPr>
          <w:spacing w:val="-3"/>
          <w:sz w:val="18"/>
        </w:rPr>
        <w:t> </w:t>
      </w:r>
      <w:r>
        <w:rPr>
          <w:sz w:val="18"/>
        </w:rPr>
        <w:t>a</w:t>
      </w:r>
      <w:r>
        <w:rPr>
          <w:spacing w:val="-2"/>
          <w:sz w:val="18"/>
        </w:rPr>
        <w:t> </w:t>
      </w:r>
      <w:r>
        <w:rPr>
          <w:sz w:val="18"/>
        </w:rPr>
        <w:t>significant</w:t>
      </w:r>
      <w:r>
        <w:rPr>
          <w:spacing w:val="-3"/>
          <w:sz w:val="18"/>
        </w:rPr>
        <w:t> </w:t>
      </w:r>
      <w:r>
        <w:rPr>
          <w:sz w:val="18"/>
        </w:rPr>
        <w:t>increase</w:t>
      </w:r>
      <w:r>
        <w:rPr>
          <w:spacing w:val="-3"/>
          <w:sz w:val="18"/>
        </w:rPr>
        <w:t> </w:t>
      </w:r>
      <w:r>
        <w:rPr>
          <w:sz w:val="18"/>
        </w:rPr>
        <w:t>in</w:t>
      </w:r>
      <w:r>
        <w:rPr>
          <w:spacing w:val="-4"/>
          <w:sz w:val="18"/>
        </w:rPr>
        <w:t> </w:t>
      </w:r>
      <w:r>
        <w:rPr>
          <w:sz w:val="18"/>
        </w:rPr>
        <w:t>2017</w:t>
      </w:r>
      <w:r>
        <w:rPr>
          <w:spacing w:val="-2"/>
          <w:sz w:val="18"/>
        </w:rPr>
        <w:t> </w:t>
      </w:r>
      <w:r>
        <w:rPr>
          <w:sz w:val="18"/>
        </w:rPr>
        <w:t>is</w:t>
      </w:r>
      <w:r>
        <w:rPr>
          <w:spacing w:val="-3"/>
          <w:sz w:val="18"/>
        </w:rPr>
        <w:t> </w:t>
      </w:r>
      <w:r>
        <w:rPr>
          <w:sz w:val="18"/>
        </w:rPr>
        <w:t>evident</w:t>
      </w:r>
      <w:r>
        <w:rPr>
          <w:spacing w:val="-1"/>
          <w:sz w:val="18"/>
        </w:rPr>
        <w:t> </w:t>
      </w:r>
      <w:r>
        <w:rPr>
          <w:sz w:val="18"/>
        </w:rPr>
        <w:t>and</w:t>
      </w:r>
      <w:r>
        <w:rPr>
          <w:spacing w:val="-3"/>
          <w:sz w:val="18"/>
        </w:rPr>
        <w:t> </w:t>
      </w:r>
      <w:r>
        <w:rPr>
          <w:sz w:val="18"/>
        </w:rPr>
        <w:t>matches</w:t>
      </w:r>
      <w:r>
        <w:rPr>
          <w:spacing w:val="-1"/>
          <w:sz w:val="18"/>
        </w:rPr>
        <w:t> </w:t>
      </w:r>
      <w:r>
        <w:rPr>
          <w:sz w:val="18"/>
        </w:rPr>
        <w:t>the</w:t>
      </w:r>
      <w:r>
        <w:rPr>
          <w:spacing w:val="-3"/>
          <w:sz w:val="18"/>
        </w:rPr>
        <w:t> </w:t>
      </w:r>
      <w:r>
        <w:rPr>
          <w:sz w:val="18"/>
        </w:rPr>
        <w:t>increased</w:t>
      </w:r>
      <w:r>
        <w:rPr>
          <w:spacing w:val="-3"/>
          <w:sz w:val="18"/>
        </w:rPr>
        <w:t> </w:t>
      </w:r>
      <w:r>
        <w:rPr>
          <w:sz w:val="18"/>
        </w:rPr>
        <w:t>expenditure</w:t>
      </w:r>
      <w:r>
        <w:rPr>
          <w:spacing w:val="-3"/>
          <w:sz w:val="18"/>
        </w:rPr>
        <w:t> </w:t>
      </w:r>
      <w:r>
        <w:rPr>
          <w:sz w:val="18"/>
        </w:rPr>
        <w:t>on</w:t>
      </w:r>
      <w:r>
        <w:rPr>
          <w:spacing w:val="-3"/>
          <w:sz w:val="18"/>
        </w:rPr>
        <w:t> </w:t>
      </w:r>
      <w:r>
        <w:rPr>
          <w:sz w:val="18"/>
        </w:rPr>
        <w:t>scholarships. The Scholarship Analysis Report 2018 (Fiona O’Meara) noted that 2283 of the awards were verified by award letters in 2017. Even with award letters there is no proof that awardees have taken up offers and started classes. The assessor is unable to confirm with any degree of confidence the accuracy of scholarship numbers provided now or for past assessments. Actual expenditure is therefore a clearer indicator of scholarship sustainability.</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3"/>
        <w:jc w:val="both"/>
      </w:pPr>
      <w:r>
        <w:rPr/>
        <w:t>historical</w:t>
      </w:r>
      <w:r>
        <w:rPr>
          <w:spacing w:val="-3"/>
        </w:rPr>
        <w:t> </w:t>
      </w:r>
      <w:r>
        <w:rPr/>
        <w:t>data.</w:t>
      </w:r>
      <w:r>
        <w:rPr>
          <w:spacing w:val="40"/>
        </w:rPr>
        <w:t> </w:t>
      </w:r>
      <w:r>
        <w:rPr/>
        <w:t>Once</w:t>
      </w:r>
      <w:r>
        <w:rPr>
          <w:spacing w:val="-1"/>
        </w:rPr>
        <w:t> </w:t>
      </w:r>
      <w:r>
        <w:rPr/>
        <w:t>this</w:t>
      </w:r>
      <w:r>
        <w:rPr>
          <w:spacing w:val="-2"/>
        </w:rPr>
        <w:t> </w:t>
      </w:r>
      <w:r>
        <w:rPr/>
        <w:t>is</w:t>
      </w:r>
      <w:r>
        <w:rPr>
          <w:spacing w:val="-4"/>
        </w:rPr>
        <w:t> </w:t>
      </w:r>
      <w:r>
        <w:rPr/>
        <w:t>complete,</w:t>
      </w:r>
      <w:r>
        <w:rPr>
          <w:spacing w:val="-1"/>
        </w:rPr>
        <w:t> </w:t>
      </w:r>
      <w:r>
        <w:rPr/>
        <w:t>it</w:t>
      </w:r>
      <w:r>
        <w:rPr>
          <w:spacing w:val="-2"/>
        </w:rPr>
        <w:t> </w:t>
      </w:r>
      <w:r>
        <w:rPr/>
        <w:t>should</w:t>
      </w:r>
      <w:r>
        <w:rPr>
          <w:spacing w:val="-3"/>
        </w:rPr>
        <w:t> </w:t>
      </w:r>
      <w:r>
        <w:rPr/>
        <w:t>be</w:t>
      </w:r>
      <w:r>
        <w:rPr>
          <w:spacing w:val="-2"/>
        </w:rPr>
        <w:t> </w:t>
      </w:r>
      <w:r>
        <w:rPr/>
        <w:t>possible</w:t>
      </w:r>
      <w:r>
        <w:rPr>
          <w:spacing w:val="-2"/>
        </w:rPr>
        <w:t> </w:t>
      </w:r>
      <w:r>
        <w:rPr/>
        <w:t>to</w:t>
      </w:r>
      <w:r>
        <w:rPr>
          <w:spacing w:val="-1"/>
        </w:rPr>
        <w:t> </w:t>
      </w:r>
      <w:r>
        <w:rPr/>
        <w:t>undertake data</w:t>
      </w:r>
      <w:r>
        <w:rPr>
          <w:spacing w:val="-2"/>
        </w:rPr>
        <w:t> </w:t>
      </w:r>
      <w:r>
        <w:rPr/>
        <w:t>analysis</w:t>
      </w:r>
      <w:r>
        <w:rPr>
          <w:spacing w:val="-2"/>
        </w:rPr>
        <w:t> </w:t>
      </w:r>
      <w:r>
        <w:rPr/>
        <w:t>to</w:t>
      </w:r>
      <w:r>
        <w:rPr>
          <w:spacing w:val="-1"/>
        </w:rPr>
        <w:t> </w:t>
      </w:r>
      <w:r>
        <w:rPr/>
        <w:t>better</w:t>
      </w:r>
      <w:r>
        <w:rPr>
          <w:spacing w:val="-1"/>
        </w:rPr>
        <w:t> </w:t>
      </w:r>
      <w:r>
        <w:rPr/>
        <w:t>align scholarships to labour market needs.</w:t>
      </w:r>
    </w:p>
    <w:p>
      <w:pPr>
        <w:pStyle w:val="BodyText"/>
        <w:spacing w:before="4"/>
        <w:rPr>
          <w:sz w:val="16"/>
        </w:rPr>
      </w:pPr>
    </w:p>
    <w:p>
      <w:pPr>
        <w:pStyle w:val="BodyText"/>
        <w:ind w:left="220" w:right="1252"/>
        <w:jc w:val="both"/>
      </w:pPr>
      <w:r>
        <w:rPr/>
        <w:t>CEWG commended the inclusion of actions regarded to be more politically sensitive, notably those related to MP’s discretionary funding including the government’s commitment to capping the number of new scholarships awards. Significant background policy work on vocational scholarships was completed in 2018. While scholarship awards are difficult policy reform, MEHRD is applauded</w:t>
      </w:r>
      <w:r>
        <w:rPr>
          <w:spacing w:val="40"/>
        </w:rPr>
        <w:t> </w:t>
      </w:r>
      <w:r>
        <w:rPr/>
        <w:t>for its attempts to make changes in areas it can control. A Report completed last year</w:t>
      </w:r>
      <w:r>
        <w:rPr>
          <w:vertAlign w:val="superscript"/>
        </w:rPr>
        <w:t>16</w:t>
      </w:r>
      <w:r>
        <w:rPr>
          <w:spacing w:val="-2"/>
          <w:vertAlign w:val="baseline"/>
        </w:rPr>
        <w:t> </w:t>
      </w:r>
      <w:r>
        <w:rPr>
          <w:vertAlign w:val="baseline"/>
        </w:rPr>
        <w:t>on scholarships provided the first MEHRD analysis of the fields of study allocations (education at 25 per cent is the largest) and geographical spread (which was aligned with the population, apart from Malaita that had more awards more per capita than other provinces).</w:t>
      </w:r>
    </w:p>
    <w:p>
      <w:pPr>
        <w:pStyle w:val="BodyText"/>
        <w:spacing w:before="6"/>
        <w:rPr>
          <w:sz w:val="16"/>
        </w:rPr>
      </w:pPr>
    </w:p>
    <w:p>
      <w:pPr>
        <w:pStyle w:val="BodyText"/>
        <w:ind w:left="220" w:right="1253"/>
        <w:jc w:val="both"/>
      </w:pPr>
      <w:r>
        <w:rPr/>
        <w:t>Further research into termination, suspension, extension and completion rates along with employment rates of new graduates is necessary. Again, this is another area where research (quantitative and qualitative) could shine a light on a contentious issue: The trade-off between educating primary students and tertiary scholarships. </w:t>
      </w:r>
      <w:r>
        <w:rPr>
          <w:b/>
        </w:rPr>
        <w:t>This indicator is assessed as 70 per cent (out of a possible 100 per cent) </w:t>
      </w:r>
      <w:r>
        <w:rPr/>
        <w:t>because of the drop in overall scholarship expenditure, the 60 per cent drop in scholarships from 2017 to 2018, and the progress MEHRD in making change where it is possible and within their control</w:t>
      </w:r>
      <w:r>
        <w:rPr>
          <w:vertAlign w:val="superscript"/>
        </w:rPr>
        <w:t>17</w:t>
      </w:r>
      <w:r>
        <w:rPr>
          <w:vertAlign w:val="baseline"/>
        </w:rPr>
        <w:t>.</w:t>
      </w:r>
    </w:p>
    <w:p>
      <w:pPr>
        <w:pStyle w:val="BodyText"/>
        <w:rPr>
          <w:sz w:val="24"/>
        </w:rPr>
      </w:pPr>
    </w:p>
    <w:p>
      <w:pPr>
        <w:pStyle w:val="BodyText"/>
        <w:spacing w:before="8"/>
        <w:rPr>
          <w:sz w:val="30"/>
        </w:rPr>
      </w:pPr>
    </w:p>
    <w:p>
      <w:pPr>
        <w:pStyle w:val="Heading4"/>
        <w:numPr>
          <w:ilvl w:val="2"/>
          <w:numId w:val="7"/>
        </w:numPr>
        <w:tabs>
          <w:tab w:pos="940" w:val="left" w:leader="none"/>
          <w:tab w:pos="941" w:val="left" w:leader="none"/>
        </w:tabs>
        <w:spacing w:line="271" w:lineRule="auto" w:before="0" w:after="0"/>
        <w:ind w:left="220" w:right="1998" w:firstLine="0"/>
        <w:jc w:val="left"/>
        <w:rPr>
          <w:b w:val="0"/>
        </w:rPr>
      </w:pPr>
      <w:bookmarkStart w:name="_bookmark32" w:id="33"/>
      <w:bookmarkEnd w:id="33"/>
      <w:r>
        <w:rPr>
          <w:b w:val="0"/>
          <w:color w:val="4471C4"/>
        </w:rPr>
        <w:t>T</w:t>
      </w:r>
      <w:r>
        <w:rPr>
          <w:b w:val="0"/>
          <w:color w:val="4471C4"/>
        </w:rPr>
        <w:t>arget 3.6: The Solomon Islands Government maintains its recurrent budget allocation for education in 2018.</w:t>
      </w:r>
    </w:p>
    <w:p>
      <w:pPr>
        <w:pStyle w:val="BodyText"/>
        <w:spacing w:before="4" w:after="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431"/>
        <w:gridCol w:w="2502"/>
        <w:gridCol w:w="1711"/>
      </w:tblGrid>
      <w:tr>
        <w:trPr>
          <w:trHeight w:val="689" w:hRule="atLeast"/>
        </w:trPr>
        <w:tc>
          <w:tcPr>
            <w:tcW w:w="2431"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45"/>
              <w:rPr>
                <w:b/>
                <w:sz w:val="19"/>
              </w:rPr>
            </w:pPr>
            <w:r>
              <w:rPr>
                <w:b/>
                <w:w w:val="115"/>
                <w:sz w:val="19"/>
              </w:rPr>
              <w:t>Performance</w:t>
            </w:r>
            <w:r>
              <w:rPr>
                <w:b/>
                <w:spacing w:val="13"/>
                <w:w w:val="120"/>
                <w:sz w:val="19"/>
              </w:rPr>
              <w:t> </w:t>
            </w:r>
            <w:r>
              <w:rPr>
                <w:b/>
                <w:spacing w:val="-2"/>
                <w:w w:val="120"/>
                <w:sz w:val="19"/>
              </w:rPr>
              <w:t>Indicators</w:t>
            </w:r>
          </w:p>
        </w:tc>
        <w:tc>
          <w:tcPr>
            <w:tcW w:w="2502" w:type="dxa"/>
            <w:tcBorders>
              <w:left w:val="single" w:sz="6" w:space="0" w:color="4471C4"/>
              <w:right w:val="single" w:sz="6" w:space="0" w:color="4471C4"/>
            </w:tcBorders>
            <w:shd w:val="clear" w:color="auto" w:fill="B4C5E7"/>
          </w:tcPr>
          <w:p>
            <w:pPr>
              <w:pStyle w:val="TableParagraph"/>
              <w:spacing w:line="259" w:lineRule="auto" w:before="109"/>
              <w:ind w:left="700" w:right="441" w:hanging="260"/>
              <w:rPr>
                <w:b/>
                <w:sz w:val="19"/>
              </w:rPr>
            </w:pPr>
            <w:r>
              <w:rPr>
                <w:b/>
                <w:w w:val="120"/>
                <w:sz w:val="19"/>
              </w:rPr>
              <w:t>Expected</w:t>
            </w:r>
            <w:r>
              <w:rPr>
                <w:b/>
                <w:spacing w:val="-13"/>
                <w:w w:val="120"/>
                <w:sz w:val="19"/>
              </w:rPr>
              <w:t> </w:t>
            </w:r>
            <w:r>
              <w:rPr>
                <w:b/>
                <w:w w:val="120"/>
                <w:sz w:val="19"/>
              </w:rPr>
              <w:t>Results </w:t>
            </w:r>
            <w:r>
              <w:rPr>
                <w:b/>
                <w:spacing w:val="-2"/>
                <w:w w:val="120"/>
                <w:sz w:val="19"/>
              </w:rPr>
              <w:t>Statements</w:t>
            </w:r>
          </w:p>
        </w:tc>
        <w:tc>
          <w:tcPr>
            <w:tcW w:w="1711"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547" w:right="532"/>
              <w:jc w:val="center"/>
              <w:rPr>
                <w:b/>
                <w:sz w:val="19"/>
              </w:rPr>
            </w:pPr>
            <w:r>
              <w:rPr>
                <w:b/>
                <w:spacing w:val="-5"/>
                <w:w w:val="120"/>
                <w:sz w:val="19"/>
              </w:rPr>
              <w:t>IA</w:t>
            </w:r>
          </w:p>
        </w:tc>
      </w:tr>
      <w:tr>
        <w:trPr>
          <w:trHeight w:val="1538" w:hRule="atLeast"/>
        </w:trPr>
        <w:tc>
          <w:tcPr>
            <w:tcW w:w="2431" w:type="dxa"/>
            <w:tcBorders>
              <w:left w:val="single" w:sz="6" w:space="0" w:color="4471C4"/>
              <w:right w:val="single" w:sz="6" w:space="0" w:color="4471C4"/>
            </w:tcBorders>
          </w:tcPr>
          <w:p>
            <w:pPr>
              <w:pStyle w:val="TableParagraph"/>
              <w:spacing w:line="261" w:lineRule="auto" w:before="8"/>
              <w:ind w:left="39" w:right="58"/>
              <w:rPr>
                <w:sz w:val="18"/>
              </w:rPr>
            </w:pPr>
            <w:r>
              <w:rPr>
                <w:w w:val="120"/>
                <w:sz w:val="18"/>
              </w:rPr>
              <w:t>3.6.1</w:t>
            </w:r>
            <w:r>
              <w:rPr>
                <w:spacing w:val="31"/>
                <w:w w:val="120"/>
                <w:sz w:val="18"/>
              </w:rPr>
              <w:t> </w:t>
            </w:r>
            <w:r>
              <w:rPr>
                <w:w w:val="120"/>
                <w:sz w:val="18"/>
              </w:rPr>
              <w:t>A</w:t>
            </w:r>
            <w:r>
              <w:rPr>
                <w:spacing w:val="-13"/>
                <w:w w:val="120"/>
                <w:sz w:val="18"/>
              </w:rPr>
              <w:t> </w:t>
            </w:r>
            <w:r>
              <w:rPr>
                <w:w w:val="120"/>
                <w:sz w:val="18"/>
              </w:rPr>
              <w:t>minimum</w:t>
            </w:r>
            <w:r>
              <w:rPr>
                <w:spacing w:val="-11"/>
                <w:w w:val="120"/>
                <w:sz w:val="18"/>
              </w:rPr>
              <w:t> </w:t>
            </w:r>
            <w:r>
              <w:rPr>
                <w:w w:val="120"/>
                <w:sz w:val="18"/>
              </w:rPr>
              <w:t>of</w:t>
            </w:r>
            <w:r>
              <w:rPr>
                <w:spacing w:val="-3"/>
                <w:w w:val="120"/>
                <w:sz w:val="18"/>
              </w:rPr>
              <w:t> </w:t>
            </w:r>
            <w:r>
              <w:rPr>
                <w:w w:val="120"/>
                <w:sz w:val="18"/>
              </w:rPr>
              <w:t>22% of national recurrent </w:t>
            </w:r>
            <w:r>
              <w:rPr>
                <w:w w:val="115"/>
                <w:sz w:val="18"/>
              </w:rPr>
              <w:t>expenditure</w:t>
            </w:r>
            <w:r>
              <w:rPr>
                <w:spacing w:val="-5"/>
                <w:w w:val="115"/>
                <w:sz w:val="18"/>
              </w:rPr>
              <w:t> </w:t>
            </w:r>
            <w:r>
              <w:rPr>
                <w:w w:val="115"/>
                <w:sz w:val="18"/>
              </w:rPr>
              <w:t>is</w:t>
            </w:r>
            <w:r>
              <w:rPr>
                <w:spacing w:val="-6"/>
                <w:w w:val="115"/>
                <w:sz w:val="18"/>
              </w:rPr>
              <w:t> </w:t>
            </w:r>
            <w:r>
              <w:rPr>
                <w:w w:val="115"/>
                <w:sz w:val="18"/>
              </w:rPr>
              <w:t>committed </w:t>
            </w:r>
            <w:r>
              <w:rPr>
                <w:w w:val="120"/>
                <w:sz w:val="18"/>
              </w:rPr>
              <w:t>to the education sector</w:t>
            </w:r>
          </w:p>
        </w:tc>
        <w:tc>
          <w:tcPr>
            <w:tcW w:w="2502" w:type="dxa"/>
            <w:tcBorders>
              <w:left w:val="single" w:sz="6" w:space="0" w:color="4471C4"/>
              <w:right w:val="single" w:sz="6" w:space="0" w:color="4471C4"/>
            </w:tcBorders>
          </w:tcPr>
          <w:p>
            <w:pPr>
              <w:pStyle w:val="TableParagraph"/>
              <w:spacing w:line="261" w:lineRule="auto" w:before="8"/>
              <w:ind w:left="39" w:right="30"/>
              <w:rPr>
                <w:sz w:val="18"/>
              </w:rPr>
            </w:pPr>
            <w:r>
              <w:rPr>
                <w:w w:val="115"/>
                <w:sz w:val="18"/>
              </w:rPr>
              <w:t>SIEMIS</w:t>
            </w:r>
            <w:r>
              <w:rPr>
                <w:spacing w:val="-4"/>
                <w:w w:val="115"/>
                <w:sz w:val="18"/>
              </w:rPr>
              <w:t> </w:t>
            </w:r>
            <w:r>
              <w:rPr>
                <w:w w:val="115"/>
                <w:sz w:val="18"/>
              </w:rPr>
              <w:t>Expenditure Report as</w:t>
            </w:r>
            <w:r>
              <w:rPr>
                <w:spacing w:val="-1"/>
                <w:w w:val="115"/>
                <w:sz w:val="18"/>
              </w:rPr>
              <w:t> </w:t>
            </w:r>
            <w:r>
              <w:rPr>
                <w:w w:val="115"/>
                <w:sz w:val="18"/>
              </w:rPr>
              <w:t>per</w:t>
            </w:r>
            <w:r>
              <w:rPr>
                <w:spacing w:val="-4"/>
                <w:w w:val="115"/>
                <w:sz w:val="18"/>
              </w:rPr>
              <w:t> </w:t>
            </w:r>
            <w:r>
              <w:rPr>
                <w:w w:val="115"/>
                <w:sz w:val="18"/>
              </w:rPr>
              <w:t>2018</w:t>
            </w:r>
            <w:r>
              <w:rPr>
                <w:spacing w:val="-2"/>
                <w:w w:val="115"/>
                <w:sz w:val="18"/>
              </w:rPr>
              <w:t> </w:t>
            </w:r>
            <w:r>
              <w:rPr>
                <w:w w:val="115"/>
                <w:sz w:val="18"/>
              </w:rPr>
              <w:t>Annual</w:t>
            </w:r>
            <w:r>
              <w:rPr>
                <w:spacing w:val="-1"/>
                <w:w w:val="115"/>
                <w:sz w:val="18"/>
              </w:rPr>
              <w:t> </w:t>
            </w:r>
            <w:r>
              <w:rPr>
                <w:spacing w:val="-2"/>
                <w:w w:val="115"/>
                <w:sz w:val="18"/>
              </w:rPr>
              <w:t>Report</w:t>
            </w:r>
          </w:p>
        </w:tc>
        <w:tc>
          <w:tcPr>
            <w:tcW w:w="1711" w:type="dxa"/>
            <w:tcBorders>
              <w:left w:val="single" w:sz="6" w:space="0" w:color="4471C4"/>
              <w:right w:val="single" w:sz="6" w:space="0" w:color="4471C4"/>
            </w:tcBorders>
            <w:shd w:val="clear" w:color="auto" w:fill="A9D08E"/>
          </w:tcPr>
          <w:p>
            <w:pPr>
              <w:pStyle w:val="TableParagraph"/>
              <w:spacing w:before="10"/>
              <w:ind w:left="548" w:right="532"/>
              <w:jc w:val="center"/>
              <w:rPr>
                <w:sz w:val="22"/>
              </w:rPr>
            </w:pPr>
            <w:r>
              <w:rPr>
                <w:spacing w:val="-4"/>
                <w:w w:val="120"/>
                <w:sz w:val="22"/>
              </w:rPr>
              <w:t>100%</w:t>
            </w:r>
          </w:p>
        </w:tc>
      </w:tr>
    </w:tbl>
    <w:p>
      <w:pPr>
        <w:pStyle w:val="BodyText"/>
        <w:rPr>
          <w:rFonts w:ascii="Calibri Light"/>
          <w:b w:val="0"/>
          <w:sz w:val="24"/>
        </w:rPr>
      </w:pPr>
    </w:p>
    <w:p>
      <w:pPr>
        <w:pStyle w:val="BodyText"/>
        <w:spacing w:before="177"/>
        <w:ind w:left="220"/>
        <w:jc w:val="both"/>
      </w:pPr>
      <w:r>
        <w:rPr>
          <w:b/>
        </w:rPr>
        <w:t>Source:</w:t>
      </w:r>
      <w:r>
        <w:rPr>
          <w:b/>
          <w:spacing w:val="-5"/>
        </w:rPr>
        <w:t> </w:t>
      </w:r>
      <w:r>
        <w:rPr/>
        <w:t>SIG</w:t>
      </w:r>
      <w:r>
        <w:rPr>
          <w:spacing w:val="-3"/>
        </w:rPr>
        <w:t> </w:t>
      </w:r>
      <w:r>
        <w:rPr/>
        <w:t>Budget</w:t>
      </w:r>
      <w:r>
        <w:rPr>
          <w:spacing w:val="-6"/>
        </w:rPr>
        <w:t> </w:t>
      </w:r>
      <w:r>
        <w:rPr/>
        <w:t>Papers,</w:t>
      </w:r>
      <w:r>
        <w:rPr>
          <w:spacing w:val="-4"/>
        </w:rPr>
        <w:t> </w:t>
      </w:r>
      <w:r>
        <w:rPr/>
        <w:t>MoF,</w:t>
      </w:r>
      <w:r>
        <w:rPr>
          <w:spacing w:val="-3"/>
        </w:rPr>
        <w:t> </w:t>
      </w:r>
      <w:r>
        <w:rPr/>
        <w:t>MEHRD</w:t>
      </w:r>
      <w:r>
        <w:rPr>
          <w:spacing w:val="-6"/>
        </w:rPr>
        <w:t> </w:t>
      </w:r>
      <w:r>
        <w:rPr/>
        <w:t>data</w:t>
      </w:r>
      <w:r>
        <w:rPr>
          <w:spacing w:val="-3"/>
        </w:rPr>
        <w:t> </w:t>
      </w:r>
      <w:r>
        <w:rPr/>
        <w:t>presented</w:t>
      </w:r>
      <w:r>
        <w:rPr>
          <w:spacing w:val="-3"/>
        </w:rPr>
        <w:t> </w:t>
      </w:r>
      <w:r>
        <w:rPr/>
        <w:t>at</w:t>
      </w:r>
      <w:r>
        <w:rPr>
          <w:spacing w:val="-6"/>
        </w:rPr>
        <w:t> </w:t>
      </w:r>
      <w:r>
        <w:rPr/>
        <w:t>Mid-Year</w:t>
      </w:r>
      <w:r>
        <w:rPr>
          <w:spacing w:val="-6"/>
        </w:rPr>
        <w:t> </w:t>
      </w:r>
      <w:r>
        <w:rPr/>
        <w:t>Review.</w:t>
      </w:r>
      <w:r>
        <w:rPr>
          <w:spacing w:val="-1"/>
        </w:rPr>
        <w:t> </w:t>
      </w:r>
      <w:r>
        <w:rPr>
          <w:spacing w:val="-2"/>
        </w:rPr>
        <w:t>Siginfo.</w:t>
      </w:r>
    </w:p>
    <w:p>
      <w:pPr>
        <w:pStyle w:val="BodyText"/>
        <w:spacing w:before="3"/>
        <w:rPr>
          <w:sz w:val="16"/>
        </w:rPr>
      </w:pPr>
    </w:p>
    <w:p>
      <w:pPr>
        <w:pStyle w:val="BodyText"/>
        <w:spacing w:before="1"/>
        <w:ind w:left="220" w:right="1253"/>
        <w:jc w:val="both"/>
      </w:pPr>
      <w:r>
        <w:rPr>
          <w:b/>
        </w:rPr>
        <w:t>Performance Indicator 3.6.1</w:t>
      </w:r>
      <w:r>
        <w:rPr/>
        <w:t>: The very capable Technical Adviser, Finance and MoFT Budget Statements confirmed that the recurrent budget appropriation (272) was SBD1,169,269,592 for 2018. Actuals were SBD1,137,314,674: This decrease in budget to actual was due to a decrease in scholarship expenditure (Diagram 3 below). Scholarships account for 33 per cent of total MEHRD actual recurrent expenditure (allocation 37 per cent). However, as noted in Section 4.3.5 this is still well above 2016 expenditure levels. </w:t>
      </w:r>
      <w:r>
        <w:rPr>
          <w:b/>
        </w:rPr>
        <w:t>This indicator is assessed as 100 per cent achieved (of a possible 100), </w:t>
      </w:r>
      <w:r>
        <w:rPr/>
        <w:t>as 39 per cent of total SIG recurrent expenditure was allocated to the education </w:t>
      </w:r>
      <w:r>
        <w:rPr>
          <w:spacing w:val="-2"/>
        </w:rPr>
        <w:t>sector.</w:t>
      </w:r>
    </w:p>
    <w:p>
      <w:pPr>
        <w:pStyle w:val="BodyText"/>
        <w:rPr>
          <w:sz w:val="20"/>
        </w:rPr>
      </w:pPr>
    </w:p>
    <w:p>
      <w:pPr>
        <w:pStyle w:val="BodyText"/>
        <w:spacing w:before="4"/>
        <w:rPr>
          <w:sz w:val="11"/>
        </w:rPr>
      </w:pPr>
      <w:r>
        <w:rPr/>
        <w:pict>
          <v:rect style="position:absolute;margin-left:72.024002pt;margin-top:8.113778pt;width:144.020pt;height:.71997pt;mso-position-horizontal-relative:page;mso-position-vertical-relative:paragraph;z-index:-15721472;mso-wrap-distance-left:0;mso-wrap-distance-right:0" id="docshape14" filled="true" fillcolor="#000000" stroked="false">
            <v:fill type="solid"/>
            <w10:wrap type="topAndBottom"/>
          </v:rect>
        </w:pict>
      </w:r>
    </w:p>
    <w:p>
      <w:pPr>
        <w:spacing w:before="102"/>
        <w:ind w:left="220" w:right="1246" w:firstLine="0"/>
        <w:jc w:val="left"/>
        <w:rPr>
          <w:sz w:val="18"/>
        </w:rPr>
      </w:pPr>
      <w:r>
        <w:rPr>
          <w:position w:val="5"/>
          <w:sz w:val="12"/>
        </w:rPr>
        <w:t>16</w:t>
      </w:r>
      <w:r>
        <w:rPr>
          <w:spacing w:val="10"/>
          <w:position w:val="5"/>
          <w:sz w:val="12"/>
        </w:rPr>
        <w:t> </w:t>
      </w:r>
      <w:r>
        <w:rPr>
          <w:sz w:val="18"/>
        </w:rPr>
        <w:t>Scholarship</w:t>
      </w:r>
      <w:r>
        <w:rPr>
          <w:spacing w:val="-3"/>
          <w:sz w:val="18"/>
        </w:rPr>
        <w:t> </w:t>
      </w:r>
      <w:r>
        <w:rPr>
          <w:sz w:val="18"/>
        </w:rPr>
        <w:t>Analysis</w:t>
      </w:r>
      <w:r>
        <w:rPr>
          <w:spacing w:val="-3"/>
          <w:sz w:val="18"/>
        </w:rPr>
        <w:t> </w:t>
      </w:r>
      <w:r>
        <w:rPr>
          <w:sz w:val="18"/>
        </w:rPr>
        <w:t>Report</w:t>
      </w:r>
      <w:r>
        <w:rPr>
          <w:spacing w:val="-3"/>
          <w:sz w:val="18"/>
        </w:rPr>
        <w:t> </w:t>
      </w:r>
      <w:r>
        <w:rPr>
          <w:sz w:val="18"/>
        </w:rPr>
        <w:t>2018.</w:t>
      </w:r>
      <w:r>
        <w:rPr>
          <w:spacing w:val="-2"/>
          <w:sz w:val="18"/>
        </w:rPr>
        <w:t> </w:t>
      </w:r>
      <w:r>
        <w:rPr>
          <w:sz w:val="18"/>
        </w:rPr>
        <w:t>Carried</w:t>
      </w:r>
      <w:r>
        <w:rPr>
          <w:spacing w:val="-3"/>
          <w:sz w:val="18"/>
        </w:rPr>
        <w:t> </w:t>
      </w:r>
      <w:r>
        <w:rPr>
          <w:sz w:val="18"/>
        </w:rPr>
        <w:t>out</w:t>
      </w:r>
      <w:r>
        <w:rPr>
          <w:spacing w:val="-2"/>
          <w:sz w:val="18"/>
        </w:rPr>
        <w:t> </w:t>
      </w:r>
      <w:r>
        <w:rPr>
          <w:sz w:val="18"/>
        </w:rPr>
        <w:t>by Fiona</w:t>
      </w:r>
      <w:r>
        <w:rPr>
          <w:spacing w:val="-3"/>
          <w:sz w:val="18"/>
        </w:rPr>
        <w:t> </w:t>
      </w:r>
      <w:r>
        <w:rPr>
          <w:sz w:val="18"/>
        </w:rPr>
        <w:t>O’Meara under</w:t>
      </w:r>
      <w:r>
        <w:rPr>
          <w:spacing w:val="-2"/>
          <w:sz w:val="18"/>
        </w:rPr>
        <w:t> </w:t>
      </w:r>
      <w:r>
        <w:rPr>
          <w:sz w:val="18"/>
        </w:rPr>
        <w:t>the</w:t>
      </w:r>
      <w:r>
        <w:rPr>
          <w:spacing w:val="-3"/>
          <w:sz w:val="18"/>
        </w:rPr>
        <w:t> </w:t>
      </w:r>
      <w:r>
        <w:rPr>
          <w:sz w:val="18"/>
        </w:rPr>
        <w:t>management</w:t>
      </w:r>
      <w:r>
        <w:rPr>
          <w:spacing w:val="-2"/>
          <w:sz w:val="18"/>
        </w:rPr>
        <w:t> </w:t>
      </w:r>
      <w:r>
        <w:rPr>
          <w:sz w:val="18"/>
        </w:rPr>
        <w:t>of</w:t>
      </w:r>
      <w:r>
        <w:rPr>
          <w:spacing w:val="-3"/>
          <w:sz w:val="18"/>
        </w:rPr>
        <w:t> </w:t>
      </w:r>
      <w:r>
        <w:rPr>
          <w:sz w:val="18"/>
        </w:rPr>
        <w:t>MEHRD,</w:t>
      </w:r>
      <w:r>
        <w:rPr>
          <w:spacing w:val="-3"/>
          <w:sz w:val="18"/>
        </w:rPr>
        <w:t> </w:t>
      </w:r>
      <w:r>
        <w:rPr>
          <w:sz w:val="18"/>
        </w:rPr>
        <w:t>firstly</w:t>
      </w:r>
      <w:r>
        <w:rPr>
          <w:spacing w:val="-2"/>
          <w:sz w:val="18"/>
        </w:rPr>
        <w:t> </w:t>
      </w:r>
      <w:r>
        <w:rPr>
          <w:sz w:val="18"/>
        </w:rPr>
        <w:t>as</w:t>
      </w:r>
      <w:r>
        <w:rPr>
          <w:spacing w:val="-3"/>
          <w:sz w:val="18"/>
        </w:rPr>
        <w:t> </w:t>
      </w:r>
      <w:r>
        <w:rPr>
          <w:sz w:val="18"/>
        </w:rPr>
        <w:t>a</w:t>
      </w:r>
      <w:r>
        <w:rPr>
          <w:spacing w:val="-3"/>
          <w:sz w:val="18"/>
        </w:rPr>
        <w:t> </w:t>
      </w:r>
      <w:r>
        <w:rPr>
          <w:sz w:val="18"/>
        </w:rPr>
        <w:t>volunteer and later as a local TA for MEHRD.</w:t>
      </w:r>
    </w:p>
    <w:p>
      <w:pPr>
        <w:spacing w:before="38"/>
        <w:ind w:left="220" w:right="1682" w:firstLine="0"/>
        <w:jc w:val="left"/>
        <w:rPr>
          <w:sz w:val="18"/>
        </w:rPr>
      </w:pPr>
      <w:r>
        <w:rPr>
          <w:position w:val="5"/>
          <w:sz w:val="12"/>
        </w:rPr>
        <w:t>17</w:t>
      </w:r>
      <w:r>
        <w:rPr>
          <w:spacing w:val="10"/>
          <w:position w:val="5"/>
          <w:sz w:val="12"/>
        </w:rPr>
        <w:t> </w:t>
      </w:r>
      <w:r>
        <w:rPr>
          <w:sz w:val="18"/>
        </w:rPr>
        <w:t>Holzapfel,</w:t>
      </w:r>
      <w:r>
        <w:rPr>
          <w:spacing w:val="-2"/>
          <w:sz w:val="18"/>
        </w:rPr>
        <w:t> </w:t>
      </w:r>
      <w:r>
        <w:rPr>
          <w:sz w:val="18"/>
        </w:rPr>
        <w:t>S.</w:t>
      </w:r>
      <w:r>
        <w:rPr>
          <w:spacing w:val="-3"/>
          <w:sz w:val="18"/>
        </w:rPr>
        <w:t> </w:t>
      </w:r>
      <w:r>
        <w:rPr>
          <w:sz w:val="18"/>
        </w:rPr>
        <w:t>and</w:t>
      </w:r>
      <w:r>
        <w:rPr>
          <w:spacing w:val="-4"/>
          <w:sz w:val="18"/>
        </w:rPr>
        <w:t> </w:t>
      </w:r>
      <w:r>
        <w:rPr>
          <w:sz w:val="18"/>
        </w:rPr>
        <w:t>Janus,</w:t>
      </w:r>
      <w:r>
        <w:rPr>
          <w:spacing w:val="-2"/>
          <w:sz w:val="18"/>
        </w:rPr>
        <w:t> </w:t>
      </w:r>
      <w:r>
        <w:rPr>
          <w:sz w:val="18"/>
        </w:rPr>
        <w:t>H.</w:t>
      </w:r>
      <w:r>
        <w:rPr>
          <w:spacing w:val="-3"/>
          <w:sz w:val="18"/>
        </w:rPr>
        <w:t> </w:t>
      </w:r>
      <w:r>
        <w:rPr>
          <w:sz w:val="18"/>
        </w:rPr>
        <w:t>(2015), </w:t>
      </w:r>
      <w:r>
        <w:rPr>
          <w:i/>
          <w:sz w:val="18"/>
        </w:rPr>
        <w:t>Improving</w:t>
      </w:r>
      <w:r>
        <w:rPr>
          <w:i/>
          <w:spacing w:val="-2"/>
          <w:sz w:val="18"/>
        </w:rPr>
        <w:t> </w:t>
      </w:r>
      <w:r>
        <w:rPr>
          <w:i/>
          <w:sz w:val="18"/>
        </w:rPr>
        <w:t>Education</w:t>
      </w:r>
      <w:r>
        <w:rPr>
          <w:i/>
          <w:spacing w:val="-3"/>
          <w:sz w:val="18"/>
        </w:rPr>
        <w:t> </w:t>
      </w:r>
      <w:r>
        <w:rPr>
          <w:i/>
          <w:sz w:val="18"/>
        </w:rPr>
        <w:t>Outcomes</w:t>
      </w:r>
      <w:r>
        <w:rPr>
          <w:i/>
          <w:spacing w:val="-2"/>
          <w:sz w:val="18"/>
        </w:rPr>
        <w:t> </w:t>
      </w:r>
      <w:r>
        <w:rPr>
          <w:i/>
          <w:sz w:val="18"/>
        </w:rPr>
        <w:t>by</w:t>
      </w:r>
      <w:r>
        <w:rPr>
          <w:i/>
          <w:spacing w:val="-3"/>
          <w:sz w:val="18"/>
        </w:rPr>
        <w:t> </w:t>
      </w:r>
      <w:r>
        <w:rPr>
          <w:i/>
          <w:sz w:val="18"/>
        </w:rPr>
        <w:t>Linking</w:t>
      </w:r>
      <w:r>
        <w:rPr>
          <w:i/>
          <w:spacing w:val="-4"/>
          <w:sz w:val="18"/>
        </w:rPr>
        <w:t> </w:t>
      </w:r>
      <w:r>
        <w:rPr>
          <w:i/>
          <w:sz w:val="18"/>
        </w:rPr>
        <w:t>Payments</w:t>
      </w:r>
      <w:r>
        <w:rPr>
          <w:i/>
          <w:spacing w:val="-3"/>
          <w:sz w:val="18"/>
        </w:rPr>
        <w:t> </w:t>
      </w:r>
      <w:r>
        <w:rPr>
          <w:i/>
          <w:sz w:val="18"/>
        </w:rPr>
        <w:t>to</w:t>
      </w:r>
      <w:r>
        <w:rPr>
          <w:i/>
          <w:spacing w:val="-4"/>
          <w:sz w:val="18"/>
        </w:rPr>
        <w:t> </w:t>
      </w:r>
      <w:r>
        <w:rPr>
          <w:i/>
          <w:sz w:val="18"/>
        </w:rPr>
        <w:t>Results:</w:t>
      </w:r>
      <w:r>
        <w:rPr>
          <w:i/>
          <w:spacing w:val="-2"/>
          <w:sz w:val="18"/>
        </w:rPr>
        <w:t> </w:t>
      </w:r>
      <w:r>
        <w:rPr>
          <w:i/>
          <w:sz w:val="18"/>
        </w:rPr>
        <w:t>An</w:t>
      </w:r>
      <w:r>
        <w:rPr>
          <w:i/>
          <w:spacing w:val="-3"/>
          <w:sz w:val="18"/>
        </w:rPr>
        <w:t> </w:t>
      </w:r>
      <w:r>
        <w:rPr>
          <w:i/>
          <w:sz w:val="18"/>
        </w:rPr>
        <w:t>Assessment</w:t>
      </w:r>
      <w:r>
        <w:rPr>
          <w:i/>
          <w:spacing w:val="-2"/>
          <w:sz w:val="18"/>
        </w:rPr>
        <w:t> </w:t>
      </w:r>
      <w:r>
        <w:rPr>
          <w:i/>
          <w:sz w:val="18"/>
        </w:rPr>
        <w:t>of</w:t>
      </w:r>
      <w:r>
        <w:rPr>
          <w:i/>
          <w:sz w:val="18"/>
        </w:rPr>
        <w:t> Disbursement-linked</w:t>
      </w:r>
      <w:r>
        <w:rPr>
          <w:i/>
          <w:spacing w:val="-1"/>
          <w:sz w:val="18"/>
        </w:rPr>
        <w:t> </w:t>
      </w:r>
      <w:r>
        <w:rPr>
          <w:i/>
          <w:sz w:val="18"/>
        </w:rPr>
        <w:t>Indicators</w:t>
      </w:r>
      <w:r>
        <w:rPr>
          <w:i/>
          <w:spacing w:val="-2"/>
          <w:sz w:val="18"/>
        </w:rPr>
        <w:t> </w:t>
      </w:r>
      <w:r>
        <w:rPr>
          <w:i/>
          <w:sz w:val="18"/>
        </w:rPr>
        <w:t>in</w:t>
      </w:r>
      <w:r>
        <w:rPr>
          <w:i/>
          <w:spacing w:val="-3"/>
          <w:sz w:val="18"/>
        </w:rPr>
        <w:t> </w:t>
      </w:r>
      <w:r>
        <w:rPr>
          <w:i/>
          <w:sz w:val="18"/>
        </w:rPr>
        <w:t>five</w:t>
      </w:r>
      <w:r>
        <w:rPr>
          <w:i/>
          <w:spacing w:val="-1"/>
          <w:sz w:val="18"/>
        </w:rPr>
        <w:t> </w:t>
      </w:r>
      <w:r>
        <w:rPr>
          <w:i/>
          <w:sz w:val="18"/>
        </w:rPr>
        <w:t>Results-based</w:t>
      </w:r>
      <w:r>
        <w:rPr>
          <w:i/>
          <w:spacing w:val="-1"/>
          <w:sz w:val="18"/>
        </w:rPr>
        <w:t> </w:t>
      </w:r>
      <w:r>
        <w:rPr>
          <w:i/>
          <w:sz w:val="18"/>
        </w:rPr>
        <w:t>Approaches</w:t>
      </w:r>
      <w:r>
        <w:rPr>
          <w:sz w:val="18"/>
        </w:rPr>
        <w:t>.</w:t>
      </w:r>
      <w:r>
        <w:rPr>
          <w:spacing w:val="-4"/>
          <w:sz w:val="18"/>
        </w:rPr>
        <w:t> </w:t>
      </w:r>
      <w:r>
        <w:rPr>
          <w:sz w:val="18"/>
        </w:rPr>
        <w:t>P7.</w:t>
      </w:r>
      <w:r>
        <w:rPr>
          <w:spacing w:val="-1"/>
          <w:sz w:val="18"/>
        </w:rPr>
        <w:t> </w:t>
      </w:r>
      <w:r>
        <w:rPr>
          <w:sz w:val="18"/>
        </w:rPr>
        <w:t>One</w:t>
      </w:r>
      <w:r>
        <w:rPr>
          <w:spacing w:val="-2"/>
          <w:sz w:val="18"/>
        </w:rPr>
        <w:t> </w:t>
      </w:r>
      <w:r>
        <w:rPr>
          <w:sz w:val="18"/>
        </w:rPr>
        <w:t>measure</w:t>
      </w:r>
      <w:r>
        <w:rPr>
          <w:spacing w:val="-2"/>
          <w:sz w:val="18"/>
        </w:rPr>
        <w:t> </w:t>
      </w:r>
      <w:r>
        <w:rPr>
          <w:sz w:val="18"/>
        </w:rPr>
        <w:t>of</w:t>
      </w:r>
      <w:r>
        <w:rPr>
          <w:spacing w:val="-2"/>
          <w:sz w:val="18"/>
        </w:rPr>
        <w:t> </w:t>
      </w:r>
      <w:r>
        <w:rPr>
          <w:sz w:val="18"/>
        </w:rPr>
        <w:t>the</w:t>
      </w:r>
      <w:r>
        <w:rPr>
          <w:spacing w:val="-2"/>
          <w:sz w:val="18"/>
        </w:rPr>
        <w:t> </w:t>
      </w:r>
      <w:r>
        <w:rPr>
          <w:sz w:val="18"/>
        </w:rPr>
        <w:t>quality</w:t>
      </w:r>
      <w:r>
        <w:rPr>
          <w:spacing w:val="-1"/>
          <w:sz w:val="18"/>
        </w:rPr>
        <w:t> </w:t>
      </w:r>
      <w:r>
        <w:rPr>
          <w:sz w:val="18"/>
        </w:rPr>
        <w:t>of</w:t>
      </w:r>
      <w:r>
        <w:rPr>
          <w:spacing w:val="-2"/>
          <w:sz w:val="18"/>
        </w:rPr>
        <w:t> </w:t>
      </w:r>
      <w:r>
        <w:rPr>
          <w:sz w:val="18"/>
        </w:rPr>
        <w:t>an</w:t>
      </w:r>
      <w:r>
        <w:rPr>
          <w:spacing w:val="-2"/>
          <w:sz w:val="18"/>
        </w:rPr>
        <w:t> </w:t>
      </w:r>
      <w:r>
        <w:rPr>
          <w:sz w:val="18"/>
        </w:rPr>
        <w:t>indicator</w:t>
      </w:r>
      <w:r>
        <w:rPr>
          <w:spacing w:val="-1"/>
          <w:sz w:val="18"/>
        </w:rPr>
        <w:t> </w:t>
      </w:r>
      <w:r>
        <w:rPr>
          <w:sz w:val="18"/>
        </w:rPr>
        <w:t>is</w:t>
      </w:r>
      <w:r>
        <w:rPr>
          <w:spacing w:val="-2"/>
          <w:sz w:val="18"/>
        </w:rPr>
        <w:t> </w:t>
      </w:r>
      <w:r>
        <w:rPr>
          <w:sz w:val="18"/>
        </w:rPr>
        <w:t>the extent to which incentivised actors have control over achieving the intended results. MEHRD has limited control of constituency scholarships; however, is working on strategies to control merit-based scholarship awards.</w:t>
      </w:r>
    </w:p>
    <w:p>
      <w:pPr>
        <w:spacing w:after="0"/>
        <w:jc w:val="left"/>
        <w:rPr>
          <w:sz w:val="18"/>
        </w:rPr>
        <w:sectPr>
          <w:pgSz w:w="11900" w:h="16850"/>
          <w:pgMar w:header="867" w:footer="830" w:top="1060" w:bottom="1020" w:left="1220" w:right="180"/>
        </w:sectPr>
      </w:pPr>
    </w:p>
    <w:p>
      <w:pPr>
        <w:pStyle w:val="BodyText"/>
        <w:rPr>
          <w:sz w:val="20"/>
        </w:rPr>
      </w:pPr>
    </w:p>
    <w:p>
      <w:pPr>
        <w:pStyle w:val="BodyText"/>
        <w:rPr>
          <w:sz w:val="20"/>
        </w:rPr>
      </w:pPr>
    </w:p>
    <w:p>
      <w:pPr>
        <w:pStyle w:val="BodyText"/>
        <w:spacing w:before="2"/>
        <w:rPr>
          <w:sz w:val="11"/>
        </w:rPr>
      </w:pPr>
    </w:p>
    <w:p>
      <w:pPr>
        <w:pStyle w:val="BodyText"/>
        <w:ind w:left="220"/>
        <w:rPr>
          <w:sz w:val="20"/>
        </w:rPr>
      </w:pPr>
      <w:r>
        <w:rPr>
          <w:sz w:val="20"/>
        </w:rPr>
        <w:drawing>
          <wp:inline distT="0" distB="0" distL="0" distR="0">
            <wp:extent cx="4583854" cy="2755392"/>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9" cstate="print"/>
                    <a:stretch>
                      <a:fillRect/>
                    </a:stretch>
                  </pic:blipFill>
                  <pic:spPr>
                    <a:xfrm>
                      <a:off x="0" y="0"/>
                      <a:ext cx="4583854" cy="2755392"/>
                    </a:xfrm>
                    <a:prstGeom prst="rect">
                      <a:avLst/>
                    </a:prstGeom>
                  </pic:spPr>
                </pic:pic>
              </a:graphicData>
            </a:graphic>
          </wp:inline>
        </w:drawing>
      </w:r>
      <w:r>
        <w:rPr>
          <w:sz w:val="20"/>
        </w:rPr>
      </w:r>
    </w:p>
    <w:p>
      <w:pPr>
        <w:pStyle w:val="BodyText"/>
        <w:spacing w:before="7"/>
        <w:rPr>
          <w:sz w:val="11"/>
        </w:rPr>
      </w:pPr>
    </w:p>
    <w:p>
      <w:pPr>
        <w:pStyle w:val="Heading4"/>
        <w:spacing w:before="72"/>
        <w:rPr>
          <w:b w:val="0"/>
        </w:rPr>
      </w:pPr>
      <w:bookmarkStart w:name="_bookmark33" w:id="34"/>
      <w:bookmarkEnd w:id="34"/>
      <w:r>
        <w:rPr/>
      </w:r>
      <w:r>
        <w:rPr>
          <w:b w:val="0"/>
          <w:color w:val="2E5395"/>
        </w:rPr>
        <w:t>Diagram</w:t>
      </w:r>
      <w:r>
        <w:rPr>
          <w:b w:val="0"/>
          <w:color w:val="2E5395"/>
          <w:spacing w:val="-4"/>
        </w:rPr>
        <w:t> </w:t>
      </w:r>
      <w:r>
        <w:rPr>
          <w:b w:val="0"/>
          <w:color w:val="2E5395"/>
        </w:rPr>
        <w:t>3:</w:t>
      </w:r>
      <w:r>
        <w:rPr>
          <w:b w:val="0"/>
          <w:color w:val="2E5395"/>
          <w:spacing w:val="-2"/>
        </w:rPr>
        <w:t> </w:t>
      </w:r>
      <w:r>
        <w:rPr>
          <w:b w:val="0"/>
          <w:color w:val="2E5395"/>
        </w:rPr>
        <w:t>MEHRD</w:t>
      </w:r>
      <w:r>
        <w:rPr>
          <w:b w:val="0"/>
          <w:color w:val="2E5395"/>
          <w:spacing w:val="-1"/>
        </w:rPr>
        <w:t> </w:t>
      </w:r>
      <w:r>
        <w:rPr>
          <w:b w:val="0"/>
          <w:color w:val="2E5395"/>
        </w:rPr>
        <w:t>per</w:t>
      </w:r>
      <w:r>
        <w:rPr>
          <w:b w:val="0"/>
          <w:color w:val="2E5395"/>
          <w:spacing w:val="-3"/>
        </w:rPr>
        <w:t> </w:t>
      </w:r>
      <w:r>
        <w:rPr>
          <w:b w:val="0"/>
          <w:color w:val="2E5395"/>
        </w:rPr>
        <w:t>cent</w:t>
      </w:r>
      <w:r>
        <w:rPr>
          <w:b w:val="0"/>
          <w:color w:val="2E5395"/>
          <w:spacing w:val="-1"/>
        </w:rPr>
        <w:t> </w:t>
      </w:r>
      <w:r>
        <w:rPr>
          <w:b w:val="0"/>
          <w:color w:val="2E5395"/>
        </w:rPr>
        <w:t>of</w:t>
      </w:r>
      <w:r>
        <w:rPr>
          <w:b w:val="0"/>
          <w:color w:val="2E5395"/>
          <w:spacing w:val="-2"/>
        </w:rPr>
        <w:t> </w:t>
      </w:r>
      <w:r>
        <w:rPr>
          <w:b w:val="0"/>
          <w:color w:val="2E5395"/>
        </w:rPr>
        <w:t>total</w:t>
      </w:r>
      <w:r>
        <w:rPr>
          <w:b w:val="0"/>
          <w:color w:val="2E5395"/>
          <w:spacing w:val="-2"/>
        </w:rPr>
        <w:t> </w:t>
      </w:r>
      <w:r>
        <w:rPr>
          <w:b w:val="0"/>
          <w:color w:val="2E5395"/>
        </w:rPr>
        <w:t>SIG</w:t>
      </w:r>
      <w:r>
        <w:rPr>
          <w:b w:val="0"/>
          <w:color w:val="2E5395"/>
          <w:spacing w:val="-1"/>
        </w:rPr>
        <w:t> </w:t>
      </w:r>
      <w:r>
        <w:rPr>
          <w:b w:val="0"/>
          <w:color w:val="2E5395"/>
        </w:rPr>
        <w:t>recurrent</w:t>
      </w:r>
      <w:r>
        <w:rPr>
          <w:b w:val="0"/>
          <w:color w:val="2E5395"/>
          <w:spacing w:val="1"/>
        </w:rPr>
        <w:t> </w:t>
      </w:r>
      <w:r>
        <w:rPr>
          <w:b w:val="0"/>
          <w:color w:val="2E5395"/>
        </w:rPr>
        <w:t>budget </w:t>
      </w:r>
      <w:r>
        <w:rPr>
          <w:b w:val="0"/>
          <w:color w:val="2E5395"/>
          <w:spacing w:val="-2"/>
        </w:rPr>
        <w:t>appropriation</w:t>
      </w:r>
      <w:r>
        <w:rPr>
          <w:b w:val="0"/>
          <w:color w:val="2E5395"/>
          <w:spacing w:val="-2"/>
          <w:vertAlign w:val="superscript"/>
        </w:rPr>
        <w:t>18</w:t>
      </w:r>
      <w:r>
        <w:rPr>
          <w:b w:val="0"/>
          <w:color w:val="2E5395"/>
          <w:spacing w:val="-2"/>
          <w:vertAlign w:val="baseline"/>
        </w:rPr>
        <w:t>.</w:t>
      </w:r>
    </w:p>
    <w:p>
      <w:pPr>
        <w:pStyle w:val="BodyText"/>
        <w:rPr>
          <w:rFonts w:ascii="Calibri Light"/>
          <w:b w:val="0"/>
          <w:sz w:val="26"/>
        </w:rPr>
      </w:pPr>
    </w:p>
    <w:p>
      <w:pPr>
        <w:pStyle w:val="BodyText"/>
        <w:spacing w:before="2"/>
        <w:rPr>
          <w:rFonts w:ascii="Calibri Light"/>
          <w:b w:val="0"/>
          <w:sz w:val="32"/>
        </w:rPr>
      </w:pPr>
    </w:p>
    <w:p>
      <w:pPr>
        <w:pStyle w:val="Heading4"/>
        <w:numPr>
          <w:ilvl w:val="2"/>
          <w:numId w:val="7"/>
        </w:numPr>
        <w:tabs>
          <w:tab w:pos="940" w:val="left" w:leader="none"/>
          <w:tab w:pos="941" w:val="left" w:leader="none"/>
        </w:tabs>
        <w:spacing w:line="240" w:lineRule="auto" w:before="0" w:after="0"/>
        <w:ind w:left="940" w:right="0" w:hanging="721"/>
        <w:jc w:val="left"/>
        <w:rPr>
          <w:b w:val="0"/>
        </w:rPr>
      </w:pPr>
      <w:bookmarkStart w:name="_bookmark34" w:id="35"/>
      <w:bookmarkEnd w:id="35"/>
      <w:r>
        <w:rPr>
          <w:b w:val="0"/>
          <w:color w:val="4471C4"/>
        </w:rPr>
        <w:t>T</w:t>
      </w:r>
      <w:r>
        <w:rPr>
          <w:b w:val="0"/>
          <w:color w:val="4471C4"/>
        </w:rPr>
        <w:t>arget</w:t>
      </w:r>
      <w:r>
        <w:rPr>
          <w:b w:val="0"/>
          <w:color w:val="4471C4"/>
          <w:spacing w:val="16"/>
        </w:rPr>
        <w:t> </w:t>
      </w:r>
      <w:r>
        <w:rPr>
          <w:b w:val="0"/>
          <w:color w:val="4471C4"/>
        </w:rPr>
        <w:t>3.7:</w:t>
      </w:r>
      <w:r>
        <w:rPr>
          <w:b w:val="0"/>
          <w:color w:val="4471C4"/>
          <w:spacing w:val="18"/>
        </w:rPr>
        <w:t> </w:t>
      </w:r>
      <w:r>
        <w:rPr>
          <w:b w:val="0"/>
          <w:color w:val="4471C4"/>
        </w:rPr>
        <w:t>External</w:t>
      </w:r>
      <w:r>
        <w:rPr>
          <w:b w:val="0"/>
          <w:color w:val="4471C4"/>
          <w:spacing w:val="18"/>
        </w:rPr>
        <w:t> </w:t>
      </w:r>
      <w:r>
        <w:rPr>
          <w:b w:val="0"/>
          <w:color w:val="4471C4"/>
        </w:rPr>
        <w:t>audits</w:t>
      </w:r>
      <w:r>
        <w:rPr>
          <w:b w:val="0"/>
          <w:color w:val="4471C4"/>
          <w:spacing w:val="16"/>
        </w:rPr>
        <w:t> </w:t>
      </w:r>
      <w:r>
        <w:rPr>
          <w:b w:val="0"/>
          <w:color w:val="4471C4"/>
        </w:rPr>
        <w:t>of</w:t>
      </w:r>
      <w:r>
        <w:rPr>
          <w:b w:val="0"/>
          <w:color w:val="4471C4"/>
          <w:spacing w:val="18"/>
        </w:rPr>
        <w:t> </w:t>
      </w:r>
      <w:r>
        <w:rPr>
          <w:b w:val="0"/>
          <w:color w:val="4471C4"/>
        </w:rPr>
        <w:t>MEHRD</w:t>
      </w:r>
      <w:r>
        <w:rPr>
          <w:b w:val="0"/>
          <w:color w:val="4471C4"/>
          <w:spacing w:val="13"/>
        </w:rPr>
        <w:t> </w:t>
      </w:r>
      <w:r>
        <w:rPr>
          <w:b w:val="0"/>
          <w:color w:val="4471C4"/>
        </w:rPr>
        <w:t>finances</w:t>
      </w:r>
      <w:r>
        <w:rPr>
          <w:b w:val="0"/>
          <w:color w:val="4471C4"/>
          <w:spacing w:val="16"/>
        </w:rPr>
        <w:t> </w:t>
      </w:r>
      <w:r>
        <w:rPr>
          <w:b w:val="0"/>
          <w:color w:val="4471C4"/>
        </w:rPr>
        <w:t>are</w:t>
      </w:r>
      <w:r>
        <w:rPr>
          <w:b w:val="0"/>
          <w:color w:val="4471C4"/>
          <w:spacing w:val="17"/>
        </w:rPr>
        <w:t> </w:t>
      </w:r>
      <w:r>
        <w:rPr>
          <w:b w:val="0"/>
          <w:color w:val="4471C4"/>
          <w:spacing w:val="-2"/>
        </w:rPr>
        <w:t>conducted.</w:t>
      </w:r>
    </w:p>
    <w:p>
      <w:pPr>
        <w:pStyle w:val="BodyText"/>
        <w:spacing w:before="11"/>
        <w:rPr>
          <w:rFonts w:ascii="Calibri Light"/>
          <w:b w:val="0"/>
          <w:sz w:val="12"/>
        </w:rPr>
      </w:pPr>
    </w:p>
    <w:tbl>
      <w:tblPr>
        <w:tblW w:w="0" w:type="auto"/>
        <w:jc w:val="left"/>
        <w:tblInd w:w="23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308"/>
        <w:gridCol w:w="2376"/>
        <w:gridCol w:w="1625"/>
      </w:tblGrid>
      <w:tr>
        <w:trPr>
          <w:trHeight w:val="689" w:hRule="atLeast"/>
        </w:trPr>
        <w:tc>
          <w:tcPr>
            <w:tcW w:w="2308"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137"/>
              <w:rPr>
                <w:b/>
                <w:sz w:val="19"/>
              </w:rPr>
            </w:pPr>
            <w:r>
              <w:rPr>
                <w:b/>
                <w:w w:val="110"/>
                <w:sz w:val="19"/>
              </w:rPr>
              <w:t>Performance</w:t>
            </w:r>
            <w:r>
              <w:rPr>
                <w:b/>
                <w:spacing w:val="7"/>
                <w:w w:val="110"/>
                <w:sz w:val="19"/>
              </w:rPr>
              <w:t> </w:t>
            </w:r>
            <w:r>
              <w:rPr>
                <w:b/>
                <w:spacing w:val="-2"/>
                <w:w w:val="110"/>
                <w:sz w:val="19"/>
              </w:rPr>
              <w:t>Indicators</w:t>
            </w:r>
          </w:p>
        </w:tc>
        <w:tc>
          <w:tcPr>
            <w:tcW w:w="2376" w:type="dxa"/>
            <w:tcBorders>
              <w:left w:val="single" w:sz="6" w:space="0" w:color="4471C4"/>
              <w:right w:val="single" w:sz="6" w:space="0" w:color="4471C4"/>
            </w:tcBorders>
            <w:shd w:val="clear" w:color="auto" w:fill="B4C5E7"/>
          </w:tcPr>
          <w:p>
            <w:pPr>
              <w:pStyle w:val="TableParagraph"/>
              <w:spacing w:line="259" w:lineRule="auto" w:before="109"/>
              <w:ind w:left="665" w:hanging="247"/>
              <w:rPr>
                <w:b/>
                <w:sz w:val="19"/>
              </w:rPr>
            </w:pPr>
            <w:r>
              <w:rPr>
                <w:b/>
                <w:w w:val="110"/>
                <w:sz w:val="19"/>
              </w:rPr>
              <w:t>Expected</w:t>
            </w:r>
            <w:r>
              <w:rPr>
                <w:b/>
                <w:spacing w:val="-4"/>
                <w:w w:val="110"/>
                <w:sz w:val="19"/>
              </w:rPr>
              <w:t> </w:t>
            </w:r>
            <w:r>
              <w:rPr>
                <w:b/>
                <w:w w:val="110"/>
                <w:sz w:val="19"/>
              </w:rPr>
              <w:t>Results </w:t>
            </w:r>
            <w:r>
              <w:rPr>
                <w:b/>
                <w:spacing w:val="-2"/>
                <w:w w:val="110"/>
                <w:sz w:val="19"/>
              </w:rPr>
              <w:t>Statements</w:t>
            </w:r>
          </w:p>
        </w:tc>
        <w:tc>
          <w:tcPr>
            <w:tcW w:w="1625" w:type="dxa"/>
            <w:tcBorders>
              <w:left w:val="single" w:sz="6" w:space="0" w:color="4471C4"/>
              <w:right w:val="single" w:sz="6" w:space="0" w:color="4471C4"/>
            </w:tcBorders>
            <w:shd w:val="clear" w:color="auto" w:fill="B4C5E7"/>
          </w:tcPr>
          <w:p>
            <w:pPr>
              <w:pStyle w:val="TableParagraph"/>
              <w:spacing w:before="9"/>
              <w:rPr>
                <w:rFonts w:ascii="Calibri Light"/>
                <w:b w:val="0"/>
                <w:sz w:val="18"/>
              </w:rPr>
            </w:pPr>
          </w:p>
          <w:p>
            <w:pPr>
              <w:pStyle w:val="TableParagraph"/>
              <w:ind w:left="530" w:right="514"/>
              <w:jc w:val="center"/>
              <w:rPr>
                <w:b/>
                <w:sz w:val="19"/>
              </w:rPr>
            </w:pPr>
            <w:r>
              <w:rPr>
                <w:b/>
                <w:spacing w:val="-5"/>
                <w:w w:val="110"/>
                <w:sz w:val="19"/>
              </w:rPr>
              <w:t>IA</w:t>
            </w:r>
          </w:p>
        </w:tc>
      </w:tr>
      <w:tr>
        <w:trPr>
          <w:trHeight w:val="280" w:hRule="atLeast"/>
        </w:trPr>
        <w:tc>
          <w:tcPr>
            <w:tcW w:w="2308" w:type="dxa"/>
            <w:tcBorders>
              <w:left w:val="single" w:sz="6" w:space="0" w:color="4471C4"/>
              <w:bottom w:val="nil"/>
              <w:right w:val="single" w:sz="6" w:space="0" w:color="4471C4"/>
            </w:tcBorders>
          </w:tcPr>
          <w:p>
            <w:pPr>
              <w:pStyle w:val="TableParagraph"/>
              <w:spacing w:before="9"/>
              <w:ind w:left="37"/>
              <w:rPr>
                <w:sz w:val="18"/>
              </w:rPr>
            </w:pPr>
            <w:r>
              <w:rPr>
                <w:w w:val="110"/>
                <w:sz w:val="18"/>
              </w:rPr>
              <w:t>3.7.1</w:t>
            </w:r>
            <w:r>
              <w:rPr>
                <w:spacing w:val="46"/>
                <w:w w:val="110"/>
                <w:sz w:val="18"/>
              </w:rPr>
              <w:t> </w:t>
            </w:r>
            <w:r>
              <w:rPr>
                <w:w w:val="110"/>
                <w:sz w:val="18"/>
              </w:rPr>
              <w:t>By the</w:t>
            </w:r>
            <w:r>
              <w:rPr>
                <w:spacing w:val="4"/>
                <w:w w:val="110"/>
                <w:sz w:val="18"/>
              </w:rPr>
              <w:t> </w:t>
            </w:r>
            <w:r>
              <w:rPr>
                <w:w w:val="110"/>
                <w:sz w:val="18"/>
              </w:rPr>
              <w:t>end</w:t>
            </w:r>
            <w:r>
              <w:rPr>
                <w:spacing w:val="-3"/>
                <w:w w:val="110"/>
                <w:sz w:val="18"/>
              </w:rPr>
              <w:t> </w:t>
            </w:r>
            <w:r>
              <w:rPr>
                <w:w w:val="110"/>
                <w:sz w:val="18"/>
              </w:rPr>
              <w:t>of</w:t>
            </w:r>
            <w:r>
              <w:rPr>
                <w:spacing w:val="9"/>
                <w:w w:val="110"/>
                <w:sz w:val="18"/>
              </w:rPr>
              <w:t> </w:t>
            </w:r>
            <w:r>
              <w:rPr>
                <w:spacing w:val="-2"/>
                <w:w w:val="110"/>
                <w:sz w:val="18"/>
              </w:rPr>
              <w:t>2018,</w:t>
            </w:r>
          </w:p>
        </w:tc>
        <w:tc>
          <w:tcPr>
            <w:tcW w:w="2376" w:type="dxa"/>
            <w:tcBorders>
              <w:left w:val="single" w:sz="6" w:space="0" w:color="4471C4"/>
              <w:bottom w:val="nil"/>
              <w:right w:val="single" w:sz="6" w:space="0" w:color="4471C4"/>
            </w:tcBorders>
          </w:tcPr>
          <w:p>
            <w:pPr>
              <w:pStyle w:val="TableParagraph"/>
              <w:spacing w:before="9"/>
              <w:ind w:left="38"/>
              <w:rPr>
                <w:sz w:val="18"/>
              </w:rPr>
            </w:pPr>
            <w:r>
              <w:rPr>
                <w:w w:val="110"/>
                <w:sz w:val="18"/>
              </w:rPr>
              <w:t>MEHRD</w:t>
            </w:r>
            <w:r>
              <w:rPr>
                <w:spacing w:val="2"/>
                <w:w w:val="110"/>
                <w:sz w:val="18"/>
              </w:rPr>
              <w:t> </w:t>
            </w:r>
            <w:r>
              <w:rPr>
                <w:spacing w:val="-2"/>
                <w:w w:val="110"/>
                <w:sz w:val="18"/>
              </w:rPr>
              <w:t>Management</w:t>
            </w:r>
          </w:p>
        </w:tc>
        <w:tc>
          <w:tcPr>
            <w:tcW w:w="1625" w:type="dxa"/>
            <w:tcBorders>
              <w:left w:val="single" w:sz="6" w:space="0" w:color="4471C4"/>
              <w:bottom w:val="nil"/>
              <w:right w:val="single" w:sz="6" w:space="0" w:color="4471C4"/>
            </w:tcBorders>
            <w:shd w:val="clear" w:color="auto" w:fill="A9D08E"/>
          </w:tcPr>
          <w:p>
            <w:pPr>
              <w:pStyle w:val="TableParagraph"/>
              <w:spacing w:line="249" w:lineRule="exact" w:before="10"/>
              <w:ind w:left="531" w:right="514"/>
              <w:jc w:val="center"/>
              <w:rPr>
                <w:sz w:val="22"/>
              </w:rPr>
            </w:pPr>
            <w:r>
              <w:rPr>
                <w:spacing w:val="-4"/>
                <w:w w:val="110"/>
                <w:sz w:val="22"/>
              </w:rPr>
              <w:t>100%</w:t>
            </w:r>
          </w:p>
        </w:tc>
      </w:tr>
      <w:tr>
        <w:trPr>
          <w:trHeight w:val="215" w:hRule="atLeast"/>
        </w:trPr>
        <w:tc>
          <w:tcPr>
            <w:tcW w:w="2308" w:type="dxa"/>
            <w:tcBorders>
              <w:top w:val="nil"/>
              <w:left w:val="single" w:sz="6" w:space="0" w:color="4471C4"/>
              <w:bottom w:val="nil"/>
              <w:right w:val="single" w:sz="6" w:space="0" w:color="4471C4"/>
            </w:tcBorders>
          </w:tcPr>
          <w:p>
            <w:pPr>
              <w:pStyle w:val="TableParagraph"/>
              <w:spacing w:line="189" w:lineRule="exact"/>
              <w:ind w:left="37"/>
              <w:rPr>
                <w:sz w:val="18"/>
              </w:rPr>
            </w:pPr>
            <w:r>
              <w:rPr>
                <w:w w:val="110"/>
                <w:sz w:val="18"/>
              </w:rPr>
              <w:t>2015</w:t>
            </w:r>
            <w:r>
              <w:rPr>
                <w:spacing w:val="-6"/>
                <w:w w:val="110"/>
                <w:sz w:val="18"/>
              </w:rPr>
              <w:t> </w:t>
            </w:r>
            <w:r>
              <w:rPr>
                <w:w w:val="110"/>
                <w:sz w:val="18"/>
              </w:rPr>
              <w:t>External</w:t>
            </w:r>
            <w:r>
              <w:rPr>
                <w:spacing w:val="-4"/>
                <w:w w:val="110"/>
                <w:sz w:val="18"/>
              </w:rPr>
              <w:t> </w:t>
            </w:r>
            <w:r>
              <w:rPr>
                <w:w w:val="110"/>
                <w:sz w:val="18"/>
              </w:rPr>
              <w:t>Audit</w:t>
            </w:r>
            <w:r>
              <w:rPr>
                <w:spacing w:val="-2"/>
                <w:w w:val="110"/>
                <w:sz w:val="18"/>
              </w:rPr>
              <w:t> </w:t>
            </w:r>
            <w:r>
              <w:rPr>
                <w:spacing w:val="-5"/>
                <w:w w:val="110"/>
                <w:sz w:val="18"/>
              </w:rPr>
              <w:t>of</w:t>
            </w:r>
          </w:p>
        </w:tc>
        <w:tc>
          <w:tcPr>
            <w:tcW w:w="2376" w:type="dxa"/>
            <w:tcBorders>
              <w:top w:val="nil"/>
              <w:left w:val="single" w:sz="6" w:space="0" w:color="4471C4"/>
              <w:bottom w:val="nil"/>
              <w:right w:val="single" w:sz="6" w:space="0" w:color="4471C4"/>
            </w:tcBorders>
          </w:tcPr>
          <w:p>
            <w:pPr>
              <w:pStyle w:val="TableParagraph"/>
              <w:spacing w:line="189" w:lineRule="exact"/>
              <w:ind w:left="38"/>
              <w:rPr>
                <w:sz w:val="18"/>
              </w:rPr>
            </w:pPr>
            <w:r>
              <w:rPr>
                <w:w w:val="110"/>
                <w:sz w:val="18"/>
              </w:rPr>
              <w:t>Response</w:t>
            </w:r>
            <w:r>
              <w:rPr>
                <w:spacing w:val="8"/>
                <w:w w:val="110"/>
                <w:sz w:val="18"/>
              </w:rPr>
              <w:t> </w:t>
            </w:r>
            <w:r>
              <w:rPr>
                <w:w w:val="110"/>
                <w:sz w:val="18"/>
              </w:rPr>
              <w:t>for</w:t>
            </w:r>
            <w:r>
              <w:rPr>
                <w:spacing w:val="4"/>
                <w:w w:val="110"/>
                <w:sz w:val="18"/>
              </w:rPr>
              <w:t> </w:t>
            </w:r>
            <w:r>
              <w:rPr>
                <w:w w:val="110"/>
                <w:sz w:val="18"/>
              </w:rPr>
              <w:t>External</w:t>
            </w:r>
            <w:r>
              <w:rPr>
                <w:spacing w:val="6"/>
                <w:w w:val="110"/>
                <w:sz w:val="18"/>
              </w:rPr>
              <w:t> </w:t>
            </w:r>
            <w:r>
              <w:rPr>
                <w:spacing w:val="-4"/>
                <w:w w:val="110"/>
                <w:sz w:val="18"/>
              </w:rPr>
              <w:t>Audit</w:t>
            </w:r>
          </w:p>
        </w:tc>
        <w:tc>
          <w:tcPr>
            <w:tcW w:w="1625" w:type="dxa"/>
            <w:tcBorders>
              <w:top w:val="nil"/>
              <w:left w:val="single" w:sz="6" w:space="0" w:color="4471C4"/>
              <w:bottom w:val="nil"/>
              <w:right w:val="single" w:sz="6" w:space="0" w:color="4471C4"/>
            </w:tcBorders>
            <w:shd w:val="clear" w:color="auto" w:fill="A9D08E"/>
          </w:tcPr>
          <w:p>
            <w:pPr>
              <w:pStyle w:val="TableParagraph"/>
              <w:rPr>
                <w:rFonts w:ascii="Times New Roman"/>
                <w:sz w:val="14"/>
              </w:rPr>
            </w:pPr>
          </w:p>
        </w:tc>
      </w:tr>
      <w:tr>
        <w:trPr>
          <w:trHeight w:val="239" w:hRule="atLeast"/>
        </w:trPr>
        <w:tc>
          <w:tcPr>
            <w:tcW w:w="2308" w:type="dxa"/>
            <w:tcBorders>
              <w:top w:val="nil"/>
              <w:left w:val="single" w:sz="6" w:space="0" w:color="4471C4"/>
              <w:bottom w:val="nil"/>
              <w:right w:val="single" w:sz="6" w:space="0" w:color="4471C4"/>
            </w:tcBorders>
          </w:tcPr>
          <w:p>
            <w:pPr>
              <w:pStyle w:val="TableParagraph"/>
              <w:spacing w:line="213" w:lineRule="exact"/>
              <w:ind w:left="37"/>
              <w:rPr>
                <w:sz w:val="18"/>
              </w:rPr>
            </w:pPr>
            <w:r>
              <w:rPr>
                <w:w w:val="110"/>
                <w:sz w:val="18"/>
              </w:rPr>
              <w:t>MEHRD</w:t>
            </w:r>
            <w:r>
              <w:rPr>
                <w:spacing w:val="3"/>
                <w:w w:val="110"/>
                <w:sz w:val="18"/>
              </w:rPr>
              <w:t> </w:t>
            </w:r>
            <w:r>
              <w:rPr>
                <w:w w:val="110"/>
                <w:sz w:val="18"/>
              </w:rPr>
              <w:t>complete</w:t>
            </w:r>
            <w:r>
              <w:rPr>
                <w:spacing w:val="5"/>
                <w:w w:val="110"/>
                <w:sz w:val="18"/>
              </w:rPr>
              <w:t> </w:t>
            </w:r>
            <w:r>
              <w:rPr>
                <w:spacing w:val="-4"/>
                <w:w w:val="110"/>
                <w:sz w:val="18"/>
              </w:rPr>
              <w:t>(four</w:t>
            </w:r>
          </w:p>
        </w:tc>
        <w:tc>
          <w:tcPr>
            <w:tcW w:w="2376" w:type="dxa"/>
            <w:tcBorders>
              <w:top w:val="nil"/>
              <w:left w:val="single" w:sz="6" w:space="0" w:color="4471C4"/>
              <w:bottom w:val="nil"/>
              <w:right w:val="single" w:sz="6" w:space="0" w:color="4471C4"/>
            </w:tcBorders>
          </w:tcPr>
          <w:p>
            <w:pPr>
              <w:pStyle w:val="TableParagraph"/>
              <w:spacing w:line="213" w:lineRule="exact"/>
              <w:ind w:left="38"/>
              <w:rPr>
                <w:sz w:val="18"/>
              </w:rPr>
            </w:pPr>
            <w:r>
              <w:rPr>
                <w:w w:val="110"/>
                <w:sz w:val="18"/>
              </w:rPr>
              <w:t>Part</w:t>
            </w:r>
            <w:r>
              <w:rPr>
                <w:spacing w:val="2"/>
                <w:w w:val="110"/>
                <w:sz w:val="18"/>
              </w:rPr>
              <w:t> </w:t>
            </w:r>
            <w:r>
              <w:rPr>
                <w:w w:val="110"/>
                <w:sz w:val="18"/>
              </w:rPr>
              <w:t>1</w:t>
            </w:r>
            <w:r>
              <w:rPr>
                <w:spacing w:val="2"/>
                <w:w w:val="110"/>
                <w:sz w:val="18"/>
              </w:rPr>
              <w:t> </w:t>
            </w:r>
            <w:r>
              <w:rPr>
                <w:w w:val="110"/>
                <w:sz w:val="18"/>
              </w:rPr>
              <w:t>completed</w:t>
            </w:r>
            <w:r>
              <w:rPr>
                <w:spacing w:val="-2"/>
                <w:w w:val="110"/>
                <w:sz w:val="18"/>
              </w:rPr>
              <w:t> (70%)</w:t>
            </w:r>
          </w:p>
        </w:tc>
        <w:tc>
          <w:tcPr>
            <w:tcW w:w="1625"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239" w:hRule="atLeast"/>
        </w:trPr>
        <w:tc>
          <w:tcPr>
            <w:tcW w:w="2308" w:type="dxa"/>
            <w:tcBorders>
              <w:top w:val="nil"/>
              <w:left w:val="single" w:sz="6" w:space="0" w:color="4471C4"/>
              <w:bottom w:val="nil"/>
              <w:right w:val="single" w:sz="6" w:space="0" w:color="4471C4"/>
            </w:tcBorders>
          </w:tcPr>
          <w:p>
            <w:pPr>
              <w:pStyle w:val="TableParagraph"/>
              <w:spacing w:line="213" w:lineRule="exact"/>
              <w:ind w:left="37"/>
              <w:rPr>
                <w:sz w:val="18"/>
              </w:rPr>
            </w:pPr>
            <w:r>
              <w:rPr>
                <w:w w:val="110"/>
                <w:sz w:val="18"/>
              </w:rPr>
              <w:t>cycles</w:t>
            </w:r>
            <w:r>
              <w:rPr>
                <w:spacing w:val="5"/>
                <w:w w:val="110"/>
                <w:sz w:val="18"/>
              </w:rPr>
              <w:t> </w:t>
            </w:r>
            <w:r>
              <w:rPr>
                <w:w w:val="110"/>
                <w:sz w:val="18"/>
              </w:rPr>
              <w:t>and </w:t>
            </w:r>
            <w:r>
              <w:rPr>
                <w:spacing w:val="-2"/>
                <w:w w:val="110"/>
                <w:sz w:val="18"/>
              </w:rPr>
              <w:t>transactions),</w:t>
            </w:r>
          </w:p>
        </w:tc>
        <w:tc>
          <w:tcPr>
            <w:tcW w:w="2376" w:type="dxa"/>
            <w:tcBorders>
              <w:top w:val="nil"/>
              <w:left w:val="single" w:sz="6" w:space="0" w:color="4471C4"/>
              <w:bottom w:val="nil"/>
              <w:right w:val="single" w:sz="6" w:space="0" w:color="4471C4"/>
            </w:tcBorders>
          </w:tcPr>
          <w:p>
            <w:pPr>
              <w:pStyle w:val="TableParagraph"/>
              <w:spacing w:line="213" w:lineRule="exact"/>
              <w:ind w:left="38"/>
              <w:rPr>
                <w:sz w:val="18"/>
              </w:rPr>
            </w:pPr>
            <w:r>
              <w:rPr>
                <w:w w:val="110"/>
                <w:sz w:val="18"/>
              </w:rPr>
              <w:t>MEHRD</w:t>
            </w:r>
            <w:r>
              <w:rPr>
                <w:spacing w:val="2"/>
                <w:w w:val="110"/>
                <w:sz w:val="18"/>
              </w:rPr>
              <w:t> </w:t>
            </w:r>
            <w:r>
              <w:rPr>
                <w:spacing w:val="-2"/>
                <w:w w:val="110"/>
                <w:sz w:val="18"/>
              </w:rPr>
              <w:t>Management</w:t>
            </w:r>
          </w:p>
        </w:tc>
        <w:tc>
          <w:tcPr>
            <w:tcW w:w="1625"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239" w:hRule="atLeast"/>
        </w:trPr>
        <w:tc>
          <w:tcPr>
            <w:tcW w:w="2308" w:type="dxa"/>
            <w:tcBorders>
              <w:top w:val="nil"/>
              <w:left w:val="single" w:sz="6" w:space="0" w:color="4471C4"/>
              <w:bottom w:val="nil"/>
              <w:right w:val="single" w:sz="6" w:space="0" w:color="4471C4"/>
            </w:tcBorders>
          </w:tcPr>
          <w:p>
            <w:pPr>
              <w:pStyle w:val="TableParagraph"/>
              <w:spacing w:line="213" w:lineRule="exact"/>
              <w:ind w:left="37"/>
              <w:rPr>
                <w:sz w:val="18"/>
              </w:rPr>
            </w:pPr>
            <w:r>
              <w:rPr>
                <w:spacing w:val="-2"/>
                <w:w w:val="110"/>
                <w:sz w:val="18"/>
              </w:rPr>
              <w:t>including </w:t>
            </w:r>
            <w:r>
              <w:rPr>
                <w:spacing w:val="-4"/>
                <w:w w:val="110"/>
                <w:sz w:val="18"/>
              </w:rPr>
              <w:t>MEHRD</w:t>
            </w:r>
          </w:p>
        </w:tc>
        <w:tc>
          <w:tcPr>
            <w:tcW w:w="2376" w:type="dxa"/>
            <w:tcBorders>
              <w:top w:val="nil"/>
              <w:left w:val="single" w:sz="6" w:space="0" w:color="4471C4"/>
              <w:bottom w:val="nil"/>
              <w:right w:val="single" w:sz="6" w:space="0" w:color="4471C4"/>
            </w:tcBorders>
          </w:tcPr>
          <w:p>
            <w:pPr>
              <w:pStyle w:val="TableParagraph"/>
              <w:spacing w:line="213" w:lineRule="exact"/>
              <w:ind w:left="38"/>
              <w:rPr>
                <w:sz w:val="18"/>
              </w:rPr>
            </w:pPr>
            <w:r>
              <w:rPr>
                <w:w w:val="110"/>
                <w:sz w:val="18"/>
              </w:rPr>
              <w:t>Response</w:t>
            </w:r>
            <w:r>
              <w:rPr>
                <w:spacing w:val="8"/>
                <w:w w:val="110"/>
                <w:sz w:val="18"/>
              </w:rPr>
              <w:t> </w:t>
            </w:r>
            <w:r>
              <w:rPr>
                <w:w w:val="110"/>
                <w:sz w:val="18"/>
              </w:rPr>
              <w:t>for</w:t>
            </w:r>
            <w:r>
              <w:rPr>
                <w:spacing w:val="4"/>
                <w:w w:val="110"/>
                <w:sz w:val="18"/>
              </w:rPr>
              <w:t> </w:t>
            </w:r>
            <w:r>
              <w:rPr>
                <w:w w:val="110"/>
                <w:sz w:val="18"/>
              </w:rPr>
              <w:t>External</w:t>
            </w:r>
            <w:r>
              <w:rPr>
                <w:spacing w:val="6"/>
                <w:w w:val="110"/>
                <w:sz w:val="18"/>
              </w:rPr>
              <w:t> </w:t>
            </w:r>
            <w:r>
              <w:rPr>
                <w:spacing w:val="-4"/>
                <w:w w:val="110"/>
                <w:sz w:val="18"/>
              </w:rPr>
              <w:t>Audit</w:t>
            </w:r>
          </w:p>
        </w:tc>
        <w:tc>
          <w:tcPr>
            <w:tcW w:w="1625" w:type="dxa"/>
            <w:tcBorders>
              <w:top w:val="nil"/>
              <w:left w:val="single" w:sz="6" w:space="0" w:color="4471C4"/>
              <w:bottom w:val="nil"/>
              <w:right w:val="single" w:sz="6" w:space="0" w:color="4471C4"/>
            </w:tcBorders>
            <w:shd w:val="clear" w:color="auto" w:fill="A9D08E"/>
          </w:tcPr>
          <w:p>
            <w:pPr>
              <w:pStyle w:val="TableParagraph"/>
              <w:rPr>
                <w:rFonts w:ascii="Times New Roman"/>
                <w:sz w:val="16"/>
              </w:rPr>
            </w:pPr>
          </w:p>
        </w:tc>
      </w:tr>
      <w:tr>
        <w:trPr>
          <w:trHeight w:val="314" w:hRule="atLeast"/>
        </w:trPr>
        <w:tc>
          <w:tcPr>
            <w:tcW w:w="2308" w:type="dxa"/>
            <w:tcBorders>
              <w:top w:val="nil"/>
              <w:left w:val="single" w:sz="6" w:space="0" w:color="4471C4"/>
              <w:right w:val="single" w:sz="6" w:space="0" w:color="4471C4"/>
            </w:tcBorders>
          </w:tcPr>
          <w:p>
            <w:pPr>
              <w:pStyle w:val="TableParagraph"/>
              <w:spacing w:line="213" w:lineRule="exact"/>
              <w:ind w:left="37"/>
              <w:rPr>
                <w:sz w:val="18"/>
              </w:rPr>
            </w:pPr>
            <w:r>
              <w:rPr>
                <w:w w:val="110"/>
                <w:sz w:val="18"/>
              </w:rPr>
              <w:t>management</w:t>
            </w:r>
            <w:r>
              <w:rPr>
                <w:spacing w:val="-4"/>
                <w:w w:val="110"/>
                <w:sz w:val="18"/>
              </w:rPr>
              <w:t> </w:t>
            </w:r>
            <w:r>
              <w:rPr>
                <w:spacing w:val="-2"/>
                <w:w w:val="110"/>
                <w:sz w:val="18"/>
              </w:rPr>
              <w:t>response</w:t>
            </w:r>
          </w:p>
        </w:tc>
        <w:tc>
          <w:tcPr>
            <w:tcW w:w="2376" w:type="dxa"/>
            <w:tcBorders>
              <w:top w:val="nil"/>
              <w:left w:val="single" w:sz="6" w:space="0" w:color="4471C4"/>
              <w:right w:val="single" w:sz="6" w:space="0" w:color="4471C4"/>
            </w:tcBorders>
          </w:tcPr>
          <w:p>
            <w:pPr>
              <w:pStyle w:val="TableParagraph"/>
              <w:spacing w:line="213" w:lineRule="exact"/>
              <w:ind w:left="38"/>
              <w:rPr>
                <w:sz w:val="18"/>
              </w:rPr>
            </w:pPr>
            <w:r>
              <w:rPr>
                <w:w w:val="110"/>
                <w:sz w:val="18"/>
              </w:rPr>
              <w:t>Part</w:t>
            </w:r>
            <w:r>
              <w:rPr>
                <w:spacing w:val="2"/>
                <w:w w:val="110"/>
                <w:sz w:val="18"/>
              </w:rPr>
              <w:t> </w:t>
            </w:r>
            <w:r>
              <w:rPr>
                <w:w w:val="110"/>
                <w:sz w:val="18"/>
              </w:rPr>
              <w:t>2</w:t>
            </w:r>
            <w:r>
              <w:rPr>
                <w:spacing w:val="2"/>
                <w:w w:val="110"/>
                <w:sz w:val="18"/>
              </w:rPr>
              <w:t> </w:t>
            </w:r>
            <w:r>
              <w:rPr>
                <w:w w:val="110"/>
                <w:sz w:val="18"/>
              </w:rPr>
              <w:t>completed</w:t>
            </w:r>
            <w:r>
              <w:rPr>
                <w:spacing w:val="-2"/>
                <w:w w:val="110"/>
                <w:sz w:val="18"/>
              </w:rPr>
              <w:t> (30%)</w:t>
            </w:r>
          </w:p>
        </w:tc>
        <w:tc>
          <w:tcPr>
            <w:tcW w:w="1625" w:type="dxa"/>
            <w:tcBorders>
              <w:top w:val="nil"/>
              <w:left w:val="single" w:sz="6" w:space="0" w:color="4471C4"/>
              <w:right w:val="single" w:sz="6" w:space="0" w:color="4471C4"/>
            </w:tcBorders>
            <w:shd w:val="clear" w:color="auto" w:fill="A9D08E"/>
          </w:tcPr>
          <w:p>
            <w:pPr>
              <w:pStyle w:val="TableParagraph"/>
              <w:rPr>
                <w:rFonts w:ascii="Times New Roman"/>
                <w:sz w:val="20"/>
              </w:rPr>
            </w:pPr>
          </w:p>
        </w:tc>
      </w:tr>
    </w:tbl>
    <w:p>
      <w:pPr>
        <w:pStyle w:val="BodyText"/>
        <w:rPr>
          <w:rFonts w:ascii="Calibri Light"/>
          <w:b w:val="0"/>
          <w:sz w:val="24"/>
        </w:rPr>
      </w:pPr>
    </w:p>
    <w:p>
      <w:pPr>
        <w:pStyle w:val="BodyText"/>
        <w:rPr>
          <w:rFonts w:ascii="Calibri Light"/>
          <w:b w:val="0"/>
          <w:sz w:val="24"/>
        </w:rPr>
      </w:pPr>
    </w:p>
    <w:p>
      <w:pPr>
        <w:pStyle w:val="BodyText"/>
        <w:spacing w:before="170"/>
        <w:ind w:left="220" w:right="1255"/>
        <w:jc w:val="both"/>
      </w:pPr>
      <w:r>
        <w:rPr>
          <w:b/>
        </w:rPr>
        <w:t>Source: </w:t>
      </w:r>
      <w:r>
        <w:rPr/>
        <w:t>Office of the Attorney General and MEHRD discussions. Emails between MEHRD Permanent Secretary and OAG.</w:t>
      </w:r>
    </w:p>
    <w:p>
      <w:pPr>
        <w:pStyle w:val="BodyText"/>
        <w:spacing w:before="4"/>
        <w:rPr>
          <w:sz w:val="16"/>
        </w:rPr>
      </w:pPr>
    </w:p>
    <w:p>
      <w:pPr>
        <w:pStyle w:val="BodyText"/>
        <w:ind w:left="220" w:right="1252"/>
        <w:jc w:val="both"/>
      </w:pPr>
      <w:r>
        <w:rPr/>
        <w:t>The SIG faced a huge backlog of external audits across the 24 Ministries when the last Independent Assessment was undertaken. As a result, the Office of the Auditor General introduced a streamlined audit process to undertake the 2015 and 2016 external audits. This was being done in two parts.</w:t>
      </w:r>
      <w:r>
        <w:rPr>
          <w:spacing w:val="80"/>
        </w:rPr>
        <w:t> </w:t>
      </w:r>
      <w:r>
        <w:rPr/>
        <w:t>Part 1 includes the audit of four specific cycles within MEHRD. The four cycles included are: Accountable Officer Reports; Assets/ Stores; Bank Accounts; and Commitment Cards.</w:t>
      </w:r>
    </w:p>
    <w:p>
      <w:pPr>
        <w:pStyle w:val="BodyText"/>
        <w:spacing w:before="6"/>
        <w:rPr>
          <w:sz w:val="16"/>
        </w:rPr>
      </w:pPr>
    </w:p>
    <w:p>
      <w:pPr>
        <w:pStyle w:val="BodyText"/>
        <w:ind w:left="220" w:right="1253"/>
        <w:jc w:val="both"/>
      </w:pPr>
      <w:r>
        <w:rPr/>
        <w:t>Part</w:t>
      </w:r>
      <w:r>
        <w:rPr>
          <w:spacing w:val="-3"/>
        </w:rPr>
        <w:t> </w:t>
      </w:r>
      <w:r>
        <w:rPr/>
        <w:t>2</w:t>
      </w:r>
      <w:r>
        <w:rPr>
          <w:spacing w:val="-1"/>
        </w:rPr>
        <w:t> </w:t>
      </w:r>
      <w:r>
        <w:rPr/>
        <w:t>of</w:t>
      </w:r>
      <w:r>
        <w:rPr>
          <w:spacing w:val="-3"/>
        </w:rPr>
        <w:t> </w:t>
      </w:r>
      <w:r>
        <w:rPr/>
        <w:t>the</w:t>
      </w:r>
      <w:r>
        <w:rPr>
          <w:spacing w:val="-1"/>
        </w:rPr>
        <w:t> </w:t>
      </w:r>
      <w:r>
        <w:rPr/>
        <w:t>audit</w:t>
      </w:r>
      <w:r>
        <w:rPr>
          <w:spacing w:val="-1"/>
        </w:rPr>
        <w:t> </w:t>
      </w:r>
      <w:r>
        <w:rPr/>
        <w:t>is</w:t>
      </w:r>
      <w:r>
        <w:rPr>
          <w:spacing w:val="-3"/>
        </w:rPr>
        <w:t> </w:t>
      </w:r>
      <w:r>
        <w:rPr/>
        <w:t>on</w:t>
      </w:r>
      <w:r>
        <w:rPr>
          <w:spacing w:val="-2"/>
        </w:rPr>
        <w:t> </w:t>
      </w:r>
      <w:r>
        <w:rPr/>
        <w:t>the</w:t>
      </w:r>
      <w:r>
        <w:rPr>
          <w:spacing w:val="-3"/>
        </w:rPr>
        <w:t> </w:t>
      </w:r>
      <w:r>
        <w:rPr/>
        <w:t>financial</w:t>
      </w:r>
      <w:r>
        <w:rPr>
          <w:spacing w:val="-2"/>
        </w:rPr>
        <w:t> </w:t>
      </w:r>
      <w:r>
        <w:rPr/>
        <w:t>statements and</w:t>
      </w:r>
      <w:r>
        <w:rPr>
          <w:spacing w:val="-2"/>
        </w:rPr>
        <w:t> </w:t>
      </w:r>
      <w:r>
        <w:rPr/>
        <w:t>focuses</w:t>
      </w:r>
      <w:r>
        <w:rPr>
          <w:spacing w:val="-3"/>
        </w:rPr>
        <w:t> </w:t>
      </w:r>
      <w:r>
        <w:rPr/>
        <w:t>on</w:t>
      </w:r>
      <w:r>
        <w:rPr>
          <w:spacing w:val="-2"/>
        </w:rPr>
        <w:t> </w:t>
      </w:r>
      <w:r>
        <w:rPr/>
        <w:t>transactions</w:t>
      </w:r>
      <w:r>
        <w:rPr>
          <w:spacing w:val="-1"/>
        </w:rPr>
        <w:t> </w:t>
      </w:r>
      <w:r>
        <w:rPr/>
        <w:t>across</w:t>
      </w:r>
      <w:r>
        <w:rPr>
          <w:spacing w:val="-1"/>
        </w:rPr>
        <w:t> </w:t>
      </w:r>
      <w:r>
        <w:rPr/>
        <w:t>the</w:t>
      </w:r>
      <w:r>
        <w:rPr>
          <w:spacing w:val="-3"/>
        </w:rPr>
        <w:t> </w:t>
      </w:r>
      <w:r>
        <w:rPr/>
        <w:t>24</w:t>
      </w:r>
      <w:r>
        <w:rPr>
          <w:spacing w:val="-1"/>
        </w:rPr>
        <w:t> </w:t>
      </w:r>
      <w:r>
        <w:rPr/>
        <w:t>Ministries that exceed SBD18 million and/or are from high risk areas (e.g. NTU). At the time of the last Independent Assessment, the draft report of Part 1 and relevant management letter had been sent to MEHRD, and the Office of the Auditor General was awaiting a management response from MEHRD. The draft report noted that three out of four areas were rated as high risk. Part 2 of the audit was underway and scheduled to be finalised by the end of June 2018.</w:t>
      </w:r>
    </w:p>
    <w:p>
      <w:pPr>
        <w:pStyle w:val="BodyText"/>
        <w:spacing w:before="9"/>
        <w:rPr>
          <w:sz w:val="15"/>
        </w:rPr>
      </w:pPr>
      <w:r>
        <w:rPr/>
        <w:pict>
          <v:rect style="position:absolute;margin-left:72.024002pt;margin-top:10.80507pt;width:144.020pt;height:.72003pt;mso-position-horizontal-relative:page;mso-position-vertical-relative:paragraph;z-index:-15720960;mso-wrap-distance-left:0;mso-wrap-distance-right:0" id="docshape15" filled="true" fillcolor="#000000" stroked="false">
            <v:fill type="solid"/>
            <w10:wrap type="topAndBottom"/>
          </v:rect>
        </w:pict>
      </w:r>
    </w:p>
    <w:p>
      <w:pPr>
        <w:spacing w:before="99"/>
        <w:ind w:left="220" w:right="0" w:firstLine="0"/>
        <w:jc w:val="left"/>
        <w:rPr>
          <w:sz w:val="18"/>
        </w:rPr>
      </w:pPr>
      <w:r>
        <w:rPr>
          <w:position w:val="5"/>
          <w:sz w:val="12"/>
        </w:rPr>
        <w:t>18</w:t>
      </w:r>
      <w:r>
        <w:rPr>
          <w:spacing w:val="27"/>
          <w:position w:val="5"/>
          <w:sz w:val="12"/>
        </w:rPr>
        <w:t> </w:t>
      </w:r>
      <w:r>
        <w:rPr>
          <w:sz w:val="18"/>
        </w:rPr>
        <w:t>Note: This is percentage of appropriation, not actual expenditure. </w:t>
      </w:r>
      <w:hyperlink r:id="rId20">
        <w:r>
          <w:rPr>
            <w:spacing w:val="-2"/>
            <w:sz w:val="18"/>
          </w:rPr>
          <w:t>http://www.mof.gov.sb/Libraries/Budget_2019/2019_Recurrent_Budget.sflb.ashx</w:t>
        </w:r>
      </w:hyperlink>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1"/>
        <w:jc w:val="both"/>
        <w:rPr>
          <w:b/>
        </w:rPr>
      </w:pPr>
      <w:r>
        <w:rPr/>
        <w:t>The Office of the Auditor General stated that both 2015 and 2016 MEHRD audits had been completed. On 9 May 2019, the OAG sent MEHRD the draft 2016 audit report for SIG and Donor Funds requesting a management response within 20 working to finalise the report. The MEHRD Permanent Secretary responded on 20 June 2019 noting that there were exposed areas where MEHRD could strengthen its internal control systems and ensure compliance with established rules and regulations. This response from MEHRD appears to be triggered by the process of the independent assessment, proving there is an incentive element to PLA. The indicator 3.7.1 called for a management response to the 2015 audit, which has not been provided to the assessor. However, given the considerable effort made by MEHRD to meet what they understood to be a response to</w:t>
      </w:r>
      <w:r>
        <w:rPr>
          <w:spacing w:val="40"/>
        </w:rPr>
        <w:t> </w:t>
      </w:r>
      <w:r>
        <w:rPr/>
        <w:t>the 2016 audit, the assessor considers it is fair to assess </w:t>
      </w:r>
      <w:r>
        <w:rPr>
          <w:b/>
        </w:rPr>
        <w:t>this indicator 4.4.1 as 100 per cent</w:t>
      </w:r>
      <w:r>
        <w:rPr>
          <w:b/>
          <w:spacing w:val="80"/>
        </w:rPr>
        <w:t> </w:t>
      </w:r>
      <w:r>
        <w:rPr>
          <w:b/>
        </w:rPr>
        <w:t>achieved (out of a possible 100 per cent).</w:t>
      </w:r>
    </w:p>
    <w:p>
      <w:pPr>
        <w:pStyle w:val="BodyText"/>
        <w:spacing w:before="4"/>
        <w:rPr>
          <w:b/>
          <w:sz w:val="16"/>
        </w:rPr>
      </w:pPr>
    </w:p>
    <w:p>
      <w:pPr>
        <w:pStyle w:val="BodyText"/>
        <w:ind w:left="220" w:right="1251"/>
        <w:jc w:val="both"/>
      </w:pPr>
      <w:r>
        <w:rPr/>
        <w:t>The OAG is now planning the 2017 and 2018 audits, which will be more detailed and expand the scope</w:t>
      </w:r>
      <w:r>
        <w:rPr>
          <w:spacing w:val="-4"/>
        </w:rPr>
        <w:t> </w:t>
      </w:r>
      <w:r>
        <w:rPr/>
        <w:t>of</w:t>
      </w:r>
      <w:r>
        <w:rPr>
          <w:spacing w:val="-2"/>
        </w:rPr>
        <w:t> </w:t>
      </w:r>
      <w:r>
        <w:rPr/>
        <w:t>the</w:t>
      </w:r>
      <w:r>
        <w:rPr>
          <w:spacing w:val="-1"/>
        </w:rPr>
        <w:t> </w:t>
      </w:r>
      <w:r>
        <w:rPr/>
        <w:t>audit</w:t>
      </w:r>
      <w:r>
        <w:rPr>
          <w:spacing w:val="-2"/>
        </w:rPr>
        <w:t> </w:t>
      </w:r>
      <w:r>
        <w:rPr/>
        <w:t>to</w:t>
      </w:r>
      <w:r>
        <w:rPr>
          <w:spacing w:val="-1"/>
        </w:rPr>
        <w:t> </w:t>
      </w:r>
      <w:r>
        <w:rPr/>
        <w:t>include</w:t>
      </w:r>
      <w:r>
        <w:rPr>
          <w:spacing w:val="-1"/>
        </w:rPr>
        <w:t> </w:t>
      </w:r>
      <w:r>
        <w:rPr/>
        <w:t>expenditure,</w:t>
      </w:r>
      <w:r>
        <w:rPr>
          <w:spacing w:val="-2"/>
        </w:rPr>
        <w:t> </w:t>
      </w:r>
      <w:r>
        <w:rPr/>
        <w:t>procurement,</w:t>
      </w:r>
      <w:r>
        <w:rPr>
          <w:spacing w:val="-2"/>
        </w:rPr>
        <w:t> </w:t>
      </w:r>
      <w:r>
        <w:rPr/>
        <w:t>resources,</w:t>
      </w:r>
      <w:r>
        <w:rPr>
          <w:spacing w:val="-1"/>
        </w:rPr>
        <w:t> </w:t>
      </w:r>
      <w:r>
        <w:rPr/>
        <w:t>payroll</w:t>
      </w:r>
      <w:r>
        <w:rPr>
          <w:spacing w:val="-3"/>
        </w:rPr>
        <w:t> </w:t>
      </w:r>
      <w:r>
        <w:rPr/>
        <w:t>and</w:t>
      </w:r>
      <w:r>
        <w:rPr>
          <w:spacing w:val="-3"/>
        </w:rPr>
        <w:t> </w:t>
      </w:r>
      <w:r>
        <w:rPr/>
        <w:t>specialist</w:t>
      </w:r>
      <w:r>
        <w:rPr>
          <w:spacing w:val="-1"/>
        </w:rPr>
        <w:t> </w:t>
      </w:r>
      <w:r>
        <w:rPr/>
        <w:t>imprest.</w:t>
      </w:r>
      <w:r>
        <w:rPr>
          <w:spacing w:val="-3"/>
        </w:rPr>
        <w:t> </w:t>
      </w:r>
      <w:r>
        <w:rPr/>
        <w:t>An engagement letter (notice of intent) is being sent to the MEHRD Permanent Secretary, with these audits planned to be completed in 2019.</w:t>
      </w:r>
    </w:p>
    <w:p>
      <w:pPr>
        <w:pStyle w:val="BodyText"/>
        <w:spacing w:before="5"/>
        <w:rPr>
          <w:sz w:val="16"/>
        </w:rPr>
      </w:pPr>
    </w:p>
    <w:p>
      <w:pPr>
        <w:pStyle w:val="BodyText"/>
        <w:ind w:left="220" w:right="1251"/>
        <w:jc w:val="both"/>
      </w:pPr>
      <w:r>
        <w:rPr/>
        <w:t>A recurring issue across most Ministries, noted by the OAG, was that responses to audit issues were not acted upon even when responses were received. Similar findings of non-compliance, procurement rules not being followed, lack of an assets’ register and meeting decisions not documented were repeated year-on-year.</w:t>
      </w:r>
    </w:p>
    <w:p>
      <w:pPr>
        <w:pStyle w:val="BodyText"/>
      </w:pPr>
    </w:p>
    <w:p>
      <w:pPr>
        <w:pStyle w:val="BodyText"/>
      </w:pPr>
    </w:p>
    <w:p>
      <w:pPr>
        <w:pStyle w:val="Heading2"/>
        <w:numPr>
          <w:ilvl w:val="0"/>
          <w:numId w:val="4"/>
        </w:numPr>
        <w:tabs>
          <w:tab w:pos="940" w:val="left" w:leader="none"/>
          <w:tab w:pos="941" w:val="left" w:leader="none"/>
        </w:tabs>
        <w:spacing w:line="240" w:lineRule="auto" w:before="175" w:after="0"/>
        <w:ind w:left="940" w:right="0" w:hanging="721"/>
        <w:jc w:val="left"/>
        <w:rPr>
          <w:b w:val="0"/>
          <w:color w:val="4471C4"/>
        </w:rPr>
      </w:pPr>
      <w:bookmarkStart w:name="_bookmark35" w:id="36"/>
      <w:bookmarkEnd w:id="36"/>
      <w:r>
        <w:rPr>
          <w:b w:val="0"/>
          <w:color w:val="4471C4"/>
          <w:spacing w:val="-2"/>
        </w:rPr>
        <w:t>P</w:t>
      </w:r>
      <w:r>
        <w:rPr>
          <w:b w:val="0"/>
          <w:color w:val="4471C4"/>
          <w:spacing w:val="-2"/>
        </w:rPr>
        <w:t>ayment</w:t>
      </w:r>
      <w:r>
        <w:rPr>
          <w:b w:val="0"/>
          <w:color w:val="4471C4"/>
          <w:spacing w:val="-8"/>
        </w:rPr>
        <w:t> </w:t>
      </w:r>
      <w:r>
        <w:rPr>
          <w:b w:val="0"/>
          <w:color w:val="4471C4"/>
          <w:spacing w:val="-2"/>
        </w:rPr>
        <w:t>Recommendation</w:t>
      </w:r>
    </w:p>
    <w:p>
      <w:pPr>
        <w:pStyle w:val="BodyText"/>
        <w:spacing w:before="169"/>
        <w:ind w:left="220" w:right="1251"/>
        <w:jc w:val="both"/>
      </w:pPr>
      <w:r>
        <w:rPr/>
        <w:t>The payment recommendation was calculated by applying weighting to three priority areas: access, quality and management systems, with 14 targets, a corresponding 22 indicators and 30 Expected Results Statements. A summary of performance against the indicators is at Appendix 5.</w:t>
      </w:r>
    </w:p>
    <w:p>
      <w:pPr>
        <w:pStyle w:val="BodyText"/>
        <w:spacing w:before="5"/>
        <w:rPr>
          <w:sz w:val="16"/>
        </w:rPr>
      </w:pPr>
    </w:p>
    <w:p>
      <w:pPr>
        <w:spacing w:before="0"/>
        <w:ind w:left="220" w:right="1252" w:firstLine="0"/>
        <w:jc w:val="both"/>
        <w:rPr>
          <w:b/>
          <w:sz w:val="22"/>
        </w:rPr>
      </w:pPr>
      <w:r>
        <w:rPr>
          <w:sz w:val="22"/>
        </w:rPr>
        <w:t>The performance-linked aid payment was calculated based on the percentage of performance indicators that were achieved, multiplied by the total performance-linked aid payment available, which</w:t>
      </w:r>
      <w:r>
        <w:rPr>
          <w:spacing w:val="-2"/>
          <w:sz w:val="22"/>
        </w:rPr>
        <w:t> </w:t>
      </w:r>
      <w:r>
        <w:rPr>
          <w:sz w:val="22"/>
        </w:rPr>
        <w:t>for</w:t>
      </w:r>
      <w:r>
        <w:rPr>
          <w:spacing w:val="-4"/>
          <w:sz w:val="22"/>
        </w:rPr>
        <w:t> </w:t>
      </w:r>
      <w:r>
        <w:rPr>
          <w:sz w:val="22"/>
        </w:rPr>
        <w:t>2018 is</w:t>
      </w:r>
      <w:r>
        <w:rPr>
          <w:spacing w:val="-1"/>
          <w:sz w:val="22"/>
        </w:rPr>
        <w:t> </w:t>
      </w:r>
      <w:r>
        <w:rPr>
          <w:sz w:val="22"/>
        </w:rPr>
        <w:t>AUD1.6</w:t>
      </w:r>
      <w:r>
        <w:rPr>
          <w:spacing w:val="-2"/>
          <w:sz w:val="22"/>
        </w:rPr>
        <w:t> </w:t>
      </w:r>
      <w:r>
        <w:rPr>
          <w:sz w:val="22"/>
        </w:rPr>
        <w:t>million.</w:t>
      </w:r>
      <w:r>
        <w:rPr>
          <w:spacing w:val="-1"/>
          <w:sz w:val="22"/>
        </w:rPr>
        <w:t> </w:t>
      </w:r>
      <w:r>
        <w:rPr>
          <w:b/>
          <w:sz w:val="22"/>
        </w:rPr>
        <w:t>For</w:t>
      </w:r>
      <w:r>
        <w:rPr>
          <w:b/>
          <w:spacing w:val="-3"/>
          <w:sz w:val="22"/>
        </w:rPr>
        <w:t> </w:t>
      </w:r>
      <w:r>
        <w:rPr>
          <w:b/>
          <w:sz w:val="22"/>
        </w:rPr>
        <w:t>2018, each</w:t>
      </w:r>
      <w:r>
        <w:rPr>
          <w:b/>
          <w:spacing w:val="-2"/>
          <w:sz w:val="22"/>
        </w:rPr>
        <w:t> </w:t>
      </w:r>
      <w:r>
        <w:rPr>
          <w:b/>
          <w:sz w:val="22"/>
        </w:rPr>
        <w:t>target</w:t>
      </w:r>
      <w:r>
        <w:rPr>
          <w:b/>
          <w:spacing w:val="-1"/>
          <w:sz w:val="22"/>
        </w:rPr>
        <w:t> </w:t>
      </w:r>
      <w:r>
        <w:rPr>
          <w:b/>
          <w:sz w:val="22"/>
        </w:rPr>
        <w:t>area has equal</w:t>
      </w:r>
      <w:r>
        <w:rPr>
          <w:b/>
          <w:spacing w:val="-3"/>
          <w:sz w:val="22"/>
        </w:rPr>
        <w:t> </w:t>
      </w:r>
      <w:r>
        <w:rPr>
          <w:b/>
          <w:sz w:val="22"/>
        </w:rPr>
        <w:t>weighting (1/14</w:t>
      </w:r>
      <w:r>
        <w:rPr>
          <w:b/>
          <w:spacing w:val="-2"/>
          <w:sz w:val="22"/>
        </w:rPr>
        <w:t> </w:t>
      </w:r>
      <w:r>
        <w:rPr>
          <w:b/>
          <w:sz w:val="22"/>
        </w:rPr>
        <w:t>=</w:t>
      </w:r>
      <w:r>
        <w:rPr>
          <w:b/>
          <w:spacing w:val="-3"/>
          <w:sz w:val="22"/>
        </w:rPr>
        <w:t> </w:t>
      </w:r>
      <w:r>
        <w:rPr>
          <w:b/>
          <w:sz w:val="22"/>
        </w:rPr>
        <w:t>$114,286).</w:t>
      </w:r>
    </w:p>
    <w:p>
      <w:pPr>
        <w:pStyle w:val="BodyText"/>
        <w:spacing w:before="4"/>
        <w:rPr>
          <w:b/>
          <w:sz w:val="16"/>
        </w:rPr>
      </w:pPr>
    </w:p>
    <w:p>
      <w:pPr>
        <w:pStyle w:val="BodyText"/>
        <w:ind w:left="220" w:right="1256"/>
        <w:jc w:val="both"/>
      </w:pPr>
      <w:r>
        <w:rPr/>
        <w:t>In 2018, Expected Results Statements also were allocated a percentage of each total performance indicator. For example:</w:t>
      </w:r>
    </w:p>
    <w:p>
      <w:pPr>
        <w:pStyle w:val="BodyText"/>
        <w:spacing w:before="5"/>
        <w:rPr>
          <w:sz w:val="16"/>
        </w:rPr>
      </w:pPr>
    </w:p>
    <w:p>
      <w:pPr>
        <w:spacing w:before="0"/>
        <w:ind w:left="220" w:right="0" w:firstLine="0"/>
        <w:jc w:val="both"/>
        <w:rPr>
          <w:sz w:val="22"/>
        </w:rPr>
      </w:pPr>
      <w:r>
        <w:rPr>
          <w:i/>
          <w:sz w:val="22"/>
        </w:rPr>
        <w:t>Target</w:t>
      </w:r>
      <w:r>
        <w:rPr>
          <w:i/>
          <w:spacing w:val="-2"/>
          <w:sz w:val="22"/>
        </w:rPr>
        <w:t> </w:t>
      </w:r>
      <w:r>
        <w:rPr>
          <w:i/>
          <w:sz w:val="22"/>
        </w:rPr>
        <w:t>Area</w:t>
      </w:r>
      <w:r>
        <w:rPr>
          <w:i/>
          <w:spacing w:val="-6"/>
          <w:sz w:val="22"/>
        </w:rPr>
        <w:t> </w:t>
      </w:r>
      <w:r>
        <w:rPr>
          <w:i/>
          <w:sz w:val="22"/>
        </w:rPr>
        <w:t>2.2</w:t>
      </w:r>
      <w:r>
        <w:rPr>
          <w:sz w:val="22"/>
        </w:rPr>
        <w:t>:</w:t>
      </w:r>
      <w:r>
        <w:rPr>
          <w:spacing w:val="-3"/>
          <w:sz w:val="22"/>
        </w:rPr>
        <w:t> </w:t>
      </w:r>
      <w:r>
        <w:rPr>
          <w:sz w:val="22"/>
        </w:rPr>
        <w:t>Teachers</w:t>
      </w:r>
      <w:r>
        <w:rPr>
          <w:spacing w:val="-8"/>
          <w:sz w:val="22"/>
        </w:rPr>
        <w:t> </w:t>
      </w:r>
      <w:r>
        <w:rPr>
          <w:sz w:val="22"/>
        </w:rPr>
        <w:t>meeting</w:t>
      </w:r>
      <w:r>
        <w:rPr>
          <w:spacing w:val="-4"/>
          <w:sz w:val="22"/>
        </w:rPr>
        <w:t> </w:t>
      </w:r>
      <w:r>
        <w:rPr>
          <w:sz w:val="22"/>
        </w:rPr>
        <w:t>agreed</w:t>
      </w:r>
      <w:r>
        <w:rPr>
          <w:spacing w:val="-2"/>
          <w:sz w:val="22"/>
        </w:rPr>
        <w:t> standards.</w:t>
      </w:r>
    </w:p>
    <w:p>
      <w:pPr>
        <w:pStyle w:val="BodyText"/>
        <w:spacing w:before="4"/>
        <w:rPr>
          <w:sz w:val="16"/>
        </w:rPr>
      </w:pPr>
    </w:p>
    <w:p>
      <w:pPr>
        <w:spacing w:before="1"/>
        <w:ind w:left="220" w:right="1251" w:firstLine="0"/>
        <w:jc w:val="both"/>
        <w:rPr>
          <w:sz w:val="22"/>
        </w:rPr>
      </w:pPr>
      <w:r>
        <w:rPr>
          <w:i/>
          <w:sz w:val="22"/>
        </w:rPr>
        <w:t>Performance Indicator 2.2.1</w:t>
      </w:r>
      <w:r>
        <w:rPr>
          <w:sz w:val="22"/>
        </w:rPr>
        <w:t>: Revised National professional standards for teachers is weighted at 1/14 = $114,286 total.</w:t>
      </w:r>
    </w:p>
    <w:p>
      <w:pPr>
        <w:pStyle w:val="BodyText"/>
        <w:spacing w:before="4"/>
        <w:rPr>
          <w:sz w:val="16"/>
        </w:rPr>
      </w:pPr>
    </w:p>
    <w:p>
      <w:pPr>
        <w:pStyle w:val="BodyText"/>
        <w:ind w:left="220" w:right="1254"/>
        <w:jc w:val="both"/>
      </w:pPr>
      <w:r>
        <w:rPr>
          <w:i/>
        </w:rPr>
        <w:t>Expected Results Statements: </w:t>
      </w:r>
      <w:r>
        <w:rPr/>
        <w:t>each Statement is allocated 50% of the total for that Indicator (consultation on professional standards for teachers 50%; and approval minute from the Senior Management Team on these professional standards for teachers 50%).</w:t>
      </w:r>
    </w:p>
    <w:p>
      <w:pPr>
        <w:pStyle w:val="BodyText"/>
        <w:spacing w:before="4"/>
        <w:rPr>
          <w:sz w:val="16"/>
        </w:rPr>
      </w:pPr>
    </w:p>
    <w:p>
      <w:pPr>
        <w:spacing w:before="1"/>
        <w:ind w:left="220" w:right="1252" w:firstLine="0"/>
        <w:jc w:val="both"/>
        <w:rPr>
          <w:sz w:val="22"/>
        </w:rPr>
      </w:pPr>
      <w:r>
        <w:rPr>
          <w:b/>
          <w:sz w:val="22"/>
        </w:rPr>
        <w:t>The overall recommended Performance Linked payment for 2018 is 68.36 per cent </w:t>
      </w:r>
      <w:r>
        <w:rPr>
          <w:sz w:val="22"/>
        </w:rPr>
        <w:t>This is 57 per cent of Expected Results Statements fully achieved and another 11 per cent partially achieved (see Diagram 4 below). It is above the 60 per cent presented at the Mid-Year Review where there were several items still to be decided.</w:t>
      </w:r>
    </w:p>
    <w:p>
      <w:pPr>
        <w:spacing w:after="0"/>
        <w:jc w:val="both"/>
        <w:rPr>
          <w:sz w:val="22"/>
        </w:rPr>
        <w:sectPr>
          <w:pgSz w:w="11900" w:h="16850"/>
          <w:pgMar w:header="867" w:footer="830" w:top="1060" w:bottom="1020" w:left="1220" w:right="180"/>
        </w:sectPr>
      </w:pPr>
    </w:p>
    <w:p>
      <w:pPr>
        <w:pStyle w:val="BodyText"/>
        <w:rPr>
          <w:sz w:val="20"/>
        </w:rPr>
      </w:pPr>
    </w:p>
    <w:p>
      <w:pPr>
        <w:pStyle w:val="BodyText"/>
        <w:rPr>
          <w:sz w:val="20"/>
        </w:rPr>
      </w:pPr>
    </w:p>
    <w:p>
      <w:pPr>
        <w:pStyle w:val="BodyText"/>
        <w:spacing w:before="2"/>
        <w:rPr>
          <w:sz w:val="11"/>
        </w:rPr>
      </w:pPr>
    </w:p>
    <w:p>
      <w:pPr>
        <w:pStyle w:val="BodyText"/>
        <w:ind w:left="220"/>
        <w:rPr>
          <w:sz w:val="20"/>
        </w:rPr>
      </w:pPr>
      <w:r>
        <w:rPr>
          <w:sz w:val="20"/>
        </w:rPr>
        <w:drawing>
          <wp:inline distT="0" distB="0" distL="0" distR="0">
            <wp:extent cx="4583854" cy="2755392"/>
            <wp:effectExtent l="0" t="0" r="0" b="0"/>
            <wp:docPr id="17" name="image8.png"/>
            <wp:cNvGraphicFramePr>
              <a:graphicFrameLocks noChangeAspect="1"/>
            </wp:cNvGraphicFramePr>
            <a:graphic>
              <a:graphicData uri="http://schemas.openxmlformats.org/drawingml/2006/picture">
                <pic:pic>
                  <pic:nvPicPr>
                    <pic:cNvPr id="18" name="image8.png"/>
                    <pic:cNvPicPr/>
                  </pic:nvPicPr>
                  <pic:blipFill>
                    <a:blip r:embed="rId19" cstate="print"/>
                    <a:stretch>
                      <a:fillRect/>
                    </a:stretch>
                  </pic:blipFill>
                  <pic:spPr>
                    <a:xfrm>
                      <a:off x="0" y="0"/>
                      <a:ext cx="4583854" cy="2755392"/>
                    </a:xfrm>
                    <a:prstGeom prst="rect">
                      <a:avLst/>
                    </a:prstGeom>
                  </pic:spPr>
                </pic:pic>
              </a:graphicData>
            </a:graphic>
          </wp:inline>
        </w:drawing>
      </w:r>
      <w:r>
        <w:rPr>
          <w:sz w:val="20"/>
        </w:rPr>
      </w:r>
    </w:p>
    <w:p>
      <w:pPr>
        <w:pStyle w:val="BodyText"/>
        <w:spacing w:before="8"/>
        <w:rPr>
          <w:sz w:val="12"/>
        </w:rPr>
      </w:pPr>
    </w:p>
    <w:p>
      <w:pPr>
        <w:pStyle w:val="BodyText"/>
        <w:spacing w:before="56"/>
        <w:ind w:left="220"/>
        <w:jc w:val="both"/>
        <w:rPr>
          <w:rFonts w:ascii="Calibri Light"/>
          <w:b w:val="0"/>
        </w:rPr>
      </w:pPr>
      <w:bookmarkStart w:name="_bookmark36" w:id="37"/>
      <w:bookmarkEnd w:id="37"/>
      <w:r>
        <w:rPr/>
      </w:r>
      <w:r>
        <w:rPr>
          <w:rFonts w:ascii="Calibri Light"/>
          <w:b w:val="0"/>
          <w:color w:val="2E5395"/>
          <w:spacing w:val="-2"/>
        </w:rPr>
        <w:t>Diagram</w:t>
      </w:r>
      <w:r>
        <w:rPr>
          <w:rFonts w:ascii="Calibri Light"/>
          <w:b w:val="0"/>
          <w:color w:val="2E5395"/>
          <w:spacing w:val="-7"/>
        </w:rPr>
        <w:t> </w:t>
      </w:r>
      <w:r>
        <w:rPr>
          <w:rFonts w:ascii="Calibri Light"/>
          <w:b w:val="0"/>
          <w:color w:val="2E5395"/>
          <w:spacing w:val="-2"/>
        </w:rPr>
        <w:t>4:</w:t>
      </w:r>
      <w:r>
        <w:rPr>
          <w:rFonts w:ascii="Calibri Light"/>
          <w:b w:val="0"/>
          <w:color w:val="2E5395"/>
          <w:spacing w:val="-5"/>
        </w:rPr>
        <w:t> </w:t>
      </w:r>
      <w:r>
        <w:rPr>
          <w:rFonts w:ascii="Calibri Light"/>
          <w:b w:val="0"/>
          <w:color w:val="2E5395"/>
          <w:spacing w:val="-2"/>
        </w:rPr>
        <w:t>Performance</w:t>
      </w:r>
      <w:r>
        <w:rPr>
          <w:rFonts w:ascii="Calibri Light"/>
          <w:b w:val="0"/>
          <w:color w:val="2E5395"/>
          <w:spacing w:val="-3"/>
        </w:rPr>
        <w:t> </w:t>
      </w:r>
      <w:r>
        <w:rPr>
          <w:rFonts w:ascii="Calibri Light"/>
          <w:b w:val="0"/>
          <w:color w:val="2E5395"/>
          <w:spacing w:val="-2"/>
        </w:rPr>
        <w:t>Linked</w:t>
      </w:r>
      <w:r>
        <w:rPr>
          <w:rFonts w:ascii="Calibri Light"/>
          <w:b w:val="0"/>
          <w:color w:val="2E5395"/>
          <w:spacing w:val="-8"/>
        </w:rPr>
        <w:t> </w:t>
      </w:r>
      <w:r>
        <w:rPr>
          <w:rFonts w:ascii="Calibri Light"/>
          <w:b w:val="0"/>
          <w:color w:val="2E5395"/>
          <w:spacing w:val="-2"/>
        </w:rPr>
        <w:t>Aid</w:t>
      </w:r>
      <w:r>
        <w:rPr>
          <w:rFonts w:ascii="Calibri Light"/>
          <w:b w:val="0"/>
          <w:color w:val="2E5395"/>
          <w:spacing w:val="-6"/>
        </w:rPr>
        <w:t> </w:t>
      </w:r>
      <w:r>
        <w:rPr>
          <w:rFonts w:ascii="Calibri Light"/>
          <w:b w:val="0"/>
          <w:color w:val="2E5395"/>
          <w:spacing w:val="-2"/>
        </w:rPr>
        <w:t>2018</w:t>
      </w:r>
      <w:r>
        <w:rPr>
          <w:rFonts w:ascii="Calibri Light"/>
          <w:b w:val="0"/>
          <w:color w:val="2E5395"/>
          <w:spacing w:val="-6"/>
        </w:rPr>
        <w:t> </w:t>
      </w:r>
      <w:r>
        <w:rPr>
          <w:rFonts w:ascii="Calibri Light"/>
          <w:b w:val="0"/>
          <w:color w:val="2E5395"/>
          <w:spacing w:val="-2"/>
        </w:rPr>
        <w:t>MEHRD</w:t>
      </w:r>
      <w:r>
        <w:rPr>
          <w:rFonts w:ascii="Calibri Light"/>
          <w:b w:val="0"/>
          <w:color w:val="2E5395"/>
          <w:spacing w:val="-5"/>
        </w:rPr>
        <w:t> </w:t>
      </w:r>
      <w:r>
        <w:rPr>
          <w:rFonts w:ascii="Calibri Light"/>
          <w:b w:val="0"/>
          <w:color w:val="2E5395"/>
          <w:spacing w:val="-2"/>
        </w:rPr>
        <w:t>percentage</w:t>
      </w:r>
      <w:r>
        <w:rPr>
          <w:rFonts w:ascii="Calibri Light"/>
          <w:b w:val="0"/>
          <w:color w:val="2E5395"/>
          <w:spacing w:val="-5"/>
        </w:rPr>
        <w:t> </w:t>
      </w:r>
      <w:r>
        <w:rPr>
          <w:rFonts w:ascii="Calibri Light"/>
          <w:b w:val="0"/>
          <w:color w:val="2E5395"/>
          <w:spacing w:val="-2"/>
        </w:rPr>
        <w:t>achievements.</w:t>
      </w:r>
    </w:p>
    <w:p>
      <w:pPr>
        <w:pStyle w:val="BodyText"/>
        <w:spacing w:before="8"/>
        <w:rPr>
          <w:rFonts w:ascii="Calibri Light"/>
          <w:b w:val="0"/>
          <w:sz w:val="19"/>
        </w:rPr>
      </w:pPr>
    </w:p>
    <w:p>
      <w:pPr>
        <w:pStyle w:val="BodyText"/>
        <w:ind w:left="220" w:right="1252"/>
        <w:jc w:val="both"/>
      </w:pPr>
      <w:r>
        <w:rPr/>
        <w:t>Figure 5 below shows a comparison of indicators achieved/part achieved between 2015 and 2018. Year 2016 appears to be an outlier with an achievement percentage of 91 per cent, whereas other years hover around the 60 per cent mark. (Last year’s Independent Assessor considered that there was an increase in difficulty of indicators for 2017 over the previous year.)</w:t>
      </w:r>
    </w:p>
    <w:p>
      <w:pPr>
        <w:pStyle w:val="BodyText"/>
        <w:spacing w:before="5"/>
        <w:rPr>
          <w:sz w:val="14"/>
        </w:rPr>
      </w:pPr>
      <w:r>
        <w:rPr/>
        <w:drawing>
          <wp:anchor distT="0" distB="0" distL="0" distR="0" allowOverlap="1" layoutInCell="1" locked="0" behindDoc="0" simplePos="0" relativeHeight="16">
            <wp:simplePos x="0" y="0"/>
            <wp:positionH relativeFrom="page">
              <wp:posOffset>914400</wp:posOffset>
            </wp:positionH>
            <wp:positionV relativeFrom="paragraph">
              <wp:posOffset>127259</wp:posOffset>
            </wp:positionV>
            <wp:extent cx="4584488" cy="2755392"/>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21" cstate="print"/>
                    <a:stretch>
                      <a:fillRect/>
                    </a:stretch>
                  </pic:blipFill>
                  <pic:spPr>
                    <a:xfrm>
                      <a:off x="0" y="0"/>
                      <a:ext cx="4584488" cy="2755392"/>
                    </a:xfrm>
                    <a:prstGeom prst="rect">
                      <a:avLst/>
                    </a:prstGeom>
                  </pic:spPr>
                </pic:pic>
              </a:graphicData>
            </a:graphic>
          </wp:anchor>
        </w:drawing>
      </w:r>
    </w:p>
    <w:p>
      <w:pPr>
        <w:pStyle w:val="BodyText"/>
        <w:spacing w:before="6"/>
        <w:rPr>
          <w:sz w:val="20"/>
        </w:rPr>
      </w:pPr>
    </w:p>
    <w:p>
      <w:pPr>
        <w:pStyle w:val="BodyText"/>
        <w:ind w:left="220"/>
        <w:jc w:val="both"/>
        <w:rPr>
          <w:rFonts w:ascii="Calibri Light"/>
          <w:b w:val="0"/>
        </w:rPr>
      </w:pPr>
      <w:bookmarkStart w:name="_bookmark37" w:id="38"/>
      <w:bookmarkEnd w:id="38"/>
      <w:r>
        <w:rPr/>
      </w:r>
      <w:r>
        <w:rPr>
          <w:rFonts w:ascii="Calibri Light"/>
          <w:b w:val="0"/>
          <w:color w:val="2E5395"/>
          <w:spacing w:val="-2"/>
        </w:rPr>
        <w:t>Figure</w:t>
      </w:r>
      <w:r>
        <w:rPr>
          <w:rFonts w:ascii="Calibri Light"/>
          <w:b w:val="0"/>
          <w:color w:val="2E5395"/>
          <w:spacing w:val="-5"/>
        </w:rPr>
        <w:t> </w:t>
      </w:r>
      <w:r>
        <w:rPr>
          <w:rFonts w:ascii="Calibri Light"/>
          <w:b w:val="0"/>
          <w:color w:val="2E5395"/>
          <w:spacing w:val="-2"/>
        </w:rPr>
        <w:t>5:</w:t>
      </w:r>
      <w:r>
        <w:rPr>
          <w:rFonts w:ascii="Calibri Light"/>
          <w:b w:val="0"/>
          <w:color w:val="2E5395"/>
          <w:spacing w:val="-4"/>
        </w:rPr>
        <w:t> </w:t>
      </w:r>
      <w:r>
        <w:rPr>
          <w:rFonts w:ascii="Calibri Light"/>
          <w:b w:val="0"/>
          <w:color w:val="2E5395"/>
          <w:spacing w:val="-2"/>
        </w:rPr>
        <w:t>Comparison of</w:t>
      </w:r>
      <w:r>
        <w:rPr>
          <w:rFonts w:ascii="Calibri Light"/>
          <w:b w:val="0"/>
          <w:color w:val="2E5395"/>
          <w:spacing w:val="-5"/>
        </w:rPr>
        <w:t> </w:t>
      </w:r>
      <w:r>
        <w:rPr>
          <w:rFonts w:ascii="Calibri Light"/>
          <w:b w:val="0"/>
          <w:color w:val="2E5395"/>
          <w:spacing w:val="-2"/>
        </w:rPr>
        <w:t>indicators</w:t>
      </w:r>
      <w:r>
        <w:rPr>
          <w:rFonts w:ascii="Calibri Light"/>
          <w:b w:val="0"/>
          <w:color w:val="2E5395"/>
          <w:spacing w:val="-4"/>
        </w:rPr>
        <w:t> </w:t>
      </w:r>
      <w:r>
        <w:rPr>
          <w:rFonts w:ascii="Calibri Light"/>
          <w:b w:val="0"/>
          <w:color w:val="2E5395"/>
          <w:spacing w:val="-2"/>
        </w:rPr>
        <w:t>achieved</w:t>
      </w:r>
      <w:r>
        <w:rPr>
          <w:rFonts w:ascii="Calibri Light"/>
          <w:b w:val="0"/>
          <w:color w:val="2E5395"/>
          <w:spacing w:val="-5"/>
        </w:rPr>
        <w:t> </w:t>
      </w:r>
      <w:r>
        <w:rPr>
          <w:rFonts w:ascii="Calibri Light"/>
          <w:b w:val="0"/>
          <w:color w:val="2E5395"/>
          <w:spacing w:val="-2"/>
        </w:rPr>
        <w:t>from</w:t>
      </w:r>
      <w:r>
        <w:rPr>
          <w:rFonts w:ascii="Calibri Light"/>
          <w:b w:val="0"/>
          <w:color w:val="2E5395"/>
          <w:spacing w:val="-4"/>
        </w:rPr>
        <w:t> </w:t>
      </w:r>
      <w:r>
        <w:rPr>
          <w:rFonts w:ascii="Calibri Light"/>
          <w:b w:val="0"/>
          <w:color w:val="2E5395"/>
          <w:spacing w:val="-2"/>
        </w:rPr>
        <w:t>2015</w:t>
      </w:r>
      <w:r>
        <w:rPr>
          <w:rFonts w:ascii="Calibri Light"/>
          <w:b w:val="0"/>
          <w:color w:val="2E5395"/>
          <w:spacing w:val="-5"/>
        </w:rPr>
        <w:t> </w:t>
      </w:r>
      <w:r>
        <w:rPr>
          <w:rFonts w:ascii="Calibri Light"/>
          <w:b w:val="0"/>
          <w:color w:val="2E5395"/>
          <w:spacing w:val="-2"/>
        </w:rPr>
        <w:t>to</w:t>
      </w:r>
      <w:r>
        <w:rPr>
          <w:rFonts w:ascii="Calibri Light"/>
          <w:b w:val="0"/>
          <w:color w:val="2E5395"/>
          <w:spacing w:val="-3"/>
        </w:rPr>
        <w:t> </w:t>
      </w:r>
      <w:r>
        <w:rPr>
          <w:rFonts w:ascii="Calibri Light"/>
          <w:b w:val="0"/>
          <w:color w:val="2E5395"/>
          <w:spacing w:val="-2"/>
        </w:rPr>
        <w:t>2018.</w:t>
      </w:r>
    </w:p>
    <w:p>
      <w:pPr>
        <w:pStyle w:val="BodyText"/>
        <w:spacing w:before="9"/>
        <w:rPr>
          <w:rFonts w:ascii="Calibri Light"/>
          <w:b w:val="0"/>
          <w:sz w:val="19"/>
        </w:rPr>
      </w:pPr>
    </w:p>
    <w:p>
      <w:pPr>
        <w:pStyle w:val="BodyText"/>
        <w:ind w:left="220" w:right="1253"/>
        <w:jc w:val="both"/>
      </w:pPr>
      <w:r>
        <w:rPr/>
        <w:t>Figure 6 below provides a summary of achieved/part achieved indicators by priority area for 2018. Management systems achieved the highest percentage, perhaps due to the level of management control able to be exerted in this area. Quality typically takes longer to achieve and see results. Access also takes longer to achieve with indicators such as School transition rates and development of policies that rely on consultations, EA/School/community buy-in and approval by the NEB. A similar pattern of a lag in Quality and Access on annual indicators is seen in last year’s independent </w:t>
      </w:r>
      <w:r>
        <w:rPr>
          <w:spacing w:val="-2"/>
        </w:rPr>
        <w:t>assessment.</w:t>
      </w:r>
    </w:p>
    <w:p>
      <w:pPr>
        <w:spacing w:after="0"/>
        <w:jc w:val="both"/>
        <w:sectPr>
          <w:pgSz w:w="11900" w:h="16850"/>
          <w:pgMar w:header="867" w:footer="830" w:top="1060" w:bottom="1020" w:left="1220" w:right="180"/>
        </w:sect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ind w:left="220"/>
        <w:rPr>
          <w:sz w:val="20"/>
        </w:rPr>
      </w:pPr>
      <w:r>
        <w:rPr>
          <w:sz w:val="20"/>
        </w:rPr>
        <w:drawing>
          <wp:inline distT="0" distB="0" distL="0" distR="0">
            <wp:extent cx="4583854" cy="2755392"/>
            <wp:effectExtent l="0" t="0" r="0" b="0"/>
            <wp:docPr id="21" name="image10.png"/>
            <wp:cNvGraphicFramePr>
              <a:graphicFrameLocks noChangeAspect="1"/>
            </wp:cNvGraphicFramePr>
            <a:graphic>
              <a:graphicData uri="http://schemas.openxmlformats.org/drawingml/2006/picture">
                <pic:pic>
                  <pic:nvPicPr>
                    <pic:cNvPr id="22" name="image10.png"/>
                    <pic:cNvPicPr/>
                  </pic:nvPicPr>
                  <pic:blipFill>
                    <a:blip r:embed="rId22" cstate="print"/>
                    <a:stretch>
                      <a:fillRect/>
                    </a:stretch>
                  </pic:blipFill>
                  <pic:spPr>
                    <a:xfrm>
                      <a:off x="0" y="0"/>
                      <a:ext cx="4583854" cy="2755392"/>
                    </a:xfrm>
                    <a:prstGeom prst="rect">
                      <a:avLst/>
                    </a:prstGeom>
                  </pic:spPr>
                </pic:pic>
              </a:graphicData>
            </a:graphic>
          </wp:inline>
        </w:drawing>
      </w:r>
      <w:r>
        <w:rPr>
          <w:sz w:val="20"/>
        </w:rPr>
      </w:r>
    </w:p>
    <w:p>
      <w:pPr>
        <w:pStyle w:val="BodyText"/>
        <w:spacing w:before="11"/>
        <w:rPr>
          <w:sz w:val="15"/>
        </w:rPr>
      </w:pPr>
    </w:p>
    <w:p>
      <w:pPr>
        <w:pStyle w:val="BodyText"/>
        <w:spacing w:before="57"/>
        <w:ind w:left="220"/>
        <w:jc w:val="both"/>
        <w:rPr>
          <w:rFonts w:ascii="Calibri Light"/>
          <w:b w:val="0"/>
        </w:rPr>
      </w:pPr>
      <w:bookmarkStart w:name="_bookmark38" w:id="39"/>
      <w:bookmarkEnd w:id="39"/>
      <w:r>
        <w:rPr/>
      </w:r>
      <w:r>
        <w:rPr>
          <w:rFonts w:ascii="Calibri Light"/>
          <w:b w:val="0"/>
          <w:color w:val="2E5395"/>
          <w:spacing w:val="-2"/>
        </w:rPr>
        <w:t>Figure</w:t>
      </w:r>
      <w:r>
        <w:rPr>
          <w:rFonts w:ascii="Calibri Light"/>
          <w:b w:val="0"/>
          <w:color w:val="2E5395"/>
          <w:spacing w:val="-6"/>
        </w:rPr>
        <w:t> </w:t>
      </w:r>
      <w:r>
        <w:rPr>
          <w:rFonts w:ascii="Calibri Light"/>
          <w:b w:val="0"/>
          <w:color w:val="2E5395"/>
          <w:spacing w:val="-2"/>
        </w:rPr>
        <w:t>6:</w:t>
      </w:r>
      <w:r>
        <w:rPr>
          <w:rFonts w:ascii="Calibri Light"/>
          <w:b w:val="0"/>
          <w:color w:val="2E5395"/>
          <w:spacing w:val="-3"/>
        </w:rPr>
        <w:t> </w:t>
      </w:r>
      <w:r>
        <w:rPr>
          <w:rFonts w:ascii="Calibri Light"/>
          <w:b w:val="0"/>
          <w:color w:val="2E5395"/>
          <w:spacing w:val="-2"/>
        </w:rPr>
        <w:t>Summary of</w:t>
      </w:r>
      <w:r>
        <w:rPr>
          <w:rFonts w:ascii="Calibri Light"/>
          <w:b w:val="0"/>
          <w:color w:val="2E5395"/>
          <w:spacing w:val="-6"/>
        </w:rPr>
        <w:t> </w:t>
      </w:r>
      <w:r>
        <w:rPr>
          <w:rFonts w:ascii="Calibri Light"/>
          <w:b w:val="0"/>
          <w:color w:val="2E5395"/>
          <w:spacing w:val="-2"/>
        </w:rPr>
        <w:t>achieved/part</w:t>
      </w:r>
      <w:r>
        <w:rPr>
          <w:rFonts w:ascii="Calibri Light"/>
          <w:b w:val="0"/>
          <w:color w:val="2E5395"/>
          <w:spacing w:val="-3"/>
        </w:rPr>
        <w:t> </w:t>
      </w:r>
      <w:r>
        <w:rPr>
          <w:rFonts w:ascii="Calibri Light"/>
          <w:b w:val="0"/>
          <w:color w:val="2E5395"/>
          <w:spacing w:val="-2"/>
        </w:rPr>
        <w:t>achieved</w:t>
      </w:r>
      <w:r>
        <w:rPr>
          <w:rFonts w:ascii="Calibri Light"/>
          <w:b w:val="0"/>
          <w:color w:val="2E5395"/>
          <w:spacing w:val="-5"/>
        </w:rPr>
        <w:t> </w:t>
      </w:r>
      <w:r>
        <w:rPr>
          <w:rFonts w:ascii="Calibri Light"/>
          <w:b w:val="0"/>
          <w:color w:val="2E5395"/>
          <w:spacing w:val="-2"/>
        </w:rPr>
        <w:t>indicator</w:t>
      </w:r>
      <w:r>
        <w:rPr>
          <w:rFonts w:ascii="Calibri Light"/>
          <w:b w:val="0"/>
          <w:color w:val="2E5395"/>
          <w:spacing w:val="-5"/>
        </w:rPr>
        <w:t> </w:t>
      </w:r>
      <w:r>
        <w:rPr>
          <w:rFonts w:ascii="Calibri Light"/>
          <w:b w:val="0"/>
          <w:color w:val="2E5395"/>
          <w:spacing w:val="-2"/>
        </w:rPr>
        <w:t>by</w:t>
      </w:r>
      <w:r>
        <w:rPr>
          <w:rFonts w:ascii="Calibri Light"/>
          <w:b w:val="0"/>
          <w:color w:val="2E5395"/>
          <w:spacing w:val="-4"/>
        </w:rPr>
        <w:t> </w:t>
      </w:r>
      <w:r>
        <w:rPr>
          <w:rFonts w:ascii="Calibri Light"/>
          <w:b w:val="0"/>
          <w:color w:val="2E5395"/>
          <w:spacing w:val="-2"/>
        </w:rPr>
        <w:t>priority</w:t>
      </w:r>
      <w:r>
        <w:rPr>
          <w:rFonts w:ascii="Calibri Light"/>
          <w:b w:val="0"/>
          <w:color w:val="2E5395"/>
          <w:spacing w:val="-4"/>
        </w:rPr>
        <w:t> </w:t>
      </w:r>
      <w:r>
        <w:rPr>
          <w:rFonts w:ascii="Calibri Light"/>
          <w:b w:val="0"/>
          <w:color w:val="2E5395"/>
          <w:spacing w:val="-2"/>
        </w:rPr>
        <w:t>area</w:t>
      </w:r>
      <w:r>
        <w:rPr>
          <w:rFonts w:ascii="Calibri Light"/>
          <w:b w:val="0"/>
          <w:color w:val="2E5395"/>
          <w:spacing w:val="-3"/>
        </w:rPr>
        <w:t> </w:t>
      </w:r>
      <w:r>
        <w:rPr>
          <w:rFonts w:ascii="Calibri Light"/>
          <w:b w:val="0"/>
          <w:color w:val="2E5395"/>
          <w:spacing w:val="-2"/>
        </w:rPr>
        <w:t>for</w:t>
      </w:r>
      <w:r>
        <w:rPr>
          <w:rFonts w:ascii="Calibri Light"/>
          <w:b w:val="0"/>
          <w:color w:val="2E5395"/>
          <w:spacing w:val="-3"/>
        </w:rPr>
        <w:t> </w:t>
      </w:r>
      <w:r>
        <w:rPr>
          <w:rFonts w:ascii="Calibri Light"/>
          <w:b w:val="0"/>
          <w:color w:val="2E5395"/>
          <w:spacing w:val="-2"/>
        </w:rPr>
        <w:t>2018.</w:t>
      </w:r>
    </w:p>
    <w:p>
      <w:pPr>
        <w:pStyle w:val="BodyText"/>
        <w:rPr>
          <w:rFonts w:ascii="Calibri Light"/>
          <w:b w:val="0"/>
        </w:rPr>
      </w:pPr>
    </w:p>
    <w:p>
      <w:pPr>
        <w:pStyle w:val="BodyText"/>
        <w:rPr>
          <w:rFonts w:ascii="Calibri Light"/>
          <w:b w:val="0"/>
        </w:rPr>
      </w:pPr>
    </w:p>
    <w:p>
      <w:pPr>
        <w:pStyle w:val="BodyText"/>
        <w:spacing w:before="7"/>
        <w:rPr>
          <w:rFonts w:ascii="Calibri Light"/>
          <w:b w:val="0"/>
          <w:sz w:val="17"/>
        </w:rPr>
      </w:pPr>
    </w:p>
    <w:p>
      <w:pPr>
        <w:pStyle w:val="Heading2"/>
        <w:numPr>
          <w:ilvl w:val="0"/>
          <w:numId w:val="4"/>
        </w:numPr>
        <w:tabs>
          <w:tab w:pos="940" w:val="left" w:leader="none"/>
          <w:tab w:pos="941" w:val="left" w:leader="none"/>
        </w:tabs>
        <w:spacing w:line="276" w:lineRule="auto" w:before="0" w:after="0"/>
        <w:ind w:left="220" w:right="1943" w:firstLine="0"/>
        <w:jc w:val="left"/>
        <w:rPr>
          <w:b w:val="0"/>
          <w:color w:val="4471C4"/>
        </w:rPr>
      </w:pPr>
      <w:bookmarkStart w:name="_bookmark39" w:id="40"/>
      <w:bookmarkEnd w:id="40"/>
      <w:r>
        <w:rPr>
          <w:b w:val="0"/>
          <w:color w:val="4471C4"/>
          <w:spacing w:val="-2"/>
        </w:rPr>
        <w:t>A</w:t>
      </w:r>
      <w:r>
        <w:rPr>
          <w:b w:val="0"/>
          <w:color w:val="4471C4"/>
          <w:spacing w:val="-2"/>
        </w:rPr>
        <w:t>ppraisal</w:t>
      </w:r>
      <w:r>
        <w:rPr>
          <w:b w:val="0"/>
          <w:color w:val="4471C4"/>
          <w:spacing w:val="-8"/>
        </w:rPr>
        <w:t> </w:t>
      </w:r>
      <w:r>
        <w:rPr>
          <w:b w:val="0"/>
          <w:color w:val="4471C4"/>
          <w:spacing w:val="-2"/>
        </w:rPr>
        <w:t>of</w:t>
      </w:r>
      <w:r>
        <w:rPr>
          <w:b w:val="0"/>
          <w:color w:val="4471C4"/>
          <w:spacing w:val="-8"/>
        </w:rPr>
        <w:t> </w:t>
      </w:r>
      <w:r>
        <w:rPr>
          <w:b w:val="0"/>
          <w:color w:val="4471C4"/>
          <w:spacing w:val="-2"/>
        </w:rPr>
        <w:t>current</w:t>
      </w:r>
      <w:r>
        <w:rPr>
          <w:b w:val="0"/>
          <w:color w:val="4471C4"/>
          <w:spacing w:val="-6"/>
        </w:rPr>
        <w:t> </w:t>
      </w:r>
      <w:r>
        <w:rPr>
          <w:b w:val="0"/>
          <w:color w:val="4471C4"/>
          <w:spacing w:val="-2"/>
        </w:rPr>
        <w:t>PLA</w:t>
      </w:r>
      <w:r>
        <w:rPr>
          <w:b w:val="0"/>
          <w:color w:val="4471C4"/>
          <w:spacing w:val="-7"/>
        </w:rPr>
        <w:t> </w:t>
      </w:r>
      <w:r>
        <w:rPr>
          <w:b w:val="0"/>
          <w:color w:val="4471C4"/>
          <w:spacing w:val="-2"/>
        </w:rPr>
        <w:t>approach</w:t>
      </w:r>
      <w:r>
        <w:rPr>
          <w:b w:val="0"/>
          <w:color w:val="4471C4"/>
          <w:spacing w:val="-7"/>
        </w:rPr>
        <w:t> </w:t>
      </w:r>
      <w:r>
        <w:rPr>
          <w:b w:val="0"/>
          <w:color w:val="4471C4"/>
          <w:spacing w:val="-2"/>
        </w:rPr>
        <w:t>and</w:t>
      </w:r>
      <w:r>
        <w:rPr>
          <w:b w:val="0"/>
          <w:color w:val="4471C4"/>
          <w:spacing w:val="-7"/>
        </w:rPr>
        <w:t> </w:t>
      </w:r>
      <w:r>
        <w:rPr>
          <w:b w:val="0"/>
          <w:color w:val="4471C4"/>
          <w:spacing w:val="-2"/>
        </w:rPr>
        <w:t>recommendations</w:t>
      </w:r>
      <w:r>
        <w:rPr>
          <w:b w:val="0"/>
          <w:color w:val="4471C4"/>
          <w:spacing w:val="-8"/>
        </w:rPr>
        <w:t> </w:t>
      </w:r>
      <w:r>
        <w:rPr>
          <w:b w:val="0"/>
          <w:color w:val="4471C4"/>
          <w:spacing w:val="-2"/>
        </w:rPr>
        <w:t>on</w:t>
      </w:r>
      <w:r>
        <w:rPr>
          <w:b w:val="0"/>
          <w:color w:val="4471C4"/>
          <w:spacing w:val="-7"/>
        </w:rPr>
        <w:t> </w:t>
      </w:r>
      <w:r>
        <w:rPr>
          <w:b w:val="0"/>
          <w:color w:val="4471C4"/>
          <w:spacing w:val="-2"/>
        </w:rPr>
        <w:t>the</w:t>
      </w:r>
      <w:r>
        <w:rPr>
          <w:b w:val="0"/>
          <w:color w:val="4471C4"/>
          <w:spacing w:val="-10"/>
        </w:rPr>
        <w:t> </w:t>
      </w:r>
      <w:r>
        <w:rPr>
          <w:b w:val="0"/>
          <w:color w:val="4471C4"/>
          <w:spacing w:val="-2"/>
        </w:rPr>
        <w:t>way forward</w:t>
      </w:r>
    </w:p>
    <w:p>
      <w:pPr>
        <w:pStyle w:val="BodyText"/>
        <w:spacing w:before="116"/>
        <w:ind w:left="220" w:right="1255"/>
        <w:jc w:val="both"/>
      </w:pPr>
      <w:r>
        <w:rPr/>
        <w:t>This section will explore six key themes in</w:t>
      </w:r>
      <w:r>
        <w:rPr>
          <w:spacing w:val="-1"/>
        </w:rPr>
        <w:t> </w:t>
      </w:r>
      <w:r>
        <w:rPr/>
        <w:t>appraising the current PLA approach: consistency, control, interdependency, time-frames, data accuracy/research, and partnership.</w:t>
      </w:r>
    </w:p>
    <w:p>
      <w:pPr>
        <w:pStyle w:val="BodyText"/>
        <w:spacing w:before="4"/>
        <w:rPr>
          <w:sz w:val="16"/>
        </w:rPr>
      </w:pPr>
    </w:p>
    <w:p>
      <w:pPr>
        <w:pStyle w:val="BodyText"/>
        <w:ind w:left="220" w:right="1251"/>
        <w:jc w:val="both"/>
      </w:pPr>
      <w:r>
        <w:rPr>
          <w:color w:val="4471C4"/>
        </w:rPr>
        <w:t>Consistency: </w:t>
      </w:r>
      <w:r>
        <w:rPr/>
        <w:t>To maintain independence of the Performance Linked Aid process, the AHC usually engages a different assessor each year. As noted last year, this approach has its advantages in that new ideas and different methodologies are used year-on-year. It also moves the goal-posts, changes the focus of key targets and sometimes drops indicators that are going to take time to address particularly in the quality targets.</w:t>
      </w:r>
    </w:p>
    <w:p>
      <w:pPr>
        <w:pStyle w:val="BodyText"/>
        <w:spacing w:before="5"/>
        <w:rPr>
          <w:sz w:val="16"/>
        </w:rPr>
      </w:pPr>
    </w:p>
    <w:p>
      <w:pPr>
        <w:pStyle w:val="BodyText"/>
        <w:ind w:left="220" w:right="1253"/>
        <w:jc w:val="both"/>
      </w:pPr>
      <w:r>
        <w:rPr/>
        <w:t>For example, the backlog of 3,000 teacher appraisals was outstanding in the 2018 review and assessed as 20 per cent achieved given that work had commenced to address the issue. This</w:t>
      </w:r>
      <w:r>
        <w:rPr>
          <w:spacing w:val="40"/>
        </w:rPr>
        <w:t> </w:t>
      </w:r>
      <w:r>
        <w:rPr/>
        <w:t>indicator did not appear again on the 2018 Performance Matrix. However, the 3,000 backlog of teachers had been cleared in 2018. This assessor would not have investigated this issue if an adviser had not brought it to her attention, and a case made for recognition that there was a significant achievement worthy of a 20 per cent assessment. Similarly, last year’s assessor raised concerns that only 26 per cent of the indicators were consistent in 2017 to those in 2015.</w:t>
      </w:r>
    </w:p>
    <w:p>
      <w:pPr>
        <w:pStyle w:val="BodyText"/>
        <w:spacing w:before="7"/>
        <w:rPr>
          <w:sz w:val="16"/>
        </w:rPr>
      </w:pPr>
    </w:p>
    <w:p>
      <w:pPr>
        <w:pStyle w:val="BodyText"/>
        <w:ind w:left="220" w:right="1253"/>
        <w:jc w:val="both"/>
      </w:pPr>
      <w:r>
        <w:rPr/>
        <w:t>The number of indicators shifts each year too: 10 in 2015, 13 in 2016, 31 in 2017 and 22 in 2018</w:t>
      </w:r>
      <w:r>
        <w:rPr>
          <w:spacing w:val="40"/>
        </w:rPr>
        <w:t> </w:t>
      </w:r>
      <w:r>
        <w:rPr/>
        <w:t>(with 30 Expected Results Statements in 2018). Assessors are most likely attempting to make improvements each year on the process and on the indicators’ measurability and verifiability for the following year.</w:t>
      </w:r>
    </w:p>
    <w:p>
      <w:pPr>
        <w:pStyle w:val="BodyText"/>
        <w:spacing w:before="4"/>
        <w:rPr>
          <w:sz w:val="16"/>
        </w:rPr>
      </w:pPr>
    </w:p>
    <w:p>
      <w:pPr>
        <w:spacing w:before="1"/>
        <w:ind w:left="220" w:right="1254" w:firstLine="0"/>
        <w:jc w:val="both"/>
        <w:rPr>
          <w:i/>
          <w:sz w:val="22"/>
        </w:rPr>
      </w:pPr>
      <w:r>
        <w:rPr>
          <w:i/>
          <w:sz w:val="22"/>
        </w:rPr>
        <w:t>The net impact of the inconsistency of approaches, indicators and focus is it creates a ‘shifting-sands</w:t>
      </w:r>
      <w:r>
        <w:rPr>
          <w:i/>
          <w:sz w:val="22"/>
        </w:rPr>
        <w:t> PLA’ for MEHRD and AHC, along with a lack of ability to track trends and task completion over time.</w:t>
      </w:r>
    </w:p>
    <w:p>
      <w:pPr>
        <w:spacing w:after="0"/>
        <w:jc w:val="both"/>
        <w:rPr>
          <w:sz w:val="22"/>
        </w:rPr>
        <w:sectPr>
          <w:pgSz w:w="11900" w:h="16850"/>
          <w:pgMar w:header="867" w:footer="830" w:top="1060" w:bottom="1020" w:left="1220" w:right="180"/>
        </w:sectPr>
      </w:pPr>
    </w:p>
    <w:p>
      <w:pPr>
        <w:pStyle w:val="BodyText"/>
        <w:rPr>
          <w:i/>
          <w:sz w:val="20"/>
        </w:rPr>
      </w:pPr>
    </w:p>
    <w:p>
      <w:pPr>
        <w:pStyle w:val="BodyText"/>
        <w:spacing w:before="6"/>
        <w:rPr>
          <w:i/>
          <w:sz w:val="26"/>
        </w:rPr>
      </w:pPr>
    </w:p>
    <w:p>
      <w:pPr>
        <w:pStyle w:val="BodyText"/>
        <w:spacing w:before="57"/>
        <w:ind w:left="220" w:right="1253"/>
        <w:jc w:val="both"/>
      </w:pPr>
      <w:r>
        <w:rPr>
          <w:color w:val="4471C4"/>
        </w:rPr>
        <w:t>Control:</w:t>
      </w:r>
      <w:r>
        <w:rPr>
          <w:color w:val="4471C4"/>
          <w:spacing w:val="-1"/>
        </w:rPr>
        <w:t> </w:t>
      </w:r>
      <w:r>
        <w:rPr/>
        <w:t>As</w:t>
      </w:r>
      <w:r>
        <w:rPr>
          <w:spacing w:val="-2"/>
        </w:rPr>
        <w:t> </w:t>
      </w:r>
      <w:r>
        <w:rPr/>
        <w:t>noted</w:t>
      </w:r>
      <w:r>
        <w:rPr>
          <w:spacing w:val="-3"/>
        </w:rPr>
        <w:t> </w:t>
      </w:r>
      <w:r>
        <w:rPr/>
        <w:t>in</w:t>
      </w:r>
      <w:r>
        <w:rPr>
          <w:spacing w:val="-3"/>
        </w:rPr>
        <w:t> </w:t>
      </w:r>
      <w:r>
        <w:rPr/>
        <w:t>section</w:t>
      </w:r>
      <w:r>
        <w:rPr>
          <w:spacing w:val="-3"/>
        </w:rPr>
        <w:t> </w:t>
      </w:r>
      <w:r>
        <w:rPr/>
        <w:t>4.3.5</w:t>
      </w:r>
      <w:r>
        <w:rPr>
          <w:spacing w:val="-4"/>
        </w:rPr>
        <w:t> </w:t>
      </w:r>
      <w:r>
        <w:rPr/>
        <w:t>on</w:t>
      </w:r>
      <w:r>
        <w:rPr>
          <w:spacing w:val="-3"/>
        </w:rPr>
        <w:t> </w:t>
      </w:r>
      <w:r>
        <w:rPr/>
        <w:t>Scholarships,</w:t>
      </w:r>
      <w:r>
        <w:rPr>
          <w:spacing w:val="-2"/>
        </w:rPr>
        <w:t> </w:t>
      </w:r>
      <w:r>
        <w:rPr/>
        <w:t>there</w:t>
      </w:r>
      <w:r>
        <w:rPr>
          <w:spacing w:val="-3"/>
        </w:rPr>
        <w:t> </w:t>
      </w:r>
      <w:r>
        <w:rPr/>
        <w:t>must</w:t>
      </w:r>
      <w:r>
        <w:rPr>
          <w:spacing w:val="-1"/>
        </w:rPr>
        <w:t> </w:t>
      </w:r>
      <w:r>
        <w:rPr/>
        <w:t>be</w:t>
      </w:r>
      <w:r>
        <w:rPr>
          <w:spacing w:val="-4"/>
        </w:rPr>
        <w:t> </w:t>
      </w:r>
      <w:r>
        <w:rPr/>
        <w:t>control</w:t>
      </w:r>
      <w:r>
        <w:rPr>
          <w:spacing w:val="-4"/>
        </w:rPr>
        <w:t> </w:t>
      </w:r>
      <w:r>
        <w:rPr/>
        <w:t>over</w:t>
      </w:r>
      <w:r>
        <w:rPr>
          <w:spacing w:val="-2"/>
        </w:rPr>
        <w:t> </w:t>
      </w:r>
      <w:r>
        <w:rPr/>
        <w:t>achieving</w:t>
      </w:r>
      <w:r>
        <w:rPr>
          <w:spacing w:val="-3"/>
        </w:rPr>
        <w:t> </w:t>
      </w:r>
      <w:r>
        <w:rPr/>
        <w:t>outcomes</w:t>
      </w:r>
      <w:r>
        <w:rPr>
          <w:spacing w:val="-1"/>
        </w:rPr>
        <w:t> </w:t>
      </w:r>
      <w:r>
        <w:rPr/>
        <w:t>by ‘incentivised actors’.</w:t>
      </w:r>
      <w:r>
        <w:rPr>
          <w:vertAlign w:val="superscript"/>
        </w:rPr>
        <w:t>19</w:t>
      </w:r>
      <w:r>
        <w:rPr>
          <w:spacing w:val="-2"/>
          <w:vertAlign w:val="baseline"/>
        </w:rPr>
        <w:t> </w:t>
      </w:r>
      <w:r>
        <w:rPr>
          <w:vertAlign w:val="baseline"/>
        </w:rPr>
        <w:t>The higher results for MEHRD management systems indicators, over both access and quality, in this assessment and in last year’s assessment bears this statement out (see Figure 6 above). Successive assessors have attempted to ensure MEHRD has control over results. However, for example, the best MEHRD can do in terms of endorsement by a body such as the National Education Board or limiting expenditure on scholarships is to present quality strategies to decision-makers and have standard operating procedures in place. PLA also needs to influence political decision-makers to support and implement changes. The</w:t>
      </w:r>
      <w:r>
        <w:rPr>
          <w:spacing w:val="-1"/>
          <w:vertAlign w:val="baseline"/>
        </w:rPr>
        <w:t> </w:t>
      </w:r>
      <w:r>
        <w:rPr>
          <w:vertAlign w:val="baseline"/>
        </w:rPr>
        <w:t>DFA for education does state </w:t>
      </w:r>
      <w:r>
        <w:rPr>
          <w:i/>
          <w:vertAlign w:val="baseline"/>
        </w:rPr>
        <w:t>inter</w:t>
      </w:r>
      <w:r>
        <w:rPr>
          <w:i/>
          <w:vertAlign w:val="baseline"/>
        </w:rPr>
        <w:t> alia </w:t>
      </w:r>
      <w:r>
        <w:rPr>
          <w:vertAlign w:val="baseline"/>
        </w:rPr>
        <w:t>that SIG will commit 22 per cent of its national recurrent expenditure in the relevant Appropriations Bill for the duration of the DFA, which is a good starting position. More could be achieved in regards to PLA in the Direct Funding Agreement.</w:t>
      </w:r>
    </w:p>
    <w:p>
      <w:pPr>
        <w:pStyle w:val="BodyText"/>
        <w:spacing w:before="4"/>
        <w:rPr>
          <w:sz w:val="16"/>
        </w:rPr>
      </w:pPr>
    </w:p>
    <w:p>
      <w:pPr>
        <w:spacing w:before="0"/>
        <w:ind w:left="220" w:right="1255" w:firstLine="0"/>
        <w:jc w:val="both"/>
        <w:rPr>
          <w:i/>
          <w:sz w:val="22"/>
        </w:rPr>
      </w:pPr>
      <w:r>
        <w:rPr>
          <w:i/>
          <w:sz w:val="22"/>
        </w:rPr>
        <w:t>When developing indicators there needs to be continuing recognition of what MEHRD can and</w:t>
      </w:r>
      <w:r>
        <w:rPr>
          <w:i/>
          <w:spacing w:val="40"/>
          <w:sz w:val="22"/>
        </w:rPr>
        <w:t> </w:t>
      </w:r>
      <w:r>
        <w:rPr>
          <w:i/>
          <w:sz w:val="22"/>
        </w:rPr>
        <w:t>cannot control. And at what level of SIG the PLA is pitched to, in terms of who has control.</w:t>
      </w:r>
    </w:p>
    <w:p>
      <w:pPr>
        <w:pStyle w:val="BodyText"/>
        <w:spacing w:before="4"/>
        <w:rPr>
          <w:i/>
          <w:sz w:val="16"/>
        </w:rPr>
      </w:pPr>
    </w:p>
    <w:p>
      <w:pPr>
        <w:pStyle w:val="BodyText"/>
        <w:spacing w:before="1"/>
        <w:ind w:left="220" w:right="1251"/>
        <w:jc w:val="both"/>
      </w:pPr>
      <w:r>
        <w:rPr>
          <w:color w:val="4471C4"/>
        </w:rPr>
        <w:t>Interdependency: </w:t>
      </w:r>
      <w:r>
        <w:rPr/>
        <w:t>Every effort appears to be made in the 2018 Performance Matrix to avoid interdependent indicators. This makes sense, though in some cases interdependent indicators are necessary and should perhaps ‘cascade’ over time to achieve a target. For example, the National Educational Bill is linked to other pieces of legislation necessary to implement the Bill such as the Education Regulations</w:t>
      </w:r>
      <w:r>
        <w:rPr>
          <w:spacing w:val="40"/>
        </w:rPr>
        <w:t> </w:t>
      </w:r>
      <w:r>
        <w:rPr/>
        <w:t>and Administrative Instructions.</w:t>
      </w:r>
    </w:p>
    <w:p>
      <w:pPr>
        <w:pStyle w:val="BodyText"/>
        <w:spacing w:before="5"/>
        <w:rPr>
          <w:sz w:val="16"/>
        </w:rPr>
      </w:pPr>
    </w:p>
    <w:p>
      <w:pPr>
        <w:spacing w:before="0"/>
        <w:ind w:left="220" w:right="1254" w:firstLine="0"/>
        <w:jc w:val="both"/>
        <w:rPr>
          <w:i/>
          <w:sz w:val="22"/>
        </w:rPr>
      </w:pPr>
      <w:r>
        <w:rPr>
          <w:i/>
          <w:sz w:val="22"/>
        </w:rPr>
        <w:t>Interdependent</w:t>
      </w:r>
      <w:r>
        <w:rPr>
          <w:i/>
          <w:spacing w:val="-1"/>
          <w:sz w:val="22"/>
        </w:rPr>
        <w:t> </w:t>
      </w:r>
      <w:r>
        <w:rPr>
          <w:i/>
          <w:sz w:val="22"/>
        </w:rPr>
        <w:t>indicators should</w:t>
      </w:r>
      <w:r>
        <w:rPr>
          <w:i/>
          <w:spacing w:val="-2"/>
          <w:sz w:val="22"/>
        </w:rPr>
        <w:t> </w:t>
      </w:r>
      <w:r>
        <w:rPr>
          <w:i/>
          <w:sz w:val="22"/>
        </w:rPr>
        <w:t>be recognised</w:t>
      </w:r>
      <w:r>
        <w:rPr>
          <w:i/>
          <w:spacing w:val="-1"/>
          <w:sz w:val="22"/>
        </w:rPr>
        <w:t> </w:t>
      </w:r>
      <w:r>
        <w:rPr>
          <w:i/>
          <w:sz w:val="22"/>
        </w:rPr>
        <w:t>when</w:t>
      </w:r>
      <w:r>
        <w:rPr>
          <w:i/>
          <w:spacing w:val="-2"/>
          <w:sz w:val="22"/>
        </w:rPr>
        <w:t> </w:t>
      </w:r>
      <w:r>
        <w:rPr>
          <w:i/>
          <w:sz w:val="22"/>
        </w:rPr>
        <w:t>agreed between</w:t>
      </w:r>
      <w:r>
        <w:rPr>
          <w:i/>
          <w:spacing w:val="-1"/>
          <w:sz w:val="22"/>
        </w:rPr>
        <w:t> </w:t>
      </w:r>
      <w:r>
        <w:rPr>
          <w:i/>
          <w:sz w:val="22"/>
        </w:rPr>
        <w:t>partners and</w:t>
      </w:r>
      <w:r>
        <w:rPr>
          <w:i/>
          <w:spacing w:val="-1"/>
          <w:sz w:val="22"/>
        </w:rPr>
        <w:t> </w:t>
      </w:r>
      <w:r>
        <w:rPr>
          <w:i/>
          <w:sz w:val="22"/>
        </w:rPr>
        <w:t>where necessary</w:t>
      </w:r>
      <w:r>
        <w:rPr>
          <w:i/>
          <w:sz w:val="22"/>
        </w:rPr>
        <w:t> tracked over time, not just annually.</w:t>
      </w:r>
    </w:p>
    <w:p>
      <w:pPr>
        <w:pStyle w:val="BodyText"/>
        <w:spacing w:before="4"/>
        <w:rPr>
          <w:i/>
          <w:sz w:val="16"/>
        </w:rPr>
      </w:pPr>
    </w:p>
    <w:p>
      <w:pPr>
        <w:pStyle w:val="BodyText"/>
        <w:ind w:left="220" w:right="1250"/>
        <w:jc w:val="both"/>
      </w:pPr>
      <w:r>
        <w:rPr>
          <w:color w:val="4471C4"/>
        </w:rPr>
        <w:t>Time-fames: </w:t>
      </w:r>
      <w:r>
        <w:rPr/>
        <w:t>Annual indicators don’t always allow for a realistic pace of change. There are several instances in this assessment that highlights this problem. The National Education Bill has taken 3 years to be close to tabling in Parliament. The Gender Equality in Education Policy can only move at the pace of change that the community will accept. Last year’s assessor noted that curriculum</w:t>
      </w:r>
      <w:r>
        <w:rPr>
          <w:spacing w:val="40"/>
        </w:rPr>
        <w:t> </w:t>
      </w:r>
      <w:r>
        <w:rPr/>
        <w:t>reform is a long and iterative process that could not be achieved in the annual indicator. Changes in quality, and in particular changes to improving learning outcomes, takes time.</w:t>
      </w:r>
      <w:r>
        <w:rPr>
          <w:vertAlign w:val="superscript"/>
        </w:rPr>
        <w:t>20</w:t>
      </w:r>
      <w:r>
        <w:rPr>
          <w:spacing w:val="-3"/>
          <w:vertAlign w:val="baseline"/>
        </w:rPr>
        <w:t> </w:t>
      </w:r>
      <w:r>
        <w:rPr>
          <w:vertAlign w:val="baseline"/>
        </w:rPr>
        <w:t>This is borne out in the percentage of indicators achieved in this assessment for quality and access (see Figure 6 above).</w:t>
      </w:r>
    </w:p>
    <w:p>
      <w:pPr>
        <w:pStyle w:val="BodyText"/>
        <w:spacing w:before="6"/>
        <w:rPr>
          <w:sz w:val="16"/>
        </w:rPr>
      </w:pPr>
    </w:p>
    <w:p>
      <w:pPr>
        <w:spacing w:before="0"/>
        <w:ind w:left="220" w:right="1253" w:firstLine="0"/>
        <w:jc w:val="both"/>
        <w:rPr>
          <w:i/>
          <w:sz w:val="22"/>
        </w:rPr>
      </w:pPr>
      <w:r>
        <w:rPr>
          <w:i/>
          <w:sz w:val="22"/>
        </w:rPr>
        <w:t>A few annual indicators are useful, particularly for improvement to management systems where</w:t>
      </w:r>
      <w:r>
        <w:rPr>
          <w:i/>
          <w:sz w:val="22"/>
        </w:rPr>
        <w:t> MEHRD has control over the pace of change. Other longer-term indicators, especially for quality,</w:t>
      </w:r>
      <w:r>
        <w:rPr>
          <w:i/>
          <w:spacing w:val="40"/>
          <w:sz w:val="22"/>
        </w:rPr>
        <w:t> </w:t>
      </w:r>
      <w:r>
        <w:rPr>
          <w:i/>
          <w:sz w:val="22"/>
        </w:rPr>
        <w:t>need to show trends over time and set a realistic pace of change with graduated PLA each year as milestones are met towards a target.</w:t>
      </w:r>
    </w:p>
    <w:p>
      <w:pPr>
        <w:pStyle w:val="BodyText"/>
        <w:spacing w:before="5"/>
        <w:rPr>
          <w:i/>
          <w:sz w:val="16"/>
        </w:rPr>
      </w:pPr>
    </w:p>
    <w:p>
      <w:pPr>
        <w:pStyle w:val="BodyText"/>
        <w:ind w:left="220" w:right="1251"/>
        <w:jc w:val="both"/>
      </w:pPr>
      <w:r>
        <w:rPr>
          <w:color w:val="4471C4"/>
        </w:rPr>
        <w:t>Data accuracy/research: </w:t>
      </w:r>
      <w:r>
        <w:rPr/>
        <w:t>Data accuracy was an issue throughout this assessment: This largely seems to be a collection issue at the School and EA level. The lack of a ‘books are closed’ date for the previous calendar year also creates a moving feast of data from day-to-day that impacts on the accuracy of analysis. In late June 2019, there was no 2018 Annual Report or Performance</w:t>
      </w:r>
      <w:r>
        <w:rPr>
          <w:spacing w:val="40"/>
        </w:rPr>
        <w:t> </w:t>
      </w:r>
      <w:r>
        <w:rPr/>
        <w:t>Assessment</w:t>
      </w:r>
      <w:r>
        <w:rPr>
          <w:spacing w:val="-2"/>
        </w:rPr>
        <w:t> </w:t>
      </w:r>
      <w:r>
        <w:rPr/>
        <w:t>Report</w:t>
      </w:r>
      <w:r>
        <w:rPr>
          <w:spacing w:val="-2"/>
        </w:rPr>
        <w:t> </w:t>
      </w:r>
      <w:r>
        <w:rPr/>
        <w:t>available</w:t>
      </w:r>
      <w:r>
        <w:rPr>
          <w:spacing w:val="-1"/>
        </w:rPr>
        <w:t> </w:t>
      </w:r>
      <w:r>
        <w:rPr/>
        <w:t>to</w:t>
      </w:r>
      <w:r>
        <w:rPr>
          <w:spacing w:val="-3"/>
        </w:rPr>
        <w:t> </w:t>
      </w:r>
      <w:r>
        <w:rPr/>
        <w:t>the</w:t>
      </w:r>
      <w:r>
        <w:rPr>
          <w:spacing w:val="-2"/>
        </w:rPr>
        <w:t> </w:t>
      </w:r>
      <w:r>
        <w:rPr/>
        <w:t>assessor.</w:t>
      </w:r>
      <w:r>
        <w:rPr>
          <w:spacing w:val="-2"/>
        </w:rPr>
        <w:t> </w:t>
      </w:r>
      <w:r>
        <w:rPr/>
        <w:t>Data</w:t>
      </w:r>
      <w:r>
        <w:rPr>
          <w:spacing w:val="-2"/>
        </w:rPr>
        <w:t> </w:t>
      </w:r>
      <w:r>
        <w:rPr/>
        <w:t>accuracy</w:t>
      </w:r>
      <w:r>
        <w:rPr>
          <w:spacing w:val="-1"/>
        </w:rPr>
        <w:t> </w:t>
      </w:r>
      <w:r>
        <w:rPr/>
        <w:t>impacts</w:t>
      </w:r>
      <w:r>
        <w:rPr>
          <w:spacing w:val="-4"/>
        </w:rPr>
        <w:t> </w:t>
      </w:r>
      <w:r>
        <w:rPr/>
        <w:t>on</w:t>
      </w:r>
      <w:r>
        <w:rPr>
          <w:spacing w:val="-2"/>
        </w:rPr>
        <w:t> </w:t>
      </w:r>
      <w:r>
        <w:rPr/>
        <w:t>decision</w:t>
      </w:r>
      <w:r>
        <w:rPr>
          <w:spacing w:val="-5"/>
        </w:rPr>
        <w:t> </w:t>
      </w:r>
      <w:r>
        <w:rPr/>
        <w:t>making</w:t>
      </w:r>
      <w:r>
        <w:rPr>
          <w:spacing w:val="-3"/>
        </w:rPr>
        <w:t> </w:t>
      </w:r>
      <w:r>
        <w:rPr/>
        <w:t>for</w:t>
      </w:r>
      <w:r>
        <w:rPr>
          <w:spacing w:val="-2"/>
        </w:rPr>
        <w:t> </w:t>
      </w:r>
      <w:r>
        <w:rPr/>
        <w:t>students’ education. It also makes verification for PLA difficult. As noted in Section 4.1.1, some European Aid Agencies, that have a heavy emphasis on using PLA, carry-out data quality audits before triggering a payment (personal correspondence Thornton, B. 2019</w:t>
      </w:r>
      <w:r>
        <w:rPr>
          <w:vertAlign w:val="superscript"/>
        </w:rPr>
        <w:t>21</w:t>
      </w:r>
      <w:r>
        <w:rPr>
          <w:vertAlign w:val="baseline"/>
        </w:rPr>
        <w:t>).</w:t>
      </w:r>
    </w:p>
    <w:p>
      <w:pPr>
        <w:pStyle w:val="BodyText"/>
        <w:rPr>
          <w:sz w:val="20"/>
        </w:rPr>
      </w:pPr>
    </w:p>
    <w:p>
      <w:pPr>
        <w:pStyle w:val="BodyText"/>
        <w:rPr>
          <w:sz w:val="20"/>
        </w:rPr>
      </w:pPr>
    </w:p>
    <w:p>
      <w:pPr>
        <w:pStyle w:val="BodyText"/>
        <w:spacing w:before="2"/>
        <w:rPr>
          <w:sz w:val="13"/>
        </w:rPr>
      </w:pPr>
      <w:r>
        <w:rPr/>
        <w:pict>
          <v:rect style="position:absolute;margin-left:72.024002pt;margin-top:9.244405pt;width:144.020pt;height:.71997pt;mso-position-horizontal-relative:page;mso-position-vertical-relative:paragraph;z-index:-15719936;mso-wrap-distance-left:0;mso-wrap-distance-right:0" id="docshape16" filled="true" fillcolor="#000000" stroked="false">
            <v:fill type="solid"/>
            <w10:wrap type="topAndBottom"/>
          </v:rect>
        </w:pict>
      </w:r>
    </w:p>
    <w:p>
      <w:pPr>
        <w:spacing w:before="100"/>
        <w:ind w:left="220" w:right="0" w:firstLine="0"/>
        <w:jc w:val="left"/>
        <w:rPr>
          <w:i/>
          <w:sz w:val="18"/>
        </w:rPr>
      </w:pPr>
      <w:r>
        <w:rPr>
          <w:position w:val="5"/>
          <w:sz w:val="12"/>
        </w:rPr>
        <w:t>19</w:t>
      </w:r>
      <w:r>
        <w:rPr>
          <w:spacing w:val="11"/>
          <w:position w:val="5"/>
          <w:sz w:val="12"/>
        </w:rPr>
        <w:t> </w:t>
      </w:r>
      <w:r>
        <w:rPr>
          <w:sz w:val="18"/>
        </w:rPr>
        <w:t>Holzapfel,</w:t>
      </w:r>
      <w:r>
        <w:rPr>
          <w:spacing w:val="-1"/>
          <w:sz w:val="18"/>
        </w:rPr>
        <w:t> </w:t>
      </w:r>
      <w:r>
        <w:rPr>
          <w:sz w:val="18"/>
        </w:rPr>
        <w:t>S.</w:t>
      </w:r>
      <w:r>
        <w:rPr>
          <w:spacing w:val="-2"/>
          <w:sz w:val="18"/>
        </w:rPr>
        <w:t> </w:t>
      </w:r>
      <w:r>
        <w:rPr>
          <w:sz w:val="18"/>
        </w:rPr>
        <w:t>and</w:t>
      </w:r>
      <w:r>
        <w:rPr>
          <w:spacing w:val="-3"/>
          <w:sz w:val="18"/>
        </w:rPr>
        <w:t> </w:t>
      </w:r>
      <w:r>
        <w:rPr>
          <w:sz w:val="18"/>
        </w:rPr>
        <w:t>Janus,</w:t>
      </w:r>
      <w:r>
        <w:rPr>
          <w:spacing w:val="-1"/>
          <w:sz w:val="18"/>
        </w:rPr>
        <w:t> </w:t>
      </w:r>
      <w:r>
        <w:rPr>
          <w:sz w:val="18"/>
        </w:rPr>
        <w:t>H.</w:t>
      </w:r>
      <w:r>
        <w:rPr>
          <w:spacing w:val="-2"/>
          <w:sz w:val="18"/>
        </w:rPr>
        <w:t> </w:t>
      </w:r>
      <w:r>
        <w:rPr>
          <w:sz w:val="18"/>
        </w:rPr>
        <w:t>(2015).</w:t>
      </w:r>
      <w:r>
        <w:rPr>
          <w:spacing w:val="-1"/>
          <w:sz w:val="18"/>
        </w:rPr>
        <w:t> </w:t>
      </w:r>
      <w:r>
        <w:rPr>
          <w:i/>
          <w:spacing w:val="-4"/>
          <w:sz w:val="18"/>
        </w:rPr>
        <w:t>Ibid.</w:t>
      </w:r>
    </w:p>
    <w:p>
      <w:pPr>
        <w:pStyle w:val="BodyText"/>
        <w:spacing w:before="1"/>
        <w:rPr>
          <w:i/>
          <w:sz w:val="24"/>
        </w:rPr>
      </w:pPr>
    </w:p>
    <w:p>
      <w:pPr>
        <w:spacing w:before="1"/>
        <w:ind w:left="220" w:right="0" w:firstLine="0"/>
        <w:jc w:val="left"/>
        <w:rPr>
          <w:sz w:val="18"/>
        </w:rPr>
      </w:pPr>
      <w:r>
        <w:rPr>
          <w:position w:val="8"/>
          <w:sz w:val="14"/>
        </w:rPr>
        <w:t>20</w:t>
      </w:r>
      <w:r>
        <w:rPr>
          <w:spacing w:val="14"/>
          <w:position w:val="8"/>
          <w:sz w:val="14"/>
        </w:rPr>
        <w:t> </w:t>
      </w:r>
      <w:r>
        <w:rPr>
          <w:sz w:val="18"/>
        </w:rPr>
        <w:t>DFAT,</w:t>
      </w:r>
      <w:r>
        <w:rPr>
          <w:spacing w:val="-2"/>
          <w:sz w:val="18"/>
        </w:rPr>
        <w:t> </w:t>
      </w:r>
      <w:r>
        <w:rPr>
          <w:sz w:val="18"/>
        </w:rPr>
        <w:t>Office</w:t>
      </w:r>
      <w:r>
        <w:rPr>
          <w:spacing w:val="-3"/>
          <w:sz w:val="18"/>
        </w:rPr>
        <w:t> </w:t>
      </w:r>
      <w:r>
        <w:rPr>
          <w:sz w:val="18"/>
        </w:rPr>
        <w:t>of</w:t>
      </w:r>
      <w:r>
        <w:rPr>
          <w:spacing w:val="-4"/>
          <w:sz w:val="18"/>
        </w:rPr>
        <w:t> </w:t>
      </w:r>
      <w:r>
        <w:rPr>
          <w:sz w:val="18"/>
        </w:rPr>
        <w:t>Development</w:t>
      </w:r>
      <w:r>
        <w:rPr>
          <w:spacing w:val="-2"/>
          <w:sz w:val="18"/>
        </w:rPr>
        <w:t> </w:t>
      </w:r>
      <w:r>
        <w:rPr>
          <w:sz w:val="18"/>
        </w:rPr>
        <w:t>Effectiveness,</w:t>
      </w:r>
      <w:r>
        <w:rPr>
          <w:spacing w:val="-2"/>
          <w:sz w:val="18"/>
        </w:rPr>
        <w:t> </w:t>
      </w:r>
      <w:r>
        <w:rPr>
          <w:sz w:val="18"/>
        </w:rPr>
        <w:t>(2016)</w:t>
      </w:r>
      <w:r>
        <w:rPr>
          <w:spacing w:val="-2"/>
          <w:sz w:val="18"/>
        </w:rPr>
        <w:t> </w:t>
      </w:r>
      <w:r>
        <w:rPr>
          <w:i/>
          <w:sz w:val="18"/>
        </w:rPr>
        <w:t>Investing</w:t>
      </w:r>
      <w:r>
        <w:rPr>
          <w:i/>
          <w:spacing w:val="-2"/>
          <w:sz w:val="18"/>
        </w:rPr>
        <w:t> </w:t>
      </w:r>
      <w:r>
        <w:rPr>
          <w:i/>
          <w:sz w:val="18"/>
        </w:rPr>
        <w:t>in</w:t>
      </w:r>
      <w:r>
        <w:rPr>
          <w:i/>
          <w:spacing w:val="-3"/>
          <w:sz w:val="18"/>
        </w:rPr>
        <w:t> </w:t>
      </w:r>
      <w:r>
        <w:rPr>
          <w:i/>
          <w:sz w:val="18"/>
        </w:rPr>
        <w:t>Teachers</w:t>
      </w:r>
      <w:r>
        <w:rPr>
          <w:i/>
          <w:spacing w:val="-1"/>
          <w:sz w:val="18"/>
        </w:rPr>
        <w:t> </w:t>
      </w:r>
      <w:r>
        <w:rPr>
          <w:spacing w:val="-2"/>
          <w:sz w:val="18"/>
        </w:rPr>
        <w:t>Evaluation.</w:t>
      </w:r>
    </w:p>
    <w:p>
      <w:pPr>
        <w:pStyle w:val="BodyText"/>
        <w:spacing w:before="2"/>
        <w:rPr>
          <w:sz w:val="17"/>
        </w:rPr>
      </w:pPr>
    </w:p>
    <w:p>
      <w:pPr>
        <w:spacing w:before="0"/>
        <w:ind w:left="220" w:right="0" w:firstLine="0"/>
        <w:jc w:val="left"/>
        <w:rPr>
          <w:sz w:val="18"/>
        </w:rPr>
      </w:pPr>
      <w:r>
        <w:rPr>
          <w:position w:val="5"/>
          <w:sz w:val="12"/>
        </w:rPr>
        <w:t>21</w:t>
      </w:r>
      <w:r>
        <w:rPr>
          <w:spacing w:val="8"/>
          <w:position w:val="5"/>
          <w:sz w:val="12"/>
        </w:rPr>
        <w:t> </w:t>
      </w:r>
      <w:r>
        <w:rPr>
          <w:sz w:val="18"/>
        </w:rPr>
        <w:t>Thornton,</w:t>
      </w:r>
      <w:r>
        <w:rPr>
          <w:spacing w:val="-1"/>
          <w:sz w:val="18"/>
        </w:rPr>
        <w:t> </w:t>
      </w:r>
      <w:r>
        <w:rPr>
          <w:sz w:val="18"/>
        </w:rPr>
        <w:t>B.</w:t>
      </w:r>
      <w:r>
        <w:rPr>
          <w:spacing w:val="-3"/>
          <w:sz w:val="18"/>
        </w:rPr>
        <w:t> </w:t>
      </w:r>
      <w:r>
        <w:rPr>
          <w:sz w:val="18"/>
        </w:rPr>
        <w:t>Personal</w:t>
      </w:r>
      <w:r>
        <w:rPr>
          <w:spacing w:val="-2"/>
          <w:sz w:val="18"/>
        </w:rPr>
        <w:t> </w:t>
      </w:r>
      <w:r>
        <w:rPr>
          <w:sz w:val="18"/>
        </w:rPr>
        <w:t>email</w:t>
      </w:r>
      <w:r>
        <w:rPr>
          <w:spacing w:val="-3"/>
          <w:sz w:val="18"/>
        </w:rPr>
        <w:t> </w:t>
      </w:r>
      <w:r>
        <w:rPr>
          <w:sz w:val="18"/>
        </w:rPr>
        <w:t>dated</w:t>
      </w:r>
      <w:r>
        <w:rPr>
          <w:spacing w:val="-2"/>
          <w:sz w:val="18"/>
        </w:rPr>
        <w:t> </w:t>
      </w:r>
      <w:r>
        <w:rPr>
          <w:sz w:val="18"/>
        </w:rPr>
        <w:t>23</w:t>
      </w:r>
      <w:r>
        <w:rPr>
          <w:spacing w:val="-2"/>
          <w:sz w:val="18"/>
        </w:rPr>
        <w:t> </w:t>
      </w:r>
      <w:r>
        <w:rPr>
          <w:sz w:val="18"/>
        </w:rPr>
        <w:t>June</w:t>
      </w:r>
      <w:r>
        <w:rPr>
          <w:spacing w:val="-2"/>
          <w:sz w:val="18"/>
        </w:rPr>
        <w:t> 2019.</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right="1251"/>
        <w:jc w:val="both"/>
      </w:pPr>
      <w:r>
        <w:rPr/>
        <w:t>It is encouraging to see the SIEMIS team carrying out verification visits, improving the IT system and including more student data. MEHRD is getting better at collecting and verifying quantitative data. The targeted collection, analysis and use of qualitative data is limited. School Census Forms provide</w:t>
      </w:r>
      <w:r>
        <w:rPr>
          <w:spacing w:val="40"/>
        </w:rPr>
        <w:t> </w:t>
      </w:r>
      <w:r>
        <w:rPr/>
        <w:t>a wealth of data that could be used to paint a picture of the humanity behind the statistics. The Permanent Secretary noted the appetite for research to inform decision making in MEHRD. Hard data, good qualitative stories and targeted research could whet the appetite for change from political decision-makers through to communities and parents.</w:t>
      </w:r>
    </w:p>
    <w:p>
      <w:pPr>
        <w:pStyle w:val="BodyText"/>
        <w:spacing w:before="5"/>
        <w:rPr>
          <w:sz w:val="16"/>
        </w:rPr>
      </w:pPr>
    </w:p>
    <w:p>
      <w:pPr>
        <w:spacing w:line="240" w:lineRule="auto" w:before="0"/>
        <w:ind w:left="220" w:right="1256" w:firstLine="0"/>
        <w:jc w:val="both"/>
        <w:rPr>
          <w:i/>
          <w:sz w:val="22"/>
        </w:rPr>
      </w:pPr>
      <w:r>
        <w:rPr>
          <w:i/>
          <w:sz w:val="22"/>
        </w:rPr>
        <w:t>Data accuracy and verification needs to be improved to inform decision making and before</w:t>
      </w:r>
      <w:r>
        <w:rPr>
          <w:i/>
          <w:sz w:val="22"/>
        </w:rPr>
        <w:t> consideration of any PLA scale-up. MEHRD is keen to pursue better qualitative data and research </w:t>
      </w:r>
      <w:r>
        <w:rPr>
          <w:i/>
          <w:spacing w:val="-2"/>
          <w:sz w:val="22"/>
        </w:rPr>
        <w:t>avenues.</w:t>
      </w:r>
    </w:p>
    <w:p>
      <w:pPr>
        <w:pStyle w:val="BodyText"/>
        <w:spacing w:before="5"/>
        <w:rPr>
          <w:i/>
          <w:sz w:val="16"/>
        </w:rPr>
      </w:pPr>
    </w:p>
    <w:p>
      <w:pPr>
        <w:pStyle w:val="BodyText"/>
        <w:ind w:left="220" w:right="1251"/>
        <w:jc w:val="both"/>
      </w:pPr>
      <w:r>
        <w:rPr>
          <w:color w:val="4471C4"/>
        </w:rPr>
        <w:t>Partnership: </w:t>
      </w:r>
      <w:r>
        <w:rPr/>
        <w:t>This assessment was the last under the current Direct Funding Agreement in relation to the Solomon Islands Education Sector Program 2 (ends 30 June 2019). DFAT noted at the Mid-year Review that they were confident the partnership would continue, though there could a lag time in finalising an agreement. The Partnership Agreement between SIG and Development Partners is in place until December 2020. MEHRD, DFAT and MFAT were committed to continue working together to achieve improved educational outcomes for children of the Solomon Islands. The MEL Plan, and identifying indicators for measuring progress against the NEAP, has improved consistency of indicators. The new design of ESP2 is currently being drafted. Therefore, a unique opportunity to build on the current partnership and refine the PLA approach exists.</w:t>
      </w:r>
    </w:p>
    <w:p>
      <w:pPr>
        <w:pStyle w:val="BodyText"/>
        <w:spacing w:before="4"/>
        <w:rPr>
          <w:sz w:val="16"/>
        </w:rPr>
      </w:pPr>
    </w:p>
    <w:p>
      <w:pPr>
        <w:pStyle w:val="BodyText"/>
        <w:ind w:left="220" w:right="1253"/>
        <w:jc w:val="both"/>
      </w:pPr>
      <w:r>
        <w:rPr/>
        <w:t>The PLA assessment is time-consuming for MEHRD (the assessor estimates she used at least 4 hours of the SMT time in meetings plus significant time with other MEHRD team members and advisers). MEHRD has</w:t>
      </w:r>
      <w:r>
        <w:rPr>
          <w:spacing w:val="-1"/>
        </w:rPr>
        <w:t> </w:t>
      </w:r>
      <w:r>
        <w:rPr/>
        <w:t>indicated</w:t>
      </w:r>
      <w:r>
        <w:rPr>
          <w:spacing w:val="-1"/>
        </w:rPr>
        <w:t> </w:t>
      </w:r>
      <w:r>
        <w:rPr/>
        <w:t>that</w:t>
      </w:r>
      <w:r>
        <w:rPr>
          <w:spacing w:val="-3"/>
        </w:rPr>
        <w:t> </w:t>
      </w:r>
      <w:r>
        <w:rPr/>
        <w:t>it finds the process disempowering and punitive, rather than incentivising (although there is some proof PLA does act as an incentive, e.g. audit response). All stakeholders agreed there were benefits and disadvantages to PLA. What seemed to be in question was the process, rather than the outcome. Key changes identified are: Developing and evaluating indicators in partnership, ensuring consistency, recognising what MEHRD can and cannot control, acknowledging the time it takes to see change in quality with some indicators being over a longer period, gathering better qualitative/quantitative data to inform decision making and including non- financial indicators for donors.</w:t>
      </w:r>
    </w:p>
    <w:p>
      <w:pPr>
        <w:pStyle w:val="BodyText"/>
        <w:spacing w:before="4"/>
        <w:rPr>
          <w:sz w:val="16"/>
        </w:rPr>
      </w:pPr>
    </w:p>
    <w:p>
      <w:pPr>
        <w:spacing w:before="0"/>
        <w:ind w:left="220" w:right="1252" w:firstLine="0"/>
        <w:jc w:val="both"/>
        <w:rPr>
          <w:i/>
          <w:sz w:val="22"/>
        </w:rPr>
      </w:pPr>
      <w:r>
        <w:rPr>
          <w:i/>
          <w:sz w:val="22"/>
        </w:rPr>
        <w:t>There is a unique opportunity to build on the current partnership and implement an improved</w:t>
      </w:r>
      <w:r>
        <w:rPr>
          <w:i/>
          <w:sz w:val="22"/>
        </w:rPr>
        <w:t> approach to PLA.</w:t>
      </w:r>
    </w:p>
    <w:p>
      <w:pPr>
        <w:pStyle w:val="BodyText"/>
        <w:spacing w:before="198"/>
        <w:ind w:left="220"/>
        <w:jc w:val="both"/>
        <w:rPr>
          <w:rFonts w:ascii="Calibri Light"/>
          <w:b w:val="0"/>
        </w:rPr>
      </w:pPr>
      <w:r>
        <w:rPr>
          <w:rFonts w:ascii="Calibri Light"/>
          <w:b w:val="0"/>
          <w:color w:val="4471C4"/>
          <w:spacing w:val="-2"/>
        </w:rPr>
        <w:t>Recommendations</w:t>
      </w:r>
      <w:r>
        <w:rPr>
          <w:rFonts w:ascii="Calibri Light"/>
          <w:b w:val="0"/>
          <w:color w:val="4471C4"/>
          <w:spacing w:val="-7"/>
        </w:rPr>
        <w:t> </w:t>
      </w:r>
      <w:r>
        <w:rPr>
          <w:rFonts w:ascii="Calibri Light"/>
          <w:b w:val="0"/>
          <w:color w:val="4471C4"/>
          <w:spacing w:val="-2"/>
        </w:rPr>
        <w:t>on</w:t>
      </w:r>
      <w:r>
        <w:rPr>
          <w:rFonts w:ascii="Calibri Light"/>
          <w:b w:val="0"/>
          <w:color w:val="4471C4"/>
          <w:spacing w:val="-5"/>
        </w:rPr>
        <w:t> </w:t>
      </w:r>
      <w:r>
        <w:rPr>
          <w:rFonts w:ascii="Calibri Light"/>
          <w:b w:val="0"/>
          <w:color w:val="4471C4"/>
          <w:spacing w:val="-2"/>
        </w:rPr>
        <w:t>the</w:t>
      </w:r>
      <w:r>
        <w:rPr>
          <w:rFonts w:ascii="Calibri Light"/>
          <w:b w:val="0"/>
          <w:color w:val="4471C4"/>
          <w:spacing w:val="-7"/>
        </w:rPr>
        <w:t> </w:t>
      </w:r>
      <w:r>
        <w:rPr>
          <w:rFonts w:ascii="Calibri Light"/>
          <w:b w:val="0"/>
          <w:color w:val="4471C4"/>
          <w:spacing w:val="-2"/>
        </w:rPr>
        <w:t>way</w:t>
      </w:r>
      <w:r>
        <w:rPr>
          <w:rFonts w:ascii="Calibri Light"/>
          <w:b w:val="0"/>
          <w:color w:val="4471C4"/>
          <w:spacing w:val="-4"/>
        </w:rPr>
        <w:t> </w:t>
      </w:r>
      <w:r>
        <w:rPr>
          <w:rFonts w:ascii="Calibri Light"/>
          <w:b w:val="0"/>
          <w:color w:val="4471C4"/>
          <w:spacing w:val="-2"/>
        </w:rPr>
        <w:t>forward</w:t>
      </w:r>
      <w:r>
        <w:rPr>
          <w:rFonts w:ascii="Calibri Light"/>
          <w:b w:val="0"/>
          <w:color w:val="4471C4"/>
          <w:spacing w:val="-4"/>
        </w:rPr>
        <w:t> </w:t>
      </w:r>
      <w:r>
        <w:rPr>
          <w:rFonts w:ascii="Calibri Light"/>
          <w:b w:val="0"/>
          <w:color w:val="4471C4"/>
          <w:spacing w:val="-2"/>
        </w:rPr>
        <w:t>on</w:t>
      </w:r>
      <w:r>
        <w:rPr>
          <w:rFonts w:ascii="Calibri Light"/>
          <w:b w:val="0"/>
          <w:color w:val="4471C4"/>
          <w:spacing w:val="-5"/>
        </w:rPr>
        <w:t> </w:t>
      </w:r>
      <w:r>
        <w:rPr>
          <w:rFonts w:ascii="Calibri Light"/>
          <w:b w:val="0"/>
          <w:color w:val="4471C4"/>
          <w:spacing w:val="-2"/>
        </w:rPr>
        <w:t>PLA</w:t>
      </w:r>
      <w:r>
        <w:rPr>
          <w:rFonts w:ascii="Calibri Light"/>
          <w:b w:val="0"/>
          <w:color w:val="4471C4"/>
          <w:spacing w:val="-7"/>
        </w:rPr>
        <w:t> </w:t>
      </w:r>
      <w:r>
        <w:rPr>
          <w:rFonts w:ascii="Calibri Light"/>
          <w:b w:val="0"/>
          <w:color w:val="4471C4"/>
          <w:spacing w:val="-2"/>
        </w:rPr>
        <w:t>and</w:t>
      </w:r>
      <w:r>
        <w:rPr>
          <w:rFonts w:ascii="Calibri Light"/>
          <w:b w:val="0"/>
          <w:color w:val="4471C4"/>
          <w:spacing w:val="-7"/>
        </w:rPr>
        <w:t> </w:t>
      </w:r>
      <w:r>
        <w:rPr>
          <w:rFonts w:ascii="Calibri Light"/>
          <w:b w:val="0"/>
          <w:color w:val="4471C4"/>
          <w:spacing w:val="-2"/>
        </w:rPr>
        <w:t>contracting-</w:t>
      </w:r>
      <w:r>
        <w:rPr>
          <w:rFonts w:ascii="Calibri Light"/>
          <w:b w:val="0"/>
          <w:color w:val="4471C4"/>
          <w:spacing w:val="-5"/>
        </w:rPr>
        <w:t>out</w:t>
      </w:r>
    </w:p>
    <w:p>
      <w:pPr>
        <w:pStyle w:val="BodyText"/>
        <w:spacing w:before="185"/>
        <w:ind w:left="220" w:right="1251"/>
        <w:jc w:val="both"/>
      </w:pPr>
      <w:r>
        <w:rPr/>
        <w:t>From all accounts a robust partnership exists between MEHRD, SIG more broadly and donors. The OECD peer review of Australian aid notes that Australian aid in the Solomon Islands is on plan, on budget and on system; and there should be a continued focus on thinking and working politically within</w:t>
      </w:r>
      <w:r>
        <w:rPr>
          <w:spacing w:val="-2"/>
        </w:rPr>
        <w:t> </w:t>
      </w:r>
      <w:r>
        <w:rPr/>
        <w:t>the</w:t>
      </w:r>
      <w:r>
        <w:rPr>
          <w:spacing w:val="-1"/>
        </w:rPr>
        <w:t> </w:t>
      </w:r>
      <w:r>
        <w:rPr/>
        <w:t>Solomon</w:t>
      </w:r>
      <w:r>
        <w:rPr>
          <w:spacing w:val="-1"/>
        </w:rPr>
        <w:t> </w:t>
      </w:r>
      <w:r>
        <w:rPr/>
        <w:t>Islands</w:t>
      </w:r>
      <w:r>
        <w:rPr>
          <w:spacing w:val="-3"/>
        </w:rPr>
        <w:t> </w:t>
      </w:r>
      <w:r>
        <w:rPr/>
        <w:t>context.</w:t>
      </w:r>
      <w:r>
        <w:rPr>
          <w:vertAlign w:val="superscript"/>
        </w:rPr>
        <w:t>22</w:t>
      </w:r>
      <w:r>
        <w:rPr>
          <w:vertAlign w:val="baseline"/>
        </w:rPr>
        <w:t> With</w:t>
      </w:r>
      <w:r>
        <w:rPr>
          <w:spacing w:val="-1"/>
          <w:vertAlign w:val="baseline"/>
        </w:rPr>
        <w:t> </w:t>
      </w:r>
      <w:r>
        <w:rPr>
          <w:vertAlign w:val="baseline"/>
        </w:rPr>
        <w:t>this</w:t>
      </w:r>
      <w:r>
        <w:rPr>
          <w:spacing w:val="-1"/>
          <w:vertAlign w:val="baseline"/>
        </w:rPr>
        <w:t> </w:t>
      </w:r>
      <w:r>
        <w:rPr>
          <w:vertAlign w:val="baseline"/>
        </w:rPr>
        <w:t>strong</w:t>
      </w:r>
      <w:r>
        <w:rPr>
          <w:spacing w:val="-2"/>
          <w:vertAlign w:val="baseline"/>
        </w:rPr>
        <w:t> </w:t>
      </w:r>
      <w:r>
        <w:rPr>
          <w:vertAlign w:val="baseline"/>
        </w:rPr>
        <w:t>partnership</w:t>
      </w:r>
      <w:r>
        <w:rPr>
          <w:spacing w:val="-1"/>
          <w:vertAlign w:val="baseline"/>
        </w:rPr>
        <w:t> </w:t>
      </w:r>
      <w:r>
        <w:rPr>
          <w:vertAlign w:val="baseline"/>
        </w:rPr>
        <w:t>using</w:t>
      </w:r>
      <w:r>
        <w:rPr>
          <w:spacing w:val="-1"/>
          <w:vertAlign w:val="baseline"/>
        </w:rPr>
        <w:t> </w:t>
      </w:r>
      <w:r>
        <w:rPr>
          <w:vertAlign w:val="baseline"/>
        </w:rPr>
        <w:t>SIG</w:t>
      </w:r>
      <w:r>
        <w:rPr>
          <w:spacing w:val="-2"/>
          <w:vertAlign w:val="baseline"/>
        </w:rPr>
        <w:t> </w:t>
      </w:r>
      <w:r>
        <w:rPr>
          <w:vertAlign w:val="baseline"/>
        </w:rPr>
        <w:t>systems</w:t>
      </w:r>
      <w:r>
        <w:rPr>
          <w:spacing w:val="-3"/>
          <w:vertAlign w:val="baseline"/>
        </w:rPr>
        <w:t> </w:t>
      </w:r>
      <w:r>
        <w:rPr>
          <w:vertAlign w:val="baseline"/>
        </w:rPr>
        <w:t>where</w:t>
      </w:r>
      <w:r>
        <w:rPr>
          <w:spacing w:val="-2"/>
          <w:vertAlign w:val="baseline"/>
        </w:rPr>
        <w:t> </w:t>
      </w:r>
      <w:r>
        <w:rPr>
          <w:vertAlign w:val="baseline"/>
        </w:rPr>
        <w:t>possible, a new ESP2 design, the current DFA cycle completion and with a MEL Plan and NEAP in place, there</w:t>
      </w:r>
      <w:r>
        <w:rPr>
          <w:spacing w:val="40"/>
          <w:vertAlign w:val="baseline"/>
        </w:rPr>
        <w:t> </w:t>
      </w:r>
      <w:r>
        <w:rPr>
          <w:vertAlign w:val="baseline"/>
        </w:rPr>
        <w:t>is a unique opportunity to</w:t>
      </w:r>
      <w:r>
        <w:rPr>
          <w:spacing w:val="-1"/>
          <w:vertAlign w:val="baseline"/>
        </w:rPr>
        <w:t> </w:t>
      </w:r>
      <w:r>
        <w:rPr>
          <w:vertAlign w:val="baseline"/>
        </w:rPr>
        <w:t>build on the current partnership</w:t>
      </w:r>
      <w:r>
        <w:rPr>
          <w:spacing w:val="-1"/>
          <w:vertAlign w:val="baseline"/>
        </w:rPr>
        <w:t> </w:t>
      </w:r>
      <w:r>
        <w:rPr>
          <w:vertAlign w:val="baseline"/>
        </w:rPr>
        <w:t>and implement an</w:t>
      </w:r>
      <w:r>
        <w:rPr>
          <w:spacing w:val="-1"/>
          <w:vertAlign w:val="baseline"/>
        </w:rPr>
        <w:t> </w:t>
      </w:r>
      <w:r>
        <w:rPr>
          <w:vertAlign w:val="baseline"/>
        </w:rPr>
        <w:t>improved approach to </w:t>
      </w:r>
      <w:r>
        <w:rPr>
          <w:spacing w:val="-4"/>
          <w:vertAlign w:val="baseline"/>
        </w:rPr>
        <w:t>PLA.</w:t>
      </w:r>
    </w:p>
    <w:p>
      <w:pPr>
        <w:pStyle w:val="BodyText"/>
        <w:spacing w:before="3"/>
        <w:rPr>
          <w:sz w:val="16"/>
        </w:rPr>
      </w:pPr>
    </w:p>
    <w:p>
      <w:pPr>
        <w:pStyle w:val="BodyText"/>
        <w:spacing w:before="1"/>
        <w:ind w:left="220" w:right="1252"/>
        <w:jc w:val="both"/>
      </w:pPr>
      <w:r>
        <w:rPr/>
        <w:t>There are three fundamental questions stakeholders should consider with the PLA process going forward. Is the PLA:</w:t>
      </w:r>
    </w:p>
    <w:p>
      <w:pPr>
        <w:pStyle w:val="BodyText"/>
        <w:spacing w:before="6"/>
        <w:rPr>
          <w:sz w:val="16"/>
        </w:rPr>
      </w:pPr>
    </w:p>
    <w:p>
      <w:pPr>
        <w:pStyle w:val="ListParagraph"/>
        <w:numPr>
          <w:ilvl w:val="0"/>
          <w:numId w:val="8"/>
        </w:numPr>
        <w:tabs>
          <w:tab w:pos="940" w:val="left" w:leader="none"/>
          <w:tab w:pos="941" w:val="left" w:leader="none"/>
        </w:tabs>
        <w:spacing w:line="240" w:lineRule="auto" w:before="1" w:after="0"/>
        <w:ind w:left="940" w:right="0" w:hanging="361"/>
        <w:jc w:val="left"/>
        <w:rPr>
          <w:sz w:val="22"/>
        </w:rPr>
      </w:pPr>
      <w:r>
        <w:rPr>
          <w:sz w:val="22"/>
        </w:rPr>
        <w:t>contributing</w:t>
      </w:r>
      <w:r>
        <w:rPr>
          <w:spacing w:val="-5"/>
          <w:sz w:val="22"/>
        </w:rPr>
        <w:t> </w:t>
      </w:r>
      <w:r>
        <w:rPr>
          <w:sz w:val="22"/>
        </w:rPr>
        <w:t>to</w:t>
      </w:r>
      <w:r>
        <w:rPr>
          <w:spacing w:val="-3"/>
          <w:sz w:val="22"/>
        </w:rPr>
        <w:t> </w:t>
      </w:r>
      <w:r>
        <w:rPr>
          <w:sz w:val="22"/>
        </w:rPr>
        <w:t>improved</w:t>
      </w:r>
      <w:r>
        <w:rPr>
          <w:spacing w:val="-5"/>
          <w:sz w:val="22"/>
        </w:rPr>
        <w:t> </w:t>
      </w:r>
      <w:r>
        <w:rPr>
          <w:sz w:val="22"/>
        </w:rPr>
        <w:t>educational</w:t>
      </w:r>
      <w:r>
        <w:rPr>
          <w:spacing w:val="-6"/>
          <w:sz w:val="22"/>
        </w:rPr>
        <w:t> </w:t>
      </w:r>
      <w:r>
        <w:rPr>
          <w:sz w:val="22"/>
        </w:rPr>
        <w:t>outcomes</w:t>
      </w:r>
      <w:r>
        <w:rPr>
          <w:spacing w:val="-3"/>
          <w:sz w:val="22"/>
        </w:rPr>
        <w:t> </w:t>
      </w:r>
      <w:r>
        <w:rPr>
          <w:sz w:val="22"/>
        </w:rPr>
        <w:t>for</w:t>
      </w:r>
      <w:r>
        <w:rPr>
          <w:spacing w:val="-5"/>
          <w:sz w:val="22"/>
        </w:rPr>
        <w:t> </w:t>
      </w:r>
      <w:r>
        <w:rPr>
          <w:spacing w:val="-2"/>
          <w:sz w:val="22"/>
        </w:rPr>
        <w:t>children?</w:t>
      </w:r>
    </w:p>
    <w:p>
      <w:pPr>
        <w:pStyle w:val="BodyText"/>
        <w:spacing w:before="9"/>
        <w:rPr>
          <w:sz w:val="17"/>
        </w:rPr>
      </w:pPr>
      <w:r>
        <w:rPr/>
        <w:pict>
          <v:rect style="position:absolute;margin-left:72.024002pt;margin-top:12.039755pt;width:144.020pt;height:.72003pt;mso-position-horizontal-relative:page;mso-position-vertical-relative:paragraph;z-index:-15719424;mso-wrap-distance-left:0;mso-wrap-distance-right:0" id="docshape17" filled="true" fillcolor="#000000" stroked="false">
            <v:fill type="solid"/>
            <w10:wrap type="topAndBottom"/>
          </v:rect>
        </w:pict>
      </w:r>
    </w:p>
    <w:p>
      <w:pPr>
        <w:spacing w:before="99"/>
        <w:ind w:left="220" w:right="1416" w:firstLine="0"/>
        <w:jc w:val="left"/>
        <w:rPr>
          <w:sz w:val="18"/>
        </w:rPr>
      </w:pPr>
      <w:r>
        <w:rPr>
          <w:position w:val="5"/>
          <w:sz w:val="12"/>
        </w:rPr>
        <w:t>22</w:t>
      </w:r>
      <w:r>
        <w:rPr>
          <w:spacing w:val="6"/>
          <w:position w:val="5"/>
          <w:sz w:val="12"/>
        </w:rPr>
        <w:t> </w:t>
      </w:r>
      <w:r>
        <w:rPr>
          <w:color w:val="2E5395"/>
          <w:sz w:val="18"/>
        </w:rPr>
        <w:t>OECD</w:t>
      </w:r>
      <w:r>
        <w:rPr>
          <w:color w:val="2E5395"/>
          <w:spacing w:val="-8"/>
          <w:sz w:val="18"/>
        </w:rPr>
        <w:t> </w:t>
      </w:r>
      <w:r>
        <w:rPr>
          <w:color w:val="2E5395"/>
          <w:sz w:val="18"/>
        </w:rPr>
        <w:t>peer</w:t>
      </w:r>
      <w:r>
        <w:rPr>
          <w:color w:val="2E5395"/>
          <w:spacing w:val="-7"/>
          <w:sz w:val="18"/>
        </w:rPr>
        <w:t> </w:t>
      </w:r>
      <w:r>
        <w:rPr>
          <w:color w:val="2E5395"/>
          <w:sz w:val="18"/>
        </w:rPr>
        <w:t>review</w:t>
      </w:r>
      <w:r>
        <w:rPr>
          <w:color w:val="2E5395"/>
          <w:spacing w:val="-7"/>
          <w:sz w:val="18"/>
        </w:rPr>
        <w:t> </w:t>
      </w:r>
      <w:r>
        <w:rPr>
          <w:color w:val="2E5395"/>
          <w:sz w:val="18"/>
        </w:rPr>
        <w:t>2018</w:t>
      </w:r>
      <w:r>
        <w:rPr>
          <w:color w:val="2E5395"/>
          <w:spacing w:val="-7"/>
          <w:sz w:val="18"/>
        </w:rPr>
        <w:t> </w:t>
      </w:r>
      <w:r>
        <w:rPr>
          <w:color w:val="2E5395"/>
          <w:sz w:val="18"/>
        </w:rPr>
        <w:t>….</w:t>
      </w:r>
      <w:r>
        <w:rPr>
          <w:color w:val="2E5395"/>
          <w:spacing w:val="-6"/>
          <w:sz w:val="18"/>
        </w:rPr>
        <w:t> </w:t>
      </w:r>
      <w:hyperlink r:id="rId23">
        <w:r>
          <w:rPr>
            <w:color w:val="0462C1"/>
            <w:sz w:val="18"/>
            <w:u w:val="single" w:color="0462C1"/>
          </w:rPr>
          <w:t>https://read.oecd-ilibrary.org/development/oecd-development-co-operation-peer-reviews-</w:t>
        </w:r>
      </w:hyperlink>
      <w:r>
        <w:rPr>
          <w:color w:val="0462C1"/>
          <w:sz w:val="18"/>
        </w:rPr>
        <w:t> </w:t>
      </w:r>
      <w:hyperlink r:id="rId23">
        <w:r>
          <w:rPr>
            <w:color w:val="0462C1"/>
            <w:spacing w:val="-2"/>
            <w:sz w:val="18"/>
            <w:u w:val="single" w:color="0462C1"/>
          </w:rPr>
          <w:t>australia-2018_9789264293366-en#page1</w:t>
        </w:r>
      </w:hyperlink>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11"/>
      </w:pPr>
    </w:p>
    <w:p>
      <w:pPr>
        <w:pStyle w:val="ListParagraph"/>
        <w:numPr>
          <w:ilvl w:val="0"/>
          <w:numId w:val="8"/>
        </w:numPr>
        <w:tabs>
          <w:tab w:pos="940" w:val="left" w:leader="none"/>
          <w:tab w:pos="941" w:val="left" w:leader="none"/>
        </w:tabs>
        <w:spacing w:line="240" w:lineRule="auto" w:before="101" w:after="0"/>
        <w:ind w:left="940" w:right="0" w:hanging="361"/>
        <w:jc w:val="left"/>
        <w:rPr>
          <w:sz w:val="22"/>
        </w:rPr>
      </w:pPr>
      <w:r>
        <w:rPr>
          <w:sz w:val="22"/>
        </w:rPr>
        <w:t>acting</w:t>
      </w:r>
      <w:r>
        <w:rPr>
          <w:spacing w:val="-2"/>
          <w:sz w:val="22"/>
        </w:rPr>
        <w:t> </w:t>
      </w:r>
      <w:r>
        <w:rPr>
          <w:sz w:val="22"/>
        </w:rPr>
        <w:t>as an</w:t>
      </w:r>
      <w:r>
        <w:rPr>
          <w:spacing w:val="-1"/>
          <w:sz w:val="22"/>
        </w:rPr>
        <w:t> </w:t>
      </w:r>
      <w:r>
        <w:rPr>
          <w:spacing w:val="-2"/>
          <w:sz w:val="22"/>
        </w:rPr>
        <w:t>incentive?</w:t>
      </w:r>
    </w:p>
    <w:p>
      <w:pPr>
        <w:pStyle w:val="ListParagraph"/>
        <w:numPr>
          <w:ilvl w:val="0"/>
          <w:numId w:val="8"/>
        </w:numPr>
        <w:tabs>
          <w:tab w:pos="940" w:val="left" w:leader="none"/>
          <w:tab w:pos="941" w:val="left" w:leader="none"/>
        </w:tabs>
        <w:spacing w:line="240" w:lineRule="auto" w:before="199" w:after="0"/>
        <w:ind w:left="940" w:right="0" w:hanging="361"/>
        <w:jc w:val="left"/>
        <w:rPr>
          <w:sz w:val="22"/>
        </w:rPr>
      </w:pPr>
      <w:r>
        <w:rPr>
          <w:sz w:val="22"/>
        </w:rPr>
        <w:t>progressing</w:t>
      </w:r>
      <w:r>
        <w:rPr>
          <w:spacing w:val="-5"/>
          <w:sz w:val="22"/>
        </w:rPr>
        <w:t> </w:t>
      </w:r>
      <w:r>
        <w:rPr>
          <w:sz w:val="22"/>
        </w:rPr>
        <w:t>the</w:t>
      </w:r>
      <w:r>
        <w:rPr>
          <w:spacing w:val="-2"/>
          <w:sz w:val="22"/>
        </w:rPr>
        <w:t> partnership?</w:t>
      </w:r>
    </w:p>
    <w:p>
      <w:pPr>
        <w:pStyle w:val="BodyText"/>
        <w:spacing w:before="200"/>
        <w:ind w:left="220" w:right="1253"/>
        <w:jc w:val="both"/>
      </w:pPr>
      <w:r>
        <w:rPr/>
        <w:t>There appears to be furious agreement amongst stakeholders from within MEHRD, donors, last year’s assessor, the Team Leader of the new ESP design and the Mid-Term reviewer that the ‘shifting-sands PLA’ being used currently lacks the ability to track quality trends and task completion over time. The following approach draws on the suggestions for change from these stakeholders. It takes into account what MEHRD can and cannot control; the interdependency of indicators; trends over time; data accuracy and verification; and the use of research and qualitative data.</w:t>
      </w:r>
    </w:p>
    <w:p>
      <w:pPr>
        <w:pStyle w:val="BodyText"/>
        <w:spacing w:before="5"/>
        <w:rPr>
          <w:sz w:val="16"/>
        </w:rPr>
      </w:pPr>
    </w:p>
    <w:p>
      <w:pPr>
        <w:pStyle w:val="BodyText"/>
        <w:ind w:left="220" w:right="1252"/>
        <w:jc w:val="both"/>
      </w:pPr>
      <w:r>
        <w:rPr>
          <w:color w:val="4471C4"/>
        </w:rPr>
        <w:t>An improved partnership approach: </w:t>
      </w:r>
      <w:r>
        <w:rPr/>
        <w:t>Engage a skilled Partnership Broker to develop a genuinely agreed and understood Performance Matrix for PLA</w:t>
      </w:r>
      <w:r>
        <w:rPr>
          <w:vertAlign w:val="superscript"/>
        </w:rPr>
        <w:t>23</w:t>
      </w:r>
      <w:r>
        <w:rPr>
          <w:vertAlign w:val="baseline"/>
        </w:rPr>
        <w:t>, and identify any corresponding technical advice needed. The aim of the Broker is to build and strengthen partnerships to deliver impactful programs. Skilled brokering can make a real difference to the effectiveness of partnerships and </w:t>
      </w:r>
      <w:r>
        <w:rPr>
          <w:spacing w:val="-2"/>
          <w:vertAlign w:val="baseline"/>
        </w:rPr>
        <w:t>programs.</w:t>
      </w:r>
    </w:p>
    <w:p>
      <w:pPr>
        <w:pStyle w:val="BodyText"/>
        <w:spacing w:before="6"/>
        <w:rPr>
          <w:sz w:val="16"/>
        </w:rPr>
      </w:pPr>
    </w:p>
    <w:p>
      <w:pPr>
        <w:pStyle w:val="BodyText"/>
        <w:ind w:left="220" w:right="1252"/>
        <w:jc w:val="both"/>
      </w:pPr>
      <w:r>
        <w:rPr>
          <w:color w:val="2E5395"/>
        </w:rPr>
        <w:t>Long-term indicators: </w:t>
      </w:r>
      <w:r>
        <w:rPr/>
        <w:t>Develop a few strategically critical and agreed indicators from NEAP and MEHRD MEL held constant over a realistic timeframe. This would be especially relevant for Access and Quality indicators that typically take longer to show improvements. Interdependent indicators</w:t>
      </w:r>
      <w:r>
        <w:rPr>
          <w:spacing w:val="40"/>
        </w:rPr>
        <w:t> </w:t>
      </w:r>
      <w:r>
        <w:rPr/>
        <w:t>to be identified early and ‘cascaded’. Payment could be graduated over a 3 to 4-year period (in line with the new ESP design),</w:t>
      </w:r>
      <w:r>
        <w:rPr>
          <w:spacing w:val="-2"/>
        </w:rPr>
        <w:t> </w:t>
      </w:r>
      <w:r>
        <w:rPr/>
        <w:t>with a percentage paid each year on achievements towards a longer-term target. Indicators could track trends over time to include teacher and student performance, transition rates, numbers of certified teachers, numbers of teachers paid on time.</w:t>
      </w:r>
    </w:p>
    <w:p>
      <w:pPr>
        <w:pStyle w:val="BodyText"/>
        <w:spacing w:before="3"/>
        <w:rPr>
          <w:sz w:val="16"/>
        </w:rPr>
      </w:pPr>
    </w:p>
    <w:p>
      <w:pPr>
        <w:pStyle w:val="BodyText"/>
        <w:ind w:left="220" w:right="1251"/>
        <w:jc w:val="both"/>
      </w:pPr>
      <w:r>
        <w:rPr>
          <w:color w:val="4471C4"/>
        </w:rPr>
        <w:t>Annual indicators: </w:t>
      </w:r>
      <w:r>
        <w:rPr/>
        <w:t>Identify 3 or 4 shorter-term annual indicators from MEHRD AWP. These annual indicators would most likely fall into the Management Systems target area. For example, grants retirement, merit-based scholarships, systems/standards improvement and responding to audit findings are within MEHRD control.</w:t>
      </w:r>
    </w:p>
    <w:p>
      <w:pPr>
        <w:pStyle w:val="BodyText"/>
        <w:spacing w:before="5"/>
        <w:rPr>
          <w:sz w:val="16"/>
        </w:rPr>
      </w:pPr>
    </w:p>
    <w:p>
      <w:pPr>
        <w:pStyle w:val="BodyText"/>
        <w:ind w:left="220" w:right="1252"/>
        <w:jc w:val="both"/>
      </w:pPr>
      <w:r>
        <w:rPr>
          <w:color w:val="4471C4"/>
        </w:rPr>
        <w:t>Maintain sight of the bigger picture: </w:t>
      </w:r>
      <w:r>
        <w:rPr/>
        <w:t>The current DFA identifies the percent of SIG expenditure on</w:t>
      </w:r>
      <w:r>
        <w:rPr>
          <w:spacing w:val="40"/>
        </w:rPr>
        <w:t> </w:t>
      </w:r>
      <w:r>
        <w:rPr/>
        <w:t>the education sector, controlled scholarship expenditure and audit as higher order triggers for DFA.</w:t>
      </w:r>
    </w:p>
    <w:p>
      <w:pPr>
        <w:pStyle w:val="BodyText"/>
        <w:spacing w:before="5"/>
        <w:rPr>
          <w:sz w:val="16"/>
        </w:rPr>
      </w:pPr>
    </w:p>
    <w:p>
      <w:pPr>
        <w:pStyle w:val="BodyText"/>
        <w:ind w:left="220" w:right="1251"/>
        <w:jc w:val="both"/>
      </w:pPr>
      <w:r>
        <w:rPr>
          <w:color w:val="4471C4"/>
        </w:rPr>
        <w:t>Data and research: </w:t>
      </w:r>
      <w:r>
        <w:rPr/>
        <w:t>PLA verification rests on the quality of data being collected and analysed within MEHRD. It is suggested partners consider investment in data verification. The MEHRD Permanent Secretary is keen for research to inform decision making.</w:t>
      </w:r>
    </w:p>
    <w:p>
      <w:pPr>
        <w:pStyle w:val="BodyText"/>
        <w:spacing w:before="4"/>
        <w:rPr>
          <w:sz w:val="16"/>
        </w:rPr>
      </w:pPr>
    </w:p>
    <w:p>
      <w:pPr>
        <w:pStyle w:val="BodyText"/>
        <w:ind w:left="220" w:right="1252"/>
        <w:jc w:val="both"/>
      </w:pPr>
      <w:r>
        <w:rPr>
          <w:color w:val="4471C4"/>
        </w:rPr>
        <w:t>Donor performance</w:t>
      </w:r>
      <w:r>
        <w:rPr/>
        <w:t>: Donors could have PLA partner responsibilities, such as the identification and provision timely of technical assistance and the use of MEHRD systems (not financially linked).</w:t>
      </w:r>
    </w:p>
    <w:p>
      <w:pPr>
        <w:pStyle w:val="BodyText"/>
        <w:spacing w:before="5"/>
        <w:rPr>
          <w:sz w:val="16"/>
        </w:rPr>
      </w:pPr>
    </w:p>
    <w:p>
      <w:pPr>
        <w:pStyle w:val="BodyText"/>
        <w:ind w:left="220" w:right="1252"/>
        <w:jc w:val="both"/>
      </w:pPr>
      <w:r>
        <w:rPr>
          <w:color w:val="4471C4"/>
        </w:rPr>
        <w:t>Assessment as a partnership: </w:t>
      </w:r>
      <w:r>
        <w:rPr/>
        <w:t>In line with the development of indicators in a genuine partnership,</w:t>
      </w:r>
      <w:r>
        <w:rPr>
          <w:spacing w:val="40"/>
        </w:rPr>
        <w:t> </w:t>
      </w:r>
      <w:r>
        <w:rPr/>
        <w:t>the assessment should be carried out in partnership too. This doesn’t mean the assessor is not independent or is not able to make recommendations with which MEHRD might not agree. It does include partners in the process of data collection, verification and analysis. Consideration could be given to an Independent Assessor being engaged over a 3-year rolling period to ensure consistency</w:t>
      </w:r>
      <w:r>
        <w:rPr>
          <w:spacing w:val="40"/>
        </w:rPr>
        <w:t> </w:t>
      </w:r>
      <w:r>
        <w:rPr/>
        <w:t>of approach. This would not compromise independence if indicators were relatively consistent over </w:t>
      </w:r>
      <w:r>
        <w:rPr>
          <w:spacing w:val="-2"/>
        </w:rPr>
        <w:t>time.</w:t>
      </w:r>
    </w:p>
    <w:p>
      <w:pPr>
        <w:pStyle w:val="BodyText"/>
        <w:rPr>
          <w:sz w:val="20"/>
        </w:rPr>
      </w:pPr>
    </w:p>
    <w:p>
      <w:pPr>
        <w:pStyle w:val="BodyText"/>
        <w:rPr>
          <w:sz w:val="20"/>
        </w:rPr>
      </w:pPr>
    </w:p>
    <w:p>
      <w:pPr>
        <w:pStyle w:val="BodyText"/>
        <w:rPr>
          <w:sz w:val="20"/>
        </w:rPr>
      </w:pPr>
    </w:p>
    <w:p>
      <w:pPr>
        <w:pStyle w:val="BodyText"/>
        <w:spacing w:before="1"/>
        <w:rPr>
          <w:sz w:val="27"/>
        </w:rPr>
      </w:pPr>
      <w:r>
        <w:rPr/>
        <w:pict>
          <v:rect style="position:absolute;margin-left:72.024002pt;margin-top:17.769932pt;width:144.020pt;height:.72003pt;mso-position-horizontal-relative:page;mso-position-vertical-relative:paragraph;z-index:-15718912;mso-wrap-distance-left:0;mso-wrap-distance-right:0" id="docshape18" filled="true" fillcolor="#000000" stroked="false">
            <v:fill type="solid"/>
            <w10:wrap type="topAndBottom"/>
          </v:rect>
        </w:pict>
      </w:r>
    </w:p>
    <w:p>
      <w:pPr>
        <w:spacing w:before="99"/>
        <w:ind w:left="220" w:right="1319" w:firstLine="0"/>
        <w:jc w:val="left"/>
        <w:rPr>
          <w:sz w:val="18"/>
        </w:rPr>
      </w:pPr>
      <w:r>
        <w:rPr>
          <w:position w:val="5"/>
          <w:sz w:val="12"/>
        </w:rPr>
        <w:t>23</w:t>
      </w:r>
      <w:r>
        <w:rPr>
          <w:spacing w:val="9"/>
          <w:position w:val="5"/>
          <w:sz w:val="12"/>
        </w:rPr>
        <w:t> </w:t>
      </w:r>
      <w:r>
        <w:rPr>
          <w:sz w:val="18"/>
        </w:rPr>
        <w:t>The</w:t>
      </w:r>
      <w:r>
        <w:rPr>
          <w:spacing w:val="-4"/>
          <w:sz w:val="18"/>
        </w:rPr>
        <w:t> </w:t>
      </w:r>
      <w:r>
        <w:rPr>
          <w:sz w:val="18"/>
        </w:rPr>
        <w:t>Partnership</w:t>
      </w:r>
      <w:r>
        <w:rPr>
          <w:spacing w:val="-4"/>
          <w:sz w:val="18"/>
        </w:rPr>
        <w:t> </w:t>
      </w:r>
      <w:r>
        <w:rPr>
          <w:sz w:val="18"/>
        </w:rPr>
        <w:t>Brokers</w:t>
      </w:r>
      <w:r>
        <w:rPr>
          <w:spacing w:val="-4"/>
          <w:sz w:val="18"/>
        </w:rPr>
        <w:t> </w:t>
      </w:r>
      <w:r>
        <w:rPr>
          <w:sz w:val="18"/>
        </w:rPr>
        <w:t>Association</w:t>
      </w:r>
      <w:r>
        <w:rPr>
          <w:spacing w:val="-4"/>
          <w:sz w:val="18"/>
        </w:rPr>
        <w:t> </w:t>
      </w:r>
      <w:r>
        <w:rPr>
          <w:sz w:val="18"/>
        </w:rPr>
        <w:t>has</w:t>
      </w:r>
      <w:r>
        <w:rPr>
          <w:spacing w:val="-4"/>
          <w:sz w:val="18"/>
        </w:rPr>
        <w:t> </w:t>
      </w:r>
      <w:r>
        <w:rPr>
          <w:sz w:val="18"/>
        </w:rPr>
        <w:t>skilled</w:t>
      </w:r>
      <w:r>
        <w:rPr>
          <w:spacing w:val="-4"/>
          <w:sz w:val="18"/>
        </w:rPr>
        <w:t> </w:t>
      </w:r>
      <w:r>
        <w:rPr>
          <w:sz w:val="18"/>
        </w:rPr>
        <w:t>Brokers,</w:t>
      </w:r>
      <w:r>
        <w:rPr>
          <w:spacing w:val="-3"/>
          <w:sz w:val="18"/>
        </w:rPr>
        <w:t> </w:t>
      </w:r>
      <w:r>
        <w:rPr>
          <w:sz w:val="18"/>
        </w:rPr>
        <w:t>who</w:t>
      </w:r>
      <w:r>
        <w:rPr>
          <w:spacing w:val="-3"/>
          <w:sz w:val="18"/>
        </w:rPr>
        <w:t> </w:t>
      </w:r>
      <w:r>
        <w:rPr>
          <w:sz w:val="18"/>
        </w:rPr>
        <w:t>have</w:t>
      </w:r>
      <w:r>
        <w:rPr>
          <w:spacing w:val="-2"/>
          <w:sz w:val="18"/>
        </w:rPr>
        <w:t> </w:t>
      </w:r>
      <w:r>
        <w:rPr>
          <w:sz w:val="18"/>
        </w:rPr>
        <w:t>been</w:t>
      </w:r>
      <w:r>
        <w:rPr>
          <w:spacing w:val="-2"/>
          <w:sz w:val="18"/>
        </w:rPr>
        <w:t> </w:t>
      </w:r>
      <w:r>
        <w:rPr>
          <w:sz w:val="18"/>
        </w:rPr>
        <w:t>engaged</w:t>
      </w:r>
      <w:r>
        <w:rPr>
          <w:spacing w:val="-2"/>
          <w:sz w:val="18"/>
        </w:rPr>
        <w:t> </w:t>
      </w:r>
      <w:r>
        <w:rPr>
          <w:sz w:val="18"/>
        </w:rPr>
        <w:t>by</w:t>
      </w:r>
      <w:r>
        <w:rPr>
          <w:spacing w:val="-3"/>
          <w:sz w:val="18"/>
        </w:rPr>
        <w:t> </w:t>
      </w:r>
      <w:r>
        <w:rPr>
          <w:sz w:val="18"/>
        </w:rPr>
        <w:t>DFAT.</w:t>
      </w:r>
      <w:r>
        <w:rPr>
          <w:spacing w:val="-4"/>
          <w:sz w:val="18"/>
        </w:rPr>
        <w:t> </w:t>
      </w:r>
      <w:r>
        <w:rPr>
          <w:sz w:val="18"/>
        </w:rPr>
        <w:t>Some</w:t>
      </w:r>
      <w:r>
        <w:rPr>
          <w:spacing w:val="-4"/>
          <w:sz w:val="18"/>
        </w:rPr>
        <w:t> </w:t>
      </w:r>
      <w:r>
        <w:rPr>
          <w:sz w:val="18"/>
        </w:rPr>
        <w:t>DFAT</w:t>
      </w:r>
      <w:r>
        <w:rPr>
          <w:spacing w:val="-3"/>
          <w:sz w:val="18"/>
        </w:rPr>
        <w:t> </w:t>
      </w:r>
      <w:r>
        <w:rPr>
          <w:sz w:val="18"/>
        </w:rPr>
        <w:t>staff</w:t>
      </w:r>
      <w:r>
        <w:rPr>
          <w:spacing w:val="-3"/>
          <w:sz w:val="18"/>
        </w:rPr>
        <w:t> </w:t>
      </w:r>
      <w:r>
        <w:rPr>
          <w:sz w:val="18"/>
        </w:rPr>
        <w:t>have attended PBA courses.</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before="57"/>
        <w:ind w:left="220"/>
      </w:pPr>
      <w:r>
        <w:rPr>
          <w:color w:val="4471C4"/>
          <w:spacing w:val="-2"/>
        </w:rPr>
        <w:t>Contracting-</w:t>
      </w:r>
      <w:r>
        <w:rPr>
          <w:color w:val="4471C4"/>
          <w:spacing w:val="-5"/>
        </w:rPr>
        <w:t>out</w:t>
      </w:r>
    </w:p>
    <w:p>
      <w:pPr>
        <w:pStyle w:val="BodyText"/>
        <w:spacing w:before="3"/>
        <w:rPr>
          <w:sz w:val="16"/>
        </w:rPr>
      </w:pPr>
    </w:p>
    <w:p>
      <w:pPr>
        <w:spacing w:line="276" w:lineRule="auto" w:before="1"/>
        <w:ind w:left="220" w:right="1255" w:firstLine="0"/>
        <w:jc w:val="both"/>
        <w:rPr>
          <w:sz w:val="22"/>
        </w:rPr>
      </w:pPr>
      <w:r>
        <w:rPr>
          <w:sz w:val="22"/>
        </w:rPr>
        <w:t>By all accounts contracting out of curriculum work and the SISTA has been successful. This finding is supported by recommendations made by Thornton et al</w:t>
      </w:r>
      <w:r>
        <w:rPr>
          <w:sz w:val="22"/>
          <w:vertAlign w:val="superscript"/>
        </w:rPr>
        <w:t>24</w:t>
      </w:r>
      <w:r>
        <w:rPr>
          <w:spacing w:val="-2"/>
          <w:sz w:val="22"/>
          <w:vertAlign w:val="baseline"/>
        </w:rPr>
        <w:t> </w:t>
      </w:r>
      <w:r>
        <w:rPr>
          <w:sz w:val="22"/>
          <w:vertAlign w:val="baseline"/>
        </w:rPr>
        <w:t>that “</w:t>
      </w:r>
      <w:r>
        <w:rPr>
          <w:i/>
          <w:sz w:val="22"/>
          <w:vertAlign w:val="baseline"/>
        </w:rPr>
        <w:t>MEHRD should continue with its</w:t>
      </w:r>
      <w:r>
        <w:rPr>
          <w:i/>
          <w:sz w:val="22"/>
          <w:vertAlign w:val="baseline"/>
        </w:rPr>
        <w:t> outsourcing especially in the area of larger contracts and pilots; and that AHC maintains its use of parallel support mechanisms into the next phase and considers expanding support through this modality to high poverty regions</w:t>
      </w:r>
      <w:r>
        <w:rPr>
          <w:sz w:val="22"/>
          <w:vertAlign w:val="baseline"/>
        </w:rPr>
        <w:t>”.</w:t>
      </w:r>
    </w:p>
    <w:p>
      <w:pPr>
        <w:pStyle w:val="BodyText"/>
        <w:spacing w:before="5"/>
        <w:rPr>
          <w:sz w:val="16"/>
        </w:rPr>
      </w:pPr>
    </w:p>
    <w:p>
      <w:pPr>
        <w:pStyle w:val="BodyText"/>
        <w:spacing w:line="276" w:lineRule="auto"/>
        <w:ind w:left="220" w:right="1255"/>
        <w:jc w:val="both"/>
      </w:pPr>
      <w:r>
        <w:rPr/>
        <w:t>The assessor considers there is room to improve and streamline the process of contracting out that would relieve senior MEHRD staff of involvement at a contractual level while allowing them to focus on outputs and outcomes. International donors often use a design and implement approach to procurement that is outlined in Diagram 5 below.</w:t>
      </w:r>
    </w:p>
    <w:p>
      <w:pPr>
        <w:pStyle w:val="BodyText"/>
        <w:rPr>
          <w:sz w:val="20"/>
        </w:rPr>
      </w:pPr>
    </w:p>
    <w:p>
      <w:pPr>
        <w:pStyle w:val="BodyText"/>
        <w:rPr>
          <w:sz w:val="20"/>
        </w:rPr>
      </w:pPr>
    </w:p>
    <w:p>
      <w:pPr>
        <w:pStyle w:val="BodyText"/>
        <w:spacing w:before="1"/>
        <w:rPr>
          <w:sz w:val="16"/>
        </w:rPr>
      </w:pPr>
      <w:r>
        <w:rPr/>
        <w:drawing>
          <wp:anchor distT="0" distB="0" distL="0" distR="0" allowOverlap="1" layoutInCell="1" locked="0" behindDoc="0" simplePos="0" relativeHeight="20">
            <wp:simplePos x="0" y="0"/>
            <wp:positionH relativeFrom="page">
              <wp:posOffset>963174</wp:posOffset>
            </wp:positionH>
            <wp:positionV relativeFrom="paragraph">
              <wp:posOffset>140382</wp:posOffset>
            </wp:positionV>
            <wp:extent cx="6035069" cy="5273040"/>
            <wp:effectExtent l="0" t="0" r="0" b="0"/>
            <wp:wrapTopAndBottom/>
            <wp:docPr id="23" name="image11.png"/>
            <wp:cNvGraphicFramePr>
              <a:graphicFrameLocks noChangeAspect="1"/>
            </wp:cNvGraphicFramePr>
            <a:graphic>
              <a:graphicData uri="http://schemas.openxmlformats.org/drawingml/2006/picture">
                <pic:pic>
                  <pic:nvPicPr>
                    <pic:cNvPr id="24" name="image11.png"/>
                    <pic:cNvPicPr/>
                  </pic:nvPicPr>
                  <pic:blipFill>
                    <a:blip r:embed="rId24" cstate="print"/>
                    <a:stretch>
                      <a:fillRect/>
                    </a:stretch>
                  </pic:blipFill>
                  <pic:spPr>
                    <a:xfrm>
                      <a:off x="0" y="0"/>
                      <a:ext cx="6035069" cy="5273040"/>
                    </a:xfrm>
                    <a:prstGeom prst="rect">
                      <a:avLst/>
                    </a:prstGeom>
                  </pic:spPr>
                </pic:pic>
              </a:graphicData>
            </a:graphic>
          </wp:anchor>
        </w:drawing>
      </w:r>
    </w:p>
    <w:p>
      <w:pPr>
        <w:pStyle w:val="BodyText"/>
        <w:spacing w:before="6"/>
        <w:rPr>
          <w:sz w:val="20"/>
        </w:rPr>
      </w:pPr>
    </w:p>
    <w:p>
      <w:pPr>
        <w:pStyle w:val="Heading4"/>
        <w:rPr>
          <w:b w:val="0"/>
        </w:rPr>
      </w:pPr>
      <w:bookmarkStart w:name="_bookmark40" w:id="41"/>
      <w:bookmarkEnd w:id="41"/>
      <w:r>
        <w:rPr/>
      </w:r>
      <w:r>
        <w:rPr>
          <w:b w:val="0"/>
          <w:color w:val="2E5395"/>
        </w:rPr>
        <w:t>Diagram</w:t>
      </w:r>
      <w:r>
        <w:rPr>
          <w:b w:val="0"/>
          <w:color w:val="2E5395"/>
          <w:spacing w:val="-2"/>
        </w:rPr>
        <w:t> </w:t>
      </w:r>
      <w:r>
        <w:rPr>
          <w:b w:val="0"/>
          <w:color w:val="2E5395"/>
        </w:rPr>
        <w:t>5:</w:t>
      </w:r>
      <w:r>
        <w:rPr>
          <w:b w:val="0"/>
          <w:color w:val="2E5395"/>
          <w:spacing w:val="-1"/>
        </w:rPr>
        <w:t> </w:t>
      </w:r>
      <w:r>
        <w:rPr>
          <w:b w:val="0"/>
          <w:color w:val="2E5395"/>
        </w:rPr>
        <w:t>Design</w:t>
      </w:r>
      <w:r>
        <w:rPr>
          <w:b w:val="0"/>
          <w:color w:val="2E5395"/>
          <w:spacing w:val="-1"/>
        </w:rPr>
        <w:t> </w:t>
      </w:r>
      <w:r>
        <w:rPr>
          <w:b w:val="0"/>
          <w:color w:val="2E5395"/>
        </w:rPr>
        <w:t>and</w:t>
      </w:r>
      <w:r>
        <w:rPr>
          <w:b w:val="0"/>
          <w:color w:val="2E5395"/>
          <w:spacing w:val="-3"/>
        </w:rPr>
        <w:t> </w:t>
      </w:r>
      <w:r>
        <w:rPr>
          <w:b w:val="0"/>
          <w:color w:val="2E5395"/>
        </w:rPr>
        <w:t>Implement tender</w:t>
      </w:r>
      <w:r>
        <w:rPr>
          <w:b w:val="0"/>
          <w:color w:val="2E5395"/>
          <w:spacing w:val="-2"/>
        </w:rPr>
        <w:t> process.</w:t>
      </w:r>
    </w:p>
    <w:p>
      <w:pPr>
        <w:pStyle w:val="BodyText"/>
        <w:rPr>
          <w:rFonts w:ascii="Calibri Light"/>
          <w:b w:val="0"/>
          <w:sz w:val="25"/>
        </w:rPr>
      </w:pPr>
      <w:r>
        <w:rPr/>
        <w:pict>
          <v:rect style="position:absolute;margin-left:72.024002pt;margin-top:16.490561pt;width:144.020pt;height:.71997pt;mso-position-horizontal-relative:page;mso-position-vertical-relative:paragraph;z-index:-15717888;mso-wrap-distance-left:0;mso-wrap-distance-right:0" id="docshape19" filled="true" fillcolor="#000000" stroked="false">
            <v:fill type="solid"/>
            <w10:wrap type="topAndBottom"/>
          </v:rect>
        </w:pict>
      </w:r>
    </w:p>
    <w:p>
      <w:pPr>
        <w:spacing w:before="100"/>
        <w:ind w:left="220" w:right="0" w:firstLine="0"/>
        <w:jc w:val="left"/>
        <w:rPr>
          <w:sz w:val="18"/>
        </w:rPr>
      </w:pPr>
      <w:r>
        <w:rPr>
          <w:position w:val="5"/>
          <w:sz w:val="12"/>
        </w:rPr>
        <w:t>24</w:t>
      </w:r>
      <w:r>
        <w:rPr>
          <w:spacing w:val="8"/>
          <w:position w:val="5"/>
          <w:sz w:val="12"/>
        </w:rPr>
        <w:t> </w:t>
      </w:r>
      <w:r>
        <w:rPr>
          <w:sz w:val="18"/>
        </w:rPr>
        <w:t>Thornton,</w:t>
      </w:r>
      <w:r>
        <w:rPr>
          <w:spacing w:val="-1"/>
          <w:sz w:val="18"/>
        </w:rPr>
        <w:t> </w:t>
      </w:r>
      <w:r>
        <w:rPr>
          <w:sz w:val="18"/>
        </w:rPr>
        <w:t>et</w:t>
      </w:r>
      <w:r>
        <w:rPr>
          <w:spacing w:val="-1"/>
          <w:sz w:val="18"/>
        </w:rPr>
        <w:t> </w:t>
      </w:r>
      <w:r>
        <w:rPr>
          <w:sz w:val="18"/>
        </w:rPr>
        <w:t>al</w:t>
      </w:r>
      <w:r>
        <w:rPr>
          <w:spacing w:val="-2"/>
          <w:sz w:val="18"/>
        </w:rPr>
        <w:t> </w:t>
      </w:r>
      <w:r>
        <w:rPr>
          <w:sz w:val="18"/>
        </w:rPr>
        <w:t>(2018).</w:t>
      </w:r>
      <w:r>
        <w:rPr>
          <w:spacing w:val="-1"/>
          <w:sz w:val="18"/>
        </w:rPr>
        <w:t> </w:t>
      </w:r>
      <w:r>
        <w:rPr>
          <w:i/>
          <w:sz w:val="18"/>
        </w:rPr>
        <w:t>Ibid</w:t>
      </w:r>
      <w:r>
        <w:rPr>
          <w:sz w:val="18"/>
        </w:rPr>
        <w:t>.</w:t>
      </w:r>
      <w:r>
        <w:rPr>
          <w:spacing w:val="-2"/>
          <w:sz w:val="18"/>
        </w:rPr>
        <w:t> </w:t>
      </w:r>
      <w:r>
        <w:rPr>
          <w:sz w:val="18"/>
        </w:rPr>
        <w:t>p8</w:t>
      </w:r>
      <w:r>
        <w:rPr>
          <w:spacing w:val="-1"/>
          <w:sz w:val="18"/>
        </w:rPr>
        <w:t> </w:t>
      </w:r>
      <w:r>
        <w:rPr>
          <w:sz w:val="18"/>
        </w:rPr>
        <w:t>and</w:t>
      </w:r>
      <w:r>
        <w:rPr>
          <w:spacing w:val="-2"/>
          <w:sz w:val="18"/>
        </w:rPr>
        <w:t> </w:t>
      </w:r>
      <w:r>
        <w:rPr>
          <w:spacing w:val="-4"/>
          <w:sz w:val="18"/>
        </w:rPr>
        <w:t>p39.</w:t>
      </w:r>
    </w:p>
    <w:p>
      <w:pPr>
        <w:spacing w:after="0"/>
        <w:jc w:val="left"/>
        <w:rPr>
          <w:sz w:val="18"/>
        </w:rPr>
        <w:sectPr>
          <w:pgSz w:w="11900" w:h="16850"/>
          <w:pgMar w:header="867" w:footer="830" w:top="1060" w:bottom="1020" w:left="1220" w:right="180"/>
        </w:sectPr>
      </w:pPr>
    </w:p>
    <w:p>
      <w:pPr>
        <w:pStyle w:val="BodyText"/>
        <w:rPr>
          <w:sz w:val="20"/>
        </w:rPr>
      </w:pPr>
    </w:p>
    <w:p>
      <w:pPr>
        <w:pStyle w:val="BodyText"/>
        <w:spacing w:before="6"/>
        <w:rPr>
          <w:sz w:val="26"/>
        </w:rPr>
      </w:pPr>
    </w:p>
    <w:p>
      <w:pPr>
        <w:pStyle w:val="BodyText"/>
        <w:spacing w:line="276" w:lineRule="auto" w:before="57"/>
        <w:ind w:left="220" w:right="1250"/>
        <w:jc w:val="both"/>
      </w:pPr>
      <w:r>
        <w:rPr/>
        <w:t>This design and implement tender process involves only minimal effort from the originating Unit</w:t>
      </w:r>
      <w:r>
        <w:rPr>
          <w:spacing w:val="40"/>
        </w:rPr>
        <w:t> </w:t>
      </w:r>
      <w:r>
        <w:rPr/>
        <w:t>with the development of a short 2 to 4-page Concept Note. This Concept Note is then developed</w:t>
      </w:r>
      <w:r>
        <w:rPr>
          <w:spacing w:val="80"/>
        </w:rPr>
        <w:t> </w:t>
      </w:r>
      <w:r>
        <w:rPr/>
        <w:t>into a Scope</w:t>
      </w:r>
      <w:r>
        <w:rPr>
          <w:spacing w:val="-1"/>
        </w:rPr>
        <w:t> </w:t>
      </w:r>
      <w:r>
        <w:rPr/>
        <w:t>of Services and put to tender for design</w:t>
      </w:r>
      <w:r>
        <w:rPr>
          <w:spacing w:val="-2"/>
        </w:rPr>
        <w:t> </w:t>
      </w:r>
      <w:r>
        <w:rPr/>
        <w:t>and implement with clear</w:t>
      </w:r>
      <w:r>
        <w:rPr>
          <w:spacing w:val="-1"/>
        </w:rPr>
        <w:t> </w:t>
      </w:r>
      <w:r>
        <w:rPr/>
        <w:t>break points pending acceptance of the design. The approach saves considerable time getting from the ‘idea stage’ to implementation, relieves</w:t>
      </w:r>
      <w:r>
        <w:rPr>
          <w:spacing w:val="-2"/>
        </w:rPr>
        <w:t> </w:t>
      </w:r>
      <w:r>
        <w:rPr/>
        <w:t>the Procurement Unit</w:t>
      </w:r>
      <w:r>
        <w:rPr>
          <w:spacing w:val="-2"/>
        </w:rPr>
        <w:t> </w:t>
      </w:r>
      <w:r>
        <w:rPr/>
        <w:t>of developing a tender ready document</w:t>
      </w:r>
      <w:r>
        <w:rPr>
          <w:spacing w:val="-2"/>
        </w:rPr>
        <w:t> </w:t>
      </w:r>
      <w:r>
        <w:rPr/>
        <w:t>and allows a dedicated design team to adequately scope needs and avoid assumptions. It also gives the originating Unit the ability to direct the design process and its outputs without having to micro- manage it.</w:t>
      </w:r>
    </w:p>
    <w:p>
      <w:pPr>
        <w:spacing w:after="0" w:line="276" w:lineRule="auto"/>
        <w:jc w:val="both"/>
        <w:sectPr>
          <w:pgSz w:w="11900" w:h="16850"/>
          <w:pgMar w:header="867" w:footer="830" w:top="1060" w:bottom="1020" w:left="1220" w:right="180"/>
        </w:sectPr>
      </w:pPr>
    </w:p>
    <w:p>
      <w:pPr>
        <w:pStyle w:val="BodyText"/>
      </w:pPr>
    </w:p>
    <w:p>
      <w:pPr>
        <w:pStyle w:val="Heading1"/>
        <w:rPr>
          <w:b w:val="0"/>
        </w:rPr>
      </w:pPr>
      <w:bookmarkStart w:name="_bookmark41" w:id="42"/>
      <w:bookmarkEnd w:id="42"/>
      <w:r>
        <w:rPr/>
      </w:r>
      <w:r>
        <w:rPr>
          <w:b w:val="0"/>
          <w:color w:val="4471C4"/>
          <w:spacing w:val="-2"/>
        </w:rPr>
        <w:t>Appendices</w:t>
      </w:r>
    </w:p>
    <w:p>
      <w:pPr>
        <w:pStyle w:val="BodyText"/>
        <w:spacing w:before="8"/>
        <w:rPr>
          <w:rFonts w:ascii="Calibri Light"/>
          <w:b w:val="0"/>
          <w:sz w:val="41"/>
        </w:rPr>
      </w:pPr>
    </w:p>
    <w:p>
      <w:pPr>
        <w:pStyle w:val="Heading1"/>
        <w:spacing w:before="0"/>
        <w:rPr>
          <w:b w:val="0"/>
        </w:rPr>
      </w:pPr>
      <w:bookmarkStart w:name="_bookmark42" w:id="43"/>
      <w:bookmarkEnd w:id="43"/>
      <w:r>
        <w:rPr/>
      </w:r>
      <w:r>
        <w:rPr>
          <w:b w:val="0"/>
          <w:color w:val="4471C4"/>
        </w:rPr>
        <w:t>Appendix</w:t>
      </w:r>
      <w:r>
        <w:rPr>
          <w:b w:val="0"/>
          <w:color w:val="4471C4"/>
          <w:spacing w:val="28"/>
        </w:rPr>
        <w:t> </w:t>
      </w:r>
      <w:r>
        <w:rPr>
          <w:b w:val="0"/>
          <w:color w:val="4471C4"/>
        </w:rPr>
        <w:t>1:</w:t>
      </w:r>
      <w:r>
        <w:rPr>
          <w:b w:val="0"/>
          <w:color w:val="4471C4"/>
          <w:spacing w:val="29"/>
        </w:rPr>
        <w:t> </w:t>
      </w:r>
      <w:r>
        <w:rPr>
          <w:b w:val="0"/>
          <w:color w:val="4471C4"/>
        </w:rPr>
        <w:t>Education</w:t>
      </w:r>
      <w:r>
        <w:rPr>
          <w:b w:val="0"/>
          <w:color w:val="4471C4"/>
          <w:spacing w:val="25"/>
        </w:rPr>
        <w:t> </w:t>
      </w:r>
      <w:r>
        <w:rPr>
          <w:b w:val="0"/>
          <w:color w:val="4471C4"/>
        </w:rPr>
        <w:t>Performance</w:t>
      </w:r>
      <w:r>
        <w:rPr>
          <w:b w:val="0"/>
          <w:color w:val="4471C4"/>
          <w:spacing w:val="26"/>
        </w:rPr>
        <w:t> </w:t>
      </w:r>
      <w:r>
        <w:rPr>
          <w:b w:val="0"/>
          <w:color w:val="4471C4"/>
        </w:rPr>
        <w:t>Matrix</w:t>
      </w:r>
      <w:r>
        <w:rPr>
          <w:b w:val="0"/>
          <w:color w:val="4471C4"/>
          <w:spacing w:val="29"/>
        </w:rPr>
        <w:t> </w:t>
      </w:r>
      <w:r>
        <w:rPr>
          <w:b w:val="0"/>
          <w:color w:val="4471C4"/>
          <w:spacing w:val="-4"/>
        </w:rPr>
        <w:t>2018</w:t>
      </w:r>
    </w:p>
    <w:p>
      <w:pPr>
        <w:pStyle w:val="Heading4"/>
        <w:spacing w:before="260"/>
        <w:jc w:val="left"/>
        <w:rPr>
          <w:b w:val="0"/>
        </w:rPr>
      </w:pPr>
      <w:r>
        <w:rPr>
          <w:b w:val="0"/>
          <w:color w:val="4471C4"/>
        </w:rPr>
        <w:t>Solomon</w:t>
      </w:r>
      <w:r>
        <w:rPr>
          <w:b w:val="0"/>
          <w:color w:val="4471C4"/>
          <w:spacing w:val="-2"/>
        </w:rPr>
        <w:t> </w:t>
      </w:r>
      <w:r>
        <w:rPr>
          <w:b w:val="0"/>
          <w:color w:val="4471C4"/>
        </w:rPr>
        <w:t>Islands</w:t>
      </w:r>
      <w:r>
        <w:rPr>
          <w:b w:val="0"/>
          <w:color w:val="4471C4"/>
          <w:spacing w:val="-1"/>
        </w:rPr>
        <w:t> </w:t>
      </w:r>
      <w:r>
        <w:rPr>
          <w:b w:val="0"/>
          <w:color w:val="4471C4"/>
        </w:rPr>
        <w:t>Education</w:t>
      </w:r>
      <w:r>
        <w:rPr>
          <w:b w:val="0"/>
          <w:color w:val="4471C4"/>
          <w:spacing w:val="-1"/>
        </w:rPr>
        <w:t> </w:t>
      </w:r>
      <w:r>
        <w:rPr>
          <w:b w:val="0"/>
          <w:color w:val="4471C4"/>
        </w:rPr>
        <w:t>Sector</w:t>
      </w:r>
      <w:r>
        <w:rPr>
          <w:b w:val="0"/>
          <w:color w:val="4471C4"/>
          <w:spacing w:val="-3"/>
        </w:rPr>
        <w:t> </w:t>
      </w:r>
      <w:r>
        <w:rPr>
          <w:b w:val="0"/>
          <w:color w:val="4471C4"/>
        </w:rPr>
        <w:t>Program</w:t>
      </w:r>
      <w:r>
        <w:rPr>
          <w:b w:val="0"/>
          <w:color w:val="4471C4"/>
          <w:spacing w:val="-1"/>
        </w:rPr>
        <w:t> </w:t>
      </w:r>
      <w:r>
        <w:rPr>
          <w:b w:val="0"/>
          <w:color w:val="4471C4"/>
        </w:rPr>
        <w:t>2</w:t>
      </w:r>
      <w:r>
        <w:rPr>
          <w:b w:val="0"/>
          <w:color w:val="4471C4"/>
          <w:spacing w:val="-1"/>
        </w:rPr>
        <w:t> </w:t>
      </w:r>
      <w:r>
        <w:rPr>
          <w:b w:val="0"/>
          <w:color w:val="4471C4"/>
        </w:rPr>
        <w:t>2018 Education</w:t>
      </w:r>
      <w:r>
        <w:rPr>
          <w:b w:val="0"/>
          <w:color w:val="4471C4"/>
          <w:spacing w:val="-5"/>
        </w:rPr>
        <w:t> </w:t>
      </w:r>
      <w:r>
        <w:rPr>
          <w:b w:val="0"/>
          <w:color w:val="4471C4"/>
        </w:rPr>
        <w:t>Performance </w:t>
      </w:r>
      <w:r>
        <w:rPr>
          <w:b w:val="0"/>
          <w:color w:val="4471C4"/>
          <w:spacing w:val="-2"/>
        </w:rPr>
        <w:t>Matrix</w:t>
      </w:r>
    </w:p>
    <w:p>
      <w:pPr>
        <w:pStyle w:val="BodyText"/>
        <w:spacing w:before="8"/>
        <w:rPr>
          <w:rFonts w:ascii="Calibri Light"/>
          <w:b w:val="0"/>
          <w:sz w:val="19"/>
        </w:rPr>
      </w:pPr>
    </w:p>
    <w:p>
      <w:pPr>
        <w:pStyle w:val="BodyText"/>
        <w:ind w:left="220"/>
      </w:pPr>
      <w:r>
        <w:rPr>
          <w:b/>
        </w:rPr>
        <w:t>Goal:</w:t>
      </w:r>
      <w:r>
        <w:rPr>
          <w:b/>
          <w:spacing w:val="-5"/>
        </w:rPr>
        <w:t> </w:t>
      </w:r>
      <w:r>
        <w:rPr/>
        <w:t>To</w:t>
      </w:r>
      <w:r>
        <w:rPr>
          <w:spacing w:val="-4"/>
        </w:rPr>
        <w:t> </w:t>
      </w:r>
      <w:r>
        <w:rPr/>
        <w:t>improve</w:t>
      </w:r>
      <w:r>
        <w:rPr>
          <w:spacing w:val="-4"/>
        </w:rPr>
        <w:t> </w:t>
      </w:r>
      <w:r>
        <w:rPr/>
        <w:t>the</w:t>
      </w:r>
      <w:r>
        <w:rPr>
          <w:spacing w:val="-3"/>
        </w:rPr>
        <w:t> </w:t>
      </w:r>
      <w:r>
        <w:rPr/>
        <w:t>quality</w:t>
      </w:r>
      <w:r>
        <w:rPr>
          <w:spacing w:val="-3"/>
        </w:rPr>
        <w:t> </w:t>
      </w:r>
      <w:r>
        <w:rPr/>
        <w:t>of</w:t>
      </w:r>
      <w:r>
        <w:rPr>
          <w:spacing w:val="-3"/>
        </w:rPr>
        <w:t> </w:t>
      </w:r>
      <w:r>
        <w:rPr/>
        <w:t>education</w:t>
      </w:r>
      <w:r>
        <w:rPr>
          <w:spacing w:val="-3"/>
        </w:rPr>
        <w:t> </w:t>
      </w:r>
      <w:r>
        <w:rPr/>
        <w:t>in</w:t>
      </w:r>
      <w:r>
        <w:rPr>
          <w:spacing w:val="-4"/>
        </w:rPr>
        <w:t> </w:t>
      </w:r>
      <w:r>
        <w:rPr/>
        <w:t>Solomon</w:t>
      </w:r>
      <w:r>
        <w:rPr>
          <w:spacing w:val="-6"/>
        </w:rPr>
        <w:t> </w:t>
      </w:r>
      <w:r>
        <w:rPr/>
        <w:t>Islands</w:t>
      </w:r>
      <w:r>
        <w:rPr>
          <w:spacing w:val="-3"/>
        </w:rPr>
        <w:t> </w:t>
      </w:r>
      <w:r>
        <w:rPr/>
        <w:t>by</w:t>
      </w:r>
      <w:r>
        <w:rPr>
          <w:spacing w:val="-2"/>
        </w:rPr>
        <w:t> improving:</w:t>
      </w:r>
    </w:p>
    <w:p>
      <w:pPr>
        <w:pStyle w:val="BodyText"/>
        <w:spacing w:before="8"/>
        <w:rPr>
          <w:sz w:val="19"/>
        </w:rPr>
      </w:pPr>
    </w:p>
    <w:p>
      <w:pPr>
        <w:pStyle w:val="ListParagraph"/>
        <w:numPr>
          <w:ilvl w:val="0"/>
          <w:numId w:val="9"/>
        </w:numPr>
        <w:tabs>
          <w:tab w:pos="941" w:val="left" w:leader="none"/>
        </w:tabs>
        <w:spacing w:line="240" w:lineRule="auto" w:before="0" w:after="0"/>
        <w:ind w:left="940" w:right="0" w:hanging="361"/>
        <w:jc w:val="left"/>
        <w:rPr>
          <w:sz w:val="22"/>
        </w:rPr>
      </w:pPr>
      <w:r>
        <w:rPr>
          <w:sz w:val="22"/>
        </w:rPr>
        <w:t>the</w:t>
      </w:r>
      <w:r>
        <w:rPr>
          <w:spacing w:val="-2"/>
          <w:sz w:val="22"/>
        </w:rPr>
        <w:t> </w:t>
      </w:r>
      <w:r>
        <w:rPr>
          <w:sz w:val="22"/>
        </w:rPr>
        <w:t>quality</w:t>
      </w:r>
      <w:r>
        <w:rPr>
          <w:spacing w:val="-2"/>
          <w:sz w:val="22"/>
        </w:rPr>
        <w:t> </w:t>
      </w:r>
      <w:r>
        <w:rPr>
          <w:sz w:val="22"/>
        </w:rPr>
        <w:t>of</w:t>
      </w:r>
      <w:r>
        <w:rPr>
          <w:spacing w:val="-3"/>
          <w:sz w:val="22"/>
        </w:rPr>
        <w:t> </w:t>
      </w:r>
      <w:r>
        <w:rPr>
          <w:sz w:val="22"/>
        </w:rPr>
        <w:t>teachers</w:t>
      </w:r>
      <w:r>
        <w:rPr>
          <w:spacing w:val="-1"/>
          <w:sz w:val="22"/>
        </w:rPr>
        <w:t> </w:t>
      </w:r>
      <w:r>
        <w:rPr>
          <w:sz w:val="22"/>
        </w:rPr>
        <w:t>and</w:t>
      </w:r>
      <w:r>
        <w:rPr>
          <w:spacing w:val="-4"/>
          <w:sz w:val="22"/>
        </w:rPr>
        <w:t> </w:t>
      </w:r>
      <w:r>
        <w:rPr>
          <w:spacing w:val="-2"/>
          <w:sz w:val="22"/>
        </w:rPr>
        <w:t>teaching;</w:t>
      </w:r>
    </w:p>
    <w:p>
      <w:pPr>
        <w:pStyle w:val="ListParagraph"/>
        <w:numPr>
          <w:ilvl w:val="0"/>
          <w:numId w:val="9"/>
        </w:numPr>
        <w:tabs>
          <w:tab w:pos="941" w:val="left" w:leader="none"/>
        </w:tabs>
        <w:spacing w:line="240" w:lineRule="auto" w:before="41" w:after="0"/>
        <w:ind w:left="940" w:right="0" w:hanging="361"/>
        <w:jc w:val="left"/>
        <w:rPr>
          <w:sz w:val="22"/>
        </w:rPr>
      </w:pPr>
      <w:r>
        <w:rPr>
          <w:sz w:val="22"/>
        </w:rPr>
        <w:t>equitable</w:t>
      </w:r>
      <w:r>
        <w:rPr>
          <w:spacing w:val="-2"/>
          <w:sz w:val="22"/>
        </w:rPr>
        <w:t> </w:t>
      </w:r>
      <w:r>
        <w:rPr>
          <w:sz w:val="22"/>
        </w:rPr>
        <w:t>access</w:t>
      </w:r>
      <w:r>
        <w:rPr>
          <w:spacing w:val="-2"/>
          <w:sz w:val="22"/>
        </w:rPr>
        <w:t> </w:t>
      </w:r>
      <w:r>
        <w:rPr>
          <w:sz w:val="22"/>
        </w:rPr>
        <w:t>to</w:t>
      </w:r>
      <w:r>
        <w:rPr>
          <w:spacing w:val="-2"/>
          <w:sz w:val="22"/>
        </w:rPr>
        <w:t> education;</w:t>
      </w:r>
    </w:p>
    <w:p>
      <w:pPr>
        <w:pStyle w:val="ListParagraph"/>
        <w:numPr>
          <w:ilvl w:val="0"/>
          <w:numId w:val="9"/>
        </w:numPr>
        <w:tabs>
          <w:tab w:pos="941" w:val="left" w:leader="none"/>
        </w:tabs>
        <w:spacing w:line="240" w:lineRule="auto" w:before="41" w:after="0"/>
        <w:ind w:left="940" w:right="0" w:hanging="361"/>
        <w:jc w:val="left"/>
        <w:rPr>
          <w:sz w:val="22"/>
        </w:rPr>
      </w:pPr>
      <w:r>
        <w:rPr>
          <w:sz w:val="22"/>
        </w:rPr>
        <w:t>the</w:t>
      </w:r>
      <w:r>
        <w:rPr>
          <w:spacing w:val="-5"/>
          <w:sz w:val="22"/>
        </w:rPr>
        <w:t> </w:t>
      </w:r>
      <w:r>
        <w:rPr>
          <w:sz w:val="22"/>
        </w:rPr>
        <w:t>quality</w:t>
      </w:r>
      <w:r>
        <w:rPr>
          <w:spacing w:val="-3"/>
          <w:sz w:val="22"/>
        </w:rPr>
        <w:t> </w:t>
      </w:r>
      <w:r>
        <w:rPr>
          <w:sz w:val="22"/>
        </w:rPr>
        <w:t>and</w:t>
      </w:r>
      <w:r>
        <w:rPr>
          <w:spacing w:val="-4"/>
          <w:sz w:val="22"/>
        </w:rPr>
        <w:t> </w:t>
      </w:r>
      <w:r>
        <w:rPr>
          <w:sz w:val="22"/>
        </w:rPr>
        <w:t>effectiveness</w:t>
      </w:r>
      <w:r>
        <w:rPr>
          <w:spacing w:val="-2"/>
          <w:sz w:val="22"/>
        </w:rPr>
        <w:t> </w:t>
      </w:r>
      <w:r>
        <w:rPr>
          <w:sz w:val="22"/>
        </w:rPr>
        <w:t>of</w:t>
      </w:r>
      <w:r>
        <w:rPr>
          <w:spacing w:val="-6"/>
          <w:sz w:val="22"/>
        </w:rPr>
        <w:t> </w:t>
      </w:r>
      <w:r>
        <w:rPr>
          <w:sz w:val="22"/>
        </w:rPr>
        <w:t>educational</w:t>
      </w:r>
      <w:r>
        <w:rPr>
          <w:spacing w:val="-2"/>
          <w:sz w:val="22"/>
        </w:rPr>
        <w:t> </w:t>
      </w:r>
      <w:r>
        <w:rPr>
          <w:sz w:val="22"/>
        </w:rPr>
        <w:t>leadership</w:t>
      </w:r>
      <w:r>
        <w:rPr>
          <w:spacing w:val="-4"/>
          <w:sz w:val="22"/>
        </w:rPr>
        <w:t> </w:t>
      </w:r>
      <w:r>
        <w:rPr>
          <w:sz w:val="22"/>
        </w:rPr>
        <w:t>and</w:t>
      </w:r>
      <w:r>
        <w:rPr>
          <w:spacing w:val="-3"/>
          <w:sz w:val="22"/>
        </w:rPr>
        <w:t> </w:t>
      </w:r>
      <w:r>
        <w:rPr>
          <w:sz w:val="22"/>
        </w:rPr>
        <w:t>management</w:t>
      </w:r>
      <w:r>
        <w:rPr>
          <w:spacing w:val="-5"/>
          <w:sz w:val="22"/>
        </w:rPr>
        <w:t> </w:t>
      </w:r>
      <w:r>
        <w:rPr>
          <w:sz w:val="22"/>
        </w:rPr>
        <w:t>at</w:t>
      </w:r>
      <w:r>
        <w:rPr>
          <w:spacing w:val="-2"/>
          <w:sz w:val="22"/>
        </w:rPr>
        <w:t> </w:t>
      </w:r>
      <w:r>
        <w:rPr>
          <w:sz w:val="22"/>
        </w:rPr>
        <w:t>all</w:t>
      </w:r>
      <w:r>
        <w:rPr>
          <w:spacing w:val="-6"/>
          <w:sz w:val="22"/>
        </w:rPr>
        <w:t> </w:t>
      </w:r>
      <w:r>
        <w:rPr>
          <w:sz w:val="22"/>
        </w:rPr>
        <w:t>levels</w:t>
      </w:r>
      <w:r>
        <w:rPr>
          <w:spacing w:val="-4"/>
          <w:sz w:val="22"/>
        </w:rPr>
        <w:t> </w:t>
      </w:r>
      <w:r>
        <w:rPr>
          <w:sz w:val="22"/>
        </w:rPr>
        <w:t>of</w:t>
      </w:r>
      <w:r>
        <w:rPr>
          <w:spacing w:val="-4"/>
          <w:sz w:val="22"/>
        </w:rPr>
        <w:t> </w:t>
      </w:r>
      <w:r>
        <w:rPr>
          <w:sz w:val="22"/>
        </w:rPr>
        <w:t>the</w:t>
      </w:r>
      <w:r>
        <w:rPr>
          <w:spacing w:val="-3"/>
          <w:sz w:val="22"/>
        </w:rPr>
        <w:t> </w:t>
      </w:r>
      <w:r>
        <w:rPr>
          <w:sz w:val="22"/>
        </w:rPr>
        <w:t>system;</w:t>
      </w:r>
      <w:r>
        <w:rPr>
          <w:spacing w:val="-2"/>
          <w:sz w:val="22"/>
        </w:rPr>
        <w:t> </w:t>
      </w:r>
      <w:r>
        <w:rPr>
          <w:spacing w:val="-5"/>
          <w:sz w:val="22"/>
        </w:rPr>
        <w:t>and</w:t>
      </w:r>
    </w:p>
    <w:p>
      <w:pPr>
        <w:pStyle w:val="ListParagraph"/>
        <w:numPr>
          <w:ilvl w:val="0"/>
          <w:numId w:val="9"/>
        </w:numPr>
        <w:tabs>
          <w:tab w:pos="941" w:val="left" w:leader="none"/>
        </w:tabs>
        <w:spacing w:line="240" w:lineRule="auto" w:before="39" w:after="0"/>
        <w:ind w:left="940" w:right="0" w:hanging="361"/>
        <w:jc w:val="left"/>
        <w:rPr>
          <w:sz w:val="22"/>
        </w:rPr>
      </w:pPr>
      <w:r>
        <w:rPr>
          <w:sz w:val="22"/>
        </w:rPr>
        <w:t>the</w:t>
      </w:r>
      <w:r>
        <w:rPr>
          <w:spacing w:val="-3"/>
          <w:sz w:val="22"/>
        </w:rPr>
        <w:t> </w:t>
      </w:r>
      <w:r>
        <w:rPr>
          <w:sz w:val="22"/>
        </w:rPr>
        <w:t>resourcing</w:t>
      </w:r>
      <w:r>
        <w:rPr>
          <w:spacing w:val="-4"/>
          <w:sz w:val="22"/>
        </w:rPr>
        <w:t> </w:t>
      </w:r>
      <w:r>
        <w:rPr>
          <w:sz w:val="22"/>
        </w:rPr>
        <w:t>and</w:t>
      </w:r>
      <w:r>
        <w:rPr>
          <w:spacing w:val="-4"/>
          <w:sz w:val="22"/>
        </w:rPr>
        <w:t> </w:t>
      </w:r>
      <w:r>
        <w:rPr>
          <w:sz w:val="22"/>
        </w:rPr>
        <w:t>utilization</w:t>
      </w:r>
      <w:r>
        <w:rPr>
          <w:spacing w:val="-4"/>
          <w:sz w:val="22"/>
        </w:rPr>
        <w:t> </w:t>
      </w:r>
      <w:r>
        <w:rPr>
          <w:sz w:val="22"/>
        </w:rPr>
        <w:t>of</w:t>
      </w:r>
      <w:r>
        <w:rPr>
          <w:spacing w:val="-6"/>
          <w:sz w:val="22"/>
        </w:rPr>
        <w:t> </w:t>
      </w:r>
      <w:r>
        <w:rPr>
          <w:sz w:val="22"/>
        </w:rPr>
        <w:t>available</w:t>
      </w:r>
      <w:r>
        <w:rPr>
          <w:spacing w:val="-2"/>
          <w:sz w:val="22"/>
        </w:rPr>
        <w:t> </w:t>
      </w:r>
      <w:r>
        <w:rPr>
          <w:sz w:val="22"/>
        </w:rPr>
        <w:t>education</w:t>
      </w:r>
      <w:r>
        <w:rPr>
          <w:spacing w:val="-1"/>
          <w:sz w:val="22"/>
        </w:rPr>
        <w:t> </w:t>
      </w:r>
      <w:r>
        <w:rPr>
          <w:spacing w:val="-2"/>
          <w:sz w:val="22"/>
        </w:rPr>
        <w:t>resources.</w:t>
      </w:r>
    </w:p>
    <w:p>
      <w:pPr>
        <w:spacing w:after="0" w:line="240" w:lineRule="auto"/>
        <w:jc w:val="left"/>
        <w:rPr>
          <w:sz w:val="22"/>
        </w:rPr>
        <w:sectPr>
          <w:headerReference w:type="default" r:id="rId25"/>
          <w:footerReference w:type="default" r:id="rId26"/>
          <w:pgSz w:w="16850" w:h="11900" w:orient="landscape"/>
          <w:pgMar w:header="867" w:footer="830" w:top="1400" w:bottom="1020" w:left="1220" w:right="520"/>
        </w:sectPr>
      </w:pPr>
    </w:p>
    <w:tbl>
      <w:tblPr>
        <w:tblW w:w="0" w:type="auto"/>
        <w:jc w:val="left"/>
        <w:tblInd w:w="11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816"/>
        <w:gridCol w:w="880"/>
        <w:gridCol w:w="1132"/>
        <w:gridCol w:w="4253"/>
        <w:gridCol w:w="993"/>
        <w:gridCol w:w="3684"/>
        <w:gridCol w:w="3120"/>
      </w:tblGrid>
      <w:tr>
        <w:trPr>
          <w:trHeight w:val="710" w:hRule="atLeast"/>
        </w:trPr>
        <w:tc>
          <w:tcPr>
            <w:tcW w:w="816" w:type="dxa"/>
            <w:tcBorders>
              <w:top w:val="nil"/>
              <w:bottom w:val="nil"/>
              <w:right w:val="nil"/>
            </w:tcBorders>
            <w:shd w:val="clear" w:color="auto" w:fill="4471C4"/>
          </w:tcPr>
          <w:p>
            <w:pPr>
              <w:pStyle w:val="TableParagraph"/>
              <w:spacing w:line="231" w:lineRule="exact" w:before="11"/>
              <w:ind w:left="189"/>
              <w:rPr>
                <w:b/>
                <w:sz w:val="19"/>
              </w:rPr>
            </w:pPr>
            <w:r>
              <w:rPr>
                <w:b/>
                <w:color w:val="FFFFFF"/>
                <w:spacing w:val="-4"/>
                <w:sz w:val="19"/>
              </w:rPr>
              <w:t>NEAP</w:t>
            </w:r>
          </w:p>
          <w:p>
            <w:pPr>
              <w:pStyle w:val="TableParagraph"/>
              <w:spacing w:line="231" w:lineRule="exact"/>
              <w:ind w:left="112"/>
              <w:rPr>
                <w:b/>
                <w:sz w:val="19"/>
              </w:rPr>
            </w:pPr>
            <w:r>
              <w:rPr>
                <w:b/>
                <w:color w:val="FFFFFF"/>
                <w:spacing w:val="-2"/>
                <w:sz w:val="19"/>
              </w:rPr>
              <w:t>Priority</w:t>
            </w:r>
          </w:p>
        </w:tc>
        <w:tc>
          <w:tcPr>
            <w:tcW w:w="880" w:type="dxa"/>
            <w:tcBorders>
              <w:top w:val="nil"/>
              <w:left w:val="nil"/>
              <w:bottom w:val="nil"/>
              <w:right w:val="nil"/>
            </w:tcBorders>
            <w:shd w:val="clear" w:color="auto" w:fill="4471C4"/>
          </w:tcPr>
          <w:p>
            <w:pPr>
              <w:pStyle w:val="TableParagraph"/>
              <w:spacing w:before="11"/>
              <w:ind w:left="156" w:right="138" w:firstLine="28"/>
              <w:rPr>
                <w:b/>
                <w:sz w:val="19"/>
              </w:rPr>
            </w:pPr>
            <w:r>
              <w:rPr>
                <w:b/>
                <w:color w:val="FFFFFF"/>
                <w:spacing w:val="-2"/>
                <w:sz w:val="19"/>
              </w:rPr>
              <w:t>NEAP/ </w:t>
            </w:r>
            <w:r>
              <w:rPr>
                <w:b/>
                <w:color w:val="FFFFFF"/>
                <w:spacing w:val="-8"/>
                <w:sz w:val="19"/>
              </w:rPr>
              <w:t>MEHRD</w:t>
            </w:r>
          </w:p>
          <w:p>
            <w:pPr>
              <w:pStyle w:val="TableParagraph"/>
              <w:spacing w:line="215" w:lineRule="exact"/>
              <w:ind w:left="199"/>
              <w:rPr>
                <w:b/>
                <w:sz w:val="19"/>
              </w:rPr>
            </w:pPr>
            <w:r>
              <w:rPr>
                <w:b/>
                <w:color w:val="FFFFFF"/>
                <w:spacing w:val="-4"/>
                <w:sz w:val="19"/>
              </w:rPr>
              <w:t>AWP</w:t>
            </w:r>
            <w:r>
              <w:rPr>
                <w:b/>
                <w:color w:val="FFFFFF"/>
                <w:spacing w:val="-4"/>
                <w:sz w:val="19"/>
                <w:vertAlign w:val="superscript"/>
              </w:rPr>
              <w:t>25</w:t>
            </w:r>
          </w:p>
        </w:tc>
        <w:tc>
          <w:tcPr>
            <w:tcW w:w="1132" w:type="dxa"/>
            <w:tcBorders>
              <w:top w:val="nil"/>
              <w:left w:val="nil"/>
              <w:bottom w:val="nil"/>
              <w:right w:val="nil"/>
            </w:tcBorders>
            <w:shd w:val="clear" w:color="auto" w:fill="4471C4"/>
          </w:tcPr>
          <w:p>
            <w:pPr>
              <w:pStyle w:val="TableParagraph"/>
              <w:spacing w:line="231" w:lineRule="exact" w:before="11"/>
              <w:ind w:left="193" w:right="183"/>
              <w:jc w:val="center"/>
              <w:rPr>
                <w:b/>
                <w:sz w:val="19"/>
              </w:rPr>
            </w:pPr>
            <w:r>
              <w:rPr>
                <w:b/>
                <w:color w:val="FFFFFF"/>
                <w:spacing w:val="-4"/>
                <w:sz w:val="19"/>
              </w:rPr>
              <w:t>MELP</w:t>
            </w:r>
          </w:p>
          <w:p>
            <w:pPr>
              <w:pStyle w:val="TableParagraph"/>
              <w:spacing w:line="231" w:lineRule="exact"/>
              <w:ind w:left="193" w:right="184"/>
              <w:jc w:val="center"/>
              <w:rPr>
                <w:b/>
                <w:sz w:val="19"/>
              </w:rPr>
            </w:pPr>
            <w:r>
              <w:rPr>
                <w:b/>
                <w:color w:val="FFFFFF"/>
                <w:spacing w:val="-2"/>
                <w:sz w:val="19"/>
              </w:rPr>
              <w:t>Outcome</w:t>
            </w:r>
          </w:p>
          <w:p>
            <w:pPr>
              <w:pStyle w:val="TableParagraph"/>
              <w:spacing w:line="216" w:lineRule="exact" w:before="1"/>
              <w:ind w:left="193" w:right="182"/>
              <w:jc w:val="center"/>
              <w:rPr>
                <w:b/>
                <w:sz w:val="19"/>
              </w:rPr>
            </w:pPr>
            <w:r>
              <w:rPr>
                <w:b/>
                <w:color w:val="FFFFFF"/>
                <w:spacing w:val="-2"/>
                <w:sz w:val="19"/>
              </w:rPr>
              <w:t>areas</w:t>
            </w:r>
          </w:p>
        </w:tc>
        <w:tc>
          <w:tcPr>
            <w:tcW w:w="4253" w:type="dxa"/>
            <w:tcBorders>
              <w:top w:val="nil"/>
              <w:left w:val="nil"/>
              <w:bottom w:val="nil"/>
              <w:right w:val="nil"/>
            </w:tcBorders>
            <w:shd w:val="clear" w:color="auto" w:fill="4471C4"/>
          </w:tcPr>
          <w:p>
            <w:pPr>
              <w:pStyle w:val="TableParagraph"/>
              <w:spacing w:before="11"/>
              <w:ind w:left="1781" w:hanging="1487"/>
              <w:rPr>
                <w:b/>
                <w:sz w:val="19"/>
              </w:rPr>
            </w:pPr>
            <w:r>
              <w:rPr>
                <w:b/>
                <w:color w:val="FFFFFF"/>
                <w:sz w:val="19"/>
              </w:rPr>
              <w:t>2018</w:t>
            </w:r>
            <w:r>
              <w:rPr>
                <w:b/>
                <w:color w:val="FFFFFF"/>
                <w:spacing w:val="-11"/>
                <w:sz w:val="19"/>
              </w:rPr>
              <w:t> </w:t>
            </w:r>
            <w:r>
              <w:rPr>
                <w:b/>
                <w:color w:val="FFFFFF"/>
                <w:sz w:val="19"/>
              </w:rPr>
              <w:t>Indicators/AWP</w:t>
            </w:r>
            <w:r>
              <w:rPr>
                <w:b/>
                <w:color w:val="FFFFFF"/>
                <w:spacing w:val="-11"/>
                <w:sz w:val="19"/>
              </w:rPr>
              <w:t> </w:t>
            </w:r>
            <w:r>
              <w:rPr>
                <w:b/>
                <w:color w:val="FFFFFF"/>
                <w:sz w:val="19"/>
              </w:rPr>
              <w:t>outputs</w:t>
            </w:r>
            <w:r>
              <w:rPr>
                <w:b/>
                <w:color w:val="FFFFFF"/>
                <w:spacing w:val="-10"/>
                <w:sz w:val="19"/>
              </w:rPr>
              <w:t> </w:t>
            </w:r>
            <w:r>
              <w:rPr>
                <w:b/>
                <w:color w:val="FFFFFF"/>
                <w:sz w:val="19"/>
              </w:rPr>
              <w:t>for</w:t>
            </w:r>
            <w:r>
              <w:rPr>
                <w:b/>
                <w:color w:val="FFFFFF"/>
                <w:spacing w:val="-11"/>
                <w:sz w:val="19"/>
              </w:rPr>
              <w:t> </w:t>
            </w:r>
            <w:r>
              <w:rPr>
                <w:b/>
                <w:color w:val="FFFFFF"/>
                <w:sz w:val="19"/>
              </w:rPr>
              <w:t>Performance </w:t>
            </w:r>
            <w:r>
              <w:rPr>
                <w:b/>
                <w:color w:val="FFFFFF"/>
                <w:spacing w:val="-2"/>
                <w:sz w:val="19"/>
              </w:rPr>
              <w:t>Payment</w:t>
            </w:r>
          </w:p>
        </w:tc>
        <w:tc>
          <w:tcPr>
            <w:tcW w:w="993" w:type="dxa"/>
            <w:tcBorders>
              <w:top w:val="nil"/>
              <w:left w:val="nil"/>
              <w:bottom w:val="nil"/>
              <w:right w:val="nil"/>
            </w:tcBorders>
            <w:shd w:val="clear" w:color="auto" w:fill="4471C4"/>
          </w:tcPr>
          <w:p>
            <w:pPr>
              <w:pStyle w:val="TableParagraph"/>
              <w:spacing w:before="8"/>
              <w:ind w:left="134"/>
              <w:rPr>
                <w:b/>
                <w:sz w:val="16"/>
              </w:rPr>
            </w:pPr>
            <w:r>
              <w:rPr>
                <w:b/>
                <w:color w:val="FFFFFF"/>
                <w:spacing w:val="-2"/>
                <w:sz w:val="16"/>
              </w:rPr>
              <w:t>Responsible</w:t>
            </w:r>
          </w:p>
        </w:tc>
        <w:tc>
          <w:tcPr>
            <w:tcW w:w="3684" w:type="dxa"/>
            <w:tcBorders>
              <w:top w:val="nil"/>
              <w:left w:val="nil"/>
            </w:tcBorders>
            <w:shd w:val="clear" w:color="auto" w:fill="4471C4"/>
          </w:tcPr>
          <w:p>
            <w:pPr>
              <w:pStyle w:val="TableParagraph"/>
              <w:spacing w:before="11"/>
              <w:ind w:left="706"/>
              <w:rPr>
                <w:b/>
                <w:sz w:val="19"/>
              </w:rPr>
            </w:pPr>
            <w:r>
              <w:rPr>
                <w:b/>
                <w:color w:val="FFFFFF"/>
                <w:sz w:val="19"/>
              </w:rPr>
              <w:t>Expected</w:t>
            </w:r>
            <w:r>
              <w:rPr>
                <w:b/>
                <w:color w:val="FFFFFF"/>
                <w:spacing w:val="-9"/>
                <w:sz w:val="19"/>
              </w:rPr>
              <w:t> </w:t>
            </w:r>
            <w:r>
              <w:rPr>
                <w:b/>
                <w:color w:val="FFFFFF"/>
                <w:sz w:val="19"/>
              </w:rPr>
              <w:t>Results</w:t>
            </w:r>
            <w:r>
              <w:rPr>
                <w:b/>
                <w:color w:val="FFFFFF"/>
                <w:spacing w:val="-10"/>
                <w:sz w:val="19"/>
              </w:rPr>
              <w:t> </w:t>
            </w:r>
            <w:r>
              <w:rPr>
                <w:b/>
                <w:color w:val="FFFFFF"/>
                <w:spacing w:val="-2"/>
                <w:sz w:val="19"/>
              </w:rPr>
              <w:t>Statements</w:t>
            </w:r>
          </w:p>
        </w:tc>
        <w:tc>
          <w:tcPr>
            <w:tcW w:w="3120" w:type="dxa"/>
            <w:tcBorders>
              <w:top w:val="nil"/>
            </w:tcBorders>
            <w:shd w:val="clear" w:color="auto" w:fill="4471C4"/>
          </w:tcPr>
          <w:p>
            <w:pPr>
              <w:pStyle w:val="TableParagraph"/>
              <w:spacing w:before="11"/>
              <w:ind w:left="1074" w:right="1063"/>
              <w:jc w:val="center"/>
              <w:rPr>
                <w:b/>
                <w:sz w:val="19"/>
              </w:rPr>
            </w:pPr>
            <w:r>
              <w:rPr>
                <w:b/>
                <w:color w:val="FFFFFF"/>
                <w:sz w:val="19"/>
              </w:rPr>
              <w:t>Data</w:t>
            </w:r>
            <w:r>
              <w:rPr>
                <w:b/>
                <w:color w:val="FFFFFF"/>
                <w:spacing w:val="-8"/>
                <w:sz w:val="19"/>
              </w:rPr>
              <w:t> </w:t>
            </w:r>
            <w:r>
              <w:rPr>
                <w:b/>
                <w:color w:val="FFFFFF"/>
                <w:spacing w:val="-2"/>
                <w:sz w:val="19"/>
              </w:rPr>
              <w:t>Source</w:t>
            </w:r>
          </w:p>
        </w:tc>
      </w:tr>
      <w:tr>
        <w:trPr>
          <w:trHeight w:val="1831" w:hRule="atLeast"/>
        </w:trPr>
        <w:tc>
          <w:tcPr>
            <w:tcW w:w="816" w:type="dxa"/>
            <w:tcBorders>
              <w:top w:val="nil"/>
            </w:tcBorders>
          </w:tcPr>
          <w:p>
            <w:pPr>
              <w:pStyle w:val="TableParagraph"/>
              <w:spacing w:line="216" w:lineRule="exact"/>
              <w:ind w:left="107"/>
              <w:rPr>
                <w:b/>
                <w:sz w:val="18"/>
              </w:rPr>
            </w:pPr>
            <w:r>
              <w:rPr>
                <w:b/>
                <w:spacing w:val="-2"/>
                <w:sz w:val="18"/>
              </w:rPr>
              <w:t>Access</w:t>
            </w:r>
          </w:p>
        </w:tc>
        <w:tc>
          <w:tcPr>
            <w:tcW w:w="880" w:type="dxa"/>
            <w:tcBorders>
              <w:top w:val="nil"/>
            </w:tcBorders>
          </w:tcPr>
          <w:p>
            <w:pPr>
              <w:pStyle w:val="TableParagraph"/>
              <w:spacing w:line="237" w:lineRule="auto"/>
              <w:ind w:left="108" w:right="317"/>
              <w:rPr>
                <w:sz w:val="18"/>
              </w:rPr>
            </w:pPr>
            <w:r>
              <w:rPr>
                <w:spacing w:val="-2"/>
                <w:sz w:val="18"/>
              </w:rPr>
              <w:t>EO1.2</w:t>
            </w:r>
            <w:r>
              <w:rPr>
                <w:sz w:val="18"/>
              </w:rPr>
              <w:t> </w:t>
            </w:r>
            <w:r>
              <w:rPr>
                <w:spacing w:val="-2"/>
                <w:sz w:val="18"/>
              </w:rPr>
              <w:t>(TBA)</w:t>
            </w:r>
          </w:p>
        </w:tc>
        <w:tc>
          <w:tcPr>
            <w:tcW w:w="1132" w:type="dxa"/>
            <w:tcBorders>
              <w:top w:val="nil"/>
            </w:tcBorders>
          </w:tcPr>
          <w:p>
            <w:pPr>
              <w:pStyle w:val="TableParagraph"/>
              <w:spacing w:line="215" w:lineRule="exact"/>
              <w:ind w:left="109"/>
              <w:rPr>
                <w:sz w:val="18"/>
              </w:rPr>
            </w:pPr>
            <w:r>
              <w:rPr>
                <w:spacing w:val="-5"/>
                <w:sz w:val="18"/>
              </w:rPr>
              <w:t>1.1</w:t>
            </w:r>
          </w:p>
          <w:p>
            <w:pPr>
              <w:pStyle w:val="TableParagraph"/>
              <w:ind w:left="109" w:right="135"/>
              <w:rPr>
                <w:sz w:val="18"/>
              </w:rPr>
            </w:pPr>
            <w:r>
              <w:rPr>
                <w:spacing w:val="-2"/>
                <w:sz w:val="18"/>
              </w:rPr>
              <w:t>Transition</w:t>
            </w:r>
            <w:r>
              <w:rPr>
                <w:sz w:val="18"/>
              </w:rPr>
              <w:t> rates</w:t>
            </w:r>
            <w:r>
              <w:rPr>
                <w:spacing w:val="-2"/>
                <w:sz w:val="18"/>
              </w:rPr>
              <w:t> </w:t>
            </w:r>
            <w:r>
              <w:rPr>
                <w:sz w:val="18"/>
              </w:rPr>
              <w:t>by level</w:t>
            </w:r>
            <w:r>
              <w:rPr>
                <w:spacing w:val="-2"/>
                <w:sz w:val="18"/>
              </w:rPr>
              <w:t> </w:t>
            </w:r>
            <w:r>
              <w:rPr>
                <w:sz w:val="18"/>
              </w:rPr>
              <w:t>and </w:t>
            </w:r>
            <w:r>
              <w:rPr>
                <w:spacing w:val="-2"/>
                <w:sz w:val="18"/>
              </w:rPr>
              <w:t>gender</w:t>
            </w:r>
          </w:p>
        </w:tc>
        <w:tc>
          <w:tcPr>
            <w:tcW w:w="4253" w:type="dxa"/>
            <w:tcBorders>
              <w:top w:val="nil"/>
            </w:tcBorders>
          </w:tcPr>
          <w:p>
            <w:pPr>
              <w:pStyle w:val="TableParagraph"/>
              <w:numPr>
                <w:ilvl w:val="2"/>
                <w:numId w:val="10"/>
              </w:numPr>
              <w:tabs>
                <w:tab w:pos="557" w:val="left" w:leader="none"/>
              </w:tabs>
              <w:spacing w:line="240" w:lineRule="auto" w:before="0" w:after="0"/>
              <w:ind w:left="109" w:right="118" w:firstLine="0"/>
              <w:jc w:val="left"/>
              <w:rPr>
                <w:sz w:val="18"/>
              </w:rPr>
            </w:pPr>
            <w:r>
              <w:rPr>
                <w:sz w:val="18"/>
              </w:rPr>
              <w:t>By the end of 2018, the SISE Phase-out Committee has costed plan in place to cater for increased enrolments in years 7 and 10</w:t>
            </w:r>
            <w:r>
              <w:rPr>
                <w:spacing w:val="40"/>
                <w:sz w:val="18"/>
              </w:rPr>
              <w:t> </w:t>
            </w:r>
            <w:r>
              <w:rPr>
                <w:sz w:val="18"/>
              </w:rPr>
              <w:t>and alternative</w:t>
            </w:r>
            <w:r>
              <w:rPr>
                <w:spacing w:val="-7"/>
                <w:sz w:val="18"/>
              </w:rPr>
              <w:t> </w:t>
            </w:r>
            <w:r>
              <w:rPr>
                <w:sz w:val="18"/>
              </w:rPr>
              <w:t>placement</w:t>
            </w:r>
            <w:r>
              <w:rPr>
                <w:spacing w:val="-6"/>
                <w:sz w:val="18"/>
              </w:rPr>
              <w:t> </w:t>
            </w:r>
            <w:r>
              <w:rPr>
                <w:sz w:val="18"/>
              </w:rPr>
              <w:t>method</w:t>
            </w:r>
            <w:r>
              <w:rPr>
                <w:spacing w:val="-7"/>
                <w:sz w:val="18"/>
              </w:rPr>
              <w:t> </w:t>
            </w:r>
            <w:r>
              <w:rPr>
                <w:sz w:val="18"/>
              </w:rPr>
              <w:t>and</w:t>
            </w:r>
            <w:r>
              <w:rPr>
                <w:spacing w:val="-7"/>
                <w:sz w:val="18"/>
              </w:rPr>
              <w:t> </w:t>
            </w:r>
            <w:r>
              <w:rPr>
                <w:sz w:val="18"/>
              </w:rPr>
              <w:t>plan</w:t>
            </w:r>
            <w:r>
              <w:rPr>
                <w:spacing w:val="-6"/>
                <w:sz w:val="18"/>
              </w:rPr>
              <w:t> </w:t>
            </w:r>
            <w:r>
              <w:rPr>
                <w:sz w:val="18"/>
              </w:rPr>
              <w:t>socialised</w:t>
            </w:r>
            <w:r>
              <w:rPr>
                <w:spacing w:val="-7"/>
                <w:sz w:val="18"/>
              </w:rPr>
              <w:t> </w:t>
            </w:r>
            <w:r>
              <w:rPr>
                <w:sz w:val="18"/>
              </w:rPr>
              <w:t>with </w:t>
            </w:r>
            <w:r>
              <w:rPr>
                <w:spacing w:val="-4"/>
                <w:sz w:val="18"/>
              </w:rPr>
              <w:t>EAs</w:t>
            </w:r>
          </w:p>
          <w:p>
            <w:pPr>
              <w:pStyle w:val="TableParagraph"/>
              <w:spacing w:before="8"/>
              <w:rPr>
                <w:sz w:val="17"/>
              </w:rPr>
            </w:pPr>
          </w:p>
          <w:p>
            <w:pPr>
              <w:pStyle w:val="TableParagraph"/>
              <w:numPr>
                <w:ilvl w:val="2"/>
                <w:numId w:val="10"/>
              </w:numPr>
              <w:tabs>
                <w:tab w:pos="598" w:val="left" w:leader="none"/>
              </w:tabs>
              <w:spacing w:line="240" w:lineRule="auto" w:before="0" w:after="0"/>
              <w:ind w:left="597" w:right="0" w:hanging="489"/>
              <w:jc w:val="left"/>
              <w:rPr>
                <w:sz w:val="18"/>
              </w:rPr>
            </w:pPr>
            <w:r>
              <w:rPr>
                <w:sz w:val="18"/>
              </w:rPr>
              <w:t>Transition</w:t>
            </w:r>
            <w:r>
              <w:rPr>
                <w:spacing w:val="-4"/>
                <w:sz w:val="18"/>
              </w:rPr>
              <w:t> </w:t>
            </w:r>
            <w:r>
              <w:rPr>
                <w:sz w:val="18"/>
              </w:rPr>
              <w:t>Rates</w:t>
            </w:r>
            <w:r>
              <w:rPr>
                <w:spacing w:val="-2"/>
                <w:sz w:val="18"/>
              </w:rPr>
              <w:t> </w:t>
            </w:r>
            <w:r>
              <w:rPr>
                <w:sz w:val="18"/>
              </w:rPr>
              <w:t>for</w:t>
            </w:r>
            <w:r>
              <w:rPr>
                <w:spacing w:val="-1"/>
                <w:sz w:val="18"/>
              </w:rPr>
              <w:t> </w:t>
            </w:r>
            <w:r>
              <w:rPr>
                <w:sz w:val="18"/>
              </w:rPr>
              <w:t>year</w:t>
            </w:r>
            <w:r>
              <w:rPr>
                <w:spacing w:val="-2"/>
                <w:sz w:val="18"/>
              </w:rPr>
              <w:t> </w:t>
            </w:r>
            <w:r>
              <w:rPr>
                <w:sz w:val="18"/>
              </w:rPr>
              <w:t>6</w:t>
            </w:r>
            <w:r>
              <w:rPr>
                <w:spacing w:val="1"/>
                <w:sz w:val="18"/>
              </w:rPr>
              <w:t> </w:t>
            </w:r>
            <w:r>
              <w:rPr>
                <w:sz w:val="18"/>
              </w:rPr>
              <w:t>to</w:t>
            </w:r>
            <w:r>
              <w:rPr>
                <w:spacing w:val="-1"/>
                <w:sz w:val="18"/>
              </w:rPr>
              <w:t> </w:t>
            </w:r>
            <w:r>
              <w:rPr>
                <w:sz w:val="18"/>
              </w:rPr>
              <w:t>7</w:t>
            </w:r>
            <w:r>
              <w:rPr>
                <w:spacing w:val="-1"/>
                <w:sz w:val="18"/>
              </w:rPr>
              <w:t> </w:t>
            </w:r>
            <w:r>
              <w:rPr>
                <w:sz w:val="18"/>
              </w:rPr>
              <w:t>and</w:t>
            </w:r>
            <w:r>
              <w:rPr>
                <w:spacing w:val="-2"/>
                <w:sz w:val="18"/>
              </w:rPr>
              <w:t> </w:t>
            </w:r>
            <w:r>
              <w:rPr>
                <w:sz w:val="18"/>
              </w:rPr>
              <w:t>year</w:t>
            </w:r>
            <w:r>
              <w:rPr>
                <w:spacing w:val="-2"/>
                <w:sz w:val="18"/>
              </w:rPr>
              <w:t> </w:t>
            </w:r>
            <w:r>
              <w:rPr>
                <w:sz w:val="18"/>
              </w:rPr>
              <w:t>9</w:t>
            </w:r>
            <w:r>
              <w:rPr>
                <w:spacing w:val="-1"/>
                <w:sz w:val="18"/>
              </w:rPr>
              <w:t> </w:t>
            </w:r>
            <w:r>
              <w:rPr>
                <w:sz w:val="18"/>
              </w:rPr>
              <w:t>to </w:t>
            </w:r>
            <w:r>
              <w:rPr>
                <w:spacing w:val="-5"/>
                <w:sz w:val="18"/>
              </w:rPr>
              <w:t>10</w:t>
            </w:r>
          </w:p>
          <w:p>
            <w:pPr>
              <w:pStyle w:val="TableParagraph"/>
              <w:spacing w:before="1"/>
              <w:ind w:left="109"/>
              <w:rPr>
                <w:sz w:val="18"/>
              </w:rPr>
            </w:pPr>
            <w:r>
              <w:rPr>
                <w:sz w:val="18"/>
              </w:rPr>
              <w:t>from</w:t>
            </w:r>
            <w:r>
              <w:rPr>
                <w:spacing w:val="-4"/>
                <w:sz w:val="18"/>
              </w:rPr>
              <w:t> </w:t>
            </w:r>
            <w:r>
              <w:rPr>
                <w:sz w:val="18"/>
              </w:rPr>
              <w:t>2017</w:t>
            </w:r>
            <w:r>
              <w:rPr>
                <w:spacing w:val="-1"/>
                <w:sz w:val="18"/>
              </w:rPr>
              <w:t> </w:t>
            </w:r>
            <w:r>
              <w:rPr>
                <w:sz w:val="18"/>
              </w:rPr>
              <w:t>to</w:t>
            </w:r>
            <w:r>
              <w:rPr>
                <w:spacing w:val="-1"/>
                <w:sz w:val="18"/>
              </w:rPr>
              <w:t> </w:t>
            </w:r>
            <w:r>
              <w:rPr>
                <w:sz w:val="18"/>
              </w:rPr>
              <w:t>2018</w:t>
            </w:r>
            <w:r>
              <w:rPr>
                <w:spacing w:val="-2"/>
                <w:sz w:val="18"/>
              </w:rPr>
              <w:t> </w:t>
            </w:r>
            <w:r>
              <w:rPr>
                <w:sz w:val="18"/>
              </w:rPr>
              <w:t>show</w:t>
            </w:r>
            <w:r>
              <w:rPr>
                <w:spacing w:val="-1"/>
                <w:sz w:val="18"/>
              </w:rPr>
              <w:t> </w:t>
            </w:r>
            <w:r>
              <w:rPr>
                <w:sz w:val="18"/>
              </w:rPr>
              <w:t>an</w:t>
            </w:r>
            <w:r>
              <w:rPr>
                <w:spacing w:val="-1"/>
                <w:sz w:val="18"/>
              </w:rPr>
              <w:t> </w:t>
            </w:r>
            <w:r>
              <w:rPr>
                <w:sz w:val="18"/>
              </w:rPr>
              <w:t>increase</w:t>
            </w:r>
            <w:r>
              <w:rPr>
                <w:spacing w:val="-2"/>
                <w:sz w:val="18"/>
              </w:rPr>
              <w:t> </w:t>
            </w:r>
            <w:r>
              <w:rPr>
                <w:sz w:val="18"/>
              </w:rPr>
              <w:t>over</w:t>
            </w:r>
            <w:r>
              <w:rPr>
                <w:spacing w:val="-1"/>
                <w:sz w:val="18"/>
              </w:rPr>
              <w:t> </w:t>
            </w:r>
            <w:r>
              <w:rPr>
                <w:sz w:val="18"/>
              </w:rPr>
              <w:t>2016-</w:t>
            </w:r>
            <w:r>
              <w:rPr>
                <w:spacing w:val="-4"/>
                <w:sz w:val="18"/>
              </w:rPr>
              <w:t>2017</w:t>
            </w:r>
          </w:p>
        </w:tc>
        <w:tc>
          <w:tcPr>
            <w:tcW w:w="993" w:type="dxa"/>
            <w:tcBorders>
              <w:top w:val="nil"/>
            </w:tcBorders>
          </w:tcPr>
          <w:p>
            <w:pPr>
              <w:pStyle w:val="TableParagraph"/>
              <w:spacing w:line="216" w:lineRule="exact"/>
              <w:ind w:left="110"/>
              <w:rPr>
                <w:sz w:val="18"/>
              </w:rPr>
            </w:pPr>
            <w:r>
              <w:rPr>
                <w:spacing w:val="-4"/>
                <w:sz w:val="18"/>
              </w:rPr>
              <w:t>NEAD</w:t>
            </w:r>
          </w:p>
        </w:tc>
        <w:tc>
          <w:tcPr>
            <w:tcW w:w="3684" w:type="dxa"/>
          </w:tcPr>
          <w:p>
            <w:pPr>
              <w:pStyle w:val="TableParagraph"/>
              <w:numPr>
                <w:ilvl w:val="0"/>
                <w:numId w:val="11"/>
              </w:numPr>
              <w:tabs>
                <w:tab w:pos="471" w:val="left" w:leader="none"/>
                <w:tab w:pos="472" w:val="left" w:leader="none"/>
              </w:tabs>
              <w:spacing w:line="223" w:lineRule="exact" w:before="0" w:after="0"/>
              <w:ind w:left="471" w:right="0" w:hanging="361"/>
              <w:jc w:val="left"/>
              <w:rPr>
                <w:sz w:val="18"/>
              </w:rPr>
            </w:pPr>
            <w:r>
              <w:rPr>
                <w:sz w:val="18"/>
              </w:rPr>
              <w:t>Quality</w:t>
            </w:r>
            <w:r>
              <w:rPr>
                <w:spacing w:val="-2"/>
                <w:sz w:val="18"/>
              </w:rPr>
              <w:t> </w:t>
            </w:r>
            <w:r>
              <w:rPr>
                <w:sz w:val="18"/>
              </w:rPr>
              <w:t>costed</w:t>
            </w:r>
            <w:r>
              <w:rPr>
                <w:spacing w:val="-3"/>
                <w:sz w:val="18"/>
              </w:rPr>
              <w:t> </w:t>
            </w:r>
            <w:r>
              <w:rPr>
                <w:sz w:val="18"/>
              </w:rPr>
              <w:t>plan</w:t>
            </w:r>
            <w:r>
              <w:rPr>
                <w:spacing w:val="-2"/>
                <w:sz w:val="18"/>
              </w:rPr>
              <w:t> (30%)</w:t>
            </w:r>
          </w:p>
          <w:p>
            <w:pPr>
              <w:pStyle w:val="TableParagraph"/>
              <w:numPr>
                <w:ilvl w:val="0"/>
                <w:numId w:val="11"/>
              </w:numPr>
              <w:tabs>
                <w:tab w:pos="471" w:val="left" w:leader="none"/>
                <w:tab w:pos="472" w:val="left" w:leader="none"/>
              </w:tabs>
              <w:spacing w:line="240" w:lineRule="auto" w:before="39" w:after="0"/>
              <w:ind w:left="471" w:right="0" w:hanging="361"/>
              <w:jc w:val="left"/>
              <w:rPr>
                <w:sz w:val="18"/>
              </w:rPr>
            </w:pPr>
            <w:r>
              <w:rPr>
                <w:sz w:val="18"/>
              </w:rPr>
              <w:t>SMT</w:t>
            </w:r>
            <w:r>
              <w:rPr>
                <w:spacing w:val="-2"/>
                <w:sz w:val="18"/>
              </w:rPr>
              <w:t> </w:t>
            </w:r>
            <w:r>
              <w:rPr>
                <w:sz w:val="18"/>
              </w:rPr>
              <w:t>Minute</w:t>
            </w:r>
            <w:r>
              <w:rPr>
                <w:spacing w:val="-3"/>
                <w:sz w:val="18"/>
              </w:rPr>
              <w:t> </w:t>
            </w:r>
            <w:r>
              <w:rPr>
                <w:sz w:val="18"/>
              </w:rPr>
              <w:t>endorsing</w:t>
            </w:r>
            <w:r>
              <w:rPr>
                <w:spacing w:val="-2"/>
                <w:sz w:val="18"/>
              </w:rPr>
              <w:t> </w:t>
            </w:r>
            <w:r>
              <w:rPr>
                <w:sz w:val="18"/>
              </w:rPr>
              <w:t>plan</w:t>
            </w:r>
            <w:r>
              <w:rPr>
                <w:spacing w:val="-2"/>
                <w:sz w:val="18"/>
              </w:rPr>
              <w:t> (50%)</w:t>
            </w:r>
          </w:p>
          <w:p>
            <w:pPr>
              <w:pStyle w:val="TableParagraph"/>
              <w:numPr>
                <w:ilvl w:val="0"/>
                <w:numId w:val="11"/>
              </w:numPr>
              <w:tabs>
                <w:tab w:pos="471" w:val="left" w:leader="none"/>
                <w:tab w:pos="472" w:val="left" w:leader="none"/>
              </w:tabs>
              <w:spacing w:line="240" w:lineRule="auto" w:before="42" w:after="0"/>
              <w:ind w:left="471" w:right="0" w:hanging="361"/>
              <w:jc w:val="left"/>
              <w:rPr>
                <w:sz w:val="18"/>
              </w:rPr>
            </w:pPr>
            <w:r>
              <w:rPr>
                <w:sz w:val="18"/>
              </w:rPr>
              <w:t>EAs</w:t>
            </w:r>
            <w:r>
              <w:rPr>
                <w:spacing w:val="-5"/>
                <w:sz w:val="18"/>
              </w:rPr>
              <w:t> </w:t>
            </w:r>
            <w:r>
              <w:rPr>
                <w:sz w:val="18"/>
              </w:rPr>
              <w:t>socialisation</w:t>
            </w:r>
            <w:r>
              <w:rPr>
                <w:spacing w:val="-5"/>
                <w:sz w:val="18"/>
              </w:rPr>
              <w:t> </w:t>
            </w:r>
            <w:r>
              <w:rPr>
                <w:sz w:val="18"/>
              </w:rPr>
              <w:t>completed</w:t>
            </w:r>
            <w:r>
              <w:rPr>
                <w:spacing w:val="-4"/>
                <w:sz w:val="18"/>
              </w:rPr>
              <w:t> (10%)</w:t>
            </w:r>
          </w:p>
          <w:p>
            <w:pPr>
              <w:pStyle w:val="TableParagraph"/>
              <w:numPr>
                <w:ilvl w:val="0"/>
                <w:numId w:val="11"/>
              </w:numPr>
              <w:tabs>
                <w:tab w:pos="471" w:val="left" w:leader="none"/>
                <w:tab w:pos="472" w:val="left" w:leader="none"/>
              </w:tabs>
              <w:spacing w:line="240" w:lineRule="auto" w:before="40" w:after="0"/>
              <w:ind w:left="471" w:right="374" w:hanging="360"/>
              <w:jc w:val="left"/>
              <w:rPr>
                <w:sz w:val="18"/>
              </w:rPr>
            </w:pPr>
            <w:r>
              <w:rPr>
                <w:sz w:val="18"/>
              </w:rPr>
              <w:t>Transition</w:t>
            </w:r>
            <w:r>
              <w:rPr>
                <w:spacing w:val="-9"/>
                <w:sz w:val="18"/>
              </w:rPr>
              <w:t> </w:t>
            </w:r>
            <w:r>
              <w:rPr>
                <w:sz w:val="18"/>
              </w:rPr>
              <w:t>Rates</w:t>
            </w:r>
            <w:r>
              <w:rPr>
                <w:spacing w:val="-9"/>
                <w:sz w:val="18"/>
              </w:rPr>
              <w:t> </w:t>
            </w:r>
            <w:r>
              <w:rPr>
                <w:sz w:val="18"/>
              </w:rPr>
              <w:t>increase</w:t>
            </w:r>
            <w:r>
              <w:rPr>
                <w:spacing w:val="-9"/>
                <w:sz w:val="18"/>
              </w:rPr>
              <w:t> </w:t>
            </w:r>
            <w:r>
              <w:rPr>
                <w:sz w:val="18"/>
              </w:rPr>
              <w:t>(10%)</w:t>
            </w:r>
            <w:r>
              <w:rPr>
                <w:spacing w:val="-8"/>
                <w:sz w:val="18"/>
              </w:rPr>
              <w:t> </w:t>
            </w:r>
            <w:r>
              <w:rPr>
                <w:sz w:val="18"/>
              </w:rPr>
              <w:t>(as</w:t>
            </w:r>
            <w:r>
              <w:rPr>
                <w:spacing w:val="-9"/>
                <w:sz w:val="18"/>
              </w:rPr>
              <w:t> </w:t>
            </w:r>
            <w:r>
              <w:rPr>
                <w:sz w:val="18"/>
              </w:rPr>
              <w:t>per Annual Report 2018)</w:t>
            </w:r>
          </w:p>
        </w:tc>
        <w:tc>
          <w:tcPr>
            <w:tcW w:w="3120" w:type="dxa"/>
          </w:tcPr>
          <w:p>
            <w:pPr>
              <w:pStyle w:val="TableParagraph"/>
              <w:numPr>
                <w:ilvl w:val="0"/>
                <w:numId w:val="12"/>
              </w:numPr>
              <w:tabs>
                <w:tab w:pos="471" w:val="left" w:leader="none"/>
                <w:tab w:pos="472" w:val="left" w:leader="none"/>
              </w:tabs>
              <w:spacing w:line="237" w:lineRule="auto" w:before="0" w:after="0"/>
              <w:ind w:left="471" w:right="268" w:hanging="360"/>
              <w:jc w:val="left"/>
              <w:rPr>
                <w:sz w:val="18"/>
              </w:rPr>
            </w:pPr>
            <w:r>
              <w:rPr>
                <w:sz w:val="18"/>
              </w:rPr>
              <w:t>Quarterly</w:t>
            </w:r>
            <w:r>
              <w:rPr>
                <w:spacing w:val="-10"/>
                <w:sz w:val="18"/>
              </w:rPr>
              <w:t> </w:t>
            </w:r>
            <w:r>
              <w:rPr>
                <w:sz w:val="18"/>
              </w:rPr>
              <w:t>Progress</w:t>
            </w:r>
            <w:r>
              <w:rPr>
                <w:spacing w:val="-10"/>
                <w:sz w:val="18"/>
              </w:rPr>
              <w:t> </w:t>
            </w:r>
            <w:r>
              <w:rPr>
                <w:sz w:val="18"/>
              </w:rPr>
              <w:t>reports</w:t>
            </w:r>
            <w:r>
              <w:rPr>
                <w:spacing w:val="-10"/>
                <w:sz w:val="18"/>
              </w:rPr>
              <w:t> </w:t>
            </w:r>
            <w:r>
              <w:rPr>
                <w:sz w:val="18"/>
              </w:rPr>
              <w:t>–</w:t>
            </w:r>
            <w:r>
              <w:rPr>
                <w:spacing w:val="-10"/>
                <w:sz w:val="18"/>
              </w:rPr>
              <w:t> </w:t>
            </w:r>
            <w:r>
              <w:rPr>
                <w:sz w:val="18"/>
              </w:rPr>
              <w:t>SES Division/Schools</w:t>
            </w:r>
            <w:r>
              <w:rPr>
                <w:spacing w:val="-2"/>
                <w:sz w:val="18"/>
              </w:rPr>
              <w:t> </w:t>
            </w:r>
            <w:r>
              <w:rPr>
                <w:sz w:val="18"/>
              </w:rPr>
              <w:t>Divisions</w:t>
            </w:r>
          </w:p>
          <w:p>
            <w:pPr>
              <w:pStyle w:val="TableParagraph"/>
              <w:numPr>
                <w:ilvl w:val="0"/>
                <w:numId w:val="12"/>
              </w:numPr>
              <w:tabs>
                <w:tab w:pos="471" w:val="left" w:leader="none"/>
                <w:tab w:pos="472" w:val="left" w:leader="none"/>
              </w:tabs>
              <w:spacing w:line="240" w:lineRule="auto" w:before="39" w:after="0"/>
              <w:ind w:left="471" w:right="0" w:hanging="361"/>
              <w:jc w:val="left"/>
              <w:rPr>
                <w:sz w:val="18"/>
              </w:rPr>
            </w:pPr>
            <w:r>
              <w:rPr>
                <w:sz w:val="18"/>
              </w:rPr>
              <w:t>SMT</w:t>
            </w:r>
            <w:r>
              <w:rPr>
                <w:spacing w:val="-2"/>
                <w:sz w:val="18"/>
              </w:rPr>
              <w:t> minutes</w:t>
            </w:r>
          </w:p>
          <w:p>
            <w:pPr>
              <w:pStyle w:val="TableParagraph"/>
              <w:numPr>
                <w:ilvl w:val="0"/>
                <w:numId w:val="12"/>
              </w:numPr>
              <w:tabs>
                <w:tab w:pos="471" w:val="left" w:leader="none"/>
                <w:tab w:pos="472" w:val="left" w:leader="none"/>
              </w:tabs>
              <w:spacing w:line="240" w:lineRule="auto" w:before="39" w:after="0"/>
              <w:ind w:left="471" w:right="0" w:hanging="361"/>
              <w:jc w:val="left"/>
              <w:rPr>
                <w:sz w:val="18"/>
              </w:rPr>
            </w:pPr>
            <w:r>
              <w:rPr>
                <w:sz w:val="18"/>
              </w:rPr>
              <w:t>PAR 2018 </w:t>
            </w:r>
            <w:r>
              <w:rPr>
                <w:spacing w:val="-4"/>
                <w:sz w:val="18"/>
              </w:rPr>
              <w:t>Data</w:t>
            </w:r>
          </w:p>
          <w:p>
            <w:pPr>
              <w:pStyle w:val="TableParagraph"/>
              <w:numPr>
                <w:ilvl w:val="0"/>
                <w:numId w:val="12"/>
              </w:numPr>
              <w:tabs>
                <w:tab w:pos="471" w:val="left" w:leader="none"/>
                <w:tab w:pos="472" w:val="left" w:leader="none"/>
              </w:tabs>
              <w:spacing w:line="240" w:lineRule="auto" w:before="40" w:after="0"/>
              <w:ind w:left="471" w:right="0" w:hanging="361"/>
              <w:jc w:val="left"/>
              <w:rPr>
                <w:sz w:val="18"/>
              </w:rPr>
            </w:pPr>
            <w:r>
              <w:rPr>
                <w:sz w:val="18"/>
              </w:rPr>
              <w:t>Key</w:t>
            </w:r>
            <w:r>
              <w:rPr>
                <w:spacing w:val="-5"/>
                <w:sz w:val="18"/>
              </w:rPr>
              <w:t> </w:t>
            </w:r>
            <w:r>
              <w:rPr>
                <w:sz w:val="18"/>
              </w:rPr>
              <w:t>Output</w:t>
            </w:r>
            <w:r>
              <w:rPr>
                <w:spacing w:val="-2"/>
                <w:sz w:val="18"/>
              </w:rPr>
              <w:t> Report</w:t>
            </w:r>
          </w:p>
          <w:p>
            <w:pPr>
              <w:pStyle w:val="TableParagraph"/>
              <w:numPr>
                <w:ilvl w:val="0"/>
                <w:numId w:val="12"/>
              </w:numPr>
              <w:tabs>
                <w:tab w:pos="471" w:val="left" w:leader="none"/>
                <w:tab w:pos="472" w:val="left" w:leader="none"/>
              </w:tabs>
              <w:spacing w:line="240" w:lineRule="auto" w:before="42" w:after="0"/>
              <w:ind w:left="471" w:right="0" w:hanging="361"/>
              <w:jc w:val="left"/>
              <w:rPr>
                <w:sz w:val="18"/>
              </w:rPr>
            </w:pPr>
            <w:r>
              <w:rPr>
                <w:sz w:val="18"/>
              </w:rPr>
              <w:t>Output</w:t>
            </w:r>
            <w:r>
              <w:rPr>
                <w:spacing w:val="-4"/>
                <w:sz w:val="18"/>
              </w:rPr>
              <w:t> </w:t>
            </w:r>
            <w:r>
              <w:rPr>
                <w:sz w:val="18"/>
              </w:rPr>
              <w:t>Indicator</w:t>
            </w:r>
            <w:r>
              <w:rPr>
                <w:spacing w:val="-2"/>
                <w:sz w:val="18"/>
              </w:rPr>
              <w:t> </w:t>
            </w:r>
            <w:r>
              <w:rPr>
                <w:sz w:val="18"/>
              </w:rPr>
              <w:t>Tracker</w:t>
            </w:r>
            <w:r>
              <w:rPr>
                <w:spacing w:val="-2"/>
                <w:sz w:val="18"/>
              </w:rPr>
              <w:t> </w:t>
            </w:r>
            <w:r>
              <w:rPr>
                <w:spacing w:val="-4"/>
                <w:sz w:val="18"/>
              </w:rPr>
              <w:t>Table</w:t>
            </w:r>
          </w:p>
          <w:p>
            <w:pPr>
              <w:pStyle w:val="TableParagraph"/>
              <w:numPr>
                <w:ilvl w:val="0"/>
                <w:numId w:val="12"/>
              </w:numPr>
              <w:tabs>
                <w:tab w:pos="471" w:val="left" w:leader="none"/>
                <w:tab w:pos="472" w:val="left" w:leader="none"/>
              </w:tabs>
              <w:spacing w:line="240" w:lineRule="auto" w:before="40" w:after="0"/>
              <w:ind w:left="471" w:right="0" w:hanging="361"/>
              <w:jc w:val="left"/>
              <w:rPr>
                <w:sz w:val="18"/>
              </w:rPr>
            </w:pPr>
            <w:r>
              <w:rPr>
                <w:sz w:val="18"/>
              </w:rPr>
              <w:t>Mid</w:t>
            </w:r>
            <w:r>
              <w:rPr>
                <w:spacing w:val="-3"/>
                <w:sz w:val="18"/>
              </w:rPr>
              <w:t> </w:t>
            </w:r>
            <w:r>
              <w:rPr>
                <w:sz w:val="18"/>
              </w:rPr>
              <w:t>NEAP</w:t>
            </w:r>
            <w:r>
              <w:rPr>
                <w:spacing w:val="-2"/>
                <w:sz w:val="18"/>
              </w:rPr>
              <w:t> </w:t>
            </w:r>
            <w:r>
              <w:rPr>
                <w:sz w:val="18"/>
              </w:rPr>
              <w:t>Review</w:t>
            </w:r>
            <w:r>
              <w:rPr>
                <w:spacing w:val="-3"/>
                <w:sz w:val="18"/>
              </w:rPr>
              <w:t> </w:t>
            </w:r>
            <w:r>
              <w:rPr>
                <w:sz w:val="18"/>
              </w:rPr>
              <w:t>Findings</w:t>
            </w:r>
            <w:r>
              <w:rPr>
                <w:spacing w:val="-2"/>
                <w:sz w:val="18"/>
              </w:rPr>
              <w:t> report</w:t>
            </w:r>
          </w:p>
        </w:tc>
      </w:tr>
      <w:tr>
        <w:trPr>
          <w:trHeight w:val="3146" w:hRule="atLeast"/>
        </w:trPr>
        <w:tc>
          <w:tcPr>
            <w:tcW w:w="816" w:type="dxa"/>
          </w:tcPr>
          <w:p>
            <w:pPr>
              <w:pStyle w:val="TableParagraph"/>
              <w:spacing w:before="1"/>
              <w:ind w:left="107"/>
              <w:rPr>
                <w:b/>
                <w:sz w:val="18"/>
              </w:rPr>
            </w:pPr>
            <w:r>
              <w:rPr>
                <w:b/>
                <w:spacing w:val="-2"/>
                <w:sz w:val="18"/>
              </w:rPr>
              <w:t>Access</w:t>
            </w:r>
          </w:p>
        </w:tc>
        <w:tc>
          <w:tcPr>
            <w:tcW w:w="880" w:type="dxa"/>
          </w:tcPr>
          <w:p>
            <w:pPr>
              <w:pStyle w:val="TableParagraph"/>
              <w:spacing w:before="1"/>
              <w:ind w:left="108"/>
              <w:rPr>
                <w:sz w:val="18"/>
              </w:rPr>
            </w:pPr>
            <w:r>
              <w:rPr>
                <w:sz w:val="18"/>
              </w:rPr>
              <w:t>EO1 </w:t>
            </w:r>
            <w:r>
              <w:rPr>
                <w:spacing w:val="-4"/>
                <w:sz w:val="18"/>
              </w:rPr>
              <w:t>(65)</w:t>
            </w:r>
          </w:p>
        </w:tc>
        <w:tc>
          <w:tcPr>
            <w:tcW w:w="1132" w:type="dxa"/>
          </w:tcPr>
          <w:p>
            <w:pPr>
              <w:pStyle w:val="TableParagraph"/>
              <w:spacing w:before="1"/>
              <w:ind w:left="109"/>
              <w:rPr>
                <w:sz w:val="18"/>
              </w:rPr>
            </w:pPr>
            <w:r>
              <w:rPr>
                <w:sz w:val="18"/>
              </w:rPr>
              <w:t>1.2</w:t>
            </w:r>
            <w:r>
              <w:rPr>
                <w:spacing w:val="-11"/>
                <w:sz w:val="18"/>
              </w:rPr>
              <w:t> </w:t>
            </w:r>
            <w:r>
              <w:rPr>
                <w:sz w:val="18"/>
              </w:rPr>
              <w:t>Safe</w:t>
            </w:r>
            <w:r>
              <w:rPr>
                <w:spacing w:val="-10"/>
                <w:sz w:val="18"/>
              </w:rPr>
              <w:t> </w:t>
            </w:r>
            <w:r>
              <w:rPr>
                <w:sz w:val="18"/>
              </w:rPr>
              <w:t>and </w:t>
            </w:r>
            <w:r>
              <w:rPr>
                <w:spacing w:val="-2"/>
                <w:sz w:val="18"/>
              </w:rPr>
              <w:t>equitable</w:t>
            </w:r>
            <w:r>
              <w:rPr>
                <w:sz w:val="18"/>
              </w:rPr>
              <w:t> </w:t>
            </w:r>
            <w:r>
              <w:rPr>
                <w:spacing w:val="-2"/>
                <w:sz w:val="18"/>
              </w:rPr>
              <w:t>access</w:t>
            </w:r>
          </w:p>
        </w:tc>
        <w:tc>
          <w:tcPr>
            <w:tcW w:w="4253" w:type="dxa"/>
          </w:tcPr>
          <w:p>
            <w:pPr>
              <w:pStyle w:val="TableParagraph"/>
              <w:numPr>
                <w:ilvl w:val="2"/>
                <w:numId w:val="13"/>
              </w:numPr>
              <w:tabs>
                <w:tab w:pos="598" w:val="left" w:leader="none"/>
              </w:tabs>
              <w:spacing w:line="240" w:lineRule="auto" w:before="1" w:after="0"/>
              <w:ind w:left="109" w:right="105" w:firstLine="0"/>
              <w:jc w:val="left"/>
              <w:rPr>
                <w:sz w:val="18"/>
              </w:rPr>
            </w:pPr>
            <w:r>
              <w:rPr>
                <w:sz w:val="18"/>
              </w:rPr>
              <w:t>By the end of 2018, Gender Equality in Education</w:t>
            </w:r>
            <w:r>
              <w:rPr>
                <w:spacing w:val="-7"/>
                <w:sz w:val="18"/>
              </w:rPr>
              <w:t> </w:t>
            </w:r>
            <w:r>
              <w:rPr>
                <w:sz w:val="18"/>
              </w:rPr>
              <w:t>Policy</w:t>
            </w:r>
            <w:r>
              <w:rPr>
                <w:spacing w:val="-5"/>
                <w:sz w:val="18"/>
              </w:rPr>
              <w:t> </w:t>
            </w:r>
            <w:r>
              <w:rPr>
                <w:sz w:val="18"/>
              </w:rPr>
              <w:t>–</w:t>
            </w:r>
            <w:r>
              <w:rPr>
                <w:spacing w:val="-7"/>
                <w:sz w:val="18"/>
              </w:rPr>
              <w:t> </w:t>
            </w:r>
            <w:r>
              <w:rPr>
                <w:sz w:val="18"/>
              </w:rPr>
              <w:t>implementation</w:t>
            </w:r>
            <w:r>
              <w:rPr>
                <w:spacing w:val="-7"/>
                <w:sz w:val="18"/>
              </w:rPr>
              <w:t> </w:t>
            </w:r>
            <w:r>
              <w:rPr>
                <w:sz w:val="18"/>
              </w:rPr>
              <w:t>strategy</w:t>
            </w:r>
            <w:r>
              <w:rPr>
                <w:spacing w:val="-6"/>
                <w:sz w:val="18"/>
              </w:rPr>
              <w:t> </w:t>
            </w:r>
            <w:r>
              <w:rPr>
                <w:sz w:val="18"/>
              </w:rPr>
              <w:t>costed</w:t>
            </w:r>
            <w:r>
              <w:rPr>
                <w:spacing w:val="-7"/>
                <w:sz w:val="18"/>
              </w:rPr>
              <w:t> </w:t>
            </w:r>
            <w:r>
              <w:rPr>
                <w:sz w:val="18"/>
              </w:rPr>
              <w:t>and approved by NEB</w:t>
            </w:r>
          </w:p>
          <w:p>
            <w:pPr>
              <w:pStyle w:val="TableParagraph"/>
              <w:spacing w:before="11"/>
              <w:rPr>
                <w:sz w:val="17"/>
              </w:rPr>
            </w:pPr>
          </w:p>
          <w:p>
            <w:pPr>
              <w:pStyle w:val="TableParagraph"/>
              <w:numPr>
                <w:ilvl w:val="2"/>
                <w:numId w:val="13"/>
              </w:numPr>
              <w:tabs>
                <w:tab w:pos="598" w:val="left" w:leader="none"/>
              </w:tabs>
              <w:spacing w:line="240" w:lineRule="auto" w:before="1" w:after="0"/>
              <w:ind w:left="109" w:right="535" w:firstLine="0"/>
              <w:jc w:val="left"/>
              <w:rPr>
                <w:sz w:val="18"/>
              </w:rPr>
            </w:pPr>
            <w:r>
              <w:rPr>
                <w:sz w:val="18"/>
              </w:rPr>
              <w:t>By</w:t>
            </w:r>
            <w:r>
              <w:rPr>
                <w:spacing w:val="-6"/>
                <w:sz w:val="18"/>
              </w:rPr>
              <w:t> </w:t>
            </w:r>
            <w:r>
              <w:rPr>
                <w:sz w:val="18"/>
              </w:rPr>
              <w:t>the</w:t>
            </w:r>
            <w:r>
              <w:rPr>
                <w:spacing w:val="-7"/>
                <w:sz w:val="18"/>
              </w:rPr>
              <w:t> </w:t>
            </w:r>
            <w:r>
              <w:rPr>
                <w:sz w:val="18"/>
              </w:rPr>
              <w:t>end</w:t>
            </w:r>
            <w:r>
              <w:rPr>
                <w:spacing w:val="-7"/>
                <w:sz w:val="18"/>
              </w:rPr>
              <w:t> </w:t>
            </w:r>
            <w:r>
              <w:rPr>
                <w:sz w:val="18"/>
              </w:rPr>
              <w:t>of</w:t>
            </w:r>
            <w:r>
              <w:rPr>
                <w:spacing w:val="-7"/>
                <w:sz w:val="18"/>
              </w:rPr>
              <w:t> </w:t>
            </w:r>
            <w:r>
              <w:rPr>
                <w:sz w:val="18"/>
              </w:rPr>
              <w:t>2018,</w:t>
            </w:r>
            <w:r>
              <w:rPr>
                <w:spacing w:val="-6"/>
                <w:sz w:val="18"/>
              </w:rPr>
              <w:t> </w:t>
            </w:r>
            <w:r>
              <w:rPr>
                <w:sz w:val="18"/>
              </w:rPr>
              <w:t>Child</w:t>
            </w:r>
            <w:r>
              <w:rPr>
                <w:spacing w:val="-7"/>
                <w:sz w:val="18"/>
              </w:rPr>
              <w:t> </w:t>
            </w:r>
            <w:r>
              <w:rPr>
                <w:sz w:val="18"/>
              </w:rPr>
              <w:t>Protection</w:t>
            </w:r>
            <w:r>
              <w:rPr>
                <w:spacing w:val="-7"/>
                <w:sz w:val="18"/>
              </w:rPr>
              <w:t> </w:t>
            </w:r>
            <w:r>
              <w:rPr>
                <w:sz w:val="18"/>
              </w:rPr>
              <w:t>Policy consulted</w:t>
            </w:r>
            <w:r>
              <w:rPr>
                <w:spacing w:val="-4"/>
                <w:sz w:val="18"/>
              </w:rPr>
              <w:t> </w:t>
            </w:r>
            <w:r>
              <w:rPr>
                <w:sz w:val="18"/>
              </w:rPr>
              <w:t>on</w:t>
            </w:r>
            <w:r>
              <w:rPr>
                <w:spacing w:val="-4"/>
                <w:sz w:val="18"/>
              </w:rPr>
              <w:t> </w:t>
            </w:r>
            <w:r>
              <w:rPr>
                <w:sz w:val="18"/>
              </w:rPr>
              <w:t>and</w:t>
            </w:r>
            <w:r>
              <w:rPr>
                <w:spacing w:val="-4"/>
                <w:sz w:val="18"/>
              </w:rPr>
              <w:t> </w:t>
            </w:r>
            <w:r>
              <w:rPr>
                <w:sz w:val="18"/>
              </w:rPr>
              <w:t>revised</w:t>
            </w:r>
            <w:r>
              <w:rPr>
                <w:spacing w:val="-4"/>
                <w:sz w:val="18"/>
              </w:rPr>
              <w:t> </w:t>
            </w:r>
            <w:r>
              <w:rPr>
                <w:sz w:val="18"/>
              </w:rPr>
              <w:t>in</w:t>
            </w:r>
            <w:r>
              <w:rPr>
                <w:spacing w:val="-5"/>
                <w:sz w:val="18"/>
              </w:rPr>
              <w:t> </w:t>
            </w:r>
            <w:r>
              <w:rPr>
                <w:sz w:val="18"/>
              </w:rPr>
              <w:t>light</w:t>
            </w:r>
            <w:r>
              <w:rPr>
                <w:spacing w:val="-2"/>
                <w:sz w:val="18"/>
              </w:rPr>
              <w:t> </w:t>
            </w:r>
            <w:r>
              <w:rPr>
                <w:sz w:val="18"/>
              </w:rPr>
              <w:t>of</w:t>
            </w:r>
            <w:r>
              <w:rPr>
                <w:spacing w:val="-4"/>
                <w:sz w:val="18"/>
              </w:rPr>
              <w:t> </w:t>
            </w:r>
            <w:r>
              <w:rPr>
                <w:sz w:val="18"/>
              </w:rPr>
              <w:t>consultations</w:t>
            </w:r>
          </w:p>
        </w:tc>
        <w:tc>
          <w:tcPr>
            <w:tcW w:w="993" w:type="dxa"/>
          </w:tcPr>
          <w:p>
            <w:pPr>
              <w:pStyle w:val="TableParagraph"/>
              <w:spacing w:before="1"/>
              <w:ind w:left="110"/>
              <w:rPr>
                <w:sz w:val="18"/>
              </w:rPr>
            </w:pPr>
            <w:r>
              <w:rPr>
                <w:spacing w:val="-5"/>
                <w:sz w:val="18"/>
              </w:rPr>
              <w:t>PA</w:t>
            </w:r>
          </w:p>
        </w:tc>
        <w:tc>
          <w:tcPr>
            <w:tcW w:w="3684" w:type="dxa"/>
          </w:tcPr>
          <w:p>
            <w:pPr>
              <w:pStyle w:val="TableParagraph"/>
              <w:numPr>
                <w:ilvl w:val="0"/>
                <w:numId w:val="14"/>
              </w:numPr>
              <w:tabs>
                <w:tab w:pos="471" w:val="left" w:leader="none"/>
                <w:tab w:pos="472" w:val="left" w:leader="none"/>
              </w:tabs>
              <w:spacing w:line="240" w:lineRule="auto" w:before="1" w:after="0"/>
              <w:ind w:left="471" w:right="263" w:hanging="360"/>
              <w:jc w:val="left"/>
              <w:rPr>
                <w:sz w:val="18"/>
              </w:rPr>
            </w:pPr>
            <w:r>
              <w:rPr>
                <w:sz w:val="18"/>
              </w:rPr>
              <w:t>A quality Gender Equality in Education Policy</w:t>
            </w:r>
            <w:r>
              <w:rPr>
                <w:spacing w:val="-10"/>
                <w:sz w:val="18"/>
              </w:rPr>
              <w:t> </w:t>
            </w:r>
            <w:r>
              <w:rPr>
                <w:sz w:val="18"/>
              </w:rPr>
              <w:t>–</w:t>
            </w:r>
            <w:r>
              <w:rPr>
                <w:spacing w:val="-11"/>
                <w:sz w:val="18"/>
              </w:rPr>
              <w:t> </w:t>
            </w:r>
            <w:r>
              <w:rPr>
                <w:sz w:val="18"/>
              </w:rPr>
              <w:t>implementation</w:t>
            </w:r>
            <w:r>
              <w:rPr>
                <w:spacing w:val="-10"/>
                <w:sz w:val="18"/>
              </w:rPr>
              <w:t> </w:t>
            </w:r>
            <w:r>
              <w:rPr>
                <w:sz w:val="18"/>
              </w:rPr>
              <w:t>strategy</w:t>
            </w:r>
            <w:r>
              <w:rPr>
                <w:spacing w:val="-8"/>
                <w:sz w:val="18"/>
              </w:rPr>
              <w:t> </w:t>
            </w:r>
            <w:r>
              <w:rPr>
                <w:sz w:val="18"/>
              </w:rPr>
              <w:t>costed (30%) and NEB endorsement minute </w:t>
            </w:r>
            <w:r>
              <w:rPr>
                <w:spacing w:val="-2"/>
                <w:sz w:val="18"/>
              </w:rPr>
              <w:t>(30%)</w:t>
            </w:r>
          </w:p>
          <w:p>
            <w:pPr>
              <w:pStyle w:val="TableParagraph"/>
              <w:rPr>
                <w:sz w:val="18"/>
              </w:rPr>
            </w:pPr>
          </w:p>
          <w:p>
            <w:pPr>
              <w:pStyle w:val="TableParagraph"/>
              <w:spacing w:before="9"/>
              <w:rPr>
                <w:sz w:val="15"/>
              </w:rPr>
            </w:pPr>
          </w:p>
          <w:p>
            <w:pPr>
              <w:pStyle w:val="TableParagraph"/>
              <w:numPr>
                <w:ilvl w:val="0"/>
                <w:numId w:val="14"/>
              </w:numPr>
              <w:tabs>
                <w:tab w:pos="471" w:val="left" w:leader="none"/>
                <w:tab w:pos="472" w:val="left" w:leader="none"/>
              </w:tabs>
              <w:spacing w:line="240" w:lineRule="auto" w:before="0" w:after="0"/>
              <w:ind w:left="471" w:right="115" w:hanging="360"/>
              <w:jc w:val="left"/>
              <w:rPr>
                <w:sz w:val="18"/>
              </w:rPr>
            </w:pPr>
            <w:r>
              <w:rPr>
                <w:sz w:val="18"/>
              </w:rPr>
              <w:t>A</w:t>
            </w:r>
            <w:r>
              <w:rPr>
                <w:spacing w:val="-9"/>
                <w:sz w:val="18"/>
              </w:rPr>
              <w:t> </w:t>
            </w:r>
            <w:r>
              <w:rPr>
                <w:sz w:val="18"/>
              </w:rPr>
              <w:t>quality</w:t>
            </w:r>
            <w:r>
              <w:rPr>
                <w:spacing w:val="-8"/>
                <w:sz w:val="18"/>
              </w:rPr>
              <w:t> </w:t>
            </w:r>
            <w:r>
              <w:rPr>
                <w:sz w:val="18"/>
              </w:rPr>
              <w:t>Child</w:t>
            </w:r>
            <w:r>
              <w:rPr>
                <w:spacing w:val="-9"/>
                <w:sz w:val="18"/>
              </w:rPr>
              <w:t> </w:t>
            </w:r>
            <w:r>
              <w:rPr>
                <w:sz w:val="18"/>
              </w:rPr>
              <w:t>Protection</w:t>
            </w:r>
            <w:r>
              <w:rPr>
                <w:spacing w:val="-9"/>
                <w:sz w:val="18"/>
              </w:rPr>
              <w:t> </w:t>
            </w:r>
            <w:r>
              <w:rPr>
                <w:sz w:val="18"/>
              </w:rPr>
              <w:t>Policy</w:t>
            </w:r>
            <w:r>
              <w:rPr>
                <w:spacing w:val="-8"/>
                <w:sz w:val="18"/>
              </w:rPr>
              <w:t> </w:t>
            </w:r>
            <w:r>
              <w:rPr>
                <w:sz w:val="18"/>
              </w:rPr>
              <w:t>consulted with selected EAs and schools (30%) and revisions made based on consultations </w:t>
            </w:r>
            <w:r>
              <w:rPr>
                <w:spacing w:val="-2"/>
                <w:sz w:val="18"/>
              </w:rPr>
              <w:t>(10%)</w:t>
            </w:r>
          </w:p>
        </w:tc>
        <w:tc>
          <w:tcPr>
            <w:tcW w:w="3120" w:type="dxa"/>
          </w:tcPr>
          <w:p>
            <w:pPr>
              <w:pStyle w:val="TableParagraph"/>
              <w:numPr>
                <w:ilvl w:val="0"/>
                <w:numId w:val="15"/>
              </w:numPr>
              <w:tabs>
                <w:tab w:pos="471" w:val="left" w:leader="none"/>
                <w:tab w:pos="472" w:val="left" w:leader="none"/>
              </w:tabs>
              <w:spacing w:line="240" w:lineRule="auto" w:before="1" w:after="0"/>
              <w:ind w:left="471" w:right="561" w:hanging="360"/>
              <w:jc w:val="left"/>
              <w:rPr>
                <w:sz w:val="18"/>
              </w:rPr>
            </w:pPr>
            <w:r>
              <w:rPr>
                <w:sz w:val="18"/>
              </w:rPr>
              <w:t>Quarterly</w:t>
            </w:r>
            <w:r>
              <w:rPr>
                <w:spacing w:val="-11"/>
                <w:sz w:val="18"/>
              </w:rPr>
              <w:t> </w:t>
            </w:r>
            <w:r>
              <w:rPr>
                <w:sz w:val="18"/>
              </w:rPr>
              <w:t>Progress</w:t>
            </w:r>
            <w:r>
              <w:rPr>
                <w:spacing w:val="-10"/>
                <w:sz w:val="18"/>
              </w:rPr>
              <w:t> </w:t>
            </w:r>
            <w:r>
              <w:rPr>
                <w:sz w:val="18"/>
              </w:rPr>
              <w:t>reports</w:t>
            </w:r>
            <w:r>
              <w:rPr>
                <w:spacing w:val="-10"/>
                <w:sz w:val="18"/>
              </w:rPr>
              <w:t> </w:t>
            </w:r>
            <w:r>
              <w:rPr>
                <w:sz w:val="18"/>
              </w:rPr>
              <w:t>– SES/Schools Divisions &amp; SSU/Policy unit</w:t>
            </w:r>
          </w:p>
          <w:p>
            <w:pPr>
              <w:pStyle w:val="TableParagraph"/>
              <w:numPr>
                <w:ilvl w:val="0"/>
                <w:numId w:val="15"/>
              </w:numPr>
              <w:tabs>
                <w:tab w:pos="471" w:val="left" w:leader="none"/>
                <w:tab w:pos="472" w:val="left" w:leader="none"/>
              </w:tabs>
              <w:spacing w:line="240" w:lineRule="auto" w:before="97" w:after="0"/>
              <w:ind w:left="471" w:right="0" w:hanging="361"/>
              <w:jc w:val="left"/>
              <w:rPr>
                <w:sz w:val="18"/>
              </w:rPr>
            </w:pPr>
            <w:r>
              <w:rPr>
                <w:sz w:val="18"/>
              </w:rPr>
              <w:t>Key</w:t>
            </w:r>
            <w:r>
              <w:rPr>
                <w:spacing w:val="-2"/>
                <w:sz w:val="18"/>
              </w:rPr>
              <w:t> </w:t>
            </w:r>
            <w:r>
              <w:rPr>
                <w:sz w:val="18"/>
              </w:rPr>
              <w:t>Output</w:t>
            </w:r>
            <w:r>
              <w:rPr>
                <w:spacing w:val="-1"/>
                <w:sz w:val="18"/>
              </w:rPr>
              <w:t> </w:t>
            </w:r>
            <w:r>
              <w:rPr>
                <w:sz w:val="18"/>
              </w:rPr>
              <w:t>Report</w:t>
            </w:r>
            <w:r>
              <w:rPr>
                <w:spacing w:val="-1"/>
                <w:sz w:val="18"/>
              </w:rPr>
              <w:t> </w:t>
            </w:r>
            <w:r>
              <w:rPr>
                <w:sz w:val="18"/>
              </w:rPr>
              <w:t>-</w:t>
            </w:r>
            <w:r>
              <w:rPr>
                <w:spacing w:val="-1"/>
                <w:sz w:val="18"/>
              </w:rPr>
              <w:t> </w:t>
            </w:r>
            <w:r>
              <w:rPr>
                <w:spacing w:val="-2"/>
                <w:sz w:val="18"/>
              </w:rPr>
              <w:t>Access</w:t>
            </w:r>
          </w:p>
          <w:p>
            <w:pPr>
              <w:pStyle w:val="TableParagraph"/>
              <w:numPr>
                <w:ilvl w:val="0"/>
                <w:numId w:val="15"/>
              </w:numPr>
              <w:tabs>
                <w:tab w:pos="471" w:val="left" w:leader="none"/>
                <w:tab w:pos="472" w:val="left" w:leader="none"/>
              </w:tabs>
              <w:spacing w:line="240" w:lineRule="auto" w:before="94" w:after="0"/>
              <w:ind w:left="471" w:right="0" w:hanging="361"/>
              <w:jc w:val="left"/>
              <w:rPr>
                <w:sz w:val="18"/>
              </w:rPr>
            </w:pPr>
            <w:r>
              <w:rPr>
                <w:sz w:val="18"/>
              </w:rPr>
              <w:t>NEB</w:t>
            </w:r>
            <w:r>
              <w:rPr>
                <w:spacing w:val="-1"/>
                <w:sz w:val="18"/>
              </w:rPr>
              <w:t> </w:t>
            </w:r>
            <w:r>
              <w:rPr>
                <w:spacing w:val="-2"/>
                <w:sz w:val="18"/>
              </w:rPr>
              <w:t>minute</w:t>
            </w:r>
          </w:p>
          <w:p>
            <w:pPr>
              <w:pStyle w:val="TableParagraph"/>
              <w:rPr>
                <w:sz w:val="22"/>
              </w:rPr>
            </w:pPr>
          </w:p>
          <w:p>
            <w:pPr>
              <w:pStyle w:val="TableParagraph"/>
              <w:numPr>
                <w:ilvl w:val="0"/>
                <w:numId w:val="15"/>
              </w:numPr>
              <w:tabs>
                <w:tab w:pos="471" w:val="left" w:leader="none"/>
                <w:tab w:pos="472" w:val="left" w:leader="none"/>
              </w:tabs>
              <w:spacing w:line="240" w:lineRule="auto" w:before="144" w:after="0"/>
              <w:ind w:left="471" w:right="561" w:hanging="360"/>
              <w:jc w:val="left"/>
              <w:rPr>
                <w:sz w:val="18"/>
              </w:rPr>
            </w:pPr>
            <w:r>
              <w:rPr>
                <w:sz w:val="18"/>
              </w:rPr>
              <w:t>Quarterly</w:t>
            </w:r>
            <w:r>
              <w:rPr>
                <w:spacing w:val="-11"/>
                <w:sz w:val="18"/>
              </w:rPr>
              <w:t> </w:t>
            </w:r>
            <w:r>
              <w:rPr>
                <w:sz w:val="18"/>
              </w:rPr>
              <w:t>Progress</w:t>
            </w:r>
            <w:r>
              <w:rPr>
                <w:spacing w:val="-10"/>
                <w:sz w:val="18"/>
              </w:rPr>
              <w:t> </w:t>
            </w:r>
            <w:r>
              <w:rPr>
                <w:sz w:val="18"/>
              </w:rPr>
              <w:t>reports</w:t>
            </w:r>
            <w:r>
              <w:rPr>
                <w:spacing w:val="-10"/>
                <w:sz w:val="18"/>
              </w:rPr>
              <w:t> </w:t>
            </w:r>
            <w:r>
              <w:rPr>
                <w:sz w:val="18"/>
              </w:rPr>
              <w:t>– SES/Schools Divisions &amp; SSU/Policy unit</w:t>
            </w:r>
          </w:p>
          <w:p>
            <w:pPr>
              <w:pStyle w:val="TableParagraph"/>
              <w:numPr>
                <w:ilvl w:val="0"/>
                <w:numId w:val="15"/>
              </w:numPr>
              <w:tabs>
                <w:tab w:pos="471" w:val="left" w:leader="none"/>
                <w:tab w:pos="472" w:val="left" w:leader="none"/>
              </w:tabs>
              <w:spacing w:line="240" w:lineRule="auto" w:before="97" w:after="0"/>
              <w:ind w:left="471" w:right="0" w:hanging="361"/>
              <w:jc w:val="left"/>
              <w:rPr>
                <w:sz w:val="18"/>
              </w:rPr>
            </w:pPr>
            <w:r>
              <w:rPr>
                <w:sz w:val="18"/>
              </w:rPr>
              <w:t>NEB</w:t>
            </w:r>
            <w:r>
              <w:rPr>
                <w:spacing w:val="-1"/>
                <w:sz w:val="18"/>
              </w:rPr>
              <w:t> </w:t>
            </w:r>
            <w:r>
              <w:rPr>
                <w:spacing w:val="-2"/>
                <w:sz w:val="18"/>
              </w:rPr>
              <w:t>minute</w:t>
            </w:r>
          </w:p>
          <w:p>
            <w:pPr>
              <w:pStyle w:val="TableParagraph"/>
              <w:numPr>
                <w:ilvl w:val="0"/>
                <w:numId w:val="15"/>
              </w:numPr>
              <w:tabs>
                <w:tab w:pos="471" w:val="left" w:leader="none"/>
                <w:tab w:pos="472" w:val="left" w:leader="none"/>
              </w:tabs>
              <w:spacing w:line="240" w:lineRule="auto" w:before="97" w:after="0"/>
              <w:ind w:left="471" w:right="0" w:hanging="361"/>
              <w:jc w:val="left"/>
              <w:rPr>
                <w:sz w:val="18"/>
              </w:rPr>
            </w:pPr>
            <w:r>
              <w:rPr>
                <w:sz w:val="18"/>
              </w:rPr>
              <w:t>Output</w:t>
            </w:r>
            <w:r>
              <w:rPr>
                <w:spacing w:val="-4"/>
                <w:sz w:val="18"/>
              </w:rPr>
              <w:t> </w:t>
            </w:r>
            <w:r>
              <w:rPr>
                <w:sz w:val="18"/>
              </w:rPr>
              <w:t>Indicator</w:t>
            </w:r>
            <w:r>
              <w:rPr>
                <w:spacing w:val="-2"/>
                <w:sz w:val="18"/>
              </w:rPr>
              <w:t> </w:t>
            </w:r>
            <w:r>
              <w:rPr>
                <w:sz w:val="18"/>
              </w:rPr>
              <w:t>Tracker</w:t>
            </w:r>
            <w:r>
              <w:rPr>
                <w:spacing w:val="-2"/>
                <w:sz w:val="18"/>
              </w:rPr>
              <w:t> </w:t>
            </w:r>
            <w:r>
              <w:rPr>
                <w:spacing w:val="-4"/>
                <w:sz w:val="18"/>
              </w:rPr>
              <w:t>Table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r>
        <w:rPr/>
        <w:pict>
          <v:rect style="position:absolute;margin-left:72pt;margin-top:14.604506pt;width:144.020pt;height:.72pt;mso-position-horizontal-relative:page;mso-position-vertical-relative:paragraph;z-index:-15717376;mso-wrap-distance-left:0;mso-wrap-distance-right:0" id="docshape22" filled="true" fillcolor="#000000" stroked="false">
            <v:fill type="solid"/>
            <w10:wrap type="topAndBottom"/>
          </v:rect>
        </w:pict>
      </w:r>
    </w:p>
    <w:p>
      <w:pPr>
        <w:spacing w:before="99"/>
        <w:ind w:left="220" w:right="1074" w:firstLine="0"/>
        <w:jc w:val="left"/>
        <w:rPr>
          <w:sz w:val="18"/>
        </w:rPr>
      </w:pPr>
      <w:r>
        <w:rPr>
          <w:position w:val="5"/>
          <w:sz w:val="12"/>
        </w:rPr>
        <w:t>25</w:t>
      </w:r>
      <w:r>
        <w:rPr>
          <w:spacing w:val="11"/>
          <w:position w:val="5"/>
          <w:sz w:val="12"/>
        </w:rPr>
        <w:t> </w:t>
      </w:r>
      <w:r>
        <w:rPr>
          <w:sz w:val="18"/>
        </w:rPr>
        <w:t>These</w:t>
      </w:r>
      <w:r>
        <w:rPr>
          <w:spacing w:val="-2"/>
          <w:sz w:val="18"/>
        </w:rPr>
        <w:t> </w:t>
      </w:r>
      <w:r>
        <w:rPr>
          <w:sz w:val="18"/>
        </w:rPr>
        <w:t>references</w:t>
      </w:r>
      <w:r>
        <w:rPr>
          <w:spacing w:val="-2"/>
          <w:sz w:val="18"/>
        </w:rPr>
        <w:t> </w:t>
      </w:r>
      <w:r>
        <w:rPr>
          <w:sz w:val="18"/>
        </w:rPr>
        <w:t>relate</w:t>
      </w:r>
      <w:r>
        <w:rPr>
          <w:spacing w:val="-2"/>
          <w:sz w:val="18"/>
        </w:rPr>
        <w:t> </w:t>
      </w:r>
      <w:r>
        <w:rPr>
          <w:sz w:val="18"/>
        </w:rPr>
        <w:t>to</w:t>
      </w:r>
      <w:r>
        <w:rPr>
          <w:spacing w:val="-1"/>
          <w:sz w:val="18"/>
        </w:rPr>
        <w:t> </w:t>
      </w:r>
      <w:r>
        <w:rPr>
          <w:sz w:val="18"/>
        </w:rPr>
        <w:t>either a</w:t>
      </w:r>
      <w:r>
        <w:rPr>
          <w:spacing w:val="-2"/>
          <w:sz w:val="18"/>
        </w:rPr>
        <w:t> </w:t>
      </w:r>
      <w:r>
        <w:rPr>
          <w:sz w:val="18"/>
        </w:rPr>
        <w:t>MELP</w:t>
      </w:r>
      <w:r>
        <w:rPr>
          <w:spacing w:val="-3"/>
          <w:sz w:val="18"/>
        </w:rPr>
        <w:t> </w:t>
      </w:r>
      <w:r>
        <w:rPr>
          <w:sz w:val="18"/>
        </w:rPr>
        <w:t>End</w:t>
      </w:r>
      <w:r>
        <w:rPr>
          <w:spacing w:val="-2"/>
          <w:sz w:val="18"/>
        </w:rPr>
        <w:t> </w:t>
      </w:r>
      <w:r>
        <w:rPr>
          <w:sz w:val="18"/>
        </w:rPr>
        <w:t>or</w:t>
      </w:r>
      <w:r>
        <w:rPr>
          <w:spacing w:val="-1"/>
          <w:sz w:val="18"/>
        </w:rPr>
        <w:t> </w:t>
      </w:r>
      <w:r>
        <w:rPr>
          <w:sz w:val="18"/>
        </w:rPr>
        <w:t>Intermediate outcome,</w:t>
      </w:r>
      <w:r>
        <w:rPr>
          <w:spacing w:val="-1"/>
          <w:sz w:val="18"/>
        </w:rPr>
        <w:t> </w:t>
      </w:r>
      <w:r>
        <w:rPr>
          <w:sz w:val="18"/>
        </w:rPr>
        <w:t>Annual</w:t>
      </w:r>
      <w:r>
        <w:rPr>
          <w:spacing w:val="-2"/>
          <w:sz w:val="18"/>
        </w:rPr>
        <w:t> </w:t>
      </w:r>
      <w:r>
        <w:rPr>
          <w:sz w:val="18"/>
        </w:rPr>
        <w:t>Work</w:t>
      </w:r>
      <w:r>
        <w:rPr>
          <w:spacing w:val="-2"/>
          <w:sz w:val="18"/>
        </w:rPr>
        <w:t> </w:t>
      </w:r>
      <w:r>
        <w:rPr>
          <w:sz w:val="18"/>
        </w:rPr>
        <w:t>Plan</w:t>
      </w:r>
      <w:r>
        <w:rPr>
          <w:spacing w:val="-2"/>
          <w:sz w:val="18"/>
        </w:rPr>
        <w:t> </w:t>
      </w:r>
      <w:r>
        <w:rPr>
          <w:sz w:val="18"/>
        </w:rPr>
        <w:t>2018</w:t>
      </w:r>
      <w:r>
        <w:rPr>
          <w:spacing w:val="-1"/>
          <w:sz w:val="18"/>
        </w:rPr>
        <w:t> </w:t>
      </w:r>
      <w:r>
        <w:rPr>
          <w:sz w:val="18"/>
        </w:rPr>
        <w:t>Task</w:t>
      </w:r>
      <w:r>
        <w:rPr>
          <w:spacing w:val="-1"/>
          <w:sz w:val="18"/>
        </w:rPr>
        <w:t> </w:t>
      </w:r>
      <w:r>
        <w:rPr>
          <w:sz w:val="18"/>
        </w:rPr>
        <w:t>number</w:t>
      </w:r>
      <w:r>
        <w:rPr>
          <w:spacing w:val="-1"/>
          <w:sz w:val="18"/>
        </w:rPr>
        <w:t> </w:t>
      </w:r>
      <w:r>
        <w:rPr>
          <w:sz w:val="18"/>
        </w:rPr>
        <w:t>or</w:t>
      </w:r>
      <w:r>
        <w:rPr>
          <w:spacing w:val="-1"/>
          <w:sz w:val="18"/>
        </w:rPr>
        <w:t> </w:t>
      </w:r>
      <w:r>
        <w:rPr>
          <w:sz w:val="18"/>
        </w:rPr>
        <w:t>whether</w:t>
      </w:r>
      <w:r>
        <w:rPr>
          <w:spacing w:val="-1"/>
          <w:sz w:val="18"/>
        </w:rPr>
        <w:t> </w:t>
      </w:r>
      <w:r>
        <w:rPr>
          <w:sz w:val="18"/>
        </w:rPr>
        <w:t>it</w:t>
      </w:r>
      <w:r>
        <w:rPr>
          <w:spacing w:val="-1"/>
          <w:sz w:val="18"/>
        </w:rPr>
        <w:t> </w:t>
      </w:r>
      <w:r>
        <w:rPr>
          <w:sz w:val="18"/>
        </w:rPr>
        <w:t>is</w:t>
      </w:r>
      <w:r>
        <w:rPr>
          <w:spacing w:val="-2"/>
          <w:sz w:val="18"/>
        </w:rPr>
        <w:t> </w:t>
      </w:r>
      <w:r>
        <w:rPr>
          <w:sz w:val="18"/>
        </w:rPr>
        <w:t>a</w:t>
      </w:r>
      <w:r>
        <w:rPr>
          <w:spacing w:val="-2"/>
          <w:sz w:val="18"/>
        </w:rPr>
        <w:t> </w:t>
      </w:r>
      <w:r>
        <w:rPr>
          <w:sz w:val="18"/>
        </w:rPr>
        <w:t>DFA (Direct</w:t>
      </w:r>
      <w:r>
        <w:rPr>
          <w:spacing w:val="-1"/>
          <w:sz w:val="18"/>
        </w:rPr>
        <w:t> </w:t>
      </w:r>
      <w:r>
        <w:rPr>
          <w:sz w:val="18"/>
        </w:rPr>
        <w:t>Financing Agreement)</w:t>
      </w:r>
      <w:r>
        <w:rPr>
          <w:spacing w:val="-1"/>
          <w:sz w:val="18"/>
        </w:rPr>
        <w:t> </w:t>
      </w:r>
      <w:r>
        <w:rPr>
          <w:sz w:val="18"/>
        </w:rPr>
        <w:t>condition.</w:t>
      </w:r>
      <w:r>
        <w:rPr>
          <w:spacing w:val="-2"/>
          <w:sz w:val="18"/>
        </w:rPr>
        <w:t> </w:t>
      </w:r>
      <w:r>
        <w:rPr>
          <w:sz w:val="18"/>
        </w:rPr>
        <w:t>TBA</w:t>
      </w:r>
      <w:r>
        <w:rPr>
          <w:spacing w:val="-2"/>
          <w:sz w:val="18"/>
        </w:rPr>
        <w:t> </w:t>
      </w:r>
      <w:r>
        <w:rPr>
          <w:sz w:val="18"/>
        </w:rPr>
        <w:t>(to</w:t>
      </w:r>
      <w:r>
        <w:rPr>
          <w:spacing w:val="-1"/>
          <w:sz w:val="18"/>
        </w:rPr>
        <w:t> </w:t>
      </w:r>
      <w:r>
        <w:rPr>
          <w:sz w:val="18"/>
        </w:rPr>
        <w:t>be advised) refers to indicators that currently have no Annual Work Plan reference.</w:t>
      </w:r>
    </w:p>
    <w:p>
      <w:pPr>
        <w:spacing w:after="0"/>
        <w:jc w:val="left"/>
        <w:rPr>
          <w:sz w:val="18"/>
        </w:rPr>
        <w:sectPr>
          <w:pgSz w:w="16850" w:h="11900" w:orient="landscape"/>
          <w:pgMar w:header="867" w:footer="830" w:top="1400" w:bottom="1020" w:left="1220" w:right="520"/>
        </w:sectPr>
      </w:pPr>
    </w:p>
    <w:tbl>
      <w:tblPr>
        <w:tblW w:w="0" w:type="auto"/>
        <w:jc w:val="left"/>
        <w:tblInd w:w="11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816"/>
        <w:gridCol w:w="880"/>
        <w:gridCol w:w="1132"/>
        <w:gridCol w:w="4253"/>
        <w:gridCol w:w="993"/>
        <w:gridCol w:w="3684"/>
        <w:gridCol w:w="3120"/>
      </w:tblGrid>
      <w:tr>
        <w:trPr>
          <w:trHeight w:val="4543" w:hRule="atLeast"/>
        </w:trPr>
        <w:tc>
          <w:tcPr>
            <w:tcW w:w="816" w:type="dxa"/>
          </w:tcPr>
          <w:p>
            <w:pPr>
              <w:pStyle w:val="TableParagraph"/>
              <w:spacing w:before="1"/>
              <w:ind w:left="107"/>
              <w:rPr>
                <w:b/>
                <w:sz w:val="18"/>
              </w:rPr>
            </w:pPr>
            <w:r>
              <w:rPr>
                <w:b/>
                <w:spacing w:val="-2"/>
                <w:sz w:val="18"/>
              </w:rPr>
              <w:t>Quality</w:t>
            </w:r>
          </w:p>
        </w:tc>
        <w:tc>
          <w:tcPr>
            <w:tcW w:w="880" w:type="dxa"/>
          </w:tcPr>
          <w:p>
            <w:pPr>
              <w:pStyle w:val="TableParagraph"/>
              <w:spacing w:before="1"/>
              <w:ind w:left="108" w:right="115"/>
              <w:rPr>
                <w:sz w:val="18"/>
              </w:rPr>
            </w:pPr>
            <w:r>
              <w:rPr>
                <w:spacing w:val="-2"/>
                <w:sz w:val="18"/>
              </w:rPr>
              <w:t>IO2.1</w:t>
            </w:r>
            <w:r>
              <w:rPr>
                <w:sz w:val="18"/>
              </w:rPr>
              <w:t> (11&amp;</w:t>
            </w:r>
            <w:r>
              <w:rPr>
                <w:spacing w:val="-11"/>
                <w:sz w:val="18"/>
              </w:rPr>
              <w:t> </w:t>
            </w:r>
            <w:r>
              <w:rPr>
                <w:sz w:val="18"/>
              </w:rPr>
              <w:t>13)</w:t>
            </w:r>
          </w:p>
        </w:tc>
        <w:tc>
          <w:tcPr>
            <w:tcW w:w="1132" w:type="dxa"/>
          </w:tcPr>
          <w:p>
            <w:pPr>
              <w:pStyle w:val="TableParagraph"/>
              <w:numPr>
                <w:ilvl w:val="1"/>
                <w:numId w:val="16"/>
              </w:numPr>
              <w:tabs>
                <w:tab w:pos="378" w:val="left" w:leader="none"/>
              </w:tabs>
              <w:spacing w:line="240" w:lineRule="auto" w:before="1" w:after="0"/>
              <w:ind w:left="109" w:right="226" w:firstLine="0"/>
              <w:jc w:val="left"/>
              <w:rPr>
                <w:sz w:val="18"/>
              </w:rPr>
            </w:pPr>
            <w:r>
              <w:rPr>
                <w:spacing w:val="-4"/>
                <w:sz w:val="18"/>
              </w:rPr>
              <w:t>More</w:t>
            </w:r>
            <w:r>
              <w:rPr>
                <w:sz w:val="18"/>
              </w:rPr>
              <w:t> </w:t>
            </w:r>
            <w:r>
              <w:rPr>
                <w:spacing w:val="-2"/>
                <w:sz w:val="18"/>
              </w:rPr>
              <w:t>teachers</w:t>
            </w:r>
            <w:r>
              <w:rPr>
                <w:sz w:val="18"/>
              </w:rPr>
              <w:t> using</w:t>
            </w:r>
            <w:r>
              <w:rPr>
                <w:spacing w:val="-2"/>
                <w:sz w:val="18"/>
              </w:rPr>
              <w:t> </w:t>
            </w:r>
            <w:r>
              <w:rPr>
                <w:sz w:val="18"/>
              </w:rPr>
              <w:t>new </w:t>
            </w:r>
            <w:r>
              <w:rPr>
                <w:spacing w:val="-2"/>
                <w:sz w:val="18"/>
              </w:rPr>
              <w:t>improved</w:t>
            </w:r>
            <w:r>
              <w:rPr>
                <w:sz w:val="18"/>
              </w:rPr>
              <w:t> </w:t>
            </w:r>
            <w:r>
              <w:rPr>
                <w:spacing w:val="-2"/>
                <w:sz w:val="18"/>
              </w:rPr>
              <w:t>curriculum</w:t>
            </w:r>
          </w:p>
        </w:tc>
        <w:tc>
          <w:tcPr>
            <w:tcW w:w="4253" w:type="dxa"/>
          </w:tcPr>
          <w:p>
            <w:pPr>
              <w:pStyle w:val="TableParagraph"/>
              <w:numPr>
                <w:ilvl w:val="2"/>
                <w:numId w:val="17"/>
              </w:numPr>
              <w:tabs>
                <w:tab w:pos="557" w:val="left" w:leader="none"/>
              </w:tabs>
              <w:spacing w:line="240" w:lineRule="auto" w:before="1" w:after="0"/>
              <w:ind w:left="109" w:right="372" w:firstLine="0"/>
              <w:jc w:val="left"/>
              <w:rPr>
                <w:sz w:val="18"/>
              </w:rPr>
            </w:pPr>
            <w:r>
              <w:rPr>
                <w:sz w:val="18"/>
              </w:rPr>
              <w:t>By the end of 2018, PPY Pilot in Honiara, Guadalcanal</w:t>
            </w:r>
            <w:r>
              <w:rPr>
                <w:spacing w:val="-7"/>
                <w:sz w:val="18"/>
              </w:rPr>
              <w:t> </w:t>
            </w:r>
            <w:r>
              <w:rPr>
                <w:sz w:val="18"/>
              </w:rPr>
              <w:t>and</w:t>
            </w:r>
            <w:r>
              <w:rPr>
                <w:spacing w:val="-7"/>
                <w:sz w:val="18"/>
              </w:rPr>
              <w:t> </w:t>
            </w:r>
            <w:r>
              <w:rPr>
                <w:sz w:val="18"/>
              </w:rPr>
              <w:t>Malaita</w:t>
            </w:r>
            <w:r>
              <w:rPr>
                <w:spacing w:val="28"/>
                <w:sz w:val="18"/>
              </w:rPr>
              <w:t> </w:t>
            </w:r>
            <w:r>
              <w:rPr>
                <w:sz w:val="18"/>
              </w:rPr>
              <w:t>completed</w:t>
            </w:r>
            <w:r>
              <w:rPr>
                <w:spacing w:val="-7"/>
                <w:sz w:val="18"/>
              </w:rPr>
              <w:t> </w:t>
            </w:r>
            <w:r>
              <w:rPr>
                <w:sz w:val="18"/>
              </w:rPr>
              <w:t>and</w:t>
            </w:r>
            <w:r>
              <w:rPr>
                <w:spacing w:val="-7"/>
                <w:sz w:val="18"/>
              </w:rPr>
              <w:t> </w:t>
            </w:r>
            <w:r>
              <w:rPr>
                <w:sz w:val="18"/>
              </w:rPr>
              <w:t>evaluated</w:t>
            </w:r>
          </w:p>
          <w:p>
            <w:pPr>
              <w:pStyle w:val="TableParagraph"/>
              <w:rPr>
                <w:sz w:val="18"/>
              </w:rPr>
            </w:pPr>
          </w:p>
          <w:p>
            <w:pPr>
              <w:pStyle w:val="TableParagraph"/>
              <w:rPr>
                <w:sz w:val="18"/>
              </w:rPr>
            </w:pPr>
          </w:p>
          <w:p>
            <w:pPr>
              <w:pStyle w:val="TableParagraph"/>
              <w:spacing w:before="10"/>
              <w:rPr>
                <w:sz w:val="17"/>
              </w:rPr>
            </w:pPr>
          </w:p>
          <w:p>
            <w:pPr>
              <w:pStyle w:val="TableParagraph"/>
              <w:numPr>
                <w:ilvl w:val="2"/>
                <w:numId w:val="17"/>
              </w:numPr>
              <w:tabs>
                <w:tab w:pos="557" w:val="left" w:leader="none"/>
              </w:tabs>
              <w:spacing w:line="240" w:lineRule="auto" w:before="0" w:after="0"/>
              <w:ind w:left="109" w:right="427" w:firstLine="0"/>
              <w:jc w:val="left"/>
              <w:rPr>
                <w:sz w:val="18"/>
              </w:rPr>
            </w:pPr>
            <w:r>
              <w:rPr>
                <w:sz w:val="18"/>
              </w:rPr>
              <w:t>By</w:t>
            </w:r>
            <w:r>
              <w:rPr>
                <w:spacing w:val="-5"/>
                <w:sz w:val="18"/>
              </w:rPr>
              <w:t> </w:t>
            </w:r>
            <w:r>
              <w:rPr>
                <w:sz w:val="18"/>
              </w:rPr>
              <w:t>the</w:t>
            </w:r>
            <w:r>
              <w:rPr>
                <w:spacing w:val="-6"/>
                <w:sz w:val="18"/>
              </w:rPr>
              <w:t> </w:t>
            </w:r>
            <w:r>
              <w:rPr>
                <w:sz w:val="18"/>
              </w:rPr>
              <w:t>end</w:t>
            </w:r>
            <w:r>
              <w:rPr>
                <w:spacing w:val="-6"/>
                <w:sz w:val="18"/>
              </w:rPr>
              <w:t> </w:t>
            </w:r>
            <w:r>
              <w:rPr>
                <w:sz w:val="18"/>
              </w:rPr>
              <w:t>of</w:t>
            </w:r>
            <w:r>
              <w:rPr>
                <w:spacing w:val="-6"/>
                <w:sz w:val="18"/>
              </w:rPr>
              <w:t> </w:t>
            </w:r>
            <w:r>
              <w:rPr>
                <w:sz w:val="18"/>
              </w:rPr>
              <w:t>2018,</w:t>
            </w:r>
            <w:r>
              <w:rPr>
                <w:spacing w:val="-5"/>
                <w:sz w:val="18"/>
              </w:rPr>
              <w:t> </w:t>
            </w:r>
            <w:r>
              <w:rPr>
                <w:sz w:val="18"/>
              </w:rPr>
              <w:t>Cognition</w:t>
            </w:r>
            <w:r>
              <w:rPr>
                <w:spacing w:val="-6"/>
                <w:sz w:val="18"/>
              </w:rPr>
              <w:t> </w:t>
            </w:r>
            <w:r>
              <w:rPr>
                <w:sz w:val="18"/>
              </w:rPr>
              <w:t>contract</w:t>
            </w:r>
            <w:r>
              <w:rPr>
                <w:spacing w:val="-5"/>
                <w:sz w:val="18"/>
              </w:rPr>
              <w:t> </w:t>
            </w:r>
            <w:r>
              <w:rPr>
                <w:sz w:val="18"/>
              </w:rPr>
              <w:t>(as</w:t>
            </w:r>
            <w:r>
              <w:rPr>
                <w:spacing w:val="-6"/>
                <w:sz w:val="18"/>
              </w:rPr>
              <w:t> </w:t>
            </w:r>
            <w:r>
              <w:rPr>
                <w:sz w:val="18"/>
              </w:rPr>
              <w:t>at June 2018) deliverables completed and accepted</w:t>
            </w:r>
          </w:p>
        </w:tc>
        <w:tc>
          <w:tcPr>
            <w:tcW w:w="993" w:type="dxa"/>
          </w:tcPr>
          <w:p>
            <w:pPr>
              <w:pStyle w:val="TableParagraph"/>
              <w:spacing w:before="1"/>
              <w:ind w:left="110"/>
              <w:rPr>
                <w:sz w:val="18"/>
              </w:rPr>
            </w:pPr>
            <w:r>
              <w:rPr>
                <w:spacing w:val="-5"/>
                <w:sz w:val="18"/>
              </w:rPr>
              <w:t>CDD</w:t>
            </w:r>
          </w:p>
        </w:tc>
        <w:tc>
          <w:tcPr>
            <w:tcW w:w="3684" w:type="dxa"/>
          </w:tcPr>
          <w:p>
            <w:pPr>
              <w:pStyle w:val="TableParagraph"/>
              <w:numPr>
                <w:ilvl w:val="0"/>
                <w:numId w:val="18"/>
              </w:numPr>
              <w:tabs>
                <w:tab w:pos="427" w:val="left" w:leader="none"/>
                <w:tab w:pos="428" w:val="left" w:leader="none"/>
              </w:tabs>
              <w:spacing w:line="240" w:lineRule="auto" w:before="1" w:after="0"/>
              <w:ind w:left="428" w:right="684" w:hanging="286"/>
              <w:jc w:val="left"/>
              <w:rPr>
                <w:sz w:val="18"/>
              </w:rPr>
            </w:pPr>
            <w:r>
              <w:rPr>
                <w:sz w:val="18"/>
              </w:rPr>
              <w:t>PPY</w:t>
            </w:r>
            <w:r>
              <w:rPr>
                <w:spacing w:val="-10"/>
                <w:sz w:val="18"/>
              </w:rPr>
              <w:t> </w:t>
            </w:r>
            <w:r>
              <w:rPr>
                <w:sz w:val="18"/>
              </w:rPr>
              <w:t>Monitoring</w:t>
            </w:r>
            <w:r>
              <w:rPr>
                <w:spacing w:val="-10"/>
                <w:sz w:val="18"/>
              </w:rPr>
              <w:t> </w:t>
            </w:r>
            <w:r>
              <w:rPr>
                <w:sz w:val="18"/>
              </w:rPr>
              <w:t>Report</w:t>
            </w:r>
            <w:r>
              <w:rPr>
                <w:spacing w:val="-10"/>
                <w:sz w:val="18"/>
              </w:rPr>
              <w:t> </w:t>
            </w:r>
            <w:r>
              <w:rPr>
                <w:sz w:val="18"/>
              </w:rPr>
              <w:t>received</w:t>
            </w:r>
            <w:r>
              <w:rPr>
                <w:spacing w:val="-9"/>
                <w:sz w:val="18"/>
              </w:rPr>
              <w:t> </w:t>
            </w:r>
            <w:r>
              <w:rPr>
                <w:sz w:val="18"/>
              </w:rPr>
              <w:t>by MEHRD and UNICEF (35%)</w:t>
            </w:r>
          </w:p>
          <w:p>
            <w:pPr>
              <w:pStyle w:val="TableParagraph"/>
              <w:rPr>
                <w:sz w:val="18"/>
              </w:rPr>
            </w:pPr>
          </w:p>
          <w:p>
            <w:pPr>
              <w:pStyle w:val="TableParagraph"/>
              <w:rPr>
                <w:sz w:val="18"/>
              </w:rPr>
            </w:pPr>
          </w:p>
          <w:p>
            <w:pPr>
              <w:pStyle w:val="TableParagraph"/>
              <w:spacing w:before="6"/>
              <w:rPr>
                <w:sz w:val="23"/>
              </w:rPr>
            </w:pPr>
          </w:p>
          <w:p>
            <w:pPr>
              <w:pStyle w:val="TableParagraph"/>
              <w:spacing w:before="1"/>
              <w:ind w:left="142"/>
              <w:rPr>
                <w:sz w:val="18"/>
              </w:rPr>
            </w:pPr>
            <w:r>
              <w:rPr>
                <w:sz w:val="18"/>
              </w:rPr>
              <w:t>Cognition</w:t>
            </w:r>
            <w:r>
              <w:rPr>
                <w:spacing w:val="-4"/>
                <w:sz w:val="18"/>
              </w:rPr>
              <w:t> </w:t>
            </w:r>
            <w:r>
              <w:rPr>
                <w:sz w:val="18"/>
              </w:rPr>
              <w:t>deliverables</w:t>
            </w:r>
            <w:r>
              <w:rPr>
                <w:spacing w:val="-4"/>
                <w:sz w:val="18"/>
              </w:rPr>
              <w:t> </w:t>
            </w:r>
            <w:r>
              <w:rPr>
                <w:sz w:val="18"/>
              </w:rPr>
              <w:t>(65%)</w:t>
            </w:r>
            <w:r>
              <w:rPr>
                <w:spacing w:val="-2"/>
                <w:sz w:val="18"/>
              </w:rPr>
              <w:t> including:</w:t>
            </w:r>
          </w:p>
          <w:p>
            <w:pPr>
              <w:pStyle w:val="TableParagraph"/>
              <w:numPr>
                <w:ilvl w:val="0"/>
                <w:numId w:val="18"/>
              </w:numPr>
              <w:tabs>
                <w:tab w:pos="427" w:val="left" w:leader="none"/>
                <w:tab w:pos="428" w:val="left" w:leader="none"/>
              </w:tabs>
              <w:spacing w:line="240" w:lineRule="auto" w:before="94" w:after="0"/>
              <w:ind w:left="428" w:right="229" w:hanging="286"/>
              <w:jc w:val="left"/>
              <w:rPr>
                <w:sz w:val="18"/>
              </w:rPr>
            </w:pPr>
            <w:r>
              <w:rPr>
                <w:sz w:val="18"/>
              </w:rPr>
              <w:t>Year 9 English Teaching Learning Guide ready</w:t>
            </w:r>
            <w:r>
              <w:rPr>
                <w:spacing w:val="-9"/>
                <w:sz w:val="18"/>
              </w:rPr>
              <w:t> </w:t>
            </w:r>
            <w:r>
              <w:rPr>
                <w:sz w:val="18"/>
              </w:rPr>
              <w:t>for</w:t>
            </w:r>
            <w:r>
              <w:rPr>
                <w:spacing w:val="-9"/>
                <w:sz w:val="18"/>
              </w:rPr>
              <w:t> </w:t>
            </w:r>
            <w:r>
              <w:rPr>
                <w:sz w:val="18"/>
              </w:rPr>
              <w:t>desktop</w:t>
            </w:r>
            <w:r>
              <w:rPr>
                <w:spacing w:val="-9"/>
                <w:sz w:val="18"/>
              </w:rPr>
              <w:t> </w:t>
            </w:r>
            <w:r>
              <w:rPr>
                <w:sz w:val="18"/>
              </w:rPr>
              <w:t>publishing</w:t>
            </w:r>
            <w:r>
              <w:rPr>
                <w:spacing w:val="-9"/>
                <w:sz w:val="18"/>
              </w:rPr>
              <w:t> </w:t>
            </w:r>
            <w:r>
              <w:rPr>
                <w:sz w:val="18"/>
              </w:rPr>
              <w:t>and</w:t>
            </w:r>
            <w:r>
              <w:rPr>
                <w:spacing w:val="-8"/>
                <w:sz w:val="18"/>
              </w:rPr>
              <w:t> </w:t>
            </w:r>
            <w:r>
              <w:rPr>
                <w:sz w:val="18"/>
              </w:rPr>
              <w:t>printing</w:t>
            </w:r>
          </w:p>
          <w:p>
            <w:pPr>
              <w:pStyle w:val="TableParagraph"/>
              <w:numPr>
                <w:ilvl w:val="0"/>
                <w:numId w:val="18"/>
              </w:numPr>
              <w:tabs>
                <w:tab w:pos="427" w:val="left" w:leader="none"/>
                <w:tab w:pos="428" w:val="left" w:leader="none"/>
              </w:tabs>
              <w:spacing w:line="240" w:lineRule="auto" w:before="99" w:after="0"/>
              <w:ind w:left="428" w:right="211" w:hanging="286"/>
              <w:jc w:val="left"/>
              <w:rPr>
                <w:sz w:val="18"/>
              </w:rPr>
            </w:pPr>
            <w:r>
              <w:rPr>
                <w:sz w:val="18"/>
              </w:rPr>
              <w:t>Year 9 Social Studies Teaching Learning Guide</w:t>
            </w:r>
            <w:r>
              <w:rPr>
                <w:spacing w:val="-10"/>
                <w:sz w:val="18"/>
              </w:rPr>
              <w:t> </w:t>
            </w:r>
            <w:r>
              <w:rPr>
                <w:sz w:val="18"/>
              </w:rPr>
              <w:t>for</w:t>
            </w:r>
            <w:r>
              <w:rPr>
                <w:spacing w:val="-9"/>
                <w:sz w:val="18"/>
              </w:rPr>
              <w:t> </w:t>
            </w:r>
            <w:r>
              <w:rPr>
                <w:sz w:val="18"/>
              </w:rPr>
              <w:t>desktop</w:t>
            </w:r>
            <w:r>
              <w:rPr>
                <w:spacing w:val="-8"/>
                <w:sz w:val="18"/>
              </w:rPr>
              <w:t> </w:t>
            </w:r>
            <w:r>
              <w:rPr>
                <w:sz w:val="18"/>
              </w:rPr>
              <w:t>publishing</w:t>
            </w:r>
            <w:r>
              <w:rPr>
                <w:spacing w:val="-10"/>
                <w:sz w:val="18"/>
              </w:rPr>
              <w:t> </w:t>
            </w:r>
            <w:r>
              <w:rPr>
                <w:sz w:val="18"/>
              </w:rPr>
              <w:t>and</w:t>
            </w:r>
            <w:r>
              <w:rPr>
                <w:spacing w:val="-8"/>
                <w:sz w:val="18"/>
              </w:rPr>
              <w:t> </w:t>
            </w:r>
            <w:r>
              <w:rPr>
                <w:sz w:val="18"/>
              </w:rPr>
              <w:t>printing</w:t>
            </w:r>
          </w:p>
          <w:p>
            <w:pPr>
              <w:pStyle w:val="TableParagraph"/>
              <w:numPr>
                <w:ilvl w:val="0"/>
                <w:numId w:val="18"/>
              </w:numPr>
              <w:tabs>
                <w:tab w:pos="427" w:val="left" w:leader="none"/>
                <w:tab w:pos="428" w:val="left" w:leader="none"/>
              </w:tabs>
              <w:spacing w:line="240" w:lineRule="auto" w:before="96" w:after="0"/>
              <w:ind w:left="428" w:right="468" w:hanging="286"/>
              <w:jc w:val="left"/>
              <w:rPr>
                <w:sz w:val="18"/>
              </w:rPr>
            </w:pPr>
            <w:r>
              <w:rPr>
                <w:sz w:val="18"/>
              </w:rPr>
              <w:t>Year</w:t>
            </w:r>
            <w:r>
              <w:rPr>
                <w:spacing w:val="-7"/>
                <w:sz w:val="18"/>
              </w:rPr>
              <w:t> </w:t>
            </w:r>
            <w:r>
              <w:rPr>
                <w:sz w:val="18"/>
              </w:rPr>
              <w:t>8</w:t>
            </w:r>
            <w:r>
              <w:rPr>
                <w:spacing w:val="-6"/>
                <w:sz w:val="18"/>
              </w:rPr>
              <w:t> </w:t>
            </w:r>
            <w:r>
              <w:rPr>
                <w:sz w:val="18"/>
              </w:rPr>
              <w:t>Maths</w:t>
            </w:r>
            <w:r>
              <w:rPr>
                <w:spacing w:val="-7"/>
                <w:sz w:val="18"/>
              </w:rPr>
              <w:t> </w:t>
            </w:r>
            <w:r>
              <w:rPr>
                <w:sz w:val="18"/>
              </w:rPr>
              <w:t>Teacher</w:t>
            </w:r>
            <w:r>
              <w:rPr>
                <w:spacing w:val="-6"/>
                <w:sz w:val="18"/>
              </w:rPr>
              <w:t> </w:t>
            </w:r>
            <w:r>
              <w:rPr>
                <w:sz w:val="18"/>
              </w:rPr>
              <w:t>Guide</w:t>
            </w:r>
            <w:r>
              <w:rPr>
                <w:spacing w:val="-7"/>
                <w:sz w:val="18"/>
              </w:rPr>
              <w:t> </w:t>
            </w:r>
            <w:r>
              <w:rPr>
                <w:sz w:val="18"/>
              </w:rPr>
              <w:t>ready</w:t>
            </w:r>
            <w:r>
              <w:rPr>
                <w:spacing w:val="-6"/>
                <w:sz w:val="18"/>
              </w:rPr>
              <w:t> </w:t>
            </w:r>
            <w:r>
              <w:rPr>
                <w:sz w:val="18"/>
              </w:rPr>
              <w:t>for </w:t>
            </w:r>
            <w:r>
              <w:rPr>
                <w:spacing w:val="-2"/>
                <w:sz w:val="18"/>
              </w:rPr>
              <w:t>printing</w:t>
            </w:r>
          </w:p>
          <w:p>
            <w:pPr>
              <w:pStyle w:val="TableParagraph"/>
              <w:numPr>
                <w:ilvl w:val="0"/>
                <w:numId w:val="18"/>
              </w:numPr>
              <w:tabs>
                <w:tab w:pos="427" w:val="left" w:leader="none"/>
                <w:tab w:pos="428" w:val="left" w:leader="none"/>
              </w:tabs>
              <w:spacing w:line="240" w:lineRule="auto" w:before="96" w:after="0"/>
              <w:ind w:left="428" w:right="468" w:hanging="286"/>
              <w:jc w:val="left"/>
              <w:rPr>
                <w:sz w:val="18"/>
              </w:rPr>
            </w:pPr>
            <w:r>
              <w:rPr>
                <w:sz w:val="18"/>
              </w:rPr>
              <w:t>Year</w:t>
            </w:r>
            <w:r>
              <w:rPr>
                <w:spacing w:val="-7"/>
                <w:sz w:val="18"/>
              </w:rPr>
              <w:t> </w:t>
            </w:r>
            <w:r>
              <w:rPr>
                <w:sz w:val="18"/>
              </w:rPr>
              <w:t>9</w:t>
            </w:r>
            <w:r>
              <w:rPr>
                <w:spacing w:val="-6"/>
                <w:sz w:val="18"/>
              </w:rPr>
              <w:t> </w:t>
            </w:r>
            <w:r>
              <w:rPr>
                <w:sz w:val="18"/>
              </w:rPr>
              <w:t>Maths</w:t>
            </w:r>
            <w:r>
              <w:rPr>
                <w:spacing w:val="-7"/>
                <w:sz w:val="18"/>
              </w:rPr>
              <w:t> </w:t>
            </w:r>
            <w:r>
              <w:rPr>
                <w:sz w:val="18"/>
              </w:rPr>
              <w:t>Teacher</w:t>
            </w:r>
            <w:r>
              <w:rPr>
                <w:spacing w:val="-6"/>
                <w:sz w:val="18"/>
              </w:rPr>
              <w:t> </w:t>
            </w:r>
            <w:r>
              <w:rPr>
                <w:sz w:val="18"/>
              </w:rPr>
              <w:t>Guide</w:t>
            </w:r>
            <w:r>
              <w:rPr>
                <w:spacing w:val="-7"/>
                <w:sz w:val="18"/>
              </w:rPr>
              <w:t> </w:t>
            </w:r>
            <w:r>
              <w:rPr>
                <w:sz w:val="18"/>
              </w:rPr>
              <w:t>ready</w:t>
            </w:r>
            <w:r>
              <w:rPr>
                <w:spacing w:val="-6"/>
                <w:sz w:val="18"/>
              </w:rPr>
              <w:t> </w:t>
            </w:r>
            <w:r>
              <w:rPr>
                <w:sz w:val="18"/>
              </w:rPr>
              <w:t>for desktop publishing and printing</w:t>
            </w:r>
          </w:p>
          <w:p>
            <w:pPr>
              <w:pStyle w:val="TableParagraph"/>
              <w:numPr>
                <w:ilvl w:val="0"/>
                <w:numId w:val="18"/>
              </w:numPr>
              <w:tabs>
                <w:tab w:pos="427" w:val="left" w:leader="none"/>
                <w:tab w:pos="428" w:val="left" w:leader="none"/>
              </w:tabs>
              <w:spacing w:line="240" w:lineRule="auto" w:before="95" w:after="0"/>
              <w:ind w:left="428" w:right="312" w:hanging="286"/>
              <w:jc w:val="left"/>
              <w:rPr>
                <w:sz w:val="18"/>
              </w:rPr>
            </w:pPr>
            <w:r>
              <w:rPr>
                <w:sz w:val="18"/>
              </w:rPr>
              <w:t>Senior</w:t>
            </w:r>
            <w:r>
              <w:rPr>
                <w:spacing w:val="-11"/>
                <w:sz w:val="18"/>
              </w:rPr>
              <w:t> </w:t>
            </w:r>
            <w:r>
              <w:rPr>
                <w:sz w:val="18"/>
              </w:rPr>
              <w:t>secondary</w:t>
            </w:r>
            <w:r>
              <w:rPr>
                <w:spacing w:val="-10"/>
                <w:sz w:val="18"/>
              </w:rPr>
              <w:t> </w:t>
            </w:r>
            <w:r>
              <w:rPr>
                <w:sz w:val="18"/>
              </w:rPr>
              <w:t>curriculum</w:t>
            </w:r>
            <w:r>
              <w:rPr>
                <w:spacing w:val="-10"/>
                <w:sz w:val="18"/>
              </w:rPr>
              <w:t> </w:t>
            </w:r>
            <w:r>
              <w:rPr>
                <w:sz w:val="18"/>
              </w:rPr>
              <w:t>framework </w:t>
            </w:r>
            <w:r>
              <w:rPr>
                <w:spacing w:val="-2"/>
                <w:sz w:val="18"/>
              </w:rPr>
              <w:t>complete</w:t>
            </w:r>
          </w:p>
          <w:p>
            <w:pPr>
              <w:pStyle w:val="TableParagraph"/>
              <w:numPr>
                <w:ilvl w:val="0"/>
                <w:numId w:val="18"/>
              </w:numPr>
              <w:tabs>
                <w:tab w:pos="427" w:val="left" w:leader="none"/>
                <w:tab w:pos="428" w:val="left" w:leader="none"/>
              </w:tabs>
              <w:spacing w:line="240" w:lineRule="auto" w:before="96" w:after="0"/>
              <w:ind w:left="428" w:right="0" w:hanging="286"/>
              <w:jc w:val="left"/>
              <w:rPr>
                <w:sz w:val="18"/>
              </w:rPr>
            </w:pPr>
            <w:r>
              <w:rPr>
                <w:sz w:val="18"/>
              </w:rPr>
              <w:t>Syllabi</w:t>
            </w:r>
            <w:r>
              <w:rPr>
                <w:spacing w:val="-2"/>
                <w:sz w:val="18"/>
              </w:rPr>
              <w:t> </w:t>
            </w:r>
            <w:r>
              <w:rPr>
                <w:sz w:val="18"/>
              </w:rPr>
              <w:t>developed</w:t>
            </w:r>
            <w:r>
              <w:rPr>
                <w:spacing w:val="-4"/>
                <w:sz w:val="18"/>
              </w:rPr>
              <w:t> </w:t>
            </w:r>
            <w:r>
              <w:rPr>
                <w:sz w:val="18"/>
              </w:rPr>
              <w:t>in</w:t>
            </w:r>
            <w:r>
              <w:rPr>
                <w:spacing w:val="-3"/>
                <w:sz w:val="18"/>
              </w:rPr>
              <w:t> </w:t>
            </w:r>
            <w:r>
              <w:rPr>
                <w:sz w:val="18"/>
              </w:rPr>
              <w:t>priority</w:t>
            </w:r>
            <w:r>
              <w:rPr>
                <w:spacing w:val="-2"/>
                <w:sz w:val="18"/>
              </w:rPr>
              <w:t> subject(s)</w:t>
            </w:r>
          </w:p>
        </w:tc>
        <w:tc>
          <w:tcPr>
            <w:tcW w:w="3120" w:type="dxa"/>
          </w:tcPr>
          <w:p>
            <w:pPr>
              <w:pStyle w:val="TableParagraph"/>
              <w:numPr>
                <w:ilvl w:val="0"/>
                <w:numId w:val="19"/>
              </w:numPr>
              <w:tabs>
                <w:tab w:pos="428" w:val="left" w:leader="none"/>
                <w:tab w:pos="429" w:val="left" w:leader="none"/>
              </w:tabs>
              <w:spacing w:line="240" w:lineRule="auto" w:before="1" w:after="0"/>
              <w:ind w:left="428" w:right="674" w:hanging="286"/>
              <w:jc w:val="left"/>
              <w:rPr>
                <w:sz w:val="18"/>
              </w:rPr>
            </w:pPr>
            <w:r>
              <w:rPr>
                <w:sz w:val="18"/>
              </w:rPr>
              <w:t>Quarterly</w:t>
            </w:r>
            <w:r>
              <w:rPr>
                <w:spacing w:val="-11"/>
                <w:sz w:val="18"/>
              </w:rPr>
              <w:t> </w:t>
            </w:r>
            <w:r>
              <w:rPr>
                <w:sz w:val="18"/>
              </w:rPr>
              <w:t>Progress</w:t>
            </w:r>
            <w:r>
              <w:rPr>
                <w:spacing w:val="-10"/>
                <w:sz w:val="18"/>
              </w:rPr>
              <w:t> </w:t>
            </w:r>
            <w:r>
              <w:rPr>
                <w:sz w:val="18"/>
              </w:rPr>
              <w:t>report</w:t>
            </w:r>
            <w:r>
              <w:rPr>
                <w:spacing w:val="-10"/>
                <w:sz w:val="18"/>
              </w:rPr>
              <w:t> </w:t>
            </w:r>
            <w:r>
              <w:rPr>
                <w:sz w:val="18"/>
              </w:rPr>
              <w:t>– SES/Schools</w:t>
            </w:r>
            <w:r>
              <w:rPr>
                <w:spacing w:val="-2"/>
                <w:sz w:val="18"/>
              </w:rPr>
              <w:t> </w:t>
            </w:r>
            <w:r>
              <w:rPr>
                <w:sz w:val="18"/>
              </w:rPr>
              <w:t>Division</w:t>
            </w:r>
          </w:p>
          <w:p>
            <w:pPr>
              <w:pStyle w:val="TableParagraph"/>
              <w:numPr>
                <w:ilvl w:val="0"/>
                <w:numId w:val="19"/>
              </w:numPr>
              <w:tabs>
                <w:tab w:pos="428" w:val="left" w:leader="none"/>
                <w:tab w:pos="429" w:val="left" w:leader="none"/>
              </w:tabs>
              <w:spacing w:line="240" w:lineRule="auto" w:before="96" w:after="0"/>
              <w:ind w:left="428" w:right="392" w:hanging="286"/>
              <w:jc w:val="left"/>
              <w:rPr>
                <w:sz w:val="18"/>
              </w:rPr>
            </w:pPr>
            <w:r>
              <w:rPr>
                <w:sz w:val="18"/>
              </w:rPr>
              <w:t>Evaluation</w:t>
            </w:r>
            <w:r>
              <w:rPr>
                <w:spacing w:val="-11"/>
                <w:sz w:val="18"/>
              </w:rPr>
              <w:t> </w:t>
            </w:r>
            <w:r>
              <w:rPr>
                <w:sz w:val="18"/>
              </w:rPr>
              <w:t>Report</w:t>
            </w:r>
            <w:r>
              <w:rPr>
                <w:spacing w:val="-10"/>
                <w:sz w:val="18"/>
              </w:rPr>
              <w:t> </w:t>
            </w:r>
            <w:r>
              <w:rPr>
                <w:sz w:val="18"/>
              </w:rPr>
              <w:t>–</w:t>
            </w:r>
            <w:r>
              <w:rPr>
                <w:spacing w:val="-10"/>
                <w:sz w:val="18"/>
              </w:rPr>
              <w:t> </w:t>
            </w:r>
            <w:r>
              <w:rPr>
                <w:sz w:val="18"/>
              </w:rPr>
              <w:t>SES/School </w:t>
            </w:r>
            <w:r>
              <w:rPr>
                <w:spacing w:val="-2"/>
                <w:sz w:val="18"/>
              </w:rPr>
              <w:t>Division</w:t>
            </w:r>
          </w:p>
          <w:p>
            <w:pPr>
              <w:pStyle w:val="TableParagraph"/>
              <w:numPr>
                <w:ilvl w:val="0"/>
                <w:numId w:val="19"/>
              </w:numPr>
              <w:tabs>
                <w:tab w:pos="428" w:val="left" w:leader="none"/>
                <w:tab w:pos="429" w:val="left" w:leader="none"/>
              </w:tabs>
              <w:spacing w:line="240" w:lineRule="auto" w:before="95" w:after="0"/>
              <w:ind w:left="428" w:right="604" w:hanging="286"/>
              <w:jc w:val="left"/>
              <w:rPr>
                <w:sz w:val="18"/>
              </w:rPr>
            </w:pPr>
            <w:r>
              <w:rPr>
                <w:sz w:val="18"/>
              </w:rPr>
              <w:t>Quarterly</w:t>
            </w:r>
            <w:r>
              <w:rPr>
                <w:spacing w:val="-11"/>
                <w:sz w:val="18"/>
              </w:rPr>
              <w:t> </w:t>
            </w:r>
            <w:r>
              <w:rPr>
                <w:sz w:val="18"/>
              </w:rPr>
              <w:t>Progress</w:t>
            </w:r>
            <w:r>
              <w:rPr>
                <w:spacing w:val="-10"/>
                <w:sz w:val="18"/>
              </w:rPr>
              <w:t> </w:t>
            </w:r>
            <w:r>
              <w:rPr>
                <w:sz w:val="18"/>
              </w:rPr>
              <w:t>reports</w:t>
            </w:r>
            <w:r>
              <w:rPr>
                <w:spacing w:val="-10"/>
                <w:sz w:val="18"/>
              </w:rPr>
              <w:t> </w:t>
            </w:r>
            <w:r>
              <w:rPr>
                <w:sz w:val="18"/>
              </w:rPr>
              <w:t>– Curriculum Division</w:t>
            </w:r>
          </w:p>
          <w:p>
            <w:pPr>
              <w:pStyle w:val="TableParagraph"/>
              <w:numPr>
                <w:ilvl w:val="0"/>
                <w:numId w:val="19"/>
              </w:numPr>
              <w:tabs>
                <w:tab w:pos="428" w:val="left" w:leader="none"/>
                <w:tab w:pos="429" w:val="left" w:leader="none"/>
              </w:tabs>
              <w:spacing w:line="240" w:lineRule="auto" w:before="96" w:after="0"/>
              <w:ind w:left="428" w:right="0" w:hanging="286"/>
              <w:jc w:val="left"/>
              <w:rPr>
                <w:sz w:val="18"/>
              </w:rPr>
            </w:pPr>
            <w:r>
              <w:rPr>
                <w:sz w:val="18"/>
              </w:rPr>
              <w:t>Key</w:t>
            </w:r>
            <w:r>
              <w:rPr>
                <w:spacing w:val="-2"/>
                <w:sz w:val="18"/>
              </w:rPr>
              <w:t> </w:t>
            </w:r>
            <w:r>
              <w:rPr>
                <w:sz w:val="18"/>
              </w:rPr>
              <w:t>Output</w:t>
            </w:r>
            <w:r>
              <w:rPr>
                <w:spacing w:val="-1"/>
                <w:sz w:val="18"/>
              </w:rPr>
              <w:t> </w:t>
            </w:r>
            <w:r>
              <w:rPr>
                <w:sz w:val="18"/>
              </w:rPr>
              <w:t>Report</w:t>
            </w:r>
            <w:r>
              <w:rPr>
                <w:spacing w:val="-1"/>
                <w:sz w:val="18"/>
              </w:rPr>
              <w:t> </w:t>
            </w:r>
            <w:r>
              <w:rPr>
                <w:sz w:val="18"/>
              </w:rPr>
              <w:t>-</w:t>
            </w:r>
            <w:r>
              <w:rPr>
                <w:spacing w:val="-1"/>
                <w:sz w:val="18"/>
              </w:rPr>
              <w:t> </w:t>
            </w:r>
            <w:r>
              <w:rPr>
                <w:spacing w:val="-2"/>
                <w:sz w:val="18"/>
              </w:rPr>
              <w:t>Curriculum</w:t>
            </w:r>
          </w:p>
          <w:p>
            <w:pPr>
              <w:pStyle w:val="TableParagraph"/>
              <w:numPr>
                <w:ilvl w:val="0"/>
                <w:numId w:val="19"/>
              </w:numPr>
              <w:tabs>
                <w:tab w:pos="428" w:val="left" w:leader="none"/>
                <w:tab w:pos="429" w:val="left" w:leader="none"/>
              </w:tabs>
              <w:spacing w:line="240" w:lineRule="auto" w:before="98" w:after="0"/>
              <w:ind w:left="428" w:right="0" w:hanging="286"/>
              <w:jc w:val="left"/>
              <w:rPr>
                <w:sz w:val="18"/>
              </w:rPr>
            </w:pPr>
            <w:r>
              <w:rPr>
                <w:sz w:val="18"/>
              </w:rPr>
              <w:t>Completion</w:t>
            </w:r>
            <w:r>
              <w:rPr>
                <w:spacing w:val="-3"/>
                <w:sz w:val="18"/>
              </w:rPr>
              <w:t> </w:t>
            </w:r>
            <w:r>
              <w:rPr>
                <w:sz w:val="18"/>
              </w:rPr>
              <w:t>report</w:t>
            </w:r>
            <w:r>
              <w:rPr>
                <w:spacing w:val="-1"/>
                <w:sz w:val="18"/>
              </w:rPr>
              <w:t> </w:t>
            </w:r>
            <w:r>
              <w:rPr>
                <w:sz w:val="18"/>
              </w:rPr>
              <w:t>–</w:t>
            </w:r>
            <w:r>
              <w:rPr>
                <w:spacing w:val="-2"/>
                <w:sz w:val="18"/>
              </w:rPr>
              <w:t> Cognition</w:t>
            </w:r>
          </w:p>
          <w:p>
            <w:pPr>
              <w:pStyle w:val="TableParagraph"/>
              <w:numPr>
                <w:ilvl w:val="0"/>
                <w:numId w:val="19"/>
              </w:numPr>
              <w:tabs>
                <w:tab w:pos="428" w:val="left" w:leader="none"/>
                <w:tab w:pos="429" w:val="left" w:leader="none"/>
              </w:tabs>
              <w:spacing w:line="240" w:lineRule="auto" w:before="97" w:after="0"/>
              <w:ind w:left="428" w:right="0" w:hanging="286"/>
              <w:jc w:val="left"/>
              <w:rPr>
                <w:sz w:val="18"/>
              </w:rPr>
            </w:pPr>
            <w:r>
              <w:rPr>
                <w:sz w:val="18"/>
              </w:rPr>
              <w:t>Output</w:t>
            </w:r>
            <w:r>
              <w:rPr>
                <w:spacing w:val="-3"/>
                <w:sz w:val="18"/>
              </w:rPr>
              <w:t> </w:t>
            </w:r>
            <w:r>
              <w:rPr>
                <w:sz w:val="18"/>
              </w:rPr>
              <w:t>Indicator</w:t>
            </w:r>
            <w:r>
              <w:rPr>
                <w:spacing w:val="-2"/>
                <w:sz w:val="18"/>
              </w:rPr>
              <w:t> Tracker</w:t>
            </w:r>
          </w:p>
          <w:p>
            <w:pPr>
              <w:pStyle w:val="TableParagraph"/>
              <w:numPr>
                <w:ilvl w:val="0"/>
                <w:numId w:val="19"/>
              </w:numPr>
              <w:tabs>
                <w:tab w:pos="428" w:val="left" w:leader="none"/>
                <w:tab w:pos="429" w:val="left" w:leader="none"/>
              </w:tabs>
              <w:spacing w:line="240" w:lineRule="auto" w:before="95" w:after="0"/>
              <w:ind w:left="428" w:right="0" w:hanging="286"/>
              <w:jc w:val="left"/>
              <w:rPr>
                <w:sz w:val="18"/>
              </w:rPr>
            </w:pPr>
            <w:r>
              <w:rPr>
                <w:sz w:val="18"/>
              </w:rPr>
              <w:t>Annual</w:t>
            </w:r>
            <w:r>
              <w:rPr>
                <w:spacing w:val="-4"/>
                <w:sz w:val="18"/>
              </w:rPr>
              <w:t> </w:t>
            </w:r>
            <w:r>
              <w:rPr>
                <w:sz w:val="18"/>
              </w:rPr>
              <w:t>Report</w:t>
            </w:r>
            <w:r>
              <w:rPr>
                <w:spacing w:val="-3"/>
                <w:sz w:val="18"/>
              </w:rPr>
              <w:t> </w:t>
            </w:r>
            <w:r>
              <w:rPr>
                <w:spacing w:val="-4"/>
                <w:sz w:val="18"/>
              </w:rPr>
              <w:t>2018</w:t>
            </w:r>
          </w:p>
          <w:p>
            <w:pPr>
              <w:pStyle w:val="TableParagraph"/>
              <w:numPr>
                <w:ilvl w:val="0"/>
                <w:numId w:val="19"/>
              </w:numPr>
              <w:tabs>
                <w:tab w:pos="428" w:val="left" w:leader="none"/>
                <w:tab w:pos="429" w:val="left" w:leader="none"/>
              </w:tabs>
              <w:spacing w:line="240" w:lineRule="auto" w:before="97" w:after="0"/>
              <w:ind w:left="428" w:right="0" w:hanging="286"/>
              <w:jc w:val="left"/>
              <w:rPr>
                <w:sz w:val="18"/>
              </w:rPr>
            </w:pPr>
            <w:r>
              <w:rPr>
                <w:sz w:val="18"/>
              </w:rPr>
              <w:t>Mid</w:t>
            </w:r>
            <w:r>
              <w:rPr>
                <w:spacing w:val="-3"/>
                <w:sz w:val="18"/>
              </w:rPr>
              <w:t> </w:t>
            </w:r>
            <w:r>
              <w:rPr>
                <w:sz w:val="18"/>
              </w:rPr>
              <w:t>NEAP</w:t>
            </w:r>
            <w:r>
              <w:rPr>
                <w:spacing w:val="-2"/>
                <w:sz w:val="18"/>
              </w:rPr>
              <w:t> </w:t>
            </w:r>
            <w:r>
              <w:rPr>
                <w:sz w:val="18"/>
              </w:rPr>
              <w:t>Review</w:t>
            </w:r>
            <w:r>
              <w:rPr>
                <w:spacing w:val="-3"/>
                <w:sz w:val="18"/>
              </w:rPr>
              <w:t> </w:t>
            </w:r>
            <w:r>
              <w:rPr>
                <w:sz w:val="18"/>
              </w:rPr>
              <w:t>Findings</w:t>
            </w:r>
            <w:r>
              <w:rPr>
                <w:spacing w:val="-2"/>
                <w:sz w:val="18"/>
              </w:rPr>
              <w:t> report</w:t>
            </w:r>
          </w:p>
        </w:tc>
      </w:tr>
      <w:tr>
        <w:trPr>
          <w:trHeight w:val="1317" w:hRule="atLeast"/>
        </w:trPr>
        <w:tc>
          <w:tcPr>
            <w:tcW w:w="816" w:type="dxa"/>
          </w:tcPr>
          <w:p>
            <w:pPr>
              <w:pStyle w:val="TableParagraph"/>
              <w:spacing w:before="1"/>
              <w:ind w:left="107"/>
              <w:rPr>
                <w:b/>
                <w:sz w:val="18"/>
              </w:rPr>
            </w:pPr>
            <w:r>
              <w:rPr>
                <w:b/>
                <w:spacing w:val="-2"/>
                <w:sz w:val="18"/>
              </w:rPr>
              <w:t>Quality</w:t>
            </w:r>
          </w:p>
        </w:tc>
        <w:tc>
          <w:tcPr>
            <w:tcW w:w="880" w:type="dxa"/>
          </w:tcPr>
          <w:p>
            <w:pPr>
              <w:pStyle w:val="TableParagraph"/>
              <w:spacing w:before="1"/>
              <w:ind w:left="247" w:right="159" w:hanging="72"/>
              <w:rPr>
                <w:sz w:val="18"/>
              </w:rPr>
            </w:pPr>
            <w:r>
              <w:rPr>
                <w:spacing w:val="-2"/>
                <w:sz w:val="18"/>
              </w:rPr>
              <w:t>IO2.3.1</w:t>
            </w:r>
            <w:r>
              <w:rPr>
                <w:sz w:val="18"/>
              </w:rPr>
              <w:t> </w:t>
            </w:r>
            <w:r>
              <w:rPr>
                <w:spacing w:val="-2"/>
                <w:sz w:val="18"/>
              </w:rPr>
              <w:t>(137)</w:t>
            </w:r>
          </w:p>
        </w:tc>
        <w:tc>
          <w:tcPr>
            <w:tcW w:w="1132" w:type="dxa"/>
          </w:tcPr>
          <w:p>
            <w:pPr>
              <w:pStyle w:val="TableParagraph"/>
              <w:spacing w:line="219" w:lineRule="exact" w:before="1"/>
              <w:ind w:left="109"/>
              <w:rPr>
                <w:sz w:val="18"/>
              </w:rPr>
            </w:pPr>
            <w:r>
              <w:rPr>
                <w:spacing w:val="-5"/>
                <w:sz w:val="18"/>
              </w:rPr>
              <w:t>2.2</w:t>
            </w:r>
          </w:p>
          <w:p>
            <w:pPr>
              <w:pStyle w:val="TableParagraph"/>
              <w:ind w:left="109" w:right="291"/>
              <w:rPr>
                <w:sz w:val="18"/>
              </w:rPr>
            </w:pPr>
            <w:r>
              <w:rPr>
                <w:spacing w:val="-2"/>
                <w:sz w:val="18"/>
              </w:rPr>
              <w:t>Teachers</w:t>
            </w:r>
            <w:r>
              <w:rPr>
                <w:sz w:val="18"/>
              </w:rPr>
              <w:t> </w:t>
            </w:r>
            <w:r>
              <w:rPr>
                <w:spacing w:val="-2"/>
                <w:sz w:val="18"/>
              </w:rPr>
              <w:t>meeting</w:t>
            </w:r>
            <w:r>
              <w:rPr>
                <w:sz w:val="18"/>
              </w:rPr>
              <w:t> </w:t>
            </w:r>
            <w:r>
              <w:rPr>
                <w:spacing w:val="-2"/>
                <w:sz w:val="18"/>
              </w:rPr>
              <w:t>agreed</w:t>
            </w:r>
            <w:r>
              <w:rPr>
                <w:sz w:val="18"/>
              </w:rPr>
              <w:t> </w:t>
            </w:r>
            <w:r>
              <w:rPr>
                <w:spacing w:val="-2"/>
                <w:sz w:val="18"/>
              </w:rPr>
              <w:t>standards</w:t>
            </w:r>
          </w:p>
        </w:tc>
        <w:tc>
          <w:tcPr>
            <w:tcW w:w="4253" w:type="dxa"/>
          </w:tcPr>
          <w:p>
            <w:pPr>
              <w:pStyle w:val="TableParagraph"/>
              <w:spacing w:before="1"/>
              <w:ind w:left="109" w:right="116"/>
              <w:rPr>
                <w:sz w:val="18"/>
              </w:rPr>
            </w:pPr>
            <w:r>
              <w:rPr>
                <w:sz w:val="18"/>
              </w:rPr>
              <w:t>2.2.1</w:t>
            </w:r>
            <w:r>
              <w:rPr>
                <w:spacing w:val="80"/>
                <w:sz w:val="18"/>
              </w:rPr>
              <w:t> </w:t>
            </w:r>
            <w:r>
              <w:rPr>
                <w:sz w:val="18"/>
              </w:rPr>
              <w:t>By the end of 2018, revised National professional</w:t>
            </w:r>
            <w:r>
              <w:rPr>
                <w:spacing w:val="-7"/>
                <w:sz w:val="18"/>
              </w:rPr>
              <w:t> </w:t>
            </w:r>
            <w:r>
              <w:rPr>
                <w:sz w:val="18"/>
              </w:rPr>
              <w:t>standards</w:t>
            </w:r>
            <w:r>
              <w:rPr>
                <w:spacing w:val="-9"/>
                <w:sz w:val="18"/>
              </w:rPr>
              <w:t> </w:t>
            </w:r>
            <w:r>
              <w:rPr>
                <w:sz w:val="18"/>
              </w:rPr>
              <w:t>for</w:t>
            </w:r>
            <w:r>
              <w:rPr>
                <w:spacing w:val="-8"/>
                <w:sz w:val="18"/>
              </w:rPr>
              <w:t> </w:t>
            </w:r>
            <w:r>
              <w:rPr>
                <w:sz w:val="18"/>
              </w:rPr>
              <w:t>teachers</w:t>
            </w:r>
            <w:r>
              <w:rPr>
                <w:spacing w:val="-9"/>
                <w:sz w:val="18"/>
              </w:rPr>
              <w:t> </w:t>
            </w:r>
            <w:r>
              <w:rPr>
                <w:sz w:val="18"/>
              </w:rPr>
              <w:t>(within</w:t>
            </w:r>
            <w:r>
              <w:rPr>
                <w:spacing w:val="-9"/>
                <w:sz w:val="18"/>
              </w:rPr>
              <w:t> </w:t>
            </w:r>
            <w:r>
              <w:rPr>
                <w:sz w:val="18"/>
              </w:rPr>
              <w:t>Teacher Service</w:t>
            </w:r>
            <w:r>
              <w:rPr>
                <w:spacing w:val="-2"/>
                <w:sz w:val="18"/>
              </w:rPr>
              <w:t> </w:t>
            </w:r>
            <w:r>
              <w:rPr>
                <w:sz w:val="18"/>
              </w:rPr>
              <w:t>Handbook)</w:t>
            </w:r>
          </w:p>
        </w:tc>
        <w:tc>
          <w:tcPr>
            <w:tcW w:w="993" w:type="dxa"/>
          </w:tcPr>
          <w:p>
            <w:pPr>
              <w:pStyle w:val="TableParagraph"/>
              <w:spacing w:line="219" w:lineRule="exact" w:before="1"/>
              <w:ind w:left="110"/>
              <w:rPr>
                <w:sz w:val="18"/>
              </w:rPr>
            </w:pPr>
            <w:r>
              <w:rPr>
                <w:spacing w:val="-4"/>
                <w:sz w:val="18"/>
              </w:rPr>
              <w:t>TPDD</w:t>
            </w:r>
          </w:p>
          <w:p>
            <w:pPr>
              <w:pStyle w:val="TableParagraph"/>
              <w:spacing w:line="219" w:lineRule="exact"/>
              <w:ind w:left="110"/>
              <w:rPr>
                <w:sz w:val="18"/>
              </w:rPr>
            </w:pPr>
            <w:r>
              <w:rPr>
                <w:spacing w:val="-2"/>
                <w:sz w:val="18"/>
              </w:rPr>
              <w:t>Standards</w:t>
            </w:r>
          </w:p>
        </w:tc>
        <w:tc>
          <w:tcPr>
            <w:tcW w:w="3684" w:type="dxa"/>
          </w:tcPr>
          <w:p>
            <w:pPr>
              <w:pStyle w:val="TableParagraph"/>
              <w:numPr>
                <w:ilvl w:val="0"/>
                <w:numId w:val="20"/>
              </w:numPr>
              <w:tabs>
                <w:tab w:pos="471" w:val="left" w:leader="none"/>
                <w:tab w:pos="472" w:val="left" w:leader="none"/>
              </w:tabs>
              <w:spacing w:line="240" w:lineRule="auto" w:before="1" w:after="0"/>
              <w:ind w:left="471" w:right="308" w:hanging="360"/>
              <w:jc w:val="left"/>
              <w:rPr>
                <w:sz w:val="18"/>
              </w:rPr>
            </w:pPr>
            <w:r>
              <w:rPr>
                <w:sz w:val="18"/>
              </w:rPr>
              <w:t>Revised quality National professional standards</w:t>
            </w:r>
            <w:r>
              <w:rPr>
                <w:spacing w:val="-11"/>
                <w:sz w:val="18"/>
              </w:rPr>
              <w:t> </w:t>
            </w:r>
            <w:r>
              <w:rPr>
                <w:sz w:val="18"/>
              </w:rPr>
              <w:t>draft</w:t>
            </w:r>
            <w:r>
              <w:rPr>
                <w:spacing w:val="-10"/>
                <w:sz w:val="18"/>
              </w:rPr>
              <w:t> </w:t>
            </w:r>
            <w:r>
              <w:rPr>
                <w:sz w:val="18"/>
              </w:rPr>
              <w:t>consulted</w:t>
            </w:r>
            <w:r>
              <w:rPr>
                <w:spacing w:val="-10"/>
                <w:sz w:val="18"/>
              </w:rPr>
              <w:t> </w:t>
            </w:r>
            <w:r>
              <w:rPr>
                <w:sz w:val="18"/>
              </w:rPr>
              <w:t>with</w:t>
            </w:r>
            <w:r>
              <w:rPr>
                <w:spacing w:val="-9"/>
                <w:sz w:val="18"/>
              </w:rPr>
              <w:t> </w:t>
            </w:r>
            <w:r>
              <w:rPr>
                <w:sz w:val="18"/>
              </w:rPr>
              <w:t>selected provinces</w:t>
            </w:r>
            <w:r>
              <w:rPr>
                <w:spacing w:val="-2"/>
                <w:sz w:val="18"/>
              </w:rPr>
              <w:t> </w:t>
            </w:r>
            <w:r>
              <w:rPr>
                <w:sz w:val="18"/>
              </w:rPr>
              <w:t>(50%)</w:t>
            </w:r>
          </w:p>
          <w:p>
            <w:pPr>
              <w:pStyle w:val="TableParagraph"/>
              <w:numPr>
                <w:ilvl w:val="0"/>
                <w:numId w:val="20"/>
              </w:numPr>
              <w:tabs>
                <w:tab w:pos="471" w:val="left" w:leader="none"/>
                <w:tab w:pos="472" w:val="left" w:leader="none"/>
              </w:tabs>
              <w:spacing w:line="240" w:lineRule="auto" w:before="37" w:after="0"/>
              <w:ind w:left="471" w:right="0" w:hanging="361"/>
              <w:jc w:val="left"/>
              <w:rPr>
                <w:sz w:val="18"/>
              </w:rPr>
            </w:pPr>
            <w:r>
              <w:rPr>
                <w:sz w:val="18"/>
              </w:rPr>
              <w:t>Approval</w:t>
            </w:r>
            <w:r>
              <w:rPr>
                <w:spacing w:val="-5"/>
                <w:sz w:val="18"/>
              </w:rPr>
              <w:t> </w:t>
            </w:r>
            <w:r>
              <w:rPr>
                <w:sz w:val="18"/>
              </w:rPr>
              <w:t>minute</w:t>
            </w:r>
            <w:r>
              <w:rPr>
                <w:spacing w:val="-3"/>
                <w:sz w:val="18"/>
              </w:rPr>
              <w:t> </w:t>
            </w:r>
            <w:r>
              <w:rPr>
                <w:sz w:val="18"/>
              </w:rPr>
              <w:t>from</w:t>
            </w:r>
            <w:r>
              <w:rPr>
                <w:spacing w:val="-2"/>
                <w:sz w:val="18"/>
              </w:rPr>
              <w:t> </w:t>
            </w:r>
            <w:r>
              <w:rPr>
                <w:sz w:val="18"/>
              </w:rPr>
              <w:t>SMT</w:t>
            </w:r>
            <w:r>
              <w:rPr>
                <w:spacing w:val="-1"/>
                <w:sz w:val="18"/>
              </w:rPr>
              <w:t> </w:t>
            </w:r>
            <w:r>
              <w:rPr>
                <w:spacing w:val="-4"/>
                <w:sz w:val="18"/>
              </w:rPr>
              <w:t>(50%)</w:t>
            </w:r>
          </w:p>
        </w:tc>
        <w:tc>
          <w:tcPr>
            <w:tcW w:w="3120" w:type="dxa"/>
          </w:tcPr>
          <w:p>
            <w:pPr>
              <w:pStyle w:val="TableParagraph"/>
              <w:numPr>
                <w:ilvl w:val="0"/>
                <w:numId w:val="21"/>
              </w:numPr>
              <w:tabs>
                <w:tab w:pos="471" w:val="left" w:leader="none"/>
                <w:tab w:pos="472" w:val="left" w:leader="none"/>
              </w:tabs>
              <w:spacing w:line="240" w:lineRule="auto" w:before="1" w:after="0"/>
              <w:ind w:left="471" w:right="276" w:hanging="360"/>
              <w:jc w:val="left"/>
              <w:rPr>
                <w:sz w:val="18"/>
              </w:rPr>
            </w:pPr>
            <w:r>
              <w:rPr>
                <w:sz w:val="18"/>
              </w:rPr>
              <w:t>Quarterly Progress reports – SES/Standards</w:t>
            </w:r>
            <w:r>
              <w:rPr>
                <w:spacing w:val="-11"/>
                <w:sz w:val="18"/>
              </w:rPr>
              <w:t> </w:t>
            </w:r>
            <w:r>
              <w:rPr>
                <w:sz w:val="18"/>
              </w:rPr>
              <w:t>and</w:t>
            </w:r>
            <w:r>
              <w:rPr>
                <w:spacing w:val="-10"/>
                <w:sz w:val="18"/>
              </w:rPr>
              <w:t> </w:t>
            </w:r>
            <w:r>
              <w:rPr>
                <w:sz w:val="18"/>
              </w:rPr>
              <w:t>Performance</w:t>
            </w:r>
          </w:p>
          <w:p>
            <w:pPr>
              <w:pStyle w:val="TableParagraph"/>
              <w:numPr>
                <w:ilvl w:val="0"/>
                <w:numId w:val="21"/>
              </w:numPr>
              <w:tabs>
                <w:tab w:pos="471" w:val="left" w:leader="none"/>
                <w:tab w:pos="472" w:val="left" w:leader="none"/>
              </w:tabs>
              <w:spacing w:line="240" w:lineRule="auto" w:before="38" w:after="0"/>
              <w:ind w:left="471" w:right="0" w:hanging="361"/>
              <w:jc w:val="left"/>
              <w:rPr>
                <w:sz w:val="18"/>
              </w:rPr>
            </w:pPr>
            <w:r>
              <w:rPr>
                <w:sz w:val="18"/>
              </w:rPr>
              <w:t>Annual</w:t>
            </w:r>
            <w:r>
              <w:rPr>
                <w:spacing w:val="-4"/>
                <w:sz w:val="18"/>
              </w:rPr>
              <w:t> </w:t>
            </w:r>
            <w:r>
              <w:rPr>
                <w:sz w:val="18"/>
              </w:rPr>
              <w:t>Report</w:t>
            </w:r>
            <w:r>
              <w:rPr>
                <w:spacing w:val="-3"/>
                <w:sz w:val="18"/>
              </w:rPr>
              <w:t> </w:t>
            </w:r>
            <w:r>
              <w:rPr>
                <w:spacing w:val="-4"/>
                <w:sz w:val="18"/>
              </w:rPr>
              <w:t>2018</w:t>
            </w:r>
          </w:p>
          <w:p>
            <w:pPr>
              <w:pStyle w:val="TableParagraph"/>
              <w:numPr>
                <w:ilvl w:val="0"/>
                <w:numId w:val="21"/>
              </w:numPr>
              <w:tabs>
                <w:tab w:pos="471" w:val="left" w:leader="none"/>
                <w:tab w:pos="472" w:val="left" w:leader="none"/>
              </w:tabs>
              <w:spacing w:line="240" w:lineRule="auto" w:before="40" w:after="0"/>
              <w:ind w:left="471" w:right="0" w:hanging="361"/>
              <w:jc w:val="left"/>
              <w:rPr>
                <w:sz w:val="18"/>
              </w:rPr>
            </w:pPr>
            <w:r>
              <w:rPr>
                <w:sz w:val="18"/>
              </w:rPr>
              <w:t>Mid</w:t>
            </w:r>
            <w:r>
              <w:rPr>
                <w:spacing w:val="-3"/>
                <w:sz w:val="18"/>
              </w:rPr>
              <w:t> </w:t>
            </w:r>
            <w:r>
              <w:rPr>
                <w:sz w:val="18"/>
              </w:rPr>
              <w:t>NEAP</w:t>
            </w:r>
            <w:r>
              <w:rPr>
                <w:spacing w:val="-2"/>
                <w:sz w:val="18"/>
              </w:rPr>
              <w:t> </w:t>
            </w:r>
            <w:r>
              <w:rPr>
                <w:sz w:val="18"/>
              </w:rPr>
              <w:t>Review</w:t>
            </w:r>
            <w:r>
              <w:rPr>
                <w:spacing w:val="-3"/>
                <w:sz w:val="18"/>
              </w:rPr>
              <w:t> </w:t>
            </w:r>
            <w:r>
              <w:rPr>
                <w:sz w:val="18"/>
              </w:rPr>
              <w:t>Findings</w:t>
            </w:r>
            <w:r>
              <w:rPr>
                <w:spacing w:val="-2"/>
                <w:sz w:val="18"/>
              </w:rPr>
              <w:t> report</w:t>
            </w:r>
          </w:p>
        </w:tc>
      </w:tr>
      <w:tr>
        <w:trPr>
          <w:trHeight w:val="2388" w:hRule="atLeast"/>
        </w:trPr>
        <w:tc>
          <w:tcPr>
            <w:tcW w:w="816" w:type="dxa"/>
          </w:tcPr>
          <w:p>
            <w:pPr>
              <w:pStyle w:val="TableParagraph"/>
              <w:spacing w:before="1"/>
              <w:ind w:left="148"/>
              <w:rPr>
                <w:b/>
                <w:sz w:val="18"/>
              </w:rPr>
            </w:pPr>
            <w:r>
              <w:rPr>
                <w:b/>
                <w:spacing w:val="-2"/>
                <w:sz w:val="18"/>
              </w:rPr>
              <w:t>Quality</w:t>
            </w:r>
          </w:p>
        </w:tc>
        <w:tc>
          <w:tcPr>
            <w:tcW w:w="880" w:type="dxa"/>
          </w:tcPr>
          <w:p>
            <w:pPr>
              <w:pStyle w:val="TableParagraph"/>
              <w:spacing w:before="1"/>
              <w:ind w:left="269"/>
              <w:rPr>
                <w:sz w:val="18"/>
              </w:rPr>
            </w:pPr>
            <w:r>
              <w:rPr>
                <w:sz w:val="18"/>
              </w:rPr>
              <w:t>EO </w:t>
            </w:r>
            <w:r>
              <w:rPr>
                <w:spacing w:val="-10"/>
                <w:sz w:val="18"/>
              </w:rPr>
              <w:t>2</w:t>
            </w:r>
          </w:p>
          <w:p>
            <w:pPr>
              <w:pStyle w:val="TableParagraph"/>
              <w:spacing w:before="1"/>
              <w:ind w:left="273"/>
              <w:rPr>
                <w:sz w:val="18"/>
              </w:rPr>
            </w:pPr>
            <w:r>
              <w:rPr>
                <w:spacing w:val="-4"/>
                <w:sz w:val="18"/>
              </w:rPr>
              <w:t>(93)</w:t>
            </w:r>
          </w:p>
        </w:tc>
        <w:tc>
          <w:tcPr>
            <w:tcW w:w="1132" w:type="dxa"/>
          </w:tcPr>
          <w:p>
            <w:pPr>
              <w:pStyle w:val="TableParagraph"/>
              <w:spacing w:before="1"/>
              <w:ind w:left="109" w:right="135"/>
              <w:rPr>
                <w:sz w:val="18"/>
              </w:rPr>
            </w:pPr>
            <w:r>
              <w:rPr>
                <w:sz w:val="18"/>
              </w:rPr>
              <w:t>2.3</w:t>
            </w:r>
            <w:r>
              <w:rPr>
                <w:spacing w:val="-11"/>
                <w:sz w:val="18"/>
              </w:rPr>
              <w:t> </w:t>
            </w:r>
            <w:r>
              <w:rPr>
                <w:sz w:val="18"/>
              </w:rPr>
              <w:t>Number of</w:t>
            </w:r>
            <w:r>
              <w:rPr>
                <w:spacing w:val="-2"/>
                <w:sz w:val="18"/>
              </w:rPr>
              <w:t> </w:t>
            </w:r>
            <w:r>
              <w:rPr>
                <w:sz w:val="18"/>
              </w:rPr>
              <w:t>students </w:t>
            </w:r>
            <w:r>
              <w:rPr>
                <w:spacing w:val="-2"/>
                <w:sz w:val="18"/>
              </w:rPr>
              <w:t>achieving</w:t>
            </w:r>
            <w:r>
              <w:rPr>
                <w:spacing w:val="-9"/>
                <w:sz w:val="18"/>
              </w:rPr>
              <w:t> </w:t>
            </w:r>
            <w:r>
              <w:rPr>
                <w:spacing w:val="-2"/>
                <w:sz w:val="18"/>
              </w:rPr>
              <w:t>at</w:t>
            </w:r>
            <w:r>
              <w:rPr>
                <w:sz w:val="18"/>
              </w:rPr>
              <w:t> or above </w:t>
            </w:r>
            <w:r>
              <w:rPr>
                <w:spacing w:val="-4"/>
                <w:sz w:val="18"/>
              </w:rPr>
              <w:t>the</w:t>
            </w:r>
            <w:r>
              <w:rPr>
                <w:sz w:val="18"/>
              </w:rPr>
              <w:t> </w:t>
            </w:r>
            <w:r>
              <w:rPr>
                <w:spacing w:val="-2"/>
                <w:sz w:val="18"/>
              </w:rPr>
              <w:t>expected</w:t>
            </w:r>
            <w:r>
              <w:rPr>
                <w:sz w:val="18"/>
              </w:rPr>
              <w:t> literacy</w:t>
            </w:r>
            <w:r>
              <w:rPr>
                <w:spacing w:val="-11"/>
                <w:sz w:val="18"/>
              </w:rPr>
              <w:t> </w:t>
            </w:r>
            <w:r>
              <w:rPr>
                <w:sz w:val="18"/>
              </w:rPr>
              <w:t>and </w:t>
            </w:r>
            <w:r>
              <w:rPr>
                <w:spacing w:val="-2"/>
                <w:sz w:val="18"/>
              </w:rPr>
              <w:t>numeracy</w:t>
            </w:r>
            <w:r>
              <w:rPr>
                <w:sz w:val="18"/>
              </w:rPr>
              <w:t> </w:t>
            </w:r>
            <w:r>
              <w:rPr>
                <w:spacing w:val="-2"/>
                <w:sz w:val="18"/>
              </w:rPr>
              <w:t>level</w:t>
            </w:r>
          </w:p>
        </w:tc>
        <w:tc>
          <w:tcPr>
            <w:tcW w:w="4253" w:type="dxa"/>
          </w:tcPr>
          <w:p>
            <w:pPr>
              <w:pStyle w:val="TableParagraph"/>
              <w:numPr>
                <w:ilvl w:val="2"/>
                <w:numId w:val="22"/>
              </w:numPr>
              <w:tabs>
                <w:tab w:pos="557" w:val="left" w:leader="none"/>
              </w:tabs>
              <w:spacing w:line="240" w:lineRule="auto" w:before="1" w:after="0"/>
              <w:ind w:left="109" w:right="166" w:firstLine="0"/>
              <w:jc w:val="both"/>
              <w:rPr>
                <w:sz w:val="18"/>
              </w:rPr>
            </w:pPr>
            <w:r>
              <w:rPr>
                <w:sz w:val="18"/>
              </w:rPr>
              <w:t>By</w:t>
            </w:r>
            <w:r>
              <w:rPr>
                <w:spacing w:val="-1"/>
                <w:sz w:val="18"/>
              </w:rPr>
              <w:t> </w:t>
            </w:r>
            <w:r>
              <w:rPr>
                <w:sz w:val="18"/>
              </w:rPr>
              <w:t>the</w:t>
            </w:r>
            <w:r>
              <w:rPr>
                <w:spacing w:val="-2"/>
                <w:sz w:val="18"/>
              </w:rPr>
              <w:t> </w:t>
            </w:r>
            <w:r>
              <w:rPr>
                <w:sz w:val="18"/>
              </w:rPr>
              <w:t>end</w:t>
            </w:r>
            <w:r>
              <w:rPr>
                <w:spacing w:val="-2"/>
                <w:sz w:val="18"/>
              </w:rPr>
              <w:t> </w:t>
            </w:r>
            <w:r>
              <w:rPr>
                <w:sz w:val="18"/>
              </w:rPr>
              <w:t>of</w:t>
            </w:r>
            <w:r>
              <w:rPr>
                <w:spacing w:val="-2"/>
                <w:sz w:val="18"/>
              </w:rPr>
              <w:t> </w:t>
            </w:r>
            <w:r>
              <w:rPr>
                <w:sz w:val="18"/>
              </w:rPr>
              <w:t>2018,</w:t>
            </w:r>
            <w:r>
              <w:rPr>
                <w:spacing w:val="-1"/>
                <w:sz w:val="18"/>
              </w:rPr>
              <w:t> </w:t>
            </w:r>
            <w:r>
              <w:rPr>
                <w:sz w:val="18"/>
              </w:rPr>
              <w:t>2017</w:t>
            </w:r>
            <w:r>
              <w:rPr>
                <w:spacing w:val="-1"/>
                <w:sz w:val="18"/>
              </w:rPr>
              <w:t> </w:t>
            </w:r>
            <w:r>
              <w:rPr>
                <w:sz w:val="18"/>
              </w:rPr>
              <w:t>SISTA</w:t>
            </w:r>
            <w:r>
              <w:rPr>
                <w:spacing w:val="-3"/>
                <w:sz w:val="18"/>
              </w:rPr>
              <w:t> </w:t>
            </w:r>
            <w:r>
              <w:rPr>
                <w:sz w:val="18"/>
              </w:rPr>
              <w:t>results</w:t>
            </w:r>
            <w:r>
              <w:rPr>
                <w:spacing w:val="-3"/>
                <w:sz w:val="18"/>
              </w:rPr>
              <w:t> </w:t>
            </w:r>
            <w:r>
              <w:rPr>
                <w:sz w:val="18"/>
              </w:rPr>
              <w:t>analysed and</w:t>
            </w:r>
            <w:r>
              <w:rPr>
                <w:spacing w:val="-6"/>
                <w:sz w:val="18"/>
              </w:rPr>
              <w:t> </w:t>
            </w:r>
            <w:r>
              <w:rPr>
                <w:sz w:val="18"/>
              </w:rPr>
              <w:t>disseminated</w:t>
            </w:r>
            <w:r>
              <w:rPr>
                <w:spacing w:val="-6"/>
                <w:sz w:val="18"/>
              </w:rPr>
              <w:t> </w:t>
            </w:r>
            <w:r>
              <w:rPr>
                <w:sz w:val="18"/>
              </w:rPr>
              <w:t>in</w:t>
            </w:r>
            <w:r>
              <w:rPr>
                <w:spacing w:val="-6"/>
                <w:sz w:val="18"/>
              </w:rPr>
              <w:t> </w:t>
            </w:r>
            <w:r>
              <w:rPr>
                <w:sz w:val="18"/>
              </w:rPr>
              <w:t>user-friendly</w:t>
            </w:r>
            <w:r>
              <w:rPr>
                <w:spacing w:val="-4"/>
                <w:sz w:val="18"/>
              </w:rPr>
              <w:t> </w:t>
            </w:r>
            <w:r>
              <w:rPr>
                <w:sz w:val="18"/>
              </w:rPr>
              <w:t>way</w:t>
            </w:r>
            <w:r>
              <w:rPr>
                <w:spacing w:val="-6"/>
                <w:sz w:val="18"/>
              </w:rPr>
              <w:t> </w:t>
            </w:r>
            <w:r>
              <w:rPr>
                <w:sz w:val="18"/>
              </w:rPr>
              <w:t>to</w:t>
            </w:r>
            <w:r>
              <w:rPr>
                <w:spacing w:val="-5"/>
                <w:sz w:val="18"/>
              </w:rPr>
              <w:t> </w:t>
            </w:r>
            <w:r>
              <w:rPr>
                <w:sz w:val="18"/>
              </w:rPr>
              <w:t>national,</w:t>
            </w:r>
            <w:r>
              <w:rPr>
                <w:spacing w:val="-6"/>
                <w:sz w:val="18"/>
              </w:rPr>
              <w:t> </w:t>
            </w:r>
            <w:r>
              <w:rPr>
                <w:sz w:val="18"/>
              </w:rPr>
              <w:t>EAs and school level</w:t>
            </w:r>
          </w:p>
          <w:p>
            <w:pPr>
              <w:pStyle w:val="TableParagraph"/>
              <w:rPr>
                <w:sz w:val="18"/>
              </w:rPr>
            </w:pPr>
          </w:p>
          <w:p>
            <w:pPr>
              <w:pStyle w:val="TableParagraph"/>
              <w:numPr>
                <w:ilvl w:val="2"/>
                <w:numId w:val="22"/>
              </w:numPr>
              <w:tabs>
                <w:tab w:pos="516" w:val="left" w:leader="none"/>
              </w:tabs>
              <w:spacing w:line="240" w:lineRule="auto" w:before="0" w:after="0"/>
              <w:ind w:left="109" w:right="139" w:firstLine="0"/>
              <w:jc w:val="both"/>
              <w:rPr>
                <w:sz w:val="18"/>
              </w:rPr>
            </w:pPr>
            <w:r>
              <w:rPr>
                <w:sz w:val="18"/>
              </w:rPr>
              <w:t>SISTA</w:t>
            </w:r>
            <w:r>
              <w:rPr>
                <w:spacing w:val="-8"/>
                <w:sz w:val="18"/>
              </w:rPr>
              <w:t> </w:t>
            </w:r>
            <w:r>
              <w:rPr>
                <w:sz w:val="18"/>
              </w:rPr>
              <w:t>2017</w:t>
            </w:r>
            <w:r>
              <w:rPr>
                <w:spacing w:val="-6"/>
                <w:sz w:val="18"/>
              </w:rPr>
              <w:t> </w:t>
            </w:r>
            <w:r>
              <w:rPr>
                <w:sz w:val="18"/>
              </w:rPr>
              <w:t>results</w:t>
            </w:r>
            <w:r>
              <w:rPr>
                <w:spacing w:val="-7"/>
                <w:sz w:val="18"/>
              </w:rPr>
              <w:t> </w:t>
            </w:r>
            <w:r>
              <w:rPr>
                <w:sz w:val="18"/>
              </w:rPr>
              <w:t>show</w:t>
            </w:r>
            <w:r>
              <w:rPr>
                <w:spacing w:val="-6"/>
                <w:sz w:val="18"/>
              </w:rPr>
              <w:t> </w:t>
            </w:r>
            <w:r>
              <w:rPr>
                <w:sz w:val="18"/>
              </w:rPr>
              <w:t>an</w:t>
            </w:r>
            <w:r>
              <w:rPr>
                <w:spacing w:val="-5"/>
                <w:sz w:val="18"/>
              </w:rPr>
              <w:t> </w:t>
            </w:r>
            <w:r>
              <w:rPr>
                <w:sz w:val="18"/>
              </w:rPr>
              <w:t>improvement</w:t>
            </w:r>
            <w:r>
              <w:rPr>
                <w:spacing w:val="-6"/>
                <w:sz w:val="18"/>
              </w:rPr>
              <w:t> </w:t>
            </w:r>
            <w:r>
              <w:rPr>
                <w:sz w:val="18"/>
              </w:rPr>
              <w:t>in</w:t>
            </w:r>
            <w:r>
              <w:rPr>
                <w:spacing w:val="-7"/>
                <w:sz w:val="18"/>
              </w:rPr>
              <w:t> </w:t>
            </w:r>
            <w:r>
              <w:rPr>
                <w:sz w:val="18"/>
              </w:rPr>
              <w:t>both literacy and numeracy for both grades 4 and 6</w:t>
            </w:r>
          </w:p>
        </w:tc>
        <w:tc>
          <w:tcPr>
            <w:tcW w:w="993" w:type="dxa"/>
          </w:tcPr>
          <w:p>
            <w:pPr>
              <w:pStyle w:val="TableParagraph"/>
              <w:spacing w:before="1"/>
              <w:ind w:left="110"/>
              <w:rPr>
                <w:sz w:val="18"/>
              </w:rPr>
            </w:pPr>
            <w:r>
              <w:rPr>
                <w:spacing w:val="-4"/>
                <w:sz w:val="18"/>
              </w:rPr>
              <w:t>NEAD</w:t>
            </w:r>
          </w:p>
        </w:tc>
        <w:tc>
          <w:tcPr>
            <w:tcW w:w="3684" w:type="dxa"/>
          </w:tcPr>
          <w:p>
            <w:pPr>
              <w:pStyle w:val="TableParagraph"/>
              <w:numPr>
                <w:ilvl w:val="0"/>
                <w:numId w:val="23"/>
              </w:numPr>
              <w:tabs>
                <w:tab w:pos="471" w:val="left" w:leader="none"/>
                <w:tab w:pos="472" w:val="left" w:leader="none"/>
              </w:tabs>
              <w:spacing w:line="240" w:lineRule="auto" w:before="1" w:after="0"/>
              <w:ind w:left="471" w:right="126" w:hanging="360"/>
              <w:jc w:val="left"/>
              <w:rPr>
                <w:sz w:val="18"/>
              </w:rPr>
            </w:pPr>
            <w:r>
              <w:rPr>
                <w:sz w:val="18"/>
              </w:rPr>
              <w:t>SMT</w:t>
            </w:r>
            <w:r>
              <w:rPr>
                <w:spacing w:val="-8"/>
                <w:sz w:val="18"/>
              </w:rPr>
              <w:t> </w:t>
            </w:r>
            <w:r>
              <w:rPr>
                <w:sz w:val="18"/>
              </w:rPr>
              <w:t>endorsement</w:t>
            </w:r>
            <w:r>
              <w:rPr>
                <w:spacing w:val="-8"/>
                <w:sz w:val="18"/>
              </w:rPr>
              <w:t> </w:t>
            </w:r>
            <w:r>
              <w:rPr>
                <w:sz w:val="18"/>
              </w:rPr>
              <w:t>minute</w:t>
            </w:r>
            <w:r>
              <w:rPr>
                <w:spacing w:val="-9"/>
                <w:sz w:val="18"/>
              </w:rPr>
              <w:t> </w:t>
            </w:r>
            <w:r>
              <w:rPr>
                <w:sz w:val="18"/>
              </w:rPr>
              <w:t>of</w:t>
            </w:r>
            <w:r>
              <w:rPr>
                <w:spacing w:val="-9"/>
                <w:sz w:val="18"/>
              </w:rPr>
              <w:t> </w:t>
            </w:r>
            <w:r>
              <w:rPr>
                <w:sz w:val="18"/>
              </w:rPr>
              <w:t>SISTA</w:t>
            </w:r>
            <w:r>
              <w:rPr>
                <w:spacing w:val="-10"/>
                <w:sz w:val="18"/>
              </w:rPr>
              <w:t> </w:t>
            </w:r>
            <w:r>
              <w:rPr>
                <w:sz w:val="18"/>
              </w:rPr>
              <w:t>results including national, provincial and school level reports (40%)</w:t>
            </w:r>
          </w:p>
          <w:p>
            <w:pPr>
              <w:pStyle w:val="TableParagraph"/>
              <w:numPr>
                <w:ilvl w:val="0"/>
                <w:numId w:val="23"/>
              </w:numPr>
              <w:tabs>
                <w:tab w:pos="471" w:val="left" w:leader="none"/>
                <w:tab w:pos="472" w:val="left" w:leader="none"/>
              </w:tabs>
              <w:spacing w:line="240" w:lineRule="auto" w:before="40" w:after="0"/>
              <w:ind w:left="471" w:right="271" w:hanging="360"/>
              <w:jc w:val="left"/>
              <w:rPr>
                <w:sz w:val="18"/>
              </w:rPr>
            </w:pPr>
            <w:r>
              <w:rPr>
                <w:sz w:val="18"/>
              </w:rPr>
              <w:t>Evidence of dissemination to national, provincial</w:t>
            </w:r>
            <w:r>
              <w:rPr>
                <w:spacing w:val="-9"/>
                <w:sz w:val="18"/>
              </w:rPr>
              <w:t> </w:t>
            </w:r>
            <w:r>
              <w:rPr>
                <w:sz w:val="18"/>
              </w:rPr>
              <w:t>and</w:t>
            </w:r>
            <w:r>
              <w:rPr>
                <w:spacing w:val="-8"/>
                <w:sz w:val="18"/>
              </w:rPr>
              <w:t> </w:t>
            </w:r>
            <w:r>
              <w:rPr>
                <w:sz w:val="18"/>
              </w:rPr>
              <w:t>school</w:t>
            </w:r>
            <w:r>
              <w:rPr>
                <w:spacing w:val="-9"/>
                <w:sz w:val="18"/>
              </w:rPr>
              <w:t> </w:t>
            </w:r>
            <w:r>
              <w:rPr>
                <w:sz w:val="18"/>
              </w:rPr>
              <w:t>level</w:t>
            </w:r>
            <w:r>
              <w:rPr>
                <w:spacing w:val="-9"/>
                <w:sz w:val="18"/>
              </w:rPr>
              <w:t> </w:t>
            </w:r>
            <w:r>
              <w:rPr>
                <w:sz w:val="18"/>
              </w:rPr>
              <w:t>(e.g.</w:t>
            </w:r>
            <w:r>
              <w:rPr>
                <w:spacing w:val="-7"/>
                <w:sz w:val="18"/>
              </w:rPr>
              <w:t> </w:t>
            </w:r>
            <w:r>
              <w:rPr>
                <w:sz w:val="18"/>
              </w:rPr>
              <w:t>meeting minutes, back to office reports) (30%)</w:t>
            </w:r>
          </w:p>
          <w:p>
            <w:pPr>
              <w:pStyle w:val="TableParagraph"/>
              <w:numPr>
                <w:ilvl w:val="0"/>
                <w:numId w:val="23"/>
              </w:numPr>
              <w:tabs>
                <w:tab w:pos="471" w:val="left" w:leader="none"/>
                <w:tab w:pos="472" w:val="left" w:leader="none"/>
              </w:tabs>
              <w:spacing w:line="240" w:lineRule="auto" w:before="41" w:after="0"/>
              <w:ind w:left="471" w:right="377" w:hanging="360"/>
              <w:jc w:val="left"/>
              <w:rPr>
                <w:sz w:val="12"/>
              </w:rPr>
            </w:pPr>
            <w:r>
              <w:rPr>
                <w:sz w:val="18"/>
              </w:rPr>
              <w:t>An average of all literacy domains has improved</w:t>
            </w:r>
            <w:r>
              <w:rPr>
                <w:spacing w:val="-10"/>
                <w:sz w:val="18"/>
              </w:rPr>
              <w:t> </w:t>
            </w:r>
            <w:r>
              <w:rPr>
                <w:sz w:val="18"/>
              </w:rPr>
              <w:t>and</w:t>
            </w:r>
            <w:r>
              <w:rPr>
                <w:spacing w:val="-10"/>
                <w:sz w:val="18"/>
              </w:rPr>
              <w:t> </w:t>
            </w:r>
            <w:r>
              <w:rPr>
                <w:sz w:val="18"/>
              </w:rPr>
              <w:t>numeracy</w:t>
            </w:r>
            <w:r>
              <w:rPr>
                <w:spacing w:val="-9"/>
                <w:sz w:val="18"/>
              </w:rPr>
              <w:t> </w:t>
            </w:r>
            <w:r>
              <w:rPr>
                <w:sz w:val="18"/>
              </w:rPr>
              <w:t>has</w:t>
            </w:r>
            <w:r>
              <w:rPr>
                <w:spacing w:val="-10"/>
                <w:sz w:val="18"/>
              </w:rPr>
              <w:t> </w:t>
            </w:r>
            <w:r>
              <w:rPr>
                <w:sz w:val="18"/>
              </w:rPr>
              <w:t>improved </w:t>
            </w:r>
            <w:r>
              <w:rPr>
                <w:spacing w:val="-2"/>
                <w:sz w:val="18"/>
              </w:rPr>
              <w:t>(30%)</w:t>
            </w:r>
            <w:r>
              <w:rPr>
                <w:spacing w:val="-2"/>
                <w:position w:val="5"/>
                <w:sz w:val="12"/>
              </w:rPr>
              <w:t>26</w:t>
            </w:r>
          </w:p>
        </w:tc>
        <w:tc>
          <w:tcPr>
            <w:tcW w:w="3120" w:type="dxa"/>
          </w:tcPr>
          <w:p>
            <w:pPr>
              <w:pStyle w:val="TableParagraph"/>
              <w:numPr>
                <w:ilvl w:val="0"/>
                <w:numId w:val="24"/>
              </w:numPr>
              <w:tabs>
                <w:tab w:pos="471" w:val="left" w:leader="none"/>
                <w:tab w:pos="472" w:val="left" w:leader="none"/>
              </w:tabs>
              <w:spacing w:line="240" w:lineRule="auto" w:before="1" w:after="0"/>
              <w:ind w:left="471" w:right="0" w:hanging="361"/>
              <w:jc w:val="left"/>
              <w:rPr>
                <w:sz w:val="18"/>
              </w:rPr>
            </w:pPr>
            <w:r>
              <w:rPr>
                <w:sz w:val="18"/>
              </w:rPr>
              <w:t>Quarterly</w:t>
            </w:r>
            <w:r>
              <w:rPr>
                <w:spacing w:val="-3"/>
                <w:sz w:val="18"/>
              </w:rPr>
              <w:t> </w:t>
            </w:r>
            <w:r>
              <w:rPr>
                <w:sz w:val="18"/>
              </w:rPr>
              <w:t>Progress</w:t>
            </w:r>
            <w:r>
              <w:rPr>
                <w:spacing w:val="-3"/>
                <w:sz w:val="18"/>
              </w:rPr>
              <w:t> </w:t>
            </w:r>
            <w:r>
              <w:rPr>
                <w:sz w:val="18"/>
              </w:rPr>
              <w:t>reports</w:t>
            </w:r>
            <w:r>
              <w:rPr>
                <w:spacing w:val="-2"/>
                <w:sz w:val="18"/>
              </w:rPr>
              <w:t> </w:t>
            </w:r>
            <w:r>
              <w:rPr>
                <w:sz w:val="18"/>
              </w:rPr>
              <w:t>–</w:t>
            </w:r>
            <w:r>
              <w:rPr>
                <w:spacing w:val="-3"/>
                <w:sz w:val="18"/>
              </w:rPr>
              <w:t> </w:t>
            </w:r>
            <w:r>
              <w:rPr>
                <w:spacing w:val="-4"/>
                <w:sz w:val="18"/>
              </w:rPr>
              <w:t>NEAD</w:t>
            </w:r>
          </w:p>
          <w:p>
            <w:pPr>
              <w:pStyle w:val="TableParagraph"/>
              <w:numPr>
                <w:ilvl w:val="0"/>
                <w:numId w:val="24"/>
              </w:numPr>
              <w:tabs>
                <w:tab w:pos="471" w:val="left" w:leader="none"/>
                <w:tab w:pos="472" w:val="left" w:leader="none"/>
              </w:tabs>
              <w:spacing w:line="240" w:lineRule="auto" w:before="39" w:after="0"/>
              <w:ind w:left="471" w:right="533" w:hanging="360"/>
              <w:jc w:val="left"/>
              <w:rPr>
                <w:sz w:val="18"/>
              </w:rPr>
            </w:pPr>
            <w:r>
              <w:rPr>
                <w:sz w:val="18"/>
              </w:rPr>
              <w:t>Key</w:t>
            </w:r>
            <w:r>
              <w:rPr>
                <w:spacing w:val="-10"/>
                <w:sz w:val="18"/>
              </w:rPr>
              <w:t> </w:t>
            </w:r>
            <w:r>
              <w:rPr>
                <w:sz w:val="18"/>
              </w:rPr>
              <w:t>Output</w:t>
            </w:r>
            <w:r>
              <w:rPr>
                <w:spacing w:val="-10"/>
                <w:sz w:val="18"/>
              </w:rPr>
              <w:t> </w:t>
            </w:r>
            <w:r>
              <w:rPr>
                <w:sz w:val="18"/>
              </w:rPr>
              <w:t>Report</w:t>
            </w:r>
            <w:r>
              <w:rPr>
                <w:spacing w:val="-10"/>
                <w:sz w:val="18"/>
              </w:rPr>
              <w:t> </w:t>
            </w:r>
            <w:r>
              <w:rPr>
                <w:sz w:val="18"/>
              </w:rPr>
              <w:t>–</w:t>
            </w:r>
            <w:r>
              <w:rPr>
                <w:spacing w:val="-11"/>
                <w:sz w:val="18"/>
              </w:rPr>
              <w:t> </w:t>
            </w:r>
            <w:r>
              <w:rPr>
                <w:sz w:val="18"/>
              </w:rPr>
              <w:t>student </w:t>
            </w:r>
            <w:r>
              <w:rPr>
                <w:spacing w:val="-2"/>
                <w:sz w:val="18"/>
              </w:rPr>
              <w:t>assessment</w:t>
            </w:r>
          </w:p>
          <w:p>
            <w:pPr>
              <w:pStyle w:val="TableParagraph"/>
              <w:numPr>
                <w:ilvl w:val="0"/>
                <w:numId w:val="24"/>
              </w:numPr>
              <w:tabs>
                <w:tab w:pos="471" w:val="left" w:leader="none"/>
                <w:tab w:pos="472" w:val="left" w:leader="none"/>
              </w:tabs>
              <w:spacing w:line="240" w:lineRule="auto" w:before="42" w:after="0"/>
              <w:ind w:left="471" w:right="0" w:hanging="361"/>
              <w:jc w:val="left"/>
              <w:rPr>
                <w:sz w:val="18"/>
              </w:rPr>
            </w:pPr>
            <w:r>
              <w:rPr>
                <w:sz w:val="18"/>
              </w:rPr>
              <w:t>Output</w:t>
            </w:r>
            <w:r>
              <w:rPr>
                <w:spacing w:val="-3"/>
                <w:sz w:val="18"/>
              </w:rPr>
              <w:t> </w:t>
            </w:r>
            <w:r>
              <w:rPr>
                <w:sz w:val="18"/>
              </w:rPr>
              <w:t>Indicator</w:t>
            </w:r>
            <w:r>
              <w:rPr>
                <w:spacing w:val="-2"/>
                <w:sz w:val="18"/>
              </w:rPr>
              <w:t> Tracker</w:t>
            </w:r>
          </w:p>
        </w:tc>
      </w:tr>
    </w:tbl>
    <w:p>
      <w:pPr>
        <w:pStyle w:val="BodyText"/>
        <w:spacing w:before="3"/>
        <w:rPr>
          <w:sz w:val="13"/>
        </w:rPr>
      </w:pPr>
      <w:r>
        <w:rPr/>
        <w:pict>
          <v:rect style="position:absolute;margin-left:72pt;margin-top:9.320819pt;width:144.020pt;height:.72pt;mso-position-horizontal-relative:page;mso-position-vertical-relative:paragraph;z-index:-15716864;mso-wrap-distance-left:0;mso-wrap-distance-right:0" id="docshape23" filled="true" fillcolor="#000000" stroked="false">
            <v:fill type="solid"/>
            <w10:wrap type="topAndBottom"/>
          </v:rect>
        </w:pict>
      </w:r>
    </w:p>
    <w:p>
      <w:pPr>
        <w:spacing w:line="244" w:lineRule="auto" w:before="107"/>
        <w:ind w:left="220" w:right="1074" w:firstLine="0"/>
        <w:jc w:val="left"/>
        <w:rPr>
          <w:sz w:val="16"/>
        </w:rPr>
      </w:pPr>
      <w:r>
        <w:rPr>
          <w:position w:val="5"/>
          <w:sz w:val="12"/>
        </w:rPr>
        <w:t>26</w:t>
      </w:r>
      <w:r>
        <w:rPr>
          <w:spacing w:val="11"/>
          <w:position w:val="5"/>
          <w:sz w:val="12"/>
        </w:rPr>
        <w:t> </w:t>
      </w:r>
      <w:r>
        <w:rPr>
          <w:sz w:val="16"/>
        </w:rPr>
        <w:t>As</w:t>
      </w:r>
      <w:r>
        <w:rPr>
          <w:spacing w:val="-2"/>
          <w:sz w:val="16"/>
        </w:rPr>
        <w:t> </w:t>
      </w:r>
      <w:r>
        <w:rPr>
          <w:sz w:val="16"/>
        </w:rPr>
        <w:t>per</w:t>
      </w:r>
      <w:r>
        <w:rPr>
          <w:spacing w:val="-2"/>
          <w:sz w:val="16"/>
        </w:rPr>
        <w:t> </w:t>
      </w:r>
      <w:r>
        <w:rPr>
          <w:sz w:val="16"/>
        </w:rPr>
        <w:t>main</w:t>
      </w:r>
      <w:r>
        <w:rPr>
          <w:spacing w:val="-2"/>
          <w:sz w:val="16"/>
        </w:rPr>
        <w:t> </w:t>
      </w:r>
      <w:r>
        <w:rPr>
          <w:sz w:val="16"/>
        </w:rPr>
        <w:t>body</w:t>
      </w:r>
      <w:r>
        <w:rPr>
          <w:spacing w:val="-3"/>
          <w:sz w:val="16"/>
        </w:rPr>
        <w:t> </w:t>
      </w:r>
      <w:r>
        <w:rPr>
          <w:sz w:val="16"/>
        </w:rPr>
        <w:t>of</w:t>
      </w:r>
      <w:r>
        <w:rPr>
          <w:spacing w:val="-2"/>
          <w:sz w:val="16"/>
        </w:rPr>
        <w:t> </w:t>
      </w:r>
      <w:r>
        <w:rPr>
          <w:sz w:val="16"/>
        </w:rPr>
        <w:t>report,</w:t>
      </w:r>
      <w:r>
        <w:rPr>
          <w:spacing w:val="-1"/>
          <w:sz w:val="16"/>
        </w:rPr>
        <w:t> </w:t>
      </w:r>
      <w:r>
        <w:rPr>
          <w:sz w:val="16"/>
        </w:rPr>
        <w:t>the</w:t>
      </w:r>
      <w:r>
        <w:rPr>
          <w:spacing w:val="-3"/>
          <w:sz w:val="16"/>
        </w:rPr>
        <w:t> </w:t>
      </w:r>
      <w:r>
        <w:rPr>
          <w:sz w:val="16"/>
        </w:rPr>
        <w:t>2018 Preliminary</w:t>
      </w:r>
      <w:r>
        <w:rPr>
          <w:spacing w:val="-2"/>
          <w:sz w:val="16"/>
        </w:rPr>
        <w:t> </w:t>
      </w:r>
      <w:r>
        <w:rPr>
          <w:sz w:val="16"/>
        </w:rPr>
        <w:t>Report on</w:t>
      </w:r>
      <w:r>
        <w:rPr>
          <w:spacing w:val="-2"/>
          <w:sz w:val="16"/>
        </w:rPr>
        <w:t> </w:t>
      </w:r>
      <w:r>
        <w:rPr>
          <w:sz w:val="16"/>
        </w:rPr>
        <w:t>SISTA</w:t>
      </w:r>
      <w:r>
        <w:rPr>
          <w:spacing w:val="-1"/>
          <w:sz w:val="16"/>
        </w:rPr>
        <w:t> </w:t>
      </w:r>
      <w:r>
        <w:rPr>
          <w:sz w:val="16"/>
        </w:rPr>
        <w:t>2017,</w:t>
      </w:r>
      <w:r>
        <w:rPr>
          <w:spacing w:val="-1"/>
          <w:sz w:val="16"/>
        </w:rPr>
        <w:t> </w:t>
      </w:r>
      <w:r>
        <w:rPr>
          <w:sz w:val="16"/>
        </w:rPr>
        <w:t>states</w:t>
      </w:r>
      <w:r>
        <w:rPr>
          <w:spacing w:val="-1"/>
          <w:sz w:val="16"/>
        </w:rPr>
        <w:t> </w:t>
      </w:r>
      <w:r>
        <w:rPr>
          <w:sz w:val="16"/>
        </w:rPr>
        <w:t>SISTA</w:t>
      </w:r>
      <w:r>
        <w:rPr>
          <w:spacing w:val="-1"/>
          <w:sz w:val="16"/>
        </w:rPr>
        <w:t> </w:t>
      </w:r>
      <w:r>
        <w:rPr>
          <w:sz w:val="16"/>
        </w:rPr>
        <w:t>2015</w:t>
      </w:r>
      <w:r>
        <w:rPr>
          <w:spacing w:val="-1"/>
          <w:sz w:val="16"/>
        </w:rPr>
        <w:t> </w:t>
      </w:r>
      <w:r>
        <w:rPr>
          <w:sz w:val="16"/>
        </w:rPr>
        <w:t>&amp;</w:t>
      </w:r>
      <w:r>
        <w:rPr>
          <w:spacing w:val="-4"/>
          <w:sz w:val="16"/>
        </w:rPr>
        <w:t> </w:t>
      </w:r>
      <w:r>
        <w:rPr>
          <w:sz w:val="16"/>
        </w:rPr>
        <w:t>2017</w:t>
      </w:r>
      <w:r>
        <w:rPr>
          <w:spacing w:val="-1"/>
          <w:sz w:val="16"/>
        </w:rPr>
        <w:t> </w:t>
      </w:r>
      <w:r>
        <w:rPr>
          <w:sz w:val="16"/>
        </w:rPr>
        <w:t>are</w:t>
      </w:r>
      <w:r>
        <w:rPr>
          <w:spacing w:val="-2"/>
          <w:sz w:val="16"/>
        </w:rPr>
        <w:t> </w:t>
      </w:r>
      <w:r>
        <w:rPr>
          <w:sz w:val="16"/>
        </w:rPr>
        <w:t>not</w:t>
      </w:r>
      <w:r>
        <w:rPr>
          <w:spacing w:val="-2"/>
          <w:sz w:val="16"/>
        </w:rPr>
        <w:t> </w:t>
      </w:r>
      <w:r>
        <w:rPr>
          <w:sz w:val="16"/>
        </w:rPr>
        <w:t>statistically</w:t>
      </w:r>
      <w:r>
        <w:rPr>
          <w:spacing w:val="-2"/>
          <w:sz w:val="16"/>
        </w:rPr>
        <w:t> </w:t>
      </w:r>
      <w:r>
        <w:rPr>
          <w:sz w:val="16"/>
        </w:rPr>
        <w:t>comparable, further</w:t>
      </w:r>
      <w:r>
        <w:rPr>
          <w:spacing w:val="-2"/>
          <w:sz w:val="16"/>
        </w:rPr>
        <w:t> </w:t>
      </w:r>
      <w:r>
        <w:rPr>
          <w:sz w:val="16"/>
        </w:rPr>
        <w:t>discussions</w:t>
      </w:r>
      <w:r>
        <w:rPr>
          <w:spacing w:val="-2"/>
          <w:sz w:val="16"/>
        </w:rPr>
        <w:t> </w:t>
      </w:r>
      <w:r>
        <w:rPr>
          <w:sz w:val="16"/>
        </w:rPr>
        <w:t>with</w:t>
      </w:r>
      <w:r>
        <w:rPr>
          <w:spacing w:val="-2"/>
          <w:sz w:val="16"/>
        </w:rPr>
        <w:t> </w:t>
      </w:r>
      <w:r>
        <w:rPr>
          <w:sz w:val="16"/>
        </w:rPr>
        <w:t>EQAP pending.</w:t>
      </w:r>
      <w:r>
        <w:rPr>
          <w:spacing w:val="-4"/>
          <w:sz w:val="16"/>
        </w:rPr>
        <w:t> </w:t>
      </w:r>
      <w:r>
        <w:rPr>
          <w:sz w:val="16"/>
        </w:rPr>
        <w:t>There</w:t>
      </w:r>
      <w:r>
        <w:rPr>
          <w:spacing w:val="-2"/>
          <w:sz w:val="16"/>
        </w:rPr>
        <w:t> </w:t>
      </w:r>
      <w:r>
        <w:rPr>
          <w:sz w:val="16"/>
        </w:rPr>
        <w:t>is</w:t>
      </w:r>
      <w:r>
        <w:rPr>
          <w:spacing w:val="-2"/>
          <w:sz w:val="16"/>
        </w:rPr>
        <w:t> </w:t>
      </w:r>
      <w:r>
        <w:rPr>
          <w:sz w:val="16"/>
        </w:rPr>
        <w:t>a</w:t>
      </w:r>
      <w:r>
        <w:rPr>
          <w:spacing w:val="-2"/>
          <w:sz w:val="16"/>
        </w:rPr>
        <w:t> </w:t>
      </w:r>
      <w:r>
        <w:rPr>
          <w:sz w:val="16"/>
        </w:rPr>
        <w:t>possibility that</w:t>
      </w:r>
      <w:r>
        <w:rPr>
          <w:spacing w:val="-2"/>
          <w:sz w:val="16"/>
        </w:rPr>
        <w:t> </w:t>
      </w:r>
      <w:r>
        <w:rPr>
          <w:sz w:val="16"/>
        </w:rPr>
        <w:t>EQAP</w:t>
      </w:r>
      <w:r>
        <w:rPr>
          <w:spacing w:val="-1"/>
          <w:sz w:val="16"/>
        </w:rPr>
        <w:t> </w:t>
      </w:r>
      <w:r>
        <w:rPr>
          <w:sz w:val="16"/>
        </w:rPr>
        <w:t>can</w:t>
      </w:r>
      <w:r>
        <w:rPr>
          <w:spacing w:val="40"/>
          <w:sz w:val="16"/>
        </w:rPr>
        <w:t> </w:t>
      </w:r>
      <w:r>
        <w:rPr>
          <w:sz w:val="16"/>
        </w:rPr>
        <w:t>make a judgement on this.</w:t>
      </w:r>
    </w:p>
    <w:p>
      <w:pPr>
        <w:spacing w:after="0" w:line="244" w:lineRule="auto"/>
        <w:jc w:val="left"/>
        <w:rPr>
          <w:sz w:val="16"/>
        </w:rPr>
        <w:sectPr>
          <w:pgSz w:w="16850" w:h="11900" w:orient="landscape"/>
          <w:pgMar w:header="867" w:footer="830" w:top="1400" w:bottom="1020" w:left="1220" w:right="520"/>
        </w:sectPr>
      </w:pPr>
    </w:p>
    <w:tbl>
      <w:tblPr>
        <w:tblW w:w="0" w:type="auto"/>
        <w:jc w:val="left"/>
        <w:tblInd w:w="11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816"/>
        <w:gridCol w:w="880"/>
        <w:gridCol w:w="1132"/>
        <w:gridCol w:w="4253"/>
        <w:gridCol w:w="993"/>
        <w:gridCol w:w="3684"/>
        <w:gridCol w:w="3120"/>
      </w:tblGrid>
      <w:tr>
        <w:trPr>
          <w:trHeight w:val="2325" w:hRule="atLeast"/>
        </w:trPr>
        <w:tc>
          <w:tcPr>
            <w:tcW w:w="816" w:type="dxa"/>
          </w:tcPr>
          <w:p>
            <w:pPr>
              <w:pStyle w:val="TableParagraph"/>
              <w:spacing w:before="1"/>
              <w:ind w:left="107"/>
              <w:rPr>
                <w:b/>
                <w:sz w:val="18"/>
              </w:rPr>
            </w:pPr>
            <w:r>
              <w:rPr>
                <w:b/>
                <w:spacing w:val="-2"/>
                <w:sz w:val="18"/>
              </w:rPr>
              <w:t>Quality</w:t>
            </w:r>
          </w:p>
        </w:tc>
        <w:tc>
          <w:tcPr>
            <w:tcW w:w="880" w:type="dxa"/>
          </w:tcPr>
          <w:p>
            <w:pPr>
              <w:pStyle w:val="TableParagraph"/>
              <w:spacing w:before="1"/>
              <w:ind w:left="247" w:right="205" w:hanging="27"/>
              <w:rPr>
                <w:sz w:val="18"/>
              </w:rPr>
            </w:pPr>
            <w:r>
              <w:rPr>
                <w:spacing w:val="-2"/>
                <w:sz w:val="18"/>
              </w:rPr>
              <w:t>EO2.3</w:t>
            </w:r>
            <w:r>
              <w:rPr>
                <w:sz w:val="18"/>
              </w:rPr>
              <w:t> </w:t>
            </w:r>
            <w:r>
              <w:rPr>
                <w:spacing w:val="-2"/>
                <w:sz w:val="18"/>
              </w:rPr>
              <w:t>(140)</w:t>
            </w:r>
          </w:p>
        </w:tc>
        <w:tc>
          <w:tcPr>
            <w:tcW w:w="1132" w:type="dxa"/>
          </w:tcPr>
          <w:p>
            <w:pPr>
              <w:pStyle w:val="TableParagraph"/>
              <w:spacing w:line="219" w:lineRule="exact" w:before="1"/>
              <w:ind w:left="109"/>
              <w:rPr>
                <w:sz w:val="18"/>
              </w:rPr>
            </w:pPr>
            <w:r>
              <w:rPr>
                <w:spacing w:val="-5"/>
                <w:sz w:val="18"/>
              </w:rPr>
              <w:t>2.4</w:t>
            </w:r>
          </w:p>
          <w:p>
            <w:pPr>
              <w:pStyle w:val="TableParagraph"/>
              <w:ind w:left="109" w:right="166"/>
              <w:jc w:val="both"/>
              <w:rPr>
                <w:sz w:val="18"/>
              </w:rPr>
            </w:pPr>
            <w:r>
              <w:rPr>
                <w:spacing w:val="-2"/>
                <w:sz w:val="18"/>
              </w:rPr>
              <w:t>Percentage</w:t>
            </w:r>
            <w:r>
              <w:rPr>
                <w:sz w:val="18"/>
              </w:rPr>
              <w:t> of</w:t>
            </w:r>
            <w:r>
              <w:rPr>
                <w:spacing w:val="-2"/>
                <w:sz w:val="18"/>
              </w:rPr>
              <w:t> </w:t>
            </w:r>
            <w:r>
              <w:rPr>
                <w:sz w:val="18"/>
              </w:rPr>
              <w:t>certified teachers</w:t>
            </w:r>
            <w:r>
              <w:rPr>
                <w:spacing w:val="-11"/>
                <w:sz w:val="18"/>
              </w:rPr>
              <w:t> </w:t>
            </w:r>
            <w:r>
              <w:rPr>
                <w:sz w:val="18"/>
              </w:rPr>
              <w:t>by </w:t>
            </w:r>
            <w:r>
              <w:rPr>
                <w:spacing w:val="-2"/>
                <w:sz w:val="18"/>
              </w:rPr>
              <w:t>gender</w:t>
            </w:r>
          </w:p>
        </w:tc>
        <w:tc>
          <w:tcPr>
            <w:tcW w:w="4253" w:type="dxa"/>
          </w:tcPr>
          <w:p>
            <w:pPr>
              <w:pStyle w:val="TableParagraph"/>
              <w:numPr>
                <w:ilvl w:val="2"/>
                <w:numId w:val="25"/>
              </w:numPr>
              <w:tabs>
                <w:tab w:pos="557" w:val="left" w:leader="none"/>
              </w:tabs>
              <w:spacing w:line="240" w:lineRule="auto" w:before="1" w:after="0"/>
              <w:ind w:left="109" w:right="141" w:firstLine="0"/>
              <w:jc w:val="left"/>
              <w:rPr>
                <w:sz w:val="18"/>
              </w:rPr>
            </w:pPr>
            <w:r>
              <w:rPr>
                <w:sz w:val="18"/>
              </w:rPr>
              <w:t>By</w:t>
            </w:r>
            <w:r>
              <w:rPr>
                <w:spacing w:val="-5"/>
                <w:sz w:val="18"/>
              </w:rPr>
              <w:t> </w:t>
            </w:r>
            <w:r>
              <w:rPr>
                <w:sz w:val="18"/>
              </w:rPr>
              <w:t>the</w:t>
            </w:r>
            <w:r>
              <w:rPr>
                <w:spacing w:val="-5"/>
                <w:sz w:val="18"/>
              </w:rPr>
              <w:t> </w:t>
            </w:r>
            <w:r>
              <w:rPr>
                <w:sz w:val="18"/>
              </w:rPr>
              <w:t>end</w:t>
            </w:r>
            <w:r>
              <w:rPr>
                <w:spacing w:val="-5"/>
                <w:sz w:val="18"/>
              </w:rPr>
              <w:t> </w:t>
            </w:r>
            <w:r>
              <w:rPr>
                <w:sz w:val="18"/>
              </w:rPr>
              <w:t>of</w:t>
            </w:r>
            <w:r>
              <w:rPr>
                <w:spacing w:val="-5"/>
                <w:sz w:val="18"/>
              </w:rPr>
              <w:t> </w:t>
            </w:r>
            <w:r>
              <w:rPr>
                <w:sz w:val="18"/>
              </w:rPr>
              <w:t>2018,</w:t>
            </w:r>
            <w:r>
              <w:rPr>
                <w:spacing w:val="-5"/>
                <w:sz w:val="18"/>
              </w:rPr>
              <w:t> </w:t>
            </w:r>
            <w:r>
              <w:rPr>
                <w:sz w:val="18"/>
              </w:rPr>
              <w:t>delivery</w:t>
            </w:r>
            <w:r>
              <w:rPr>
                <w:spacing w:val="-5"/>
                <w:sz w:val="18"/>
              </w:rPr>
              <w:t> </w:t>
            </w:r>
            <w:r>
              <w:rPr>
                <w:sz w:val="18"/>
              </w:rPr>
              <w:t>of</w:t>
            </w:r>
            <w:r>
              <w:rPr>
                <w:spacing w:val="-5"/>
                <w:sz w:val="18"/>
              </w:rPr>
              <w:t> </w:t>
            </w:r>
            <w:r>
              <w:rPr>
                <w:sz w:val="18"/>
              </w:rPr>
              <w:t>USP</w:t>
            </w:r>
            <w:r>
              <w:rPr>
                <w:spacing w:val="-5"/>
                <w:sz w:val="18"/>
              </w:rPr>
              <w:t> </w:t>
            </w:r>
            <w:r>
              <w:rPr>
                <w:sz w:val="18"/>
              </w:rPr>
              <w:t>Certificate</w:t>
            </w:r>
            <w:r>
              <w:rPr>
                <w:spacing w:val="-5"/>
                <w:sz w:val="18"/>
              </w:rPr>
              <w:t> </w:t>
            </w:r>
            <w:r>
              <w:rPr>
                <w:sz w:val="18"/>
              </w:rPr>
              <w:t>in Teaching Primary (courses ED152 and ED100) for 75 untrained teachers completed</w:t>
            </w:r>
          </w:p>
          <w:p>
            <w:pPr>
              <w:pStyle w:val="TableParagraph"/>
              <w:spacing w:before="11"/>
              <w:rPr>
                <w:sz w:val="17"/>
              </w:rPr>
            </w:pPr>
          </w:p>
          <w:p>
            <w:pPr>
              <w:pStyle w:val="TableParagraph"/>
              <w:numPr>
                <w:ilvl w:val="2"/>
                <w:numId w:val="25"/>
              </w:numPr>
              <w:tabs>
                <w:tab w:pos="557" w:val="left" w:leader="none"/>
              </w:tabs>
              <w:spacing w:line="240" w:lineRule="auto" w:before="1" w:after="0"/>
              <w:ind w:left="109" w:right="663" w:firstLine="0"/>
              <w:jc w:val="left"/>
              <w:rPr>
                <w:sz w:val="18"/>
              </w:rPr>
            </w:pPr>
            <w:r>
              <w:rPr>
                <w:sz w:val="18"/>
              </w:rPr>
              <w:t>By</w:t>
            </w:r>
            <w:r>
              <w:rPr>
                <w:spacing w:val="-5"/>
                <w:sz w:val="18"/>
              </w:rPr>
              <w:t> </w:t>
            </w:r>
            <w:r>
              <w:rPr>
                <w:sz w:val="18"/>
              </w:rPr>
              <w:t>the</w:t>
            </w:r>
            <w:r>
              <w:rPr>
                <w:spacing w:val="-6"/>
                <w:sz w:val="18"/>
              </w:rPr>
              <w:t> </w:t>
            </w:r>
            <w:r>
              <w:rPr>
                <w:sz w:val="18"/>
              </w:rPr>
              <w:t>end</w:t>
            </w:r>
            <w:r>
              <w:rPr>
                <w:spacing w:val="-6"/>
                <w:sz w:val="18"/>
              </w:rPr>
              <w:t> </w:t>
            </w:r>
            <w:r>
              <w:rPr>
                <w:sz w:val="18"/>
              </w:rPr>
              <w:t>of</w:t>
            </w:r>
            <w:r>
              <w:rPr>
                <w:spacing w:val="-6"/>
                <w:sz w:val="18"/>
              </w:rPr>
              <w:t> </w:t>
            </w:r>
            <w:r>
              <w:rPr>
                <w:sz w:val="18"/>
              </w:rPr>
              <w:t>2018,</w:t>
            </w:r>
            <w:r>
              <w:rPr>
                <w:spacing w:val="-5"/>
                <w:sz w:val="18"/>
              </w:rPr>
              <w:t> </w:t>
            </w:r>
            <w:r>
              <w:rPr>
                <w:sz w:val="18"/>
              </w:rPr>
              <w:t>a</w:t>
            </w:r>
            <w:r>
              <w:rPr>
                <w:spacing w:val="-6"/>
                <w:sz w:val="18"/>
              </w:rPr>
              <w:t> </w:t>
            </w:r>
            <w:r>
              <w:rPr>
                <w:sz w:val="18"/>
              </w:rPr>
              <w:t>Teacher</w:t>
            </w:r>
            <w:r>
              <w:rPr>
                <w:spacing w:val="-5"/>
                <w:sz w:val="18"/>
              </w:rPr>
              <w:t> </w:t>
            </w:r>
            <w:r>
              <w:rPr>
                <w:sz w:val="18"/>
              </w:rPr>
              <w:t>Supply</w:t>
            </w:r>
            <w:r>
              <w:rPr>
                <w:spacing w:val="-5"/>
                <w:sz w:val="18"/>
              </w:rPr>
              <w:t> </w:t>
            </w:r>
            <w:r>
              <w:rPr>
                <w:sz w:val="18"/>
              </w:rPr>
              <w:t>and Demand study endorsed by SMT</w:t>
            </w:r>
          </w:p>
        </w:tc>
        <w:tc>
          <w:tcPr>
            <w:tcW w:w="993" w:type="dxa"/>
          </w:tcPr>
          <w:p>
            <w:pPr>
              <w:pStyle w:val="TableParagraph"/>
              <w:spacing w:before="1"/>
              <w:ind w:left="110"/>
              <w:rPr>
                <w:sz w:val="18"/>
              </w:rPr>
            </w:pPr>
            <w:r>
              <w:rPr>
                <w:spacing w:val="-4"/>
                <w:sz w:val="18"/>
              </w:rPr>
              <w:t>TPDD</w:t>
            </w:r>
          </w:p>
          <w:p>
            <w:pPr>
              <w:pStyle w:val="TableParagraph"/>
              <w:rPr>
                <w:sz w:val="18"/>
              </w:rPr>
            </w:pPr>
          </w:p>
          <w:p>
            <w:pPr>
              <w:pStyle w:val="TableParagraph"/>
              <w:rPr>
                <w:sz w:val="18"/>
              </w:rPr>
            </w:pPr>
          </w:p>
          <w:p>
            <w:pPr>
              <w:pStyle w:val="TableParagraph"/>
              <w:rPr>
                <w:sz w:val="18"/>
              </w:rPr>
            </w:pPr>
          </w:p>
          <w:p>
            <w:pPr>
              <w:pStyle w:val="TableParagraph"/>
              <w:spacing w:before="10"/>
              <w:rPr>
                <w:sz w:val="17"/>
              </w:rPr>
            </w:pPr>
          </w:p>
          <w:p>
            <w:pPr>
              <w:pStyle w:val="TableParagraph"/>
              <w:ind w:left="110"/>
              <w:rPr>
                <w:sz w:val="18"/>
              </w:rPr>
            </w:pPr>
            <w:r>
              <w:rPr>
                <w:spacing w:val="-5"/>
                <w:sz w:val="18"/>
              </w:rPr>
              <w:t>TSD</w:t>
            </w:r>
          </w:p>
        </w:tc>
        <w:tc>
          <w:tcPr>
            <w:tcW w:w="3684" w:type="dxa"/>
          </w:tcPr>
          <w:p>
            <w:pPr>
              <w:pStyle w:val="TableParagraph"/>
              <w:numPr>
                <w:ilvl w:val="0"/>
                <w:numId w:val="26"/>
              </w:numPr>
              <w:tabs>
                <w:tab w:pos="428" w:val="left" w:leader="none"/>
              </w:tabs>
              <w:spacing w:line="240" w:lineRule="auto" w:before="1" w:after="0"/>
              <w:ind w:left="428" w:right="98" w:hanging="286"/>
              <w:jc w:val="both"/>
              <w:rPr>
                <w:sz w:val="18"/>
              </w:rPr>
            </w:pPr>
            <w:r>
              <w:rPr>
                <w:sz w:val="18"/>
              </w:rPr>
              <w:t>Untrained</w:t>
            </w:r>
            <w:r>
              <w:rPr>
                <w:spacing w:val="-9"/>
                <w:sz w:val="18"/>
              </w:rPr>
              <w:t> </w:t>
            </w:r>
            <w:r>
              <w:rPr>
                <w:sz w:val="18"/>
              </w:rPr>
              <w:t>teachers</w:t>
            </w:r>
            <w:r>
              <w:rPr>
                <w:spacing w:val="-9"/>
                <w:sz w:val="18"/>
              </w:rPr>
              <w:t> </w:t>
            </w:r>
            <w:r>
              <w:rPr>
                <w:sz w:val="18"/>
              </w:rPr>
              <w:t>(target</w:t>
            </w:r>
            <w:r>
              <w:rPr>
                <w:spacing w:val="-8"/>
                <w:sz w:val="18"/>
              </w:rPr>
              <w:t> </w:t>
            </w:r>
            <w:r>
              <w:rPr>
                <w:sz w:val="18"/>
              </w:rPr>
              <w:t>of</w:t>
            </w:r>
            <w:r>
              <w:rPr>
                <w:spacing w:val="-9"/>
                <w:sz w:val="18"/>
              </w:rPr>
              <w:t> </w:t>
            </w:r>
            <w:r>
              <w:rPr>
                <w:sz w:val="18"/>
              </w:rPr>
              <w:t>75)</w:t>
            </w:r>
            <w:r>
              <w:rPr>
                <w:spacing w:val="-8"/>
                <w:sz w:val="18"/>
              </w:rPr>
              <w:t> </w:t>
            </w:r>
            <w:r>
              <w:rPr>
                <w:sz w:val="18"/>
              </w:rPr>
              <w:t>complete both</w:t>
            </w:r>
            <w:r>
              <w:rPr>
                <w:spacing w:val="-1"/>
                <w:sz w:val="18"/>
              </w:rPr>
              <w:t> </w:t>
            </w:r>
            <w:r>
              <w:rPr>
                <w:sz w:val="18"/>
              </w:rPr>
              <w:t>courses as reported in Annual Report 2018 (30%)</w:t>
            </w:r>
          </w:p>
          <w:p>
            <w:pPr>
              <w:pStyle w:val="TableParagraph"/>
              <w:numPr>
                <w:ilvl w:val="0"/>
                <w:numId w:val="26"/>
              </w:numPr>
              <w:tabs>
                <w:tab w:pos="472" w:val="left" w:leader="none"/>
              </w:tabs>
              <w:spacing w:line="240" w:lineRule="auto" w:before="39" w:after="0"/>
              <w:ind w:left="471" w:right="424" w:hanging="360"/>
              <w:jc w:val="both"/>
              <w:rPr>
                <w:sz w:val="18"/>
              </w:rPr>
            </w:pPr>
            <w:r>
              <w:rPr>
                <w:sz w:val="18"/>
              </w:rPr>
              <w:t>A</w:t>
            </w:r>
            <w:r>
              <w:rPr>
                <w:spacing w:val="-10"/>
                <w:sz w:val="18"/>
              </w:rPr>
              <w:t> </w:t>
            </w:r>
            <w:r>
              <w:rPr>
                <w:sz w:val="18"/>
              </w:rPr>
              <w:t>quality</w:t>
            </w:r>
            <w:r>
              <w:rPr>
                <w:spacing w:val="-8"/>
                <w:sz w:val="18"/>
              </w:rPr>
              <w:t> </w:t>
            </w:r>
            <w:r>
              <w:rPr>
                <w:sz w:val="18"/>
              </w:rPr>
              <w:t>Teacher</w:t>
            </w:r>
            <w:r>
              <w:rPr>
                <w:spacing w:val="-8"/>
                <w:sz w:val="18"/>
              </w:rPr>
              <w:t> </w:t>
            </w:r>
            <w:r>
              <w:rPr>
                <w:sz w:val="18"/>
              </w:rPr>
              <w:t>Supply</w:t>
            </w:r>
            <w:r>
              <w:rPr>
                <w:spacing w:val="-8"/>
                <w:sz w:val="18"/>
              </w:rPr>
              <w:t> </w:t>
            </w:r>
            <w:r>
              <w:rPr>
                <w:sz w:val="18"/>
              </w:rPr>
              <w:t>and</w:t>
            </w:r>
            <w:r>
              <w:rPr>
                <w:spacing w:val="-7"/>
                <w:sz w:val="18"/>
              </w:rPr>
              <w:t> </w:t>
            </w:r>
            <w:r>
              <w:rPr>
                <w:sz w:val="18"/>
              </w:rPr>
              <w:t>Demand study endorsed by SMT (70%)</w:t>
            </w:r>
          </w:p>
        </w:tc>
        <w:tc>
          <w:tcPr>
            <w:tcW w:w="3120" w:type="dxa"/>
          </w:tcPr>
          <w:p>
            <w:pPr>
              <w:pStyle w:val="TableParagraph"/>
              <w:numPr>
                <w:ilvl w:val="0"/>
                <w:numId w:val="27"/>
              </w:numPr>
              <w:tabs>
                <w:tab w:pos="428" w:val="left" w:leader="none"/>
                <w:tab w:pos="429" w:val="left" w:leader="none"/>
              </w:tabs>
              <w:spacing w:line="228" w:lineRule="exact" w:before="0" w:after="0"/>
              <w:ind w:left="428" w:right="0" w:hanging="286"/>
              <w:jc w:val="left"/>
              <w:rPr>
                <w:sz w:val="18"/>
              </w:rPr>
            </w:pPr>
            <w:r>
              <w:rPr>
                <w:sz w:val="18"/>
              </w:rPr>
              <w:t>Quarterly</w:t>
            </w:r>
            <w:r>
              <w:rPr>
                <w:spacing w:val="-3"/>
                <w:sz w:val="18"/>
              </w:rPr>
              <w:t> </w:t>
            </w:r>
            <w:r>
              <w:rPr>
                <w:sz w:val="18"/>
              </w:rPr>
              <w:t>Progress</w:t>
            </w:r>
            <w:r>
              <w:rPr>
                <w:spacing w:val="-3"/>
                <w:sz w:val="18"/>
              </w:rPr>
              <w:t> </w:t>
            </w:r>
            <w:r>
              <w:rPr>
                <w:sz w:val="18"/>
              </w:rPr>
              <w:t>reports</w:t>
            </w:r>
            <w:r>
              <w:rPr>
                <w:spacing w:val="-2"/>
                <w:sz w:val="18"/>
              </w:rPr>
              <w:t> </w:t>
            </w:r>
            <w:r>
              <w:rPr>
                <w:sz w:val="18"/>
              </w:rPr>
              <w:t>–</w:t>
            </w:r>
            <w:r>
              <w:rPr>
                <w:spacing w:val="-3"/>
                <w:sz w:val="18"/>
              </w:rPr>
              <w:t> </w:t>
            </w:r>
            <w:r>
              <w:rPr>
                <w:spacing w:val="-4"/>
                <w:sz w:val="18"/>
              </w:rPr>
              <w:t>TPPD</w:t>
            </w:r>
          </w:p>
          <w:p>
            <w:pPr>
              <w:pStyle w:val="TableParagraph"/>
              <w:numPr>
                <w:ilvl w:val="0"/>
                <w:numId w:val="27"/>
              </w:numPr>
              <w:tabs>
                <w:tab w:pos="428" w:val="left" w:leader="none"/>
                <w:tab w:pos="429" w:val="left" w:leader="none"/>
              </w:tabs>
              <w:spacing w:line="240" w:lineRule="auto" w:before="39" w:after="0"/>
              <w:ind w:left="428" w:right="0" w:hanging="286"/>
              <w:jc w:val="left"/>
              <w:rPr>
                <w:sz w:val="18"/>
              </w:rPr>
            </w:pPr>
            <w:r>
              <w:rPr>
                <w:sz w:val="18"/>
              </w:rPr>
              <w:t>PAR</w:t>
            </w:r>
            <w:r>
              <w:rPr>
                <w:spacing w:val="-1"/>
                <w:sz w:val="18"/>
              </w:rPr>
              <w:t> </w:t>
            </w:r>
            <w:r>
              <w:rPr>
                <w:sz w:val="18"/>
              </w:rPr>
              <w:t>and</w:t>
            </w:r>
            <w:r>
              <w:rPr>
                <w:spacing w:val="-2"/>
                <w:sz w:val="18"/>
              </w:rPr>
              <w:t> </w:t>
            </w:r>
            <w:r>
              <w:rPr>
                <w:sz w:val="18"/>
              </w:rPr>
              <w:t>Annual</w:t>
            </w:r>
            <w:r>
              <w:rPr>
                <w:spacing w:val="-2"/>
                <w:sz w:val="18"/>
              </w:rPr>
              <w:t> </w:t>
            </w:r>
            <w:r>
              <w:rPr>
                <w:sz w:val="18"/>
              </w:rPr>
              <w:t>Report</w:t>
            </w:r>
            <w:r>
              <w:rPr>
                <w:spacing w:val="-1"/>
                <w:sz w:val="18"/>
              </w:rPr>
              <w:t> </w:t>
            </w:r>
            <w:r>
              <w:rPr>
                <w:spacing w:val="-4"/>
                <w:sz w:val="18"/>
              </w:rPr>
              <w:t>2018</w:t>
            </w:r>
          </w:p>
          <w:p>
            <w:pPr>
              <w:pStyle w:val="TableParagraph"/>
              <w:numPr>
                <w:ilvl w:val="0"/>
                <w:numId w:val="27"/>
              </w:numPr>
              <w:tabs>
                <w:tab w:pos="428" w:val="left" w:leader="none"/>
                <w:tab w:pos="429" w:val="left" w:leader="none"/>
              </w:tabs>
              <w:spacing w:line="240" w:lineRule="auto" w:before="42" w:after="0"/>
              <w:ind w:left="428" w:right="617" w:hanging="286"/>
              <w:jc w:val="left"/>
              <w:rPr>
                <w:sz w:val="18"/>
              </w:rPr>
            </w:pPr>
            <w:r>
              <w:rPr>
                <w:sz w:val="18"/>
              </w:rPr>
              <w:t>Key</w:t>
            </w:r>
            <w:r>
              <w:rPr>
                <w:spacing w:val="-10"/>
                <w:sz w:val="18"/>
              </w:rPr>
              <w:t> </w:t>
            </w:r>
            <w:r>
              <w:rPr>
                <w:sz w:val="18"/>
              </w:rPr>
              <w:t>Output</w:t>
            </w:r>
            <w:r>
              <w:rPr>
                <w:spacing w:val="-10"/>
                <w:sz w:val="18"/>
              </w:rPr>
              <w:t> </w:t>
            </w:r>
            <w:r>
              <w:rPr>
                <w:sz w:val="18"/>
              </w:rPr>
              <w:t>report</w:t>
            </w:r>
            <w:r>
              <w:rPr>
                <w:spacing w:val="-10"/>
                <w:sz w:val="18"/>
              </w:rPr>
              <w:t> </w:t>
            </w:r>
            <w:r>
              <w:rPr>
                <w:sz w:val="18"/>
              </w:rPr>
              <w:t>–</w:t>
            </w:r>
            <w:r>
              <w:rPr>
                <w:spacing w:val="-10"/>
                <w:sz w:val="18"/>
              </w:rPr>
              <w:t> </w:t>
            </w:r>
            <w:r>
              <w:rPr>
                <w:sz w:val="18"/>
              </w:rPr>
              <w:t>teacher professional development</w:t>
            </w:r>
          </w:p>
          <w:p>
            <w:pPr>
              <w:pStyle w:val="TableParagraph"/>
              <w:numPr>
                <w:ilvl w:val="0"/>
                <w:numId w:val="27"/>
              </w:numPr>
              <w:tabs>
                <w:tab w:pos="428" w:val="left" w:leader="none"/>
                <w:tab w:pos="429" w:val="left" w:leader="none"/>
              </w:tabs>
              <w:spacing w:line="240" w:lineRule="auto" w:before="38" w:after="0"/>
              <w:ind w:left="428" w:right="0" w:hanging="286"/>
              <w:jc w:val="left"/>
              <w:rPr>
                <w:sz w:val="18"/>
              </w:rPr>
            </w:pPr>
            <w:r>
              <w:rPr>
                <w:sz w:val="18"/>
              </w:rPr>
              <w:t>Quarterly</w:t>
            </w:r>
            <w:r>
              <w:rPr>
                <w:spacing w:val="-3"/>
                <w:sz w:val="18"/>
              </w:rPr>
              <w:t> </w:t>
            </w:r>
            <w:r>
              <w:rPr>
                <w:sz w:val="18"/>
              </w:rPr>
              <w:t>Progress</w:t>
            </w:r>
            <w:r>
              <w:rPr>
                <w:spacing w:val="-3"/>
                <w:sz w:val="18"/>
              </w:rPr>
              <w:t> </w:t>
            </w:r>
            <w:r>
              <w:rPr>
                <w:sz w:val="18"/>
              </w:rPr>
              <w:t>reports</w:t>
            </w:r>
            <w:r>
              <w:rPr>
                <w:spacing w:val="-2"/>
                <w:sz w:val="18"/>
              </w:rPr>
              <w:t> </w:t>
            </w:r>
            <w:r>
              <w:rPr>
                <w:sz w:val="18"/>
              </w:rPr>
              <w:t>–</w:t>
            </w:r>
            <w:r>
              <w:rPr>
                <w:spacing w:val="-3"/>
                <w:sz w:val="18"/>
              </w:rPr>
              <w:t> </w:t>
            </w:r>
            <w:r>
              <w:rPr>
                <w:spacing w:val="-5"/>
                <w:sz w:val="18"/>
              </w:rPr>
              <w:t>TSD</w:t>
            </w:r>
          </w:p>
          <w:p>
            <w:pPr>
              <w:pStyle w:val="TableParagraph"/>
              <w:numPr>
                <w:ilvl w:val="0"/>
                <w:numId w:val="27"/>
              </w:numPr>
              <w:tabs>
                <w:tab w:pos="428" w:val="left" w:leader="none"/>
                <w:tab w:pos="429" w:val="left" w:leader="none"/>
              </w:tabs>
              <w:spacing w:line="240" w:lineRule="auto" w:before="42" w:after="0"/>
              <w:ind w:left="428" w:right="555" w:hanging="286"/>
              <w:jc w:val="left"/>
              <w:rPr>
                <w:sz w:val="18"/>
              </w:rPr>
            </w:pPr>
            <w:r>
              <w:rPr>
                <w:sz w:val="18"/>
              </w:rPr>
              <w:t>Key</w:t>
            </w:r>
            <w:r>
              <w:rPr>
                <w:spacing w:val="-11"/>
                <w:sz w:val="18"/>
              </w:rPr>
              <w:t> </w:t>
            </w:r>
            <w:r>
              <w:rPr>
                <w:sz w:val="18"/>
              </w:rPr>
              <w:t>Output</w:t>
            </w:r>
            <w:r>
              <w:rPr>
                <w:spacing w:val="-9"/>
                <w:sz w:val="18"/>
              </w:rPr>
              <w:t> </w:t>
            </w:r>
            <w:r>
              <w:rPr>
                <w:sz w:val="18"/>
              </w:rPr>
              <w:t>Report</w:t>
            </w:r>
            <w:r>
              <w:rPr>
                <w:spacing w:val="-10"/>
                <w:sz w:val="18"/>
              </w:rPr>
              <w:t> </w:t>
            </w:r>
            <w:r>
              <w:rPr>
                <w:sz w:val="18"/>
              </w:rPr>
              <w:t>–</w:t>
            </w:r>
            <w:r>
              <w:rPr>
                <w:spacing w:val="-11"/>
                <w:sz w:val="18"/>
              </w:rPr>
              <w:t> </w:t>
            </w:r>
            <w:r>
              <w:rPr>
                <w:sz w:val="18"/>
              </w:rPr>
              <w:t>Teacher </w:t>
            </w:r>
            <w:r>
              <w:rPr>
                <w:spacing w:val="-2"/>
                <w:sz w:val="18"/>
              </w:rPr>
              <w:t>Management</w:t>
            </w:r>
          </w:p>
          <w:p>
            <w:pPr>
              <w:pStyle w:val="TableParagraph"/>
              <w:numPr>
                <w:ilvl w:val="0"/>
                <w:numId w:val="27"/>
              </w:numPr>
              <w:tabs>
                <w:tab w:pos="428" w:val="left" w:leader="none"/>
                <w:tab w:pos="429" w:val="left" w:leader="none"/>
              </w:tabs>
              <w:spacing w:line="240" w:lineRule="auto" w:before="38" w:after="0"/>
              <w:ind w:left="428" w:right="0" w:hanging="286"/>
              <w:jc w:val="left"/>
              <w:rPr>
                <w:sz w:val="18"/>
              </w:rPr>
            </w:pPr>
            <w:r>
              <w:rPr>
                <w:sz w:val="18"/>
              </w:rPr>
              <w:t>Output</w:t>
            </w:r>
            <w:r>
              <w:rPr>
                <w:spacing w:val="-4"/>
                <w:sz w:val="18"/>
              </w:rPr>
              <w:t> </w:t>
            </w:r>
            <w:r>
              <w:rPr>
                <w:sz w:val="18"/>
              </w:rPr>
              <w:t>Indicator</w:t>
            </w:r>
            <w:r>
              <w:rPr>
                <w:spacing w:val="-2"/>
                <w:sz w:val="18"/>
              </w:rPr>
              <w:t> </w:t>
            </w:r>
            <w:r>
              <w:rPr>
                <w:sz w:val="18"/>
              </w:rPr>
              <w:t>Tracker</w:t>
            </w:r>
            <w:r>
              <w:rPr>
                <w:spacing w:val="-2"/>
                <w:sz w:val="18"/>
              </w:rPr>
              <w:t> </w:t>
            </w:r>
            <w:r>
              <w:rPr>
                <w:spacing w:val="-4"/>
                <w:sz w:val="18"/>
              </w:rPr>
              <w:t>Table</w:t>
            </w:r>
          </w:p>
          <w:p>
            <w:pPr>
              <w:pStyle w:val="TableParagraph"/>
              <w:numPr>
                <w:ilvl w:val="0"/>
                <w:numId w:val="27"/>
              </w:numPr>
              <w:tabs>
                <w:tab w:pos="428" w:val="left" w:leader="none"/>
                <w:tab w:pos="429" w:val="left" w:leader="none"/>
              </w:tabs>
              <w:spacing w:line="240" w:lineRule="auto" w:before="43" w:after="0"/>
              <w:ind w:left="428" w:right="0" w:hanging="286"/>
              <w:jc w:val="left"/>
              <w:rPr>
                <w:sz w:val="18"/>
              </w:rPr>
            </w:pPr>
            <w:r>
              <w:rPr>
                <w:sz w:val="18"/>
              </w:rPr>
              <w:t>Mid</w:t>
            </w:r>
            <w:r>
              <w:rPr>
                <w:spacing w:val="-3"/>
                <w:sz w:val="18"/>
              </w:rPr>
              <w:t> </w:t>
            </w:r>
            <w:r>
              <w:rPr>
                <w:sz w:val="18"/>
              </w:rPr>
              <w:t>NEAP</w:t>
            </w:r>
            <w:r>
              <w:rPr>
                <w:spacing w:val="-2"/>
                <w:sz w:val="18"/>
              </w:rPr>
              <w:t> </w:t>
            </w:r>
            <w:r>
              <w:rPr>
                <w:sz w:val="18"/>
              </w:rPr>
              <w:t>Review</w:t>
            </w:r>
            <w:r>
              <w:rPr>
                <w:spacing w:val="-3"/>
                <w:sz w:val="18"/>
              </w:rPr>
              <w:t> </w:t>
            </w:r>
            <w:r>
              <w:rPr>
                <w:sz w:val="18"/>
              </w:rPr>
              <w:t>Findings</w:t>
            </w:r>
            <w:r>
              <w:rPr>
                <w:spacing w:val="-2"/>
                <w:sz w:val="18"/>
              </w:rPr>
              <w:t> report</w:t>
            </w:r>
          </w:p>
        </w:tc>
      </w:tr>
      <w:tr>
        <w:trPr>
          <w:trHeight w:val="1756" w:hRule="atLeast"/>
        </w:trPr>
        <w:tc>
          <w:tcPr>
            <w:tcW w:w="816" w:type="dxa"/>
          </w:tcPr>
          <w:p>
            <w:pPr>
              <w:pStyle w:val="TableParagraph"/>
              <w:spacing w:line="219" w:lineRule="exact"/>
              <w:ind w:left="107"/>
              <w:rPr>
                <w:b/>
                <w:sz w:val="18"/>
              </w:rPr>
            </w:pPr>
            <w:r>
              <w:rPr>
                <w:b/>
                <w:spacing w:val="-2"/>
                <w:sz w:val="18"/>
              </w:rPr>
              <w:t>Quality</w:t>
            </w:r>
          </w:p>
        </w:tc>
        <w:tc>
          <w:tcPr>
            <w:tcW w:w="880" w:type="dxa"/>
          </w:tcPr>
          <w:p>
            <w:pPr>
              <w:pStyle w:val="TableParagraph"/>
              <w:spacing w:line="482" w:lineRule="auto"/>
              <w:ind w:left="293" w:right="281"/>
              <w:rPr>
                <w:sz w:val="18"/>
              </w:rPr>
            </w:pPr>
            <w:r>
              <w:rPr>
                <w:spacing w:val="-4"/>
                <w:sz w:val="18"/>
              </w:rPr>
              <w:t>(48)</w:t>
            </w:r>
            <w:r>
              <w:rPr>
                <w:sz w:val="18"/>
              </w:rPr>
              <w:t> </w:t>
            </w:r>
            <w:r>
              <w:rPr>
                <w:spacing w:val="-5"/>
                <w:sz w:val="18"/>
              </w:rPr>
              <w:t>TBA</w:t>
            </w:r>
          </w:p>
        </w:tc>
        <w:tc>
          <w:tcPr>
            <w:tcW w:w="1132" w:type="dxa"/>
          </w:tcPr>
          <w:p>
            <w:pPr>
              <w:pStyle w:val="TableParagraph"/>
              <w:ind w:left="109"/>
              <w:rPr>
                <w:sz w:val="18"/>
              </w:rPr>
            </w:pPr>
            <w:r>
              <w:rPr>
                <w:sz w:val="18"/>
              </w:rPr>
              <w:t>2.5</w:t>
            </w:r>
            <w:r>
              <w:rPr>
                <w:spacing w:val="40"/>
                <w:sz w:val="18"/>
              </w:rPr>
              <w:t> </w:t>
            </w:r>
            <w:r>
              <w:rPr>
                <w:sz w:val="18"/>
              </w:rPr>
              <w:t>School </w:t>
            </w:r>
            <w:r>
              <w:rPr>
                <w:spacing w:val="-2"/>
                <w:sz w:val="18"/>
              </w:rPr>
              <w:t>grant</w:t>
            </w:r>
            <w:r>
              <w:rPr>
                <w:sz w:val="18"/>
              </w:rPr>
              <w:t> </w:t>
            </w:r>
            <w:r>
              <w:rPr>
                <w:spacing w:val="-2"/>
                <w:sz w:val="18"/>
              </w:rPr>
              <w:t>expenditure</w:t>
            </w:r>
            <w:r>
              <w:rPr>
                <w:sz w:val="18"/>
              </w:rPr>
              <w:t> used</w:t>
            </w:r>
            <w:r>
              <w:rPr>
                <w:spacing w:val="-2"/>
                <w:sz w:val="18"/>
              </w:rPr>
              <w:t> </w:t>
            </w:r>
            <w:r>
              <w:rPr>
                <w:sz w:val="18"/>
              </w:rPr>
              <w:t>for </w:t>
            </w:r>
            <w:r>
              <w:rPr>
                <w:spacing w:val="-2"/>
                <w:sz w:val="18"/>
              </w:rPr>
              <w:t>learning</w:t>
            </w:r>
            <w:r>
              <w:rPr>
                <w:sz w:val="18"/>
              </w:rPr>
              <w:t> </w:t>
            </w:r>
            <w:r>
              <w:rPr>
                <w:spacing w:val="-2"/>
                <w:sz w:val="18"/>
              </w:rPr>
              <w:t>materials</w:t>
            </w:r>
          </w:p>
        </w:tc>
        <w:tc>
          <w:tcPr>
            <w:tcW w:w="4253" w:type="dxa"/>
          </w:tcPr>
          <w:p>
            <w:pPr>
              <w:pStyle w:val="TableParagraph"/>
              <w:ind w:left="109" w:right="116"/>
              <w:rPr>
                <w:sz w:val="18"/>
              </w:rPr>
            </w:pPr>
            <w:r>
              <w:rPr>
                <w:sz w:val="18"/>
              </w:rPr>
              <w:t>2.5.1</w:t>
            </w:r>
            <w:r>
              <w:rPr>
                <w:spacing w:val="70"/>
                <w:sz w:val="18"/>
              </w:rPr>
              <w:t> </w:t>
            </w:r>
            <w:r>
              <w:rPr>
                <w:sz w:val="18"/>
              </w:rPr>
              <w:t>By</w:t>
            </w:r>
            <w:r>
              <w:rPr>
                <w:spacing w:val="-4"/>
                <w:sz w:val="18"/>
              </w:rPr>
              <w:t> </w:t>
            </w:r>
            <w:r>
              <w:rPr>
                <w:sz w:val="18"/>
              </w:rPr>
              <w:t>the</w:t>
            </w:r>
            <w:r>
              <w:rPr>
                <w:spacing w:val="-5"/>
                <w:sz w:val="18"/>
              </w:rPr>
              <w:t> </w:t>
            </w:r>
            <w:r>
              <w:rPr>
                <w:sz w:val="18"/>
              </w:rPr>
              <w:t>end</w:t>
            </w:r>
            <w:r>
              <w:rPr>
                <w:spacing w:val="-5"/>
                <w:sz w:val="18"/>
              </w:rPr>
              <w:t> </w:t>
            </w:r>
            <w:r>
              <w:rPr>
                <w:sz w:val="18"/>
              </w:rPr>
              <w:t>of</w:t>
            </w:r>
            <w:r>
              <w:rPr>
                <w:spacing w:val="-5"/>
                <w:sz w:val="18"/>
              </w:rPr>
              <w:t> </w:t>
            </w:r>
            <w:r>
              <w:rPr>
                <w:sz w:val="18"/>
              </w:rPr>
              <w:t>2018,</w:t>
            </w:r>
            <w:r>
              <w:rPr>
                <w:spacing w:val="-4"/>
                <w:sz w:val="18"/>
              </w:rPr>
              <w:t> </w:t>
            </w:r>
            <w:r>
              <w:rPr>
                <w:sz w:val="18"/>
              </w:rPr>
              <w:t>school</w:t>
            </w:r>
            <w:r>
              <w:rPr>
                <w:spacing w:val="-5"/>
                <w:sz w:val="18"/>
              </w:rPr>
              <w:t> </w:t>
            </w:r>
            <w:r>
              <w:rPr>
                <w:sz w:val="18"/>
              </w:rPr>
              <w:t>grants</w:t>
            </w:r>
            <w:r>
              <w:rPr>
                <w:spacing w:val="-6"/>
                <w:sz w:val="18"/>
              </w:rPr>
              <w:t> </w:t>
            </w:r>
            <w:r>
              <w:rPr>
                <w:sz w:val="18"/>
              </w:rPr>
              <w:t>(Secondary, Primary and TVET) training completed in three </w:t>
            </w:r>
            <w:r>
              <w:rPr>
                <w:spacing w:val="-2"/>
                <w:sz w:val="18"/>
              </w:rPr>
              <w:t>provinces</w:t>
            </w:r>
          </w:p>
          <w:p>
            <w:pPr>
              <w:pStyle w:val="TableParagraph"/>
              <w:rPr>
                <w:sz w:val="18"/>
              </w:rPr>
            </w:pPr>
          </w:p>
          <w:p>
            <w:pPr>
              <w:pStyle w:val="TableParagraph"/>
              <w:ind w:left="109"/>
              <w:rPr>
                <w:sz w:val="18"/>
              </w:rPr>
            </w:pPr>
            <w:r>
              <w:rPr>
                <w:sz w:val="18"/>
              </w:rPr>
              <w:t>2.5.2.</w:t>
            </w:r>
            <w:r>
              <w:rPr>
                <w:spacing w:val="33"/>
                <w:sz w:val="18"/>
              </w:rPr>
              <w:t> </w:t>
            </w:r>
            <w:r>
              <w:rPr>
                <w:sz w:val="18"/>
              </w:rPr>
              <w:t>By</w:t>
            </w:r>
            <w:r>
              <w:rPr>
                <w:spacing w:val="-4"/>
                <w:sz w:val="18"/>
              </w:rPr>
              <w:t> </w:t>
            </w:r>
            <w:r>
              <w:rPr>
                <w:sz w:val="18"/>
              </w:rPr>
              <w:t>the</w:t>
            </w:r>
            <w:r>
              <w:rPr>
                <w:spacing w:val="-5"/>
                <w:sz w:val="18"/>
              </w:rPr>
              <w:t> </w:t>
            </w:r>
            <w:r>
              <w:rPr>
                <w:sz w:val="18"/>
              </w:rPr>
              <w:t>end</w:t>
            </w:r>
            <w:r>
              <w:rPr>
                <w:spacing w:val="-5"/>
                <w:sz w:val="18"/>
              </w:rPr>
              <w:t> </w:t>
            </w:r>
            <w:r>
              <w:rPr>
                <w:sz w:val="18"/>
              </w:rPr>
              <w:t>of</w:t>
            </w:r>
            <w:r>
              <w:rPr>
                <w:spacing w:val="-5"/>
                <w:sz w:val="18"/>
              </w:rPr>
              <w:t> </w:t>
            </w:r>
            <w:r>
              <w:rPr>
                <w:sz w:val="18"/>
              </w:rPr>
              <w:t>2018,</w:t>
            </w:r>
            <w:r>
              <w:rPr>
                <w:spacing w:val="-4"/>
                <w:sz w:val="18"/>
              </w:rPr>
              <w:t> </w:t>
            </w:r>
            <w:r>
              <w:rPr>
                <w:sz w:val="18"/>
              </w:rPr>
              <w:t>analysis</w:t>
            </w:r>
            <w:r>
              <w:rPr>
                <w:spacing w:val="-5"/>
                <w:sz w:val="18"/>
              </w:rPr>
              <w:t> </w:t>
            </w:r>
            <w:r>
              <w:rPr>
                <w:sz w:val="18"/>
              </w:rPr>
              <w:t>of</w:t>
            </w:r>
            <w:r>
              <w:rPr>
                <w:spacing w:val="-5"/>
                <w:sz w:val="18"/>
              </w:rPr>
              <w:t> </w:t>
            </w:r>
            <w:r>
              <w:rPr>
                <w:sz w:val="18"/>
              </w:rPr>
              <w:t>retirements</w:t>
            </w:r>
            <w:r>
              <w:rPr>
                <w:spacing w:val="-6"/>
                <w:sz w:val="18"/>
              </w:rPr>
              <w:t> </w:t>
            </w:r>
            <w:r>
              <w:rPr>
                <w:sz w:val="18"/>
              </w:rPr>
              <w:t>to show breakdown of expenditure</w:t>
            </w:r>
          </w:p>
        </w:tc>
        <w:tc>
          <w:tcPr>
            <w:tcW w:w="993" w:type="dxa"/>
          </w:tcPr>
          <w:p>
            <w:pPr>
              <w:pStyle w:val="TableParagraph"/>
              <w:ind w:left="110" w:right="225"/>
              <w:rPr>
                <w:sz w:val="18"/>
              </w:rPr>
            </w:pPr>
            <w:r>
              <w:rPr>
                <w:spacing w:val="-2"/>
                <w:sz w:val="18"/>
              </w:rPr>
              <w:t>Grants</w:t>
            </w:r>
            <w:r>
              <w:rPr>
                <w:sz w:val="18"/>
              </w:rPr>
              <w:t> </w:t>
            </w:r>
            <w:r>
              <w:rPr>
                <w:spacing w:val="-2"/>
                <w:sz w:val="18"/>
              </w:rPr>
              <w:t>Division/</w:t>
            </w:r>
            <w:r>
              <w:rPr>
                <w:sz w:val="18"/>
              </w:rPr>
              <w:t> </w:t>
            </w:r>
            <w:r>
              <w:rPr>
                <w:spacing w:val="-2"/>
                <w:sz w:val="18"/>
              </w:rPr>
              <w:t>Finance</w:t>
            </w:r>
          </w:p>
        </w:tc>
        <w:tc>
          <w:tcPr>
            <w:tcW w:w="3684" w:type="dxa"/>
          </w:tcPr>
          <w:p>
            <w:pPr>
              <w:pStyle w:val="TableParagraph"/>
              <w:numPr>
                <w:ilvl w:val="0"/>
                <w:numId w:val="28"/>
              </w:numPr>
              <w:tabs>
                <w:tab w:pos="471" w:val="left" w:leader="none"/>
                <w:tab w:pos="472" w:val="left" w:leader="none"/>
              </w:tabs>
              <w:spacing w:line="240" w:lineRule="auto" w:before="0" w:after="0"/>
              <w:ind w:left="471" w:right="230" w:hanging="360"/>
              <w:jc w:val="left"/>
              <w:rPr>
                <w:sz w:val="18"/>
              </w:rPr>
            </w:pPr>
            <w:r>
              <w:rPr>
                <w:sz w:val="18"/>
              </w:rPr>
              <w:t>Training</w:t>
            </w:r>
            <w:r>
              <w:rPr>
                <w:spacing w:val="-7"/>
                <w:sz w:val="18"/>
              </w:rPr>
              <w:t> </w:t>
            </w:r>
            <w:r>
              <w:rPr>
                <w:sz w:val="18"/>
              </w:rPr>
              <w:t>that</w:t>
            </w:r>
            <w:r>
              <w:rPr>
                <w:spacing w:val="-7"/>
                <w:sz w:val="18"/>
              </w:rPr>
              <w:t> </w:t>
            </w:r>
            <w:r>
              <w:rPr>
                <w:sz w:val="18"/>
              </w:rPr>
              <w:t>promotes</w:t>
            </w:r>
            <w:r>
              <w:rPr>
                <w:spacing w:val="-7"/>
                <w:sz w:val="18"/>
              </w:rPr>
              <w:t> </w:t>
            </w:r>
            <w:r>
              <w:rPr>
                <w:sz w:val="18"/>
              </w:rPr>
              <w:t>the</w:t>
            </w:r>
            <w:r>
              <w:rPr>
                <w:spacing w:val="-7"/>
                <w:sz w:val="18"/>
              </w:rPr>
              <w:t> </w:t>
            </w:r>
            <w:r>
              <w:rPr>
                <w:sz w:val="18"/>
              </w:rPr>
              <w:t>use</w:t>
            </w:r>
            <w:r>
              <w:rPr>
                <w:spacing w:val="-7"/>
                <w:sz w:val="18"/>
              </w:rPr>
              <w:t> </w:t>
            </w:r>
            <w:r>
              <w:rPr>
                <w:sz w:val="18"/>
              </w:rPr>
              <w:t>of</w:t>
            </w:r>
            <w:r>
              <w:rPr>
                <w:spacing w:val="-7"/>
                <w:sz w:val="18"/>
              </w:rPr>
              <w:t> </w:t>
            </w:r>
            <w:r>
              <w:rPr>
                <w:sz w:val="18"/>
              </w:rPr>
              <w:t>school grants</w:t>
            </w:r>
            <w:r>
              <w:rPr>
                <w:spacing w:val="-7"/>
                <w:sz w:val="18"/>
              </w:rPr>
              <w:t> </w:t>
            </w:r>
            <w:r>
              <w:rPr>
                <w:sz w:val="18"/>
              </w:rPr>
              <w:t>for</w:t>
            </w:r>
            <w:r>
              <w:rPr>
                <w:spacing w:val="-5"/>
                <w:sz w:val="18"/>
              </w:rPr>
              <w:t> </w:t>
            </w:r>
            <w:r>
              <w:rPr>
                <w:sz w:val="18"/>
              </w:rPr>
              <w:t>learning</w:t>
            </w:r>
            <w:r>
              <w:rPr>
                <w:spacing w:val="-6"/>
                <w:sz w:val="18"/>
              </w:rPr>
              <w:t> </w:t>
            </w:r>
            <w:r>
              <w:rPr>
                <w:sz w:val="18"/>
              </w:rPr>
              <w:t>materials</w:t>
            </w:r>
            <w:r>
              <w:rPr>
                <w:spacing w:val="-6"/>
                <w:sz w:val="18"/>
              </w:rPr>
              <w:t> </w:t>
            </w:r>
            <w:r>
              <w:rPr>
                <w:sz w:val="18"/>
              </w:rPr>
              <w:t>carried</w:t>
            </w:r>
            <w:r>
              <w:rPr>
                <w:spacing w:val="-6"/>
                <w:sz w:val="18"/>
              </w:rPr>
              <w:t> </w:t>
            </w:r>
            <w:r>
              <w:rPr>
                <w:sz w:val="18"/>
              </w:rPr>
              <w:t>out. Training reports or records for three provinces in 2018 (50%)</w:t>
            </w:r>
          </w:p>
          <w:p>
            <w:pPr>
              <w:pStyle w:val="TableParagraph"/>
              <w:numPr>
                <w:ilvl w:val="0"/>
                <w:numId w:val="28"/>
              </w:numPr>
              <w:tabs>
                <w:tab w:pos="471" w:val="left" w:leader="none"/>
                <w:tab w:pos="472" w:val="left" w:leader="none"/>
              </w:tabs>
              <w:spacing w:line="240" w:lineRule="auto" w:before="39" w:after="0"/>
              <w:ind w:left="471" w:right="266" w:hanging="360"/>
              <w:jc w:val="left"/>
              <w:rPr>
                <w:sz w:val="18"/>
              </w:rPr>
            </w:pPr>
            <w:r>
              <w:rPr>
                <w:sz w:val="18"/>
              </w:rPr>
              <w:t>Report</w:t>
            </w:r>
            <w:r>
              <w:rPr>
                <w:spacing w:val="-8"/>
                <w:sz w:val="18"/>
              </w:rPr>
              <w:t> </w:t>
            </w:r>
            <w:r>
              <w:rPr>
                <w:sz w:val="18"/>
              </w:rPr>
              <w:t>on</w:t>
            </w:r>
            <w:r>
              <w:rPr>
                <w:spacing w:val="-8"/>
                <w:sz w:val="18"/>
              </w:rPr>
              <w:t> </w:t>
            </w:r>
            <w:r>
              <w:rPr>
                <w:sz w:val="18"/>
              </w:rPr>
              <w:t>analysis</w:t>
            </w:r>
            <w:r>
              <w:rPr>
                <w:spacing w:val="-8"/>
                <w:sz w:val="18"/>
              </w:rPr>
              <w:t> </w:t>
            </w:r>
            <w:r>
              <w:rPr>
                <w:sz w:val="18"/>
              </w:rPr>
              <w:t>of</w:t>
            </w:r>
            <w:r>
              <w:rPr>
                <w:spacing w:val="-8"/>
                <w:sz w:val="18"/>
              </w:rPr>
              <w:t> </w:t>
            </w:r>
            <w:r>
              <w:rPr>
                <w:sz w:val="18"/>
              </w:rPr>
              <w:t>acquittals</w:t>
            </w:r>
            <w:r>
              <w:rPr>
                <w:spacing w:val="-7"/>
                <w:sz w:val="18"/>
              </w:rPr>
              <w:t> </w:t>
            </w:r>
            <w:r>
              <w:rPr>
                <w:sz w:val="18"/>
              </w:rPr>
              <w:t>showing currently how much of school grants is used for learning materials (50%)</w:t>
            </w:r>
          </w:p>
        </w:tc>
        <w:tc>
          <w:tcPr>
            <w:tcW w:w="3120" w:type="dxa"/>
          </w:tcPr>
          <w:p>
            <w:pPr>
              <w:pStyle w:val="TableParagraph"/>
              <w:numPr>
                <w:ilvl w:val="0"/>
                <w:numId w:val="29"/>
              </w:numPr>
              <w:tabs>
                <w:tab w:pos="471" w:val="left" w:leader="none"/>
                <w:tab w:pos="472" w:val="left" w:leader="none"/>
              </w:tabs>
              <w:spacing w:line="240" w:lineRule="auto" w:before="0" w:after="0"/>
              <w:ind w:left="471" w:right="561" w:hanging="360"/>
              <w:jc w:val="left"/>
              <w:rPr>
                <w:sz w:val="18"/>
              </w:rPr>
            </w:pPr>
            <w:r>
              <w:rPr>
                <w:sz w:val="18"/>
              </w:rPr>
              <w:t>Quarterly</w:t>
            </w:r>
            <w:r>
              <w:rPr>
                <w:spacing w:val="-11"/>
                <w:sz w:val="18"/>
              </w:rPr>
              <w:t> </w:t>
            </w:r>
            <w:r>
              <w:rPr>
                <w:sz w:val="18"/>
              </w:rPr>
              <w:t>Progress</w:t>
            </w:r>
            <w:r>
              <w:rPr>
                <w:spacing w:val="-10"/>
                <w:sz w:val="18"/>
              </w:rPr>
              <w:t> </w:t>
            </w:r>
            <w:r>
              <w:rPr>
                <w:sz w:val="18"/>
              </w:rPr>
              <w:t>reports</w:t>
            </w:r>
            <w:r>
              <w:rPr>
                <w:spacing w:val="-10"/>
                <w:sz w:val="18"/>
              </w:rPr>
              <w:t> </w:t>
            </w:r>
            <w:r>
              <w:rPr>
                <w:sz w:val="18"/>
              </w:rPr>
              <w:t>– </w:t>
            </w:r>
            <w:r>
              <w:rPr>
                <w:spacing w:val="-2"/>
                <w:sz w:val="18"/>
              </w:rPr>
              <w:t>Grants</w:t>
            </w:r>
          </w:p>
          <w:p>
            <w:pPr>
              <w:pStyle w:val="TableParagraph"/>
              <w:numPr>
                <w:ilvl w:val="0"/>
                <w:numId w:val="29"/>
              </w:numPr>
              <w:tabs>
                <w:tab w:pos="471" w:val="left" w:leader="none"/>
                <w:tab w:pos="472" w:val="left" w:leader="none"/>
              </w:tabs>
              <w:spacing w:line="240" w:lineRule="auto" w:before="39" w:after="0"/>
              <w:ind w:left="471" w:right="559" w:hanging="360"/>
              <w:jc w:val="left"/>
              <w:rPr>
                <w:sz w:val="18"/>
              </w:rPr>
            </w:pPr>
            <w:r>
              <w:rPr>
                <w:sz w:val="18"/>
              </w:rPr>
              <w:t>Key</w:t>
            </w:r>
            <w:r>
              <w:rPr>
                <w:spacing w:val="-10"/>
                <w:sz w:val="18"/>
              </w:rPr>
              <w:t> </w:t>
            </w:r>
            <w:r>
              <w:rPr>
                <w:sz w:val="18"/>
              </w:rPr>
              <w:t>Output</w:t>
            </w:r>
            <w:r>
              <w:rPr>
                <w:spacing w:val="-10"/>
                <w:sz w:val="18"/>
              </w:rPr>
              <w:t> </w:t>
            </w:r>
            <w:r>
              <w:rPr>
                <w:sz w:val="18"/>
              </w:rPr>
              <w:t>Report</w:t>
            </w:r>
            <w:r>
              <w:rPr>
                <w:spacing w:val="-10"/>
                <w:sz w:val="18"/>
              </w:rPr>
              <w:t> </w:t>
            </w:r>
            <w:r>
              <w:rPr>
                <w:sz w:val="18"/>
              </w:rPr>
              <w:t>–</w:t>
            </w:r>
            <w:r>
              <w:rPr>
                <w:spacing w:val="-10"/>
                <w:sz w:val="18"/>
              </w:rPr>
              <w:t> </w:t>
            </w:r>
            <w:r>
              <w:rPr>
                <w:sz w:val="18"/>
              </w:rPr>
              <w:t>finance </w:t>
            </w:r>
            <w:r>
              <w:rPr>
                <w:spacing w:val="-2"/>
                <w:sz w:val="18"/>
              </w:rPr>
              <w:t>management</w:t>
            </w:r>
          </w:p>
          <w:p>
            <w:pPr>
              <w:pStyle w:val="TableParagraph"/>
              <w:numPr>
                <w:ilvl w:val="0"/>
                <w:numId w:val="29"/>
              </w:numPr>
              <w:tabs>
                <w:tab w:pos="471" w:val="left" w:leader="none"/>
                <w:tab w:pos="472" w:val="left" w:leader="none"/>
              </w:tabs>
              <w:spacing w:line="240" w:lineRule="auto" w:before="38" w:after="0"/>
              <w:ind w:left="471" w:right="0" w:hanging="361"/>
              <w:jc w:val="left"/>
              <w:rPr>
                <w:sz w:val="18"/>
              </w:rPr>
            </w:pPr>
            <w:r>
              <w:rPr>
                <w:sz w:val="18"/>
              </w:rPr>
              <w:t>Annual</w:t>
            </w:r>
            <w:r>
              <w:rPr>
                <w:spacing w:val="-4"/>
                <w:sz w:val="18"/>
              </w:rPr>
              <w:t> </w:t>
            </w:r>
            <w:r>
              <w:rPr>
                <w:sz w:val="18"/>
              </w:rPr>
              <w:t>Report</w:t>
            </w:r>
            <w:r>
              <w:rPr>
                <w:spacing w:val="-3"/>
                <w:sz w:val="18"/>
              </w:rPr>
              <w:t> </w:t>
            </w:r>
            <w:r>
              <w:rPr>
                <w:spacing w:val="-4"/>
                <w:sz w:val="18"/>
              </w:rPr>
              <w:t>2018</w:t>
            </w:r>
          </w:p>
        </w:tc>
      </w:tr>
      <w:tr>
        <w:trPr>
          <w:trHeight w:val="2859" w:hRule="atLeast"/>
        </w:trPr>
        <w:tc>
          <w:tcPr>
            <w:tcW w:w="816" w:type="dxa"/>
          </w:tcPr>
          <w:p>
            <w:pPr>
              <w:pStyle w:val="TableParagraph"/>
              <w:spacing w:before="1"/>
              <w:ind w:left="107"/>
              <w:rPr>
                <w:b/>
                <w:sz w:val="18"/>
              </w:rPr>
            </w:pPr>
            <w:r>
              <w:rPr>
                <w:b/>
                <w:spacing w:val="-4"/>
                <w:sz w:val="18"/>
              </w:rPr>
              <w:t>Manag</w:t>
            </w:r>
            <w:r>
              <w:rPr>
                <w:b/>
                <w:sz w:val="18"/>
              </w:rPr>
              <w:t> </w:t>
            </w:r>
            <w:r>
              <w:rPr>
                <w:b/>
                <w:spacing w:val="-2"/>
                <w:sz w:val="18"/>
              </w:rPr>
              <w:t>ement</w:t>
            </w:r>
          </w:p>
        </w:tc>
        <w:tc>
          <w:tcPr>
            <w:tcW w:w="880" w:type="dxa"/>
          </w:tcPr>
          <w:p>
            <w:pPr>
              <w:pStyle w:val="TableParagraph"/>
              <w:spacing w:before="1"/>
              <w:ind w:left="201"/>
              <w:rPr>
                <w:sz w:val="18"/>
              </w:rPr>
            </w:pPr>
            <w:r>
              <w:rPr>
                <w:sz w:val="18"/>
              </w:rPr>
              <w:t>EO </w:t>
            </w:r>
            <w:r>
              <w:rPr>
                <w:spacing w:val="-5"/>
                <w:sz w:val="18"/>
              </w:rPr>
              <w:t>3.1</w:t>
            </w:r>
          </w:p>
          <w:p>
            <w:pPr>
              <w:pStyle w:val="TableParagraph"/>
              <w:spacing w:before="1"/>
              <w:ind w:left="173"/>
              <w:rPr>
                <w:sz w:val="18"/>
              </w:rPr>
            </w:pPr>
            <w:r>
              <w:rPr>
                <w:sz w:val="18"/>
              </w:rPr>
              <w:t>(55-</w:t>
            </w:r>
            <w:r>
              <w:rPr>
                <w:spacing w:val="-5"/>
                <w:sz w:val="18"/>
              </w:rPr>
              <w:t>56)</w:t>
            </w:r>
          </w:p>
        </w:tc>
        <w:tc>
          <w:tcPr>
            <w:tcW w:w="1132" w:type="dxa"/>
          </w:tcPr>
          <w:p>
            <w:pPr>
              <w:pStyle w:val="TableParagraph"/>
              <w:spacing w:before="1"/>
              <w:ind w:left="109"/>
              <w:rPr>
                <w:sz w:val="18"/>
              </w:rPr>
            </w:pPr>
            <w:r>
              <w:rPr>
                <w:spacing w:val="-5"/>
                <w:sz w:val="18"/>
              </w:rPr>
              <w:t>3.1</w:t>
            </w:r>
          </w:p>
          <w:p>
            <w:pPr>
              <w:pStyle w:val="TableParagraph"/>
              <w:spacing w:before="1"/>
              <w:ind w:left="109" w:right="109"/>
              <w:rPr>
                <w:sz w:val="18"/>
              </w:rPr>
            </w:pPr>
            <w:r>
              <w:rPr>
                <w:spacing w:val="-2"/>
                <w:sz w:val="18"/>
              </w:rPr>
              <w:t>Retirement</w:t>
            </w:r>
            <w:r>
              <w:rPr>
                <w:sz w:val="18"/>
              </w:rPr>
              <w:t> </w:t>
            </w:r>
            <w:r>
              <w:rPr>
                <w:spacing w:val="-2"/>
                <w:sz w:val="18"/>
              </w:rPr>
              <w:t>percentage</w:t>
            </w:r>
            <w:r>
              <w:rPr>
                <w:sz w:val="18"/>
              </w:rPr>
              <w:t> of 2018 </w:t>
            </w:r>
            <w:r>
              <w:rPr>
                <w:spacing w:val="-2"/>
                <w:sz w:val="18"/>
              </w:rPr>
              <w:t>Second</w:t>
            </w:r>
            <w:r>
              <w:rPr>
                <w:sz w:val="18"/>
              </w:rPr>
              <w:t> </w:t>
            </w:r>
            <w:r>
              <w:rPr>
                <w:spacing w:val="-2"/>
                <w:sz w:val="18"/>
              </w:rPr>
              <w:t>Biannual</w:t>
            </w:r>
            <w:r>
              <w:rPr>
                <w:sz w:val="18"/>
              </w:rPr>
              <w:t> </w:t>
            </w:r>
            <w:r>
              <w:rPr>
                <w:spacing w:val="-2"/>
                <w:sz w:val="18"/>
              </w:rPr>
              <w:t>School</w:t>
            </w:r>
            <w:r>
              <w:rPr>
                <w:sz w:val="18"/>
              </w:rPr>
              <w:t> </w:t>
            </w:r>
            <w:r>
              <w:rPr>
                <w:spacing w:val="-2"/>
                <w:sz w:val="18"/>
              </w:rPr>
              <w:t>Grants</w:t>
            </w:r>
            <w:r>
              <w:rPr>
                <w:sz w:val="18"/>
              </w:rPr>
              <w:t> </w:t>
            </w:r>
            <w:r>
              <w:rPr>
                <w:spacing w:val="-2"/>
                <w:sz w:val="18"/>
              </w:rPr>
              <w:t>improved</w:t>
            </w:r>
            <w:r>
              <w:rPr>
                <w:sz w:val="18"/>
              </w:rPr>
              <w:t> and</w:t>
            </w:r>
            <w:r>
              <w:rPr>
                <w:spacing w:val="-2"/>
                <w:sz w:val="18"/>
              </w:rPr>
              <w:t> </w:t>
            </w:r>
            <w:r>
              <w:rPr>
                <w:sz w:val="18"/>
              </w:rPr>
              <w:t>2019 first</w:t>
            </w:r>
            <w:r>
              <w:rPr>
                <w:spacing w:val="-11"/>
                <w:sz w:val="18"/>
              </w:rPr>
              <w:t> </w:t>
            </w:r>
            <w:r>
              <w:rPr>
                <w:sz w:val="18"/>
              </w:rPr>
              <w:t>tranche </w:t>
            </w:r>
            <w:r>
              <w:rPr>
                <w:spacing w:val="-2"/>
                <w:sz w:val="18"/>
              </w:rPr>
              <w:t>disburseme</w:t>
            </w:r>
          </w:p>
          <w:p>
            <w:pPr>
              <w:pStyle w:val="TableParagraph"/>
              <w:spacing w:line="199" w:lineRule="exact" w:before="1"/>
              <w:ind w:left="109"/>
              <w:rPr>
                <w:sz w:val="18"/>
              </w:rPr>
            </w:pPr>
            <w:r>
              <w:rPr>
                <w:sz w:val="18"/>
              </w:rPr>
              <w:t>nt</w:t>
            </w:r>
            <w:r>
              <w:rPr>
                <w:spacing w:val="-1"/>
                <w:sz w:val="18"/>
              </w:rPr>
              <w:t> </w:t>
            </w:r>
            <w:r>
              <w:rPr>
                <w:sz w:val="18"/>
              </w:rPr>
              <w:t>on</w:t>
            </w:r>
            <w:r>
              <w:rPr>
                <w:spacing w:val="-1"/>
                <w:sz w:val="18"/>
              </w:rPr>
              <w:t> </w:t>
            </w:r>
            <w:r>
              <w:rPr>
                <w:spacing w:val="-4"/>
                <w:sz w:val="18"/>
              </w:rPr>
              <w:t>time</w:t>
            </w:r>
          </w:p>
        </w:tc>
        <w:tc>
          <w:tcPr>
            <w:tcW w:w="4253" w:type="dxa"/>
          </w:tcPr>
          <w:p>
            <w:pPr>
              <w:pStyle w:val="TableParagraph"/>
              <w:spacing w:before="1"/>
              <w:ind w:left="109" w:right="116"/>
              <w:rPr>
                <w:sz w:val="18"/>
              </w:rPr>
            </w:pPr>
            <w:r>
              <w:rPr>
                <w:sz w:val="18"/>
              </w:rPr>
              <w:t>3.1.1</w:t>
            </w:r>
            <w:r>
              <w:rPr>
                <w:spacing w:val="34"/>
                <w:sz w:val="18"/>
              </w:rPr>
              <w:t> </w:t>
            </w:r>
            <w:r>
              <w:rPr>
                <w:sz w:val="18"/>
              </w:rPr>
              <w:t>At</w:t>
            </w:r>
            <w:r>
              <w:rPr>
                <w:spacing w:val="-4"/>
                <w:sz w:val="18"/>
              </w:rPr>
              <w:t> </w:t>
            </w:r>
            <w:r>
              <w:rPr>
                <w:sz w:val="18"/>
              </w:rPr>
              <w:t>least</w:t>
            </w:r>
            <w:r>
              <w:rPr>
                <w:spacing w:val="-4"/>
                <w:sz w:val="18"/>
              </w:rPr>
              <w:t> </w:t>
            </w:r>
            <w:r>
              <w:rPr>
                <w:sz w:val="18"/>
              </w:rPr>
              <w:t>65%</w:t>
            </w:r>
            <w:r>
              <w:rPr>
                <w:spacing w:val="-4"/>
                <w:sz w:val="18"/>
              </w:rPr>
              <w:t> </w:t>
            </w:r>
            <w:r>
              <w:rPr>
                <w:sz w:val="18"/>
              </w:rPr>
              <w:t>of</w:t>
            </w:r>
            <w:r>
              <w:rPr>
                <w:spacing w:val="-4"/>
                <w:sz w:val="18"/>
              </w:rPr>
              <w:t> </w:t>
            </w:r>
            <w:r>
              <w:rPr>
                <w:sz w:val="18"/>
              </w:rPr>
              <w:t>2018</w:t>
            </w:r>
            <w:r>
              <w:rPr>
                <w:spacing w:val="-4"/>
                <w:sz w:val="18"/>
              </w:rPr>
              <w:t> </w:t>
            </w:r>
            <w:r>
              <w:rPr>
                <w:sz w:val="18"/>
              </w:rPr>
              <w:t>School</w:t>
            </w:r>
            <w:r>
              <w:rPr>
                <w:spacing w:val="-4"/>
                <w:sz w:val="18"/>
              </w:rPr>
              <w:t> </w:t>
            </w:r>
            <w:r>
              <w:rPr>
                <w:sz w:val="18"/>
              </w:rPr>
              <w:t>grants</w:t>
            </w:r>
            <w:r>
              <w:rPr>
                <w:spacing w:val="-5"/>
                <w:sz w:val="18"/>
              </w:rPr>
              <w:t> </w:t>
            </w:r>
            <w:r>
              <w:rPr>
                <w:sz w:val="18"/>
              </w:rPr>
              <w:t>are</w:t>
            </w:r>
            <w:r>
              <w:rPr>
                <w:spacing w:val="-4"/>
                <w:sz w:val="18"/>
              </w:rPr>
              <w:t> </w:t>
            </w:r>
            <w:r>
              <w:rPr>
                <w:sz w:val="18"/>
              </w:rPr>
              <w:t>retired</w:t>
            </w:r>
            <w:r>
              <w:rPr>
                <w:spacing w:val="-3"/>
                <w:sz w:val="18"/>
              </w:rPr>
              <w:t> </w:t>
            </w:r>
            <w:r>
              <w:rPr>
                <w:sz w:val="18"/>
              </w:rPr>
              <w:t>by 31 March 2019 (2018 Second Biannual)</w:t>
            </w:r>
          </w:p>
          <w:p>
            <w:pPr>
              <w:pStyle w:val="TableParagraph"/>
              <w:spacing w:before="1"/>
              <w:rPr>
                <w:sz w:val="18"/>
              </w:rPr>
            </w:pPr>
          </w:p>
          <w:p>
            <w:pPr>
              <w:pStyle w:val="TableParagraph"/>
              <w:ind w:left="109"/>
              <w:rPr>
                <w:sz w:val="18"/>
              </w:rPr>
            </w:pPr>
            <w:r>
              <w:rPr>
                <w:sz w:val="18"/>
              </w:rPr>
              <w:t>3.1.2.</w:t>
            </w:r>
            <w:r>
              <w:rPr>
                <w:spacing w:val="33"/>
                <w:sz w:val="18"/>
              </w:rPr>
              <w:t> </w:t>
            </w:r>
            <w:r>
              <w:rPr>
                <w:sz w:val="18"/>
              </w:rPr>
              <w:t>At</w:t>
            </w:r>
            <w:r>
              <w:rPr>
                <w:spacing w:val="-4"/>
                <w:sz w:val="18"/>
              </w:rPr>
              <w:t> </w:t>
            </w:r>
            <w:r>
              <w:rPr>
                <w:sz w:val="18"/>
              </w:rPr>
              <w:t>least</w:t>
            </w:r>
            <w:r>
              <w:rPr>
                <w:spacing w:val="-4"/>
                <w:sz w:val="18"/>
              </w:rPr>
              <w:t> </w:t>
            </w:r>
            <w:r>
              <w:rPr>
                <w:sz w:val="18"/>
              </w:rPr>
              <w:t>85%</w:t>
            </w:r>
            <w:r>
              <w:rPr>
                <w:spacing w:val="-4"/>
                <w:sz w:val="18"/>
              </w:rPr>
              <w:t> </w:t>
            </w:r>
            <w:r>
              <w:rPr>
                <w:sz w:val="18"/>
              </w:rPr>
              <w:t>received</w:t>
            </w:r>
            <w:r>
              <w:rPr>
                <w:spacing w:val="-5"/>
                <w:sz w:val="18"/>
              </w:rPr>
              <w:t> </w:t>
            </w:r>
            <w:r>
              <w:rPr>
                <w:sz w:val="18"/>
              </w:rPr>
              <w:t>the</w:t>
            </w:r>
            <w:r>
              <w:rPr>
                <w:spacing w:val="-5"/>
                <w:sz w:val="18"/>
              </w:rPr>
              <w:t> </w:t>
            </w:r>
            <w:r>
              <w:rPr>
                <w:sz w:val="18"/>
              </w:rPr>
              <w:t>first</w:t>
            </w:r>
            <w:r>
              <w:rPr>
                <w:spacing w:val="-4"/>
                <w:sz w:val="18"/>
              </w:rPr>
              <w:t> </w:t>
            </w:r>
            <w:r>
              <w:rPr>
                <w:sz w:val="18"/>
              </w:rPr>
              <w:t>tranche</w:t>
            </w:r>
            <w:r>
              <w:rPr>
                <w:spacing w:val="-4"/>
                <w:sz w:val="18"/>
              </w:rPr>
              <w:t> </w:t>
            </w:r>
            <w:r>
              <w:rPr>
                <w:sz w:val="18"/>
              </w:rPr>
              <w:t>of</w:t>
            </w:r>
            <w:r>
              <w:rPr>
                <w:spacing w:val="-5"/>
                <w:sz w:val="18"/>
              </w:rPr>
              <w:t> </w:t>
            </w:r>
            <w:r>
              <w:rPr>
                <w:sz w:val="18"/>
              </w:rPr>
              <w:t>their 2019 grant by 31 March 2019</w:t>
            </w:r>
          </w:p>
        </w:tc>
        <w:tc>
          <w:tcPr>
            <w:tcW w:w="993" w:type="dxa"/>
          </w:tcPr>
          <w:p>
            <w:pPr>
              <w:pStyle w:val="TableParagraph"/>
              <w:spacing w:before="1"/>
              <w:ind w:left="110" w:right="225"/>
              <w:rPr>
                <w:sz w:val="18"/>
              </w:rPr>
            </w:pPr>
            <w:r>
              <w:rPr>
                <w:spacing w:val="-2"/>
                <w:sz w:val="18"/>
              </w:rPr>
              <w:t>Grants</w:t>
            </w:r>
            <w:r>
              <w:rPr>
                <w:sz w:val="18"/>
              </w:rPr>
              <w:t> </w:t>
            </w:r>
            <w:r>
              <w:rPr>
                <w:spacing w:val="-2"/>
                <w:sz w:val="18"/>
              </w:rPr>
              <w:t>Division/</w:t>
            </w:r>
            <w:r>
              <w:rPr>
                <w:sz w:val="18"/>
              </w:rPr>
              <w:t> </w:t>
            </w:r>
            <w:r>
              <w:rPr>
                <w:spacing w:val="-2"/>
                <w:sz w:val="18"/>
              </w:rPr>
              <w:t>Finance</w:t>
            </w:r>
          </w:p>
        </w:tc>
        <w:tc>
          <w:tcPr>
            <w:tcW w:w="3684" w:type="dxa"/>
          </w:tcPr>
          <w:p>
            <w:pPr>
              <w:pStyle w:val="TableParagraph"/>
              <w:numPr>
                <w:ilvl w:val="0"/>
                <w:numId w:val="30"/>
              </w:numPr>
              <w:tabs>
                <w:tab w:pos="427" w:val="left" w:leader="none"/>
                <w:tab w:pos="428" w:val="left" w:leader="none"/>
              </w:tabs>
              <w:spacing w:line="240" w:lineRule="auto" w:before="1" w:after="0"/>
              <w:ind w:left="428" w:right="372" w:hanging="286"/>
              <w:jc w:val="left"/>
              <w:rPr>
                <w:sz w:val="18"/>
              </w:rPr>
            </w:pPr>
            <w:r>
              <w:rPr>
                <w:sz w:val="18"/>
              </w:rPr>
              <w:t>MEHRD Acquittal report for Primary, Secondary,</w:t>
            </w:r>
            <w:r>
              <w:rPr>
                <w:spacing w:val="-6"/>
                <w:sz w:val="18"/>
              </w:rPr>
              <w:t> </w:t>
            </w:r>
            <w:r>
              <w:rPr>
                <w:sz w:val="18"/>
              </w:rPr>
              <w:t>TVET</w:t>
            </w:r>
            <w:r>
              <w:rPr>
                <w:spacing w:val="-6"/>
                <w:sz w:val="18"/>
              </w:rPr>
              <w:t> </w:t>
            </w:r>
            <w:r>
              <w:rPr>
                <w:sz w:val="18"/>
              </w:rPr>
              <w:t>as</w:t>
            </w:r>
            <w:r>
              <w:rPr>
                <w:spacing w:val="-6"/>
                <w:sz w:val="18"/>
              </w:rPr>
              <w:t> </w:t>
            </w:r>
            <w:r>
              <w:rPr>
                <w:sz w:val="18"/>
              </w:rPr>
              <w:t>at</w:t>
            </w:r>
            <w:r>
              <w:rPr>
                <w:spacing w:val="-6"/>
                <w:sz w:val="18"/>
              </w:rPr>
              <w:t> </w:t>
            </w:r>
            <w:r>
              <w:rPr>
                <w:sz w:val="18"/>
              </w:rPr>
              <w:t>31</w:t>
            </w:r>
            <w:r>
              <w:rPr>
                <w:spacing w:val="-6"/>
                <w:sz w:val="18"/>
              </w:rPr>
              <w:t> </w:t>
            </w:r>
            <w:r>
              <w:rPr>
                <w:sz w:val="18"/>
              </w:rPr>
              <w:t>March</w:t>
            </w:r>
            <w:r>
              <w:rPr>
                <w:spacing w:val="-8"/>
                <w:sz w:val="18"/>
              </w:rPr>
              <w:t> </w:t>
            </w:r>
            <w:r>
              <w:rPr>
                <w:sz w:val="18"/>
              </w:rPr>
              <w:t>2019</w:t>
            </w:r>
            <w:r>
              <w:rPr>
                <w:spacing w:val="-4"/>
                <w:sz w:val="18"/>
              </w:rPr>
              <w:t> </w:t>
            </w:r>
            <w:r>
              <w:rPr>
                <w:sz w:val="18"/>
              </w:rPr>
              <w:t>– retirements</w:t>
            </w:r>
            <w:r>
              <w:rPr>
                <w:spacing w:val="-4"/>
                <w:sz w:val="18"/>
              </w:rPr>
              <w:t> </w:t>
            </w:r>
            <w:r>
              <w:rPr>
                <w:sz w:val="18"/>
              </w:rPr>
              <w:t>(50%)</w:t>
            </w:r>
          </w:p>
          <w:p>
            <w:pPr>
              <w:pStyle w:val="TableParagraph"/>
              <w:numPr>
                <w:ilvl w:val="0"/>
                <w:numId w:val="30"/>
              </w:numPr>
              <w:tabs>
                <w:tab w:pos="427" w:val="left" w:leader="none"/>
                <w:tab w:pos="428" w:val="left" w:leader="none"/>
              </w:tabs>
              <w:spacing w:line="240" w:lineRule="auto" w:before="40" w:after="0"/>
              <w:ind w:left="428" w:right="406" w:hanging="286"/>
              <w:jc w:val="left"/>
              <w:rPr>
                <w:sz w:val="18"/>
              </w:rPr>
            </w:pPr>
            <w:r>
              <w:rPr>
                <w:sz w:val="18"/>
              </w:rPr>
              <w:t>MERHD Acquittal report for Primary, Secondary,</w:t>
            </w:r>
            <w:r>
              <w:rPr>
                <w:spacing w:val="-5"/>
                <w:sz w:val="18"/>
              </w:rPr>
              <w:t> </w:t>
            </w:r>
            <w:r>
              <w:rPr>
                <w:sz w:val="18"/>
              </w:rPr>
              <w:t>TVET</w:t>
            </w:r>
            <w:r>
              <w:rPr>
                <w:spacing w:val="-5"/>
                <w:sz w:val="18"/>
              </w:rPr>
              <w:t> </w:t>
            </w:r>
            <w:r>
              <w:rPr>
                <w:sz w:val="18"/>
              </w:rPr>
              <w:t>as</w:t>
            </w:r>
            <w:r>
              <w:rPr>
                <w:spacing w:val="-6"/>
                <w:sz w:val="18"/>
              </w:rPr>
              <w:t> </w:t>
            </w:r>
            <w:r>
              <w:rPr>
                <w:sz w:val="18"/>
              </w:rPr>
              <w:t>at</w:t>
            </w:r>
            <w:r>
              <w:rPr>
                <w:spacing w:val="-6"/>
                <w:sz w:val="18"/>
              </w:rPr>
              <w:t> </w:t>
            </w:r>
            <w:r>
              <w:rPr>
                <w:sz w:val="18"/>
              </w:rPr>
              <w:t>31</w:t>
            </w:r>
            <w:r>
              <w:rPr>
                <w:spacing w:val="-5"/>
                <w:sz w:val="18"/>
              </w:rPr>
              <w:t> </w:t>
            </w:r>
            <w:r>
              <w:rPr>
                <w:sz w:val="18"/>
              </w:rPr>
              <w:t>March</w:t>
            </w:r>
            <w:r>
              <w:rPr>
                <w:spacing w:val="-8"/>
                <w:sz w:val="18"/>
              </w:rPr>
              <w:t> </w:t>
            </w:r>
            <w:r>
              <w:rPr>
                <w:sz w:val="18"/>
              </w:rPr>
              <w:t>2019</w:t>
            </w:r>
            <w:r>
              <w:rPr>
                <w:spacing w:val="-4"/>
                <w:sz w:val="18"/>
              </w:rPr>
              <w:t> </w:t>
            </w:r>
            <w:r>
              <w:rPr>
                <w:sz w:val="18"/>
              </w:rPr>
              <w:t>- disbursement of first tranche for 2019 </w:t>
            </w:r>
            <w:r>
              <w:rPr>
                <w:spacing w:val="-2"/>
                <w:sz w:val="18"/>
              </w:rPr>
              <w:t>(50%)</w:t>
            </w:r>
          </w:p>
          <w:p>
            <w:pPr>
              <w:pStyle w:val="TableParagraph"/>
              <w:spacing w:before="40"/>
              <w:ind w:left="428"/>
              <w:rPr>
                <w:sz w:val="16"/>
              </w:rPr>
            </w:pPr>
            <w:r>
              <w:rPr>
                <w:sz w:val="16"/>
              </w:rPr>
              <w:t>(NB:</w:t>
            </w:r>
            <w:r>
              <w:rPr>
                <w:spacing w:val="-3"/>
                <w:sz w:val="16"/>
              </w:rPr>
              <w:t> </w:t>
            </w:r>
            <w:r>
              <w:rPr>
                <w:sz w:val="16"/>
              </w:rPr>
              <w:t>ECCE</w:t>
            </w:r>
            <w:r>
              <w:rPr>
                <w:spacing w:val="-3"/>
                <w:sz w:val="16"/>
              </w:rPr>
              <w:t> </w:t>
            </w:r>
            <w:r>
              <w:rPr>
                <w:sz w:val="16"/>
              </w:rPr>
              <w:t>to</w:t>
            </w:r>
            <w:r>
              <w:rPr>
                <w:spacing w:val="-3"/>
                <w:sz w:val="16"/>
              </w:rPr>
              <w:t> </w:t>
            </w:r>
            <w:r>
              <w:rPr>
                <w:sz w:val="16"/>
              </w:rPr>
              <w:t>be</w:t>
            </w:r>
            <w:r>
              <w:rPr>
                <w:spacing w:val="-4"/>
                <w:sz w:val="16"/>
              </w:rPr>
              <w:t> </w:t>
            </w:r>
            <w:r>
              <w:rPr>
                <w:sz w:val="16"/>
              </w:rPr>
              <w:t>phased</w:t>
            </w:r>
            <w:r>
              <w:rPr>
                <w:spacing w:val="-3"/>
                <w:sz w:val="16"/>
              </w:rPr>
              <w:t> </w:t>
            </w:r>
            <w:r>
              <w:rPr>
                <w:spacing w:val="-4"/>
                <w:sz w:val="16"/>
              </w:rPr>
              <w:t>out)</w:t>
            </w:r>
          </w:p>
        </w:tc>
        <w:tc>
          <w:tcPr>
            <w:tcW w:w="3120" w:type="dxa"/>
          </w:tcPr>
          <w:p>
            <w:pPr>
              <w:pStyle w:val="TableParagraph"/>
              <w:numPr>
                <w:ilvl w:val="0"/>
                <w:numId w:val="31"/>
              </w:numPr>
              <w:tabs>
                <w:tab w:pos="428" w:val="left" w:leader="none"/>
                <w:tab w:pos="429" w:val="left" w:leader="none"/>
              </w:tabs>
              <w:spacing w:line="240" w:lineRule="auto" w:before="1" w:after="0"/>
              <w:ind w:left="428" w:right="638" w:hanging="286"/>
              <w:jc w:val="left"/>
              <w:rPr>
                <w:sz w:val="18"/>
              </w:rPr>
            </w:pPr>
            <w:r>
              <w:rPr>
                <w:sz w:val="18"/>
              </w:rPr>
              <w:t>Key</w:t>
            </w:r>
            <w:r>
              <w:rPr>
                <w:spacing w:val="-10"/>
                <w:sz w:val="18"/>
              </w:rPr>
              <w:t> </w:t>
            </w:r>
            <w:r>
              <w:rPr>
                <w:sz w:val="18"/>
              </w:rPr>
              <w:t>Output</w:t>
            </w:r>
            <w:r>
              <w:rPr>
                <w:spacing w:val="-10"/>
                <w:sz w:val="18"/>
              </w:rPr>
              <w:t> </w:t>
            </w:r>
            <w:r>
              <w:rPr>
                <w:sz w:val="18"/>
              </w:rPr>
              <w:t>report</w:t>
            </w:r>
            <w:r>
              <w:rPr>
                <w:spacing w:val="-10"/>
                <w:sz w:val="18"/>
              </w:rPr>
              <w:t> </w:t>
            </w:r>
            <w:r>
              <w:rPr>
                <w:sz w:val="18"/>
              </w:rPr>
              <w:t>–</w:t>
            </w:r>
            <w:r>
              <w:rPr>
                <w:spacing w:val="-10"/>
                <w:sz w:val="18"/>
              </w:rPr>
              <w:t> </w:t>
            </w:r>
            <w:r>
              <w:rPr>
                <w:sz w:val="18"/>
              </w:rPr>
              <w:t>finance </w:t>
            </w:r>
            <w:r>
              <w:rPr>
                <w:spacing w:val="-2"/>
                <w:sz w:val="18"/>
              </w:rPr>
              <w:t>management</w:t>
            </w:r>
          </w:p>
          <w:p>
            <w:pPr>
              <w:pStyle w:val="TableParagraph"/>
              <w:numPr>
                <w:ilvl w:val="0"/>
                <w:numId w:val="31"/>
              </w:numPr>
              <w:tabs>
                <w:tab w:pos="428" w:val="left" w:leader="none"/>
                <w:tab w:pos="429" w:val="left" w:leader="none"/>
              </w:tabs>
              <w:spacing w:line="240" w:lineRule="auto" w:before="38" w:after="0"/>
              <w:ind w:left="428" w:right="0" w:hanging="286"/>
              <w:jc w:val="left"/>
              <w:rPr>
                <w:sz w:val="18"/>
              </w:rPr>
            </w:pPr>
            <w:r>
              <w:rPr>
                <w:sz w:val="18"/>
              </w:rPr>
              <w:t>Annual</w:t>
            </w:r>
            <w:r>
              <w:rPr>
                <w:spacing w:val="-4"/>
                <w:sz w:val="18"/>
              </w:rPr>
              <w:t> </w:t>
            </w:r>
            <w:r>
              <w:rPr>
                <w:sz w:val="18"/>
              </w:rPr>
              <w:t>Report</w:t>
            </w:r>
            <w:r>
              <w:rPr>
                <w:spacing w:val="-3"/>
                <w:sz w:val="18"/>
              </w:rPr>
              <w:t> </w:t>
            </w:r>
            <w:r>
              <w:rPr>
                <w:spacing w:val="-4"/>
                <w:sz w:val="18"/>
              </w:rPr>
              <w:t>2018</w:t>
            </w:r>
          </w:p>
          <w:p>
            <w:pPr>
              <w:pStyle w:val="TableParagraph"/>
              <w:numPr>
                <w:ilvl w:val="0"/>
                <w:numId w:val="31"/>
              </w:numPr>
              <w:tabs>
                <w:tab w:pos="428" w:val="left" w:leader="none"/>
                <w:tab w:pos="429" w:val="left" w:leader="none"/>
              </w:tabs>
              <w:spacing w:line="240" w:lineRule="auto" w:before="40" w:after="0"/>
              <w:ind w:left="428" w:right="0" w:hanging="286"/>
              <w:jc w:val="left"/>
              <w:rPr>
                <w:sz w:val="18"/>
              </w:rPr>
            </w:pPr>
            <w:r>
              <w:rPr>
                <w:sz w:val="18"/>
              </w:rPr>
              <w:t>Output</w:t>
            </w:r>
            <w:r>
              <w:rPr>
                <w:spacing w:val="-3"/>
                <w:sz w:val="18"/>
              </w:rPr>
              <w:t> </w:t>
            </w:r>
            <w:r>
              <w:rPr>
                <w:sz w:val="18"/>
              </w:rPr>
              <w:t>Indicator</w:t>
            </w:r>
            <w:r>
              <w:rPr>
                <w:spacing w:val="-2"/>
                <w:sz w:val="18"/>
              </w:rPr>
              <w:t> </w:t>
            </w:r>
            <w:r>
              <w:rPr>
                <w:sz w:val="18"/>
              </w:rPr>
              <w:t>Tracking</w:t>
            </w:r>
            <w:r>
              <w:rPr>
                <w:spacing w:val="-3"/>
                <w:sz w:val="18"/>
              </w:rPr>
              <w:t> </w:t>
            </w:r>
            <w:r>
              <w:rPr>
                <w:spacing w:val="-4"/>
                <w:sz w:val="18"/>
              </w:rPr>
              <w:t>Table</w:t>
            </w:r>
          </w:p>
        </w:tc>
      </w:tr>
      <w:tr>
        <w:trPr>
          <w:trHeight w:val="676" w:hRule="atLeast"/>
        </w:trPr>
        <w:tc>
          <w:tcPr>
            <w:tcW w:w="816" w:type="dxa"/>
          </w:tcPr>
          <w:p>
            <w:pPr>
              <w:pStyle w:val="TableParagraph"/>
              <w:spacing w:line="219" w:lineRule="exact"/>
              <w:ind w:left="107"/>
              <w:rPr>
                <w:b/>
                <w:sz w:val="18"/>
              </w:rPr>
            </w:pPr>
            <w:r>
              <w:rPr>
                <w:b/>
                <w:spacing w:val="-4"/>
                <w:sz w:val="18"/>
              </w:rPr>
              <w:t>Manag</w:t>
            </w:r>
          </w:p>
          <w:p>
            <w:pPr>
              <w:pStyle w:val="TableParagraph"/>
              <w:spacing w:line="220" w:lineRule="atLeast"/>
              <w:ind w:left="107" w:right="92"/>
              <w:rPr>
                <w:b/>
                <w:sz w:val="18"/>
              </w:rPr>
            </w:pPr>
            <w:r>
              <w:rPr>
                <w:b/>
                <w:spacing w:val="-2"/>
                <w:sz w:val="18"/>
              </w:rPr>
              <w:t>ement</w:t>
            </w:r>
            <w:r>
              <w:rPr>
                <w:b/>
                <w:sz w:val="18"/>
              </w:rPr>
              <w:t> </w:t>
            </w:r>
            <w:r>
              <w:rPr>
                <w:b/>
                <w:spacing w:val="-2"/>
                <w:sz w:val="18"/>
              </w:rPr>
              <w:t>systems</w:t>
            </w:r>
          </w:p>
        </w:tc>
        <w:tc>
          <w:tcPr>
            <w:tcW w:w="880" w:type="dxa"/>
          </w:tcPr>
          <w:p>
            <w:pPr>
              <w:pStyle w:val="TableParagraph"/>
              <w:spacing w:line="219" w:lineRule="exact"/>
              <w:ind w:left="293"/>
              <w:rPr>
                <w:sz w:val="18"/>
              </w:rPr>
            </w:pPr>
            <w:r>
              <w:rPr>
                <w:spacing w:val="-5"/>
                <w:sz w:val="18"/>
              </w:rPr>
              <w:t>TBA</w:t>
            </w:r>
          </w:p>
        </w:tc>
        <w:tc>
          <w:tcPr>
            <w:tcW w:w="1132" w:type="dxa"/>
          </w:tcPr>
          <w:p>
            <w:pPr>
              <w:pStyle w:val="TableParagraph"/>
              <w:spacing w:line="219" w:lineRule="exact"/>
              <w:ind w:left="109"/>
              <w:rPr>
                <w:sz w:val="18"/>
              </w:rPr>
            </w:pPr>
            <w:r>
              <w:rPr>
                <w:sz w:val="18"/>
              </w:rPr>
              <w:t>3.2</w:t>
            </w:r>
            <w:r>
              <w:rPr>
                <w:spacing w:val="39"/>
                <w:sz w:val="18"/>
              </w:rPr>
              <w:t> </w:t>
            </w:r>
            <w:r>
              <w:rPr>
                <w:spacing w:val="-5"/>
                <w:sz w:val="18"/>
              </w:rPr>
              <w:t>New</w:t>
            </w:r>
          </w:p>
          <w:p>
            <w:pPr>
              <w:pStyle w:val="TableParagraph"/>
              <w:spacing w:line="220" w:lineRule="atLeast"/>
              <w:ind w:left="109" w:right="95"/>
              <w:rPr>
                <w:sz w:val="18"/>
              </w:rPr>
            </w:pPr>
            <w:r>
              <w:rPr>
                <w:spacing w:val="-2"/>
                <w:sz w:val="18"/>
              </w:rPr>
              <w:t>education</w:t>
            </w:r>
            <w:r>
              <w:rPr>
                <w:sz w:val="18"/>
              </w:rPr>
              <w:t> bill</w:t>
            </w:r>
            <w:r>
              <w:rPr>
                <w:spacing w:val="-11"/>
                <w:sz w:val="18"/>
              </w:rPr>
              <w:t> </w:t>
            </w:r>
            <w:r>
              <w:rPr>
                <w:sz w:val="18"/>
              </w:rPr>
              <w:t>is</w:t>
            </w:r>
            <w:r>
              <w:rPr>
                <w:spacing w:val="-10"/>
                <w:sz w:val="18"/>
              </w:rPr>
              <w:t> </w:t>
            </w:r>
            <w:r>
              <w:rPr>
                <w:sz w:val="18"/>
              </w:rPr>
              <w:t>passed</w:t>
            </w:r>
          </w:p>
        </w:tc>
        <w:tc>
          <w:tcPr>
            <w:tcW w:w="4253" w:type="dxa"/>
          </w:tcPr>
          <w:p>
            <w:pPr>
              <w:pStyle w:val="TableParagraph"/>
              <w:ind w:left="109" w:right="141"/>
              <w:rPr>
                <w:sz w:val="18"/>
              </w:rPr>
            </w:pPr>
            <w:r>
              <w:rPr>
                <w:sz w:val="18"/>
              </w:rPr>
              <w:t>3.2.1</w:t>
            </w:r>
            <w:r>
              <w:rPr>
                <w:spacing w:val="31"/>
                <w:sz w:val="18"/>
              </w:rPr>
              <w:t> </w:t>
            </w:r>
            <w:r>
              <w:rPr>
                <w:sz w:val="18"/>
              </w:rPr>
              <w:t>Draft</w:t>
            </w:r>
            <w:r>
              <w:rPr>
                <w:spacing w:val="-6"/>
                <w:sz w:val="18"/>
              </w:rPr>
              <w:t> </w:t>
            </w:r>
            <w:r>
              <w:rPr>
                <w:sz w:val="18"/>
              </w:rPr>
              <w:t>Education</w:t>
            </w:r>
            <w:r>
              <w:rPr>
                <w:spacing w:val="-6"/>
                <w:sz w:val="18"/>
              </w:rPr>
              <w:t> </w:t>
            </w:r>
            <w:r>
              <w:rPr>
                <w:sz w:val="18"/>
              </w:rPr>
              <w:t>Bill</w:t>
            </w:r>
            <w:r>
              <w:rPr>
                <w:spacing w:val="-6"/>
                <w:sz w:val="18"/>
              </w:rPr>
              <w:t> </w:t>
            </w:r>
            <w:r>
              <w:rPr>
                <w:sz w:val="18"/>
              </w:rPr>
              <w:t>is</w:t>
            </w:r>
            <w:r>
              <w:rPr>
                <w:spacing w:val="-4"/>
                <w:sz w:val="18"/>
              </w:rPr>
              <w:t> </w:t>
            </w:r>
            <w:r>
              <w:rPr>
                <w:sz w:val="18"/>
              </w:rPr>
              <w:t>endorsed</w:t>
            </w:r>
            <w:r>
              <w:rPr>
                <w:spacing w:val="-4"/>
                <w:sz w:val="18"/>
              </w:rPr>
              <w:t> </w:t>
            </w:r>
            <w:r>
              <w:rPr>
                <w:sz w:val="18"/>
              </w:rPr>
              <w:t>by</w:t>
            </w:r>
            <w:r>
              <w:rPr>
                <w:spacing w:val="-5"/>
                <w:sz w:val="18"/>
              </w:rPr>
              <w:t> </w:t>
            </w:r>
            <w:r>
              <w:rPr>
                <w:sz w:val="18"/>
              </w:rPr>
              <w:t>NEB</w:t>
            </w:r>
            <w:r>
              <w:rPr>
                <w:spacing w:val="-5"/>
                <w:sz w:val="18"/>
              </w:rPr>
              <w:t> </w:t>
            </w:r>
            <w:r>
              <w:rPr>
                <w:sz w:val="18"/>
              </w:rPr>
              <w:t>in </w:t>
            </w:r>
            <w:r>
              <w:rPr>
                <w:spacing w:val="-2"/>
                <w:sz w:val="18"/>
              </w:rPr>
              <w:t>October</w:t>
            </w:r>
          </w:p>
        </w:tc>
        <w:tc>
          <w:tcPr>
            <w:tcW w:w="993" w:type="dxa"/>
          </w:tcPr>
          <w:p>
            <w:pPr>
              <w:pStyle w:val="TableParagraph"/>
              <w:spacing w:line="219" w:lineRule="exact"/>
              <w:ind w:left="110"/>
              <w:rPr>
                <w:sz w:val="18"/>
              </w:rPr>
            </w:pPr>
            <w:r>
              <w:rPr>
                <w:spacing w:val="-5"/>
                <w:sz w:val="18"/>
              </w:rPr>
              <w:t>SMT</w:t>
            </w:r>
          </w:p>
        </w:tc>
        <w:tc>
          <w:tcPr>
            <w:tcW w:w="3684" w:type="dxa"/>
          </w:tcPr>
          <w:p>
            <w:pPr>
              <w:pStyle w:val="TableParagraph"/>
              <w:numPr>
                <w:ilvl w:val="0"/>
                <w:numId w:val="32"/>
              </w:numPr>
              <w:tabs>
                <w:tab w:pos="471" w:val="left" w:leader="none"/>
                <w:tab w:pos="472" w:val="left" w:leader="none"/>
              </w:tabs>
              <w:spacing w:line="228" w:lineRule="exact" w:before="0" w:after="0"/>
              <w:ind w:left="471" w:right="0" w:hanging="361"/>
              <w:jc w:val="left"/>
              <w:rPr>
                <w:sz w:val="18"/>
              </w:rPr>
            </w:pPr>
            <w:r>
              <w:rPr>
                <w:sz w:val="18"/>
              </w:rPr>
              <w:t>Bill</w:t>
            </w:r>
            <w:r>
              <w:rPr>
                <w:spacing w:val="-2"/>
                <w:sz w:val="18"/>
              </w:rPr>
              <w:t> </w:t>
            </w:r>
            <w:r>
              <w:rPr>
                <w:sz w:val="18"/>
              </w:rPr>
              <w:t>in</w:t>
            </w:r>
            <w:r>
              <w:rPr>
                <w:spacing w:val="-3"/>
                <w:sz w:val="18"/>
              </w:rPr>
              <w:t> </w:t>
            </w:r>
            <w:r>
              <w:rPr>
                <w:sz w:val="18"/>
              </w:rPr>
              <w:t>final</w:t>
            </w:r>
            <w:r>
              <w:rPr>
                <w:spacing w:val="-2"/>
                <w:sz w:val="18"/>
              </w:rPr>
              <w:t> </w:t>
            </w:r>
            <w:r>
              <w:rPr>
                <w:sz w:val="18"/>
              </w:rPr>
              <w:t>format</w:t>
            </w:r>
            <w:r>
              <w:rPr>
                <w:spacing w:val="-1"/>
                <w:sz w:val="18"/>
              </w:rPr>
              <w:t> </w:t>
            </w:r>
            <w:r>
              <w:rPr>
                <w:sz w:val="18"/>
              </w:rPr>
              <w:t>approved by</w:t>
            </w:r>
            <w:r>
              <w:rPr>
                <w:spacing w:val="-1"/>
                <w:sz w:val="18"/>
              </w:rPr>
              <w:t> </w:t>
            </w:r>
            <w:r>
              <w:rPr>
                <w:sz w:val="18"/>
              </w:rPr>
              <w:t>SMT </w:t>
            </w:r>
            <w:r>
              <w:rPr>
                <w:spacing w:val="-2"/>
                <w:sz w:val="18"/>
              </w:rPr>
              <w:t>(50%)</w:t>
            </w:r>
          </w:p>
          <w:p>
            <w:pPr>
              <w:pStyle w:val="TableParagraph"/>
              <w:numPr>
                <w:ilvl w:val="0"/>
                <w:numId w:val="32"/>
              </w:numPr>
              <w:tabs>
                <w:tab w:pos="471" w:val="left" w:leader="none"/>
                <w:tab w:pos="472" w:val="left" w:leader="none"/>
              </w:tabs>
              <w:spacing w:line="218" w:lineRule="exact" w:before="0" w:after="0"/>
              <w:ind w:left="471" w:right="317" w:hanging="360"/>
              <w:jc w:val="left"/>
              <w:rPr>
                <w:sz w:val="18"/>
              </w:rPr>
            </w:pPr>
            <w:r>
              <w:rPr>
                <w:sz w:val="18"/>
              </w:rPr>
              <w:t>NEB</w:t>
            </w:r>
            <w:r>
              <w:rPr>
                <w:spacing w:val="-8"/>
                <w:sz w:val="18"/>
              </w:rPr>
              <w:t> </w:t>
            </w:r>
            <w:r>
              <w:rPr>
                <w:sz w:val="18"/>
              </w:rPr>
              <w:t>memorandum</w:t>
            </w:r>
            <w:r>
              <w:rPr>
                <w:spacing w:val="-8"/>
                <w:sz w:val="18"/>
              </w:rPr>
              <w:t> </w:t>
            </w:r>
            <w:r>
              <w:rPr>
                <w:sz w:val="18"/>
              </w:rPr>
              <w:t>to</w:t>
            </w:r>
            <w:r>
              <w:rPr>
                <w:spacing w:val="-8"/>
                <w:sz w:val="18"/>
              </w:rPr>
              <w:t> </w:t>
            </w:r>
            <w:r>
              <w:rPr>
                <w:sz w:val="18"/>
              </w:rPr>
              <w:t>Minister</w:t>
            </w:r>
            <w:r>
              <w:rPr>
                <w:spacing w:val="-8"/>
                <w:sz w:val="18"/>
              </w:rPr>
              <w:t> </w:t>
            </w:r>
            <w:r>
              <w:rPr>
                <w:sz w:val="18"/>
              </w:rPr>
              <w:t>of</w:t>
            </w:r>
            <w:r>
              <w:rPr>
                <w:spacing w:val="-6"/>
                <w:sz w:val="18"/>
              </w:rPr>
              <w:t> </w:t>
            </w:r>
            <w:r>
              <w:rPr>
                <w:sz w:val="18"/>
              </w:rPr>
              <w:t>EHRD </w:t>
            </w:r>
            <w:r>
              <w:rPr>
                <w:spacing w:val="-2"/>
                <w:sz w:val="18"/>
              </w:rPr>
              <w:t>(50%)</w:t>
            </w:r>
          </w:p>
        </w:tc>
        <w:tc>
          <w:tcPr>
            <w:tcW w:w="3120" w:type="dxa"/>
          </w:tcPr>
          <w:p>
            <w:pPr>
              <w:pStyle w:val="TableParagraph"/>
              <w:numPr>
                <w:ilvl w:val="0"/>
                <w:numId w:val="33"/>
              </w:numPr>
              <w:tabs>
                <w:tab w:pos="471" w:val="left" w:leader="none"/>
                <w:tab w:pos="472" w:val="left" w:leader="none"/>
              </w:tabs>
              <w:spacing w:line="228" w:lineRule="exact" w:before="0" w:after="0"/>
              <w:ind w:left="471" w:right="0" w:hanging="361"/>
              <w:jc w:val="left"/>
              <w:rPr>
                <w:sz w:val="18"/>
              </w:rPr>
            </w:pPr>
            <w:r>
              <w:rPr>
                <w:sz w:val="18"/>
              </w:rPr>
              <w:t>SMT</w:t>
            </w:r>
            <w:r>
              <w:rPr>
                <w:spacing w:val="-2"/>
                <w:sz w:val="18"/>
              </w:rPr>
              <w:t> minutes</w:t>
            </w:r>
          </w:p>
        </w:tc>
      </w:tr>
      <w:tr>
        <w:trPr>
          <w:trHeight w:val="1319" w:hRule="atLeast"/>
        </w:trPr>
        <w:tc>
          <w:tcPr>
            <w:tcW w:w="816" w:type="dxa"/>
          </w:tcPr>
          <w:p>
            <w:pPr>
              <w:pStyle w:val="TableParagraph"/>
              <w:spacing w:before="1"/>
              <w:ind w:left="107" w:right="92"/>
              <w:rPr>
                <w:b/>
                <w:sz w:val="18"/>
              </w:rPr>
            </w:pPr>
            <w:r>
              <w:rPr>
                <w:b/>
                <w:spacing w:val="-4"/>
                <w:sz w:val="18"/>
              </w:rPr>
              <w:t>Manag</w:t>
            </w:r>
            <w:r>
              <w:rPr>
                <w:b/>
                <w:sz w:val="18"/>
              </w:rPr>
              <w:t> </w:t>
            </w:r>
            <w:r>
              <w:rPr>
                <w:b/>
                <w:spacing w:val="-2"/>
                <w:sz w:val="18"/>
              </w:rPr>
              <w:t>ement</w:t>
            </w:r>
            <w:r>
              <w:rPr>
                <w:b/>
                <w:sz w:val="18"/>
              </w:rPr>
              <w:t> </w:t>
            </w:r>
            <w:r>
              <w:rPr>
                <w:b/>
                <w:spacing w:val="-2"/>
                <w:sz w:val="18"/>
              </w:rPr>
              <w:t>systems</w:t>
            </w:r>
          </w:p>
        </w:tc>
        <w:tc>
          <w:tcPr>
            <w:tcW w:w="880" w:type="dxa"/>
          </w:tcPr>
          <w:p>
            <w:pPr>
              <w:pStyle w:val="TableParagraph"/>
              <w:spacing w:before="1"/>
              <w:ind w:left="293" w:right="225" w:hanging="51"/>
              <w:rPr>
                <w:sz w:val="18"/>
              </w:rPr>
            </w:pPr>
            <w:r>
              <w:rPr>
                <w:spacing w:val="-2"/>
                <w:sz w:val="18"/>
              </w:rPr>
              <w:t>IO3.2</w:t>
            </w:r>
            <w:r>
              <w:rPr>
                <w:sz w:val="18"/>
              </w:rPr>
              <w:t> </w:t>
            </w:r>
            <w:r>
              <w:rPr>
                <w:spacing w:val="-4"/>
                <w:sz w:val="18"/>
              </w:rPr>
              <w:t>(40)</w:t>
            </w:r>
          </w:p>
        </w:tc>
        <w:tc>
          <w:tcPr>
            <w:tcW w:w="1132" w:type="dxa"/>
          </w:tcPr>
          <w:p>
            <w:pPr>
              <w:pStyle w:val="TableParagraph"/>
              <w:spacing w:before="1"/>
              <w:ind w:left="109"/>
              <w:rPr>
                <w:sz w:val="18"/>
              </w:rPr>
            </w:pPr>
            <w:r>
              <w:rPr>
                <w:spacing w:val="-5"/>
                <w:sz w:val="18"/>
              </w:rPr>
              <w:t>3.3</w:t>
            </w:r>
          </w:p>
          <w:p>
            <w:pPr>
              <w:pStyle w:val="TableParagraph"/>
              <w:spacing w:before="1"/>
              <w:ind w:left="109"/>
              <w:rPr>
                <w:sz w:val="18"/>
              </w:rPr>
            </w:pPr>
            <w:r>
              <w:rPr>
                <w:spacing w:val="-2"/>
                <w:sz w:val="18"/>
              </w:rPr>
              <w:t>Education</w:t>
            </w:r>
            <w:r>
              <w:rPr>
                <w:sz w:val="18"/>
              </w:rPr>
              <w:t> </w:t>
            </w:r>
            <w:r>
              <w:rPr>
                <w:spacing w:val="-2"/>
                <w:sz w:val="18"/>
              </w:rPr>
              <w:t>Authorities</w:t>
            </w:r>
            <w:r>
              <w:rPr>
                <w:sz w:val="18"/>
              </w:rPr>
              <w:t> operate</w:t>
            </w:r>
            <w:r>
              <w:rPr>
                <w:spacing w:val="-2"/>
                <w:sz w:val="18"/>
              </w:rPr>
              <w:t> </w:t>
            </w:r>
            <w:r>
              <w:rPr>
                <w:sz w:val="18"/>
              </w:rPr>
              <w:t>to </w:t>
            </w:r>
            <w:r>
              <w:rPr>
                <w:spacing w:val="-2"/>
                <w:sz w:val="18"/>
              </w:rPr>
              <w:t>agreed</w:t>
            </w:r>
          </w:p>
          <w:p>
            <w:pPr>
              <w:pStyle w:val="TableParagraph"/>
              <w:spacing w:line="199" w:lineRule="exact"/>
              <w:ind w:left="109"/>
              <w:rPr>
                <w:sz w:val="18"/>
              </w:rPr>
            </w:pPr>
            <w:r>
              <w:rPr>
                <w:spacing w:val="-2"/>
                <w:sz w:val="18"/>
              </w:rPr>
              <w:t>standards</w:t>
            </w:r>
          </w:p>
        </w:tc>
        <w:tc>
          <w:tcPr>
            <w:tcW w:w="4253" w:type="dxa"/>
          </w:tcPr>
          <w:p>
            <w:pPr>
              <w:pStyle w:val="TableParagraph"/>
              <w:spacing w:before="1"/>
              <w:ind w:left="109"/>
              <w:rPr>
                <w:sz w:val="18"/>
              </w:rPr>
            </w:pPr>
            <w:r>
              <w:rPr>
                <w:sz w:val="18"/>
              </w:rPr>
              <w:t>3.3.1</w:t>
            </w:r>
            <w:r>
              <w:rPr>
                <w:spacing w:val="33"/>
                <w:sz w:val="18"/>
              </w:rPr>
              <w:t> </w:t>
            </w:r>
            <w:r>
              <w:rPr>
                <w:sz w:val="18"/>
              </w:rPr>
              <w:t>By</w:t>
            </w:r>
            <w:r>
              <w:rPr>
                <w:spacing w:val="-4"/>
                <w:sz w:val="18"/>
              </w:rPr>
              <w:t> </w:t>
            </w:r>
            <w:r>
              <w:rPr>
                <w:sz w:val="18"/>
              </w:rPr>
              <w:t>the</w:t>
            </w:r>
            <w:r>
              <w:rPr>
                <w:spacing w:val="-5"/>
                <w:sz w:val="18"/>
              </w:rPr>
              <w:t> </w:t>
            </w:r>
            <w:r>
              <w:rPr>
                <w:sz w:val="18"/>
              </w:rPr>
              <w:t>end</w:t>
            </w:r>
            <w:r>
              <w:rPr>
                <w:spacing w:val="-5"/>
                <w:sz w:val="18"/>
              </w:rPr>
              <w:t> </w:t>
            </w:r>
            <w:r>
              <w:rPr>
                <w:sz w:val="18"/>
              </w:rPr>
              <w:t>of</w:t>
            </w:r>
            <w:r>
              <w:rPr>
                <w:spacing w:val="-5"/>
                <w:sz w:val="18"/>
              </w:rPr>
              <w:t> </w:t>
            </w:r>
            <w:r>
              <w:rPr>
                <w:sz w:val="18"/>
              </w:rPr>
              <w:t>2018,</w:t>
            </w:r>
            <w:r>
              <w:rPr>
                <w:spacing w:val="-3"/>
                <w:sz w:val="18"/>
              </w:rPr>
              <w:t> </w:t>
            </w:r>
            <w:r>
              <w:rPr>
                <w:sz w:val="18"/>
              </w:rPr>
              <w:t>Standards</w:t>
            </w:r>
            <w:r>
              <w:rPr>
                <w:spacing w:val="-5"/>
                <w:sz w:val="18"/>
              </w:rPr>
              <w:t> </w:t>
            </w:r>
            <w:r>
              <w:rPr>
                <w:sz w:val="18"/>
              </w:rPr>
              <w:t>approved,</w:t>
            </w:r>
            <w:r>
              <w:rPr>
                <w:spacing w:val="-4"/>
                <w:sz w:val="18"/>
              </w:rPr>
              <w:t> </w:t>
            </w:r>
            <w:r>
              <w:rPr>
                <w:sz w:val="18"/>
              </w:rPr>
              <w:t>27</w:t>
            </w:r>
            <w:r>
              <w:rPr>
                <w:spacing w:val="-4"/>
                <w:sz w:val="18"/>
              </w:rPr>
              <w:t> </w:t>
            </w:r>
            <w:r>
              <w:rPr>
                <w:sz w:val="18"/>
              </w:rPr>
              <w:t>EAs receive training including initial self-assessments completed and analysed</w:t>
            </w:r>
          </w:p>
        </w:tc>
        <w:tc>
          <w:tcPr>
            <w:tcW w:w="993" w:type="dxa"/>
          </w:tcPr>
          <w:p>
            <w:pPr>
              <w:pStyle w:val="TableParagraph"/>
              <w:spacing w:before="1"/>
              <w:ind w:left="110"/>
              <w:rPr>
                <w:sz w:val="18"/>
              </w:rPr>
            </w:pPr>
            <w:r>
              <w:rPr>
                <w:spacing w:val="-4"/>
                <w:sz w:val="18"/>
              </w:rPr>
              <w:t>EACI</w:t>
            </w:r>
          </w:p>
        </w:tc>
        <w:tc>
          <w:tcPr>
            <w:tcW w:w="3684" w:type="dxa"/>
          </w:tcPr>
          <w:p>
            <w:pPr>
              <w:pStyle w:val="TableParagraph"/>
              <w:numPr>
                <w:ilvl w:val="0"/>
                <w:numId w:val="34"/>
              </w:numPr>
              <w:tabs>
                <w:tab w:pos="471" w:val="left" w:leader="none"/>
                <w:tab w:pos="472" w:val="left" w:leader="none"/>
              </w:tabs>
              <w:spacing w:line="240" w:lineRule="auto" w:before="1" w:after="0"/>
              <w:ind w:left="471" w:right="0" w:hanging="361"/>
              <w:jc w:val="left"/>
              <w:rPr>
                <w:sz w:val="18"/>
              </w:rPr>
            </w:pPr>
            <w:r>
              <w:rPr>
                <w:sz w:val="18"/>
              </w:rPr>
              <w:t>Quality</w:t>
            </w:r>
            <w:r>
              <w:rPr>
                <w:spacing w:val="-5"/>
                <w:sz w:val="18"/>
              </w:rPr>
              <w:t> </w:t>
            </w:r>
            <w:r>
              <w:rPr>
                <w:sz w:val="18"/>
              </w:rPr>
              <w:t>EA</w:t>
            </w:r>
            <w:r>
              <w:rPr>
                <w:spacing w:val="-1"/>
                <w:sz w:val="18"/>
              </w:rPr>
              <w:t> </w:t>
            </w:r>
            <w:r>
              <w:rPr>
                <w:sz w:val="18"/>
              </w:rPr>
              <w:t>Standards</w:t>
            </w:r>
            <w:r>
              <w:rPr>
                <w:spacing w:val="-1"/>
                <w:sz w:val="18"/>
              </w:rPr>
              <w:t> </w:t>
            </w:r>
            <w:r>
              <w:rPr>
                <w:sz w:val="18"/>
              </w:rPr>
              <w:t>drafted</w:t>
            </w:r>
            <w:r>
              <w:rPr>
                <w:spacing w:val="-3"/>
                <w:sz w:val="18"/>
              </w:rPr>
              <w:t> </w:t>
            </w:r>
            <w:r>
              <w:rPr>
                <w:spacing w:val="-2"/>
                <w:sz w:val="18"/>
              </w:rPr>
              <w:t>(20%)</w:t>
            </w:r>
          </w:p>
          <w:p>
            <w:pPr>
              <w:pStyle w:val="TableParagraph"/>
              <w:numPr>
                <w:ilvl w:val="0"/>
                <w:numId w:val="34"/>
              </w:numPr>
              <w:tabs>
                <w:tab w:pos="471" w:val="left" w:leader="none"/>
                <w:tab w:pos="472" w:val="left" w:leader="none"/>
              </w:tabs>
              <w:spacing w:line="240" w:lineRule="auto" w:before="39" w:after="0"/>
              <w:ind w:left="471" w:right="433" w:hanging="360"/>
              <w:jc w:val="left"/>
              <w:rPr>
                <w:sz w:val="18"/>
              </w:rPr>
            </w:pPr>
            <w:r>
              <w:rPr>
                <w:sz w:val="18"/>
              </w:rPr>
              <w:t>SMT</w:t>
            </w:r>
            <w:r>
              <w:rPr>
                <w:spacing w:val="-7"/>
                <w:sz w:val="18"/>
              </w:rPr>
              <w:t> </w:t>
            </w:r>
            <w:r>
              <w:rPr>
                <w:sz w:val="18"/>
              </w:rPr>
              <w:t>approval</w:t>
            </w:r>
            <w:r>
              <w:rPr>
                <w:spacing w:val="-7"/>
                <w:sz w:val="18"/>
              </w:rPr>
              <w:t> </w:t>
            </w:r>
            <w:r>
              <w:rPr>
                <w:sz w:val="18"/>
              </w:rPr>
              <w:t>minute</w:t>
            </w:r>
            <w:r>
              <w:rPr>
                <w:spacing w:val="-9"/>
                <w:sz w:val="18"/>
              </w:rPr>
              <w:t> </w:t>
            </w:r>
            <w:r>
              <w:rPr>
                <w:sz w:val="18"/>
              </w:rPr>
              <w:t>of</w:t>
            </w:r>
            <w:r>
              <w:rPr>
                <w:spacing w:val="-8"/>
                <w:sz w:val="18"/>
              </w:rPr>
              <w:t> </w:t>
            </w:r>
            <w:r>
              <w:rPr>
                <w:sz w:val="18"/>
              </w:rPr>
              <w:t>EA</w:t>
            </w:r>
            <w:r>
              <w:rPr>
                <w:spacing w:val="-9"/>
                <w:sz w:val="18"/>
              </w:rPr>
              <w:t> </w:t>
            </w:r>
            <w:r>
              <w:rPr>
                <w:sz w:val="18"/>
              </w:rPr>
              <w:t>Standards </w:t>
            </w:r>
            <w:r>
              <w:rPr>
                <w:spacing w:val="-2"/>
                <w:sz w:val="18"/>
              </w:rPr>
              <w:t>(50%)</w:t>
            </w:r>
          </w:p>
          <w:p>
            <w:pPr>
              <w:pStyle w:val="TableParagraph"/>
              <w:numPr>
                <w:ilvl w:val="0"/>
                <w:numId w:val="34"/>
              </w:numPr>
              <w:tabs>
                <w:tab w:pos="471" w:val="left" w:leader="none"/>
                <w:tab w:pos="472" w:val="left" w:leader="none"/>
              </w:tabs>
              <w:spacing w:line="240" w:lineRule="auto" w:before="41" w:after="0"/>
              <w:ind w:left="471" w:right="716" w:hanging="360"/>
              <w:jc w:val="left"/>
              <w:rPr>
                <w:sz w:val="18"/>
              </w:rPr>
            </w:pPr>
            <w:r>
              <w:rPr>
                <w:sz w:val="18"/>
              </w:rPr>
              <w:t>Training</w:t>
            </w:r>
            <w:r>
              <w:rPr>
                <w:spacing w:val="-11"/>
                <w:sz w:val="18"/>
              </w:rPr>
              <w:t> </w:t>
            </w:r>
            <w:r>
              <w:rPr>
                <w:sz w:val="18"/>
              </w:rPr>
              <w:t>in</w:t>
            </w:r>
            <w:r>
              <w:rPr>
                <w:spacing w:val="-10"/>
                <w:sz w:val="18"/>
              </w:rPr>
              <w:t> </w:t>
            </w:r>
            <w:r>
              <w:rPr>
                <w:sz w:val="18"/>
              </w:rPr>
              <w:t>initial</w:t>
            </w:r>
            <w:r>
              <w:rPr>
                <w:spacing w:val="-10"/>
                <w:sz w:val="18"/>
              </w:rPr>
              <w:t> </w:t>
            </w:r>
            <w:r>
              <w:rPr>
                <w:sz w:val="18"/>
              </w:rPr>
              <w:t>self-assessments completed by EACI (30%)</w:t>
            </w:r>
          </w:p>
        </w:tc>
        <w:tc>
          <w:tcPr>
            <w:tcW w:w="3120" w:type="dxa"/>
          </w:tcPr>
          <w:p>
            <w:pPr>
              <w:pStyle w:val="TableParagraph"/>
              <w:numPr>
                <w:ilvl w:val="0"/>
                <w:numId w:val="35"/>
              </w:numPr>
              <w:tabs>
                <w:tab w:pos="471" w:val="left" w:leader="none"/>
                <w:tab w:pos="472" w:val="left" w:leader="none"/>
              </w:tabs>
              <w:spacing w:line="240" w:lineRule="auto" w:before="1" w:after="0"/>
              <w:ind w:left="471" w:right="0" w:hanging="361"/>
              <w:jc w:val="left"/>
              <w:rPr>
                <w:sz w:val="18"/>
              </w:rPr>
            </w:pPr>
            <w:r>
              <w:rPr>
                <w:sz w:val="18"/>
              </w:rPr>
              <w:t>Quarterly</w:t>
            </w:r>
            <w:r>
              <w:rPr>
                <w:spacing w:val="-3"/>
                <w:sz w:val="18"/>
              </w:rPr>
              <w:t> </w:t>
            </w:r>
            <w:r>
              <w:rPr>
                <w:sz w:val="18"/>
              </w:rPr>
              <w:t>Progress</w:t>
            </w:r>
            <w:r>
              <w:rPr>
                <w:spacing w:val="-3"/>
                <w:sz w:val="18"/>
              </w:rPr>
              <w:t> </w:t>
            </w:r>
            <w:r>
              <w:rPr>
                <w:sz w:val="18"/>
              </w:rPr>
              <w:t>reports</w:t>
            </w:r>
            <w:r>
              <w:rPr>
                <w:spacing w:val="-2"/>
                <w:sz w:val="18"/>
              </w:rPr>
              <w:t> </w:t>
            </w:r>
            <w:r>
              <w:rPr>
                <w:sz w:val="18"/>
              </w:rPr>
              <w:t>–</w:t>
            </w:r>
            <w:r>
              <w:rPr>
                <w:spacing w:val="-3"/>
                <w:sz w:val="18"/>
              </w:rPr>
              <w:t> </w:t>
            </w:r>
            <w:r>
              <w:rPr>
                <w:spacing w:val="-4"/>
                <w:sz w:val="18"/>
              </w:rPr>
              <w:t>EACI</w:t>
            </w:r>
          </w:p>
          <w:p>
            <w:pPr>
              <w:pStyle w:val="TableParagraph"/>
              <w:numPr>
                <w:ilvl w:val="0"/>
                <w:numId w:val="35"/>
              </w:numPr>
              <w:tabs>
                <w:tab w:pos="471" w:val="left" w:leader="none"/>
                <w:tab w:pos="472" w:val="left" w:leader="none"/>
              </w:tabs>
              <w:spacing w:line="240" w:lineRule="auto" w:before="39" w:after="0"/>
              <w:ind w:left="471" w:right="114" w:hanging="360"/>
              <w:jc w:val="left"/>
              <w:rPr>
                <w:sz w:val="18"/>
              </w:rPr>
            </w:pPr>
            <w:r>
              <w:rPr>
                <w:sz w:val="18"/>
              </w:rPr>
              <w:t>Key</w:t>
            </w:r>
            <w:r>
              <w:rPr>
                <w:spacing w:val="-6"/>
                <w:sz w:val="18"/>
              </w:rPr>
              <w:t> </w:t>
            </w:r>
            <w:r>
              <w:rPr>
                <w:sz w:val="18"/>
              </w:rPr>
              <w:t>Output</w:t>
            </w:r>
            <w:r>
              <w:rPr>
                <w:spacing w:val="-6"/>
                <w:sz w:val="18"/>
              </w:rPr>
              <w:t> </w:t>
            </w:r>
            <w:r>
              <w:rPr>
                <w:sz w:val="18"/>
              </w:rPr>
              <w:t>report</w:t>
            </w:r>
            <w:r>
              <w:rPr>
                <w:spacing w:val="-7"/>
                <w:sz w:val="18"/>
              </w:rPr>
              <w:t> </w:t>
            </w:r>
            <w:r>
              <w:rPr>
                <w:sz w:val="18"/>
              </w:rPr>
              <w:t>–</w:t>
            </w:r>
            <w:r>
              <w:rPr>
                <w:spacing w:val="-7"/>
                <w:sz w:val="18"/>
              </w:rPr>
              <w:t> </w:t>
            </w:r>
            <w:r>
              <w:rPr>
                <w:sz w:val="18"/>
              </w:rPr>
              <w:t>EA</w:t>
            </w:r>
            <w:r>
              <w:rPr>
                <w:spacing w:val="-8"/>
                <w:sz w:val="18"/>
              </w:rPr>
              <w:t> </w:t>
            </w:r>
            <w:r>
              <w:rPr>
                <w:sz w:val="18"/>
              </w:rPr>
              <w:t>Capacity</w:t>
            </w:r>
            <w:r>
              <w:rPr>
                <w:spacing w:val="-6"/>
                <w:sz w:val="18"/>
              </w:rPr>
              <w:t> </w:t>
            </w:r>
            <w:r>
              <w:rPr>
                <w:sz w:val="18"/>
              </w:rPr>
              <w:t>&amp; </w:t>
            </w:r>
            <w:r>
              <w:rPr>
                <w:spacing w:val="-2"/>
                <w:sz w:val="18"/>
              </w:rPr>
              <w:t>Standards</w:t>
            </w:r>
          </w:p>
          <w:p>
            <w:pPr>
              <w:pStyle w:val="TableParagraph"/>
              <w:numPr>
                <w:ilvl w:val="0"/>
                <w:numId w:val="35"/>
              </w:numPr>
              <w:tabs>
                <w:tab w:pos="471" w:val="left" w:leader="none"/>
                <w:tab w:pos="472" w:val="left" w:leader="none"/>
              </w:tabs>
              <w:spacing w:line="240" w:lineRule="auto" w:before="41" w:after="0"/>
              <w:ind w:left="471" w:right="0" w:hanging="361"/>
              <w:jc w:val="left"/>
              <w:rPr>
                <w:sz w:val="18"/>
              </w:rPr>
            </w:pPr>
            <w:r>
              <w:rPr>
                <w:sz w:val="18"/>
              </w:rPr>
              <w:t>EA</w:t>
            </w:r>
            <w:r>
              <w:rPr>
                <w:spacing w:val="-4"/>
                <w:sz w:val="18"/>
              </w:rPr>
              <w:t> </w:t>
            </w:r>
            <w:r>
              <w:rPr>
                <w:sz w:val="18"/>
              </w:rPr>
              <w:t>Conference</w:t>
            </w:r>
            <w:r>
              <w:rPr>
                <w:spacing w:val="-3"/>
                <w:sz w:val="18"/>
              </w:rPr>
              <w:t> </w:t>
            </w:r>
            <w:r>
              <w:rPr>
                <w:sz w:val="18"/>
              </w:rPr>
              <w:t>2018</w:t>
            </w:r>
            <w:r>
              <w:rPr>
                <w:spacing w:val="-2"/>
                <w:sz w:val="18"/>
              </w:rPr>
              <w:t> report</w:t>
            </w:r>
          </w:p>
          <w:p>
            <w:pPr>
              <w:pStyle w:val="TableParagraph"/>
              <w:numPr>
                <w:ilvl w:val="0"/>
                <w:numId w:val="35"/>
              </w:numPr>
              <w:tabs>
                <w:tab w:pos="471" w:val="left" w:leader="none"/>
                <w:tab w:pos="472" w:val="left" w:leader="none"/>
              </w:tabs>
              <w:spacing w:line="240" w:lineRule="auto" w:before="39" w:after="0"/>
              <w:ind w:left="471" w:right="0" w:hanging="361"/>
              <w:jc w:val="left"/>
              <w:rPr>
                <w:sz w:val="18"/>
              </w:rPr>
            </w:pPr>
            <w:r>
              <w:rPr>
                <w:sz w:val="18"/>
              </w:rPr>
              <w:t>Mid</w:t>
            </w:r>
            <w:r>
              <w:rPr>
                <w:spacing w:val="-3"/>
                <w:sz w:val="18"/>
              </w:rPr>
              <w:t> </w:t>
            </w:r>
            <w:r>
              <w:rPr>
                <w:sz w:val="18"/>
              </w:rPr>
              <w:t>NEAP</w:t>
            </w:r>
            <w:r>
              <w:rPr>
                <w:spacing w:val="-2"/>
                <w:sz w:val="18"/>
              </w:rPr>
              <w:t> </w:t>
            </w:r>
            <w:r>
              <w:rPr>
                <w:sz w:val="18"/>
              </w:rPr>
              <w:t>Review</w:t>
            </w:r>
            <w:r>
              <w:rPr>
                <w:spacing w:val="-3"/>
                <w:sz w:val="18"/>
              </w:rPr>
              <w:t> </w:t>
            </w:r>
            <w:r>
              <w:rPr>
                <w:sz w:val="18"/>
              </w:rPr>
              <w:t>Findings</w:t>
            </w:r>
            <w:r>
              <w:rPr>
                <w:spacing w:val="-2"/>
                <w:sz w:val="18"/>
              </w:rPr>
              <w:t> report</w:t>
            </w:r>
          </w:p>
        </w:tc>
      </w:tr>
    </w:tbl>
    <w:p>
      <w:pPr>
        <w:spacing w:after="0" w:line="240" w:lineRule="auto"/>
        <w:jc w:val="left"/>
        <w:rPr>
          <w:sz w:val="18"/>
        </w:rPr>
        <w:sectPr>
          <w:pgSz w:w="16850" w:h="11900" w:orient="landscape"/>
          <w:pgMar w:header="867" w:footer="830" w:top="1400" w:bottom="1020" w:left="1220" w:right="520"/>
        </w:sectPr>
      </w:pPr>
    </w:p>
    <w:tbl>
      <w:tblPr>
        <w:tblW w:w="0" w:type="auto"/>
        <w:jc w:val="left"/>
        <w:tblInd w:w="11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816"/>
        <w:gridCol w:w="880"/>
        <w:gridCol w:w="1132"/>
        <w:gridCol w:w="4253"/>
        <w:gridCol w:w="993"/>
        <w:gridCol w:w="3684"/>
        <w:gridCol w:w="3120"/>
      </w:tblGrid>
      <w:tr>
        <w:trPr>
          <w:trHeight w:val="1758" w:hRule="atLeast"/>
        </w:trPr>
        <w:tc>
          <w:tcPr>
            <w:tcW w:w="816" w:type="dxa"/>
          </w:tcPr>
          <w:p>
            <w:pPr>
              <w:pStyle w:val="TableParagraph"/>
              <w:spacing w:before="1"/>
              <w:ind w:left="107" w:right="92"/>
              <w:rPr>
                <w:b/>
                <w:sz w:val="18"/>
              </w:rPr>
            </w:pPr>
            <w:r>
              <w:rPr>
                <w:b/>
                <w:spacing w:val="-4"/>
                <w:sz w:val="18"/>
              </w:rPr>
              <w:t>Manag</w:t>
            </w:r>
            <w:r>
              <w:rPr>
                <w:b/>
                <w:sz w:val="18"/>
              </w:rPr>
              <w:t> </w:t>
            </w:r>
            <w:r>
              <w:rPr>
                <w:b/>
                <w:spacing w:val="-2"/>
                <w:sz w:val="18"/>
              </w:rPr>
              <w:t>ement</w:t>
            </w:r>
            <w:r>
              <w:rPr>
                <w:b/>
                <w:sz w:val="18"/>
              </w:rPr>
              <w:t> </w:t>
            </w:r>
            <w:r>
              <w:rPr>
                <w:b/>
                <w:spacing w:val="-2"/>
                <w:sz w:val="18"/>
              </w:rPr>
              <w:t>systems</w:t>
            </w:r>
          </w:p>
        </w:tc>
        <w:tc>
          <w:tcPr>
            <w:tcW w:w="880" w:type="dxa"/>
          </w:tcPr>
          <w:p>
            <w:pPr>
              <w:pStyle w:val="TableParagraph"/>
              <w:spacing w:before="1"/>
              <w:ind w:left="235"/>
              <w:rPr>
                <w:sz w:val="18"/>
              </w:rPr>
            </w:pPr>
            <w:r>
              <w:rPr>
                <w:spacing w:val="-2"/>
                <w:sz w:val="18"/>
              </w:rPr>
              <w:t>E03.6</w:t>
            </w:r>
          </w:p>
        </w:tc>
        <w:tc>
          <w:tcPr>
            <w:tcW w:w="1132" w:type="dxa"/>
          </w:tcPr>
          <w:p>
            <w:pPr>
              <w:pStyle w:val="TableParagraph"/>
              <w:spacing w:line="219" w:lineRule="exact" w:before="1"/>
              <w:ind w:left="109"/>
              <w:rPr>
                <w:sz w:val="18"/>
              </w:rPr>
            </w:pPr>
            <w:r>
              <w:rPr>
                <w:sz w:val="18"/>
              </w:rPr>
              <w:t>3.4</w:t>
            </w:r>
            <w:r>
              <w:rPr>
                <w:spacing w:val="39"/>
                <w:sz w:val="18"/>
              </w:rPr>
              <w:t> </w:t>
            </w:r>
            <w:r>
              <w:rPr>
                <w:spacing w:val="-5"/>
                <w:sz w:val="18"/>
              </w:rPr>
              <w:t>The</w:t>
            </w:r>
          </w:p>
          <w:p>
            <w:pPr>
              <w:pStyle w:val="TableParagraph"/>
              <w:spacing w:line="219" w:lineRule="exact"/>
              <w:ind w:left="109"/>
              <w:rPr>
                <w:sz w:val="18"/>
              </w:rPr>
            </w:pPr>
            <w:r>
              <w:rPr>
                <w:spacing w:val="-4"/>
                <w:sz w:val="18"/>
              </w:rPr>
              <w:t>2018</w:t>
            </w:r>
          </w:p>
          <w:p>
            <w:pPr>
              <w:pStyle w:val="TableParagraph"/>
              <w:spacing w:before="1"/>
              <w:ind w:left="109" w:right="121"/>
              <w:rPr>
                <w:sz w:val="18"/>
              </w:rPr>
            </w:pPr>
            <w:r>
              <w:rPr>
                <w:spacing w:val="-2"/>
                <w:sz w:val="18"/>
              </w:rPr>
              <w:t>recurrent</w:t>
            </w:r>
            <w:r>
              <w:rPr>
                <w:sz w:val="18"/>
              </w:rPr>
              <w:t> </w:t>
            </w:r>
            <w:r>
              <w:rPr>
                <w:spacing w:val="-2"/>
                <w:sz w:val="18"/>
              </w:rPr>
              <w:t>expenditure</w:t>
            </w:r>
            <w:r>
              <w:rPr>
                <w:sz w:val="18"/>
              </w:rPr>
              <w:t> for Basic Education</w:t>
            </w:r>
            <w:r>
              <w:rPr>
                <w:spacing w:val="-11"/>
                <w:sz w:val="18"/>
              </w:rPr>
              <w:t> </w:t>
            </w:r>
            <w:r>
              <w:rPr>
                <w:sz w:val="18"/>
              </w:rPr>
              <w:t>is </w:t>
            </w:r>
            <w:r>
              <w:rPr>
                <w:spacing w:val="-2"/>
                <w:sz w:val="18"/>
              </w:rPr>
              <w:t>maintained</w:t>
            </w:r>
          </w:p>
          <w:p>
            <w:pPr>
              <w:pStyle w:val="TableParagraph"/>
              <w:spacing w:line="199" w:lineRule="exact" w:before="1"/>
              <w:ind w:left="109"/>
              <w:rPr>
                <w:sz w:val="18"/>
              </w:rPr>
            </w:pPr>
            <w:r>
              <w:rPr>
                <w:sz w:val="18"/>
              </w:rPr>
              <w:t>or </w:t>
            </w:r>
            <w:r>
              <w:rPr>
                <w:spacing w:val="-2"/>
                <w:sz w:val="18"/>
              </w:rPr>
              <w:t>improved</w:t>
            </w:r>
          </w:p>
        </w:tc>
        <w:tc>
          <w:tcPr>
            <w:tcW w:w="4253" w:type="dxa"/>
          </w:tcPr>
          <w:p>
            <w:pPr>
              <w:pStyle w:val="TableParagraph"/>
              <w:spacing w:before="1"/>
              <w:ind w:left="109" w:right="116"/>
              <w:rPr>
                <w:sz w:val="18"/>
              </w:rPr>
            </w:pPr>
            <w:r>
              <w:rPr>
                <w:sz w:val="18"/>
              </w:rPr>
              <w:t>3.4.1</w:t>
            </w:r>
            <w:r>
              <w:rPr>
                <w:spacing w:val="40"/>
                <w:sz w:val="18"/>
              </w:rPr>
              <w:t> </w:t>
            </w:r>
            <w:r>
              <w:rPr>
                <w:sz w:val="18"/>
              </w:rPr>
              <w:t>Recurrent expenditure for per-unit cost per student</w:t>
            </w:r>
            <w:r>
              <w:rPr>
                <w:spacing w:val="-5"/>
                <w:sz w:val="18"/>
              </w:rPr>
              <w:t> </w:t>
            </w:r>
            <w:r>
              <w:rPr>
                <w:sz w:val="18"/>
              </w:rPr>
              <w:t>at</w:t>
            </w:r>
            <w:r>
              <w:rPr>
                <w:spacing w:val="-6"/>
                <w:sz w:val="18"/>
              </w:rPr>
              <w:t> </w:t>
            </w:r>
            <w:r>
              <w:rPr>
                <w:sz w:val="18"/>
              </w:rPr>
              <w:t>Primary</w:t>
            </w:r>
            <w:r>
              <w:rPr>
                <w:spacing w:val="-5"/>
                <w:sz w:val="18"/>
              </w:rPr>
              <w:t> </w:t>
            </w:r>
            <w:r>
              <w:rPr>
                <w:sz w:val="18"/>
              </w:rPr>
              <w:t>and</w:t>
            </w:r>
            <w:r>
              <w:rPr>
                <w:spacing w:val="-6"/>
                <w:sz w:val="18"/>
              </w:rPr>
              <w:t> </w:t>
            </w:r>
            <w:r>
              <w:rPr>
                <w:sz w:val="18"/>
              </w:rPr>
              <w:t>Secondary</w:t>
            </w:r>
            <w:r>
              <w:rPr>
                <w:spacing w:val="-5"/>
                <w:sz w:val="18"/>
              </w:rPr>
              <w:t> </w:t>
            </w:r>
            <w:r>
              <w:rPr>
                <w:sz w:val="18"/>
              </w:rPr>
              <w:t>School</w:t>
            </w:r>
            <w:r>
              <w:rPr>
                <w:spacing w:val="-6"/>
                <w:sz w:val="18"/>
              </w:rPr>
              <w:t> </w:t>
            </w:r>
            <w:r>
              <w:rPr>
                <w:sz w:val="18"/>
              </w:rPr>
              <w:t>in</w:t>
            </w:r>
            <w:r>
              <w:rPr>
                <w:spacing w:val="-7"/>
                <w:sz w:val="18"/>
              </w:rPr>
              <w:t> </w:t>
            </w:r>
            <w:r>
              <w:rPr>
                <w:sz w:val="18"/>
              </w:rPr>
              <w:t>2018</w:t>
            </w:r>
            <w:r>
              <w:rPr>
                <w:spacing w:val="-5"/>
                <w:sz w:val="18"/>
              </w:rPr>
              <w:t> </w:t>
            </w:r>
            <w:r>
              <w:rPr>
                <w:sz w:val="18"/>
              </w:rPr>
              <w:t>is equal or greater than 2017</w:t>
            </w:r>
          </w:p>
        </w:tc>
        <w:tc>
          <w:tcPr>
            <w:tcW w:w="993" w:type="dxa"/>
          </w:tcPr>
          <w:p>
            <w:pPr>
              <w:pStyle w:val="TableParagraph"/>
              <w:spacing w:before="1"/>
              <w:ind w:left="110"/>
              <w:rPr>
                <w:sz w:val="18"/>
              </w:rPr>
            </w:pPr>
            <w:r>
              <w:rPr>
                <w:spacing w:val="-2"/>
                <w:sz w:val="18"/>
              </w:rPr>
              <w:t>Finance</w:t>
            </w:r>
          </w:p>
        </w:tc>
        <w:tc>
          <w:tcPr>
            <w:tcW w:w="3684" w:type="dxa"/>
          </w:tcPr>
          <w:p>
            <w:pPr>
              <w:pStyle w:val="TableParagraph"/>
              <w:spacing w:before="1"/>
              <w:ind w:left="111"/>
              <w:rPr>
                <w:sz w:val="12"/>
              </w:rPr>
            </w:pPr>
            <w:r>
              <w:rPr>
                <w:sz w:val="18"/>
              </w:rPr>
              <w:t>Calculate</w:t>
            </w:r>
            <w:r>
              <w:rPr>
                <w:spacing w:val="-9"/>
                <w:sz w:val="18"/>
              </w:rPr>
              <w:t> </w:t>
            </w:r>
            <w:r>
              <w:rPr>
                <w:sz w:val="18"/>
              </w:rPr>
              <w:t>using</w:t>
            </w:r>
            <w:r>
              <w:rPr>
                <w:spacing w:val="-7"/>
                <w:sz w:val="18"/>
              </w:rPr>
              <w:t> </w:t>
            </w:r>
            <w:r>
              <w:rPr>
                <w:sz w:val="18"/>
              </w:rPr>
              <w:t>real</w:t>
            </w:r>
            <w:r>
              <w:rPr>
                <w:spacing w:val="-9"/>
                <w:sz w:val="18"/>
              </w:rPr>
              <w:t> </w:t>
            </w:r>
            <w:r>
              <w:rPr>
                <w:sz w:val="18"/>
              </w:rPr>
              <w:t>prices,</w:t>
            </w:r>
            <w:r>
              <w:rPr>
                <w:spacing w:val="-8"/>
                <w:sz w:val="18"/>
              </w:rPr>
              <w:t> </w:t>
            </w:r>
            <w:r>
              <w:rPr>
                <w:sz w:val="18"/>
              </w:rPr>
              <w:t>recurrent</w:t>
            </w:r>
            <w:r>
              <w:rPr>
                <w:spacing w:val="-8"/>
                <w:sz w:val="18"/>
              </w:rPr>
              <w:t> </w:t>
            </w:r>
            <w:r>
              <w:rPr>
                <w:sz w:val="18"/>
              </w:rPr>
              <w:t>allocation includes primary (50%) and secondary (50%) grant component. (2018 Annual Report, expenditure report (actuals)</w:t>
            </w:r>
            <w:r>
              <w:rPr>
                <w:position w:val="5"/>
                <w:sz w:val="12"/>
              </w:rPr>
              <w:t>27</w:t>
            </w:r>
          </w:p>
        </w:tc>
        <w:tc>
          <w:tcPr>
            <w:tcW w:w="3120" w:type="dxa"/>
          </w:tcPr>
          <w:p>
            <w:pPr>
              <w:pStyle w:val="TableParagraph"/>
              <w:spacing w:line="283" w:lineRule="auto"/>
              <w:ind w:left="111" w:right="501"/>
              <w:rPr>
                <w:sz w:val="18"/>
              </w:rPr>
            </w:pPr>
            <w:r>
              <w:rPr>
                <w:sz w:val="18"/>
              </w:rPr>
              <w:t>Key</w:t>
            </w:r>
            <w:r>
              <w:rPr>
                <w:spacing w:val="-10"/>
                <w:sz w:val="18"/>
              </w:rPr>
              <w:t> </w:t>
            </w:r>
            <w:r>
              <w:rPr>
                <w:sz w:val="18"/>
              </w:rPr>
              <w:t>Output</w:t>
            </w:r>
            <w:r>
              <w:rPr>
                <w:spacing w:val="-10"/>
                <w:sz w:val="18"/>
              </w:rPr>
              <w:t> </w:t>
            </w:r>
            <w:r>
              <w:rPr>
                <w:sz w:val="18"/>
              </w:rPr>
              <w:t>report</w:t>
            </w:r>
            <w:r>
              <w:rPr>
                <w:spacing w:val="-10"/>
                <w:sz w:val="18"/>
              </w:rPr>
              <w:t> </w:t>
            </w:r>
            <w:r>
              <w:rPr>
                <w:sz w:val="18"/>
              </w:rPr>
              <w:t>–</w:t>
            </w:r>
            <w:r>
              <w:rPr>
                <w:spacing w:val="-10"/>
                <w:sz w:val="18"/>
              </w:rPr>
              <w:t> </w:t>
            </w:r>
            <w:r>
              <w:rPr>
                <w:sz w:val="18"/>
              </w:rPr>
              <w:t>finance Annual Report 2018</w:t>
            </w:r>
          </w:p>
        </w:tc>
      </w:tr>
      <w:tr>
        <w:trPr>
          <w:trHeight w:val="2196" w:hRule="atLeast"/>
        </w:trPr>
        <w:tc>
          <w:tcPr>
            <w:tcW w:w="816" w:type="dxa"/>
          </w:tcPr>
          <w:p>
            <w:pPr>
              <w:pStyle w:val="TableParagraph"/>
              <w:ind w:left="107" w:right="92"/>
              <w:rPr>
                <w:b/>
                <w:sz w:val="18"/>
              </w:rPr>
            </w:pPr>
            <w:r>
              <w:rPr>
                <w:b/>
                <w:spacing w:val="-4"/>
                <w:sz w:val="18"/>
              </w:rPr>
              <w:t>Manag</w:t>
            </w:r>
            <w:r>
              <w:rPr>
                <w:b/>
                <w:sz w:val="18"/>
              </w:rPr>
              <w:t> </w:t>
            </w:r>
            <w:r>
              <w:rPr>
                <w:b/>
                <w:spacing w:val="-2"/>
                <w:sz w:val="18"/>
              </w:rPr>
              <w:t>ement</w:t>
            </w:r>
            <w:r>
              <w:rPr>
                <w:b/>
                <w:sz w:val="18"/>
              </w:rPr>
              <w:t> </w:t>
            </w:r>
            <w:r>
              <w:rPr>
                <w:b/>
                <w:spacing w:val="-2"/>
                <w:sz w:val="18"/>
              </w:rPr>
              <w:t>systems</w:t>
            </w:r>
          </w:p>
        </w:tc>
        <w:tc>
          <w:tcPr>
            <w:tcW w:w="880" w:type="dxa"/>
          </w:tcPr>
          <w:p>
            <w:pPr>
              <w:pStyle w:val="TableParagraph"/>
              <w:spacing w:line="219" w:lineRule="exact"/>
              <w:ind w:left="269"/>
              <w:rPr>
                <w:sz w:val="18"/>
              </w:rPr>
            </w:pPr>
            <w:r>
              <w:rPr>
                <w:spacing w:val="-5"/>
                <w:sz w:val="18"/>
              </w:rPr>
              <w:t>DFA</w:t>
            </w:r>
          </w:p>
        </w:tc>
        <w:tc>
          <w:tcPr>
            <w:tcW w:w="1132" w:type="dxa"/>
          </w:tcPr>
          <w:p>
            <w:pPr>
              <w:pStyle w:val="TableParagraph"/>
              <w:ind w:left="109" w:right="93"/>
              <w:rPr>
                <w:sz w:val="18"/>
              </w:rPr>
            </w:pPr>
            <w:r>
              <w:rPr>
                <w:sz w:val="18"/>
              </w:rPr>
              <w:t>3.5</w:t>
            </w:r>
            <w:r>
              <w:rPr>
                <w:spacing w:val="-11"/>
                <w:sz w:val="18"/>
              </w:rPr>
              <w:t> </w:t>
            </w:r>
            <w:r>
              <w:rPr>
                <w:sz w:val="18"/>
              </w:rPr>
              <w:t>Solomon </w:t>
            </w:r>
            <w:r>
              <w:rPr>
                <w:spacing w:val="-2"/>
                <w:sz w:val="18"/>
              </w:rPr>
              <w:t>Islands</w:t>
            </w:r>
            <w:r>
              <w:rPr>
                <w:sz w:val="18"/>
              </w:rPr>
              <w:t> </w:t>
            </w:r>
            <w:r>
              <w:rPr>
                <w:spacing w:val="-2"/>
                <w:sz w:val="18"/>
              </w:rPr>
              <w:t>Governmen</w:t>
            </w:r>
            <w:r>
              <w:rPr>
                <w:spacing w:val="40"/>
                <w:sz w:val="18"/>
              </w:rPr>
              <w:t> </w:t>
            </w:r>
            <w:r>
              <w:rPr>
                <w:spacing w:val="-10"/>
                <w:sz w:val="18"/>
              </w:rPr>
              <w:t>t</w:t>
            </w:r>
            <w:r>
              <w:rPr>
                <w:sz w:val="18"/>
              </w:rPr>
              <w:t> </w:t>
            </w:r>
            <w:r>
              <w:rPr>
                <w:spacing w:val="-2"/>
                <w:sz w:val="18"/>
              </w:rPr>
              <w:t>scholarships</w:t>
            </w:r>
            <w:r>
              <w:rPr>
                <w:sz w:val="18"/>
              </w:rPr>
              <w:t> </w:t>
            </w:r>
            <w:r>
              <w:rPr>
                <w:spacing w:val="-2"/>
                <w:sz w:val="18"/>
              </w:rPr>
              <w:t>budgeting</w:t>
            </w:r>
            <w:r>
              <w:rPr>
                <w:sz w:val="18"/>
              </w:rPr>
              <w:t> </w:t>
            </w:r>
            <w:r>
              <w:rPr>
                <w:spacing w:val="-4"/>
                <w:sz w:val="18"/>
              </w:rPr>
              <w:t>and</w:t>
            </w:r>
            <w:r>
              <w:rPr>
                <w:sz w:val="18"/>
              </w:rPr>
              <w:t> </w:t>
            </w:r>
            <w:r>
              <w:rPr>
                <w:spacing w:val="-2"/>
                <w:sz w:val="18"/>
              </w:rPr>
              <w:t>expenditure</w:t>
            </w:r>
            <w:r>
              <w:rPr>
                <w:sz w:val="18"/>
              </w:rPr>
              <w:t> </w:t>
            </w:r>
            <w:r>
              <w:rPr>
                <w:spacing w:val="-6"/>
                <w:sz w:val="18"/>
              </w:rPr>
              <w:t>is</w:t>
            </w:r>
          </w:p>
          <w:p>
            <w:pPr>
              <w:pStyle w:val="TableParagraph"/>
              <w:spacing w:line="199" w:lineRule="exact"/>
              <w:ind w:left="109"/>
              <w:rPr>
                <w:sz w:val="18"/>
              </w:rPr>
            </w:pPr>
            <w:r>
              <w:rPr>
                <w:spacing w:val="-2"/>
                <w:sz w:val="18"/>
              </w:rPr>
              <w:t>sustainable</w:t>
            </w:r>
          </w:p>
        </w:tc>
        <w:tc>
          <w:tcPr>
            <w:tcW w:w="4253" w:type="dxa"/>
          </w:tcPr>
          <w:p>
            <w:pPr>
              <w:pStyle w:val="TableParagraph"/>
              <w:numPr>
                <w:ilvl w:val="2"/>
                <w:numId w:val="36"/>
              </w:numPr>
              <w:tabs>
                <w:tab w:pos="557" w:val="left" w:leader="none"/>
              </w:tabs>
              <w:spacing w:line="240" w:lineRule="auto" w:before="0" w:after="0"/>
              <w:ind w:left="109" w:right="334" w:firstLine="0"/>
              <w:jc w:val="left"/>
              <w:rPr>
                <w:sz w:val="18"/>
              </w:rPr>
            </w:pPr>
            <w:r>
              <w:rPr>
                <w:sz w:val="18"/>
              </w:rPr>
              <w:t>The total of new SIG scholarship awards allocated</w:t>
            </w:r>
            <w:r>
              <w:rPr>
                <w:spacing w:val="-5"/>
                <w:sz w:val="18"/>
              </w:rPr>
              <w:t> </w:t>
            </w:r>
            <w:r>
              <w:rPr>
                <w:sz w:val="18"/>
              </w:rPr>
              <w:t>for</w:t>
            </w:r>
            <w:r>
              <w:rPr>
                <w:spacing w:val="-4"/>
                <w:sz w:val="18"/>
              </w:rPr>
              <w:t> </w:t>
            </w:r>
            <w:r>
              <w:rPr>
                <w:sz w:val="18"/>
              </w:rPr>
              <w:t>2018</w:t>
            </w:r>
            <w:r>
              <w:rPr>
                <w:spacing w:val="-5"/>
                <w:sz w:val="18"/>
              </w:rPr>
              <w:t> </w:t>
            </w:r>
            <w:r>
              <w:rPr>
                <w:sz w:val="18"/>
              </w:rPr>
              <w:t>is</w:t>
            </w:r>
            <w:r>
              <w:rPr>
                <w:spacing w:val="-5"/>
                <w:sz w:val="18"/>
              </w:rPr>
              <w:t> </w:t>
            </w:r>
            <w:r>
              <w:rPr>
                <w:sz w:val="18"/>
              </w:rPr>
              <w:t>700</w:t>
            </w:r>
            <w:r>
              <w:rPr>
                <w:spacing w:val="-5"/>
                <w:sz w:val="18"/>
              </w:rPr>
              <w:t> </w:t>
            </w:r>
            <w:r>
              <w:rPr>
                <w:sz w:val="18"/>
              </w:rPr>
              <w:t>or</w:t>
            </w:r>
            <w:r>
              <w:rPr>
                <w:spacing w:val="-5"/>
                <w:sz w:val="18"/>
              </w:rPr>
              <w:t> </w:t>
            </w:r>
            <w:r>
              <w:rPr>
                <w:sz w:val="18"/>
              </w:rPr>
              <w:t>fewer</w:t>
            </w:r>
            <w:r>
              <w:rPr>
                <w:spacing w:val="-5"/>
                <w:sz w:val="18"/>
              </w:rPr>
              <w:t> </w:t>
            </w:r>
            <w:r>
              <w:rPr>
                <w:sz w:val="18"/>
              </w:rPr>
              <w:t>including</w:t>
            </w:r>
            <w:r>
              <w:rPr>
                <w:spacing w:val="-5"/>
                <w:sz w:val="18"/>
              </w:rPr>
              <w:t> </w:t>
            </w:r>
            <w:r>
              <w:rPr>
                <w:sz w:val="18"/>
              </w:rPr>
              <w:t>for</w:t>
            </w:r>
            <w:r>
              <w:rPr>
                <w:spacing w:val="-5"/>
                <w:sz w:val="18"/>
              </w:rPr>
              <w:t> </w:t>
            </w:r>
            <w:r>
              <w:rPr>
                <w:sz w:val="18"/>
              </w:rPr>
              <w:t>local and international institutions</w:t>
            </w:r>
          </w:p>
          <w:p>
            <w:pPr>
              <w:pStyle w:val="TableParagraph"/>
              <w:spacing w:before="1"/>
              <w:rPr>
                <w:sz w:val="18"/>
              </w:rPr>
            </w:pPr>
          </w:p>
          <w:p>
            <w:pPr>
              <w:pStyle w:val="TableParagraph"/>
              <w:numPr>
                <w:ilvl w:val="2"/>
                <w:numId w:val="36"/>
              </w:numPr>
              <w:tabs>
                <w:tab w:pos="516" w:val="left" w:leader="none"/>
              </w:tabs>
              <w:spacing w:line="240" w:lineRule="auto" w:before="0" w:after="0"/>
              <w:ind w:left="109" w:right="471" w:firstLine="0"/>
              <w:jc w:val="left"/>
              <w:rPr>
                <w:sz w:val="18"/>
              </w:rPr>
            </w:pPr>
            <w:r>
              <w:rPr>
                <w:sz w:val="18"/>
              </w:rPr>
              <w:t>2018</w:t>
            </w:r>
            <w:r>
              <w:rPr>
                <w:spacing w:val="-1"/>
                <w:sz w:val="18"/>
              </w:rPr>
              <w:t> </w:t>
            </w:r>
            <w:r>
              <w:rPr>
                <w:sz w:val="18"/>
              </w:rPr>
              <w:t>MEHRD</w:t>
            </w:r>
            <w:r>
              <w:rPr>
                <w:spacing w:val="-2"/>
                <w:sz w:val="18"/>
              </w:rPr>
              <w:t> </w:t>
            </w:r>
            <w:r>
              <w:rPr>
                <w:sz w:val="18"/>
              </w:rPr>
              <w:t>Scholarship</w:t>
            </w:r>
            <w:r>
              <w:rPr>
                <w:spacing w:val="-2"/>
                <w:sz w:val="18"/>
              </w:rPr>
              <w:t> </w:t>
            </w:r>
            <w:r>
              <w:rPr>
                <w:sz w:val="18"/>
              </w:rPr>
              <w:t>expenditure</w:t>
            </w:r>
            <w:r>
              <w:rPr>
                <w:spacing w:val="-3"/>
                <w:sz w:val="18"/>
              </w:rPr>
              <w:t> </w:t>
            </w:r>
            <w:r>
              <w:rPr>
                <w:sz w:val="18"/>
              </w:rPr>
              <w:t>is</w:t>
            </w:r>
            <w:r>
              <w:rPr>
                <w:spacing w:val="-2"/>
                <w:sz w:val="18"/>
              </w:rPr>
              <w:t> </w:t>
            </w:r>
            <w:r>
              <w:rPr>
                <w:sz w:val="18"/>
              </w:rPr>
              <w:t>not higher</w:t>
            </w:r>
            <w:r>
              <w:rPr>
                <w:spacing w:val="-8"/>
                <w:sz w:val="18"/>
              </w:rPr>
              <w:t> </w:t>
            </w:r>
            <w:r>
              <w:rPr>
                <w:sz w:val="18"/>
              </w:rPr>
              <w:t>than</w:t>
            </w:r>
            <w:r>
              <w:rPr>
                <w:spacing w:val="-9"/>
                <w:sz w:val="18"/>
              </w:rPr>
              <w:t> </w:t>
            </w:r>
            <w:r>
              <w:rPr>
                <w:sz w:val="18"/>
              </w:rPr>
              <w:t>2017</w:t>
            </w:r>
            <w:r>
              <w:rPr>
                <w:spacing w:val="-8"/>
                <w:sz w:val="18"/>
              </w:rPr>
              <w:t> </w:t>
            </w:r>
            <w:r>
              <w:rPr>
                <w:sz w:val="18"/>
              </w:rPr>
              <w:t>MEHRD</w:t>
            </w:r>
            <w:r>
              <w:rPr>
                <w:spacing w:val="-9"/>
                <w:sz w:val="18"/>
              </w:rPr>
              <w:t> </w:t>
            </w:r>
            <w:r>
              <w:rPr>
                <w:sz w:val="18"/>
              </w:rPr>
              <w:t>Scholarship</w:t>
            </w:r>
            <w:r>
              <w:rPr>
                <w:spacing w:val="-7"/>
                <w:sz w:val="18"/>
              </w:rPr>
              <w:t> </w:t>
            </w:r>
            <w:r>
              <w:rPr>
                <w:sz w:val="18"/>
              </w:rPr>
              <w:t>expenditure</w:t>
            </w:r>
          </w:p>
        </w:tc>
        <w:tc>
          <w:tcPr>
            <w:tcW w:w="993" w:type="dxa"/>
          </w:tcPr>
          <w:p>
            <w:pPr>
              <w:pStyle w:val="TableParagraph"/>
              <w:spacing w:line="219" w:lineRule="exact"/>
              <w:ind w:left="110"/>
              <w:rPr>
                <w:sz w:val="18"/>
              </w:rPr>
            </w:pPr>
            <w:r>
              <w:rPr>
                <w:spacing w:val="-4"/>
                <w:sz w:val="18"/>
              </w:rPr>
              <w:t>NTU,</w:t>
            </w:r>
          </w:p>
          <w:p>
            <w:pPr>
              <w:pStyle w:val="TableParagraph"/>
              <w:spacing w:before="1"/>
              <w:ind w:left="110"/>
              <w:rPr>
                <w:sz w:val="18"/>
              </w:rPr>
            </w:pPr>
            <w:r>
              <w:rPr>
                <w:spacing w:val="-2"/>
                <w:sz w:val="18"/>
              </w:rPr>
              <w:t>Finance</w:t>
            </w:r>
          </w:p>
        </w:tc>
        <w:tc>
          <w:tcPr>
            <w:tcW w:w="3684" w:type="dxa"/>
          </w:tcPr>
          <w:p>
            <w:pPr>
              <w:pStyle w:val="TableParagraph"/>
              <w:numPr>
                <w:ilvl w:val="0"/>
                <w:numId w:val="37"/>
              </w:numPr>
              <w:tabs>
                <w:tab w:pos="471" w:val="left" w:leader="none"/>
                <w:tab w:pos="472" w:val="left" w:leader="none"/>
              </w:tabs>
              <w:spacing w:line="240" w:lineRule="auto" w:before="0" w:after="0"/>
              <w:ind w:left="471" w:right="343" w:hanging="360"/>
              <w:jc w:val="left"/>
              <w:rPr>
                <w:sz w:val="18"/>
              </w:rPr>
            </w:pPr>
            <w:r>
              <w:rPr>
                <w:sz w:val="18"/>
              </w:rPr>
              <w:t>SIEMIS</w:t>
            </w:r>
            <w:r>
              <w:rPr>
                <w:spacing w:val="-9"/>
                <w:sz w:val="18"/>
              </w:rPr>
              <w:t> </w:t>
            </w:r>
            <w:r>
              <w:rPr>
                <w:sz w:val="18"/>
              </w:rPr>
              <w:t>Expenditure</w:t>
            </w:r>
            <w:r>
              <w:rPr>
                <w:spacing w:val="-9"/>
                <w:sz w:val="18"/>
              </w:rPr>
              <w:t> </w:t>
            </w:r>
            <w:r>
              <w:rPr>
                <w:sz w:val="18"/>
              </w:rPr>
              <w:t>Report</w:t>
            </w:r>
            <w:r>
              <w:rPr>
                <w:spacing w:val="-8"/>
                <w:sz w:val="18"/>
              </w:rPr>
              <w:t> </w:t>
            </w:r>
            <w:r>
              <w:rPr>
                <w:sz w:val="18"/>
              </w:rPr>
              <w:t>as</w:t>
            </w:r>
            <w:r>
              <w:rPr>
                <w:spacing w:val="-8"/>
                <w:sz w:val="18"/>
              </w:rPr>
              <w:t> </w:t>
            </w:r>
            <w:r>
              <w:rPr>
                <w:sz w:val="18"/>
              </w:rPr>
              <w:t>per</w:t>
            </w:r>
            <w:r>
              <w:rPr>
                <w:spacing w:val="-6"/>
                <w:sz w:val="18"/>
              </w:rPr>
              <w:t> </w:t>
            </w:r>
            <w:r>
              <w:rPr>
                <w:sz w:val="18"/>
              </w:rPr>
              <w:t>2018 Annual</w:t>
            </w:r>
            <w:r>
              <w:rPr>
                <w:spacing w:val="-2"/>
                <w:sz w:val="18"/>
              </w:rPr>
              <w:t> </w:t>
            </w:r>
            <w:r>
              <w:rPr>
                <w:sz w:val="18"/>
              </w:rPr>
              <w:t>Report</w:t>
            </w:r>
          </w:p>
          <w:p>
            <w:pPr>
              <w:pStyle w:val="TableParagraph"/>
              <w:spacing w:before="40"/>
              <w:ind w:left="471"/>
              <w:rPr>
                <w:sz w:val="18"/>
              </w:rPr>
            </w:pPr>
            <w:r>
              <w:rPr>
                <w:spacing w:val="-2"/>
                <w:sz w:val="18"/>
              </w:rPr>
              <w:t>(50%)</w:t>
            </w:r>
          </w:p>
          <w:p>
            <w:pPr>
              <w:pStyle w:val="TableParagraph"/>
              <w:numPr>
                <w:ilvl w:val="0"/>
                <w:numId w:val="37"/>
              </w:numPr>
              <w:tabs>
                <w:tab w:pos="471" w:val="left" w:leader="none"/>
                <w:tab w:pos="472" w:val="left" w:leader="none"/>
              </w:tabs>
              <w:spacing w:line="240" w:lineRule="auto" w:before="39" w:after="0"/>
              <w:ind w:left="471" w:right="0" w:hanging="361"/>
              <w:jc w:val="left"/>
              <w:rPr>
                <w:sz w:val="18"/>
              </w:rPr>
            </w:pPr>
            <w:r>
              <w:rPr>
                <w:sz w:val="18"/>
              </w:rPr>
              <w:t>NTU</w:t>
            </w:r>
            <w:r>
              <w:rPr>
                <w:spacing w:val="-2"/>
                <w:sz w:val="18"/>
              </w:rPr>
              <w:t> </w:t>
            </w:r>
            <w:r>
              <w:rPr>
                <w:sz w:val="18"/>
              </w:rPr>
              <w:t>SIMS</w:t>
            </w:r>
            <w:r>
              <w:rPr>
                <w:spacing w:val="-2"/>
                <w:sz w:val="18"/>
              </w:rPr>
              <w:t> </w:t>
            </w:r>
            <w:r>
              <w:rPr>
                <w:sz w:val="18"/>
              </w:rPr>
              <w:t>data</w:t>
            </w:r>
            <w:r>
              <w:rPr>
                <w:spacing w:val="-2"/>
                <w:sz w:val="18"/>
              </w:rPr>
              <w:t> </w:t>
            </w:r>
            <w:r>
              <w:rPr>
                <w:sz w:val="18"/>
              </w:rPr>
              <w:t>report</w:t>
            </w:r>
            <w:r>
              <w:rPr>
                <w:spacing w:val="-1"/>
                <w:sz w:val="18"/>
              </w:rPr>
              <w:t> </w:t>
            </w:r>
            <w:r>
              <w:rPr>
                <w:spacing w:val="-4"/>
                <w:sz w:val="18"/>
              </w:rPr>
              <w:t>(50%)</w:t>
            </w:r>
          </w:p>
        </w:tc>
        <w:tc>
          <w:tcPr>
            <w:tcW w:w="3120" w:type="dxa"/>
          </w:tcPr>
          <w:p>
            <w:pPr>
              <w:pStyle w:val="TableParagraph"/>
              <w:numPr>
                <w:ilvl w:val="0"/>
                <w:numId w:val="38"/>
              </w:numPr>
              <w:tabs>
                <w:tab w:pos="471" w:val="left" w:leader="none"/>
                <w:tab w:pos="472" w:val="left" w:leader="none"/>
              </w:tabs>
              <w:spacing w:line="228" w:lineRule="exact" w:before="0" w:after="0"/>
              <w:ind w:left="471" w:right="0" w:hanging="361"/>
              <w:jc w:val="left"/>
              <w:rPr>
                <w:sz w:val="18"/>
              </w:rPr>
            </w:pPr>
            <w:r>
              <w:rPr>
                <w:sz w:val="18"/>
              </w:rPr>
              <w:t>NTU</w:t>
            </w:r>
            <w:r>
              <w:rPr>
                <w:spacing w:val="-1"/>
                <w:sz w:val="18"/>
              </w:rPr>
              <w:t> </w:t>
            </w:r>
            <w:r>
              <w:rPr>
                <w:spacing w:val="-2"/>
                <w:sz w:val="18"/>
              </w:rPr>
              <w:t>reports</w:t>
            </w:r>
          </w:p>
          <w:p>
            <w:pPr>
              <w:pStyle w:val="TableParagraph"/>
              <w:numPr>
                <w:ilvl w:val="0"/>
                <w:numId w:val="38"/>
              </w:numPr>
              <w:tabs>
                <w:tab w:pos="471" w:val="left" w:leader="none"/>
                <w:tab w:pos="472" w:val="left" w:leader="none"/>
              </w:tabs>
              <w:spacing w:line="240" w:lineRule="auto" w:before="40" w:after="0"/>
              <w:ind w:left="471" w:right="0" w:hanging="361"/>
              <w:jc w:val="left"/>
              <w:rPr>
                <w:sz w:val="18"/>
              </w:rPr>
            </w:pPr>
            <w:r>
              <w:rPr>
                <w:sz w:val="18"/>
              </w:rPr>
              <w:t>SIMS</w:t>
            </w:r>
            <w:r>
              <w:rPr>
                <w:spacing w:val="-4"/>
                <w:sz w:val="18"/>
              </w:rPr>
              <w:t> data</w:t>
            </w:r>
          </w:p>
          <w:p>
            <w:pPr>
              <w:pStyle w:val="TableParagraph"/>
              <w:numPr>
                <w:ilvl w:val="0"/>
                <w:numId w:val="38"/>
              </w:numPr>
              <w:tabs>
                <w:tab w:pos="471" w:val="left" w:leader="none"/>
                <w:tab w:pos="472" w:val="left" w:leader="none"/>
              </w:tabs>
              <w:spacing w:line="240" w:lineRule="auto" w:before="39" w:after="0"/>
              <w:ind w:left="471" w:right="0" w:hanging="361"/>
              <w:jc w:val="left"/>
              <w:rPr>
                <w:sz w:val="18"/>
              </w:rPr>
            </w:pPr>
            <w:r>
              <w:rPr>
                <w:sz w:val="18"/>
              </w:rPr>
              <w:t>Annual</w:t>
            </w:r>
            <w:r>
              <w:rPr>
                <w:spacing w:val="-4"/>
                <w:sz w:val="18"/>
              </w:rPr>
              <w:t> </w:t>
            </w:r>
            <w:r>
              <w:rPr>
                <w:sz w:val="18"/>
              </w:rPr>
              <w:t>financial</w:t>
            </w:r>
            <w:r>
              <w:rPr>
                <w:spacing w:val="-4"/>
                <w:sz w:val="18"/>
              </w:rPr>
              <w:t> </w:t>
            </w:r>
            <w:r>
              <w:rPr>
                <w:sz w:val="18"/>
              </w:rPr>
              <w:t>report</w:t>
            </w:r>
            <w:r>
              <w:rPr>
                <w:spacing w:val="-4"/>
                <w:sz w:val="18"/>
              </w:rPr>
              <w:t> 2018</w:t>
            </w:r>
          </w:p>
        </w:tc>
      </w:tr>
      <w:tr>
        <w:trPr>
          <w:trHeight w:val="2419" w:hRule="atLeast"/>
        </w:trPr>
        <w:tc>
          <w:tcPr>
            <w:tcW w:w="816" w:type="dxa"/>
          </w:tcPr>
          <w:p>
            <w:pPr>
              <w:pStyle w:val="TableParagraph"/>
              <w:spacing w:before="1"/>
              <w:ind w:left="107" w:right="92"/>
              <w:rPr>
                <w:b/>
                <w:sz w:val="18"/>
              </w:rPr>
            </w:pPr>
            <w:r>
              <w:rPr>
                <w:b/>
                <w:spacing w:val="-4"/>
                <w:sz w:val="18"/>
              </w:rPr>
              <w:t>Manag</w:t>
            </w:r>
            <w:r>
              <w:rPr>
                <w:b/>
                <w:sz w:val="18"/>
              </w:rPr>
              <w:t> </w:t>
            </w:r>
            <w:r>
              <w:rPr>
                <w:b/>
                <w:spacing w:val="-2"/>
                <w:sz w:val="18"/>
              </w:rPr>
              <w:t>ement</w:t>
            </w:r>
            <w:r>
              <w:rPr>
                <w:b/>
                <w:sz w:val="18"/>
              </w:rPr>
              <w:t> </w:t>
            </w:r>
            <w:r>
              <w:rPr>
                <w:b/>
                <w:spacing w:val="-2"/>
                <w:sz w:val="18"/>
              </w:rPr>
              <w:t>systems</w:t>
            </w:r>
          </w:p>
        </w:tc>
        <w:tc>
          <w:tcPr>
            <w:tcW w:w="880" w:type="dxa"/>
          </w:tcPr>
          <w:p>
            <w:pPr>
              <w:pStyle w:val="TableParagraph"/>
              <w:spacing w:before="1"/>
              <w:ind w:left="290" w:right="205" w:hanging="70"/>
              <w:rPr>
                <w:sz w:val="18"/>
              </w:rPr>
            </w:pPr>
            <w:r>
              <w:rPr>
                <w:spacing w:val="-2"/>
                <w:sz w:val="18"/>
              </w:rPr>
              <w:t>EO3.3</w:t>
            </w:r>
            <w:r>
              <w:rPr>
                <w:sz w:val="18"/>
              </w:rPr>
              <w:t> </w:t>
            </w:r>
            <w:r>
              <w:rPr>
                <w:spacing w:val="-4"/>
                <w:sz w:val="18"/>
              </w:rPr>
              <w:t>DFA</w:t>
            </w:r>
          </w:p>
        </w:tc>
        <w:tc>
          <w:tcPr>
            <w:tcW w:w="1132" w:type="dxa"/>
          </w:tcPr>
          <w:p>
            <w:pPr>
              <w:pStyle w:val="TableParagraph"/>
              <w:spacing w:before="1"/>
              <w:ind w:left="109" w:right="103"/>
              <w:rPr>
                <w:sz w:val="18"/>
              </w:rPr>
            </w:pPr>
            <w:r>
              <w:rPr>
                <w:sz w:val="18"/>
              </w:rPr>
              <w:t>3.6</w:t>
            </w:r>
            <w:r>
              <w:rPr>
                <w:spacing w:val="40"/>
                <w:sz w:val="18"/>
              </w:rPr>
              <w:t> </w:t>
            </w:r>
            <w:r>
              <w:rPr>
                <w:sz w:val="18"/>
              </w:rPr>
              <w:t>The </w:t>
            </w:r>
            <w:r>
              <w:rPr>
                <w:spacing w:val="-2"/>
                <w:sz w:val="18"/>
              </w:rPr>
              <w:t>Solomon</w:t>
            </w:r>
            <w:r>
              <w:rPr>
                <w:sz w:val="18"/>
              </w:rPr>
              <w:t> </w:t>
            </w:r>
            <w:r>
              <w:rPr>
                <w:spacing w:val="-2"/>
                <w:sz w:val="18"/>
              </w:rPr>
              <w:t>Islands</w:t>
            </w:r>
            <w:r>
              <w:rPr>
                <w:sz w:val="18"/>
              </w:rPr>
              <w:t> </w:t>
            </w:r>
            <w:r>
              <w:rPr>
                <w:spacing w:val="-2"/>
                <w:sz w:val="18"/>
              </w:rPr>
              <w:t>Governmen</w:t>
            </w:r>
            <w:r>
              <w:rPr>
                <w:spacing w:val="40"/>
                <w:sz w:val="18"/>
              </w:rPr>
              <w:t> </w:t>
            </w:r>
            <w:r>
              <w:rPr>
                <w:sz w:val="18"/>
              </w:rPr>
              <w:t>t maintains its</w:t>
            </w:r>
            <w:r>
              <w:rPr>
                <w:spacing w:val="-11"/>
                <w:sz w:val="18"/>
              </w:rPr>
              <w:t> </w:t>
            </w:r>
            <w:r>
              <w:rPr>
                <w:sz w:val="18"/>
              </w:rPr>
              <w:t>recurrent </w:t>
            </w:r>
            <w:r>
              <w:rPr>
                <w:spacing w:val="-2"/>
                <w:sz w:val="18"/>
              </w:rPr>
              <w:t>budget</w:t>
            </w:r>
            <w:r>
              <w:rPr>
                <w:sz w:val="18"/>
              </w:rPr>
              <w:t> </w:t>
            </w:r>
            <w:r>
              <w:rPr>
                <w:spacing w:val="-2"/>
                <w:sz w:val="18"/>
              </w:rPr>
              <w:t>allocation</w:t>
            </w:r>
            <w:r>
              <w:rPr>
                <w:spacing w:val="40"/>
                <w:sz w:val="18"/>
              </w:rPr>
              <w:t> </w:t>
            </w:r>
            <w:r>
              <w:rPr>
                <w:spacing w:val="-4"/>
                <w:sz w:val="18"/>
              </w:rPr>
              <w:t>for</w:t>
            </w:r>
            <w:r>
              <w:rPr>
                <w:sz w:val="18"/>
              </w:rPr>
              <w:t> education</w:t>
            </w:r>
            <w:r>
              <w:rPr>
                <w:spacing w:val="-11"/>
                <w:sz w:val="18"/>
              </w:rPr>
              <w:t> </w:t>
            </w:r>
            <w:r>
              <w:rPr>
                <w:sz w:val="18"/>
              </w:rPr>
              <w:t>in</w:t>
            </w:r>
          </w:p>
          <w:p>
            <w:pPr>
              <w:pStyle w:val="TableParagraph"/>
              <w:spacing w:line="199" w:lineRule="exact" w:before="1"/>
              <w:ind w:left="109"/>
              <w:rPr>
                <w:sz w:val="18"/>
              </w:rPr>
            </w:pPr>
            <w:r>
              <w:rPr>
                <w:spacing w:val="-4"/>
                <w:sz w:val="18"/>
              </w:rPr>
              <w:t>2017</w:t>
            </w:r>
          </w:p>
        </w:tc>
        <w:tc>
          <w:tcPr>
            <w:tcW w:w="4253" w:type="dxa"/>
          </w:tcPr>
          <w:p>
            <w:pPr>
              <w:pStyle w:val="TableParagraph"/>
              <w:spacing w:before="1"/>
              <w:ind w:left="109"/>
              <w:rPr>
                <w:sz w:val="18"/>
              </w:rPr>
            </w:pPr>
            <w:r>
              <w:rPr>
                <w:sz w:val="18"/>
              </w:rPr>
              <w:t>3.6.1</w:t>
            </w:r>
            <w:r>
              <w:rPr>
                <w:spacing w:val="40"/>
                <w:sz w:val="18"/>
              </w:rPr>
              <w:t> </w:t>
            </w:r>
            <w:r>
              <w:rPr>
                <w:sz w:val="18"/>
              </w:rPr>
              <w:t>A minimum of 22% of national recurrent expenditure</w:t>
            </w:r>
            <w:r>
              <w:rPr>
                <w:spacing w:val="-7"/>
                <w:sz w:val="18"/>
              </w:rPr>
              <w:t> </w:t>
            </w:r>
            <w:r>
              <w:rPr>
                <w:sz w:val="18"/>
              </w:rPr>
              <w:t>is</w:t>
            </w:r>
            <w:r>
              <w:rPr>
                <w:spacing w:val="-8"/>
                <w:sz w:val="18"/>
              </w:rPr>
              <w:t> </w:t>
            </w:r>
            <w:r>
              <w:rPr>
                <w:sz w:val="18"/>
              </w:rPr>
              <w:t>committed</w:t>
            </w:r>
            <w:r>
              <w:rPr>
                <w:spacing w:val="-7"/>
                <w:sz w:val="18"/>
              </w:rPr>
              <w:t> </w:t>
            </w:r>
            <w:r>
              <w:rPr>
                <w:sz w:val="18"/>
              </w:rPr>
              <w:t>to</w:t>
            </w:r>
            <w:r>
              <w:rPr>
                <w:spacing w:val="-6"/>
                <w:sz w:val="18"/>
              </w:rPr>
              <w:t> </w:t>
            </w:r>
            <w:r>
              <w:rPr>
                <w:sz w:val="18"/>
              </w:rPr>
              <w:t>the</w:t>
            </w:r>
            <w:r>
              <w:rPr>
                <w:spacing w:val="-6"/>
                <w:sz w:val="18"/>
              </w:rPr>
              <w:t> </w:t>
            </w:r>
            <w:r>
              <w:rPr>
                <w:sz w:val="18"/>
              </w:rPr>
              <w:t>education</w:t>
            </w:r>
            <w:r>
              <w:rPr>
                <w:spacing w:val="-7"/>
                <w:sz w:val="18"/>
              </w:rPr>
              <w:t> </w:t>
            </w:r>
            <w:r>
              <w:rPr>
                <w:sz w:val="18"/>
              </w:rPr>
              <w:t>sector</w:t>
            </w:r>
          </w:p>
        </w:tc>
        <w:tc>
          <w:tcPr>
            <w:tcW w:w="993" w:type="dxa"/>
          </w:tcPr>
          <w:p>
            <w:pPr>
              <w:pStyle w:val="TableParagraph"/>
              <w:spacing w:before="1"/>
              <w:ind w:left="110" w:right="259"/>
              <w:rPr>
                <w:sz w:val="18"/>
              </w:rPr>
            </w:pPr>
            <w:r>
              <w:rPr>
                <w:spacing w:val="-2"/>
                <w:sz w:val="18"/>
              </w:rPr>
              <w:t>Finance,</w:t>
            </w:r>
            <w:r>
              <w:rPr>
                <w:sz w:val="18"/>
              </w:rPr>
              <w:t> </w:t>
            </w:r>
            <w:r>
              <w:rPr>
                <w:spacing w:val="-4"/>
                <w:sz w:val="18"/>
              </w:rPr>
              <w:t>SMT</w:t>
            </w:r>
          </w:p>
        </w:tc>
        <w:tc>
          <w:tcPr>
            <w:tcW w:w="3684" w:type="dxa"/>
          </w:tcPr>
          <w:p>
            <w:pPr>
              <w:pStyle w:val="TableParagraph"/>
              <w:numPr>
                <w:ilvl w:val="0"/>
                <w:numId w:val="39"/>
              </w:numPr>
              <w:tabs>
                <w:tab w:pos="471" w:val="left" w:leader="none"/>
                <w:tab w:pos="472" w:val="left" w:leader="none"/>
              </w:tabs>
              <w:spacing w:line="240" w:lineRule="auto" w:before="1" w:after="0"/>
              <w:ind w:left="471" w:right="343" w:hanging="360"/>
              <w:jc w:val="left"/>
              <w:rPr>
                <w:sz w:val="18"/>
              </w:rPr>
            </w:pPr>
            <w:r>
              <w:rPr>
                <w:sz w:val="18"/>
              </w:rPr>
              <w:t>SIEMIS</w:t>
            </w:r>
            <w:r>
              <w:rPr>
                <w:spacing w:val="-9"/>
                <w:sz w:val="18"/>
              </w:rPr>
              <w:t> </w:t>
            </w:r>
            <w:r>
              <w:rPr>
                <w:sz w:val="18"/>
              </w:rPr>
              <w:t>Expenditure</w:t>
            </w:r>
            <w:r>
              <w:rPr>
                <w:spacing w:val="-9"/>
                <w:sz w:val="18"/>
              </w:rPr>
              <w:t> </w:t>
            </w:r>
            <w:r>
              <w:rPr>
                <w:sz w:val="18"/>
              </w:rPr>
              <w:t>Report</w:t>
            </w:r>
            <w:r>
              <w:rPr>
                <w:spacing w:val="-8"/>
                <w:sz w:val="18"/>
              </w:rPr>
              <w:t> </w:t>
            </w:r>
            <w:r>
              <w:rPr>
                <w:sz w:val="18"/>
              </w:rPr>
              <w:t>as</w:t>
            </w:r>
            <w:r>
              <w:rPr>
                <w:spacing w:val="-8"/>
                <w:sz w:val="18"/>
              </w:rPr>
              <w:t> </w:t>
            </w:r>
            <w:r>
              <w:rPr>
                <w:sz w:val="18"/>
              </w:rPr>
              <w:t>per</w:t>
            </w:r>
            <w:r>
              <w:rPr>
                <w:spacing w:val="-6"/>
                <w:sz w:val="18"/>
              </w:rPr>
              <w:t> </w:t>
            </w:r>
            <w:r>
              <w:rPr>
                <w:sz w:val="18"/>
              </w:rPr>
              <w:t>2018 Annual</w:t>
            </w:r>
            <w:r>
              <w:rPr>
                <w:spacing w:val="-2"/>
                <w:sz w:val="18"/>
              </w:rPr>
              <w:t> </w:t>
            </w:r>
            <w:r>
              <w:rPr>
                <w:sz w:val="18"/>
              </w:rPr>
              <w:t>Report</w:t>
            </w:r>
          </w:p>
          <w:p>
            <w:pPr>
              <w:pStyle w:val="TableParagraph"/>
              <w:ind w:left="471"/>
              <w:rPr>
                <w:sz w:val="18"/>
              </w:rPr>
            </w:pPr>
            <w:r>
              <w:rPr>
                <w:spacing w:val="-2"/>
                <w:sz w:val="18"/>
              </w:rPr>
              <w:t>(100%)</w:t>
            </w:r>
          </w:p>
        </w:tc>
        <w:tc>
          <w:tcPr>
            <w:tcW w:w="3120" w:type="dxa"/>
          </w:tcPr>
          <w:p>
            <w:pPr>
              <w:pStyle w:val="TableParagraph"/>
              <w:numPr>
                <w:ilvl w:val="0"/>
                <w:numId w:val="40"/>
              </w:numPr>
              <w:tabs>
                <w:tab w:pos="471" w:val="left" w:leader="none"/>
                <w:tab w:pos="472" w:val="left" w:leader="none"/>
              </w:tabs>
              <w:spacing w:line="228" w:lineRule="exact" w:before="0" w:after="0"/>
              <w:ind w:left="471" w:right="0" w:hanging="361"/>
              <w:jc w:val="left"/>
              <w:rPr>
                <w:sz w:val="18"/>
              </w:rPr>
            </w:pPr>
            <w:r>
              <w:rPr>
                <w:sz w:val="18"/>
              </w:rPr>
              <w:t>Annual</w:t>
            </w:r>
            <w:r>
              <w:rPr>
                <w:spacing w:val="-4"/>
                <w:sz w:val="18"/>
              </w:rPr>
              <w:t> </w:t>
            </w:r>
            <w:r>
              <w:rPr>
                <w:sz w:val="18"/>
              </w:rPr>
              <w:t>financial</w:t>
            </w:r>
            <w:r>
              <w:rPr>
                <w:spacing w:val="-4"/>
                <w:sz w:val="18"/>
              </w:rPr>
              <w:t> </w:t>
            </w:r>
            <w:r>
              <w:rPr>
                <w:sz w:val="18"/>
              </w:rPr>
              <w:t>report</w:t>
            </w:r>
            <w:r>
              <w:rPr>
                <w:spacing w:val="-4"/>
                <w:sz w:val="18"/>
              </w:rPr>
              <w:t> 2018</w:t>
            </w:r>
          </w:p>
        </w:tc>
      </w:tr>
      <w:tr>
        <w:trPr>
          <w:trHeight w:val="1099" w:hRule="atLeast"/>
        </w:trPr>
        <w:tc>
          <w:tcPr>
            <w:tcW w:w="816" w:type="dxa"/>
          </w:tcPr>
          <w:p>
            <w:pPr>
              <w:pStyle w:val="TableParagraph"/>
              <w:ind w:left="107" w:right="92"/>
              <w:rPr>
                <w:b/>
                <w:sz w:val="18"/>
              </w:rPr>
            </w:pPr>
            <w:r>
              <w:rPr>
                <w:b/>
                <w:spacing w:val="-4"/>
                <w:sz w:val="18"/>
              </w:rPr>
              <w:t>Manag</w:t>
            </w:r>
            <w:r>
              <w:rPr>
                <w:b/>
                <w:sz w:val="18"/>
              </w:rPr>
              <w:t> </w:t>
            </w:r>
            <w:r>
              <w:rPr>
                <w:b/>
                <w:spacing w:val="-2"/>
                <w:sz w:val="18"/>
              </w:rPr>
              <w:t>ement</w:t>
            </w:r>
            <w:r>
              <w:rPr>
                <w:b/>
                <w:sz w:val="18"/>
              </w:rPr>
              <w:t> </w:t>
            </w:r>
            <w:r>
              <w:rPr>
                <w:b/>
                <w:spacing w:val="-2"/>
                <w:sz w:val="18"/>
              </w:rPr>
              <w:t>systems</w:t>
            </w:r>
          </w:p>
        </w:tc>
        <w:tc>
          <w:tcPr>
            <w:tcW w:w="880" w:type="dxa"/>
          </w:tcPr>
          <w:p>
            <w:pPr>
              <w:pStyle w:val="TableParagraph"/>
              <w:spacing w:line="219" w:lineRule="exact"/>
              <w:ind w:left="290"/>
              <w:rPr>
                <w:sz w:val="18"/>
              </w:rPr>
            </w:pPr>
            <w:r>
              <w:rPr>
                <w:spacing w:val="-5"/>
                <w:sz w:val="18"/>
              </w:rPr>
              <w:t>DFA</w:t>
            </w:r>
          </w:p>
        </w:tc>
        <w:tc>
          <w:tcPr>
            <w:tcW w:w="1132" w:type="dxa"/>
          </w:tcPr>
          <w:p>
            <w:pPr>
              <w:pStyle w:val="TableParagraph"/>
              <w:ind w:left="109"/>
              <w:rPr>
                <w:sz w:val="18"/>
              </w:rPr>
            </w:pPr>
            <w:r>
              <w:rPr>
                <w:sz w:val="18"/>
              </w:rPr>
              <w:t>3.7</w:t>
            </w:r>
            <w:r>
              <w:rPr>
                <w:spacing w:val="12"/>
                <w:sz w:val="18"/>
              </w:rPr>
              <w:t> </w:t>
            </w:r>
            <w:r>
              <w:rPr>
                <w:sz w:val="18"/>
              </w:rPr>
              <w:t>External Audits</w:t>
            </w:r>
            <w:r>
              <w:rPr>
                <w:spacing w:val="-4"/>
                <w:sz w:val="18"/>
              </w:rPr>
              <w:t> </w:t>
            </w:r>
            <w:r>
              <w:rPr>
                <w:sz w:val="18"/>
              </w:rPr>
              <w:t>of </w:t>
            </w:r>
            <w:r>
              <w:rPr>
                <w:spacing w:val="-2"/>
                <w:sz w:val="18"/>
              </w:rPr>
              <w:t>MEHRD</w:t>
            </w:r>
          </w:p>
          <w:p>
            <w:pPr>
              <w:pStyle w:val="TableParagraph"/>
              <w:spacing w:line="219" w:lineRule="exact"/>
              <w:ind w:left="109"/>
              <w:rPr>
                <w:sz w:val="18"/>
              </w:rPr>
            </w:pPr>
            <w:r>
              <w:rPr>
                <w:sz w:val="18"/>
              </w:rPr>
              <w:t>finances</w:t>
            </w:r>
            <w:r>
              <w:rPr>
                <w:spacing w:val="-7"/>
                <w:sz w:val="18"/>
              </w:rPr>
              <w:t> </w:t>
            </w:r>
            <w:r>
              <w:rPr>
                <w:spacing w:val="-5"/>
                <w:sz w:val="18"/>
              </w:rPr>
              <w:t>are</w:t>
            </w:r>
          </w:p>
          <w:p>
            <w:pPr>
              <w:pStyle w:val="TableParagraph"/>
              <w:spacing w:line="201" w:lineRule="exact"/>
              <w:ind w:left="109"/>
              <w:rPr>
                <w:sz w:val="18"/>
              </w:rPr>
            </w:pPr>
            <w:r>
              <w:rPr>
                <w:spacing w:val="-2"/>
                <w:sz w:val="18"/>
              </w:rPr>
              <w:t>conducted</w:t>
            </w:r>
          </w:p>
        </w:tc>
        <w:tc>
          <w:tcPr>
            <w:tcW w:w="4253" w:type="dxa"/>
          </w:tcPr>
          <w:p>
            <w:pPr>
              <w:pStyle w:val="TableParagraph"/>
              <w:ind w:left="109" w:right="589"/>
              <w:jc w:val="both"/>
              <w:rPr>
                <w:sz w:val="18"/>
              </w:rPr>
            </w:pPr>
            <w:r>
              <w:rPr>
                <w:sz w:val="18"/>
              </w:rPr>
              <w:t>3.7.1</w:t>
            </w:r>
            <w:r>
              <w:rPr>
                <w:spacing w:val="33"/>
                <w:sz w:val="18"/>
              </w:rPr>
              <w:t> </w:t>
            </w:r>
            <w:r>
              <w:rPr>
                <w:sz w:val="18"/>
              </w:rPr>
              <w:t>By</w:t>
            </w:r>
            <w:r>
              <w:rPr>
                <w:spacing w:val="-4"/>
                <w:sz w:val="18"/>
              </w:rPr>
              <w:t> </w:t>
            </w:r>
            <w:r>
              <w:rPr>
                <w:sz w:val="18"/>
              </w:rPr>
              <w:t>the</w:t>
            </w:r>
            <w:r>
              <w:rPr>
                <w:spacing w:val="-5"/>
                <w:sz w:val="18"/>
              </w:rPr>
              <w:t> </w:t>
            </w:r>
            <w:r>
              <w:rPr>
                <w:sz w:val="18"/>
              </w:rPr>
              <w:t>end</w:t>
            </w:r>
            <w:r>
              <w:rPr>
                <w:spacing w:val="-5"/>
                <w:sz w:val="18"/>
              </w:rPr>
              <w:t> </w:t>
            </w:r>
            <w:r>
              <w:rPr>
                <w:sz w:val="18"/>
              </w:rPr>
              <w:t>of</w:t>
            </w:r>
            <w:r>
              <w:rPr>
                <w:spacing w:val="-5"/>
                <w:sz w:val="18"/>
              </w:rPr>
              <w:t> </w:t>
            </w:r>
            <w:r>
              <w:rPr>
                <w:sz w:val="18"/>
              </w:rPr>
              <w:t>2018,</w:t>
            </w:r>
            <w:r>
              <w:rPr>
                <w:spacing w:val="-4"/>
                <w:sz w:val="18"/>
              </w:rPr>
              <w:t> </w:t>
            </w:r>
            <w:r>
              <w:rPr>
                <w:sz w:val="18"/>
              </w:rPr>
              <w:t>2015</w:t>
            </w:r>
            <w:r>
              <w:rPr>
                <w:spacing w:val="-4"/>
                <w:sz w:val="18"/>
              </w:rPr>
              <w:t> </w:t>
            </w:r>
            <w:r>
              <w:rPr>
                <w:sz w:val="18"/>
              </w:rPr>
              <w:t>External</w:t>
            </w:r>
            <w:r>
              <w:rPr>
                <w:spacing w:val="-5"/>
                <w:sz w:val="18"/>
              </w:rPr>
              <w:t> </w:t>
            </w:r>
            <w:r>
              <w:rPr>
                <w:sz w:val="18"/>
              </w:rPr>
              <w:t>Audit</w:t>
            </w:r>
            <w:r>
              <w:rPr>
                <w:spacing w:val="-4"/>
                <w:sz w:val="18"/>
              </w:rPr>
              <w:t> </w:t>
            </w:r>
            <w:r>
              <w:rPr>
                <w:sz w:val="18"/>
              </w:rPr>
              <w:t>of MEHRD</w:t>
            </w:r>
            <w:r>
              <w:rPr>
                <w:spacing w:val="-5"/>
                <w:sz w:val="18"/>
              </w:rPr>
              <w:t> </w:t>
            </w:r>
            <w:r>
              <w:rPr>
                <w:sz w:val="18"/>
              </w:rPr>
              <w:t>complete</w:t>
            </w:r>
            <w:r>
              <w:rPr>
                <w:spacing w:val="-6"/>
                <w:sz w:val="18"/>
              </w:rPr>
              <w:t> </w:t>
            </w:r>
            <w:r>
              <w:rPr>
                <w:sz w:val="18"/>
              </w:rPr>
              <w:t>(four</w:t>
            </w:r>
            <w:r>
              <w:rPr>
                <w:spacing w:val="-4"/>
                <w:sz w:val="18"/>
              </w:rPr>
              <w:t> </w:t>
            </w:r>
            <w:r>
              <w:rPr>
                <w:sz w:val="18"/>
              </w:rPr>
              <w:t>cycles</w:t>
            </w:r>
            <w:r>
              <w:rPr>
                <w:spacing w:val="-5"/>
                <w:sz w:val="18"/>
              </w:rPr>
              <w:t> </w:t>
            </w:r>
            <w:r>
              <w:rPr>
                <w:sz w:val="18"/>
              </w:rPr>
              <w:t>and</w:t>
            </w:r>
            <w:r>
              <w:rPr>
                <w:spacing w:val="-5"/>
                <w:sz w:val="18"/>
              </w:rPr>
              <w:t> </w:t>
            </w:r>
            <w:r>
              <w:rPr>
                <w:sz w:val="18"/>
              </w:rPr>
              <w:t>transactions), including MEHRD management response</w:t>
            </w:r>
          </w:p>
        </w:tc>
        <w:tc>
          <w:tcPr>
            <w:tcW w:w="993" w:type="dxa"/>
          </w:tcPr>
          <w:p>
            <w:pPr>
              <w:pStyle w:val="TableParagraph"/>
              <w:ind w:left="110" w:right="528"/>
              <w:rPr>
                <w:sz w:val="18"/>
              </w:rPr>
            </w:pPr>
            <w:r>
              <w:rPr>
                <w:spacing w:val="-4"/>
                <w:sz w:val="18"/>
              </w:rPr>
              <w:t>OAG</w:t>
            </w:r>
            <w:r>
              <w:rPr>
                <w:sz w:val="18"/>
              </w:rPr>
              <w:t> </w:t>
            </w:r>
            <w:r>
              <w:rPr>
                <w:spacing w:val="-5"/>
                <w:sz w:val="18"/>
              </w:rPr>
              <w:t>SMT</w:t>
            </w:r>
          </w:p>
        </w:tc>
        <w:tc>
          <w:tcPr>
            <w:tcW w:w="3684" w:type="dxa"/>
          </w:tcPr>
          <w:p>
            <w:pPr>
              <w:pStyle w:val="TableParagraph"/>
              <w:numPr>
                <w:ilvl w:val="0"/>
                <w:numId w:val="41"/>
              </w:numPr>
              <w:tabs>
                <w:tab w:pos="471" w:val="left" w:leader="none"/>
                <w:tab w:pos="472" w:val="left" w:leader="none"/>
              </w:tabs>
              <w:spacing w:line="240" w:lineRule="auto" w:before="0" w:after="0"/>
              <w:ind w:left="471" w:right="402" w:hanging="360"/>
              <w:jc w:val="left"/>
              <w:rPr>
                <w:sz w:val="18"/>
              </w:rPr>
            </w:pPr>
            <w:r>
              <w:rPr>
                <w:sz w:val="18"/>
              </w:rPr>
              <w:t>MEHRD Management Response for External</w:t>
            </w:r>
            <w:r>
              <w:rPr>
                <w:spacing w:val="-7"/>
                <w:sz w:val="18"/>
              </w:rPr>
              <w:t> </w:t>
            </w:r>
            <w:r>
              <w:rPr>
                <w:sz w:val="18"/>
              </w:rPr>
              <w:t>Audit</w:t>
            </w:r>
            <w:r>
              <w:rPr>
                <w:spacing w:val="-8"/>
                <w:sz w:val="18"/>
              </w:rPr>
              <w:t> </w:t>
            </w:r>
            <w:r>
              <w:rPr>
                <w:sz w:val="18"/>
              </w:rPr>
              <w:t>Part</w:t>
            </w:r>
            <w:r>
              <w:rPr>
                <w:spacing w:val="-8"/>
                <w:sz w:val="18"/>
              </w:rPr>
              <w:t> </w:t>
            </w:r>
            <w:r>
              <w:rPr>
                <w:sz w:val="18"/>
              </w:rPr>
              <w:t>1</w:t>
            </w:r>
            <w:r>
              <w:rPr>
                <w:spacing w:val="-8"/>
                <w:sz w:val="18"/>
              </w:rPr>
              <w:t> </w:t>
            </w:r>
            <w:r>
              <w:rPr>
                <w:sz w:val="18"/>
              </w:rPr>
              <w:t>completed</w:t>
            </w:r>
            <w:r>
              <w:rPr>
                <w:spacing w:val="-9"/>
                <w:sz w:val="18"/>
              </w:rPr>
              <w:t> </w:t>
            </w:r>
            <w:r>
              <w:rPr>
                <w:sz w:val="18"/>
              </w:rPr>
              <w:t>(70%)</w:t>
            </w:r>
          </w:p>
          <w:p>
            <w:pPr>
              <w:pStyle w:val="TableParagraph"/>
              <w:numPr>
                <w:ilvl w:val="0"/>
                <w:numId w:val="41"/>
              </w:numPr>
              <w:tabs>
                <w:tab w:pos="471" w:val="left" w:leader="none"/>
                <w:tab w:pos="472" w:val="left" w:leader="none"/>
              </w:tabs>
              <w:spacing w:line="240" w:lineRule="auto" w:before="0" w:after="0"/>
              <w:ind w:left="471" w:right="405" w:hanging="360"/>
              <w:jc w:val="left"/>
              <w:rPr>
                <w:sz w:val="18"/>
              </w:rPr>
            </w:pPr>
            <w:r>
              <w:rPr>
                <w:sz w:val="18"/>
              </w:rPr>
              <w:t>MEHRD Management Response for External</w:t>
            </w:r>
            <w:r>
              <w:rPr>
                <w:spacing w:val="-8"/>
                <w:sz w:val="18"/>
              </w:rPr>
              <w:t> </w:t>
            </w:r>
            <w:r>
              <w:rPr>
                <w:sz w:val="18"/>
              </w:rPr>
              <w:t>Audit</w:t>
            </w:r>
            <w:r>
              <w:rPr>
                <w:spacing w:val="-8"/>
                <w:sz w:val="18"/>
              </w:rPr>
              <w:t> </w:t>
            </w:r>
            <w:r>
              <w:rPr>
                <w:sz w:val="18"/>
              </w:rPr>
              <w:t>Part</w:t>
            </w:r>
            <w:r>
              <w:rPr>
                <w:spacing w:val="-8"/>
                <w:sz w:val="18"/>
              </w:rPr>
              <w:t> </w:t>
            </w:r>
            <w:r>
              <w:rPr>
                <w:sz w:val="18"/>
              </w:rPr>
              <w:t>2</w:t>
            </w:r>
            <w:r>
              <w:rPr>
                <w:spacing w:val="-8"/>
                <w:sz w:val="18"/>
              </w:rPr>
              <w:t> </w:t>
            </w:r>
            <w:r>
              <w:rPr>
                <w:sz w:val="18"/>
              </w:rPr>
              <w:t>completed</w:t>
            </w:r>
            <w:r>
              <w:rPr>
                <w:spacing w:val="-9"/>
                <w:sz w:val="18"/>
              </w:rPr>
              <w:t> </w:t>
            </w:r>
            <w:r>
              <w:rPr>
                <w:sz w:val="18"/>
              </w:rPr>
              <w:t>(30%)</w:t>
            </w:r>
          </w:p>
        </w:tc>
        <w:tc>
          <w:tcPr>
            <w:tcW w:w="3120" w:type="dxa"/>
          </w:tcPr>
          <w:p>
            <w:pPr>
              <w:pStyle w:val="TableParagraph"/>
              <w:numPr>
                <w:ilvl w:val="0"/>
                <w:numId w:val="42"/>
              </w:numPr>
              <w:tabs>
                <w:tab w:pos="471" w:val="left" w:leader="none"/>
                <w:tab w:pos="472" w:val="left" w:leader="none"/>
              </w:tabs>
              <w:spacing w:line="240" w:lineRule="auto" w:before="0" w:after="0"/>
              <w:ind w:left="471" w:right="561" w:hanging="360"/>
              <w:jc w:val="left"/>
              <w:rPr>
                <w:sz w:val="18"/>
              </w:rPr>
            </w:pPr>
            <w:r>
              <w:rPr>
                <w:sz w:val="18"/>
              </w:rPr>
              <w:t>Quarterly</w:t>
            </w:r>
            <w:r>
              <w:rPr>
                <w:spacing w:val="-11"/>
                <w:sz w:val="18"/>
              </w:rPr>
              <w:t> </w:t>
            </w:r>
            <w:r>
              <w:rPr>
                <w:sz w:val="18"/>
              </w:rPr>
              <w:t>Progress</w:t>
            </w:r>
            <w:r>
              <w:rPr>
                <w:spacing w:val="-10"/>
                <w:sz w:val="18"/>
              </w:rPr>
              <w:t> </w:t>
            </w:r>
            <w:r>
              <w:rPr>
                <w:sz w:val="18"/>
              </w:rPr>
              <w:t>reports</w:t>
            </w:r>
            <w:r>
              <w:rPr>
                <w:spacing w:val="-10"/>
                <w:sz w:val="18"/>
              </w:rPr>
              <w:t> </w:t>
            </w:r>
            <w:r>
              <w:rPr>
                <w:sz w:val="18"/>
              </w:rPr>
              <w:t>– Corporate</w:t>
            </w:r>
            <w:r>
              <w:rPr>
                <w:spacing w:val="-2"/>
                <w:sz w:val="18"/>
              </w:rPr>
              <w:t> </w:t>
            </w:r>
            <w:r>
              <w:rPr>
                <w:sz w:val="18"/>
              </w:rPr>
              <w:t>Services</w:t>
            </w:r>
          </w:p>
          <w:p>
            <w:pPr>
              <w:pStyle w:val="TableParagraph"/>
              <w:numPr>
                <w:ilvl w:val="0"/>
                <w:numId w:val="42"/>
              </w:numPr>
              <w:tabs>
                <w:tab w:pos="471" w:val="left" w:leader="none"/>
                <w:tab w:pos="472" w:val="left" w:leader="none"/>
              </w:tabs>
              <w:spacing w:line="229" w:lineRule="exact" w:before="0" w:after="0"/>
              <w:ind w:left="471" w:right="0" w:hanging="361"/>
              <w:jc w:val="left"/>
              <w:rPr>
                <w:sz w:val="18"/>
              </w:rPr>
            </w:pPr>
            <w:r>
              <w:rPr>
                <w:sz w:val="18"/>
              </w:rPr>
              <w:t>Annual</w:t>
            </w:r>
            <w:r>
              <w:rPr>
                <w:spacing w:val="-4"/>
                <w:sz w:val="18"/>
              </w:rPr>
              <w:t> </w:t>
            </w:r>
            <w:r>
              <w:rPr>
                <w:sz w:val="18"/>
              </w:rPr>
              <w:t>Report</w:t>
            </w:r>
            <w:r>
              <w:rPr>
                <w:spacing w:val="-3"/>
                <w:sz w:val="18"/>
              </w:rPr>
              <w:t> </w:t>
            </w:r>
            <w:r>
              <w:rPr>
                <w:spacing w:val="-4"/>
                <w:sz w:val="18"/>
              </w:rPr>
              <w:t>2018</w:t>
            </w:r>
          </w:p>
          <w:p>
            <w:pPr>
              <w:pStyle w:val="TableParagraph"/>
              <w:numPr>
                <w:ilvl w:val="0"/>
                <w:numId w:val="42"/>
              </w:numPr>
              <w:tabs>
                <w:tab w:pos="471" w:val="left" w:leader="none"/>
                <w:tab w:pos="472" w:val="left" w:leader="none"/>
              </w:tabs>
              <w:spacing w:line="229" w:lineRule="exact" w:before="0" w:after="0"/>
              <w:ind w:left="471" w:right="0" w:hanging="361"/>
              <w:jc w:val="left"/>
              <w:rPr>
                <w:sz w:val="18"/>
              </w:rPr>
            </w:pPr>
            <w:r>
              <w:rPr>
                <w:sz w:val="18"/>
              </w:rPr>
              <w:t>SMT</w:t>
            </w:r>
            <w:r>
              <w:rPr>
                <w:spacing w:val="-2"/>
                <w:sz w:val="18"/>
              </w:rPr>
              <w:t> minutes</w:t>
            </w:r>
          </w:p>
        </w:tc>
      </w:tr>
    </w:tbl>
    <w:p>
      <w:pPr>
        <w:pStyle w:val="BodyText"/>
        <w:rPr>
          <w:sz w:val="20"/>
        </w:rPr>
      </w:pPr>
    </w:p>
    <w:p>
      <w:pPr>
        <w:pStyle w:val="BodyText"/>
        <w:rPr>
          <w:sz w:val="20"/>
        </w:rPr>
      </w:pPr>
    </w:p>
    <w:p>
      <w:pPr>
        <w:pStyle w:val="BodyText"/>
        <w:rPr>
          <w:sz w:val="20"/>
        </w:rPr>
      </w:pPr>
    </w:p>
    <w:p>
      <w:pPr>
        <w:pStyle w:val="BodyText"/>
        <w:rPr>
          <w:sz w:val="16"/>
        </w:rPr>
      </w:pPr>
      <w:r>
        <w:rPr/>
        <w:pict>
          <v:rect style="position:absolute;margin-left:72pt;margin-top:10.999725pt;width:144.020pt;height:.72pt;mso-position-horizontal-relative:page;mso-position-vertical-relative:paragraph;z-index:-15716352;mso-wrap-distance-left:0;mso-wrap-distance-right:0" id="docshape24" filled="true" fillcolor="#000000" stroked="false">
            <v:fill type="solid"/>
            <w10:wrap type="topAndBottom"/>
          </v:rect>
        </w:pict>
      </w:r>
    </w:p>
    <w:p>
      <w:pPr>
        <w:spacing w:line="244" w:lineRule="auto" w:before="107"/>
        <w:ind w:left="220" w:right="1074" w:firstLine="0"/>
        <w:jc w:val="left"/>
        <w:rPr>
          <w:sz w:val="16"/>
        </w:rPr>
      </w:pPr>
      <w:r>
        <w:rPr>
          <w:position w:val="5"/>
          <w:sz w:val="12"/>
        </w:rPr>
        <w:t>27</w:t>
      </w:r>
      <w:r>
        <w:rPr>
          <w:spacing w:val="11"/>
          <w:position w:val="5"/>
          <w:sz w:val="12"/>
        </w:rPr>
        <w:t> </w:t>
      </w:r>
      <w:r>
        <w:rPr>
          <w:sz w:val="16"/>
        </w:rPr>
        <w:t>It</w:t>
      </w:r>
      <w:r>
        <w:rPr>
          <w:spacing w:val="-2"/>
          <w:sz w:val="16"/>
        </w:rPr>
        <w:t> </w:t>
      </w:r>
      <w:r>
        <w:rPr>
          <w:sz w:val="16"/>
        </w:rPr>
        <w:t>is</w:t>
      </w:r>
      <w:r>
        <w:rPr>
          <w:spacing w:val="-2"/>
          <w:sz w:val="16"/>
        </w:rPr>
        <w:t> </w:t>
      </w:r>
      <w:r>
        <w:rPr>
          <w:sz w:val="16"/>
        </w:rPr>
        <w:t>recommended</w:t>
      </w:r>
      <w:r>
        <w:rPr>
          <w:spacing w:val="-2"/>
          <w:sz w:val="16"/>
        </w:rPr>
        <w:t> </w:t>
      </w:r>
      <w:r>
        <w:rPr>
          <w:sz w:val="16"/>
        </w:rPr>
        <w:t>that</w:t>
      </w:r>
      <w:r>
        <w:rPr>
          <w:spacing w:val="-2"/>
          <w:sz w:val="16"/>
        </w:rPr>
        <w:t> </w:t>
      </w:r>
      <w:r>
        <w:rPr>
          <w:sz w:val="16"/>
        </w:rPr>
        <w:t>this</w:t>
      </w:r>
      <w:r>
        <w:rPr>
          <w:spacing w:val="-2"/>
          <w:sz w:val="16"/>
        </w:rPr>
        <w:t> </w:t>
      </w:r>
      <w:r>
        <w:rPr>
          <w:sz w:val="16"/>
        </w:rPr>
        <w:t>calculation</w:t>
      </w:r>
      <w:r>
        <w:rPr>
          <w:spacing w:val="-2"/>
          <w:sz w:val="16"/>
        </w:rPr>
        <w:t> </w:t>
      </w:r>
      <w:r>
        <w:rPr>
          <w:sz w:val="16"/>
        </w:rPr>
        <w:t>use</w:t>
      </w:r>
      <w:r>
        <w:rPr>
          <w:spacing w:val="-2"/>
          <w:sz w:val="16"/>
        </w:rPr>
        <w:t> </w:t>
      </w:r>
      <w:r>
        <w:rPr>
          <w:sz w:val="16"/>
        </w:rPr>
        <w:t>only</w:t>
      </w:r>
      <w:r>
        <w:rPr>
          <w:spacing w:val="-2"/>
          <w:sz w:val="16"/>
        </w:rPr>
        <w:t> </w:t>
      </w:r>
      <w:r>
        <w:rPr>
          <w:sz w:val="16"/>
        </w:rPr>
        <w:t>grant</w:t>
      </w:r>
      <w:r>
        <w:rPr>
          <w:spacing w:val="-1"/>
          <w:sz w:val="16"/>
        </w:rPr>
        <w:t> </w:t>
      </w:r>
      <w:r>
        <w:rPr>
          <w:sz w:val="16"/>
        </w:rPr>
        <w:t>expenditure</w:t>
      </w:r>
      <w:r>
        <w:rPr>
          <w:spacing w:val="-2"/>
          <w:sz w:val="16"/>
        </w:rPr>
        <w:t> </w:t>
      </w:r>
      <w:r>
        <w:rPr>
          <w:sz w:val="16"/>
        </w:rPr>
        <w:t>as</w:t>
      </w:r>
      <w:r>
        <w:rPr>
          <w:spacing w:val="-2"/>
          <w:sz w:val="16"/>
        </w:rPr>
        <w:t> </w:t>
      </w:r>
      <w:r>
        <w:rPr>
          <w:sz w:val="16"/>
        </w:rPr>
        <w:t>payroll expenditure for</w:t>
      </w:r>
      <w:r>
        <w:rPr>
          <w:spacing w:val="-2"/>
          <w:sz w:val="16"/>
        </w:rPr>
        <w:t> </w:t>
      </w:r>
      <w:r>
        <w:rPr>
          <w:sz w:val="16"/>
        </w:rPr>
        <w:t>secondary</w:t>
      </w:r>
      <w:r>
        <w:rPr>
          <w:spacing w:val="-2"/>
          <w:sz w:val="16"/>
        </w:rPr>
        <w:t> </w:t>
      </w:r>
      <w:r>
        <w:rPr>
          <w:sz w:val="16"/>
        </w:rPr>
        <w:t>and</w:t>
      </w:r>
      <w:r>
        <w:rPr>
          <w:spacing w:val="-2"/>
          <w:sz w:val="16"/>
        </w:rPr>
        <w:t> </w:t>
      </w:r>
      <w:r>
        <w:rPr>
          <w:sz w:val="16"/>
        </w:rPr>
        <w:t>primary</w:t>
      </w:r>
      <w:r>
        <w:rPr>
          <w:spacing w:val="-2"/>
          <w:sz w:val="16"/>
        </w:rPr>
        <w:t> </w:t>
      </w:r>
      <w:r>
        <w:rPr>
          <w:sz w:val="16"/>
        </w:rPr>
        <w:t>teachers</w:t>
      </w:r>
      <w:r>
        <w:rPr>
          <w:spacing w:val="-2"/>
          <w:sz w:val="16"/>
        </w:rPr>
        <w:t> </w:t>
      </w:r>
      <w:r>
        <w:rPr>
          <w:sz w:val="16"/>
        </w:rPr>
        <w:t>is often</w:t>
      </w:r>
      <w:r>
        <w:rPr>
          <w:spacing w:val="-2"/>
          <w:sz w:val="16"/>
        </w:rPr>
        <w:t> </w:t>
      </w:r>
      <w:r>
        <w:rPr>
          <w:sz w:val="16"/>
        </w:rPr>
        <w:t>wrongly</w:t>
      </w:r>
      <w:r>
        <w:rPr>
          <w:spacing w:val="-2"/>
          <w:sz w:val="16"/>
        </w:rPr>
        <w:t> </w:t>
      </w:r>
      <w:r>
        <w:rPr>
          <w:sz w:val="16"/>
        </w:rPr>
        <w:t>coded.</w:t>
      </w:r>
      <w:r>
        <w:rPr>
          <w:spacing w:val="-1"/>
          <w:sz w:val="16"/>
        </w:rPr>
        <w:t> </w:t>
      </w:r>
      <w:r>
        <w:rPr>
          <w:sz w:val="16"/>
        </w:rPr>
        <w:t>In</w:t>
      </w:r>
      <w:r>
        <w:rPr>
          <w:spacing w:val="-2"/>
          <w:sz w:val="16"/>
        </w:rPr>
        <w:t> </w:t>
      </w:r>
      <w:r>
        <w:rPr>
          <w:sz w:val="16"/>
        </w:rPr>
        <w:t>future</w:t>
      </w:r>
      <w:r>
        <w:rPr>
          <w:spacing w:val="-2"/>
          <w:sz w:val="16"/>
        </w:rPr>
        <w:t> </w:t>
      </w:r>
      <w:r>
        <w:rPr>
          <w:sz w:val="16"/>
        </w:rPr>
        <w:t>years,</w:t>
      </w:r>
      <w:r>
        <w:rPr>
          <w:spacing w:val="-1"/>
          <w:sz w:val="16"/>
        </w:rPr>
        <w:t> </w:t>
      </w:r>
      <w:r>
        <w:rPr>
          <w:sz w:val="16"/>
        </w:rPr>
        <w:t>as</w:t>
      </w:r>
      <w:r>
        <w:rPr>
          <w:spacing w:val="-2"/>
          <w:sz w:val="16"/>
        </w:rPr>
        <w:t> </w:t>
      </w:r>
      <w:r>
        <w:rPr>
          <w:sz w:val="16"/>
        </w:rPr>
        <w:t>the</w:t>
      </w:r>
      <w:r>
        <w:rPr>
          <w:spacing w:val="-3"/>
          <w:sz w:val="16"/>
        </w:rPr>
        <w:t> </w:t>
      </w:r>
      <w:r>
        <w:rPr>
          <w:sz w:val="16"/>
        </w:rPr>
        <w:t>data is</w:t>
      </w:r>
      <w:r>
        <w:rPr>
          <w:spacing w:val="-2"/>
          <w:sz w:val="16"/>
        </w:rPr>
        <w:t> </w:t>
      </w:r>
      <w:r>
        <w:rPr>
          <w:sz w:val="16"/>
        </w:rPr>
        <w:t>cleaned,</w:t>
      </w:r>
      <w:r>
        <w:rPr>
          <w:spacing w:val="-1"/>
          <w:sz w:val="16"/>
        </w:rPr>
        <w:t> </w:t>
      </w:r>
      <w:r>
        <w:rPr>
          <w:sz w:val="16"/>
        </w:rPr>
        <w:t>it</w:t>
      </w:r>
      <w:r>
        <w:rPr>
          <w:spacing w:val="-2"/>
          <w:sz w:val="16"/>
        </w:rPr>
        <w:t> </w:t>
      </w:r>
      <w:r>
        <w:rPr>
          <w:sz w:val="16"/>
        </w:rPr>
        <w:t>would</w:t>
      </w:r>
      <w:r>
        <w:rPr>
          <w:spacing w:val="-2"/>
          <w:sz w:val="16"/>
        </w:rPr>
        <w:t> </w:t>
      </w:r>
      <w:r>
        <w:rPr>
          <w:sz w:val="16"/>
        </w:rPr>
        <w:t>be</w:t>
      </w:r>
      <w:r>
        <w:rPr>
          <w:spacing w:val="-3"/>
          <w:sz w:val="16"/>
        </w:rPr>
        <w:t> </w:t>
      </w:r>
      <w:r>
        <w:rPr>
          <w:sz w:val="16"/>
        </w:rPr>
        <w:t>more</w:t>
      </w:r>
      <w:r>
        <w:rPr>
          <w:spacing w:val="40"/>
          <w:sz w:val="16"/>
        </w:rPr>
        <w:t> </w:t>
      </w:r>
      <w:r>
        <w:rPr>
          <w:sz w:val="16"/>
        </w:rPr>
        <w:t>accurate to include payroll.</w:t>
      </w:r>
    </w:p>
    <w:p>
      <w:pPr>
        <w:spacing w:after="0" w:line="244" w:lineRule="auto"/>
        <w:jc w:val="left"/>
        <w:rPr>
          <w:sz w:val="16"/>
        </w:rPr>
        <w:sectPr>
          <w:type w:val="continuous"/>
          <w:pgSz w:w="16850" w:h="11900" w:orient="landscape"/>
          <w:pgMar w:header="867" w:footer="830" w:top="1400" w:bottom="1020" w:left="1220" w:right="520"/>
        </w:sectPr>
      </w:pPr>
    </w:p>
    <w:p>
      <w:pPr>
        <w:pStyle w:val="Heading1"/>
        <w:spacing w:before="24"/>
        <w:ind w:left="100"/>
        <w:jc w:val="both"/>
        <w:rPr>
          <w:b w:val="0"/>
        </w:rPr>
      </w:pPr>
      <w:bookmarkStart w:name="_bookmark43" w:id="44"/>
      <w:bookmarkEnd w:id="44"/>
      <w:r>
        <w:rPr/>
      </w:r>
      <w:r>
        <w:rPr>
          <w:b w:val="0"/>
          <w:color w:val="4471C4"/>
        </w:rPr>
        <w:t>Appendix</w:t>
      </w:r>
      <w:r>
        <w:rPr>
          <w:b w:val="0"/>
          <w:color w:val="4471C4"/>
          <w:spacing w:val="19"/>
        </w:rPr>
        <w:t> </w:t>
      </w:r>
      <w:r>
        <w:rPr>
          <w:b w:val="0"/>
          <w:color w:val="4471C4"/>
        </w:rPr>
        <w:t>2:</w:t>
      </w:r>
      <w:r>
        <w:rPr>
          <w:b w:val="0"/>
          <w:color w:val="4471C4"/>
          <w:spacing w:val="19"/>
        </w:rPr>
        <w:t> </w:t>
      </w:r>
      <w:r>
        <w:rPr>
          <w:b w:val="0"/>
          <w:color w:val="4471C4"/>
        </w:rPr>
        <w:t>Terms</w:t>
      </w:r>
      <w:r>
        <w:rPr>
          <w:b w:val="0"/>
          <w:color w:val="4471C4"/>
          <w:spacing w:val="15"/>
        </w:rPr>
        <w:t> </w:t>
      </w:r>
      <w:r>
        <w:rPr>
          <w:b w:val="0"/>
          <w:color w:val="4471C4"/>
        </w:rPr>
        <w:t>of</w:t>
      </w:r>
      <w:r>
        <w:rPr>
          <w:b w:val="0"/>
          <w:color w:val="4471C4"/>
          <w:spacing w:val="19"/>
        </w:rPr>
        <w:t> </w:t>
      </w:r>
      <w:r>
        <w:rPr>
          <w:b w:val="0"/>
          <w:color w:val="4471C4"/>
          <w:spacing w:val="-2"/>
        </w:rPr>
        <w:t>Reference</w:t>
      </w:r>
    </w:p>
    <w:p>
      <w:pPr>
        <w:pStyle w:val="BodyText"/>
        <w:spacing w:line="276" w:lineRule="auto" w:before="257"/>
        <w:ind w:left="100" w:right="852"/>
        <w:jc w:val="both"/>
      </w:pPr>
      <w:r>
        <w:rPr/>
        <w:t>Australia and the Solomon</w:t>
      </w:r>
      <w:r>
        <w:rPr>
          <w:spacing w:val="-1"/>
        </w:rPr>
        <w:t> </w:t>
      </w:r>
      <w:r>
        <w:rPr/>
        <w:t>Islands Government agreed to set annual targets</w:t>
      </w:r>
      <w:r>
        <w:rPr>
          <w:spacing w:val="-1"/>
        </w:rPr>
        <w:t> </w:t>
      </w:r>
      <w:r>
        <w:rPr/>
        <w:t>in an Education Performance</w:t>
      </w:r>
      <w:r>
        <w:rPr>
          <w:spacing w:val="-5"/>
        </w:rPr>
        <w:t> </w:t>
      </w:r>
      <w:r>
        <w:rPr/>
        <w:t>Matrix</w:t>
      </w:r>
      <w:r>
        <w:rPr>
          <w:spacing w:val="-3"/>
        </w:rPr>
        <w:t> </w:t>
      </w:r>
      <w:r>
        <w:rPr/>
        <w:t>attached</w:t>
      </w:r>
      <w:r>
        <w:rPr>
          <w:spacing w:val="-3"/>
        </w:rPr>
        <w:t> </w:t>
      </w:r>
      <w:r>
        <w:rPr/>
        <w:t>to</w:t>
      </w:r>
      <w:r>
        <w:rPr>
          <w:spacing w:val="-3"/>
        </w:rPr>
        <w:t> </w:t>
      </w:r>
      <w:r>
        <w:rPr/>
        <w:t>the</w:t>
      </w:r>
      <w:r>
        <w:rPr>
          <w:spacing w:val="-6"/>
        </w:rPr>
        <w:t> </w:t>
      </w:r>
      <w:r>
        <w:rPr/>
        <w:t>Direct</w:t>
      </w:r>
      <w:r>
        <w:rPr>
          <w:spacing w:val="-2"/>
        </w:rPr>
        <w:t> </w:t>
      </w:r>
      <w:r>
        <w:rPr/>
        <w:t>Funding</w:t>
      </w:r>
      <w:r>
        <w:rPr>
          <w:spacing w:val="-4"/>
        </w:rPr>
        <w:t> </w:t>
      </w:r>
      <w:r>
        <w:rPr/>
        <w:t>Agreement</w:t>
      </w:r>
      <w:r>
        <w:rPr>
          <w:spacing w:val="-5"/>
        </w:rPr>
        <w:t> </w:t>
      </w:r>
      <w:r>
        <w:rPr/>
        <w:t>(DFA)</w:t>
      </w:r>
      <w:r>
        <w:rPr>
          <w:spacing w:val="-5"/>
        </w:rPr>
        <w:t> </w:t>
      </w:r>
      <w:r>
        <w:rPr/>
        <w:t>that</w:t>
      </w:r>
      <w:r>
        <w:rPr>
          <w:spacing w:val="-3"/>
        </w:rPr>
        <w:t> </w:t>
      </w:r>
      <w:r>
        <w:rPr/>
        <w:t>links</w:t>
      </w:r>
      <w:r>
        <w:rPr>
          <w:spacing w:val="-5"/>
        </w:rPr>
        <w:t> </w:t>
      </w:r>
      <w:r>
        <w:rPr/>
        <w:t>performance payments to achievement</w:t>
      </w:r>
      <w:r>
        <w:rPr>
          <w:spacing w:val="-1"/>
        </w:rPr>
        <w:t> </w:t>
      </w:r>
      <w:r>
        <w:rPr/>
        <w:t>of the</w:t>
      </w:r>
      <w:r>
        <w:rPr>
          <w:spacing w:val="-1"/>
        </w:rPr>
        <w:t> </w:t>
      </w:r>
      <w:r>
        <w:rPr/>
        <w:t>agreed</w:t>
      </w:r>
      <w:r>
        <w:rPr>
          <w:spacing w:val="-3"/>
        </w:rPr>
        <w:t> </w:t>
      </w:r>
      <w:r>
        <w:rPr/>
        <w:t>targets. The</w:t>
      </w:r>
      <w:r>
        <w:rPr>
          <w:spacing w:val="-3"/>
        </w:rPr>
        <w:t> </w:t>
      </w:r>
      <w:r>
        <w:rPr/>
        <w:t>aim</w:t>
      </w:r>
      <w:r>
        <w:rPr>
          <w:spacing w:val="-1"/>
        </w:rPr>
        <w:t> </w:t>
      </w:r>
      <w:r>
        <w:rPr/>
        <w:t>of these payments</w:t>
      </w:r>
      <w:r>
        <w:rPr>
          <w:spacing w:val="-1"/>
        </w:rPr>
        <w:t> </w:t>
      </w:r>
      <w:r>
        <w:rPr/>
        <w:t>is to incentivise performance of the education sector.</w:t>
      </w:r>
    </w:p>
    <w:p>
      <w:pPr>
        <w:pStyle w:val="BodyText"/>
        <w:spacing w:before="4"/>
        <w:rPr>
          <w:sz w:val="16"/>
        </w:rPr>
      </w:pPr>
    </w:p>
    <w:p>
      <w:pPr>
        <w:pStyle w:val="BodyText"/>
        <w:spacing w:line="276" w:lineRule="auto" w:before="1"/>
        <w:ind w:left="100" w:right="370"/>
        <w:jc w:val="both"/>
      </w:pPr>
      <w:r>
        <w:rPr/>
        <w:t>An</w:t>
      </w:r>
      <w:r>
        <w:rPr>
          <w:spacing w:val="-3"/>
        </w:rPr>
        <w:t> </w:t>
      </w:r>
      <w:r>
        <w:rPr/>
        <w:t>Independent</w:t>
      </w:r>
      <w:r>
        <w:rPr>
          <w:spacing w:val="-1"/>
        </w:rPr>
        <w:t> </w:t>
      </w:r>
      <w:r>
        <w:rPr/>
        <w:t>Assessor</w:t>
      </w:r>
      <w:r>
        <w:rPr>
          <w:spacing w:val="-4"/>
        </w:rPr>
        <w:t> </w:t>
      </w:r>
      <w:r>
        <w:rPr/>
        <w:t>is</w:t>
      </w:r>
      <w:r>
        <w:rPr>
          <w:spacing w:val="-3"/>
        </w:rPr>
        <w:t> </w:t>
      </w:r>
      <w:r>
        <w:rPr/>
        <w:t>required</w:t>
      </w:r>
      <w:r>
        <w:rPr>
          <w:spacing w:val="-2"/>
        </w:rPr>
        <w:t> </w:t>
      </w:r>
      <w:r>
        <w:rPr/>
        <w:t>to conduct a</w:t>
      </w:r>
      <w:r>
        <w:rPr>
          <w:spacing w:val="-4"/>
        </w:rPr>
        <w:t> </w:t>
      </w:r>
      <w:r>
        <w:rPr/>
        <w:t>review</w:t>
      </w:r>
      <w:r>
        <w:rPr>
          <w:spacing w:val="-3"/>
        </w:rPr>
        <w:t> </w:t>
      </w:r>
      <w:r>
        <w:rPr/>
        <w:t>of</w:t>
      </w:r>
      <w:r>
        <w:rPr>
          <w:spacing w:val="-1"/>
        </w:rPr>
        <w:t> </w:t>
      </w:r>
      <w:r>
        <w:rPr/>
        <w:t>SIG’s</w:t>
      </w:r>
      <w:r>
        <w:rPr>
          <w:spacing w:val="-4"/>
        </w:rPr>
        <w:t> </w:t>
      </w:r>
      <w:r>
        <w:rPr/>
        <w:t>performance against the</w:t>
      </w:r>
      <w:r>
        <w:rPr>
          <w:spacing w:val="-1"/>
        </w:rPr>
        <w:t> </w:t>
      </w:r>
      <w:r>
        <w:rPr/>
        <w:t>agreed 2018</w:t>
      </w:r>
      <w:r>
        <w:rPr>
          <w:spacing w:val="-4"/>
        </w:rPr>
        <w:t> </w:t>
      </w:r>
      <w:r>
        <w:rPr/>
        <w:t>Education</w:t>
      </w:r>
      <w:r>
        <w:rPr>
          <w:spacing w:val="-3"/>
        </w:rPr>
        <w:t> </w:t>
      </w:r>
      <w:r>
        <w:rPr/>
        <w:t>Performance</w:t>
      </w:r>
      <w:r>
        <w:rPr>
          <w:spacing w:val="-4"/>
        </w:rPr>
        <w:t> </w:t>
      </w:r>
      <w:r>
        <w:rPr/>
        <w:t>Matrix,</w:t>
      </w:r>
      <w:r>
        <w:rPr>
          <w:spacing w:val="-5"/>
        </w:rPr>
        <w:t> </w:t>
      </w:r>
      <w:r>
        <w:rPr/>
        <w:t>recommend</w:t>
      </w:r>
      <w:r>
        <w:rPr>
          <w:spacing w:val="-3"/>
        </w:rPr>
        <w:t> </w:t>
      </w:r>
      <w:r>
        <w:rPr/>
        <w:t>a</w:t>
      </w:r>
      <w:r>
        <w:rPr>
          <w:spacing w:val="-2"/>
        </w:rPr>
        <w:t> </w:t>
      </w:r>
      <w:r>
        <w:rPr/>
        <w:t>percentage</w:t>
      </w:r>
      <w:r>
        <w:rPr>
          <w:spacing w:val="-1"/>
        </w:rPr>
        <w:t> </w:t>
      </w:r>
      <w:r>
        <w:rPr/>
        <w:t>for</w:t>
      </w:r>
      <w:r>
        <w:rPr>
          <w:spacing w:val="-5"/>
        </w:rPr>
        <w:t> </w:t>
      </w:r>
      <w:r>
        <w:rPr/>
        <w:t>the</w:t>
      </w:r>
      <w:r>
        <w:rPr>
          <w:spacing w:val="-4"/>
        </w:rPr>
        <w:t> </w:t>
      </w:r>
      <w:r>
        <w:rPr/>
        <w:t>performance</w:t>
      </w:r>
      <w:r>
        <w:rPr>
          <w:spacing w:val="-1"/>
        </w:rPr>
        <w:t> </w:t>
      </w:r>
      <w:r>
        <w:rPr/>
        <w:t>payment</w:t>
      </w:r>
      <w:r>
        <w:rPr>
          <w:spacing w:val="-4"/>
        </w:rPr>
        <w:t> </w:t>
      </w:r>
      <w:r>
        <w:rPr/>
        <w:t>and recommend targets for 2019.</w:t>
      </w:r>
    </w:p>
    <w:p>
      <w:pPr>
        <w:pStyle w:val="BodyText"/>
        <w:spacing w:before="6"/>
        <w:rPr>
          <w:sz w:val="16"/>
        </w:rPr>
      </w:pPr>
    </w:p>
    <w:p>
      <w:pPr>
        <w:pStyle w:val="BodyText"/>
        <w:ind w:left="100"/>
        <w:jc w:val="both"/>
      </w:pPr>
      <w:r>
        <w:rPr/>
        <w:t>An</w:t>
      </w:r>
      <w:r>
        <w:rPr>
          <w:spacing w:val="-7"/>
        </w:rPr>
        <w:t> </w:t>
      </w:r>
      <w:r>
        <w:rPr/>
        <w:t>incentive</w:t>
      </w:r>
      <w:r>
        <w:rPr>
          <w:spacing w:val="-1"/>
        </w:rPr>
        <w:t> </w:t>
      </w:r>
      <w:r>
        <w:rPr/>
        <w:t>payment</w:t>
      </w:r>
      <w:r>
        <w:rPr>
          <w:spacing w:val="-2"/>
        </w:rPr>
        <w:t> </w:t>
      </w:r>
      <w:r>
        <w:rPr/>
        <w:t>is</w:t>
      </w:r>
      <w:r>
        <w:rPr>
          <w:spacing w:val="-2"/>
        </w:rPr>
        <w:t> </w:t>
      </w:r>
      <w:r>
        <w:rPr/>
        <w:t>provided</w:t>
      </w:r>
      <w:r>
        <w:rPr>
          <w:spacing w:val="-5"/>
        </w:rPr>
        <w:t> </w:t>
      </w:r>
      <w:r>
        <w:rPr/>
        <w:t>yearly</w:t>
      </w:r>
      <w:r>
        <w:rPr>
          <w:spacing w:val="-4"/>
        </w:rPr>
        <w:t> </w:t>
      </w:r>
      <w:r>
        <w:rPr/>
        <w:t>to</w:t>
      </w:r>
      <w:r>
        <w:rPr>
          <w:spacing w:val="-3"/>
        </w:rPr>
        <w:t> </w:t>
      </w:r>
      <w:r>
        <w:rPr/>
        <w:t>the</w:t>
      </w:r>
      <w:r>
        <w:rPr>
          <w:spacing w:val="-4"/>
        </w:rPr>
        <w:t> </w:t>
      </w:r>
      <w:r>
        <w:rPr/>
        <w:t>Ministry</w:t>
      </w:r>
      <w:r>
        <w:rPr>
          <w:spacing w:val="-1"/>
        </w:rPr>
        <w:t> </w:t>
      </w:r>
      <w:r>
        <w:rPr/>
        <w:t>of</w:t>
      </w:r>
      <w:r>
        <w:rPr>
          <w:spacing w:val="-5"/>
        </w:rPr>
        <w:t> </w:t>
      </w:r>
      <w:r>
        <w:rPr/>
        <w:t>Education</w:t>
      </w:r>
      <w:r>
        <w:rPr>
          <w:spacing w:val="-3"/>
        </w:rPr>
        <w:t> </w:t>
      </w:r>
      <w:r>
        <w:rPr/>
        <w:t>and</w:t>
      </w:r>
      <w:r>
        <w:rPr>
          <w:spacing w:val="-3"/>
        </w:rPr>
        <w:t> </w:t>
      </w:r>
      <w:r>
        <w:rPr/>
        <w:t>Human</w:t>
      </w:r>
      <w:r>
        <w:rPr>
          <w:spacing w:val="-3"/>
        </w:rPr>
        <w:t> </w:t>
      </w:r>
      <w:r>
        <w:rPr>
          <w:spacing w:val="-2"/>
        </w:rPr>
        <w:t>Resource</w:t>
      </w:r>
    </w:p>
    <w:p>
      <w:pPr>
        <w:pStyle w:val="BodyText"/>
        <w:spacing w:line="276" w:lineRule="auto" w:before="39"/>
        <w:ind w:left="100"/>
      </w:pPr>
      <w:r>
        <w:rPr/>
        <w:t>Development’s</w:t>
      </w:r>
      <w:r>
        <w:rPr>
          <w:spacing w:val="-3"/>
        </w:rPr>
        <w:t> </w:t>
      </w:r>
      <w:r>
        <w:rPr/>
        <w:t>(MEHRD)</w:t>
      </w:r>
      <w:r>
        <w:rPr>
          <w:spacing w:val="-5"/>
        </w:rPr>
        <w:t> </w:t>
      </w:r>
      <w:r>
        <w:rPr/>
        <w:t>on</w:t>
      </w:r>
      <w:r>
        <w:rPr>
          <w:spacing w:val="-4"/>
        </w:rPr>
        <w:t> </w:t>
      </w:r>
      <w:r>
        <w:rPr/>
        <w:t>the</w:t>
      </w:r>
      <w:r>
        <w:rPr>
          <w:spacing w:val="-2"/>
        </w:rPr>
        <w:t> </w:t>
      </w:r>
      <w:r>
        <w:rPr/>
        <w:t>achievement</w:t>
      </w:r>
      <w:r>
        <w:rPr>
          <w:spacing w:val="-5"/>
        </w:rPr>
        <w:t> </w:t>
      </w:r>
      <w:r>
        <w:rPr/>
        <w:t>of</w:t>
      </w:r>
      <w:r>
        <w:rPr>
          <w:spacing w:val="-3"/>
        </w:rPr>
        <w:t> </w:t>
      </w:r>
      <w:r>
        <w:rPr/>
        <w:t>annually</w:t>
      </w:r>
      <w:r>
        <w:rPr>
          <w:spacing w:val="-3"/>
        </w:rPr>
        <w:t> </w:t>
      </w:r>
      <w:r>
        <w:rPr/>
        <w:t>agreed</w:t>
      </w:r>
      <w:r>
        <w:rPr>
          <w:spacing w:val="-3"/>
        </w:rPr>
        <w:t> </w:t>
      </w:r>
      <w:r>
        <w:rPr/>
        <w:t>targets</w:t>
      </w:r>
      <w:r>
        <w:rPr>
          <w:spacing w:val="-2"/>
        </w:rPr>
        <w:t> </w:t>
      </w:r>
      <w:r>
        <w:rPr/>
        <w:t>set</w:t>
      </w:r>
      <w:r>
        <w:rPr>
          <w:spacing w:val="-5"/>
        </w:rPr>
        <w:t> </w:t>
      </w:r>
      <w:r>
        <w:rPr/>
        <w:t>out</w:t>
      </w:r>
      <w:r>
        <w:rPr>
          <w:spacing w:val="-3"/>
        </w:rPr>
        <w:t> </w:t>
      </w:r>
      <w:r>
        <w:rPr/>
        <w:t>in</w:t>
      </w:r>
      <w:r>
        <w:rPr>
          <w:spacing w:val="-4"/>
        </w:rPr>
        <w:t> </w:t>
      </w:r>
      <w:r>
        <w:rPr/>
        <w:t>the</w:t>
      </w:r>
      <w:r>
        <w:rPr>
          <w:spacing w:val="-2"/>
        </w:rPr>
        <w:t> </w:t>
      </w:r>
      <w:r>
        <w:rPr/>
        <w:t>education performance matrix.</w:t>
      </w:r>
    </w:p>
    <w:p>
      <w:pPr>
        <w:pStyle w:val="BodyText"/>
        <w:spacing w:before="5"/>
        <w:rPr>
          <w:sz w:val="16"/>
        </w:rPr>
      </w:pPr>
    </w:p>
    <w:p>
      <w:pPr>
        <w:pStyle w:val="BodyText"/>
        <w:spacing w:line="276" w:lineRule="auto"/>
        <w:ind w:left="100"/>
      </w:pPr>
      <w:r>
        <w:rPr/>
        <w:t>This</w:t>
      </w:r>
      <w:r>
        <w:rPr>
          <w:spacing w:val="-2"/>
        </w:rPr>
        <w:t> </w:t>
      </w:r>
      <w:r>
        <w:rPr/>
        <w:t>year</w:t>
      </w:r>
      <w:r>
        <w:rPr>
          <w:spacing w:val="-2"/>
        </w:rPr>
        <w:t> </w:t>
      </w:r>
      <w:r>
        <w:rPr/>
        <w:t>will</w:t>
      </w:r>
      <w:r>
        <w:rPr>
          <w:spacing w:val="-2"/>
        </w:rPr>
        <w:t> </w:t>
      </w:r>
      <w:r>
        <w:rPr/>
        <w:t>be</w:t>
      </w:r>
      <w:r>
        <w:rPr>
          <w:spacing w:val="-1"/>
        </w:rPr>
        <w:t> </w:t>
      </w:r>
      <w:r>
        <w:rPr/>
        <w:t>the</w:t>
      </w:r>
      <w:r>
        <w:rPr>
          <w:spacing w:val="-5"/>
        </w:rPr>
        <w:t> </w:t>
      </w:r>
      <w:r>
        <w:rPr/>
        <w:t>seventh</w:t>
      </w:r>
      <w:r>
        <w:rPr>
          <w:spacing w:val="-3"/>
        </w:rPr>
        <w:t> </w:t>
      </w:r>
      <w:r>
        <w:rPr/>
        <w:t>year</w:t>
      </w:r>
      <w:r>
        <w:rPr>
          <w:spacing w:val="-4"/>
        </w:rPr>
        <w:t> </w:t>
      </w:r>
      <w:r>
        <w:rPr/>
        <w:t>that</w:t>
      </w:r>
      <w:r>
        <w:rPr>
          <w:spacing w:val="-2"/>
        </w:rPr>
        <w:t> </w:t>
      </w:r>
      <w:r>
        <w:rPr/>
        <w:t>an</w:t>
      </w:r>
      <w:r>
        <w:rPr>
          <w:spacing w:val="-2"/>
        </w:rPr>
        <w:t> </w:t>
      </w:r>
      <w:r>
        <w:rPr/>
        <w:t>Independent</w:t>
      </w:r>
      <w:r>
        <w:rPr>
          <w:spacing w:val="-4"/>
        </w:rPr>
        <w:t> </w:t>
      </w:r>
      <w:r>
        <w:rPr/>
        <w:t>Assessor</w:t>
      </w:r>
      <w:r>
        <w:rPr>
          <w:spacing w:val="-2"/>
        </w:rPr>
        <w:t> </w:t>
      </w:r>
      <w:r>
        <w:rPr/>
        <w:t>has</w:t>
      </w:r>
      <w:r>
        <w:rPr>
          <w:spacing w:val="-5"/>
        </w:rPr>
        <w:t> </w:t>
      </w:r>
      <w:r>
        <w:rPr/>
        <w:t>assessed</w:t>
      </w:r>
      <w:r>
        <w:rPr>
          <w:spacing w:val="-2"/>
        </w:rPr>
        <w:t> </w:t>
      </w:r>
      <w:r>
        <w:rPr/>
        <w:t>the</w:t>
      </w:r>
      <w:r>
        <w:rPr>
          <w:spacing w:val="-4"/>
        </w:rPr>
        <w:t> </w:t>
      </w:r>
      <w:r>
        <w:rPr/>
        <w:t>SIG’s</w:t>
      </w:r>
      <w:r>
        <w:rPr>
          <w:spacing w:val="-2"/>
        </w:rPr>
        <w:t> </w:t>
      </w:r>
      <w:r>
        <w:rPr/>
        <w:t>performance against a performance matrix.</w:t>
      </w:r>
    </w:p>
    <w:p>
      <w:pPr>
        <w:pStyle w:val="BodyText"/>
        <w:spacing w:before="6"/>
        <w:rPr>
          <w:sz w:val="16"/>
        </w:rPr>
      </w:pPr>
    </w:p>
    <w:p>
      <w:pPr>
        <w:pStyle w:val="BodyText"/>
        <w:spacing w:line="273" w:lineRule="auto"/>
        <w:ind w:left="100" w:firstLine="50"/>
      </w:pPr>
      <w:r>
        <w:rPr/>
        <w:t>The</w:t>
      </w:r>
      <w:r>
        <w:rPr>
          <w:spacing w:val="-3"/>
        </w:rPr>
        <w:t> </w:t>
      </w:r>
      <w:r>
        <w:rPr/>
        <w:t>Assessor’s</w:t>
      </w:r>
      <w:r>
        <w:rPr>
          <w:spacing w:val="-3"/>
        </w:rPr>
        <w:t> </w:t>
      </w:r>
      <w:r>
        <w:rPr/>
        <w:t>report</w:t>
      </w:r>
      <w:r>
        <w:rPr>
          <w:spacing w:val="-3"/>
        </w:rPr>
        <w:t> </w:t>
      </w:r>
      <w:r>
        <w:rPr/>
        <w:t>will</w:t>
      </w:r>
      <w:r>
        <w:rPr>
          <w:spacing w:val="-5"/>
        </w:rPr>
        <w:t> </w:t>
      </w:r>
      <w:r>
        <w:rPr/>
        <w:t>contribute</w:t>
      </w:r>
      <w:r>
        <w:rPr>
          <w:spacing w:val="-5"/>
        </w:rPr>
        <w:t> </w:t>
      </w:r>
      <w:r>
        <w:rPr/>
        <w:t>to</w:t>
      </w:r>
      <w:r>
        <w:rPr>
          <w:spacing w:val="-2"/>
        </w:rPr>
        <w:t> </w:t>
      </w:r>
      <w:r>
        <w:rPr/>
        <w:t>the</w:t>
      </w:r>
      <w:r>
        <w:rPr>
          <w:spacing w:val="-5"/>
        </w:rPr>
        <w:t> </w:t>
      </w:r>
      <w:r>
        <w:rPr/>
        <w:t>broader</w:t>
      </w:r>
      <w:r>
        <w:rPr>
          <w:spacing w:val="-3"/>
        </w:rPr>
        <w:t> </w:t>
      </w:r>
      <w:r>
        <w:rPr/>
        <w:t>sector</w:t>
      </w:r>
      <w:r>
        <w:rPr>
          <w:spacing w:val="-3"/>
        </w:rPr>
        <w:t> </w:t>
      </w:r>
      <w:r>
        <w:rPr/>
        <w:t>review</w:t>
      </w:r>
      <w:r>
        <w:rPr>
          <w:spacing w:val="-2"/>
        </w:rPr>
        <w:t> </w:t>
      </w:r>
      <w:r>
        <w:rPr/>
        <w:t>undertaken</w:t>
      </w:r>
      <w:r>
        <w:rPr>
          <w:spacing w:val="-4"/>
        </w:rPr>
        <w:t> </w:t>
      </w:r>
      <w:r>
        <w:rPr/>
        <w:t>by</w:t>
      </w:r>
      <w:r>
        <w:rPr>
          <w:spacing w:val="-3"/>
        </w:rPr>
        <w:t> </w:t>
      </w:r>
      <w:r>
        <w:rPr/>
        <w:t>SIG</w:t>
      </w:r>
      <w:r>
        <w:rPr>
          <w:spacing w:val="-4"/>
        </w:rPr>
        <w:t> </w:t>
      </w:r>
      <w:r>
        <w:rPr/>
        <w:t>and development partners at the Annual Joint Review (AJR).</w:t>
      </w:r>
    </w:p>
    <w:p>
      <w:pPr>
        <w:pStyle w:val="BodyText"/>
        <w:spacing w:before="8"/>
        <w:rPr>
          <w:sz w:val="16"/>
        </w:rPr>
      </w:pPr>
    </w:p>
    <w:p>
      <w:pPr>
        <w:pStyle w:val="BodyText"/>
        <w:ind w:left="150"/>
      </w:pPr>
      <w:r>
        <w:rPr/>
        <w:t>The</w:t>
      </w:r>
      <w:r>
        <w:rPr>
          <w:spacing w:val="-6"/>
        </w:rPr>
        <w:t> </w:t>
      </w:r>
      <w:r>
        <w:rPr/>
        <w:t>Assessor</w:t>
      </w:r>
      <w:r>
        <w:rPr>
          <w:spacing w:val="-4"/>
        </w:rPr>
        <w:t> </w:t>
      </w:r>
      <w:r>
        <w:rPr/>
        <w:t>should</w:t>
      </w:r>
      <w:r>
        <w:rPr>
          <w:spacing w:val="-4"/>
        </w:rPr>
        <w:t> </w:t>
      </w:r>
      <w:r>
        <w:rPr/>
        <w:t>have</w:t>
      </w:r>
      <w:r>
        <w:rPr>
          <w:spacing w:val="-8"/>
        </w:rPr>
        <w:t> </w:t>
      </w:r>
      <w:r>
        <w:rPr/>
        <w:t>the</w:t>
      </w:r>
      <w:r>
        <w:rPr>
          <w:spacing w:val="-3"/>
        </w:rPr>
        <w:t> </w:t>
      </w:r>
      <w:r>
        <w:rPr/>
        <w:t>following</w:t>
      </w:r>
      <w:r>
        <w:rPr>
          <w:spacing w:val="-6"/>
        </w:rPr>
        <w:t> </w:t>
      </w:r>
      <w:r>
        <w:rPr/>
        <w:t>qualifications</w:t>
      </w:r>
      <w:r>
        <w:rPr>
          <w:spacing w:val="-6"/>
        </w:rPr>
        <w:t> </w:t>
      </w:r>
      <w:r>
        <w:rPr/>
        <w:t>and</w:t>
      </w:r>
      <w:r>
        <w:rPr>
          <w:spacing w:val="-4"/>
        </w:rPr>
        <w:t> </w:t>
      </w:r>
      <w:r>
        <w:rPr>
          <w:spacing w:val="-2"/>
        </w:rPr>
        <w:t>experience:</w:t>
      </w:r>
    </w:p>
    <w:p>
      <w:pPr>
        <w:pStyle w:val="BodyText"/>
        <w:spacing w:before="9"/>
        <w:rPr>
          <w:sz w:val="19"/>
        </w:rPr>
      </w:pPr>
    </w:p>
    <w:p>
      <w:pPr>
        <w:pStyle w:val="ListParagraph"/>
        <w:numPr>
          <w:ilvl w:val="0"/>
          <w:numId w:val="43"/>
        </w:numPr>
        <w:tabs>
          <w:tab w:pos="820" w:val="left" w:leader="none"/>
          <w:tab w:pos="821" w:val="left" w:leader="none"/>
        </w:tabs>
        <w:spacing w:line="240" w:lineRule="auto" w:before="0" w:after="0"/>
        <w:ind w:left="820" w:right="0" w:hanging="721"/>
        <w:jc w:val="left"/>
        <w:rPr>
          <w:sz w:val="22"/>
        </w:rPr>
      </w:pPr>
      <w:r>
        <w:rPr>
          <w:sz w:val="22"/>
        </w:rPr>
        <w:t>Experience</w:t>
      </w:r>
      <w:r>
        <w:rPr>
          <w:spacing w:val="-5"/>
          <w:sz w:val="22"/>
        </w:rPr>
        <w:t> </w:t>
      </w:r>
      <w:r>
        <w:rPr>
          <w:sz w:val="22"/>
        </w:rPr>
        <w:t>in</w:t>
      </w:r>
      <w:r>
        <w:rPr>
          <w:spacing w:val="-5"/>
          <w:sz w:val="22"/>
        </w:rPr>
        <w:t> </w:t>
      </w:r>
      <w:r>
        <w:rPr>
          <w:sz w:val="22"/>
        </w:rPr>
        <w:t>Sector</w:t>
      </w:r>
      <w:r>
        <w:rPr>
          <w:spacing w:val="-6"/>
          <w:sz w:val="22"/>
        </w:rPr>
        <w:t> </w:t>
      </w:r>
      <w:r>
        <w:rPr>
          <w:sz w:val="22"/>
        </w:rPr>
        <w:t>Wide</w:t>
      </w:r>
      <w:r>
        <w:rPr>
          <w:spacing w:val="-7"/>
          <w:sz w:val="22"/>
        </w:rPr>
        <w:t> </w:t>
      </w:r>
      <w:r>
        <w:rPr>
          <w:sz w:val="22"/>
        </w:rPr>
        <w:t>Approaches</w:t>
      </w:r>
      <w:r>
        <w:rPr>
          <w:spacing w:val="-3"/>
          <w:sz w:val="22"/>
        </w:rPr>
        <w:t> </w:t>
      </w:r>
      <w:r>
        <w:rPr>
          <w:sz w:val="22"/>
        </w:rPr>
        <w:t>particularly</w:t>
      </w:r>
      <w:r>
        <w:rPr>
          <w:spacing w:val="-3"/>
          <w:sz w:val="22"/>
        </w:rPr>
        <w:t> </w:t>
      </w:r>
      <w:r>
        <w:rPr>
          <w:sz w:val="22"/>
        </w:rPr>
        <w:t>in</w:t>
      </w:r>
      <w:r>
        <w:rPr>
          <w:spacing w:val="-7"/>
          <w:sz w:val="22"/>
        </w:rPr>
        <w:t> </w:t>
      </w:r>
      <w:r>
        <w:rPr>
          <w:sz w:val="22"/>
        </w:rPr>
        <w:t>the</w:t>
      </w:r>
      <w:r>
        <w:rPr>
          <w:spacing w:val="-3"/>
          <w:sz w:val="22"/>
        </w:rPr>
        <w:t> </w:t>
      </w:r>
      <w:r>
        <w:rPr>
          <w:sz w:val="22"/>
        </w:rPr>
        <w:t>service</w:t>
      </w:r>
      <w:r>
        <w:rPr>
          <w:spacing w:val="-3"/>
          <w:sz w:val="22"/>
        </w:rPr>
        <w:t> </w:t>
      </w:r>
      <w:r>
        <w:rPr>
          <w:sz w:val="22"/>
        </w:rPr>
        <w:t>delivery</w:t>
      </w:r>
      <w:r>
        <w:rPr>
          <w:spacing w:val="-5"/>
          <w:sz w:val="22"/>
        </w:rPr>
        <w:t> </w:t>
      </w:r>
      <w:r>
        <w:rPr>
          <w:spacing w:val="-2"/>
          <w:sz w:val="22"/>
        </w:rPr>
        <w:t>sectors.</w:t>
      </w:r>
    </w:p>
    <w:p>
      <w:pPr>
        <w:pStyle w:val="BodyText"/>
        <w:spacing w:before="8"/>
        <w:rPr>
          <w:sz w:val="19"/>
        </w:rPr>
      </w:pPr>
    </w:p>
    <w:p>
      <w:pPr>
        <w:pStyle w:val="ListParagraph"/>
        <w:numPr>
          <w:ilvl w:val="0"/>
          <w:numId w:val="43"/>
        </w:numPr>
        <w:tabs>
          <w:tab w:pos="820" w:val="left" w:leader="none"/>
          <w:tab w:pos="821" w:val="left" w:leader="none"/>
        </w:tabs>
        <w:spacing w:line="240" w:lineRule="auto" w:before="0" w:after="0"/>
        <w:ind w:left="820" w:right="0" w:hanging="721"/>
        <w:jc w:val="left"/>
        <w:rPr>
          <w:sz w:val="22"/>
        </w:rPr>
      </w:pPr>
      <w:r>
        <w:rPr>
          <w:sz w:val="22"/>
        </w:rPr>
        <w:t>Experience</w:t>
      </w:r>
      <w:r>
        <w:rPr>
          <w:spacing w:val="-8"/>
          <w:sz w:val="22"/>
        </w:rPr>
        <w:t> </w:t>
      </w:r>
      <w:r>
        <w:rPr>
          <w:sz w:val="22"/>
        </w:rPr>
        <w:t>of</w:t>
      </w:r>
      <w:r>
        <w:rPr>
          <w:spacing w:val="-5"/>
          <w:sz w:val="22"/>
        </w:rPr>
        <w:t> </w:t>
      </w:r>
      <w:r>
        <w:rPr>
          <w:sz w:val="22"/>
        </w:rPr>
        <w:t>performance</w:t>
      </w:r>
      <w:r>
        <w:rPr>
          <w:spacing w:val="-8"/>
          <w:sz w:val="22"/>
        </w:rPr>
        <w:t> </w:t>
      </w:r>
      <w:r>
        <w:rPr>
          <w:sz w:val="22"/>
        </w:rPr>
        <w:t>incentive</w:t>
      </w:r>
      <w:r>
        <w:rPr>
          <w:spacing w:val="-4"/>
          <w:sz w:val="22"/>
        </w:rPr>
        <w:t> </w:t>
      </w:r>
      <w:r>
        <w:rPr>
          <w:spacing w:val="-2"/>
          <w:sz w:val="22"/>
        </w:rPr>
        <w:t>programs/mechanisms.</w:t>
      </w:r>
    </w:p>
    <w:p>
      <w:pPr>
        <w:pStyle w:val="BodyText"/>
        <w:spacing w:before="8"/>
        <w:rPr>
          <w:sz w:val="19"/>
        </w:rPr>
      </w:pPr>
    </w:p>
    <w:p>
      <w:pPr>
        <w:pStyle w:val="ListParagraph"/>
        <w:numPr>
          <w:ilvl w:val="0"/>
          <w:numId w:val="43"/>
        </w:numPr>
        <w:tabs>
          <w:tab w:pos="820" w:val="left" w:leader="none"/>
          <w:tab w:pos="821" w:val="left" w:leader="none"/>
        </w:tabs>
        <w:spacing w:line="276" w:lineRule="auto" w:before="0" w:after="0"/>
        <w:ind w:left="820" w:right="181" w:hanging="720"/>
        <w:jc w:val="left"/>
        <w:rPr>
          <w:sz w:val="22"/>
        </w:rPr>
      </w:pPr>
      <w:r>
        <w:rPr>
          <w:sz w:val="22"/>
        </w:rPr>
        <w:t>Experience</w:t>
      </w:r>
      <w:r>
        <w:rPr>
          <w:spacing w:val="-1"/>
          <w:sz w:val="22"/>
        </w:rPr>
        <w:t> </w:t>
      </w:r>
      <w:r>
        <w:rPr>
          <w:sz w:val="22"/>
        </w:rPr>
        <w:t>in</w:t>
      </w:r>
      <w:r>
        <w:rPr>
          <w:spacing w:val="-3"/>
          <w:sz w:val="22"/>
        </w:rPr>
        <w:t> </w:t>
      </w:r>
      <w:r>
        <w:rPr>
          <w:sz w:val="22"/>
        </w:rPr>
        <w:t>the</w:t>
      </w:r>
      <w:r>
        <w:rPr>
          <w:spacing w:val="-4"/>
          <w:sz w:val="22"/>
        </w:rPr>
        <w:t> </w:t>
      </w:r>
      <w:r>
        <w:rPr>
          <w:sz w:val="22"/>
        </w:rPr>
        <w:t>education</w:t>
      </w:r>
      <w:r>
        <w:rPr>
          <w:spacing w:val="-3"/>
          <w:sz w:val="22"/>
        </w:rPr>
        <w:t> </w:t>
      </w:r>
      <w:r>
        <w:rPr>
          <w:sz w:val="22"/>
        </w:rPr>
        <w:t>sector</w:t>
      </w:r>
      <w:r>
        <w:rPr>
          <w:spacing w:val="-2"/>
          <w:sz w:val="22"/>
        </w:rPr>
        <w:t> </w:t>
      </w:r>
      <w:r>
        <w:rPr>
          <w:sz w:val="22"/>
        </w:rPr>
        <w:t>important</w:t>
      </w:r>
      <w:r>
        <w:rPr>
          <w:spacing w:val="-2"/>
          <w:sz w:val="22"/>
        </w:rPr>
        <w:t> </w:t>
      </w:r>
      <w:r>
        <w:rPr>
          <w:sz w:val="22"/>
        </w:rPr>
        <w:t>and</w:t>
      </w:r>
      <w:r>
        <w:rPr>
          <w:spacing w:val="-5"/>
          <w:sz w:val="22"/>
        </w:rPr>
        <w:t> </w:t>
      </w:r>
      <w:r>
        <w:rPr>
          <w:sz w:val="22"/>
        </w:rPr>
        <w:t>knowledge</w:t>
      </w:r>
      <w:r>
        <w:rPr>
          <w:spacing w:val="-4"/>
          <w:sz w:val="22"/>
        </w:rPr>
        <w:t> </w:t>
      </w:r>
      <w:r>
        <w:rPr>
          <w:sz w:val="22"/>
        </w:rPr>
        <w:t>of</w:t>
      </w:r>
      <w:r>
        <w:rPr>
          <w:spacing w:val="-4"/>
          <w:sz w:val="22"/>
        </w:rPr>
        <w:t> </w:t>
      </w:r>
      <w:r>
        <w:rPr>
          <w:sz w:val="22"/>
        </w:rPr>
        <w:t>education</w:t>
      </w:r>
      <w:r>
        <w:rPr>
          <w:spacing w:val="-6"/>
          <w:sz w:val="22"/>
        </w:rPr>
        <w:t> </w:t>
      </w:r>
      <w:r>
        <w:rPr>
          <w:sz w:val="22"/>
        </w:rPr>
        <w:t>in</w:t>
      </w:r>
      <w:r>
        <w:rPr>
          <w:spacing w:val="-2"/>
          <w:sz w:val="22"/>
        </w:rPr>
        <w:t> </w:t>
      </w:r>
      <w:r>
        <w:rPr>
          <w:sz w:val="22"/>
        </w:rPr>
        <w:t>the</w:t>
      </w:r>
      <w:r>
        <w:rPr>
          <w:spacing w:val="-4"/>
          <w:sz w:val="22"/>
        </w:rPr>
        <w:t> </w:t>
      </w:r>
      <w:r>
        <w:rPr>
          <w:sz w:val="22"/>
        </w:rPr>
        <w:t>Pacific</w:t>
      </w:r>
      <w:r>
        <w:rPr>
          <w:spacing w:val="-4"/>
          <w:sz w:val="22"/>
        </w:rPr>
        <w:t> </w:t>
      </w:r>
      <w:r>
        <w:rPr>
          <w:sz w:val="22"/>
        </w:rPr>
        <w:t>and Solomon Islands an advantage.</w:t>
      </w:r>
    </w:p>
    <w:p>
      <w:pPr>
        <w:pStyle w:val="BodyText"/>
        <w:spacing w:before="6"/>
        <w:rPr>
          <w:sz w:val="16"/>
        </w:rPr>
      </w:pPr>
    </w:p>
    <w:p>
      <w:pPr>
        <w:pStyle w:val="ListParagraph"/>
        <w:numPr>
          <w:ilvl w:val="0"/>
          <w:numId w:val="43"/>
        </w:numPr>
        <w:tabs>
          <w:tab w:pos="820" w:val="left" w:leader="none"/>
          <w:tab w:pos="821" w:val="left" w:leader="none"/>
        </w:tabs>
        <w:spacing w:line="240" w:lineRule="auto" w:before="0" w:after="0"/>
        <w:ind w:left="820" w:right="0" w:hanging="721"/>
        <w:jc w:val="left"/>
        <w:rPr>
          <w:sz w:val="22"/>
        </w:rPr>
      </w:pPr>
      <w:r>
        <w:rPr>
          <w:sz w:val="22"/>
        </w:rPr>
        <w:t>Academic</w:t>
      </w:r>
      <w:r>
        <w:rPr>
          <w:spacing w:val="-6"/>
          <w:sz w:val="22"/>
        </w:rPr>
        <w:t> </w:t>
      </w:r>
      <w:r>
        <w:rPr>
          <w:sz w:val="22"/>
        </w:rPr>
        <w:t>qualifications,</w:t>
      </w:r>
      <w:r>
        <w:rPr>
          <w:spacing w:val="-3"/>
          <w:sz w:val="22"/>
        </w:rPr>
        <w:t> </w:t>
      </w:r>
      <w:r>
        <w:rPr>
          <w:sz w:val="22"/>
        </w:rPr>
        <w:t>i.e.</w:t>
      </w:r>
      <w:r>
        <w:rPr>
          <w:spacing w:val="-4"/>
          <w:sz w:val="22"/>
        </w:rPr>
        <w:t> </w:t>
      </w:r>
      <w:r>
        <w:rPr>
          <w:sz w:val="22"/>
        </w:rPr>
        <w:t>a</w:t>
      </w:r>
      <w:r>
        <w:rPr>
          <w:spacing w:val="-3"/>
          <w:sz w:val="22"/>
        </w:rPr>
        <w:t> </w:t>
      </w:r>
      <w:r>
        <w:rPr>
          <w:sz w:val="22"/>
        </w:rPr>
        <w:t>master’s</w:t>
      </w:r>
      <w:r>
        <w:rPr>
          <w:spacing w:val="-6"/>
          <w:sz w:val="22"/>
        </w:rPr>
        <w:t> </w:t>
      </w:r>
      <w:r>
        <w:rPr>
          <w:sz w:val="22"/>
        </w:rPr>
        <w:t>degree</w:t>
      </w:r>
      <w:r>
        <w:rPr>
          <w:spacing w:val="-5"/>
          <w:sz w:val="22"/>
        </w:rPr>
        <w:t> </w:t>
      </w:r>
      <w:r>
        <w:rPr>
          <w:sz w:val="22"/>
        </w:rPr>
        <w:t>or</w:t>
      </w:r>
      <w:r>
        <w:rPr>
          <w:spacing w:val="-3"/>
          <w:sz w:val="22"/>
        </w:rPr>
        <w:t> </w:t>
      </w:r>
      <w:r>
        <w:rPr>
          <w:sz w:val="22"/>
        </w:rPr>
        <w:t>higher</w:t>
      </w:r>
      <w:r>
        <w:rPr>
          <w:spacing w:val="-3"/>
          <w:sz w:val="22"/>
        </w:rPr>
        <w:t> </w:t>
      </w:r>
      <w:r>
        <w:rPr>
          <w:sz w:val="22"/>
        </w:rPr>
        <w:t>in</w:t>
      </w:r>
      <w:r>
        <w:rPr>
          <w:spacing w:val="-4"/>
          <w:sz w:val="22"/>
        </w:rPr>
        <w:t> </w:t>
      </w:r>
      <w:r>
        <w:rPr>
          <w:sz w:val="22"/>
        </w:rPr>
        <w:t>a</w:t>
      </w:r>
      <w:r>
        <w:rPr>
          <w:spacing w:val="-3"/>
          <w:sz w:val="22"/>
        </w:rPr>
        <w:t> </w:t>
      </w:r>
      <w:r>
        <w:rPr>
          <w:sz w:val="22"/>
        </w:rPr>
        <w:t>relevant</w:t>
      </w:r>
      <w:r>
        <w:rPr>
          <w:spacing w:val="-3"/>
          <w:sz w:val="22"/>
        </w:rPr>
        <w:t> </w:t>
      </w:r>
      <w:r>
        <w:rPr>
          <w:spacing w:val="-2"/>
          <w:sz w:val="22"/>
        </w:rPr>
        <w:t>field.</w:t>
      </w:r>
    </w:p>
    <w:p>
      <w:pPr>
        <w:pStyle w:val="BodyText"/>
        <w:spacing w:before="8"/>
        <w:rPr>
          <w:sz w:val="19"/>
        </w:rPr>
      </w:pPr>
    </w:p>
    <w:p>
      <w:pPr>
        <w:pStyle w:val="BodyText"/>
        <w:spacing w:line="276" w:lineRule="auto"/>
        <w:ind w:left="100" w:firstLine="50"/>
      </w:pPr>
      <w:r>
        <w:rPr/>
        <w:t>The</w:t>
      </w:r>
      <w:r>
        <w:rPr>
          <w:spacing w:val="-2"/>
        </w:rPr>
        <w:t> </w:t>
      </w:r>
      <w:r>
        <w:rPr/>
        <w:t>Assessor</w:t>
      </w:r>
      <w:r>
        <w:rPr>
          <w:spacing w:val="-2"/>
        </w:rPr>
        <w:t> </w:t>
      </w:r>
      <w:r>
        <w:rPr/>
        <w:t>will</w:t>
      </w:r>
      <w:r>
        <w:rPr>
          <w:spacing w:val="-5"/>
        </w:rPr>
        <w:t> </w:t>
      </w:r>
      <w:r>
        <w:rPr/>
        <w:t>provide</w:t>
      </w:r>
      <w:r>
        <w:rPr>
          <w:spacing w:val="-1"/>
        </w:rPr>
        <w:t> </w:t>
      </w:r>
      <w:r>
        <w:rPr/>
        <w:t>advice</w:t>
      </w:r>
      <w:r>
        <w:rPr>
          <w:spacing w:val="-4"/>
        </w:rPr>
        <w:t> </w:t>
      </w:r>
      <w:r>
        <w:rPr/>
        <w:t>to</w:t>
      </w:r>
      <w:r>
        <w:rPr>
          <w:spacing w:val="-3"/>
        </w:rPr>
        <w:t> </w:t>
      </w:r>
      <w:r>
        <w:rPr/>
        <w:t>all</w:t>
      </w:r>
      <w:r>
        <w:rPr>
          <w:spacing w:val="-2"/>
        </w:rPr>
        <w:t> </w:t>
      </w:r>
      <w:r>
        <w:rPr/>
        <w:t>parties</w:t>
      </w:r>
      <w:r>
        <w:rPr>
          <w:spacing w:val="-2"/>
        </w:rPr>
        <w:t> </w:t>
      </w:r>
      <w:r>
        <w:rPr/>
        <w:t>on</w:t>
      </w:r>
      <w:r>
        <w:rPr>
          <w:spacing w:val="-6"/>
        </w:rPr>
        <w:t> </w:t>
      </w:r>
      <w:r>
        <w:rPr/>
        <w:t>the</w:t>
      </w:r>
      <w:r>
        <w:rPr>
          <w:spacing w:val="-1"/>
        </w:rPr>
        <w:t> </w:t>
      </w:r>
      <w:r>
        <w:rPr/>
        <w:t>payment</w:t>
      </w:r>
      <w:r>
        <w:rPr>
          <w:spacing w:val="-4"/>
        </w:rPr>
        <w:t> </w:t>
      </w:r>
      <w:r>
        <w:rPr/>
        <w:t>of</w:t>
      </w:r>
      <w:r>
        <w:rPr>
          <w:spacing w:val="-2"/>
        </w:rPr>
        <w:t> </w:t>
      </w:r>
      <w:r>
        <w:rPr/>
        <w:t>the</w:t>
      </w:r>
      <w:r>
        <w:rPr>
          <w:spacing w:val="-1"/>
        </w:rPr>
        <w:t> </w:t>
      </w:r>
      <w:r>
        <w:rPr/>
        <w:t>performance</w:t>
      </w:r>
      <w:r>
        <w:rPr>
          <w:spacing w:val="-1"/>
        </w:rPr>
        <w:t> </w:t>
      </w:r>
      <w:r>
        <w:rPr/>
        <w:t>component</w:t>
      </w:r>
      <w:r>
        <w:rPr>
          <w:spacing w:val="-4"/>
        </w:rPr>
        <w:t> </w:t>
      </w:r>
      <w:r>
        <w:rPr/>
        <w:t>of</w:t>
      </w:r>
      <w:r>
        <w:rPr>
          <w:spacing w:val="-4"/>
        </w:rPr>
        <w:t> </w:t>
      </w:r>
      <w:r>
        <w:rPr/>
        <w:t>the education sector budget support, specifically:</w:t>
      </w:r>
    </w:p>
    <w:p>
      <w:pPr>
        <w:pStyle w:val="BodyText"/>
        <w:spacing w:before="6"/>
        <w:rPr>
          <w:sz w:val="16"/>
        </w:rPr>
      </w:pPr>
    </w:p>
    <w:p>
      <w:pPr>
        <w:pStyle w:val="ListParagraph"/>
        <w:numPr>
          <w:ilvl w:val="0"/>
          <w:numId w:val="44"/>
        </w:numPr>
        <w:tabs>
          <w:tab w:pos="639" w:val="left" w:leader="none"/>
          <w:tab w:pos="640" w:val="left" w:leader="none"/>
        </w:tabs>
        <w:spacing w:line="276" w:lineRule="auto" w:before="0" w:after="0"/>
        <w:ind w:left="150" w:right="434" w:firstLine="0"/>
        <w:jc w:val="left"/>
        <w:rPr>
          <w:sz w:val="22"/>
        </w:rPr>
      </w:pPr>
      <w:r>
        <w:rPr>
          <w:sz w:val="22"/>
        </w:rPr>
        <w:t>Review</w:t>
      </w:r>
      <w:r>
        <w:rPr>
          <w:spacing w:val="-2"/>
          <w:sz w:val="22"/>
        </w:rPr>
        <w:t> </w:t>
      </w:r>
      <w:r>
        <w:rPr>
          <w:sz w:val="22"/>
        </w:rPr>
        <w:t>SIG</w:t>
      </w:r>
      <w:r>
        <w:rPr>
          <w:spacing w:val="-2"/>
          <w:sz w:val="22"/>
        </w:rPr>
        <w:t> </w:t>
      </w:r>
      <w:r>
        <w:rPr>
          <w:sz w:val="22"/>
        </w:rPr>
        <w:t>performance</w:t>
      </w:r>
      <w:r>
        <w:rPr>
          <w:spacing w:val="-2"/>
          <w:sz w:val="22"/>
        </w:rPr>
        <w:t> </w:t>
      </w:r>
      <w:r>
        <w:rPr>
          <w:sz w:val="22"/>
        </w:rPr>
        <w:t>against</w:t>
      </w:r>
      <w:r>
        <w:rPr>
          <w:spacing w:val="-5"/>
          <w:sz w:val="22"/>
        </w:rPr>
        <w:t> </w:t>
      </w:r>
      <w:r>
        <w:rPr>
          <w:sz w:val="22"/>
        </w:rPr>
        <w:t>the</w:t>
      </w:r>
      <w:r>
        <w:rPr>
          <w:spacing w:val="-3"/>
          <w:sz w:val="22"/>
        </w:rPr>
        <w:t> </w:t>
      </w:r>
      <w:r>
        <w:rPr>
          <w:sz w:val="22"/>
        </w:rPr>
        <w:t>agreed</w:t>
      </w:r>
      <w:r>
        <w:rPr>
          <w:spacing w:val="-5"/>
          <w:sz w:val="22"/>
        </w:rPr>
        <w:t> </w:t>
      </w:r>
      <w:r>
        <w:rPr>
          <w:sz w:val="22"/>
        </w:rPr>
        <w:t>milestones</w:t>
      </w:r>
      <w:r>
        <w:rPr>
          <w:spacing w:val="-2"/>
          <w:sz w:val="22"/>
        </w:rPr>
        <w:t> </w:t>
      </w:r>
      <w:r>
        <w:rPr>
          <w:sz w:val="22"/>
        </w:rPr>
        <w:t>in</w:t>
      </w:r>
      <w:r>
        <w:rPr>
          <w:spacing w:val="-4"/>
          <w:sz w:val="22"/>
        </w:rPr>
        <w:t> </w:t>
      </w:r>
      <w:r>
        <w:rPr>
          <w:sz w:val="22"/>
        </w:rPr>
        <w:t>the</w:t>
      </w:r>
      <w:r>
        <w:rPr>
          <w:spacing w:val="-5"/>
          <w:sz w:val="22"/>
        </w:rPr>
        <w:t> </w:t>
      </w:r>
      <w:r>
        <w:rPr>
          <w:sz w:val="22"/>
        </w:rPr>
        <w:t>2018</w:t>
      </w:r>
      <w:r>
        <w:rPr>
          <w:spacing w:val="-5"/>
          <w:sz w:val="22"/>
        </w:rPr>
        <w:t> </w:t>
      </w:r>
      <w:r>
        <w:rPr>
          <w:sz w:val="22"/>
        </w:rPr>
        <w:t>Education</w:t>
      </w:r>
      <w:r>
        <w:rPr>
          <w:spacing w:val="-4"/>
          <w:sz w:val="22"/>
        </w:rPr>
        <w:t> </w:t>
      </w:r>
      <w:r>
        <w:rPr>
          <w:sz w:val="22"/>
        </w:rPr>
        <w:t>Performance </w:t>
      </w:r>
      <w:r>
        <w:rPr>
          <w:spacing w:val="-2"/>
          <w:sz w:val="22"/>
        </w:rPr>
        <w:t>Matrix.</w:t>
      </w:r>
    </w:p>
    <w:p>
      <w:pPr>
        <w:pStyle w:val="BodyText"/>
        <w:spacing w:before="5"/>
        <w:rPr>
          <w:sz w:val="16"/>
        </w:rPr>
      </w:pPr>
    </w:p>
    <w:p>
      <w:pPr>
        <w:pStyle w:val="ListParagraph"/>
        <w:numPr>
          <w:ilvl w:val="0"/>
          <w:numId w:val="44"/>
        </w:numPr>
        <w:tabs>
          <w:tab w:pos="550" w:val="left" w:leader="none"/>
        </w:tabs>
        <w:spacing w:line="273" w:lineRule="auto" w:before="1" w:after="0"/>
        <w:ind w:left="100" w:right="268" w:firstLine="0"/>
        <w:jc w:val="left"/>
        <w:rPr>
          <w:sz w:val="22"/>
        </w:rPr>
      </w:pPr>
      <w:r>
        <w:rPr>
          <w:sz w:val="22"/>
        </w:rPr>
        <w:t>Provide</w:t>
      </w:r>
      <w:r>
        <w:rPr>
          <w:spacing w:val="-4"/>
          <w:sz w:val="22"/>
        </w:rPr>
        <w:t> </w:t>
      </w:r>
      <w:r>
        <w:rPr>
          <w:sz w:val="22"/>
        </w:rPr>
        <w:t>a</w:t>
      </w:r>
      <w:r>
        <w:rPr>
          <w:spacing w:val="-2"/>
          <w:sz w:val="22"/>
        </w:rPr>
        <w:t> </w:t>
      </w:r>
      <w:r>
        <w:rPr>
          <w:sz w:val="22"/>
        </w:rPr>
        <w:t>recommendation</w:t>
      </w:r>
      <w:r>
        <w:rPr>
          <w:spacing w:val="-5"/>
          <w:sz w:val="22"/>
        </w:rPr>
        <w:t> </w:t>
      </w:r>
      <w:r>
        <w:rPr>
          <w:sz w:val="22"/>
        </w:rPr>
        <w:t>of</w:t>
      </w:r>
      <w:r>
        <w:rPr>
          <w:spacing w:val="-4"/>
          <w:sz w:val="22"/>
        </w:rPr>
        <w:t> </w:t>
      </w:r>
      <w:r>
        <w:rPr>
          <w:sz w:val="22"/>
        </w:rPr>
        <w:t>what</w:t>
      </w:r>
      <w:r>
        <w:rPr>
          <w:spacing w:val="-2"/>
          <w:sz w:val="22"/>
        </w:rPr>
        <w:t> </w:t>
      </w:r>
      <w:r>
        <w:rPr>
          <w:sz w:val="22"/>
        </w:rPr>
        <w:t>performance</w:t>
      </w:r>
      <w:r>
        <w:rPr>
          <w:spacing w:val="-6"/>
          <w:sz w:val="22"/>
        </w:rPr>
        <w:t> </w:t>
      </w:r>
      <w:r>
        <w:rPr>
          <w:sz w:val="22"/>
        </w:rPr>
        <w:t>payment</w:t>
      </w:r>
      <w:r>
        <w:rPr>
          <w:spacing w:val="-2"/>
          <w:sz w:val="22"/>
        </w:rPr>
        <w:t> </w:t>
      </w:r>
      <w:r>
        <w:rPr>
          <w:sz w:val="22"/>
        </w:rPr>
        <w:t>should</w:t>
      </w:r>
      <w:r>
        <w:rPr>
          <w:spacing w:val="-3"/>
          <w:sz w:val="22"/>
        </w:rPr>
        <w:t> </w:t>
      </w:r>
      <w:r>
        <w:rPr>
          <w:sz w:val="22"/>
        </w:rPr>
        <w:t>be</w:t>
      </w:r>
      <w:r>
        <w:rPr>
          <w:spacing w:val="-4"/>
          <w:sz w:val="22"/>
        </w:rPr>
        <w:t> </w:t>
      </w:r>
      <w:r>
        <w:rPr>
          <w:sz w:val="22"/>
        </w:rPr>
        <w:t>made</w:t>
      </w:r>
      <w:r>
        <w:rPr>
          <w:spacing w:val="-1"/>
          <w:sz w:val="22"/>
        </w:rPr>
        <w:t> </w:t>
      </w:r>
      <w:r>
        <w:rPr>
          <w:sz w:val="22"/>
        </w:rPr>
        <w:t>based</w:t>
      </w:r>
      <w:r>
        <w:rPr>
          <w:spacing w:val="-2"/>
          <w:sz w:val="22"/>
        </w:rPr>
        <w:t> </w:t>
      </w:r>
      <w:r>
        <w:rPr>
          <w:sz w:val="22"/>
        </w:rPr>
        <w:t>on</w:t>
      </w:r>
      <w:r>
        <w:rPr>
          <w:spacing w:val="-5"/>
          <w:sz w:val="22"/>
        </w:rPr>
        <w:t> </w:t>
      </w:r>
      <w:r>
        <w:rPr>
          <w:sz w:val="22"/>
        </w:rPr>
        <w:t>the</w:t>
      </w:r>
      <w:r>
        <w:rPr>
          <w:spacing w:val="-2"/>
          <w:sz w:val="22"/>
        </w:rPr>
        <w:t> </w:t>
      </w:r>
      <w:r>
        <w:rPr>
          <w:sz w:val="22"/>
        </w:rPr>
        <w:t>SIG’s </w:t>
      </w:r>
      <w:r>
        <w:rPr>
          <w:spacing w:val="-2"/>
          <w:sz w:val="22"/>
        </w:rPr>
        <w:t>performance.</w:t>
      </w:r>
    </w:p>
    <w:p>
      <w:pPr>
        <w:pStyle w:val="BodyText"/>
        <w:spacing w:before="8"/>
        <w:rPr>
          <w:sz w:val="16"/>
        </w:rPr>
      </w:pPr>
    </w:p>
    <w:p>
      <w:pPr>
        <w:pStyle w:val="ListParagraph"/>
        <w:numPr>
          <w:ilvl w:val="0"/>
          <w:numId w:val="44"/>
        </w:numPr>
        <w:tabs>
          <w:tab w:pos="575" w:val="left" w:leader="none"/>
          <w:tab w:pos="576" w:val="left" w:leader="none"/>
        </w:tabs>
        <w:spacing w:line="240" w:lineRule="auto" w:before="0" w:after="0"/>
        <w:ind w:left="575" w:right="0" w:hanging="476"/>
        <w:jc w:val="left"/>
        <w:rPr>
          <w:sz w:val="22"/>
        </w:rPr>
      </w:pPr>
      <w:r>
        <w:rPr>
          <w:sz w:val="22"/>
        </w:rPr>
        <w:t>Provide</w:t>
      </w:r>
      <w:r>
        <w:rPr>
          <w:spacing w:val="-4"/>
          <w:sz w:val="22"/>
        </w:rPr>
        <w:t> </w:t>
      </w:r>
      <w:r>
        <w:rPr>
          <w:sz w:val="22"/>
        </w:rPr>
        <w:t>advice</w:t>
      </w:r>
      <w:r>
        <w:rPr>
          <w:spacing w:val="-2"/>
          <w:sz w:val="22"/>
        </w:rPr>
        <w:t> </w:t>
      </w:r>
      <w:r>
        <w:rPr>
          <w:sz w:val="22"/>
        </w:rPr>
        <w:t>on</w:t>
      </w:r>
      <w:r>
        <w:rPr>
          <w:spacing w:val="-7"/>
          <w:sz w:val="22"/>
        </w:rPr>
        <w:t> </w:t>
      </w:r>
      <w:r>
        <w:rPr>
          <w:sz w:val="22"/>
        </w:rPr>
        <w:t>the</w:t>
      </w:r>
      <w:r>
        <w:rPr>
          <w:spacing w:val="-4"/>
          <w:sz w:val="22"/>
        </w:rPr>
        <w:t> </w:t>
      </w:r>
      <w:r>
        <w:rPr>
          <w:sz w:val="22"/>
        </w:rPr>
        <w:t>strengths</w:t>
      </w:r>
      <w:r>
        <w:rPr>
          <w:spacing w:val="-3"/>
          <w:sz w:val="22"/>
        </w:rPr>
        <w:t> </w:t>
      </w:r>
      <w:r>
        <w:rPr>
          <w:sz w:val="22"/>
        </w:rPr>
        <w:t>and</w:t>
      </w:r>
      <w:r>
        <w:rPr>
          <w:spacing w:val="-7"/>
          <w:sz w:val="22"/>
        </w:rPr>
        <w:t> </w:t>
      </w:r>
      <w:r>
        <w:rPr>
          <w:sz w:val="22"/>
        </w:rPr>
        <w:t>weaknesses</w:t>
      </w:r>
      <w:r>
        <w:rPr>
          <w:spacing w:val="-4"/>
          <w:sz w:val="22"/>
        </w:rPr>
        <w:t> </w:t>
      </w:r>
      <w:r>
        <w:rPr>
          <w:sz w:val="22"/>
        </w:rPr>
        <w:t>of</w:t>
      </w:r>
      <w:r>
        <w:rPr>
          <w:spacing w:val="-2"/>
          <w:sz w:val="22"/>
        </w:rPr>
        <w:t> </w:t>
      </w:r>
      <w:r>
        <w:rPr>
          <w:sz w:val="22"/>
        </w:rPr>
        <w:t>the</w:t>
      </w:r>
      <w:r>
        <w:rPr>
          <w:spacing w:val="-5"/>
          <w:sz w:val="22"/>
        </w:rPr>
        <w:t> </w:t>
      </w:r>
      <w:r>
        <w:rPr>
          <w:sz w:val="22"/>
        </w:rPr>
        <w:t>2018</w:t>
      </w:r>
      <w:r>
        <w:rPr>
          <w:spacing w:val="-3"/>
          <w:sz w:val="22"/>
        </w:rPr>
        <w:t> </w:t>
      </w:r>
      <w:r>
        <w:rPr>
          <w:sz w:val="22"/>
        </w:rPr>
        <w:t>performance</w:t>
      </w:r>
      <w:r>
        <w:rPr>
          <w:spacing w:val="-4"/>
          <w:sz w:val="22"/>
        </w:rPr>
        <w:t> </w:t>
      </w:r>
      <w:r>
        <w:rPr>
          <w:spacing w:val="-2"/>
          <w:sz w:val="22"/>
        </w:rPr>
        <w:t>indicators.</w:t>
      </w:r>
    </w:p>
    <w:p>
      <w:pPr>
        <w:pStyle w:val="BodyText"/>
        <w:spacing w:before="8"/>
        <w:rPr>
          <w:sz w:val="19"/>
        </w:rPr>
      </w:pPr>
    </w:p>
    <w:p>
      <w:pPr>
        <w:pStyle w:val="ListParagraph"/>
        <w:numPr>
          <w:ilvl w:val="0"/>
          <w:numId w:val="44"/>
        </w:numPr>
        <w:tabs>
          <w:tab w:pos="551" w:val="left" w:leader="none"/>
          <w:tab w:pos="552" w:val="left" w:leader="none"/>
        </w:tabs>
        <w:spacing w:line="276" w:lineRule="auto" w:before="0" w:after="0"/>
        <w:ind w:left="100" w:right="625" w:firstLine="0"/>
        <w:jc w:val="left"/>
        <w:rPr>
          <w:sz w:val="22"/>
        </w:rPr>
      </w:pPr>
      <w:r>
        <w:rPr>
          <w:sz w:val="22"/>
        </w:rPr>
        <w:t>Include</w:t>
      </w:r>
      <w:r>
        <w:rPr>
          <w:spacing w:val="-4"/>
          <w:sz w:val="22"/>
        </w:rPr>
        <w:t> </w:t>
      </w:r>
      <w:r>
        <w:rPr>
          <w:sz w:val="22"/>
        </w:rPr>
        <w:t>MEHRD</w:t>
      </w:r>
      <w:r>
        <w:rPr>
          <w:spacing w:val="-3"/>
          <w:sz w:val="22"/>
        </w:rPr>
        <w:t> </w:t>
      </w:r>
      <w:r>
        <w:rPr>
          <w:sz w:val="22"/>
        </w:rPr>
        <w:t>officers</w:t>
      </w:r>
      <w:r>
        <w:rPr>
          <w:spacing w:val="-2"/>
          <w:sz w:val="22"/>
        </w:rPr>
        <w:t> </w:t>
      </w:r>
      <w:r>
        <w:rPr>
          <w:sz w:val="22"/>
        </w:rPr>
        <w:t>working</w:t>
      </w:r>
      <w:r>
        <w:rPr>
          <w:spacing w:val="-5"/>
          <w:sz w:val="22"/>
        </w:rPr>
        <w:t> </w:t>
      </w:r>
      <w:r>
        <w:rPr>
          <w:sz w:val="22"/>
        </w:rPr>
        <w:t>on</w:t>
      </w:r>
      <w:r>
        <w:rPr>
          <w:spacing w:val="-3"/>
          <w:sz w:val="22"/>
        </w:rPr>
        <w:t> </w:t>
      </w:r>
      <w:r>
        <w:rPr>
          <w:sz w:val="22"/>
        </w:rPr>
        <w:t>M&amp;E</w:t>
      </w:r>
      <w:r>
        <w:rPr>
          <w:spacing w:val="-2"/>
          <w:sz w:val="22"/>
        </w:rPr>
        <w:t> </w:t>
      </w:r>
      <w:r>
        <w:rPr>
          <w:sz w:val="22"/>
        </w:rPr>
        <w:t>in</w:t>
      </w:r>
      <w:r>
        <w:rPr>
          <w:spacing w:val="-2"/>
          <w:sz w:val="22"/>
        </w:rPr>
        <w:t> </w:t>
      </w:r>
      <w:r>
        <w:rPr>
          <w:sz w:val="22"/>
        </w:rPr>
        <w:t>as</w:t>
      </w:r>
      <w:r>
        <w:rPr>
          <w:spacing w:val="-4"/>
          <w:sz w:val="22"/>
        </w:rPr>
        <w:t> </w:t>
      </w:r>
      <w:r>
        <w:rPr>
          <w:sz w:val="22"/>
        </w:rPr>
        <w:t>much</w:t>
      </w:r>
      <w:r>
        <w:rPr>
          <w:spacing w:val="-2"/>
          <w:sz w:val="22"/>
        </w:rPr>
        <w:t> </w:t>
      </w:r>
      <w:r>
        <w:rPr>
          <w:sz w:val="22"/>
        </w:rPr>
        <w:t>of</w:t>
      </w:r>
      <w:r>
        <w:rPr>
          <w:spacing w:val="-2"/>
          <w:sz w:val="22"/>
        </w:rPr>
        <w:t> </w:t>
      </w:r>
      <w:r>
        <w:rPr>
          <w:sz w:val="22"/>
        </w:rPr>
        <w:t>the</w:t>
      </w:r>
      <w:r>
        <w:rPr>
          <w:spacing w:val="-1"/>
          <w:sz w:val="22"/>
        </w:rPr>
        <w:t> </w:t>
      </w:r>
      <w:r>
        <w:rPr>
          <w:sz w:val="22"/>
        </w:rPr>
        <w:t>in-country</w:t>
      </w:r>
      <w:r>
        <w:rPr>
          <w:spacing w:val="-4"/>
          <w:sz w:val="22"/>
        </w:rPr>
        <w:t> </w:t>
      </w:r>
      <w:r>
        <w:rPr>
          <w:sz w:val="22"/>
        </w:rPr>
        <w:t>visit</w:t>
      </w:r>
      <w:r>
        <w:rPr>
          <w:spacing w:val="-4"/>
          <w:sz w:val="22"/>
        </w:rPr>
        <w:t> </w:t>
      </w:r>
      <w:r>
        <w:rPr>
          <w:sz w:val="22"/>
        </w:rPr>
        <w:t>as</w:t>
      </w:r>
      <w:r>
        <w:rPr>
          <w:spacing w:val="-2"/>
          <w:sz w:val="22"/>
        </w:rPr>
        <w:t> </w:t>
      </w:r>
      <w:r>
        <w:rPr>
          <w:sz w:val="22"/>
        </w:rPr>
        <w:t>possible</w:t>
      </w:r>
      <w:r>
        <w:rPr>
          <w:spacing w:val="-5"/>
          <w:sz w:val="22"/>
        </w:rPr>
        <w:t> </w:t>
      </w:r>
      <w:r>
        <w:rPr>
          <w:sz w:val="22"/>
        </w:rPr>
        <w:t>as</w:t>
      </w:r>
      <w:r>
        <w:rPr>
          <w:spacing w:val="-2"/>
          <w:sz w:val="22"/>
        </w:rPr>
        <w:t> </w:t>
      </w:r>
      <w:r>
        <w:rPr>
          <w:sz w:val="22"/>
        </w:rPr>
        <w:t>a learning experience while maintaining the assessment’s independence.</w:t>
      </w:r>
    </w:p>
    <w:p>
      <w:pPr>
        <w:pStyle w:val="BodyText"/>
        <w:spacing w:before="6"/>
        <w:rPr>
          <w:sz w:val="16"/>
        </w:rPr>
      </w:pPr>
    </w:p>
    <w:p>
      <w:pPr>
        <w:pStyle w:val="ListParagraph"/>
        <w:numPr>
          <w:ilvl w:val="0"/>
          <w:numId w:val="44"/>
        </w:numPr>
        <w:tabs>
          <w:tab w:pos="591" w:val="left" w:leader="none"/>
          <w:tab w:pos="592" w:val="left" w:leader="none"/>
        </w:tabs>
        <w:spacing w:line="276" w:lineRule="auto" w:before="0" w:after="0"/>
        <w:ind w:left="100" w:right="706" w:firstLine="0"/>
        <w:jc w:val="left"/>
        <w:rPr>
          <w:sz w:val="22"/>
        </w:rPr>
      </w:pPr>
      <w:r>
        <w:rPr>
          <w:sz w:val="22"/>
        </w:rPr>
        <w:t>Provide</w:t>
      </w:r>
      <w:r>
        <w:rPr>
          <w:spacing w:val="-4"/>
          <w:sz w:val="22"/>
        </w:rPr>
        <w:t> </w:t>
      </w:r>
      <w:r>
        <w:rPr>
          <w:sz w:val="22"/>
        </w:rPr>
        <w:t>advice</w:t>
      </w:r>
      <w:r>
        <w:rPr>
          <w:spacing w:val="-4"/>
          <w:sz w:val="22"/>
        </w:rPr>
        <w:t> </w:t>
      </w:r>
      <w:r>
        <w:rPr>
          <w:sz w:val="22"/>
        </w:rPr>
        <w:t>on</w:t>
      </w:r>
      <w:r>
        <w:rPr>
          <w:spacing w:val="-3"/>
          <w:sz w:val="22"/>
        </w:rPr>
        <w:t> </w:t>
      </w:r>
      <w:r>
        <w:rPr>
          <w:sz w:val="22"/>
        </w:rPr>
        <w:t>indicators</w:t>
      </w:r>
      <w:r>
        <w:rPr>
          <w:spacing w:val="-5"/>
          <w:sz w:val="22"/>
        </w:rPr>
        <w:t> </w:t>
      </w:r>
      <w:r>
        <w:rPr>
          <w:sz w:val="22"/>
        </w:rPr>
        <w:t>for</w:t>
      </w:r>
      <w:r>
        <w:rPr>
          <w:spacing w:val="-5"/>
          <w:sz w:val="22"/>
        </w:rPr>
        <w:t> </w:t>
      </w:r>
      <w:r>
        <w:rPr>
          <w:sz w:val="22"/>
        </w:rPr>
        <w:t>2019</w:t>
      </w:r>
      <w:r>
        <w:rPr>
          <w:spacing w:val="-2"/>
          <w:sz w:val="22"/>
        </w:rPr>
        <w:t> </w:t>
      </w:r>
      <w:r>
        <w:rPr>
          <w:sz w:val="22"/>
        </w:rPr>
        <w:t>informed</w:t>
      </w:r>
      <w:r>
        <w:rPr>
          <w:spacing w:val="-2"/>
          <w:sz w:val="22"/>
        </w:rPr>
        <w:t> </w:t>
      </w:r>
      <w:r>
        <w:rPr>
          <w:sz w:val="22"/>
        </w:rPr>
        <w:t>by:</w:t>
      </w:r>
      <w:r>
        <w:rPr>
          <w:spacing w:val="-2"/>
          <w:sz w:val="22"/>
        </w:rPr>
        <w:t> </w:t>
      </w:r>
      <w:r>
        <w:rPr>
          <w:sz w:val="22"/>
        </w:rPr>
        <w:t>priority</w:t>
      </w:r>
      <w:r>
        <w:rPr>
          <w:spacing w:val="-2"/>
          <w:sz w:val="22"/>
        </w:rPr>
        <w:t> </w:t>
      </w:r>
      <w:r>
        <w:rPr>
          <w:sz w:val="22"/>
        </w:rPr>
        <w:t>policy</w:t>
      </w:r>
      <w:r>
        <w:rPr>
          <w:spacing w:val="-2"/>
          <w:sz w:val="22"/>
        </w:rPr>
        <w:t> </w:t>
      </w:r>
      <w:r>
        <w:rPr>
          <w:sz w:val="22"/>
        </w:rPr>
        <w:t>reforms;</w:t>
      </w:r>
      <w:r>
        <w:rPr>
          <w:spacing w:val="-2"/>
          <w:sz w:val="22"/>
        </w:rPr>
        <w:t> </w:t>
      </w:r>
      <w:r>
        <w:rPr>
          <w:sz w:val="22"/>
        </w:rPr>
        <w:t>the</w:t>
      </w:r>
      <w:r>
        <w:rPr>
          <w:spacing w:val="-1"/>
          <w:sz w:val="22"/>
        </w:rPr>
        <w:t> </w:t>
      </w:r>
      <w:r>
        <w:rPr>
          <w:sz w:val="22"/>
        </w:rPr>
        <w:t>Education Sector</w:t>
      </w:r>
      <w:r>
        <w:rPr>
          <w:spacing w:val="-5"/>
          <w:sz w:val="22"/>
        </w:rPr>
        <w:t> </w:t>
      </w:r>
      <w:r>
        <w:rPr>
          <w:sz w:val="22"/>
        </w:rPr>
        <w:t>Program</w:t>
      </w:r>
      <w:r>
        <w:rPr>
          <w:spacing w:val="-3"/>
          <w:sz w:val="22"/>
        </w:rPr>
        <w:t> </w:t>
      </w:r>
      <w:r>
        <w:rPr>
          <w:sz w:val="22"/>
        </w:rPr>
        <w:t>2</w:t>
      </w:r>
      <w:r>
        <w:rPr>
          <w:spacing w:val="-2"/>
          <w:sz w:val="22"/>
        </w:rPr>
        <w:t> </w:t>
      </w:r>
      <w:r>
        <w:rPr>
          <w:sz w:val="22"/>
        </w:rPr>
        <w:t>(ESP2)</w:t>
      </w:r>
      <w:r>
        <w:rPr>
          <w:spacing w:val="-2"/>
          <w:sz w:val="22"/>
        </w:rPr>
        <w:t> </w:t>
      </w:r>
      <w:r>
        <w:rPr>
          <w:sz w:val="22"/>
        </w:rPr>
        <w:t>design,</w:t>
      </w:r>
      <w:r>
        <w:rPr>
          <w:spacing w:val="-2"/>
          <w:sz w:val="22"/>
        </w:rPr>
        <w:t> </w:t>
      </w:r>
      <w:r>
        <w:rPr>
          <w:sz w:val="22"/>
        </w:rPr>
        <w:t>the</w:t>
      </w:r>
      <w:r>
        <w:rPr>
          <w:spacing w:val="-1"/>
          <w:sz w:val="22"/>
        </w:rPr>
        <w:t> </w:t>
      </w:r>
      <w:r>
        <w:rPr>
          <w:sz w:val="22"/>
        </w:rPr>
        <w:t>ESP2</w:t>
      </w:r>
      <w:r>
        <w:rPr>
          <w:spacing w:val="-4"/>
          <w:sz w:val="22"/>
        </w:rPr>
        <w:t> </w:t>
      </w:r>
      <w:r>
        <w:rPr>
          <w:sz w:val="22"/>
        </w:rPr>
        <w:t>Mid-term</w:t>
      </w:r>
      <w:r>
        <w:rPr>
          <w:spacing w:val="-3"/>
          <w:sz w:val="22"/>
        </w:rPr>
        <w:t> </w:t>
      </w:r>
      <w:r>
        <w:rPr>
          <w:sz w:val="22"/>
        </w:rPr>
        <w:t>Review;</w:t>
      </w:r>
      <w:r>
        <w:rPr>
          <w:spacing w:val="-2"/>
          <w:sz w:val="22"/>
        </w:rPr>
        <w:t> </w:t>
      </w:r>
      <w:r>
        <w:rPr>
          <w:sz w:val="22"/>
        </w:rPr>
        <w:t>and</w:t>
      </w:r>
      <w:r>
        <w:rPr>
          <w:spacing w:val="-3"/>
          <w:sz w:val="22"/>
        </w:rPr>
        <w:t> </w:t>
      </w:r>
      <w:r>
        <w:rPr>
          <w:sz w:val="22"/>
        </w:rPr>
        <w:t>the</w:t>
      </w:r>
      <w:r>
        <w:rPr>
          <w:spacing w:val="-4"/>
          <w:sz w:val="22"/>
        </w:rPr>
        <w:t> </w:t>
      </w:r>
      <w:r>
        <w:rPr>
          <w:sz w:val="22"/>
        </w:rPr>
        <w:t>MEHRD</w:t>
      </w:r>
      <w:r>
        <w:rPr>
          <w:spacing w:val="-1"/>
          <w:sz w:val="22"/>
        </w:rPr>
        <w:t> </w:t>
      </w:r>
      <w:r>
        <w:rPr>
          <w:sz w:val="22"/>
        </w:rPr>
        <w:t>M&amp;E</w:t>
      </w:r>
      <w:r>
        <w:rPr>
          <w:spacing w:val="-4"/>
          <w:sz w:val="22"/>
        </w:rPr>
        <w:t> </w:t>
      </w:r>
      <w:r>
        <w:rPr>
          <w:sz w:val="22"/>
        </w:rPr>
        <w:t>framework.</w:t>
      </w:r>
    </w:p>
    <w:p>
      <w:pPr>
        <w:spacing w:after="0" w:line="276" w:lineRule="auto"/>
        <w:jc w:val="left"/>
        <w:rPr>
          <w:sz w:val="22"/>
        </w:rPr>
        <w:sectPr>
          <w:headerReference w:type="default" r:id="rId27"/>
          <w:footerReference w:type="default" r:id="rId28"/>
          <w:pgSz w:w="11900" w:h="16850"/>
          <w:pgMar w:header="867" w:footer="830" w:top="1940" w:bottom="1020" w:left="1340" w:right="1340"/>
        </w:sectPr>
      </w:pPr>
    </w:p>
    <w:p>
      <w:pPr>
        <w:pStyle w:val="BodyText"/>
        <w:rPr>
          <w:sz w:val="16"/>
        </w:rPr>
      </w:pPr>
    </w:p>
    <w:p>
      <w:pPr>
        <w:pStyle w:val="ListParagraph"/>
        <w:numPr>
          <w:ilvl w:val="0"/>
          <w:numId w:val="45"/>
        </w:numPr>
        <w:tabs>
          <w:tab w:pos="864" w:val="left" w:leader="none"/>
          <w:tab w:pos="865" w:val="left" w:leader="none"/>
        </w:tabs>
        <w:spacing w:line="240" w:lineRule="auto" w:before="56" w:after="0"/>
        <w:ind w:left="864" w:right="0" w:hanging="765"/>
        <w:jc w:val="left"/>
        <w:rPr>
          <w:sz w:val="22"/>
        </w:rPr>
      </w:pPr>
      <w:r>
        <w:rPr>
          <w:sz w:val="22"/>
        </w:rPr>
        <w:t>REPORTING</w:t>
      </w:r>
      <w:r>
        <w:rPr>
          <w:spacing w:val="-10"/>
          <w:sz w:val="22"/>
        </w:rPr>
        <w:t> </w:t>
      </w:r>
      <w:r>
        <w:rPr>
          <w:sz w:val="22"/>
        </w:rPr>
        <w:t>AND</w:t>
      </w:r>
      <w:r>
        <w:rPr>
          <w:spacing w:val="-8"/>
          <w:sz w:val="22"/>
        </w:rPr>
        <w:t> </w:t>
      </w:r>
      <w:r>
        <w:rPr>
          <w:sz w:val="22"/>
        </w:rPr>
        <w:t>IMPLEMENTATION</w:t>
      </w:r>
      <w:r>
        <w:rPr>
          <w:spacing w:val="-12"/>
          <w:sz w:val="22"/>
        </w:rPr>
        <w:t> </w:t>
      </w:r>
      <w:r>
        <w:rPr>
          <w:spacing w:val="-2"/>
          <w:sz w:val="22"/>
        </w:rPr>
        <w:t>ARRANGEMENTS</w:t>
      </w:r>
    </w:p>
    <w:p>
      <w:pPr>
        <w:pStyle w:val="BodyText"/>
        <w:spacing w:before="8"/>
        <w:rPr>
          <w:sz w:val="19"/>
        </w:rPr>
      </w:pPr>
    </w:p>
    <w:p>
      <w:pPr>
        <w:pStyle w:val="BodyText"/>
        <w:spacing w:before="1"/>
        <w:ind w:left="100"/>
      </w:pPr>
      <w:r>
        <w:rPr/>
        <w:t>The</w:t>
      </w:r>
      <w:r>
        <w:rPr>
          <w:spacing w:val="-4"/>
        </w:rPr>
        <w:t> </w:t>
      </w:r>
      <w:r>
        <w:rPr/>
        <w:t>Assessor</w:t>
      </w:r>
      <w:r>
        <w:rPr>
          <w:spacing w:val="-7"/>
        </w:rPr>
        <w:t> </w:t>
      </w:r>
      <w:r>
        <w:rPr/>
        <w:t>will</w:t>
      </w:r>
      <w:r>
        <w:rPr>
          <w:spacing w:val="-4"/>
        </w:rPr>
        <w:t> </w:t>
      </w:r>
      <w:r>
        <w:rPr/>
        <w:t>implement</w:t>
      </w:r>
      <w:r>
        <w:rPr>
          <w:spacing w:val="-4"/>
        </w:rPr>
        <w:t> </w:t>
      </w:r>
      <w:r>
        <w:rPr/>
        <w:t>the</w:t>
      </w:r>
      <w:r>
        <w:rPr>
          <w:spacing w:val="-4"/>
        </w:rPr>
        <w:t> </w:t>
      </w:r>
      <w:r>
        <w:rPr/>
        <w:t>assessment</w:t>
      </w:r>
      <w:r>
        <w:rPr>
          <w:spacing w:val="-4"/>
        </w:rPr>
        <w:t> </w:t>
      </w:r>
      <w:r>
        <w:rPr/>
        <w:t>as</w:t>
      </w:r>
      <w:r>
        <w:rPr>
          <w:spacing w:val="-3"/>
        </w:rPr>
        <w:t> </w:t>
      </w:r>
      <w:r>
        <w:rPr>
          <w:spacing w:val="-2"/>
        </w:rPr>
        <w:t>follows:</w:t>
      </w:r>
    </w:p>
    <w:p>
      <w:pPr>
        <w:pStyle w:val="BodyText"/>
        <w:spacing w:before="8"/>
        <w:rPr>
          <w:sz w:val="19"/>
        </w:rPr>
      </w:pPr>
    </w:p>
    <w:p>
      <w:pPr>
        <w:pStyle w:val="ListParagraph"/>
        <w:numPr>
          <w:ilvl w:val="1"/>
          <w:numId w:val="45"/>
        </w:numPr>
        <w:tabs>
          <w:tab w:pos="820" w:val="left" w:leader="none"/>
          <w:tab w:pos="821" w:val="left" w:leader="none"/>
        </w:tabs>
        <w:spacing w:line="276" w:lineRule="auto" w:before="0" w:after="0"/>
        <w:ind w:left="100" w:right="138" w:firstLine="50"/>
        <w:jc w:val="left"/>
        <w:rPr>
          <w:sz w:val="22"/>
        </w:rPr>
      </w:pPr>
      <w:r>
        <w:rPr>
          <w:sz w:val="22"/>
        </w:rPr>
        <w:t>Document</w:t>
      </w:r>
      <w:r>
        <w:rPr>
          <w:spacing w:val="-2"/>
          <w:sz w:val="22"/>
        </w:rPr>
        <w:t> </w:t>
      </w:r>
      <w:r>
        <w:rPr>
          <w:sz w:val="22"/>
        </w:rPr>
        <w:t>review</w:t>
      </w:r>
      <w:r>
        <w:rPr>
          <w:spacing w:val="-4"/>
          <w:sz w:val="22"/>
        </w:rPr>
        <w:t> </w:t>
      </w:r>
      <w:r>
        <w:rPr>
          <w:sz w:val="22"/>
        </w:rPr>
        <w:t>of</w:t>
      </w:r>
      <w:r>
        <w:rPr>
          <w:spacing w:val="-2"/>
          <w:sz w:val="22"/>
        </w:rPr>
        <w:t> </w:t>
      </w:r>
      <w:r>
        <w:rPr>
          <w:sz w:val="22"/>
        </w:rPr>
        <w:t>data</w:t>
      </w:r>
      <w:r>
        <w:rPr>
          <w:spacing w:val="-5"/>
          <w:sz w:val="22"/>
        </w:rPr>
        <w:t> </w:t>
      </w:r>
      <w:r>
        <w:rPr>
          <w:sz w:val="22"/>
        </w:rPr>
        <w:t>sources</w:t>
      </w:r>
      <w:r>
        <w:rPr>
          <w:spacing w:val="-4"/>
          <w:sz w:val="22"/>
        </w:rPr>
        <w:t> </w:t>
      </w:r>
      <w:r>
        <w:rPr>
          <w:sz w:val="22"/>
        </w:rPr>
        <w:t>as</w:t>
      </w:r>
      <w:r>
        <w:rPr>
          <w:spacing w:val="-2"/>
          <w:sz w:val="22"/>
        </w:rPr>
        <w:t> </w:t>
      </w:r>
      <w:r>
        <w:rPr>
          <w:sz w:val="22"/>
        </w:rPr>
        <w:t>included</w:t>
      </w:r>
      <w:r>
        <w:rPr>
          <w:spacing w:val="-2"/>
          <w:sz w:val="22"/>
        </w:rPr>
        <w:t> </w:t>
      </w:r>
      <w:r>
        <w:rPr>
          <w:sz w:val="22"/>
        </w:rPr>
        <w:t>in</w:t>
      </w:r>
      <w:r>
        <w:rPr>
          <w:spacing w:val="-5"/>
          <w:sz w:val="22"/>
        </w:rPr>
        <w:t> </w:t>
      </w:r>
      <w:r>
        <w:rPr>
          <w:sz w:val="22"/>
        </w:rPr>
        <w:t>the</w:t>
      </w:r>
      <w:r>
        <w:rPr>
          <w:spacing w:val="-4"/>
          <w:sz w:val="22"/>
        </w:rPr>
        <w:t> </w:t>
      </w:r>
      <w:r>
        <w:rPr>
          <w:sz w:val="22"/>
        </w:rPr>
        <w:t>2018</w:t>
      </w:r>
      <w:r>
        <w:rPr>
          <w:spacing w:val="-2"/>
          <w:sz w:val="22"/>
        </w:rPr>
        <w:t> </w:t>
      </w:r>
      <w:r>
        <w:rPr>
          <w:sz w:val="22"/>
        </w:rPr>
        <w:t>Education</w:t>
      </w:r>
      <w:r>
        <w:rPr>
          <w:spacing w:val="-5"/>
          <w:sz w:val="22"/>
        </w:rPr>
        <w:t> </w:t>
      </w:r>
      <w:r>
        <w:rPr>
          <w:sz w:val="22"/>
        </w:rPr>
        <w:t>Performance</w:t>
      </w:r>
      <w:r>
        <w:rPr>
          <w:spacing w:val="-1"/>
          <w:sz w:val="22"/>
        </w:rPr>
        <w:t> </w:t>
      </w:r>
      <w:r>
        <w:rPr>
          <w:sz w:val="22"/>
        </w:rPr>
        <w:t>Matrix</w:t>
      </w:r>
      <w:r>
        <w:rPr>
          <w:spacing w:val="-2"/>
          <w:sz w:val="22"/>
        </w:rPr>
        <w:t> </w:t>
      </w:r>
      <w:r>
        <w:rPr>
          <w:sz w:val="22"/>
        </w:rPr>
        <w:t>(up to 4 days, indicatively 20-23 May 2019).</w:t>
      </w:r>
    </w:p>
    <w:p>
      <w:pPr>
        <w:pStyle w:val="BodyText"/>
        <w:spacing w:before="5"/>
        <w:rPr>
          <w:sz w:val="16"/>
        </w:rPr>
      </w:pPr>
    </w:p>
    <w:p>
      <w:pPr>
        <w:pStyle w:val="ListParagraph"/>
        <w:numPr>
          <w:ilvl w:val="1"/>
          <w:numId w:val="45"/>
        </w:numPr>
        <w:tabs>
          <w:tab w:pos="820" w:val="left" w:leader="none"/>
          <w:tab w:pos="821" w:val="left" w:leader="none"/>
        </w:tabs>
        <w:spacing w:line="276" w:lineRule="auto" w:before="0" w:after="0"/>
        <w:ind w:left="100" w:right="543" w:firstLine="50"/>
        <w:jc w:val="left"/>
        <w:rPr>
          <w:sz w:val="22"/>
        </w:rPr>
      </w:pPr>
      <w:r>
        <w:rPr>
          <w:sz w:val="22"/>
        </w:rPr>
        <w:t>In-country visit (indicatively from 3 to 12 June 2019) to conduct consultations with key stakeholders</w:t>
      </w:r>
      <w:r>
        <w:rPr>
          <w:spacing w:val="-3"/>
          <w:sz w:val="22"/>
        </w:rPr>
        <w:t> </w:t>
      </w:r>
      <w:r>
        <w:rPr>
          <w:sz w:val="22"/>
        </w:rPr>
        <w:t>including</w:t>
      </w:r>
      <w:r>
        <w:rPr>
          <w:spacing w:val="-4"/>
          <w:sz w:val="22"/>
        </w:rPr>
        <w:t> </w:t>
      </w:r>
      <w:r>
        <w:rPr>
          <w:sz w:val="22"/>
        </w:rPr>
        <w:t>the</w:t>
      </w:r>
      <w:r>
        <w:rPr>
          <w:spacing w:val="-7"/>
          <w:sz w:val="22"/>
        </w:rPr>
        <w:t> </w:t>
      </w:r>
      <w:r>
        <w:rPr>
          <w:sz w:val="22"/>
        </w:rPr>
        <w:t>MEHRD</w:t>
      </w:r>
      <w:r>
        <w:rPr>
          <w:spacing w:val="-2"/>
          <w:sz w:val="22"/>
        </w:rPr>
        <w:t> </w:t>
      </w:r>
      <w:r>
        <w:rPr>
          <w:sz w:val="22"/>
        </w:rPr>
        <w:t>Senior</w:t>
      </w:r>
      <w:r>
        <w:rPr>
          <w:spacing w:val="-3"/>
          <w:sz w:val="22"/>
        </w:rPr>
        <w:t> </w:t>
      </w:r>
      <w:r>
        <w:rPr>
          <w:sz w:val="22"/>
        </w:rPr>
        <w:t>Management Team,</w:t>
      </w:r>
      <w:r>
        <w:rPr>
          <w:spacing w:val="-5"/>
          <w:sz w:val="22"/>
        </w:rPr>
        <w:t> </w:t>
      </w:r>
      <w:r>
        <w:rPr>
          <w:sz w:val="22"/>
        </w:rPr>
        <w:t>key</w:t>
      </w:r>
      <w:r>
        <w:rPr>
          <w:spacing w:val="-3"/>
          <w:sz w:val="22"/>
        </w:rPr>
        <w:t> </w:t>
      </w:r>
      <w:r>
        <w:rPr>
          <w:sz w:val="22"/>
        </w:rPr>
        <w:t>MEHRD</w:t>
      </w:r>
      <w:r>
        <w:rPr>
          <w:spacing w:val="-5"/>
          <w:sz w:val="22"/>
        </w:rPr>
        <w:t> </w:t>
      </w:r>
      <w:r>
        <w:rPr>
          <w:sz w:val="22"/>
        </w:rPr>
        <w:t>divisional</w:t>
      </w:r>
      <w:r>
        <w:rPr>
          <w:spacing w:val="-3"/>
          <w:sz w:val="22"/>
        </w:rPr>
        <w:t> </w:t>
      </w:r>
      <w:r>
        <w:rPr>
          <w:sz w:val="22"/>
        </w:rPr>
        <w:t>heads,</w:t>
      </w:r>
      <w:r>
        <w:rPr>
          <w:spacing w:val="-6"/>
          <w:sz w:val="22"/>
        </w:rPr>
        <w:t> </w:t>
      </w:r>
      <w:r>
        <w:rPr>
          <w:sz w:val="22"/>
        </w:rPr>
        <w:t>and Donor Partners – Australia and New Zealand (up to 12 working days + up to 4 days travel):</w:t>
      </w:r>
    </w:p>
    <w:p>
      <w:pPr>
        <w:pStyle w:val="BodyText"/>
        <w:spacing w:before="5"/>
        <w:rPr>
          <w:sz w:val="16"/>
        </w:rPr>
      </w:pPr>
    </w:p>
    <w:p>
      <w:pPr>
        <w:pStyle w:val="ListParagraph"/>
        <w:numPr>
          <w:ilvl w:val="0"/>
          <w:numId w:val="46"/>
        </w:numPr>
        <w:tabs>
          <w:tab w:pos="820" w:val="left" w:leader="none"/>
          <w:tab w:pos="821" w:val="left" w:leader="none"/>
        </w:tabs>
        <w:spacing w:line="240" w:lineRule="auto" w:before="0" w:after="0"/>
        <w:ind w:left="820" w:right="0" w:hanging="671"/>
        <w:jc w:val="left"/>
        <w:rPr>
          <w:sz w:val="22"/>
        </w:rPr>
      </w:pPr>
      <w:r>
        <w:rPr>
          <w:sz w:val="22"/>
        </w:rPr>
        <w:t>Data</w:t>
      </w:r>
      <w:r>
        <w:rPr>
          <w:spacing w:val="-8"/>
          <w:sz w:val="22"/>
        </w:rPr>
        <w:t> </w:t>
      </w:r>
      <w:r>
        <w:rPr>
          <w:sz w:val="22"/>
        </w:rPr>
        <w:t>collection,</w:t>
      </w:r>
      <w:r>
        <w:rPr>
          <w:spacing w:val="-5"/>
          <w:sz w:val="22"/>
        </w:rPr>
        <w:t> </w:t>
      </w:r>
      <w:r>
        <w:rPr>
          <w:sz w:val="22"/>
        </w:rPr>
        <w:t>analysis,</w:t>
      </w:r>
      <w:r>
        <w:rPr>
          <w:spacing w:val="-6"/>
          <w:sz w:val="22"/>
        </w:rPr>
        <w:t> </w:t>
      </w:r>
      <w:r>
        <w:rPr>
          <w:sz w:val="22"/>
        </w:rPr>
        <w:t>consultations,</w:t>
      </w:r>
      <w:r>
        <w:rPr>
          <w:spacing w:val="-5"/>
          <w:sz w:val="22"/>
        </w:rPr>
        <w:t> </w:t>
      </w:r>
      <w:r>
        <w:rPr>
          <w:spacing w:val="-2"/>
          <w:sz w:val="22"/>
        </w:rPr>
        <w:t>drafting.</w:t>
      </w:r>
    </w:p>
    <w:p>
      <w:pPr>
        <w:pStyle w:val="BodyText"/>
        <w:spacing w:before="8"/>
        <w:rPr>
          <w:sz w:val="19"/>
        </w:rPr>
      </w:pPr>
    </w:p>
    <w:p>
      <w:pPr>
        <w:pStyle w:val="ListParagraph"/>
        <w:numPr>
          <w:ilvl w:val="0"/>
          <w:numId w:val="46"/>
        </w:numPr>
        <w:tabs>
          <w:tab w:pos="820" w:val="left" w:leader="none"/>
          <w:tab w:pos="821" w:val="left" w:leader="none"/>
        </w:tabs>
        <w:spacing w:line="276" w:lineRule="auto" w:before="0" w:after="0"/>
        <w:ind w:left="100" w:right="766" w:firstLine="0"/>
        <w:jc w:val="left"/>
        <w:rPr>
          <w:sz w:val="22"/>
        </w:rPr>
      </w:pPr>
      <w:r>
        <w:rPr>
          <w:sz w:val="22"/>
        </w:rPr>
        <w:t>Separate</w:t>
      </w:r>
      <w:r>
        <w:rPr>
          <w:spacing w:val="-3"/>
          <w:sz w:val="22"/>
        </w:rPr>
        <w:t> </w:t>
      </w:r>
      <w:r>
        <w:rPr>
          <w:sz w:val="22"/>
        </w:rPr>
        <w:t>briefings</w:t>
      </w:r>
      <w:r>
        <w:rPr>
          <w:spacing w:val="-3"/>
          <w:sz w:val="22"/>
        </w:rPr>
        <w:t> </w:t>
      </w:r>
      <w:r>
        <w:rPr>
          <w:sz w:val="22"/>
        </w:rPr>
        <w:t>to</w:t>
      </w:r>
      <w:r>
        <w:rPr>
          <w:spacing w:val="-2"/>
          <w:sz w:val="22"/>
        </w:rPr>
        <w:t> </w:t>
      </w:r>
      <w:r>
        <w:rPr>
          <w:sz w:val="22"/>
        </w:rPr>
        <w:t>the</w:t>
      </w:r>
      <w:r>
        <w:rPr>
          <w:spacing w:val="-5"/>
          <w:sz w:val="22"/>
        </w:rPr>
        <w:t> </w:t>
      </w:r>
      <w:r>
        <w:rPr>
          <w:sz w:val="22"/>
        </w:rPr>
        <w:t>MEHRD</w:t>
      </w:r>
      <w:r>
        <w:rPr>
          <w:spacing w:val="-3"/>
          <w:sz w:val="22"/>
        </w:rPr>
        <w:t> </w:t>
      </w:r>
      <w:r>
        <w:rPr>
          <w:sz w:val="22"/>
        </w:rPr>
        <w:t>Senior</w:t>
      </w:r>
      <w:r>
        <w:rPr>
          <w:spacing w:val="-5"/>
          <w:sz w:val="22"/>
        </w:rPr>
        <w:t> </w:t>
      </w:r>
      <w:r>
        <w:rPr>
          <w:sz w:val="22"/>
        </w:rPr>
        <w:t>Management</w:t>
      </w:r>
      <w:r>
        <w:rPr>
          <w:spacing w:val="-7"/>
          <w:sz w:val="22"/>
        </w:rPr>
        <w:t> </w:t>
      </w:r>
      <w:r>
        <w:rPr>
          <w:sz w:val="22"/>
        </w:rPr>
        <w:t>Team</w:t>
      </w:r>
      <w:r>
        <w:rPr>
          <w:spacing w:val="-2"/>
          <w:sz w:val="22"/>
        </w:rPr>
        <w:t> </w:t>
      </w:r>
      <w:r>
        <w:rPr>
          <w:sz w:val="22"/>
        </w:rPr>
        <w:t>and</w:t>
      </w:r>
      <w:r>
        <w:rPr>
          <w:spacing w:val="-4"/>
          <w:sz w:val="22"/>
        </w:rPr>
        <w:t> </w:t>
      </w:r>
      <w:r>
        <w:rPr>
          <w:sz w:val="22"/>
        </w:rPr>
        <w:t>DFAT</w:t>
      </w:r>
      <w:r>
        <w:rPr>
          <w:spacing w:val="-5"/>
          <w:sz w:val="22"/>
        </w:rPr>
        <w:t> </w:t>
      </w:r>
      <w:r>
        <w:rPr>
          <w:sz w:val="22"/>
        </w:rPr>
        <w:t>on</w:t>
      </w:r>
      <w:r>
        <w:rPr>
          <w:spacing w:val="-4"/>
          <w:sz w:val="22"/>
        </w:rPr>
        <w:t> </w:t>
      </w:r>
      <w:r>
        <w:rPr>
          <w:sz w:val="22"/>
        </w:rPr>
        <w:t>preliminary </w:t>
      </w:r>
      <w:r>
        <w:rPr>
          <w:spacing w:val="-2"/>
          <w:sz w:val="22"/>
        </w:rPr>
        <w:t>findings.</w:t>
      </w:r>
    </w:p>
    <w:p>
      <w:pPr>
        <w:pStyle w:val="BodyText"/>
        <w:spacing w:before="5"/>
        <w:rPr>
          <w:sz w:val="16"/>
        </w:rPr>
      </w:pPr>
    </w:p>
    <w:p>
      <w:pPr>
        <w:pStyle w:val="ListParagraph"/>
        <w:numPr>
          <w:ilvl w:val="0"/>
          <w:numId w:val="46"/>
        </w:numPr>
        <w:tabs>
          <w:tab w:pos="820" w:val="left" w:leader="none"/>
          <w:tab w:pos="821" w:val="left" w:leader="none"/>
        </w:tabs>
        <w:spacing w:line="276" w:lineRule="auto" w:before="0" w:after="0"/>
        <w:ind w:left="100" w:right="335" w:firstLine="0"/>
        <w:jc w:val="left"/>
        <w:rPr>
          <w:sz w:val="22"/>
        </w:rPr>
      </w:pPr>
      <w:r>
        <w:rPr>
          <w:sz w:val="22"/>
        </w:rPr>
        <w:t>Presentation of findings and recommendations to the AJR (indicatively on 12 June 2019). This</w:t>
      </w:r>
      <w:r>
        <w:rPr>
          <w:spacing w:val="-2"/>
          <w:sz w:val="22"/>
        </w:rPr>
        <w:t> </w:t>
      </w:r>
      <w:r>
        <w:rPr>
          <w:sz w:val="22"/>
        </w:rPr>
        <w:t>presentation</w:t>
      </w:r>
      <w:r>
        <w:rPr>
          <w:spacing w:val="-6"/>
          <w:sz w:val="22"/>
        </w:rPr>
        <w:t> </w:t>
      </w:r>
      <w:r>
        <w:rPr>
          <w:sz w:val="22"/>
        </w:rPr>
        <w:t>should</w:t>
      </w:r>
      <w:r>
        <w:rPr>
          <w:spacing w:val="-3"/>
          <w:sz w:val="22"/>
        </w:rPr>
        <w:t> </w:t>
      </w:r>
      <w:r>
        <w:rPr>
          <w:sz w:val="22"/>
        </w:rPr>
        <w:t>include:</w:t>
      </w:r>
      <w:r>
        <w:rPr>
          <w:spacing w:val="-1"/>
          <w:sz w:val="22"/>
        </w:rPr>
        <w:t> </w:t>
      </w:r>
      <w:r>
        <w:rPr>
          <w:sz w:val="22"/>
        </w:rPr>
        <w:t>tabling</w:t>
      </w:r>
      <w:r>
        <w:rPr>
          <w:spacing w:val="-5"/>
          <w:sz w:val="22"/>
        </w:rPr>
        <w:t> </w:t>
      </w:r>
      <w:r>
        <w:rPr>
          <w:sz w:val="22"/>
        </w:rPr>
        <w:t>of</w:t>
      </w:r>
      <w:r>
        <w:rPr>
          <w:spacing w:val="-2"/>
          <w:sz w:val="22"/>
        </w:rPr>
        <w:t> </w:t>
      </w:r>
      <w:r>
        <w:rPr>
          <w:sz w:val="22"/>
        </w:rPr>
        <w:t>preliminary</w:t>
      </w:r>
      <w:r>
        <w:rPr>
          <w:spacing w:val="-2"/>
          <w:sz w:val="22"/>
        </w:rPr>
        <w:t> </w:t>
      </w:r>
      <w:r>
        <w:rPr>
          <w:sz w:val="22"/>
        </w:rPr>
        <w:t>findings;</w:t>
      </w:r>
      <w:r>
        <w:rPr>
          <w:spacing w:val="-4"/>
          <w:sz w:val="22"/>
        </w:rPr>
        <w:t> </w:t>
      </w:r>
      <w:r>
        <w:rPr>
          <w:sz w:val="22"/>
        </w:rPr>
        <w:t>outlining</w:t>
      </w:r>
      <w:r>
        <w:rPr>
          <w:spacing w:val="-3"/>
          <w:sz w:val="22"/>
        </w:rPr>
        <w:t> </w:t>
      </w:r>
      <w:r>
        <w:rPr>
          <w:sz w:val="22"/>
        </w:rPr>
        <w:t>of</w:t>
      </w:r>
      <w:r>
        <w:rPr>
          <w:spacing w:val="-2"/>
          <w:sz w:val="22"/>
        </w:rPr>
        <w:t> </w:t>
      </w:r>
      <w:r>
        <w:rPr>
          <w:sz w:val="22"/>
        </w:rPr>
        <w:t>areas</w:t>
      </w:r>
      <w:r>
        <w:rPr>
          <w:spacing w:val="-2"/>
          <w:sz w:val="22"/>
        </w:rPr>
        <w:t> </w:t>
      </w:r>
      <w:r>
        <w:rPr>
          <w:sz w:val="22"/>
        </w:rPr>
        <w:t>of</w:t>
      </w:r>
      <w:r>
        <w:rPr>
          <w:spacing w:val="-4"/>
          <w:sz w:val="22"/>
        </w:rPr>
        <w:t> </w:t>
      </w:r>
      <w:r>
        <w:rPr>
          <w:sz w:val="22"/>
        </w:rPr>
        <w:t>strength</w:t>
      </w:r>
      <w:r>
        <w:rPr>
          <w:spacing w:val="-2"/>
          <w:sz w:val="22"/>
        </w:rPr>
        <w:t> </w:t>
      </w:r>
      <w:r>
        <w:rPr>
          <w:sz w:val="22"/>
        </w:rPr>
        <w:t>and weakness; outlining 2018 payment recommendation; outlining recommended 2019 performance indicators; recommendations on how the independent assessment process can be improved.</w:t>
      </w:r>
    </w:p>
    <w:p>
      <w:pPr>
        <w:pStyle w:val="BodyText"/>
        <w:spacing w:before="5"/>
        <w:rPr>
          <w:sz w:val="16"/>
        </w:rPr>
      </w:pPr>
    </w:p>
    <w:p>
      <w:pPr>
        <w:pStyle w:val="ListParagraph"/>
        <w:numPr>
          <w:ilvl w:val="1"/>
          <w:numId w:val="45"/>
        </w:numPr>
        <w:tabs>
          <w:tab w:pos="820" w:val="left" w:leader="none"/>
          <w:tab w:pos="821" w:val="left" w:leader="none"/>
        </w:tabs>
        <w:spacing w:line="240" w:lineRule="auto" w:before="0" w:after="0"/>
        <w:ind w:left="820" w:right="0" w:hanging="671"/>
        <w:jc w:val="left"/>
        <w:rPr>
          <w:sz w:val="22"/>
        </w:rPr>
      </w:pPr>
      <w:r>
        <w:rPr>
          <w:sz w:val="22"/>
        </w:rPr>
        <w:t>The</w:t>
      </w:r>
      <w:r>
        <w:rPr>
          <w:spacing w:val="-4"/>
          <w:sz w:val="22"/>
        </w:rPr>
        <w:t> </w:t>
      </w:r>
      <w:r>
        <w:rPr>
          <w:sz w:val="22"/>
        </w:rPr>
        <w:t>assessor</w:t>
      </w:r>
      <w:r>
        <w:rPr>
          <w:spacing w:val="-3"/>
          <w:sz w:val="22"/>
        </w:rPr>
        <w:t> </w:t>
      </w:r>
      <w:r>
        <w:rPr>
          <w:sz w:val="22"/>
        </w:rPr>
        <w:t>will</w:t>
      </w:r>
      <w:r>
        <w:rPr>
          <w:spacing w:val="-4"/>
          <w:sz w:val="22"/>
        </w:rPr>
        <w:t> </w:t>
      </w:r>
      <w:r>
        <w:rPr>
          <w:sz w:val="22"/>
        </w:rPr>
        <w:t>provide</w:t>
      </w:r>
      <w:r>
        <w:rPr>
          <w:spacing w:val="-3"/>
          <w:sz w:val="22"/>
        </w:rPr>
        <w:t> </w:t>
      </w:r>
      <w:r>
        <w:rPr>
          <w:sz w:val="22"/>
        </w:rPr>
        <w:t>the</w:t>
      </w:r>
      <w:r>
        <w:rPr>
          <w:spacing w:val="-2"/>
          <w:sz w:val="22"/>
        </w:rPr>
        <w:t> </w:t>
      </w:r>
      <w:r>
        <w:rPr>
          <w:sz w:val="22"/>
        </w:rPr>
        <w:t>following</w:t>
      </w:r>
      <w:r>
        <w:rPr>
          <w:spacing w:val="-5"/>
          <w:sz w:val="22"/>
        </w:rPr>
        <w:t> </w:t>
      </w:r>
      <w:r>
        <w:rPr>
          <w:spacing w:val="-2"/>
          <w:sz w:val="22"/>
        </w:rPr>
        <w:t>reports:</w:t>
      </w:r>
    </w:p>
    <w:p>
      <w:pPr>
        <w:pStyle w:val="BodyText"/>
        <w:spacing w:before="9"/>
        <w:rPr>
          <w:sz w:val="19"/>
        </w:rPr>
      </w:pPr>
    </w:p>
    <w:p>
      <w:pPr>
        <w:pStyle w:val="ListParagraph"/>
        <w:numPr>
          <w:ilvl w:val="0"/>
          <w:numId w:val="46"/>
        </w:numPr>
        <w:tabs>
          <w:tab w:pos="820" w:val="left" w:leader="none"/>
          <w:tab w:pos="821" w:val="left" w:leader="none"/>
        </w:tabs>
        <w:spacing w:line="276" w:lineRule="auto" w:before="0" w:after="0"/>
        <w:ind w:left="100" w:right="556" w:firstLine="0"/>
        <w:jc w:val="left"/>
        <w:rPr>
          <w:sz w:val="22"/>
        </w:rPr>
      </w:pPr>
      <w:r>
        <w:rPr>
          <w:sz w:val="22"/>
        </w:rPr>
        <w:t>Initial</w:t>
      </w:r>
      <w:r>
        <w:rPr>
          <w:spacing w:val="-3"/>
          <w:sz w:val="22"/>
        </w:rPr>
        <w:t> </w:t>
      </w:r>
      <w:r>
        <w:rPr>
          <w:sz w:val="22"/>
        </w:rPr>
        <w:t>findings</w:t>
      </w:r>
      <w:r>
        <w:rPr>
          <w:spacing w:val="-2"/>
          <w:sz w:val="22"/>
        </w:rPr>
        <w:t> </w:t>
      </w:r>
      <w:r>
        <w:rPr>
          <w:sz w:val="22"/>
        </w:rPr>
        <w:t>from</w:t>
      </w:r>
      <w:r>
        <w:rPr>
          <w:spacing w:val="-4"/>
          <w:sz w:val="22"/>
        </w:rPr>
        <w:t> </w:t>
      </w:r>
      <w:r>
        <w:rPr>
          <w:sz w:val="22"/>
        </w:rPr>
        <w:t>document</w:t>
      </w:r>
      <w:r>
        <w:rPr>
          <w:spacing w:val="-2"/>
          <w:sz w:val="22"/>
        </w:rPr>
        <w:t> </w:t>
      </w:r>
      <w:r>
        <w:rPr>
          <w:sz w:val="22"/>
        </w:rPr>
        <w:t>review</w:t>
      </w:r>
      <w:r>
        <w:rPr>
          <w:spacing w:val="-1"/>
          <w:sz w:val="22"/>
        </w:rPr>
        <w:t> </w:t>
      </w:r>
      <w:r>
        <w:rPr>
          <w:sz w:val="22"/>
        </w:rPr>
        <w:t>two</w:t>
      </w:r>
      <w:r>
        <w:rPr>
          <w:spacing w:val="-2"/>
          <w:sz w:val="22"/>
        </w:rPr>
        <w:t> </w:t>
      </w:r>
      <w:r>
        <w:rPr>
          <w:sz w:val="22"/>
        </w:rPr>
        <w:t>weeks</w:t>
      </w:r>
      <w:r>
        <w:rPr>
          <w:spacing w:val="-5"/>
          <w:sz w:val="22"/>
        </w:rPr>
        <w:t> </w:t>
      </w:r>
      <w:r>
        <w:rPr>
          <w:sz w:val="22"/>
        </w:rPr>
        <w:t>before</w:t>
      </w:r>
      <w:r>
        <w:rPr>
          <w:spacing w:val="-2"/>
          <w:sz w:val="22"/>
        </w:rPr>
        <w:t> </w:t>
      </w:r>
      <w:r>
        <w:rPr>
          <w:sz w:val="22"/>
        </w:rPr>
        <w:t>the</w:t>
      </w:r>
      <w:r>
        <w:rPr>
          <w:spacing w:val="-2"/>
          <w:sz w:val="22"/>
        </w:rPr>
        <w:t> </w:t>
      </w:r>
      <w:r>
        <w:rPr>
          <w:sz w:val="22"/>
        </w:rPr>
        <w:t>AJR</w:t>
      </w:r>
      <w:r>
        <w:rPr>
          <w:spacing w:val="-5"/>
          <w:sz w:val="22"/>
        </w:rPr>
        <w:t> </w:t>
      </w:r>
      <w:r>
        <w:rPr>
          <w:sz w:val="22"/>
        </w:rPr>
        <w:t>(indicatively</w:t>
      </w:r>
      <w:r>
        <w:rPr>
          <w:spacing w:val="-2"/>
          <w:sz w:val="22"/>
        </w:rPr>
        <w:t> </w:t>
      </w:r>
      <w:r>
        <w:rPr>
          <w:sz w:val="22"/>
        </w:rPr>
        <w:t>by</w:t>
      </w:r>
      <w:r>
        <w:rPr>
          <w:spacing w:val="-4"/>
          <w:sz w:val="22"/>
        </w:rPr>
        <w:t> </w:t>
      </w:r>
      <w:r>
        <w:rPr>
          <w:sz w:val="22"/>
        </w:rPr>
        <w:t>28</w:t>
      </w:r>
      <w:r>
        <w:rPr>
          <w:spacing w:val="-4"/>
          <w:sz w:val="22"/>
        </w:rPr>
        <w:t> </w:t>
      </w:r>
      <w:r>
        <w:rPr>
          <w:sz w:val="22"/>
        </w:rPr>
        <w:t>May </w:t>
      </w:r>
      <w:r>
        <w:rPr>
          <w:spacing w:val="-2"/>
          <w:sz w:val="22"/>
        </w:rPr>
        <w:t>2019).</w:t>
      </w:r>
    </w:p>
    <w:p>
      <w:pPr>
        <w:pStyle w:val="BodyText"/>
        <w:spacing w:before="5"/>
        <w:rPr>
          <w:sz w:val="16"/>
        </w:rPr>
      </w:pPr>
    </w:p>
    <w:p>
      <w:pPr>
        <w:pStyle w:val="ListParagraph"/>
        <w:numPr>
          <w:ilvl w:val="0"/>
          <w:numId w:val="46"/>
        </w:numPr>
        <w:tabs>
          <w:tab w:pos="820" w:val="left" w:leader="none"/>
          <w:tab w:pos="821" w:val="left" w:leader="none"/>
        </w:tabs>
        <w:spacing w:line="240" w:lineRule="auto" w:before="0" w:after="0"/>
        <w:ind w:left="820" w:right="0" w:hanging="721"/>
        <w:jc w:val="left"/>
        <w:rPr>
          <w:sz w:val="22"/>
        </w:rPr>
      </w:pPr>
      <w:r>
        <w:rPr>
          <w:sz w:val="22"/>
        </w:rPr>
        <w:t>Preliminary</w:t>
      </w:r>
      <w:r>
        <w:rPr>
          <w:spacing w:val="-3"/>
          <w:sz w:val="22"/>
        </w:rPr>
        <w:t> </w:t>
      </w:r>
      <w:r>
        <w:rPr>
          <w:sz w:val="22"/>
        </w:rPr>
        <w:t>findings</w:t>
      </w:r>
      <w:r>
        <w:rPr>
          <w:spacing w:val="-3"/>
          <w:sz w:val="22"/>
        </w:rPr>
        <w:t> </w:t>
      </w:r>
      <w:r>
        <w:rPr>
          <w:sz w:val="22"/>
        </w:rPr>
        <w:t>report</w:t>
      </w:r>
      <w:r>
        <w:rPr>
          <w:spacing w:val="-6"/>
          <w:sz w:val="22"/>
        </w:rPr>
        <w:t> </w:t>
      </w:r>
      <w:r>
        <w:rPr>
          <w:sz w:val="22"/>
        </w:rPr>
        <w:t>provided</w:t>
      </w:r>
      <w:r>
        <w:rPr>
          <w:spacing w:val="-4"/>
          <w:sz w:val="22"/>
        </w:rPr>
        <w:t> </w:t>
      </w:r>
      <w:r>
        <w:rPr>
          <w:sz w:val="22"/>
        </w:rPr>
        <w:t>at</w:t>
      </w:r>
      <w:r>
        <w:rPr>
          <w:spacing w:val="-3"/>
          <w:sz w:val="22"/>
        </w:rPr>
        <w:t> </w:t>
      </w:r>
      <w:r>
        <w:rPr>
          <w:sz w:val="22"/>
        </w:rPr>
        <w:t>the</w:t>
      </w:r>
      <w:r>
        <w:rPr>
          <w:spacing w:val="-1"/>
          <w:sz w:val="22"/>
        </w:rPr>
        <w:t> </w:t>
      </w:r>
      <w:r>
        <w:rPr>
          <w:sz w:val="22"/>
        </w:rPr>
        <w:t>time</w:t>
      </w:r>
      <w:r>
        <w:rPr>
          <w:spacing w:val="-5"/>
          <w:sz w:val="22"/>
        </w:rPr>
        <w:t> </w:t>
      </w:r>
      <w:r>
        <w:rPr>
          <w:sz w:val="22"/>
        </w:rPr>
        <w:t>of</w:t>
      </w:r>
      <w:r>
        <w:rPr>
          <w:spacing w:val="-5"/>
          <w:sz w:val="22"/>
        </w:rPr>
        <w:t> </w:t>
      </w:r>
      <w:r>
        <w:rPr>
          <w:sz w:val="22"/>
        </w:rPr>
        <w:t>the</w:t>
      </w:r>
      <w:r>
        <w:rPr>
          <w:spacing w:val="-4"/>
          <w:sz w:val="22"/>
        </w:rPr>
        <w:t> AJR.</w:t>
      </w:r>
    </w:p>
    <w:p>
      <w:pPr>
        <w:pStyle w:val="BodyText"/>
        <w:spacing w:before="8"/>
        <w:rPr>
          <w:sz w:val="19"/>
        </w:rPr>
      </w:pPr>
    </w:p>
    <w:p>
      <w:pPr>
        <w:pStyle w:val="ListParagraph"/>
        <w:numPr>
          <w:ilvl w:val="0"/>
          <w:numId w:val="46"/>
        </w:numPr>
        <w:tabs>
          <w:tab w:pos="820" w:val="left" w:leader="none"/>
          <w:tab w:pos="821" w:val="left" w:leader="none"/>
        </w:tabs>
        <w:spacing w:line="276" w:lineRule="auto" w:before="0" w:after="0"/>
        <w:ind w:left="100" w:right="210" w:firstLine="0"/>
        <w:jc w:val="left"/>
        <w:rPr>
          <w:sz w:val="22"/>
        </w:rPr>
      </w:pPr>
      <w:r>
        <w:rPr>
          <w:sz w:val="22"/>
        </w:rPr>
        <w:t>Final report (up to 4 days preparation) submitted no later than 2 weeks after the AJR (indicatively</w:t>
      </w:r>
      <w:r>
        <w:rPr>
          <w:spacing w:val="-2"/>
          <w:sz w:val="22"/>
        </w:rPr>
        <w:t> </w:t>
      </w:r>
      <w:r>
        <w:rPr>
          <w:sz w:val="22"/>
        </w:rPr>
        <w:t>by</w:t>
      </w:r>
      <w:r>
        <w:rPr>
          <w:spacing w:val="-3"/>
          <w:sz w:val="22"/>
        </w:rPr>
        <w:t> </w:t>
      </w:r>
      <w:r>
        <w:rPr>
          <w:sz w:val="22"/>
        </w:rPr>
        <w:t>26</w:t>
      </w:r>
      <w:r>
        <w:rPr>
          <w:spacing w:val="-2"/>
          <w:sz w:val="22"/>
        </w:rPr>
        <w:t> </w:t>
      </w:r>
      <w:r>
        <w:rPr>
          <w:sz w:val="22"/>
        </w:rPr>
        <w:t>June</w:t>
      </w:r>
      <w:r>
        <w:rPr>
          <w:spacing w:val="-3"/>
          <w:sz w:val="22"/>
        </w:rPr>
        <w:t> </w:t>
      </w:r>
      <w:r>
        <w:rPr>
          <w:sz w:val="22"/>
        </w:rPr>
        <w:t>2019).</w:t>
      </w:r>
      <w:r>
        <w:rPr>
          <w:spacing w:val="-2"/>
          <w:sz w:val="22"/>
        </w:rPr>
        <w:t> </w:t>
      </w:r>
      <w:r>
        <w:rPr>
          <w:sz w:val="22"/>
        </w:rPr>
        <w:t>As</w:t>
      </w:r>
      <w:r>
        <w:rPr>
          <w:spacing w:val="-2"/>
          <w:sz w:val="22"/>
        </w:rPr>
        <w:t> </w:t>
      </w:r>
      <w:r>
        <w:rPr>
          <w:sz w:val="22"/>
        </w:rPr>
        <w:t>part</w:t>
      </w:r>
      <w:r>
        <w:rPr>
          <w:spacing w:val="-3"/>
          <w:sz w:val="22"/>
        </w:rPr>
        <w:t> </w:t>
      </w:r>
      <w:r>
        <w:rPr>
          <w:sz w:val="22"/>
        </w:rPr>
        <w:t>of</w:t>
      </w:r>
      <w:r>
        <w:rPr>
          <w:spacing w:val="-2"/>
          <w:sz w:val="22"/>
        </w:rPr>
        <w:t> </w:t>
      </w:r>
      <w:r>
        <w:rPr>
          <w:sz w:val="22"/>
        </w:rPr>
        <w:t>preparing</w:t>
      </w:r>
      <w:r>
        <w:rPr>
          <w:spacing w:val="-2"/>
          <w:sz w:val="22"/>
        </w:rPr>
        <w:t> </w:t>
      </w:r>
      <w:r>
        <w:rPr>
          <w:sz w:val="22"/>
        </w:rPr>
        <w:t>this</w:t>
      </w:r>
      <w:r>
        <w:rPr>
          <w:spacing w:val="-2"/>
          <w:sz w:val="22"/>
        </w:rPr>
        <w:t> </w:t>
      </w:r>
      <w:r>
        <w:rPr>
          <w:sz w:val="22"/>
        </w:rPr>
        <w:t>report</w:t>
      </w:r>
      <w:r>
        <w:rPr>
          <w:spacing w:val="-2"/>
          <w:sz w:val="22"/>
        </w:rPr>
        <w:t> </w:t>
      </w:r>
      <w:r>
        <w:rPr>
          <w:sz w:val="22"/>
        </w:rPr>
        <w:t>the</w:t>
      </w:r>
      <w:r>
        <w:rPr>
          <w:spacing w:val="-4"/>
          <w:sz w:val="22"/>
        </w:rPr>
        <w:t> </w:t>
      </w:r>
      <w:r>
        <w:rPr>
          <w:sz w:val="22"/>
        </w:rPr>
        <w:t>Assessor</w:t>
      </w:r>
      <w:r>
        <w:rPr>
          <w:spacing w:val="-4"/>
          <w:sz w:val="22"/>
        </w:rPr>
        <w:t> </w:t>
      </w:r>
      <w:r>
        <w:rPr>
          <w:sz w:val="22"/>
        </w:rPr>
        <w:t>will,</w:t>
      </w:r>
      <w:r>
        <w:rPr>
          <w:spacing w:val="-3"/>
          <w:sz w:val="22"/>
        </w:rPr>
        <w:t> </w:t>
      </w:r>
      <w:r>
        <w:rPr>
          <w:sz w:val="22"/>
        </w:rPr>
        <w:t>as</w:t>
      </w:r>
      <w:r>
        <w:rPr>
          <w:spacing w:val="-2"/>
          <w:sz w:val="22"/>
        </w:rPr>
        <w:t> </w:t>
      </w:r>
      <w:r>
        <w:rPr>
          <w:sz w:val="22"/>
        </w:rPr>
        <w:t>required,</w:t>
      </w:r>
      <w:r>
        <w:rPr>
          <w:spacing w:val="-2"/>
          <w:sz w:val="22"/>
        </w:rPr>
        <w:t> </w:t>
      </w:r>
      <w:r>
        <w:rPr>
          <w:sz w:val="22"/>
        </w:rPr>
        <w:t>follow- up with DFAT and the MEHRD on issues raised during the in-country mission and AJR in order to confirm findings and data.</w:t>
      </w:r>
    </w:p>
    <w:p>
      <w:pPr>
        <w:pStyle w:val="BodyText"/>
        <w:spacing w:before="5"/>
        <w:rPr>
          <w:sz w:val="16"/>
        </w:rPr>
      </w:pPr>
    </w:p>
    <w:p>
      <w:pPr>
        <w:pStyle w:val="ListParagraph"/>
        <w:numPr>
          <w:ilvl w:val="0"/>
          <w:numId w:val="45"/>
        </w:numPr>
        <w:tabs>
          <w:tab w:pos="915" w:val="left" w:leader="none"/>
          <w:tab w:pos="916" w:val="left" w:leader="none"/>
        </w:tabs>
        <w:spacing w:line="240" w:lineRule="auto" w:before="0" w:after="0"/>
        <w:ind w:left="915" w:right="0" w:hanging="766"/>
        <w:jc w:val="left"/>
        <w:rPr>
          <w:sz w:val="22"/>
        </w:rPr>
      </w:pPr>
      <w:r>
        <w:rPr>
          <w:spacing w:val="-2"/>
          <w:sz w:val="22"/>
        </w:rPr>
        <w:t>TIMELINE</w:t>
      </w:r>
    </w:p>
    <w:p>
      <w:pPr>
        <w:pStyle w:val="BodyText"/>
        <w:spacing w:before="9"/>
        <w:rPr>
          <w:sz w:val="19"/>
        </w:rPr>
      </w:pPr>
    </w:p>
    <w:p>
      <w:pPr>
        <w:pStyle w:val="BodyText"/>
        <w:spacing w:line="276" w:lineRule="auto"/>
        <w:ind w:left="100" w:right="130"/>
      </w:pPr>
      <w:r>
        <w:rPr/>
        <w:t>A</w:t>
      </w:r>
      <w:r>
        <w:rPr>
          <w:spacing w:val="-1"/>
        </w:rPr>
        <w:t> </w:t>
      </w:r>
      <w:r>
        <w:rPr/>
        <w:t>total</w:t>
      </w:r>
      <w:r>
        <w:rPr>
          <w:spacing w:val="-1"/>
        </w:rPr>
        <w:t> </w:t>
      </w:r>
      <w:r>
        <w:rPr/>
        <w:t>of</w:t>
      </w:r>
      <w:r>
        <w:rPr>
          <w:spacing w:val="-4"/>
        </w:rPr>
        <w:t> </w:t>
      </w:r>
      <w:r>
        <w:rPr/>
        <w:t>up</w:t>
      </w:r>
      <w:r>
        <w:rPr>
          <w:spacing w:val="-2"/>
        </w:rPr>
        <w:t> </w:t>
      </w:r>
      <w:r>
        <w:rPr/>
        <w:t>to 20</w:t>
      </w:r>
      <w:r>
        <w:rPr>
          <w:spacing w:val="-1"/>
        </w:rPr>
        <w:t> </w:t>
      </w:r>
      <w:r>
        <w:rPr/>
        <w:t>days</w:t>
      </w:r>
      <w:r>
        <w:rPr>
          <w:spacing w:val="-1"/>
        </w:rPr>
        <w:t> </w:t>
      </w:r>
      <w:r>
        <w:rPr/>
        <w:t>is</w:t>
      </w:r>
      <w:r>
        <w:rPr>
          <w:spacing w:val="-3"/>
        </w:rPr>
        <w:t> </w:t>
      </w:r>
      <w:r>
        <w:rPr/>
        <w:t>provided</w:t>
      </w:r>
      <w:r>
        <w:rPr>
          <w:spacing w:val="-4"/>
        </w:rPr>
        <w:t> </w:t>
      </w:r>
      <w:r>
        <w:rPr/>
        <w:t>for</w:t>
      </w:r>
      <w:r>
        <w:rPr>
          <w:spacing w:val="-4"/>
        </w:rPr>
        <w:t> </w:t>
      </w:r>
      <w:r>
        <w:rPr/>
        <w:t>this</w:t>
      </w:r>
      <w:r>
        <w:rPr>
          <w:spacing w:val="-1"/>
        </w:rPr>
        <w:t> </w:t>
      </w:r>
      <w:r>
        <w:rPr/>
        <w:t>assignment</w:t>
      </w:r>
      <w:r>
        <w:rPr>
          <w:spacing w:val="-3"/>
        </w:rPr>
        <w:t> </w:t>
      </w:r>
      <w:r>
        <w:rPr/>
        <w:t>(plus</w:t>
      </w:r>
      <w:r>
        <w:rPr>
          <w:spacing w:val="-1"/>
        </w:rPr>
        <w:t> </w:t>
      </w:r>
      <w:r>
        <w:rPr/>
        <w:t>up</w:t>
      </w:r>
      <w:r>
        <w:rPr>
          <w:spacing w:val="-2"/>
        </w:rPr>
        <w:t> </w:t>
      </w:r>
      <w:r>
        <w:rPr/>
        <w:t>to</w:t>
      </w:r>
      <w:r>
        <w:rPr>
          <w:spacing w:val="-3"/>
        </w:rPr>
        <w:t> </w:t>
      </w:r>
      <w:r>
        <w:rPr/>
        <w:t>4</w:t>
      </w:r>
      <w:r>
        <w:rPr>
          <w:spacing w:val="-2"/>
        </w:rPr>
        <w:t> </w:t>
      </w:r>
      <w:r>
        <w:rPr/>
        <w:t>days</w:t>
      </w:r>
      <w:r>
        <w:rPr>
          <w:spacing w:val="-3"/>
        </w:rPr>
        <w:t> </w:t>
      </w:r>
      <w:r>
        <w:rPr/>
        <w:t>travel).</w:t>
      </w:r>
      <w:r>
        <w:rPr>
          <w:spacing w:val="-3"/>
        </w:rPr>
        <w:t> </w:t>
      </w:r>
      <w:r>
        <w:rPr/>
        <w:t>The</w:t>
      </w:r>
      <w:r>
        <w:rPr>
          <w:spacing w:val="-1"/>
        </w:rPr>
        <w:t> </w:t>
      </w:r>
      <w:r>
        <w:rPr/>
        <w:t>assessor</w:t>
      </w:r>
      <w:r>
        <w:rPr>
          <w:spacing w:val="-3"/>
        </w:rPr>
        <w:t> </w:t>
      </w:r>
      <w:r>
        <w:rPr/>
        <w:t>must perform the Services and complete all deliverables between 20 May 2019 and 30 June 2019 in accordance with the above indicative timeframes noting that they may change with prior </w:t>
      </w:r>
      <w:r>
        <w:rPr>
          <w:spacing w:val="-2"/>
        </w:rPr>
        <w:t>notification.</w:t>
      </w:r>
    </w:p>
    <w:p>
      <w:pPr>
        <w:spacing w:after="0" w:line="276" w:lineRule="auto"/>
        <w:sectPr>
          <w:pgSz w:w="11900" w:h="16850"/>
          <w:pgMar w:header="867" w:footer="830" w:top="1940" w:bottom="1020" w:left="1340" w:right="1340"/>
        </w:sectPr>
      </w:pPr>
    </w:p>
    <w:p>
      <w:pPr>
        <w:pStyle w:val="BodyText"/>
        <w:spacing w:before="2"/>
      </w:pPr>
    </w:p>
    <w:p>
      <w:pPr>
        <w:pStyle w:val="Heading1"/>
        <w:ind w:left="218"/>
        <w:rPr>
          <w:b w:val="0"/>
        </w:rPr>
      </w:pPr>
      <w:bookmarkStart w:name="_bookmark44" w:id="45"/>
      <w:bookmarkEnd w:id="45"/>
      <w:r>
        <w:rPr/>
      </w:r>
      <w:r>
        <w:rPr>
          <w:b w:val="0"/>
          <w:color w:val="4471C4"/>
        </w:rPr>
        <w:t>Appendix</w:t>
      </w:r>
      <w:r>
        <w:rPr>
          <w:b w:val="0"/>
          <w:color w:val="4471C4"/>
          <w:spacing w:val="23"/>
        </w:rPr>
        <w:t> </w:t>
      </w:r>
      <w:r>
        <w:rPr>
          <w:b w:val="0"/>
          <w:color w:val="4471C4"/>
        </w:rPr>
        <w:t>3:</w:t>
      </w:r>
      <w:r>
        <w:rPr>
          <w:b w:val="0"/>
          <w:color w:val="4471C4"/>
          <w:spacing w:val="24"/>
        </w:rPr>
        <w:t> </w:t>
      </w:r>
      <w:r>
        <w:rPr>
          <w:b w:val="0"/>
          <w:color w:val="4471C4"/>
        </w:rPr>
        <w:t>Key</w:t>
      </w:r>
      <w:r>
        <w:rPr>
          <w:b w:val="0"/>
          <w:color w:val="4471C4"/>
          <w:spacing w:val="21"/>
        </w:rPr>
        <w:t> </w:t>
      </w:r>
      <w:r>
        <w:rPr>
          <w:b w:val="0"/>
          <w:color w:val="4471C4"/>
        </w:rPr>
        <w:t>Documents</w:t>
      </w:r>
      <w:r>
        <w:rPr>
          <w:b w:val="0"/>
          <w:color w:val="4471C4"/>
          <w:spacing w:val="28"/>
        </w:rPr>
        <w:t> </w:t>
      </w:r>
      <w:r>
        <w:rPr>
          <w:b w:val="0"/>
          <w:color w:val="4471C4"/>
          <w:spacing w:val="-2"/>
        </w:rPr>
        <w:t>Reviewed</w:t>
      </w:r>
    </w:p>
    <w:p>
      <w:pPr>
        <w:pStyle w:val="BodyText"/>
        <w:spacing w:after="1"/>
        <w:rPr>
          <w:rFonts w:ascii="Calibri Light"/>
          <w:b w:val="0"/>
          <w:sz w:val="21"/>
        </w:rPr>
      </w:pPr>
    </w:p>
    <w:tbl>
      <w:tblPr>
        <w:tblW w:w="0" w:type="auto"/>
        <w:jc w:val="left"/>
        <w:tblInd w:w="11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7276"/>
        <w:gridCol w:w="1798"/>
      </w:tblGrid>
      <w:tr>
        <w:trPr>
          <w:trHeight w:val="357" w:hRule="atLeast"/>
        </w:trPr>
        <w:tc>
          <w:tcPr>
            <w:tcW w:w="7276" w:type="dxa"/>
            <w:tcBorders>
              <w:bottom w:val="nil"/>
              <w:right w:val="nil"/>
            </w:tcBorders>
            <w:shd w:val="clear" w:color="auto" w:fill="4471C4"/>
          </w:tcPr>
          <w:p>
            <w:pPr>
              <w:pStyle w:val="TableParagraph"/>
              <w:spacing w:before="37"/>
              <w:ind w:left="3151" w:right="3143"/>
              <w:jc w:val="center"/>
              <w:rPr>
                <w:b/>
                <w:sz w:val="22"/>
              </w:rPr>
            </w:pPr>
            <w:r>
              <w:rPr>
                <w:b/>
                <w:color w:val="FFFFFF"/>
                <w:spacing w:val="-2"/>
                <w:sz w:val="22"/>
              </w:rPr>
              <w:t>Document</w:t>
            </w:r>
          </w:p>
        </w:tc>
        <w:tc>
          <w:tcPr>
            <w:tcW w:w="1798" w:type="dxa"/>
            <w:tcBorders>
              <w:left w:val="nil"/>
              <w:bottom w:val="nil"/>
            </w:tcBorders>
            <w:shd w:val="clear" w:color="auto" w:fill="4471C4"/>
          </w:tcPr>
          <w:p>
            <w:pPr>
              <w:pStyle w:val="TableParagraph"/>
              <w:spacing w:before="37"/>
              <w:ind w:left="587"/>
              <w:rPr>
                <w:b/>
                <w:sz w:val="22"/>
              </w:rPr>
            </w:pPr>
            <w:r>
              <w:rPr>
                <w:b/>
                <w:color w:val="FFFFFF"/>
                <w:spacing w:val="-2"/>
                <w:sz w:val="22"/>
              </w:rPr>
              <w:t>Source</w:t>
            </w:r>
          </w:p>
        </w:tc>
      </w:tr>
      <w:tr>
        <w:trPr>
          <w:trHeight w:val="609" w:hRule="atLeast"/>
        </w:trPr>
        <w:tc>
          <w:tcPr>
            <w:tcW w:w="7276" w:type="dxa"/>
            <w:tcBorders>
              <w:top w:val="nil"/>
            </w:tcBorders>
          </w:tcPr>
          <w:p>
            <w:pPr>
              <w:pStyle w:val="TableParagraph"/>
              <w:spacing w:before="61"/>
              <w:ind w:left="107" w:right="69"/>
              <w:rPr>
                <w:sz w:val="20"/>
              </w:rPr>
            </w:pPr>
            <w:r>
              <w:rPr>
                <w:sz w:val="20"/>
              </w:rPr>
              <w:t>Direct</w:t>
            </w:r>
            <w:r>
              <w:rPr>
                <w:spacing w:val="-5"/>
                <w:sz w:val="20"/>
              </w:rPr>
              <w:t> </w:t>
            </w:r>
            <w:r>
              <w:rPr>
                <w:sz w:val="20"/>
              </w:rPr>
              <w:t>Funding</w:t>
            </w:r>
            <w:r>
              <w:rPr>
                <w:spacing w:val="-6"/>
                <w:sz w:val="20"/>
              </w:rPr>
              <w:t> </w:t>
            </w:r>
            <w:r>
              <w:rPr>
                <w:sz w:val="20"/>
              </w:rPr>
              <w:t>Agreement</w:t>
            </w:r>
            <w:r>
              <w:rPr>
                <w:spacing w:val="-5"/>
                <w:sz w:val="20"/>
              </w:rPr>
              <w:t> </w:t>
            </w:r>
            <w:r>
              <w:rPr>
                <w:sz w:val="20"/>
              </w:rPr>
              <w:t>between</w:t>
            </w:r>
            <w:r>
              <w:rPr>
                <w:spacing w:val="-5"/>
                <w:sz w:val="20"/>
              </w:rPr>
              <w:t> </w:t>
            </w:r>
            <w:r>
              <w:rPr>
                <w:sz w:val="20"/>
              </w:rPr>
              <w:t>the</w:t>
            </w:r>
            <w:r>
              <w:rPr>
                <w:spacing w:val="-4"/>
                <w:sz w:val="20"/>
              </w:rPr>
              <w:t> </w:t>
            </w:r>
            <w:r>
              <w:rPr>
                <w:sz w:val="20"/>
              </w:rPr>
              <w:t>Government</w:t>
            </w:r>
            <w:r>
              <w:rPr>
                <w:spacing w:val="-5"/>
                <w:sz w:val="20"/>
              </w:rPr>
              <w:t> </w:t>
            </w:r>
            <w:r>
              <w:rPr>
                <w:sz w:val="20"/>
              </w:rPr>
              <w:t>of</w:t>
            </w:r>
            <w:r>
              <w:rPr>
                <w:spacing w:val="-6"/>
                <w:sz w:val="20"/>
              </w:rPr>
              <w:t> </w:t>
            </w:r>
            <w:r>
              <w:rPr>
                <w:sz w:val="20"/>
              </w:rPr>
              <w:t>Australia</w:t>
            </w:r>
            <w:r>
              <w:rPr>
                <w:spacing w:val="-5"/>
                <w:sz w:val="20"/>
              </w:rPr>
              <w:t> </w:t>
            </w:r>
            <w:r>
              <w:rPr>
                <w:sz w:val="20"/>
              </w:rPr>
              <w:t>and</w:t>
            </w:r>
            <w:r>
              <w:rPr>
                <w:spacing w:val="-5"/>
                <w:sz w:val="20"/>
              </w:rPr>
              <w:t> </w:t>
            </w:r>
            <w:r>
              <w:rPr>
                <w:sz w:val="20"/>
              </w:rPr>
              <w:t>Solomon</w:t>
            </w:r>
            <w:r>
              <w:rPr>
                <w:spacing w:val="-5"/>
                <w:sz w:val="20"/>
              </w:rPr>
              <w:t> </w:t>
            </w:r>
            <w:r>
              <w:rPr>
                <w:sz w:val="20"/>
              </w:rPr>
              <w:t>Islands </w:t>
            </w:r>
            <w:r>
              <w:rPr>
                <w:spacing w:val="-2"/>
                <w:sz w:val="20"/>
              </w:rPr>
              <w:t>Government</w:t>
            </w:r>
          </w:p>
        </w:tc>
        <w:tc>
          <w:tcPr>
            <w:tcW w:w="1798" w:type="dxa"/>
            <w:tcBorders>
              <w:top w:val="nil"/>
            </w:tcBorders>
          </w:tcPr>
          <w:p>
            <w:pPr>
              <w:pStyle w:val="TableParagraph"/>
              <w:spacing w:before="64"/>
              <w:ind w:left="107"/>
              <w:rPr>
                <w:sz w:val="20"/>
              </w:rPr>
            </w:pPr>
            <w:r>
              <w:rPr>
                <w:spacing w:val="-5"/>
                <w:sz w:val="20"/>
              </w:rPr>
              <w:t>AHC</w:t>
            </w:r>
          </w:p>
        </w:tc>
      </w:tr>
      <w:tr>
        <w:trPr>
          <w:trHeight w:val="609" w:hRule="atLeast"/>
        </w:trPr>
        <w:tc>
          <w:tcPr>
            <w:tcW w:w="7276" w:type="dxa"/>
          </w:tcPr>
          <w:p>
            <w:pPr>
              <w:pStyle w:val="TableParagraph"/>
              <w:spacing w:before="62"/>
              <w:ind w:left="107" w:right="69"/>
              <w:rPr>
                <w:sz w:val="20"/>
              </w:rPr>
            </w:pPr>
            <w:r>
              <w:rPr>
                <w:sz w:val="20"/>
              </w:rPr>
              <w:t>Solomon</w:t>
            </w:r>
            <w:r>
              <w:rPr>
                <w:spacing w:val="-6"/>
                <w:sz w:val="20"/>
              </w:rPr>
              <w:t> </w:t>
            </w:r>
            <w:r>
              <w:rPr>
                <w:sz w:val="20"/>
              </w:rPr>
              <w:t>Islands</w:t>
            </w:r>
            <w:r>
              <w:rPr>
                <w:spacing w:val="-7"/>
                <w:sz w:val="20"/>
              </w:rPr>
              <w:t> </w:t>
            </w:r>
            <w:r>
              <w:rPr>
                <w:sz w:val="20"/>
              </w:rPr>
              <w:t>Education</w:t>
            </w:r>
            <w:r>
              <w:rPr>
                <w:spacing w:val="-5"/>
                <w:sz w:val="20"/>
              </w:rPr>
              <w:t> </w:t>
            </w:r>
            <w:r>
              <w:rPr>
                <w:sz w:val="20"/>
              </w:rPr>
              <w:t>Sector</w:t>
            </w:r>
            <w:r>
              <w:rPr>
                <w:spacing w:val="-6"/>
                <w:sz w:val="20"/>
              </w:rPr>
              <w:t> </w:t>
            </w:r>
            <w:r>
              <w:rPr>
                <w:sz w:val="20"/>
              </w:rPr>
              <w:t>Statement</w:t>
            </w:r>
            <w:r>
              <w:rPr>
                <w:spacing w:val="-6"/>
                <w:sz w:val="20"/>
              </w:rPr>
              <w:t> </w:t>
            </w:r>
            <w:r>
              <w:rPr>
                <w:sz w:val="20"/>
              </w:rPr>
              <w:t>of</w:t>
            </w:r>
            <w:r>
              <w:rPr>
                <w:spacing w:val="-7"/>
                <w:sz w:val="20"/>
              </w:rPr>
              <w:t> </w:t>
            </w:r>
            <w:r>
              <w:rPr>
                <w:sz w:val="20"/>
              </w:rPr>
              <w:t>Partnership Principles</w:t>
            </w:r>
            <w:r>
              <w:rPr>
                <w:spacing w:val="-7"/>
                <w:sz w:val="20"/>
              </w:rPr>
              <w:t> </w:t>
            </w:r>
            <w:r>
              <w:rPr>
                <w:sz w:val="20"/>
              </w:rPr>
              <w:t>between Solomon Islands Government and Development Partners 2016–2020</w:t>
            </w:r>
          </w:p>
        </w:tc>
        <w:tc>
          <w:tcPr>
            <w:tcW w:w="1798" w:type="dxa"/>
          </w:tcPr>
          <w:p>
            <w:pPr>
              <w:pStyle w:val="TableParagraph"/>
              <w:spacing w:before="62"/>
              <w:ind w:left="107"/>
              <w:rPr>
                <w:sz w:val="20"/>
              </w:rPr>
            </w:pPr>
            <w:r>
              <w:rPr>
                <w:spacing w:val="-5"/>
                <w:sz w:val="20"/>
              </w:rPr>
              <w:t>AHC</w:t>
            </w:r>
          </w:p>
        </w:tc>
      </w:tr>
      <w:tr>
        <w:trPr>
          <w:trHeight w:val="606" w:hRule="atLeast"/>
        </w:trPr>
        <w:tc>
          <w:tcPr>
            <w:tcW w:w="7276" w:type="dxa"/>
          </w:tcPr>
          <w:p>
            <w:pPr>
              <w:pStyle w:val="TableParagraph"/>
              <w:spacing w:before="61"/>
              <w:ind w:left="107" w:right="1992"/>
              <w:rPr>
                <w:sz w:val="20"/>
              </w:rPr>
            </w:pPr>
            <w:r>
              <w:rPr>
                <w:sz w:val="20"/>
              </w:rPr>
              <w:t>Solomon</w:t>
            </w:r>
            <w:r>
              <w:rPr>
                <w:spacing w:val="-8"/>
                <w:sz w:val="20"/>
              </w:rPr>
              <w:t> </w:t>
            </w:r>
            <w:r>
              <w:rPr>
                <w:sz w:val="20"/>
              </w:rPr>
              <w:t>Islands</w:t>
            </w:r>
            <w:r>
              <w:rPr>
                <w:spacing w:val="-10"/>
                <w:sz w:val="20"/>
              </w:rPr>
              <w:t> </w:t>
            </w:r>
            <w:r>
              <w:rPr>
                <w:sz w:val="20"/>
              </w:rPr>
              <w:t>Education</w:t>
            </w:r>
            <w:r>
              <w:rPr>
                <w:spacing w:val="-7"/>
                <w:sz w:val="20"/>
              </w:rPr>
              <w:t> </w:t>
            </w:r>
            <w:r>
              <w:rPr>
                <w:sz w:val="20"/>
              </w:rPr>
              <w:t>Sector</w:t>
            </w:r>
            <w:r>
              <w:rPr>
                <w:spacing w:val="-8"/>
                <w:sz w:val="20"/>
              </w:rPr>
              <w:t> </w:t>
            </w:r>
            <w:r>
              <w:rPr>
                <w:sz w:val="20"/>
              </w:rPr>
              <w:t>Support</w:t>
            </w:r>
            <w:r>
              <w:rPr>
                <w:spacing w:val="-8"/>
                <w:sz w:val="20"/>
              </w:rPr>
              <w:t> </w:t>
            </w:r>
            <w:r>
              <w:rPr>
                <w:sz w:val="20"/>
              </w:rPr>
              <w:t>Program Independent Performance Assessment 2016</w:t>
            </w:r>
          </w:p>
        </w:tc>
        <w:tc>
          <w:tcPr>
            <w:tcW w:w="1798" w:type="dxa"/>
          </w:tcPr>
          <w:p>
            <w:pPr>
              <w:pStyle w:val="TableParagraph"/>
              <w:spacing w:before="61"/>
              <w:ind w:left="107"/>
              <w:rPr>
                <w:sz w:val="20"/>
              </w:rPr>
            </w:pPr>
            <w:r>
              <w:rPr>
                <w:spacing w:val="-5"/>
                <w:sz w:val="20"/>
              </w:rPr>
              <w:t>AHC</w:t>
            </w:r>
          </w:p>
        </w:tc>
      </w:tr>
      <w:tr>
        <w:trPr>
          <w:trHeight w:val="609" w:hRule="atLeast"/>
        </w:trPr>
        <w:tc>
          <w:tcPr>
            <w:tcW w:w="7276" w:type="dxa"/>
          </w:tcPr>
          <w:p>
            <w:pPr>
              <w:pStyle w:val="TableParagraph"/>
              <w:spacing w:before="61"/>
              <w:ind w:left="107" w:right="1992"/>
              <w:rPr>
                <w:sz w:val="20"/>
              </w:rPr>
            </w:pPr>
            <w:r>
              <w:rPr>
                <w:sz w:val="20"/>
              </w:rPr>
              <w:t>Solomon Islands</w:t>
            </w:r>
            <w:r>
              <w:rPr>
                <w:spacing w:val="-2"/>
                <w:sz w:val="20"/>
              </w:rPr>
              <w:t> </w:t>
            </w:r>
            <w:r>
              <w:rPr>
                <w:sz w:val="20"/>
              </w:rPr>
              <w:t>Education Sector Support Program Independent</w:t>
            </w:r>
            <w:r>
              <w:rPr>
                <w:spacing w:val="-9"/>
                <w:sz w:val="20"/>
              </w:rPr>
              <w:t> </w:t>
            </w:r>
            <w:r>
              <w:rPr>
                <w:sz w:val="20"/>
              </w:rPr>
              <w:t>Annual</w:t>
            </w:r>
            <w:r>
              <w:rPr>
                <w:spacing w:val="-9"/>
                <w:sz w:val="20"/>
              </w:rPr>
              <w:t> </w:t>
            </w:r>
            <w:r>
              <w:rPr>
                <w:sz w:val="20"/>
              </w:rPr>
              <w:t>Performance</w:t>
            </w:r>
            <w:r>
              <w:rPr>
                <w:spacing w:val="-11"/>
                <w:sz w:val="20"/>
              </w:rPr>
              <w:t> </w:t>
            </w:r>
            <w:r>
              <w:rPr>
                <w:sz w:val="20"/>
              </w:rPr>
              <w:t>Assessment</w:t>
            </w:r>
            <w:r>
              <w:rPr>
                <w:spacing w:val="-9"/>
                <w:sz w:val="20"/>
              </w:rPr>
              <w:t> </w:t>
            </w:r>
            <w:r>
              <w:rPr>
                <w:sz w:val="20"/>
              </w:rPr>
              <w:t>2017</w:t>
            </w:r>
          </w:p>
        </w:tc>
        <w:tc>
          <w:tcPr>
            <w:tcW w:w="1798" w:type="dxa"/>
          </w:tcPr>
          <w:p>
            <w:pPr>
              <w:pStyle w:val="TableParagraph"/>
              <w:spacing w:before="61"/>
              <w:ind w:left="107"/>
              <w:rPr>
                <w:sz w:val="20"/>
              </w:rPr>
            </w:pPr>
            <w:r>
              <w:rPr>
                <w:spacing w:val="-5"/>
                <w:sz w:val="20"/>
              </w:rPr>
              <w:t>AHC</w:t>
            </w:r>
          </w:p>
        </w:tc>
      </w:tr>
      <w:tr>
        <w:trPr>
          <w:trHeight w:val="364" w:hRule="atLeast"/>
        </w:trPr>
        <w:tc>
          <w:tcPr>
            <w:tcW w:w="7276" w:type="dxa"/>
          </w:tcPr>
          <w:p>
            <w:pPr>
              <w:pStyle w:val="TableParagraph"/>
              <w:spacing w:before="61"/>
              <w:ind w:left="107"/>
              <w:rPr>
                <w:sz w:val="20"/>
              </w:rPr>
            </w:pPr>
            <w:r>
              <w:rPr>
                <w:sz w:val="20"/>
              </w:rPr>
              <w:t>Solomon</w:t>
            </w:r>
            <w:r>
              <w:rPr>
                <w:spacing w:val="-8"/>
                <w:sz w:val="20"/>
              </w:rPr>
              <w:t> </w:t>
            </w:r>
            <w:r>
              <w:rPr>
                <w:sz w:val="20"/>
              </w:rPr>
              <w:t>Islands</w:t>
            </w:r>
            <w:r>
              <w:rPr>
                <w:spacing w:val="-8"/>
                <w:sz w:val="20"/>
              </w:rPr>
              <w:t> </w:t>
            </w:r>
            <w:r>
              <w:rPr>
                <w:sz w:val="20"/>
              </w:rPr>
              <w:t>Education</w:t>
            </w:r>
            <w:r>
              <w:rPr>
                <w:spacing w:val="-6"/>
                <w:sz w:val="20"/>
              </w:rPr>
              <w:t> </w:t>
            </w:r>
            <w:r>
              <w:rPr>
                <w:sz w:val="20"/>
              </w:rPr>
              <w:t>Sector</w:t>
            </w:r>
            <w:r>
              <w:rPr>
                <w:spacing w:val="-7"/>
                <w:sz w:val="20"/>
              </w:rPr>
              <w:t> </w:t>
            </w:r>
            <w:r>
              <w:rPr>
                <w:sz w:val="20"/>
              </w:rPr>
              <w:t>Statement</w:t>
            </w:r>
            <w:r>
              <w:rPr>
                <w:spacing w:val="-7"/>
                <w:sz w:val="20"/>
              </w:rPr>
              <w:t> </w:t>
            </w:r>
            <w:r>
              <w:rPr>
                <w:sz w:val="20"/>
              </w:rPr>
              <w:t>of</w:t>
            </w:r>
            <w:r>
              <w:rPr>
                <w:spacing w:val="-9"/>
                <w:sz w:val="20"/>
              </w:rPr>
              <w:t> </w:t>
            </w:r>
            <w:r>
              <w:rPr>
                <w:sz w:val="20"/>
              </w:rPr>
              <w:t>Partnership</w:t>
            </w:r>
            <w:r>
              <w:rPr>
                <w:spacing w:val="-6"/>
                <w:sz w:val="20"/>
              </w:rPr>
              <w:t> </w:t>
            </w:r>
            <w:r>
              <w:rPr>
                <w:sz w:val="20"/>
              </w:rPr>
              <w:t>Principles</w:t>
            </w:r>
            <w:r>
              <w:rPr>
                <w:spacing w:val="-9"/>
                <w:sz w:val="20"/>
              </w:rPr>
              <w:t> </w:t>
            </w:r>
            <w:r>
              <w:rPr>
                <w:sz w:val="20"/>
              </w:rPr>
              <w:t>2016-</w:t>
            </w:r>
            <w:r>
              <w:rPr>
                <w:spacing w:val="-4"/>
                <w:sz w:val="20"/>
              </w:rPr>
              <w:t>2020</w:t>
            </w:r>
          </w:p>
        </w:tc>
        <w:tc>
          <w:tcPr>
            <w:tcW w:w="1798" w:type="dxa"/>
          </w:tcPr>
          <w:p>
            <w:pPr>
              <w:pStyle w:val="TableParagraph"/>
              <w:spacing w:before="61"/>
              <w:ind w:left="107"/>
              <w:rPr>
                <w:sz w:val="20"/>
              </w:rPr>
            </w:pPr>
            <w:r>
              <w:rPr>
                <w:spacing w:val="-5"/>
                <w:sz w:val="20"/>
              </w:rPr>
              <w:t>AHC</w:t>
            </w:r>
          </w:p>
        </w:tc>
      </w:tr>
      <w:tr>
        <w:trPr>
          <w:trHeight w:val="364" w:hRule="atLeast"/>
        </w:trPr>
        <w:tc>
          <w:tcPr>
            <w:tcW w:w="7276" w:type="dxa"/>
          </w:tcPr>
          <w:p>
            <w:pPr>
              <w:pStyle w:val="TableParagraph"/>
              <w:spacing w:before="61"/>
              <w:ind w:left="107"/>
              <w:rPr>
                <w:sz w:val="20"/>
              </w:rPr>
            </w:pPr>
            <w:r>
              <w:rPr>
                <w:sz w:val="20"/>
              </w:rPr>
              <w:t>National</w:t>
            </w:r>
            <w:r>
              <w:rPr>
                <w:spacing w:val="-6"/>
                <w:sz w:val="20"/>
              </w:rPr>
              <w:t> </w:t>
            </w:r>
            <w:r>
              <w:rPr>
                <w:sz w:val="20"/>
              </w:rPr>
              <w:t>Education</w:t>
            </w:r>
            <w:r>
              <w:rPr>
                <w:spacing w:val="-8"/>
                <w:sz w:val="20"/>
              </w:rPr>
              <w:t> </w:t>
            </w:r>
            <w:r>
              <w:rPr>
                <w:sz w:val="20"/>
              </w:rPr>
              <w:t>Action</w:t>
            </w:r>
            <w:r>
              <w:rPr>
                <w:spacing w:val="-4"/>
                <w:sz w:val="20"/>
              </w:rPr>
              <w:t> </w:t>
            </w:r>
            <w:r>
              <w:rPr>
                <w:sz w:val="20"/>
              </w:rPr>
              <w:t>Plan</w:t>
            </w:r>
            <w:r>
              <w:rPr>
                <w:spacing w:val="-5"/>
                <w:sz w:val="20"/>
              </w:rPr>
              <w:t> </w:t>
            </w:r>
            <w:r>
              <w:rPr>
                <w:spacing w:val="-2"/>
                <w:sz w:val="20"/>
              </w:rPr>
              <w:t>2016–2020</w:t>
            </w:r>
          </w:p>
        </w:tc>
        <w:tc>
          <w:tcPr>
            <w:tcW w:w="1798" w:type="dxa"/>
          </w:tcPr>
          <w:p>
            <w:pPr>
              <w:pStyle w:val="TableParagraph"/>
              <w:spacing w:before="61"/>
              <w:ind w:left="107"/>
              <w:rPr>
                <w:sz w:val="20"/>
              </w:rPr>
            </w:pPr>
            <w:r>
              <w:rPr>
                <w:spacing w:val="-4"/>
                <w:sz w:val="20"/>
              </w:rPr>
              <w:t>MEHRD</w:t>
            </w:r>
          </w:p>
        </w:tc>
      </w:tr>
      <w:tr>
        <w:trPr>
          <w:trHeight w:val="364" w:hRule="atLeast"/>
        </w:trPr>
        <w:tc>
          <w:tcPr>
            <w:tcW w:w="7276" w:type="dxa"/>
          </w:tcPr>
          <w:p>
            <w:pPr>
              <w:pStyle w:val="TableParagraph"/>
              <w:spacing w:before="61"/>
              <w:ind w:left="107"/>
              <w:rPr>
                <w:sz w:val="20"/>
              </w:rPr>
            </w:pPr>
            <w:r>
              <w:rPr>
                <w:sz w:val="20"/>
              </w:rPr>
              <w:t>National</w:t>
            </w:r>
            <w:r>
              <w:rPr>
                <w:spacing w:val="-8"/>
                <w:sz w:val="20"/>
              </w:rPr>
              <w:t> </w:t>
            </w:r>
            <w:r>
              <w:rPr>
                <w:sz w:val="20"/>
              </w:rPr>
              <w:t>Education</w:t>
            </w:r>
            <w:r>
              <w:rPr>
                <w:spacing w:val="-8"/>
                <w:sz w:val="20"/>
              </w:rPr>
              <w:t> </w:t>
            </w:r>
            <w:r>
              <w:rPr>
                <w:sz w:val="20"/>
              </w:rPr>
              <w:t>Action</w:t>
            </w:r>
            <w:r>
              <w:rPr>
                <w:spacing w:val="-6"/>
                <w:sz w:val="20"/>
              </w:rPr>
              <w:t> </w:t>
            </w:r>
            <w:r>
              <w:rPr>
                <w:sz w:val="20"/>
              </w:rPr>
              <w:t>Plan</w:t>
            </w:r>
            <w:r>
              <w:rPr>
                <w:spacing w:val="-7"/>
                <w:sz w:val="20"/>
              </w:rPr>
              <w:t> </w:t>
            </w:r>
            <w:r>
              <w:rPr>
                <w:sz w:val="20"/>
              </w:rPr>
              <w:t>2016–2020</w:t>
            </w:r>
            <w:r>
              <w:rPr>
                <w:spacing w:val="-7"/>
                <w:sz w:val="20"/>
              </w:rPr>
              <w:t> </w:t>
            </w:r>
            <w:r>
              <w:rPr>
                <w:sz w:val="20"/>
              </w:rPr>
              <w:t>Implementation</w:t>
            </w:r>
            <w:r>
              <w:rPr>
                <w:spacing w:val="-7"/>
                <w:sz w:val="20"/>
              </w:rPr>
              <w:t> </w:t>
            </w:r>
            <w:r>
              <w:rPr>
                <w:spacing w:val="-2"/>
                <w:sz w:val="20"/>
              </w:rPr>
              <w:t>Framework</w:t>
            </w:r>
          </w:p>
        </w:tc>
        <w:tc>
          <w:tcPr>
            <w:tcW w:w="1798" w:type="dxa"/>
          </w:tcPr>
          <w:p>
            <w:pPr>
              <w:pStyle w:val="TableParagraph"/>
              <w:spacing w:before="61"/>
              <w:ind w:left="107"/>
              <w:rPr>
                <w:sz w:val="20"/>
              </w:rPr>
            </w:pPr>
            <w:r>
              <w:rPr>
                <w:spacing w:val="-4"/>
                <w:sz w:val="20"/>
              </w:rPr>
              <w:t>MEHRD</w:t>
            </w:r>
          </w:p>
        </w:tc>
      </w:tr>
      <w:tr>
        <w:trPr>
          <w:trHeight w:val="361" w:hRule="atLeast"/>
        </w:trPr>
        <w:tc>
          <w:tcPr>
            <w:tcW w:w="7276" w:type="dxa"/>
          </w:tcPr>
          <w:p>
            <w:pPr>
              <w:pStyle w:val="TableParagraph"/>
              <w:spacing w:before="61"/>
              <w:ind w:left="107"/>
              <w:rPr>
                <w:sz w:val="20"/>
              </w:rPr>
            </w:pPr>
            <w:r>
              <w:rPr>
                <w:sz w:val="20"/>
              </w:rPr>
              <w:t>Performance</w:t>
            </w:r>
            <w:r>
              <w:rPr>
                <w:spacing w:val="-8"/>
                <w:sz w:val="20"/>
              </w:rPr>
              <w:t> </w:t>
            </w:r>
            <w:r>
              <w:rPr>
                <w:sz w:val="20"/>
              </w:rPr>
              <w:t>Assessment</w:t>
            </w:r>
            <w:r>
              <w:rPr>
                <w:spacing w:val="-5"/>
                <w:sz w:val="20"/>
              </w:rPr>
              <w:t> </w:t>
            </w:r>
            <w:r>
              <w:rPr>
                <w:sz w:val="20"/>
              </w:rPr>
              <w:t>Report</w:t>
            </w:r>
            <w:r>
              <w:rPr>
                <w:spacing w:val="-5"/>
                <w:sz w:val="20"/>
              </w:rPr>
              <w:t> </w:t>
            </w:r>
            <w:r>
              <w:rPr>
                <w:sz w:val="20"/>
              </w:rPr>
              <w:t>2015</w:t>
            </w:r>
            <w:r>
              <w:rPr>
                <w:spacing w:val="-7"/>
                <w:sz w:val="20"/>
              </w:rPr>
              <w:t> </w:t>
            </w:r>
            <w:r>
              <w:rPr>
                <w:sz w:val="20"/>
              </w:rPr>
              <w:t>&amp;</w:t>
            </w:r>
            <w:r>
              <w:rPr>
                <w:spacing w:val="-5"/>
                <w:sz w:val="20"/>
              </w:rPr>
              <w:t> </w:t>
            </w:r>
            <w:r>
              <w:rPr>
                <w:sz w:val="20"/>
              </w:rPr>
              <w:t>2016,</w:t>
            </w:r>
            <w:r>
              <w:rPr>
                <w:spacing w:val="-5"/>
                <w:sz w:val="20"/>
              </w:rPr>
              <w:t> </w:t>
            </w:r>
            <w:r>
              <w:rPr>
                <w:spacing w:val="-4"/>
                <w:sz w:val="20"/>
              </w:rPr>
              <w:t>2017</w:t>
            </w:r>
          </w:p>
        </w:tc>
        <w:tc>
          <w:tcPr>
            <w:tcW w:w="1798" w:type="dxa"/>
          </w:tcPr>
          <w:p>
            <w:pPr>
              <w:pStyle w:val="TableParagraph"/>
              <w:spacing w:before="61"/>
              <w:ind w:left="107"/>
              <w:rPr>
                <w:sz w:val="20"/>
              </w:rPr>
            </w:pPr>
            <w:r>
              <w:rPr>
                <w:spacing w:val="-4"/>
                <w:sz w:val="20"/>
              </w:rPr>
              <w:t>MEHRD</w:t>
            </w:r>
          </w:p>
        </w:tc>
      </w:tr>
      <w:tr>
        <w:trPr>
          <w:trHeight w:val="364" w:hRule="atLeast"/>
        </w:trPr>
        <w:tc>
          <w:tcPr>
            <w:tcW w:w="7276" w:type="dxa"/>
          </w:tcPr>
          <w:p>
            <w:pPr>
              <w:pStyle w:val="TableParagraph"/>
              <w:spacing w:before="63"/>
              <w:ind w:left="107"/>
              <w:rPr>
                <w:sz w:val="20"/>
              </w:rPr>
            </w:pPr>
            <w:r>
              <w:rPr>
                <w:sz w:val="20"/>
              </w:rPr>
              <w:t>MEHRD</w:t>
            </w:r>
            <w:r>
              <w:rPr>
                <w:spacing w:val="-5"/>
                <w:sz w:val="20"/>
              </w:rPr>
              <w:t> </w:t>
            </w:r>
            <w:r>
              <w:rPr>
                <w:sz w:val="20"/>
              </w:rPr>
              <w:t>2018</w:t>
            </w:r>
            <w:r>
              <w:rPr>
                <w:spacing w:val="-4"/>
                <w:sz w:val="20"/>
              </w:rPr>
              <w:t> </w:t>
            </w:r>
            <w:r>
              <w:rPr>
                <w:sz w:val="20"/>
              </w:rPr>
              <w:t>Quarter</w:t>
            </w:r>
            <w:r>
              <w:rPr>
                <w:spacing w:val="-5"/>
                <w:sz w:val="20"/>
              </w:rPr>
              <w:t> </w:t>
            </w:r>
            <w:r>
              <w:rPr>
                <w:sz w:val="20"/>
              </w:rPr>
              <w:t>1</w:t>
            </w:r>
            <w:r>
              <w:rPr>
                <w:spacing w:val="-4"/>
                <w:sz w:val="20"/>
              </w:rPr>
              <w:t> </w:t>
            </w:r>
            <w:r>
              <w:rPr>
                <w:spacing w:val="-2"/>
                <w:sz w:val="20"/>
              </w:rPr>
              <w:t>Report</w:t>
            </w:r>
          </w:p>
        </w:tc>
        <w:tc>
          <w:tcPr>
            <w:tcW w:w="1798" w:type="dxa"/>
          </w:tcPr>
          <w:p>
            <w:pPr>
              <w:pStyle w:val="TableParagraph"/>
              <w:spacing w:before="63"/>
              <w:ind w:left="107"/>
              <w:rPr>
                <w:sz w:val="20"/>
              </w:rPr>
            </w:pPr>
            <w:r>
              <w:rPr>
                <w:spacing w:val="-4"/>
                <w:sz w:val="20"/>
              </w:rPr>
              <w:t>MEHRD</w:t>
            </w:r>
          </w:p>
        </w:tc>
      </w:tr>
      <w:tr>
        <w:trPr>
          <w:trHeight w:val="364" w:hRule="atLeast"/>
        </w:trPr>
        <w:tc>
          <w:tcPr>
            <w:tcW w:w="7276" w:type="dxa"/>
          </w:tcPr>
          <w:p>
            <w:pPr>
              <w:pStyle w:val="TableParagraph"/>
              <w:spacing w:before="61"/>
              <w:ind w:left="107"/>
              <w:rPr>
                <w:sz w:val="20"/>
              </w:rPr>
            </w:pPr>
            <w:r>
              <w:rPr>
                <w:sz w:val="20"/>
              </w:rPr>
              <w:t>MEHRD</w:t>
            </w:r>
            <w:r>
              <w:rPr>
                <w:spacing w:val="-7"/>
                <w:sz w:val="20"/>
              </w:rPr>
              <w:t> </w:t>
            </w:r>
            <w:r>
              <w:rPr>
                <w:sz w:val="20"/>
              </w:rPr>
              <w:t>Monitoring,</w:t>
            </w:r>
            <w:r>
              <w:rPr>
                <w:spacing w:val="-5"/>
                <w:sz w:val="20"/>
              </w:rPr>
              <w:t> </w:t>
            </w:r>
            <w:r>
              <w:rPr>
                <w:sz w:val="20"/>
              </w:rPr>
              <w:t>Evaluation</w:t>
            </w:r>
            <w:r>
              <w:rPr>
                <w:spacing w:val="-5"/>
                <w:sz w:val="20"/>
              </w:rPr>
              <w:t> </w:t>
            </w:r>
            <w:r>
              <w:rPr>
                <w:sz w:val="20"/>
              </w:rPr>
              <w:t>and</w:t>
            </w:r>
            <w:r>
              <w:rPr>
                <w:spacing w:val="-5"/>
                <w:sz w:val="20"/>
              </w:rPr>
              <w:t> </w:t>
            </w:r>
            <w:r>
              <w:rPr>
                <w:sz w:val="20"/>
              </w:rPr>
              <w:t>Learning</w:t>
            </w:r>
            <w:r>
              <w:rPr>
                <w:spacing w:val="-7"/>
                <w:sz w:val="20"/>
              </w:rPr>
              <w:t> </w:t>
            </w:r>
            <w:r>
              <w:rPr>
                <w:sz w:val="20"/>
              </w:rPr>
              <w:t>Plan</w:t>
            </w:r>
            <w:r>
              <w:rPr>
                <w:spacing w:val="-5"/>
                <w:sz w:val="20"/>
              </w:rPr>
              <w:t> </w:t>
            </w:r>
            <w:r>
              <w:rPr>
                <w:sz w:val="20"/>
              </w:rPr>
              <w:t>2017</w:t>
            </w:r>
            <w:r>
              <w:rPr>
                <w:spacing w:val="-7"/>
                <w:sz w:val="20"/>
              </w:rPr>
              <w:t> </w:t>
            </w:r>
            <w:r>
              <w:rPr>
                <w:sz w:val="20"/>
              </w:rPr>
              <w:t>to</w:t>
            </w:r>
            <w:r>
              <w:rPr>
                <w:spacing w:val="-5"/>
                <w:sz w:val="20"/>
              </w:rPr>
              <w:t> </w:t>
            </w:r>
            <w:r>
              <w:rPr>
                <w:spacing w:val="-4"/>
                <w:sz w:val="20"/>
              </w:rPr>
              <w:t>2020</w:t>
            </w:r>
          </w:p>
        </w:tc>
        <w:tc>
          <w:tcPr>
            <w:tcW w:w="1798" w:type="dxa"/>
          </w:tcPr>
          <w:p>
            <w:pPr>
              <w:pStyle w:val="TableParagraph"/>
              <w:spacing w:before="61"/>
              <w:ind w:left="107"/>
              <w:rPr>
                <w:sz w:val="20"/>
              </w:rPr>
            </w:pPr>
            <w:r>
              <w:rPr>
                <w:spacing w:val="-4"/>
                <w:sz w:val="20"/>
              </w:rPr>
              <w:t>MEHRD</w:t>
            </w:r>
          </w:p>
        </w:tc>
      </w:tr>
      <w:tr>
        <w:trPr>
          <w:trHeight w:val="364" w:hRule="atLeast"/>
        </w:trPr>
        <w:tc>
          <w:tcPr>
            <w:tcW w:w="7276" w:type="dxa"/>
          </w:tcPr>
          <w:p>
            <w:pPr>
              <w:pStyle w:val="TableParagraph"/>
              <w:spacing w:before="61"/>
              <w:ind w:left="107"/>
              <w:rPr>
                <w:sz w:val="20"/>
              </w:rPr>
            </w:pPr>
            <w:r>
              <w:rPr>
                <w:sz w:val="20"/>
              </w:rPr>
              <w:t>MEHRD</w:t>
            </w:r>
            <w:r>
              <w:rPr>
                <w:spacing w:val="-6"/>
                <w:sz w:val="20"/>
              </w:rPr>
              <w:t> </w:t>
            </w:r>
            <w:r>
              <w:rPr>
                <w:sz w:val="20"/>
              </w:rPr>
              <w:t>Annual</w:t>
            </w:r>
            <w:r>
              <w:rPr>
                <w:spacing w:val="-4"/>
                <w:sz w:val="20"/>
              </w:rPr>
              <w:t> </w:t>
            </w:r>
            <w:r>
              <w:rPr>
                <w:sz w:val="20"/>
              </w:rPr>
              <w:t>Work</w:t>
            </w:r>
            <w:r>
              <w:rPr>
                <w:spacing w:val="-5"/>
                <w:sz w:val="20"/>
              </w:rPr>
              <w:t> </w:t>
            </w:r>
            <w:r>
              <w:rPr>
                <w:sz w:val="20"/>
              </w:rPr>
              <w:t>Plan</w:t>
            </w:r>
            <w:r>
              <w:rPr>
                <w:spacing w:val="-2"/>
                <w:sz w:val="20"/>
              </w:rPr>
              <w:t> </w:t>
            </w:r>
            <w:r>
              <w:rPr>
                <w:spacing w:val="-4"/>
                <w:sz w:val="20"/>
              </w:rPr>
              <w:t>2018</w:t>
            </w:r>
          </w:p>
        </w:tc>
        <w:tc>
          <w:tcPr>
            <w:tcW w:w="1798" w:type="dxa"/>
          </w:tcPr>
          <w:p>
            <w:pPr>
              <w:pStyle w:val="TableParagraph"/>
              <w:spacing w:before="61"/>
              <w:ind w:left="107"/>
              <w:rPr>
                <w:sz w:val="20"/>
              </w:rPr>
            </w:pPr>
            <w:r>
              <w:rPr>
                <w:spacing w:val="-4"/>
                <w:sz w:val="20"/>
              </w:rPr>
              <w:t>MEHRD</w:t>
            </w:r>
          </w:p>
        </w:tc>
      </w:tr>
      <w:tr>
        <w:trPr>
          <w:trHeight w:val="364" w:hRule="atLeast"/>
        </w:trPr>
        <w:tc>
          <w:tcPr>
            <w:tcW w:w="7276" w:type="dxa"/>
          </w:tcPr>
          <w:p>
            <w:pPr>
              <w:pStyle w:val="TableParagraph"/>
              <w:spacing w:before="61"/>
              <w:ind w:left="107"/>
              <w:rPr>
                <w:sz w:val="20"/>
              </w:rPr>
            </w:pPr>
            <w:r>
              <w:rPr>
                <w:sz w:val="20"/>
              </w:rPr>
              <w:t>Public</w:t>
            </w:r>
            <w:r>
              <w:rPr>
                <w:spacing w:val="-9"/>
                <w:sz w:val="20"/>
              </w:rPr>
              <w:t> </w:t>
            </w:r>
            <w:r>
              <w:rPr>
                <w:sz w:val="20"/>
              </w:rPr>
              <w:t>Financial</w:t>
            </w:r>
            <w:r>
              <w:rPr>
                <w:spacing w:val="-7"/>
                <w:sz w:val="20"/>
              </w:rPr>
              <w:t> </w:t>
            </w:r>
            <w:r>
              <w:rPr>
                <w:sz w:val="20"/>
              </w:rPr>
              <w:t>Management</w:t>
            </w:r>
            <w:r>
              <w:rPr>
                <w:spacing w:val="-7"/>
                <w:sz w:val="20"/>
              </w:rPr>
              <w:t> </w:t>
            </w:r>
            <w:r>
              <w:rPr>
                <w:spacing w:val="-4"/>
                <w:sz w:val="20"/>
              </w:rPr>
              <w:t>Plan</w:t>
            </w:r>
          </w:p>
        </w:tc>
        <w:tc>
          <w:tcPr>
            <w:tcW w:w="1798" w:type="dxa"/>
          </w:tcPr>
          <w:p>
            <w:pPr>
              <w:pStyle w:val="TableParagraph"/>
              <w:spacing w:before="61"/>
              <w:ind w:left="107"/>
              <w:rPr>
                <w:sz w:val="20"/>
              </w:rPr>
            </w:pPr>
            <w:r>
              <w:rPr>
                <w:spacing w:val="-5"/>
                <w:sz w:val="20"/>
              </w:rPr>
              <w:t>AHC</w:t>
            </w:r>
          </w:p>
        </w:tc>
      </w:tr>
      <w:tr>
        <w:trPr>
          <w:trHeight w:val="365" w:hRule="atLeast"/>
        </w:trPr>
        <w:tc>
          <w:tcPr>
            <w:tcW w:w="7276" w:type="dxa"/>
          </w:tcPr>
          <w:p>
            <w:pPr>
              <w:pStyle w:val="TableParagraph"/>
              <w:spacing w:before="62"/>
              <w:ind w:left="107"/>
              <w:rPr>
                <w:sz w:val="20"/>
              </w:rPr>
            </w:pPr>
            <w:r>
              <w:rPr>
                <w:sz w:val="20"/>
              </w:rPr>
              <w:t>Solomon</w:t>
            </w:r>
            <w:r>
              <w:rPr>
                <w:spacing w:val="-9"/>
                <w:sz w:val="20"/>
              </w:rPr>
              <w:t> </w:t>
            </w:r>
            <w:r>
              <w:rPr>
                <w:sz w:val="20"/>
              </w:rPr>
              <w:t>Islands</w:t>
            </w:r>
            <w:r>
              <w:rPr>
                <w:spacing w:val="-8"/>
                <w:sz w:val="20"/>
              </w:rPr>
              <w:t> </w:t>
            </w:r>
            <w:r>
              <w:rPr>
                <w:sz w:val="20"/>
              </w:rPr>
              <w:t>Government</w:t>
            </w:r>
            <w:r>
              <w:rPr>
                <w:spacing w:val="-7"/>
                <w:sz w:val="20"/>
              </w:rPr>
              <w:t> </w:t>
            </w:r>
            <w:r>
              <w:rPr>
                <w:sz w:val="20"/>
              </w:rPr>
              <w:t>Recurrent</w:t>
            </w:r>
            <w:r>
              <w:rPr>
                <w:spacing w:val="-8"/>
                <w:sz w:val="20"/>
              </w:rPr>
              <w:t> </w:t>
            </w:r>
            <w:r>
              <w:rPr>
                <w:sz w:val="20"/>
              </w:rPr>
              <w:t>Estimates</w:t>
            </w:r>
            <w:r>
              <w:rPr>
                <w:spacing w:val="-11"/>
                <w:sz w:val="20"/>
              </w:rPr>
              <w:t> </w:t>
            </w:r>
            <w:r>
              <w:rPr>
                <w:spacing w:val="-4"/>
                <w:sz w:val="20"/>
              </w:rPr>
              <w:t>2018</w:t>
            </w:r>
          </w:p>
        </w:tc>
        <w:tc>
          <w:tcPr>
            <w:tcW w:w="1798" w:type="dxa"/>
          </w:tcPr>
          <w:p>
            <w:pPr>
              <w:pStyle w:val="TableParagraph"/>
              <w:spacing w:before="62"/>
              <w:ind w:left="107"/>
              <w:rPr>
                <w:sz w:val="20"/>
              </w:rPr>
            </w:pPr>
            <w:r>
              <w:rPr>
                <w:spacing w:val="-4"/>
                <w:sz w:val="20"/>
              </w:rPr>
              <w:t>MOFT</w:t>
            </w:r>
          </w:p>
        </w:tc>
      </w:tr>
      <w:tr>
        <w:trPr>
          <w:trHeight w:val="364" w:hRule="atLeast"/>
        </w:trPr>
        <w:tc>
          <w:tcPr>
            <w:tcW w:w="7276" w:type="dxa"/>
          </w:tcPr>
          <w:p>
            <w:pPr>
              <w:pStyle w:val="TableParagraph"/>
              <w:spacing w:before="61"/>
              <w:ind w:left="107"/>
              <w:rPr>
                <w:sz w:val="20"/>
              </w:rPr>
            </w:pPr>
            <w:r>
              <w:rPr>
                <w:sz w:val="20"/>
              </w:rPr>
              <w:t>Solomon</w:t>
            </w:r>
            <w:r>
              <w:rPr>
                <w:spacing w:val="-7"/>
                <w:sz w:val="20"/>
              </w:rPr>
              <w:t> </w:t>
            </w:r>
            <w:r>
              <w:rPr>
                <w:sz w:val="20"/>
              </w:rPr>
              <w:t>Islands</w:t>
            </w:r>
            <w:r>
              <w:rPr>
                <w:spacing w:val="-8"/>
                <w:sz w:val="20"/>
              </w:rPr>
              <w:t> </w:t>
            </w:r>
            <w:r>
              <w:rPr>
                <w:sz w:val="20"/>
              </w:rPr>
              <w:t>Budget</w:t>
            </w:r>
            <w:r>
              <w:rPr>
                <w:spacing w:val="-7"/>
                <w:sz w:val="20"/>
              </w:rPr>
              <w:t> </w:t>
            </w:r>
            <w:r>
              <w:rPr>
                <w:sz w:val="20"/>
              </w:rPr>
              <w:t>2018:</w:t>
            </w:r>
            <w:r>
              <w:rPr>
                <w:spacing w:val="-5"/>
                <w:sz w:val="20"/>
              </w:rPr>
              <w:t> </w:t>
            </w:r>
            <w:r>
              <w:rPr>
                <w:sz w:val="20"/>
              </w:rPr>
              <w:t>Budget</w:t>
            </w:r>
            <w:r>
              <w:rPr>
                <w:spacing w:val="-7"/>
                <w:sz w:val="20"/>
              </w:rPr>
              <w:t> </w:t>
            </w:r>
            <w:r>
              <w:rPr>
                <w:sz w:val="20"/>
              </w:rPr>
              <w:t>Strategy</w:t>
            </w:r>
            <w:r>
              <w:rPr>
                <w:spacing w:val="-6"/>
                <w:sz w:val="20"/>
              </w:rPr>
              <w:t> </w:t>
            </w:r>
            <w:r>
              <w:rPr>
                <w:sz w:val="20"/>
              </w:rPr>
              <w:t>and</w:t>
            </w:r>
            <w:r>
              <w:rPr>
                <w:spacing w:val="-7"/>
                <w:sz w:val="20"/>
              </w:rPr>
              <w:t> </w:t>
            </w:r>
            <w:r>
              <w:rPr>
                <w:sz w:val="20"/>
              </w:rPr>
              <w:t>Outlook,</w:t>
            </w:r>
            <w:r>
              <w:rPr>
                <w:spacing w:val="-8"/>
                <w:sz w:val="20"/>
              </w:rPr>
              <w:t> </w:t>
            </w:r>
            <w:r>
              <w:rPr>
                <w:sz w:val="20"/>
              </w:rPr>
              <w:t>Volume</w:t>
            </w:r>
            <w:r>
              <w:rPr>
                <w:spacing w:val="-8"/>
                <w:sz w:val="20"/>
              </w:rPr>
              <w:t> </w:t>
            </w:r>
            <w:r>
              <w:rPr>
                <w:spacing w:val="-10"/>
                <w:sz w:val="20"/>
              </w:rPr>
              <w:t>1</w:t>
            </w:r>
          </w:p>
        </w:tc>
        <w:tc>
          <w:tcPr>
            <w:tcW w:w="1798" w:type="dxa"/>
          </w:tcPr>
          <w:p>
            <w:pPr>
              <w:pStyle w:val="TableParagraph"/>
              <w:spacing w:before="61"/>
              <w:ind w:left="107"/>
              <w:rPr>
                <w:sz w:val="20"/>
              </w:rPr>
            </w:pPr>
            <w:r>
              <w:rPr>
                <w:spacing w:val="-4"/>
                <w:sz w:val="20"/>
              </w:rPr>
              <w:t>MOFT</w:t>
            </w:r>
          </w:p>
        </w:tc>
      </w:tr>
      <w:tr>
        <w:trPr>
          <w:trHeight w:val="364" w:hRule="atLeast"/>
        </w:trPr>
        <w:tc>
          <w:tcPr>
            <w:tcW w:w="7276" w:type="dxa"/>
          </w:tcPr>
          <w:p>
            <w:pPr>
              <w:pStyle w:val="TableParagraph"/>
              <w:spacing w:before="61"/>
              <w:ind w:left="107"/>
              <w:rPr>
                <w:sz w:val="20"/>
              </w:rPr>
            </w:pPr>
            <w:r>
              <w:rPr>
                <w:sz w:val="20"/>
              </w:rPr>
              <w:t>Central</w:t>
            </w:r>
            <w:r>
              <w:rPr>
                <w:spacing w:val="-6"/>
                <w:sz w:val="20"/>
              </w:rPr>
              <w:t> </w:t>
            </w:r>
            <w:r>
              <w:rPr>
                <w:sz w:val="20"/>
              </w:rPr>
              <w:t>Bank</w:t>
            </w:r>
            <w:r>
              <w:rPr>
                <w:spacing w:val="-5"/>
                <w:sz w:val="20"/>
              </w:rPr>
              <w:t> </w:t>
            </w:r>
            <w:r>
              <w:rPr>
                <w:sz w:val="20"/>
              </w:rPr>
              <w:t>of</w:t>
            </w:r>
            <w:r>
              <w:rPr>
                <w:spacing w:val="-7"/>
                <w:sz w:val="20"/>
              </w:rPr>
              <w:t> </w:t>
            </w:r>
            <w:r>
              <w:rPr>
                <w:sz w:val="20"/>
              </w:rPr>
              <w:t>Solomon</w:t>
            </w:r>
            <w:r>
              <w:rPr>
                <w:spacing w:val="-5"/>
                <w:sz w:val="20"/>
              </w:rPr>
              <w:t> </w:t>
            </w:r>
            <w:r>
              <w:rPr>
                <w:sz w:val="20"/>
              </w:rPr>
              <w:t>Islands,</w:t>
            </w:r>
            <w:r>
              <w:rPr>
                <w:spacing w:val="-5"/>
                <w:sz w:val="20"/>
              </w:rPr>
              <w:t> </w:t>
            </w:r>
            <w:r>
              <w:rPr>
                <w:sz w:val="20"/>
              </w:rPr>
              <w:t>2018</w:t>
            </w:r>
            <w:r>
              <w:rPr>
                <w:spacing w:val="-5"/>
                <w:sz w:val="20"/>
              </w:rPr>
              <w:t> </w:t>
            </w:r>
            <w:r>
              <w:rPr>
                <w:sz w:val="20"/>
              </w:rPr>
              <w:t>Annual</w:t>
            </w:r>
            <w:r>
              <w:rPr>
                <w:spacing w:val="-5"/>
                <w:sz w:val="20"/>
              </w:rPr>
              <w:t> </w:t>
            </w:r>
            <w:r>
              <w:rPr>
                <w:spacing w:val="-2"/>
                <w:sz w:val="20"/>
              </w:rPr>
              <w:t>Report</w:t>
            </w:r>
          </w:p>
        </w:tc>
        <w:tc>
          <w:tcPr>
            <w:tcW w:w="1798" w:type="dxa"/>
          </w:tcPr>
          <w:p>
            <w:pPr>
              <w:pStyle w:val="TableParagraph"/>
              <w:spacing w:before="61"/>
              <w:ind w:left="107"/>
              <w:rPr>
                <w:sz w:val="20"/>
              </w:rPr>
            </w:pPr>
            <w:r>
              <w:rPr>
                <w:spacing w:val="-4"/>
                <w:sz w:val="20"/>
              </w:rPr>
              <w:t>MOFT</w:t>
            </w:r>
          </w:p>
        </w:tc>
      </w:tr>
      <w:tr>
        <w:trPr>
          <w:trHeight w:val="364" w:hRule="atLeast"/>
        </w:trPr>
        <w:tc>
          <w:tcPr>
            <w:tcW w:w="7276" w:type="dxa"/>
          </w:tcPr>
          <w:p>
            <w:pPr>
              <w:pStyle w:val="TableParagraph"/>
              <w:spacing w:before="61"/>
              <w:ind w:left="107"/>
              <w:rPr>
                <w:sz w:val="20"/>
              </w:rPr>
            </w:pPr>
            <w:r>
              <w:rPr>
                <w:sz w:val="20"/>
              </w:rPr>
              <w:t>School</w:t>
            </w:r>
            <w:r>
              <w:rPr>
                <w:spacing w:val="-9"/>
                <w:sz w:val="20"/>
              </w:rPr>
              <w:t> </w:t>
            </w:r>
            <w:r>
              <w:rPr>
                <w:sz w:val="20"/>
              </w:rPr>
              <w:t>Financial</w:t>
            </w:r>
            <w:r>
              <w:rPr>
                <w:spacing w:val="-10"/>
                <w:sz w:val="20"/>
              </w:rPr>
              <w:t> </w:t>
            </w:r>
            <w:r>
              <w:rPr>
                <w:sz w:val="20"/>
              </w:rPr>
              <w:t>Management</w:t>
            </w:r>
            <w:r>
              <w:rPr>
                <w:spacing w:val="-7"/>
                <w:sz w:val="20"/>
              </w:rPr>
              <w:t> </w:t>
            </w:r>
            <w:r>
              <w:rPr>
                <w:spacing w:val="-2"/>
                <w:sz w:val="20"/>
              </w:rPr>
              <w:t>Handbook</w:t>
            </w:r>
          </w:p>
        </w:tc>
        <w:tc>
          <w:tcPr>
            <w:tcW w:w="1798" w:type="dxa"/>
          </w:tcPr>
          <w:p>
            <w:pPr>
              <w:pStyle w:val="TableParagraph"/>
              <w:spacing w:before="61"/>
              <w:ind w:left="107"/>
              <w:rPr>
                <w:sz w:val="20"/>
              </w:rPr>
            </w:pPr>
            <w:r>
              <w:rPr>
                <w:spacing w:val="-4"/>
                <w:sz w:val="20"/>
              </w:rPr>
              <w:t>MEHRD</w:t>
            </w:r>
          </w:p>
        </w:tc>
      </w:tr>
      <w:tr>
        <w:trPr>
          <w:trHeight w:val="361" w:hRule="atLeast"/>
        </w:trPr>
        <w:tc>
          <w:tcPr>
            <w:tcW w:w="7276" w:type="dxa"/>
          </w:tcPr>
          <w:p>
            <w:pPr>
              <w:pStyle w:val="TableParagraph"/>
              <w:spacing w:before="61"/>
              <w:ind w:left="107"/>
              <w:rPr>
                <w:sz w:val="20"/>
              </w:rPr>
            </w:pPr>
            <w:r>
              <w:rPr>
                <w:sz w:val="20"/>
              </w:rPr>
              <w:t>Solomon</w:t>
            </w:r>
            <w:r>
              <w:rPr>
                <w:spacing w:val="-8"/>
                <w:sz w:val="20"/>
              </w:rPr>
              <w:t> </w:t>
            </w:r>
            <w:r>
              <w:rPr>
                <w:sz w:val="20"/>
              </w:rPr>
              <w:t>Islands</w:t>
            </w:r>
            <w:r>
              <w:rPr>
                <w:spacing w:val="-10"/>
                <w:sz w:val="20"/>
              </w:rPr>
              <w:t> </w:t>
            </w:r>
            <w:r>
              <w:rPr>
                <w:sz w:val="20"/>
              </w:rPr>
              <w:t>National</w:t>
            </w:r>
            <w:r>
              <w:rPr>
                <w:spacing w:val="-7"/>
                <w:sz w:val="20"/>
              </w:rPr>
              <w:t> </w:t>
            </w:r>
            <w:r>
              <w:rPr>
                <w:sz w:val="20"/>
              </w:rPr>
              <w:t>Disability</w:t>
            </w:r>
            <w:r>
              <w:rPr>
                <w:spacing w:val="-7"/>
                <w:sz w:val="20"/>
              </w:rPr>
              <w:t> </w:t>
            </w:r>
            <w:r>
              <w:rPr>
                <w:sz w:val="20"/>
              </w:rPr>
              <w:t>Inclusive</w:t>
            </w:r>
            <w:r>
              <w:rPr>
                <w:spacing w:val="-5"/>
                <w:sz w:val="20"/>
              </w:rPr>
              <w:t> </w:t>
            </w:r>
            <w:r>
              <w:rPr>
                <w:sz w:val="20"/>
              </w:rPr>
              <w:t>Education</w:t>
            </w:r>
            <w:r>
              <w:rPr>
                <w:spacing w:val="-7"/>
                <w:sz w:val="20"/>
              </w:rPr>
              <w:t> </w:t>
            </w:r>
            <w:r>
              <w:rPr>
                <w:sz w:val="20"/>
              </w:rPr>
              <w:t>Policy</w:t>
            </w:r>
            <w:r>
              <w:rPr>
                <w:spacing w:val="-8"/>
                <w:sz w:val="20"/>
              </w:rPr>
              <w:t> </w:t>
            </w:r>
            <w:r>
              <w:rPr>
                <w:sz w:val="20"/>
              </w:rPr>
              <w:t>2016–2020</w:t>
            </w:r>
            <w:r>
              <w:rPr>
                <w:spacing w:val="-8"/>
                <w:sz w:val="20"/>
              </w:rPr>
              <w:t> </w:t>
            </w:r>
            <w:r>
              <w:rPr>
                <w:spacing w:val="-2"/>
                <w:sz w:val="20"/>
              </w:rPr>
              <w:t>(Draft)</w:t>
            </w:r>
          </w:p>
        </w:tc>
        <w:tc>
          <w:tcPr>
            <w:tcW w:w="1798" w:type="dxa"/>
          </w:tcPr>
          <w:p>
            <w:pPr>
              <w:pStyle w:val="TableParagraph"/>
              <w:spacing w:before="61"/>
              <w:ind w:left="107"/>
              <w:rPr>
                <w:sz w:val="20"/>
              </w:rPr>
            </w:pPr>
            <w:r>
              <w:rPr>
                <w:spacing w:val="-4"/>
                <w:sz w:val="20"/>
              </w:rPr>
              <w:t>MEHRD</w:t>
            </w:r>
          </w:p>
        </w:tc>
      </w:tr>
      <w:tr>
        <w:trPr>
          <w:trHeight w:val="366" w:hRule="atLeast"/>
        </w:trPr>
        <w:tc>
          <w:tcPr>
            <w:tcW w:w="7276" w:type="dxa"/>
          </w:tcPr>
          <w:p>
            <w:pPr>
              <w:pStyle w:val="TableParagraph"/>
              <w:spacing w:before="63"/>
              <w:ind w:left="107"/>
              <w:rPr>
                <w:sz w:val="20"/>
              </w:rPr>
            </w:pPr>
            <w:r>
              <w:rPr>
                <w:sz w:val="20"/>
              </w:rPr>
              <w:t>Solomon</w:t>
            </w:r>
            <w:r>
              <w:rPr>
                <w:spacing w:val="-7"/>
                <w:sz w:val="20"/>
              </w:rPr>
              <w:t> </w:t>
            </w:r>
            <w:r>
              <w:rPr>
                <w:sz w:val="20"/>
              </w:rPr>
              <w:t>Islands</w:t>
            </w:r>
            <w:r>
              <w:rPr>
                <w:spacing w:val="-6"/>
                <w:sz w:val="20"/>
              </w:rPr>
              <w:t> </w:t>
            </w:r>
            <w:r>
              <w:rPr>
                <w:sz w:val="20"/>
              </w:rPr>
              <w:t>Gender</w:t>
            </w:r>
            <w:r>
              <w:rPr>
                <w:spacing w:val="-7"/>
                <w:sz w:val="20"/>
              </w:rPr>
              <w:t> </w:t>
            </w:r>
            <w:r>
              <w:rPr>
                <w:sz w:val="20"/>
              </w:rPr>
              <w:t>Equality</w:t>
            </w:r>
            <w:r>
              <w:rPr>
                <w:spacing w:val="-6"/>
                <w:sz w:val="20"/>
              </w:rPr>
              <w:t> </w:t>
            </w:r>
            <w:r>
              <w:rPr>
                <w:sz w:val="20"/>
              </w:rPr>
              <w:t>in</w:t>
            </w:r>
            <w:r>
              <w:rPr>
                <w:spacing w:val="-6"/>
                <w:sz w:val="20"/>
              </w:rPr>
              <w:t> </w:t>
            </w:r>
            <w:r>
              <w:rPr>
                <w:sz w:val="20"/>
              </w:rPr>
              <w:t>Education</w:t>
            </w:r>
            <w:r>
              <w:rPr>
                <w:spacing w:val="-6"/>
                <w:sz w:val="20"/>
              </w:rPr>
              <w:t> </w:t>
            </w:r>
            <w:r>
              <w:rPr>
                <w:sz w:val="20"/>
              </w:rPr>
              <w:t>Policy</w:t>
            </w:r>
            <w:r>
              <w:rPr>
                <w:spacing w:val="-6"/>
                <w:sz w:val="20"/>
              </w:rPr>
              <w:t> </w:t>
            </w:r>
            <w:r>
              <w:rPr>
                <w:sz w:val="20"/>
              </w:rPr>
              <w:t>2018-2022</w:t>
            </w:r>
            <w:r>
              <w:rPr>
                <w:spacing w:val="-8"/>
                <w:sz w:val="20"/>
              </w:rPr>
              <w:t> </w:t>
            </w:r>
            <w:r>
              <w:rPr>
                <w:spacing w:val="-2"/>
                <w:sz w:val="20"/>
              </w:rPr>
              <w:t>(Draft)</w:t>
            </w:r>
          </w:p>
        </w:tc>
        <w:tc>
          <w:tcPr>
            <w:tcW w:w="1798" w:type="dxa"/>
          </w:tcPr>
          <w:p>
            <w:pPr>
              <w:pStyle w:val="TableParagraph"/>
              <w:spacing w:before="63"/>
              <w:ind w:left="107"/>
              <w:rPr>
                <w:sz w:val="20"/>
              </w:rPr>
            </w:pPr>
            <w:r>
              <w:rPr>
                <w:spacing w:val="-4"/>
                <w:sz w:val="20"/>
              </w:rPr>
              <w:t>MEHRD</w:t>
            </w:r>
          </w:p>
        </w:tc>
      </w:tr>
    </w:tbl>
    <w:p>
      <w:pPr>
        <w:spacing w:after="0"/>
        <w:rPr>
          <w:sz w:val="20"/>
        </w:rPr>
        <w:sectPr>
          <w:headerReference w:type="default" r:id="rId29"/>
          <w:footerReference w:type="default" r:id="rId30"/>
          <w:pgSz w:w="16850" w:h="11900" w:orient="landscape"/>
          <w:pgMar w:header="867" w:footer="830" w:top="1380" w:bottom="1020" w:left="1200" w:right="2420"/>
        </w:sectPr>
      </w:pPr>
    </w:p>
    <w:p>
      <w:pPr>
        <w:pStyle w:val="BodyText"/>
        <w:rPr>
          <w:rFonts w:ascii="Calibri Light"/>
          <w:b w:val="0"/>
          <w:sz w:val="2"/>
        </w:rPr>
      </w:pPr>
    </w:p>
    <w:tbl>
      <w:tblPr>
        <w:tblW w:w="0" w:type="auto"/>
        <w:jc w:val="left"/>
        <w:tblInd w:w="11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7276"/>
        <w:gridCol w:w="1798"/>
      </w:tblGrid>
      <w:tr>
        <w:trPr>
          <w:trHeight w:val="364" w:hRule="atLeast"/>
        </w:trPr>
        <w:tc>
          <w:tcPr>
            <w:tcW w:w="7276" w:type="dxa"/>
          </w:tcPr>
          <w:p>
            <w:pPr>
              <w:pStyle w:val="TableParagraph"/>
              <w:spacing w:before="61"/>
              <w:ind w:left="107"/>
              <w:rPr>
                <w:sz w:val="20"/>
              </w:rPr>
            </w:pPr>
            <w:r>
              <w:rPr>
                <w:sz w:val="20"/>
              </w:rPr>
              <w:t>Solomon</w:t>
            </w:r>
            <w:r>
              <w:rPr>
                <w:spacing w:val="-7"/>
                <w:sz w:val="20"/>
              </w:rPr>
              <w:t> </w:t>
            </w:r>
            <w:r>
              <w:rPr>
                <w:sz w:val="20"/>
              </w:rPr>
              <w:t>Islands</w:t>
            </w:r>
            <w:r>
              <w:rPr>
                <w:spacing w:val="-9"/>
                <w:sz w:val="20"/>
              </w:rPr>
              <w:t> </w:t>
            </w:r>
            <w:r>
              <w:rPr>
                <w:sz w:val="20"/>
              </w:rPr>
              <w:t>SISTA</w:t>
            </w:r>
            <w:r>
              <w:rPr>
                <w:spacing w:val="-7"/>
                <w:sz w:val="20"/>
              </w:rPr>
              <w:t> </w:t>
            </w:r>
            <w:r>
              <w:rPr>
                <w:sz w:val="20"/>
              </w:rPr>
              <w:t>Report</w:t>
            </w:r>
            <w:r>
              <w:rPr>
                <w:spacing w:val="-5"/>
                <w:sz w:val="20"/>
              </w:rPr>
              <w:t> </w:t>
            </w:r>
            <w:r>
              <w:rPr>
                <w:spacing w:val="-4"/>
                <w:sz w:val="20"/>
              </w:rPr>
              <w:t>2018</w:t>
            </w:r>
          </w:p>
        </w:tc>
        <w:tc>
          <w:tcPr>
            <w:tcW w:w="1798" w:type="dxa"/>
          </w:tcPr>
          <w:p>
            <w:pPr>
              <w:pStyle w:val="TableParagraph"/>
              <w:spacing w:before="61"/>
              <w:ind w:left="107"/>
              <w:rPr>
                <w:sz w:val="20"/>
              </w:rPr>
            </w:pPr>
            <w:r>
              <w:rPr>
                <w:spacing w:val="-4"/>
                <w:sz w:val="20"/>
              </w:rPr>
              <w:t>MEHRD</w:t>
            </w:r>
          </w:p>
        </w:tc>
      </w:tr>
      <w:tr>
        <w:trPr>
          <w:trHeight w:val="364" w:hRule="atLeast"/>
        </w:trPr>
        <w:tc>
          <w:tcPr>
            <w:tcW w:w="7276" w:type="dxa"/>
          </w:tcPr>
          <w:p>
            <w:pPr>
              <w:pStyle w:val="TableParagraph"/>
              <w:spacing w:before="61"/>
              <w:ind w:left="107"/>
              <w:rPr>
                <w:sz w:val="20"/>
              </w:rPr>
            </w:pPr>
            <w:r>
              <w:rPr>
                <w:sz w:val="20"/>
              </w:rPr>
              <w:t>2017</w:t>
            </w:r>
            <w:r>
              <w:rPr>
                <w:spacing w:val="-6"/>
                <w:sz w:val="20"/>
              </w:rPr>
              <w:t> </w:t>
            </w:r>
            <w:r>
              <w:rPr>
                <w:sz w:val="20"/>
              </w:rPr>
              <w:t>and</w:t>
            </w:r>
            <w:r>
              <w:rPr>
                <w:spacing w:val="-4"/>
                <w:sz w:val="20"/>
              </w:rPr>
              <w:t> </w:t>
            </w:r>
            <w:r>
              <w:rPr>
                <w:sz w:val="20"/>
              </w:rPr>
              <w:t>2018</w:t>
            </w:r>
            <w:r>
              <w:rPr>
                <w:spacing w:val="-6"/>
                <w:sz w:val="20"/>
              </w:rPr>
              <w:t> </w:t>
            </w:r>
            <w:r>
              <w:rPr>
                <w:sz w:val="20"/>
              </w:rPr>
              <w:t>Central</w:t>
            </w:r>
            <w:r>
              <w:rPr>
                <w:spacing w:val="-4"/>
                <w:sz w:val="20"/>
              </w:rPr>
              <w:t> </w:t>
            </w:r>
            <w:r>
              <w:rPr>
                <w:sz w:val="20"/>
              </w:rPr>
              <w:t>Bank</w:t>
            </w:r>
            <w:r>
              <w:rPr>
                <w:spacing w:val="-5"/>
                <w:sz w:val="20"/>
              </w:rPr>
              <w:t> </w:t>
            </w:r>
            <w:r>
              <w:rPr>
                <w:sz w:val="20"/>
              </w:rPr>
              <w:t>of</w:t>
            </w:r>
            <w:r>
              <w:rPr>
                <w:spacing w:val="-6"/>
                <w:sz w:val="20"/>
              </w:rPr>
              <w:t> </w:t>
            </w:r>
            <w:r>
              <w:rPr>
                <w:sz w:val="20"/>
              </w:rPr>
              <w:t>Solomon</w:t>
            </w:r>
            <w:r>
              <w:rPr>
                <w:spacing w:val="-4"/>
                <w:sz w:val="20"/>
              </w:rPr>
              <w:t> </w:t>
            </w:r>
            <w:r>
              <w:rPr>
                <w:sz w:val="20"/>
              </w:rPr>
              <w:t>Island’s</w:t>
            </w:r>
            <w:r>
              <w:rPr>
                <w:spacing w:val="-7"/>
                <w:sz w:val="20"/>
              </w:rPr>
              <w:t> </w:t>
            </w:r>
            <w:r>
              <w:rPr>
                <w:sz w:val="20"/>
              </w:rPr>
              <w:t>Annual</w:t>
            </w:r>
            <w:r>
              <w:rPr>
                <w:spacing w:val="-4"/>
                <w:sz w:val="20"/>
              </w:rPr>
              <w:t> </w:t>
            </w:r>
            <w:r>
              <w:rPr>
                <w:spacing w:val="-2"/>
                <w:sz w:val="20"/>
              </w:rPr>
              <w:t>Reports.</w:t>
            </w:r>
          </w:p>
        </w:tc>
        <w:tc>
          <w:tcPr>
            <w:tcW w:w="1798" w:type="dxa"/>
          </w:tcPr>
          <w:p>
            <w:pPr>
              <w:pStyle w:val="TableParagraph"/>
              <w:spacing w:before="61"/>
              <w:ind w:left="107"/>
              <w:rPr>
                <w:sz w:val="20"/>
              </w:rPr>
            </w:pPr>
            <w:r>
              <w:rPr>
                <w:spacing w:val="-2"/>
                <w:sz w:val="20"/>
              </w:rPr>
              <w:t>Internet</w:t>
            </w:r>
          </w:p>
        </w:tc>
      </w:tr>
      <w:tr>
        <w:trPr>
          <w:trHeight w:val="364" w:hRule="atLeast"/>
        </w:trPr>
        <w:tc>
          <w:tcPr>
            <w:tcW w:w="7276" w:type="dxa"/>
          </w:tcPr>
          <w:p>
            <w:pPr>
              <w:pStyle w:val="TableParagraph"/>
              <w:spacing w:before="61"/>
              <w:ind w:left="107"/>
              <w:rPr>
                <w:i/>
                <w:sz w:val="20"/>
              </w:rPr>
            </w:pPr>
            <w:r>
              <w:rPr>
                <w:sz w:val="20"/>
              </w:rPr>
              <w:t>DFAT,</w:t>
            </w:r>
            <w:r>
              <w:rPr>
                <w:spacing w:val="-7"/>
                <w:sz w:val="20"/>
              </w:rPr>
              <w:t> </w:t>
            </w:r>
            <w:r>
              <w:rPr>
                <w:sz w:val="20"/>
              </w:rPr>
              <w:t>Office</w:t>
            </w:r>
            <w:r>
              <w:rPr>
                <w:spacing w:val="-8"/>
                <w:sz w:val="20"/>
              </w:rPr>
              <w:t> </w:t>
            </w:r>
            <w:r>
              <w:rPr>
                <w:sz w:val="20"/>
              </w:rPr>
              <w:t>of</w:t>
            </w:r>
            <w:r>
              <w:rPr>
                <w:spacing w:val="-9"/>
                <w:sz w:val="20"/>
              </w:rPr>
              <w:t> </w:t>
            </w:r>
            <w:r>
              <w:rPr>
                <w:sz w:val="20"/>
              </w:rPr>
              <w:t>Development</w:t>
            </w:r>
            <w:r>
              <w:rPr>
                <w:spacing w:val="-7"/>
                <w:sz w:val="20"/>
              </w:rPr>
              <w:t> </w:t>
            </w:r>
            <w:r>
              <w:rPr>
                <w:sz w:val="20"/>
              </w:rPr>
              <w:t>Effectiveness,</w:t>
            </w:r>
            <w:r>
              <w:rPr>
                <w:spacing w:val="-7"/>
                <w:sz w:val="20"/>
              </w:rPr>
              <w:t> </w:t>
            </w:r>
            <w:r>
              <w:rPr>
                <w:sz w:val="20"/>
              </w:rPr>
              <w:t>(2016)</w:t>
            </w:r>
            <w:r>
              <w:rPr>
                <w:spacing w:val="-4"/>
                <w:sz w:val="20"/>
              </w:rPr>
              <w:t> </w:t>
            </w:r>
            <w:r>
              <w:rPr>
                <w:i/>
                <w:sz w:val="20"/>
              </w:rPr>
              <w:t>Investing</w:t>
            </w:r>
            <w:r>
              <w:rPr>
                <w:i/>
                <w:spacing w:val="-7"/>
                <w:sz w:val="20"/>
              </w:rPr>
              <w:t> </w:t>
            </w:r>
            <w:r>
              <w:rPr>
                <w:i/>
                <w:sz w:val="20"/>
              </w:rPr>
              <w:t>in</w:t>
            </w:r>
            <w:r>
              <w:rPr>
                <w:i/>
                <w:spacing w:val="-7"/>
                <w:sz w:val="20"/>
              </w:rPr>
              <w:t> </w:t>
            </w:r>
            <w:r>
              <w:rPr>
                <w:i/>
                <w:sz w:val="20"/>
              </w:rPr>
              <w:t>Teachers</w:t>
            </w:r>
            <w:r>
              <w:rPr>
                <w:i/>
                <w:spacing w:val="-8"/>
                <w:sz w:val="20"/>
              </w:rPr>
              <w:t> </w:t>
            </w:r>
            <w:r>
              <w:rPr>
                <w:i/>
                <w:spacing w:val="-2"/>
                <w:sz w:val="20"/>
              </w:rPr>
              <w:t>Evaluation.</w:t>
            </w:r>
          </w:p>
        </w:tc>
        <w:tc>
          <w:tcPr>
            <w:tcW w:w="1798" w:type="dxa"/>
          </w:tcPr>
          <w:p>
            <w:pPr>
              <w:pStyle w:val="TableParagraph"/>
              <w:spacing w:before="61"/>
              <w:ind w:left="107"/>
              <w:rPr>
                <w:sz w:val="20"/>
              </w:rPr>
            </w:pPr>
            <w:r>
              <w:rPr>
                <w:spacing w:val="-2"/>
                <w:sz w:val="20"/>
              </w:rPr>
              <w:t>Internet</w:t>
            </w:r>
          </w:p>
        </w:tc>
      </w:tr>
      <w:tr>
        <w:trPr>
          <w:trHeight w:val="606" w:hRule="atLeast"/>
        </w:trPr>
        <w:tc>
          <w:tcPr>
            <w:tcW w:w="7276" w:type="dxa"/>
          </w:tcPr>
          <w:p>
            <w:pPr>
              <w:pStyle w:val="TableParagraph"/>
              <w:spacing w:before="59"/>
              <w:ind w:left="107" w:right="69"/>
              <w:rPr>
                <w:sz w:val="20"/>
              </w:rPr>
            </w:pPr>
            <w:r>
              <w:rPr>
                <w:sz w:val="20"/>
              </w:rPr>
              <w:t>O’Meara,</w:t>
            </w:r>
            <w:r>
              <w:rPr>
                <w:spacing w:val="-5"/>
                <w:sz w:val="20"/>
              </w:rPr>
              <w:t> </w:t>
            </w:r>
            <w:r>
              <w:rPr>
                <w:sz w:val="20"/>
              </w:rPr>
              <w:t>F.</w:t>
            </w:r>
            <w:r>
              <w:rPr>
                <w:spacing w:val="-5"/>
                <w:sz w:val="20"/>
              </w:rPr>
              <w:t> </w:t>
            </w:r>
            <w:r>
              <w:rPr>
                <w:sz w:val="20"/>
              </w:rPr>
              <w:t>(2017)</w:t>
            </w:r>
            <w:r>
              <w:rPr>
                <w:spacing w:val="-6"/>
                <w:sz w:val="20"/>
              </w:rPr>
              <w:t> </w:t>
            </w:r>
            <w:r>
              <w:rPr>
                <w:sz w:val="20"/>
              </w:rPr>
              <w:t>Solomon</w:t>
            </w:r>
            <w:r>
              <w:rPr>
                <w:spacing w:val="-5"/>
                <w:sz w:val="20"/>
              </w:rPr>
              <w:t> </w:t>
            </w:r>
            <w:r>
              <w:rPr>
                <w:sz w:val="20"/>
              </w:rPr>
              <w:t>Islands</w:t>
            </w:r>
            <w:r>
              <w:rPr>
                <w:spacing w:val="-6"/>
                <w:sz w:val="20"/>
              </w:rPr>
              <w:t> </w:t>
            </w:r>
            <w:r>
              <w:rPr>
                <w:sz w:val="20"/>
              </w:rPr>
              <w:t>Scholarship</w:t>
            </w:r>
            <w:r>
              <w:rPr>
                <w:spacing w:val="-5"/>
                <w:sz w:val="20"/>
              </w:rPr>
              <w:t> </w:t>
            </w:r>
            <w:r>
              <w:rPr>
                <w:sz w:val="20"/>
              </w:rPr>
              <w:t>Analysis</w:t>
            </w:r>
            <w:r>
              <w:rPr>
                <w:spacing w:val="-6"/>
                <w:sz w:val="20"/>
              </w:rPr>
              <w:t> </w:t>
            </w:r>
            <w:r>
              <w:rPr>
                <w:sz w:val="20"/>
              </w:rPr>
              <w:t>Report –</w:t>
            </w:r>
            <w:r>
              <w:rPr>
                <w:spacing w:val="-6"/>
                <w:sz w:val="20"/>
              </w:rPr>
              <w:t> </w:t>
            </w:r>
            <w:r>
              <w:rPr>
                <w:sz w:val="20"/>
              </w:rPr>
              <w:t>powerpoint </w:t>
            </w:r>
            <w:r>
              <w:rPr>
                <w:spacing w:val="-2"/>
                <w:sz w:val="20"/>
              </w:rPr>
              <w:t>presentation</w:t>
            </w:r>
          </w:p>
        </w:tc>
        <w:tc>
          <w:tcPr>
            <w:tcW w:w="1798" w:type="dxa"/>
          </w:tcPr>
          <w:p>
            <w:pPr>
              <w:pStyle w:val="TableParagraph"/>
              <w:spacing w:before="61"/>
              <w:ind w:left="107"/>
              <w:rPr>
                <w:sz w:val="20"/>
              </w:rPr>
            </w:pPr>
            <w:r>
              <w:rPr>
                <w:spacing w:val="-4"/>
                <w:sz w:val="20"/>
              </w:rPr>
              <w:t>MEHRD</w:t>
            </w:r>
          </w:p>
        </w:tc>
      </w:tr>
      <w:tr>
        <w:trPr>
          <w:trHeight w:val="609" w:hRule="atLeast"/>
        </w:trPr>
        <w:tc>
          <w:tcPr>
            <w:tcW w:w="7276" w:type="dxa"/>
          </w:tcPr>
          <w:p>
            <w:pPr>
              <w:pStyle w:val="TableParagraph"/>
              <w:spacing w:before="61"/>
              <w:ind w:left="107" w:right="236"/>
              <w:rPr>
                <w:sz w:val="20"/>
              </w:rPr>
            </w:pPr>
            <w:r>
              <w:rPr>
                <w:spacing w:val="-2"/>
                <w:sz w:val="20"/>
              </w:rPr>
              <w:t>https:/</w:t>
            </w:r>
            <w:hyperlink r:id="rId31">
              <w:r>
                <w:rPr>
                  <w:spacing w:val="-2"/>
                  <w:sz w:val="20"/>
                </w:rPr>
                <w:t>/w</w:t>
              </w:r>
            </w:hyperlink>
            <w:r>
              <w:rPr>
                <w:spacing w:val="-2"/>
                <w:sz w:val="20"/>
              </w:rPr>
              <w:t>w</w:t>
            </w:r>
            <w:hyperlink r:id="rId31">
              <w:r>
                <w:rPr>
                  <w:spacing w:val="-2"/>
                  <w:sz w:val="20"/>
                </w:rPr>
                <w:t>w.solomontimes.com/news/government-terminates-179-</w:t>
              </w:r>
            </w:hyperlink>
            <w:r>
              <w:rPr>
                <w:spacing w:val="-2"/>
                <w:sz w:val="20"/>
              </w:rPr>
              <w:t> scholarships/8895</w:t>
            </w:r>
          </w:p>
        </w:tc>
        <w:tc>
          <w:tcPr>
            <w:tcW w:w="1798" w:type="dxa"/>
          </w:tcPr>
          <w:p>
            <w:pPr>
              <w:pStyle w:val="TableParagraph"/>
              <w:spacing w:before="61"/>
              <w:ind w:left="107"/>
              <w:rPr>
                <w:sz w:val="20"/>
              </w:rPr>
            </w:pPr>
            <w:r>
              <w:rPr>
                <w:spacing w:val="-2"/>
                <w:sz w:val="20"/>
              </w:rPr>
              <w:t>Internet</w:t>
            </w:r>
          </w:p>
        </w:tc>
      </w:tr>
      <w:tr>
        <w:trPr>
          <w:trHeight w:val="851" w:hRule="atLeast"/>
        </w:trPr>
        <w:tc>
          <w:tcPr>
            <w:tcW w:w="7276" w:type="dxa"/>
          </w:tcPr>
          <w:p>
            <w:pPr>
              <w:pStyle w:val="TableParagraph"/>
              <w:spacing w:before="61"/>
              <w:ind w:left="107" w:right="69"/>
              <w:rPr>
                <w:sz w:val="20"/>
              </w:rPr>
            </w:pPr>
            <w:r>
              <w:rPr>
                <w:sz w:val="20"/>
              </w:rPr>
              <w:t>Holzapfel,</w:t>
            </w:r>
            <w:r>
              <w:rPr>
                <w:spacing w:val="-4"/>
                <w:sz w:val="20"/>
              </w:rPr>
              <w:t> </w:t>
            </w:r>
            <w:r>
              <w:rPr>
                <w:sz w:val="20"/>
              </w:rPr>
              <w:t>S.</w:t>
            </w:r>
            <w:r>
              <w:rPr>
                <w:spacing w:val="-5"/>
                <w:sz w:val="20"/>
              </w:rPr>
              <w:t> </w:t>
            </w:r>
            <w:r>
              <w:rPr>
                <w:sz w:val="20"/>
              </w:rPr>
              <w:t>and</w:t>
            </w:r>
            <w:r>
              <w:rPr>
                <w:spacing w:val="-4"/>
                <w:sz w:val="20"/>
              </w:rPr>
              <w:t> </w:t>
            </w:r>
            <w:r>
              <w:rPr>
                <w:sz w:val="20"/>
              </w:rPr>
              <w:t>Janus,</w:t>
            </w:r>
            <w:r>
              <w:rPr>
                <w:spacing w:val="-4"/>
                <w:sz w:val="20"/>
              </w:rPr>
              <w:t> </w:t>
            </w:r>
            <w:r>
              <w:rPr>
                <w:sz w:val="20"/>
              </w:rPr>
              <w:t>H.</w:t>
            </w:r>
            <w:r>
              <w:rPr>
                <w:spacing w:val="-4"/>
                <w:sz w:val="20"/>
              </w:rPr>
              <w:t> </w:t>
            </w:r>
            <w:r>
              <w:rPr>
                <w:sz w:val="20"/>
              </w:rPr>
              <w:t>(2015)</w:t>
            </w:r>
            <w:r>
              <w:rPr>
                <w:spacing w:val="-5"/>
                <w:sz w:val="20"/>
              </w:rPr>
              <w:t> </w:t>
            </w:r>
            <w:r>
              <w:rPr>
                <w:sz w:val="20"/>
              </w:rPr>
              <w:t>Improving</w:t>
            </w:r>
            <w:r>
              <w:rPr>
                <w:spacing w:val="-5"/>
                <w:sz w:val="20"/>
              </w:rPr>
              <w:t> </w:t>
            </w:r>
            <w:r>
              <w:rPr>
                <w:sz w:val="20"/>
              </w:rPr>
              <w:t>Education</w:t>
            </w:r>
            <w:r>
              <w:rPr>
                <w:spacing w:val="-3"/>
                <w:sz w:val="20"/>
              </w:rPr>
              <w:t> </w:t>
            </w:r>
            <w:r>
              <w:rPr>
                <w:sz w:val="20"/>
              </w:rPr>
              <w:t>Outcomes</w:t>
            </w:r>
            <w:r>
              <w:rPr>
                <w:spacing w:val="-6"/>
                <w:sz w:val="20"/>
              </w:rPr>
              <w:t> </w:t>
            </w:r>
            <w:r>
              <w:rPr>
                <w:sz w:val="20"/>
              </w:rPr>
              <w:t>by</w:t>
            </w:r>
            <w:r>
              <w:rPr>
                <w:spacing w:val="-4"/>
                <w:sz w:val="20"/>
              </w:rPr>
              <w:t> </w:t>
            </w:r>
            <w:r>
              <w:rPr>
                <w:sz w:val="20"/>
              </w:rPr>
              <w:t>Linking</w:t>
            </w:r>
            <w:r>
              <w:rPr>
                <w:spacing w:val="-5"/>
                <w:sz w:val="20"/>
              </w:rPr>
              <w:t> </w:t>
            </w:r>
            <w:r>
              <w:rPr>
                <w:sz w:val="20"/>
              </w:rPr>
              <w:t>Payments to Results: An Assessment of Disbursement-linked Indicators in five Results-based </w:t>
            </w:r>
            <w:r>
              <w:rPr>
                <w:spacing w:val="-2"/>
                <w:sz w:val="20"/>
              </w:rPr>
              <w:t>Approaches.</w:t>
            </w:r>
          </w:p>
        </w:tc>
        <w:tc>
          <w:tcPr>
            <w:tcW w:w="1798" w:type="dxa"/>
          </w:tcPr>
          <w:p>
            <w:pPr>
              <w:pStyle w:val="TableParagraph"/>
              <w:spacing w:before="61"/>
              <w:ind w:left="107"/>
              <w:rPr>
                <w:sz w:val="20"/>
              </w:rPr>
            </w:pPr>
            <w:r>
              <w:rPr>
                <w:spacing w:val="-2"/>
                <w:sz w:val="20"/>
              </w:rPr>
              <w:t>Internet</w:t>
            </w:r>
          </w:p>
        </w:tc>
      </w:tr>
      <w:tr>
        <w:trPr>
          <w:trHeight w:val="609" w:hRule="atLeast"/>
        </w:trPr>
        <w:tc>
          <w:tcPr>
            <w:tcW w:w="7276" w:type="dxa"/>
          </w:tcPr>
          <w:p>
            <w:pPr>
              <w:pStyle w:val="TableParagraph"/>
              <w:spacing w:before="61"/>
              <w:ind w:left="107" w:right="334"/>
              <w:rPr>
                <w:sz w:val="20"/>
              </w:rPr>
            </w:pPr>
            <w:r>
              <w:rPr>
                <w:color w:val="2E5395"/>
                <w:sz w:val="20"/>
              </w:rPr>
              <w:t>OECD peer review 2018 …. </w:t>
            </w:r>
            <w:hyperlink r:id="rId23">
              <w:r>
                <w:rPr>
                  <w:color w:val="0462C1"/>
                  <w:sz w:val="20"/>
                  <w:u w:val="single" w:color="0462C1"/>
                </w:rPr>
                <w:t>https://read.oecd-ilibrary.org/development/oecd-</w:t>
              </w:r>
            </w:hyperlink>
            <w:r>
              <w:rPr>
                <w:color w:val="0462C1"/>
                <w:sz w:val="20"/>
              </w:rPr>
              <w:t> </w:t>
            </w:r>
            <w:hyperlink r:id="rId23">
              <w:r>
                <w:rPr>
                  <w:color w:val="0462C1"/>
                  <w:spacing w:val="-2"/>
                  <w:sz w:val="20"/>
                  <w:u w:val="single" w:color="0462C1"/>
                </w:rPr>
                <w:t>development-co-operation-peer-reviews-australia-2018_9789264293366-en#page1</w:t>
              </w:r>
            </w:hyperlink>
          </w:p>
        </w:tc>
        <w:tc>
          <w:tcPr>
            <w:tcW w:w="1798" w:type="dxa"/>
          </w:tcPr>
          <w:p>
            <w:pPr>
              <w:pStyle w:val="TableParagraph"/>
              <w:spacing w:before="61"/>
              <w:ind w:left="107"/>
              <w:rPr>
                <w:sz w:val="20"/>
              </w:rPr>
            </w:pPr>
            <w:r>
              <w:rPr>
                <w:spacing w:val="-2"/>
                <w:sz w:val="20"/>
              </w:rPr>
              <w:t>Internet</w:t>
            </w:r>
          </w:p>
        </w:tc>
      </w:tr>
      <w:tr>
        <w:trPr>
          <w:trHeight w:val="1096" w:hRule="atLeast"/>
        </w:trPr>
        <w:tc>
          <w:tcPr>
            <w:tcW w:w="7276" w:type="dxa"/>
          </w:tcPr>
          <w:p>
            <w:pPr>
              <w:pStyle w:val="TableParagraph"/>
              <w:spacing w:before="61"/>
              <w:ind w:left="107" w:right="69"/>
              <w:rPr>
                <w:sz w:val="20"/>
              </w:rPr>
            </w:pPr>
            <w:r>
              <w:rPr>
                <w:sz w:val="20"/>
              </w:rPr>
              <w:t>Thornton, B. and Upton, V. (October 2018), </w:t>
            </w:r>
            <w:r>
              <w:rPr>
                <w:i/>
                <w:sz w:val="20"/>
              </w:rPr>
              <w:t>Education Sector Program 2: Basic</w:t>
            </w:r>
            <w:r>
              <w:rPr>
                <w:i/>
                <w:sz w:val="20"/>
              </w:rPr>
              <w:t> Education</w:t>
            </w:r>
            <w:r>
              <w:rPr>
                <w:i/>
                <w:spacing w:val="-7"/>
                <w:sz w:val="20"/>
              </w:rPr>
              <w:t> </w:t>
            </w:r>
            <w:r>
              <w:rPr>
                <w:i/>
                <w:sz w:val="20"/>
              </w:rPr>
              <w:t>Component</w:t>
            </w:r>
            <w:r>
              <w:rPr>
                <w:i/>
                <w:spacing w:val="-5"/>
                <w:sz w:val="20"/>
              </w:rPr>
              <w:t> </w:t>
            </w:r>
            <w:r>
              <w:rPr>
                <w:i/>
                <w:sz w:val="20"/>
              </w:rPr>
              <w:t>Independent</w:t>
            </w:r>
            <w:r>
              <w:rPr>
                <w:i/>
                <w:spacing w:val="-5"/>
                <w:sz w:val="20"/>
              </w:rPr>
              <w:t> </w:t>
            </w:r>
            <w:r>
              <w:rPr>
                <w:i/>
                <w:sz w:val="20"/>
              </w:rPr>
              <w:t>Mid-Term</w:t>
            </w:r>
            <w:r>
              <w:rPr>
                <w:i/>
                <w:spacing w:val="-3"/>
                <w:sz w:val="20"/>
              </w:rPr>
              <w:t> </w:t>
            </w:r>
            <w:r>
              <w:rPr>
                <w:i/>
                <w:sz w:val="20"/>
              </w:rPr>
              <w:t>Review.</w:t>
            </w:r>
            <w:r>
              <w:rPr>
                <w:i/>
                <w:spacing w:val="-5"/>
                <w:sz w:val="20"/>
              </w:rPr>
              <w:t> </w:t>
            </w:r>
            <w:r>
              <w:rPr>
                <w:sz w:val="20"/>
              </w:rPr>
              <w:t>Prepared</w:t>
            </w:r>
            <w:r>
              <w:rPr>
                <w:spacing w:val="-5"/>
                <w:sz w:val="20"/>
              </w:rPr>
              <w:t> </w:t>
            </w:r>
            <w:r>
              <w:rPr>
                <w:sz w:val="20"/>
              </w:rPr>
              <w:t>for</w:t>
            </w:r>
            <w:r>
              <w:rPr>
                <w:spacing w:val="-5"/>
                <w:sz w:val="20"/>
              </w:rPr>
              <w:t> </w:t>
            </w:r>
            <w:r>
              <w:rPr>
                <w:sz w:val="20"/>
              </w:rPr>
              <w:t>the</w:t>
            </w:r>
            <w:r>
              <w:rPr>
                <w:spacing w:val="-6"/>
                <w:sz w:val="20"/>
              </w:rPr>
              <w:t> </w:t>
            </w:r>
            <w:r>
              <w:rPr>
                <w:sz w:val="20"/>
              </w:rPr>
              <w:t>Australian Department</w:t>
            </w:r>
            <w:r>
              <w:rPr>
                <w:spacing w:val="-4"/>
                <w:sz w:val="20"/>
              </w:rPr>
              <w:t> </w:t>
            </w:r>
            <w:r>
              <w:rPr>
                <w:sz w:val="20"/>
              </w:rPr>
              <w:t>of</w:t>
            </w:r>
            <w:r>
              <w:rPr>
                <w:spacing w:val="-3"/>
                <w:sz w:val="20"/>
              </w:rPr>
              <w:t> </w:t>
            </w:r>
            <w:r>
              <w:rPr>
                <w:sz w:val="20"/>
              </w:rPr>
              <w:t>Foreign</w:t>
            </w:r>
            <w:r>
              <w:rPr>
                <w:spacing w:val="-4"/>
                <w:sz w:val="20"/>
              </w:rPr>
              <w:t> </w:t>
            </w:r>
            <w:r>
              <w:rPr>
                <w:sz w:val="20"/>
              </w:rPr>
              <w:t>Affairs</w:t>
            </w:r>
            <w:r>
              <w:rPr>
                <w:spacing w:val="-4"/>
                <w:sz w:val="20"/>
              </w:rPr>
              <w:t> </w:t>
            </w:r>
            <w:r>
              <w:rPr>
                <w:sz w:val="20"/>
              </w:rPr>
              <w:t>and</w:t>
            </w:r>
            <w:r>
              <w:rPr>
                <w:spacing w:val="-4"/>
                <w:sz w:val="20"/>
              </w:rPr>
              <w:t> </w:t>
            </w:r>
            <w:r>
              <w:rPr>
                <w:sz w:val="20"/>
              </w:rPr>
              <w:t>Trade,</w:t>
            </w:r>
            <w:r>
              <w:rPr>
                <w:spacing w:val="-4"/>
                <w:sz w:val="20"/>
              </w:rPr>
              <w:t> </w:t>
            </w:r>
            <w:r>
              <w:rPr>
                <w:sz w:val="20"/>
              </w:rPr>
              <w:t>Australian</w:t>
            </w:r>
            <w:r>
              <w:rPr>
                <w:spacing w:val="-4"/>
                <w:sz w:val="20"/>
              </w:rPr>
              <w:t> </w:t>
            </w:r>
            <w:r>
              <w:rPr>
                <w:sz w:val="20"/>
              </w:rPr>
              <w:t>High</w:t>
            </w:r>
            <w:r>
              <w:rPr>
                <w:spacing w:val="-3"/>
                <w:sz w:val="20"/>
              </w:rPr>
              <w:t> </w:t>
            </w:r>
            <w:r>
              <w:rPr>
                <w:sz w:val="20"/>
              </w:rPr>
              <w:t>Commission</w:t>
            </w:r>
            <w:r>
              <w:rPr>
                <w:spacing w:val="-3"/>
                <w:sz w:val="20"/>
              </w:rPr>
              <w:t> </w:t>
            </w:r>
            <w:r>
              <w:rPr>
                <w:sz w:val="20"/>
              </w:rPr>
              <w:t>in</w:t>
            </w:r>
            <w:r>
              <w:rPr>
                <w:spacing w:val="-3"/>
                <w:sz w:val="20"/>
              </w:rPr>
              <w:t> </w:t>
            </w:r>
            <w:r>
              <w:rPr>
                <w:sz w:val="20"/>
              </w:rPr>
              <w:t>Solomon </w:t>
            </w:r>
            <w:r>
              <w:rPr>
                <w:spacing w:val="-2"/>
                <w:sz w:val="20"/>
              </w:rPr>
              <w:t>Islands.</w:t>
            </w:r>
          </w:p>
        </w:tc>
        <w:tc>
          <w:tcPr>
            <w:tcW w:w="1798" w:type="dxa"/>
          </w:tcPr>
          <w:p>
            <w:pPr>
              <w:pStyle w:val="TableParagraph"/>
              <w:spacing w:before="61"/>
              <w:ind w:left="107"/>
              <w:rPr>
                <w:sz w:val="20"/>
              </w:rPr>
            </w:pPr>
            <w:r>
              <w:rPr>
                <w:spacing w:val="-5"/>
                <w:sz w:val="20"/>
              </w:rPr>
              <w:t>AHC</w:t>
            </w:r>
          </w:p>
        </w:tc>
      </w:tr>
    </w:tbl>
    <w:p>
      <w:pPr>
        <w:spacing w:after="0"/>
        <w:rPr>
          <w:sz w:val="20"/>
        </w:rPr>
        <w:sectPr>
          <w:pgSz w:w="16850" w:h="11900" w:orient="landscape"/>
          <w:pgMar w:header="867" w:footer="830" w:top="1380" w:bottom="1020" w:left="1200" w:right="2420"/>
        </w:sectPr>
      </w:pPr>
    </w:p>
    <w:p>
      <w:pPr>
        <w:pStyle w:val="Heading1"/>
        <w:spacing w:before="24"/>
        <w:ind w:left="218"/>
        <w:rPr>
          <w:b w:val="0"/>
        </w:rPr>
      </w:pPr>
      <w:bookmarkStart w:name="_bookmark45" w:id="46"/>
      <w:bookmarkEnd w:id="46"/>
      <w:r>
        <w:rPr/>
      </w:r>
      <w:r>
        <w:rPr>
          <w:b w:val="0"/>
          <w:color w:val="4471C4"/>
        </w:rPr>
        <w:t>Appendix</w:t>
      </w:r>
      <w:r>
        <w:rPr>
          <w:b w:val="0"/>
          <w:color w:val="4471C4"/>
          <w:spacing w:val="22"/>
        </w:rPr>
        <w:t> </w:t>
      </w:r>
      <w:r>
        <w:rPr>
          <w:b w:val="0"/>
          <w:color w:val="4471C4"/>
        </w:rPr>
        <w:t>4:</w:t>
      </w:r>
      <w:r>
        <w:rPr>
          <w:b w:val="0"/>
          <w:color w:val="4471C4"/>
          <w:spacing w:val="28"/>
        </w:rPr>
        <w:t> </w:t>
      </w:r>
      <w:r>
        <w:rPr>
          <w:b w:val="0"/>
          <w:color w:val="4471C4"/>
        </w:rPr>
        <w:t>Key</w:t>
      </w:r>
      <w:r>
        <w:rPr>
          <w:b w:val="0"/>
          <w:color w:val="4471C4"/>
          <w:spacing w:val="20"/>
        </w:rPr>
        <w:t> </w:t>
      </w:r>
      <w:r>
        <w:rPr>
          <w:b w:val="0"/>
          <w:color w:val="4471C4"/>
        </w:rPr>
        <w:t>Informant</w:t>
      </w:r>
      <w:r>
        <w:rPr>
          <w:b w:val="0"/>
          <w:color w:val="4471C4"/>
          <w:spacing w:val="20"/>
        </w:rPr>
        <w:t> </w:t>
      </w:r>
      <w:r>
        <w:rPr>
          <w:b w:val="0"/>
          <w:color w:val="4471C4"/>
          <w:spacing w:val="-2"/>
        </w:rPr>
        <w:t>Interviews</w:t>
      </w:r>
    </w:p>
    <w:p>
      <w:pPr>
        <w:pStyle w:val="BodyText"/>
        <w:spacing w:before="1"/>
        <w:rPr>
          <w:rFonts w:ascii="Calibri Light"/>
          <w:b w:val="0"/>
          <w:sz w:val="21"/>
        </w:rPr>
      </w:pPr>
    </w:p>
    <w:tbl>
      <w:tblPr>
        <w:tblW w:w="0" w:type="auto"/>
        <w:jc w:val="left"/>
        <w:tblInd w:w="11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297"/>
        <w:gridCol w:w="4078"/>
        <w:gridCol w:w="2693"/>
      </w:tblGrid>
      <w:tr>
        <w:trPr>
          <w:trHeight w:val="398" w:hRule="atLeast"/>
        </w:trPr>
        <w:tc>
          <w:tcPr>
            <w:tcW w:w="2297" w:type="dxa"/>
            <w:tcBorders>
              <w:bottom w:val="nil"/>
              <w:right w:val="nil"/>
            </w:tcBorders>
            <w:shd w:val="clear" w:color="auto" w:fill="4471C4"/>
          </w:tcPr>
          <w:p>
            <w:pPr>
              <w:pStyle w:val="TableParagraph"/>
              <w:spacing w:before="61"/>
              <w:ind w:left="867" w:right="857"/>
              <w:jc w:val="center"/>
              <w:rPr>
                <w:b/>
                <w:sz w:val="22"/>
              </w:rPr>
            </w:pPr>
            <w:r>
              <w:rPr>
                <w:b/>
                <w:color w:val="FFFFFF"/>
                <w:spacing w:val="-4"/>
                <w:sz w:val="22"/>
              </w:rPr>
              <w:t>Name</w:t>
            </w:r>
          </w:p>
        </w:tc>
        <w:tc>
          <w:tcPr>
            <w:tcW w:w="4078" w:type="dxa"/>
            <w:tcBorders>
              <w:left w:val="nil"/>
              <w:bottom w:val="nil"/>
              <w:right w:val="nil"/>
            </w:tcBorders>
            <w:shd w:val="clear" w:color="auto" w:fill="4471C4"/>
          </w:tcPr>
          <w:p>
            <w:pPr>
              <w:pStyle w:val="TableParagraph"/>
              <w:spacing w:before="61"/>
              <w:ind w:left="1656" w:right="1653"/>
              <w:jc w:val="center"/>
              <w:rPr>
                <w:b/>
                <w:sz w:val="22"/>
              </w:rPr>
            </w:pPr>
            <w:r>
              <w:rPr>
                <w:b/>
                <w:color w:val="FFFFFF"/>
                <w:spacing w:val="-2"/>
                <w:sz w:val="22"/>
              </w:rPr>
              <w:t>Position</w:t>
            </w:r>
          </w:p>
        </w:tc>
        <w:tc>
          <w:tcPr>
            <w:tcW w:w="2693" w:type="dxa"/>
            <w:tcBorders>
              <w:left w:val="nil"/>
              <w:bottom w:val="nil"/>
            </w:tcBorders>
            <w:shd w:val="clear" w:color="auto" w:fill="4471C4"/>
          </w:tcPr>
          <w:p>
            <w:pPr>
              <w:pStyle w:val="TableParagraph"/>
              <w:spacing w:before="61"/>
              <w:ind w:left="759"/>
              <w:rPr>
                <w:b/>
                <w:sz w:val="22"/>
              </w:rPr>
            </w:pPr>
            <w:r>
              <w:rPr>
                <w:b/>
                <w:color w:val="FFFFFF"/>
                <w:spacing w:val="-2"/>
                <w:sz w:val="22"/>
              </w:rPr>
              <w:t>Organisation</w:t>
            </w:r>
          </w:p>
        </w:tc>
      </w:tr>
      <w:tr>
        <w:trPr>
          <w:trHeight w:val="364" w:hRule="atLeast"/>
        </w:trPr>
        <w:tc>
          <w:tcPr>
            <w:tcW w:w="2297" w:type="dxa"/>
            <w:tcBorders>
              <w:top w:val="nil"/>
            </w:tcBorders>
          </w:tcPr>
          <w:p>
            <w:pPr>
              <w:pStyle w:val="TableParagraph"/>
              <w:spacing w:before="64"/>
              <w:ind w:left="107"/>
              <w:rPr>
                <w:sz w:val="20"/>
              </w:rPr>
            </w:pPr>
            <w:r>
              <w:rPr>
                <w:sz w:val="20"/>
              </w:rPr>
              <w:t>Leah</w:t>
            </w:r>
            <w:r>
              <w:rPr>
                <w:spacing w:val="-7"/>
                <w:sz w:val="20"/>
              </w:rPr>
              <w:t> </w:t>
            </w:r>
            <w:r>
              <w:rPr>
                <w:spacing w:val="-2"/>
                <w:sz w:val="20"/>
              </w:rPr>
              <w:t>Horsfall</w:t>
            </w:r>
          </w:p>
        </w:tc>
        <w:tc>
          <w:tcPr>
            <w:tcW w:w="4078" w:type="dxa"/>
            <w:tcBorders>
              <w:top w:val="nil"/>
            </w:tcBorders>
          </w:tcPr>
          <w:p>
            <w:pPr>
              <w:pStyle w:val="TableParagraph"/>
              <w:spacing w:before="64"/>
              <w:ind w:left="105"/>
              <w:rPr>
                <w:sz w:val="20"/>
              </w:rPr>
            </w:pPr>
            <w:r>
              <w:rPr>
                <w:sz w:val="20"/>
              </w:rPr>
              <w:t>First</w:t>
            </w:r>
            <w:r>
              <w:rPr>
                <w:spacing w:val="-9"/>
                <w:sz w:val="20"/>
              </w:rPr>
              <w:t> </w:t>
            </w:r>
            <w:r>
              <w:rPr>
                <w:sz w:val="20"/>
              </w:rPr>
              <w:t>Secretary</w:t>
            </w:r>
            <w:r>
              <w:rPr>
                <w:spacing w:val="-7"/>
                <w:sz w:val="20"/>
              </w:rPr>
              <w:t> </w:t>
            </w:r>
            <w:r>
              <w:rPr>
                <w:spacing w:val="-2"/>
                <w:sz w:val="20"/>
              </w:rPr>
              <w:t>Education</w:t>
            </w:r>
          </w:p>
        </w:tc>
        <w:tc>
          <w:tcPr>
            <w:tcW w:w="2693" w:type="dxa"/>
            <w:tcBorders>
              <w:top w:val="nil"/>
            </w:tcBorders>
          </w:tcPr>
          <w:p>
            <w:pPr>
              <w:pStyle w:val="TableParagraph"/>
              <w:spacing w:before="64"/>
              <w:ind w:left="108"/>
              <w:rPr>
                <w:sz w:val="20"/>
              </w:rPr>
            </w:pPr>
            <w:r>
              <w:rPr>
                <w:spacing w:val="-5"/>
                <w:sz w:val="20"/>
              </w:rPr>
              <w:t>AHC</w:t>
            </w:r>
          </w:p>
        </w:tc>
      </w:tr>
      <w:tr>
        <w:trPr>
          <w:trHeight w:val="364" w:hRule="atLeast"/>
        </w:trPr>
        <w:tc>
          <w:tcPr>
            <w:tcW w:w="2297" w:type="dxa"/>
          </w:tcPr>
          <w:p>
            <w:pPr>
              <w:pStyle w:val="TableParagraph"/>
              <w:spacing w:before="61"/>
              <w:ind w:left="107"/>
              <w:rPr>
                <w:sz w:val="20"/>
              </w:rPr>
            </w:pPr>
            <w:r>
              <w:rPr>
                <w:sz w:val="20"/>
              </w:rPr>
              <w:t>Moses</w:t>
            </w:r>
            <w:r>
              <w:rPr>
                <w:spacing w:val="-8"/>
                <w:sz w:val="20"/>
              </w:rPr>
              <w:t> </w:t>
            </w:r>
            <w:r>
              <w:rPr>
                <w:spacing w:val="-2"/>
                <w:sz w:val="20"/>
              </w:rPr>
              <w:t>Tongare</w:t>
            </w:r>
          </w:p>
        </w:tc>
        <w:tc>
          <w:tcPr>
            <w:tcW w:w="4078" w:type="dxa"/>
          </w:tcPr>
          <w:p>
            <w:pPr>
              <w:pStyle w:val="TableParagraph"/>
              <w:spacing w:before="61"/>
              <w:ind w:left="105"/>
              <w:rPr>
                <w:sz w:val="20"/>
              </w:rPr>
            </w:pPr>
            <w:r>
              <w:rPr>
                <w:sz w:val="20"/>
              </w:rPr>
              <w:t>Senior</w:t>
            </w:r>
            <w:r>
              <w:rPr>
                <w:spacing w:val="-8"/>
                <w:sz w:val="20"/>
              </w:rPr>
              <w:t> </w:t>
            </w:r>
            <w:r>
              <w:rPr>
                <w:sz w:val="20"/>
              </w:rPr>
              <w:t>Program</w:t>
            </w:r>
            <w:r>
              <w:rPr>
                <w:spacing w:val="-9"/>
                <w:sz w:val="20"/>
              </w:rPr>
              <w:t> </w:t>
            </w:r>
            <w:r>
              <w:rPr>
                <w:spacing w:val="-2"/>
                <w:sz w:val="20"/>
              </w:rPr>
              <w:t>Manager</w:t>
            </w:r>
          </w:p>
        </w:tc>
        <w:tc>
          <w:tcPr>
            <w:tcW w:w="2693" w:type="dxa"/>
          </w:tcPr>
          <w:p>
            <w:pPr>
              <w:pStyle w:val="TableParagraph"/>
              <w:spacing w:before="61"/>
              <w:ind w:left="108"/>
              <w:rPr>
                <w:sz w:val="20"/>
              </w:rPr>
            </w:pPr>
            <w:r>
              <w:rPr>
                <w:spacing w:val="-5"/>
                <w:sz w:val="20"/>
              </w:rPr>
              <w:t>AHC</w:t>
            </w:r>
          </w:p>
        </w:tc>
      </w:tr>
      <w:tr>
        <w:trPr>
          <w:trHeight w:val="365" w:hRule="atLeast"/>
        </w:trPr>
        <w:tc>
          <w:tcPr>
            <w:tcW w:w="2297" w:type="dxa"/>
          </w:tcPr>
          <w:p>
            <w:pPr>
              <w:pStyle w:val="TableParagraph"/>
              <w:spacing w:before="61"/>
              <w:ind w:left="107"/>
              <w:rPr>
                <w:sz w:val="20"/>
              </w:rPr>
            </w:pPr>
            <w:r>
              <w:rPr>
                <w:sz w:val="20"/>
              </w:rPr>
              <w:t>Eileen</w:t>
            </w:r>
            <w:r>
              <w:rPr>
                <w:spacing w:val="-7"/>
                <w:sz w:val="20"/>
              </w:rPr>
              <w:t> </w:t>
            </w:r>
            <w:r>
              <w:rPr>
                <w:spacing w:val="-2"/>
                <w:sz w:val="20"/>
              </w:rPr>
              <w:t>Kwalea</w:t>
            </w:r>
          </w:p>
        </w:tc>
        <w:tc>
          <w:tcPr>
            <w:tcW w:w="4078" w:type="dxa"/>
          </w:tcPr>
          <w:p>
            <w:pPr>
              <w:pStyle w:val="TableParagraph"/>
              <w:spacing w:before="61"/>
              <w:ind w:left="105"/>
              <w:rPr>
                <w:sz w:val="20"/>
              </w:rPr>
            </w:pPr>
            <w:r>
              <w:rPr>
                <w:sz w:val="20"/>
              </w:rPr>
              <w:t>Program</w:t>
            </w:r>
            <w:r>
              <w:rPr>
                <w:spacing w:val="-8"/>
                <w:sz w:val="20"/>
              </w:rPr>
              <w:t> </w:t>
            </w:r>
            <w:r>
              <w:rPr>
                <w:spacing w:val="-2"/>
                <w:sz w:val="20"/>
              </w:rPr>
              <w:t>Manager</w:t>
            </w:r>
          </w:p>
        </w:tc>
        <w:tc>
          <w:tcPr>
            <w:tcW w:w="2693" w:type="dxa"/>
          </w:tcPr>
          <w:p>
            <w:pPr>
              <w:pStyle w:val="TableParagraph"/>
              <w:spacing w:before="61"/>
              <w:ind w:left="108"/>
              <w:rPr>
                <w:sz w:val="20"/>
              </w:rPr>
            </w:pPr>
            <w:r>
              <w:rPr>
                <w:spacing w:val="-5"/>
                <w:sz w:val="20"/>
              </w:rPr>
              <w:t>AHC</w:t>
            </w:r>
          </w:p>
        </w:tc>
      </w:tr>
      <w:tr>
        <w:trPr>
          <w:trHeight w:val="364" w:hRule="atLeast"/>
        </w:trPr>
        <w:tc>
          <w:tcPr>
            <w:tcW w:w="2297" w:type="dxa"/>
          </w:tcPr>
          <w:p>
            <w:pPr>
              <w:pStyle w:val="TableParagraph"/>
              <w:spacing w:before="61"/>
              <w:ind w:left="107"/>
              <w:rPr>
                <w:sz w:val="20"/>
              </w:rPr>
            </w:pPr>
            <w:r>
              <w:rPr>
                <w:sz w:val="20"/>
              </w:rPr>
              <w:t>Anabel</w:t>
            </w:r>
            <w:r>
              <w:rPr>
                <w:spacing w:val="-6"/>
                <w:sz w:val="20"/>
              </w:rPr>
              <w:t> </w:t>
            </w:r>
            <w:r>
              <w:rPr>
                <w:spacing w:val="-4"/>
                <w:sz w:val="20"/>
              </w:rPr>
              <w:t>Lusk</w:t>
            </w:r>
          </w:p>
        </w:tc>
        <w:tc>
          <w:tcPr>
            <w:tcW w:w="4078" w:type="dxa"/>
          </w:tcPr>
          <w:p>
            <w:pPr>
              <w:pStyle w:val="TableParagraph"/>
              <w:spacing w:before="61"/>
              <w:ind w:left="105"/>
              <w:rPr>
                <w:sz w:val="20"/>
              </w:rPr>
            </w:pPr>
            <w:r>
              <w:rPr>
                <w:sz w:val="20"/>
              </w:rPr>
              <w:t>Second</w:t>
            </w:r>
            <w:r>
              <w:rPr>
                <w:spacing w:val="-10"/>
                <w:sz w:val="20"/>
              </w:rPr>
              <w:t> </w:t>
            </w:r>
            <w:r>
              <w:rPr>
                <w:sz w:val="20"/>
              </w:rPr>
              <w:t>Secretary,</w:t>
            </w:r>
            <w:r>
              <w:rPr>
                <w:spacing w:val="-9"/>
                <w:sz w:val="20"/>
              </w:rPr>
              <w:t> </w:t>
            </w:r>
            <w:r>
              <w:rPr>
                <w:spacing w:val="-2"/>
                <w:sz w:val="20"/>
              </w:rPr>
              <w:t>Development</w:t>
            </w:r>
          </w:p>
        </w:tc>
        <w:tc>
          <w:tcPr>
            <w:tcW w:w="2693" w:type="dxa"/>
          </w:tcPr>
          <w:p>
            <w:pPr>
              <w:pStyle w:val="TableParagraph"/>
              <w:spacing w:before="61"/>
              <w:ind w:left="108"/>
              <w:rPr>
                <w:sz w:val="20"/>
              </w:rPr>
            </w:pPr>
            <w:r>
              <w:rPr>
                <w:sz w:val="20"/>
              </w:rPr>
              <w:t>NZ</w:t>
            </w:r>
            <w:r>
              <w:rPr>
                <w:spacing w:val="-3"/>
                <w:sz w:val="20"/>
              </w:rPr>
              <w:t> </w:t>
            </w:r>
            <w:r>
              <w:rPr>
                <w:sz w:val="20"/>
              </w:rPr>
              <w:t>High</w:t>
            </w:r>
            <w:r>
              <w:rPr>
                <w:spacing w:val="-1"/>
                <w:sz w:val="20"/>
              </w:rPr>
              <w:t> </w:t>
            </w:r>
            <w:r>
              <w:rPr>
                <w:spacing w:val="-2"/>
                <w:sz w:val="20"/>
              </w:rPr>
              <w:t>Commission</w:t>
            </w:r>
          </w:p>
        </w:tc>
      </w:tr>
      <w:tr>
        <w:trPr>
          <w:trHeight w:val="364" w:hRule="atLeast"/>
        </w:trPr>
        <w:tc>
          <w:tcPr>
            <w:tcW w:w="2297" w:type="dxa"/>
          </w:tcPr>
          <w:p>
            <w:pPr>
              <w:pStyle w:val="TableParagraph"/>
              <w:spacing w:before="61"/>
              <w:ind w:left="107"/>
              <w:rPr>
                <w:sz w:val="20"/>
              </w:rPr>
            </w:pPr>
            <w:r>
              <w:rPr>
                <w:sz w:val="20"/>
              </w:rPr>
              <w:t>Dr</w:t>
            </w:r>
            <w:r>
              <w:rPr>
                <w:spacing w:val="-6"/>
                <w:sz w:val="20"/>
              </w:rPr>
              <w:t> </w:t>
            </w:r>
            <w:r>
              <w:rPr>
                <w:sz w:val="20"/>
              </w:rPr>
              <w:t>Franco</w:t>
            </w:r>
            <w:r>
              <w:rPr>
                <w:spacing w:val="-4"/>
                <w:sz w:val="20"/>
              </w:rPr>
              <w:t> </w:t>
            </w:r>
            <w:r>
              <w:rPr>
                <w:spacing w:val="-2"/>
                <w:sz w:val="20"/>
              </w:rPr>
              <w:t>Rodie</w:t>
            </w:r>
          </w:p>
        </w:tc>
        <w:tc>
          <w:tcPr>
            <w:tcW w:w="4078" w:type="dxa"/>
          </w:tcPr>
          <w:p>
            <w:pPr>
              <w:pStyle w:val="TableParagraph"/>
              <w:spacing w:before="61"/>
              <w:ind w:left="105"/>
              <w:rPr>
                <w:sz w:val="20"/>
              </w:rPr>
            </w:pPr>
            <w:r>
              <w:rPr>
                <w:sz w:val="20"/>
              </w:rPr>
              <w:t>Permanent</w:t>
            </w:r>
            <w:r>
              <w:rPr>
                <w:spacing w:val="-12"/>
                <w:sz w:val="20"/>
              </w:rPr>
              <w:t> </w:t>
            </w:r>
            <w:r>
              <w:rPr>
                <w:spacing w:val="-2"/>
                <w:sz w:val="20"/>
              </w:rPr>
              <w:t>Secretary</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James</w:t>
            </w:r>
            <w:r>
              <w:rPr>
                <w:spacing w:val="-8"/>
                <w:sz w:val="20"/>
              </w:rPr>
              <w:t> </w:t>
            </w:r>
            <w:r>
              <w:rPr>
                <w:spacing w:val="-2"/>
                <w:sz w:val="20"/>
              </w:rPr>
              <w:t>Bosamata</w:t>
            </w:r>
          </w:p>
        </w:tc>
        <w:tc>
          <w:tcPr>
            <w:tcW w:w="4078" w:type="dxa"/>
          </w:tcPr>
          <w:p>
            <w:pPr>
              <w:pStyle w:val="TableParagraph"/>
              <w:spacing w:before="61"/>
              <w:ind w:left="105"/>
              <w:rPr>
                <w:sz w:val="20"/>
              </w:rPr>
            </w:pPr>
            <w:r>
              <w:rPr>
                <w:sz w:val="20"/>
              </w:rPr>
              <w:t>Deputy</w:t>
            </w:r>
            <w:r>
              <w:rPr>
                <w:spacing w:val="-8"/>
                <w:sz w:val="20"/>
              </w:rPr>
              <w:t> </w:t>
            </w:r>
            <w:r>
              <w:rPr>
                <w:spacing w:val="-2"/>
                <w:sz w:val="20"/>
              </w:rPr>
              <w:t>Secretary</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Joe</w:t>
            </w:r>
            <w:r>
              <w:rPr>
                <w:spacing w:val="-6"/>
                <w:sz w:val="20"/>
              </w:rPr>
              <w:t> </w:t>
            </w:r>
            <w:r>
              <w:rPr>
                <w:spacing w:val="-2"/>
                <w:sz w:val="20"/>
              </w:rPr>
              <w:t>Ririmae</w:t>
            </w:r>
          </w:p>
        </w:tc>
        <w:tc>
          <w:tcPr>
            <w:tcW w:w="4078" w:type="dxa"/>
          </w:tcPr>
          <w:p>
            <w:pPr>
              <w:pStyle w:val="TableParagraph"/>
              <w:spacing w:before="61"/>
              <w:ind w:left="105"/>
              <w:rPr>
                <w:sz w:val="20"/>
              </w:rPr>
            </w:pPr>
            <w:r>
              <w:rPr>
                <w:sz w:val="20"/>
              </w:rPr>
              <w:t>Under</w:t>
            </w:r>
            <w:r>
              <w:rPr>
                <w:spacing w:val="-9"/>
                <w:sz w:val="20"/>
              </w:rPr>
              <w:t> </w:t>
            </w:r>
            <w:r>
              <w:rPr>
                <w:sz w:val="20"/>
              </w:rPr>
              <w:t>Secretary</w:t>
            </w:r>
            <w:r>
              <w:rPr>
                <w:spacing w:val="-8"/>
                <w:sz w:val="20"/>
              </w:rPr>
              <w:t> </w:t>
            </w:r>
            <w:r>
              <w:rPr>
                <w:spacing w:val="-2"/>
                <w:sz w:val="20"/>
              </w:rPr>
              <w:t>Corporate</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Linda</w:t>
            </w:r>
            <w:r>
              <w:rPr>
                <w:spacing w:val="-7"/>
                <w:sz w:val="20"/>
              </w:rPr>
              <w:t> </w:t>
            </w:r>
            <w:r>
              <w:rPr>
                <w:spacing w:val="-4"/>
                <w:sz w:val="20"/>
              </w:rPr>
              <w:t>Wate</w:t>
            </w:r>
          </w:p>
        </w:tc>
        <w:tc>
          <w:tcPr>
            <w:tcW w:w="4078" w:type="dxa"/>
          </w:tcPr>
          <w:p>
            <w:pPr>
              <w:pStyle w:val="TableParagraph"/>
              <w:spacing w:before="61"/>
              <w:ind w:left="105"/>
              <w:rPr>
                <w:sz w:val="20"/>
              </w:rPr>
            </w:pPr>
            <w:r>
              <w:rPr>
                <w:sz w:val="20"/>
              </w:rPr>
              <w:t>UTSL</w:t>
            </w:r>
            <w:r>
              <w:rPr>
                <w:spacing w:val="-7"/>
                <w:sz w:val="20"/>
              </w:rPr>
              <w:t> </w:t>
            </w:r>
            <w:r>
              <w:rPr>
                <w:sz w:val="20"/>
              </w:rPr>
              <w:t>(Ag)/Director</w:t>
            </w:r>
            <w:r>
              <w:rPr>
                <w:spacing w:val="-8"/>
                <w:sz w:val="20"/>
              </w:rPr>
              <w:t> </w:t>
            </w:r>
            <w:r>
              <w:rPr>
                <w:sz w:val="20"/>
              </w:rPr>
              <w:t>Teacher</w:t>
            </w:r>
            <w:r>
              <w:rPr>
                <w:spacing w:val="-9"/>
                <w:sz w:val="20"/>
              </w:rPr>
              <w:t> </w:t>
            </w:r>
            <w:r>
              <w:rPr>
                <w:sz w:val="20"/>
              </w:rPr>
              <w:t>&amp;</w:t>
            </w:r>
            <w:r>
              <w:rPr>
                <w:spacing w:val="-8"/>
                <w:sz w:val="20"/>
              </w:rPr>
              <w:t> </w:t>
            </w:r>
            <w:r>
              <w:rPr>
                <w:spacing w:val="-2"/>
                <w:sz w:val="20"/>
              </w:rPr>
              <w:t>Learning</w:t>
            </w:r>
          </w:p>
        </w:tc>
        <w:tc>
          <w:tcPr>
            <w:tcW w:w="2693" w:type="dxa"/>
          </w:tcPr>
          <w:p>
            <w:pPr>
              <w:pStyle w:val="TableParagraph"/>
              <w:spacing w:before="61"/>
              <w:ind w:left="108"/>
              <w:rPr>
                <w:sz w:val="20"/>
              </w:rPr>
            </w:pPr>
            <w:r>
              <w:rPr>
                <w:spacing w:val="-4"/>
                <w:sz w:val="20"/>
              </w:rPr>
              <w:t>MEHRD</w:t>
            </w:r>
          </w:p>
        </w:tc>
      </w:tr>
      <w:tr>
        <w:trPr>
          <w:trHeight w:val="362" w:hRule="atLeast"/>
        </w:trPr>
        <w:tc>
          <w:tcPr>
            <w:tcW w:w="2297" w:type="dxa"/>
          </w:tcPr>
          <w:p>
            <w:pPr>
              <w:pStyle w:val="TableParagraph"/>
              <w:spacing w:before="61"/>
              <w:ind w:left="107"/>
              <w:rPr>
                <w:sz w:val="20"/>
              </w:rPr>
            </w:pPr>
            <w:r>
              <w:rPr>
                <w:spacing w:val="-2"/>
                <w:sz w:val="20"/>
              </w:rPr>
              <w:t>Constance</w:t>
            </w:r>
            <w:r>
              <w:rPr>
                <w:spacing w:val="3"/>
                <w:sz w:val="20"/>
              </w:rPr>
              <w:t> </w:t>
            </w:r>
            <w:r>
              <w:rPr>
                <w:spacing w:val="-4"/>
                <w:sz w:val="20"/>
              </w:rPr>
              <w:t>Nasi</w:t>
            </w:r>
          </w:p>
        </w:tc>
        <w:tc>
          <w:tcPr>
            <w:tcW w:w="4078" w:type="dxa"/>
          </w:tcPr>
          <w:p>
            <w:pPr>
              <w:pStyle w:val="TableParagraph"/>
              <w:spacing w:before="61"/>
              <w:ind w:left="105"/>
              <w:rPr>
                <w:sz w:val="20"/>
              </w:rPr>
            </w:pPr>
            <w:r>
              <w:rPr>
                <w:sz w:val="20"/>
              </w:rPr>
              <w:t>CEO</w:t>
            </w:r>
            <w:r>
              <w:rPr>
                <w:spacing w:val="-9"/>
                <w:sz w:val="20"/>
              </w:rPr>
              <w:t> </w:t>
            </w:r>
            <w:r>
              <w:rPr>
                <w:sz w:val="20"/>
              </w:rPr>
              <w:t>(Designate)</w:t>
            </w:r>
            <w:r>
              <w:rPr>
                <w:spacing w:val="-6"/>
                <w:sz w:val="20"/>
              </w:rPr>
              <w:t> </w:t>
            </w:r>
            <w:r>
              <w:rPr>
                <w:spacing w:val="-2"/>
                <w:sz w:val="20"/>
              </w:rPr>
              <w:t>SITESA</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4"/>
              <w:ind w:left="107"/>
              <w:rPr>
                <w:sz w:val="20"/>
              </w:rPr>
            </w:pPr>
            <w:r>
              <w:rPr>
                <w:sz w:val="20"/>
              </w:rPr>
              <w:t>Mathias</w:t>
            </w:r>
            <w:r>
              <w:rPr>
                <w:spacing w:val="-7"/>
                <w:sz w:val="20"/>
              </w:rPr>
              <w:t> </w:t>
            </w:r>
            <w:r>
              <w:rPr>
                <w:spacing w:val="-2"/>
                <w:sz w:val="20"/>
              </w:rPr>
              <w:t>Kutai</w:t>
            </w:r>
          </w:p>
        </w:tc>
        <w:tc>
          <w:tcPr>
            <w:tcW w:w="4078" w:type="dxa"/>
          </w:tcPr>
          <w:p>
            <w:pPr>
              <w:pStyle w:val="TableParagraph"/>
              <w:spacing w:before="64"/>
              <w:ind w:left="105"/>
              <w:rPr>
                <w:sz w:val="20"/>
              </w:rPr>
            </w:pPr>
            <w:r>
              <w:rPr>
                <w:sz w:val="20"/>
              </w:rPr>
              <w:t>USES</w:t>
            </w:r>
            <w:r>
              <w:rPr>
                <w:spacing w:val="-12"/>
                <w:sz w:val="20"/>
              </w:rPr>
              <w:t> </w:t>
            </w:r>
            <w:r>
              <w:rPr>
                <w:sz w:val="20"/>
              </w:rPr>
              <w:t>(Ag)/Director</w:t>
            </w:r>
            <w:r>
              <w:rPr>
                <w:spacing w:val="-10"/>
                <w:sz w:val="20"/>
              </w:rPr>
              <w:t> </w:t>
            </w:r>
            <w:r>
              <w:rPr>
                <w:spacing w:val="-5"/>
                <w:sz w:val="20"/>
              </w:rPr>
              <w:t>TSD</w:t>
            </w:r>
          </w:p>
        </w:tc>
        <w:tc>
          <w:tcPr>
            <w:tcW w:w="2693" w:type="dxa"/>
          </w:tcPr>
          <w:p>
            <w:pPr>
              <w:pStyle w:val="TableParagraph"/>
              <w:spacing w:before="64"/>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Emily</w:t>
            </w:r>
            <w:r>
              <w:rPr>
                <w:spacing w:val="-5"/>
                <w:sz w:val="20"/>
              </w:rPr>
              <w:t> </w:t>
            </w:r>
            <w:r>
              <w:rPr>
                <w:spacing w:val="-2"/>
                <w:sz w:val="20"/>
              </w:rPr>
              <w:t>Siriki</w:t>
            </w:r>
          </w:p>
        </w:tc>
        <w:tc>
          <w:tcPr>
            <w:tcW w:w="4078" w:type="dxa"/>
          </w:tcPr>
          <w:p>
            <w:pPr>
              <w:pStyle w:val="TableParagraph"/>
              <w:spacing w:before="61"/>
              <w:ind w:left="105"/>
              <w:rPr>
                <w:sz w:val="20"/>
              </w:rPr>
            </w:pPr>
            <w:r>
              <w:rPr>
                <w:sz w:val="20"/>
              </w:rPr>
              <w:t>Director</w:t>
            </w:r>
            <w:r>
              <w:rPr>
                <w:spacing w:val="-7"/>
                <w:sz w:val="20"/>
              </w:rPr>
              <w:t> </w:t>
            </w:r>
            <w:r>
              <w:rPr>
                <w:sz w:val="20"/>
              </w:rPr>
              <w:t>School</w:t>
            </w:r>
            <w:r>
              <w:rPr>
                <w:spacing w:val="-6"/>
                <w:sz w:val="20"/>
              </w:rPr>
              <w:t> </w:t>
            </w:r>
            <w:r>
              <w:rPr>
                <w:sz w:val="20"/>
              </w:rPr>
              <w:t>Review</w:t>
            </w:r>
            <w:r>
              <w:rPr>
                <w:spacing w:val="-7"/>
                <w:sz w:val="20"/>
              </w:rPr>
              <w:t> </w:t>
            </w:r>
            <w:r>
              <w:rPr>
                <w:sz w:val="20"/>
              </w:rPr>
              <w:t>&amp;</w:t>
            </w:r>
            <w:r>
              <w:rPr>
                <w:spacing w:val="-5"/>
                <w:sz w:val="20"/>
              </w:rPr>
              <w:t> </w:t>
            </w:r>
            <w:r>
              <w:rPr>
                <w:spacing w:val="-2"/>
                <w:sz w:val="20"/>
              </w:rPr>
              <w:t>Standards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Curtis</w:t>
            </w:r>
            <w:r>
              <w:rPr>
                <w:spacing w:val="-10"/>
                <w:sz w:val="20"/>
              </w:rPr>
              <w:t> </w:t>
            </w:r>
            <w:r>
              <w:rPr>
                <w:spacing w:val="-4"/>
                <w:sz w:val="20"/>
              </w:rPr>
              <w:t>Kalu</w:t>
            </w:r>
          </w:p>
        </w:tc>
        <w:tc>
          <w:tcPr>
            <w:tcW w:w="4078" w:type="dxa"/>
          </w:tcPr>
          <w:p>
            <w:pPr>
              <w:pStyle w:val="TableParagraph"/>
              <w:spacing w:before="61"/>
              <w:ind w:left="105"/>
              <w:rPr>
                <w:sz w:val="20"/>
              </w:rPr>
            </w:pPr>
            <w:r>
              <w:rPr>
                <w:sz w:val="20"/>
              </w:rPr>
              <w:t>Manager</w:t>
            </w:r>
            <w:r>
              <w:rPr>
                <w:spacing w:val="-9"/>
                <w:sz w:val="20"/>
              </w:rPr>
              <w:t> </w:t>
            </w:r>
            <w:r>
              <w:rPr>
                <w:spacing w:val="-2"/>
                <w:sz w:val="20"/>
              </w:rPr>
              <w:t>Scholarships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Julie</w:t>
            </w:r>
            <w:r>
              <w:rPr>
                <w:spacing w:val="-8"/>
                <w:sz w:val="20"/>
              </w:rPr>
              <w:t> </w:t>
            </w:r>
            <w:r>
              <w:rPr>
                <w:spacing w:val="-4"/>
                <w:sz w:val="20"/>
              </w:rPr>
              <w:t>Lilo</w:t>
            </w:r>
          </w:p>
        </w:tc>
        <w:tc>
          <w:tcPr>
            <w:tcW w:w="4078" w:type="dxa"/>
          </w:tcPr>
          <w:p>
            <w:pPr>
              <w:pStyle w:val="TableParagraph"/>
              <w:spacing w:before="61"/>
              <w:ind w:left="105"/>
              <w:rPr>
                <w:sz w:val="20"/>
              </w:rPr>
            </w:pPr>
            <w:r>
              <w:rPr>
                <w:spacing w:val="-2"/>
                <w:sz w:val="20"/>
              </w:rPr>
              <w:t>Director</w:t>
            </w:r>
            <w:r>
              <w:rPr>
                <w:spacing w:val="4"/>
                <w:sz w:val="20"/>
              </w:rPr>
              <w:t> </w:t>
            </w:r>
            <w:r>
              <w:rPr>
                <w:spacing w:val="-2"/>
                <w:sz w:val="20"/>
              </w:rPr>
              <w:t>Schools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Martin</w:t>
            </w:r>
            <w:r>
              <w:rPr>
                <w:spacing w:val="-5"/>
                <w:sz w:val="20"/>
              </w:rPr>
              <w:t> </w:t>
            </w:r>
            <w:r>
              <w:rPr>
                <w:spacing w:val="-2"/>
                <w:sz w:val="20"/>
              </w:rPr>
              <w:t>Marairi</w:t>
            </w:r>
          </w:p>
        </w:tc>
        <w:tc>
          <w:tcPr>
            <w:tcW w:w="4078" w:type="dxa"/>
          </w:tcPr>
          <w:p>
            <w:pPr>
              <w:pStyle w:val="TableParagraph"/>
              <w:spacing w:before="61"/>
              <w:ind w:left="105"/>
              <w:rPr>
                <w:sz w:val="20"/>
              </w:rPr>
            </w:pPr>
            <w:r>
              <w:rPr>
                <w:sz w:val="20"/>
              </w:rPr>
              <w:t>Chief</w:t>
            </w:r>
            <w:r>
              <w:rPr>
                <w:spacing w:val="-7"/>
                <w:sz w:val="20"/>
              </w:rPr>
              <w:t> </w:t>
            </w:r>
            <w:r>
              <w:rPr>
                <w:sz w:val="20"/>
              </w:rPr>
              <w:t>Accountant</w:t>
            </w:r>
            <w:r>
              <w:rPr>
                <w:spacing w:val="-4"/>
                <w:sz w:val="20"/>
              </w:rPr>
              <w:t> </w:t>
            </w:r>
            <w:r>
              <w:rPr>
                <w:sz w:val="20"/>
              </w:rPr>
              <w:t>-</w:t>
            </w:r>
            <w:r>
              <w:rPr>
                <w:spacing w:val="-6"/>
                <w:sz w:val="20"/>
              </w:rPr>
              <w:t> </w:t>
            </w:r>
            <w:r>
              <w:rPr>
                <w:spacing w:val="-2"/>
                <w:sz w:val="20"/>
              </w:rPr>
              <w:t>Grants</w:t>
            </w:r>
          </w:p>
        </w:tc>
        <w:tc>
          <w:tcPr>
            <w:tcW w:w="2693" w:type="dxa"/>
          </w:tcPr>
          <w:p>
            <w:pPr>
              <w:pStyle w:val="TableParagraph"/>
              <w:spacing w:before="61"/>
              <w:ind w:left="108"/>
              <w:rPr>
                <w:sz w:val="20"/>
              </w:rPr>
            </w:pPr>
            <w:r>
              <w:rPr>
                <w:sz w:val="20"/>
              </w:rPr>
              <w:t>MEHRD</w:t>
            </w:r>
            <w:r>
              <w:rPr>
                <w:spacing w:val="-4"/>
                <w:sz w:val="20"/>
              </w:rPr>
              <w:t> </w:t>
            </w:r>
            <w:r>
              <w:rPr>
                <w:sz w:val="20"/>
              </w:rPr>
              <w:t>–</w:t>
            </w:r>
            <w:r>
              <w:rPr>
                <w:spacing w:val="-4"/>
                <w:sz w:val="20"/>
              </w:rPr>
              <w:t> </w:t>
            </w:r>
            <w:r>
              <w:rPr>
                <w:spacing w:val="-2"/>
                <w:sz w:val="20"/>
              </w:rPr>
              <w:t>Finance</w:t>
            </w:r>
          </w:p>
        </w:tc>
      </w:tr>
      <w:tr>
        <w:trPr>
          <w:trHeight w:val="364" w:hRule="atLeast"/>
        </w:trPr>
        <w:tc>
          <w:tcPr>
            <w:tcW w:w="2297" w:type="dxa"/>
          </w:tcPr>
          <w:p>
            <w:pPr>
              <w:pStyle w:val="TableParagraph"/>
              <w:spacing w:before="61"/>
              <w:ind w:left="107"/>
              <w:rPr>
                <w:sz w:val="20"/>
              </w:rPr>
            </w:pPr>
            <w:r>
              <w:rPr>
                <w:sz w:val="20"/>
              </w:rPr>
              <w:t>Ben</w:t>
            </w:r>
            <w:r>
              <w:rPr>
                <w:spacing w:val="-6"/>
                <w:sz w:val="20"/>
              </w:rPr>
              <w:t> </w:t>
            </w:r>
            <w:r>
              <w:rPr>
                <w:spacing w:val="-4"/>
                <w:sz w:val="20"/>
              </w:rPr>
              <w:t>Namo</w:t>
            </w:r>
          </w:p>
        </w:tc>
        <w:tc>
          <w:tcPr>
            <w:tcW w:w="4078" w:type="dxa"/>
          </w:tcPr>
          <w:p>
            <w:pPr>
              <w:pStyle w:val="TableParagraph"/>
              <w:spacing w:before="61"/>
              <w:ind w:left="105"/>
              <w:rPr>
                <w:sz w:val="20"/>
              </w:rPr>
            </w:pPr>
            <w:r>
              <w:rPr>
                <w:sz w:val="20"/>
              </w:rPr>
              <w:t>Manager,</w:t>
            </w:r>
            <w:r>
              <w:rPr>
                <w:spacing w:val="-7"/>
                <w:sz w:val="20"/>
              </w:rPr>
              <w:t> </w:t>
            </w:r>
            <w:r>
              <w:rPr>
                <w:sz w:val="20"/>
              </w:rPr>
              <w:t>Internal</w:t>
            </w:r>
            <w:r>
              <w:rPr>
                <w:spacing w:val="-7"/>
                <w:sz w:val="20"/>
              </w:rPr>
              <w:t> </w:t>
            </w:r>
            <w:r>
              <w:rPr>
                <w:spacing w:val="-2"/>
                <w:sz w:val="20"/>
              </w:rPr>
              <w:t>Audit</w:t>
            </w:r>
          </w:p>
        </w:tc>
        <w:tc>
          <w:tcPr>
            <w:tcW w:w="2693" w:type="dxa"/>
          </w:tcPr>
          <w:p>
            <w:pPr>
              <w:pStyle w:val="TableParagraph"/>
              <w:spacing w:before="61"/>
              <w:ind w:left="108"/>
              <w:rPr>
                <w:sz w:val="20"/>
              </w:rPr>
            </w:pPr>
            <w:r>
              <w:rPr>
                <w:sz w:val="20"/>
              </w:rPr>
              <w:t>MEHRD</w:t>
            </w:r>
            <w:r>
              <w:rPr>
                <w:spacing w:val="-4"/>
                <w:sz w:val="20"/>
              </w:rPr>
              <w:t> </w:t>
            </w:r>
            <w:r>
              <w:rPr>
                <w:sz w:val="20"/>
              </w:rPr>
              <w:t>–</w:t>
            </w:r>
            <w:r>
              <w:rPr>
                <w:spacing w:val="-5"/>
                <w:sz w:val="20"/>
              </w:rPr>
              <w:t> </w:t>
            </w:r>
            <w:r>
              <w:rPr>
                <w:sz w:val="20"/>
              </w:rPr>
              <w:t>Internal</w:t>
            </w:r>
            <w:r>
              <w:rPr>
                <w:spacing w:val="-4"/>
                <w:sz w:val="20"/>
              </w:rPr>
              <w:t> </w:t>
            </w:r>
            <w:r>
              <w:rPr>
                <w:spacing w:val="-2"/>
                <w:sz w:val="20"/>
              </w:rPr>
              <w:t>Audit</w:t>
            </w:r>
          </w:p>
        </w:tc>
      </w:tr>
      <w:tr>
        <w:trPr>
          <w:trHeight w:val="607" w:hRule="atLeast"/>
        </w:trPr>
        <w:tc>
          <w:tcPr>
            <w:tcW w:w="2297" w:type="dxa"/>
          </w:tcPr>
          <w:p>
            <w:pPr>
              <w:pStyle w:val="TableParagraph"/>
              <w:spacing w:before="62"/>
              <w:ind w:left="107"/>
              <w:rPr>
                <w:sz w:val="20"/>
              </w:rPr>
            </w:pPr>
            <w:r>
              <w:rPr>
                <w:sz w:val="20"/>
              </w:rPr>
              <w:t>Rose</w:t>
            </w:r>
            <w:r>
              <w:rPr>
                <w:spacing w:val="-6"/>
                <w:sz w:val="20"/>
              </w:rPr>
              <w:t> </w:t>
            </w:r>
            <w:r>
              <w:rPr>
                <w:spacing w:val="-4"/>
                <w:sz w:val="20"/>
              </w:rPr>
              <w:t>Paia</w:t>
            </w:r>
          </w:p>
        </w:tc>
        <w:tc>
          <w:tcPr>
            <w:tcW w:w="4078" w:type="dxa"/>
          </w:tcPr>
          <w:p>
            <w:pPr>
              <w:pStyle w:val="TableParagraph"/>
              <w:spacing w:before="62"/>
              <w:ind w:left="105"/>
              <w:rPr>
                <w:sz w:val="20"/>
              </w:rPr>
            </w:pPr>
            <w:r>
              <w:rPr>
                <w:sz w:val="20"/>
              </w:rPr>
              <w:t>Manager,</w:t>
            </w:r>
            <w:r>
              <w:rPr>
                <w:spacing w:val="-9"/>
                <w:sz w:val="20"/>
              </w:rPr>
              <w:t> </w:t>
            </w:r>
            <w:r>
              <w:rPr>
                <w:sz w:val="20"/>
              </w:rPr>
              <w:t>Curriculum</w:t>
            </w:r>
            <w:r>
              <w:rPr>
                <w:spacing w:val="-9"/>
                <w:sz w:val="20"/>
              </w:rPr>
              <w:t> </w:t>
            </w:r>
            <w:r>
              <w:rPr>
                <w:spacing w:val="-2"/>
                <w:sz w:val="20"/>
              </w:rPr>
              <w:t>Development</w:t>
            </w:r>
          </w:p>
        </w:tc>
        <w:tc>
          <w:tcPr>
            <w:tcW w:w="2693" w:type="dxa"/>
          </w:tcPr>
          <w:p>
            <w:pPr>
              <w:pStyle w:val="TableParagraph"/>
              <w:spacing w:before="62"/>
              <w:ind w:left="108"/>
              <w:rPr>
                <w:sz w:val="20"/>
              </w:rPr>
            </w:pPr>
            <w:r>
              <w:rPr>
                <w:sz w:val="20"/>
              </w:rPr>
              <w:t>MEHRD</w:t>
            </w:r>
            <w:r>
              <w:rPr>
                <w:spacing w:val="-12"/>
                <w:sz w:val="20"/>
              </w:rPr>
              <w:t> </w:t>
            </w:r>
            <w:r>
              <w:rPr>
                <w:sz w:val="20"/>
              </w:rPr>
              <w:t>–</w:t>
            </w:r>
            <w:r>
              <w:rPr>
                <w:spacing w:val="-11"/>
                <w:sz w:val="20"/>
              </w:rPr>
              <w:t> </w:t>
            </w:r>
            <w:r>
              <w:rPr>
                <w:sz w:val="20"/>
              </w:rPr>
              <w:t>National</w:t>
            </w:r>
            <w:r>
              <w:rPr>
                <w:spacing w:val="-11"/>
                <w:sz w:val="20"/>
              </w:rPr>
              <w:t> </w:t>
            </w:r>
            <w:r>
              <w:rPr>
                <w:sz w:val="20"/>
              </w:rPr>
              <w:t>Education </w:t>
            </w:r>
            <w:r>
              <w:rPr>
                <w:spacing w:val="-2"/>
                <w:sz w:val="20"/>
              </w:rPr>
              <w:t>Services</w:t>
            </w:r>
          </w:p>
        </w:tc>
      </w:tr>
      <w:tr>
        <w:trPr>
          <w:trHeight w:val="609" w:hRule="atLeast"/>
        </w:trPr>
        <w:tc>
          <w:tcPr>
            <w:tcW w:w="2297" w:type="dxa"/>
          </w:tcPr>
          <w:p>
            <w:pPr>
              <w:pStyle w:val="TableParagraph"/>
              <w:spacing w:before="63"/>
              <w:ind w:left="107"/>
              <w:rPr>
                <w:sz w:val="20"/>
              </w:rPr>
            </w:pPr>
            <w:r>
              <w:rPr>
                <w:sz w:val="20"/>
              </w:rPr>
              <w:t>Charles</w:t>
            </w:r>
            <w:r>
              <w:rPr>
                <w:spacing w:val="-13"/>
                <w:sz w:val="20"/>
              </w:rPr>
              <w:t> </w:t>
            </w:r>
            <w:r>
              <w:rPr>
                <w:spacing w:val="-2"/>
                <w:sz w:val="20"/>
              </w:rPr>
              <w:t>Rouikera</w:t>
            </w:r>
          </w:p>
        </w:tc>
        <w:tc>
          <w:tcPr>
            <w:tcW w:w="4078" w:type="dxa"/>
          </w:tcPr>
          <w:p>
            <w:pPr>
              <w:pStyle w:val="TableParagraph"/>
              <w:spacing w:before="63"/>
              <w:ind w:left="105"/>
              <w:rPr>
                <w:sz w:val="20"/>
              </w:rPr>
            </w:pPr>
            <w:r>
              <w:rPr>
                <w:sz w:val="20"/>
              </w:rPr>
              <w:t>Manager,</w:t>
            </w:r>
            <w:r>
              <w:rPr>
                <w:spacing w:val="-9"/>
                <w:sz w:val="20"/>
              </w:rPr>
              <w:t> </w:t>
            </w:r>
            <w:r>
              <w:rPr>
                <w:sz w:val="20"/>
              </w:rPr>
              <w:t>Teacher</w:t>
            </w:r>
            <w:r>
              <w:rPr>
                <w:spacing w:val="-8"/>
                <w:sz w:val="20"/>
              </w:rPr>
              <w:t> </w:t>
            </w:r>
            <w:r>
              <w:rPr>
                <w:sz w:val="20"/>
              </w:rPr>
              <w:t>Professional</w:t>
            </w:r>
            <w:r>
              <w:rPr>
                <w:spacing w:val="-8"/>
                <w:sz w:val="20"/>
              </w:rPr>
              <w:t> </w:t>
            </w:r>
            <w:r>
              <w:rPr>
                <w:spacing w:val="-2"/>
                <w:sz w:val="20"/>
              </w:rPr>
              <w:t>Development</w:t>
            </w:r>
          </w:p>
        </w:tc>
        <w:tc>
          <w:tcPr>
            <w:tcW w:w="2693" w:type="dxa"/>
          </w:tcPr>
          <w:p>
            <w:pPr>
              <w:pStyle w:val="TableParagraph"/>
              <w:spacing w:before="61"/>
              <w:ind w:left="108"/>
              <w:rPr>
                <w:sz w:val="20"/>
              </w:rPr>
            </w:pPr>
            <w:r>
              <w:rPr>
                <w:sz w:val="20"/>
              </w:rPr>
              <w:t>MEHRD</w:t>
            </w:r>
            <w:r>
              <w:rPr>
                <w:spacing w:val="-12"/>
                <w:sz w:val="20"/>
              </w:rPr>
              <w:t> </w:t>
            </w:r>
            <w:r>
              <w:rPr>
                <w:sz w:val="20"/>
              </w:rPr>
              <w:t>–</w:t>
            </w:r>
            <w:r>
              <w:rPr>
                <w:spacing w:val="-11"/>
                <w:sz w:val="20"/>
              </w:rPr>
              <w:t> </w:t>
            </w:r>
            <w:r>
              <w:rPr>
                <w:sz w:val="20"/>
              </w:rPr>
              <w:t>National</w:t>
            </w:r>
            <w:r>
              <w:rPr>
                <w:spacing w:val="-11"/>
                <w:sz w:val="20"/>
              </w:rPr>
              <w:t> </w:t>
            </w:r>
            <w:r>
              <w:rPr>
                <w:sz w:val="20"/>
              </w:rPr>
              <w:t>Education </w:t>
            </w:r>
            <w:r>
              <w:rPr>
                <w:spacing w:val="-2"/>
                <w:sz w:val="20"/>
              </w:rPr>
              <w:t>Services</w:t>
            </w:r>
          </w:p>
        </w:tc>
      </w:tr>
      <w:tr>
        <w:trPr>
          <w:trHeight w:val="364" w:hRule="atLeast"/>
        </w:trPr>
        <w:tc>
          <w:tcPr>
            <w:tcW w:w="2297" w:type="dxa"/>
          </w:tcPr>
          <w:p>
            <w:pPr>
              <w:pStyle w:val="TableParagraph"/>
              <w:spacing w:before="61"/>
              <w:ind w:left="107"/>
              <w:rPr>
                <w:sz w:val="20"/>
              </w:rPr>
            </w:pPr>
            <w:r>
              <w:rPr>
                <w:sz w:val="20"/>
              </w:rPr>
              <w:t>Ali</w:t>
            </w:r>
            <w:r>
              <w:rPr>
                <w:spacing w:val="-6"/>
                <w:sz w:val="20"/>
              </w:rPr>
              <w:t> </w:t>
            </w:r>
            <w:r>
              <w:rPr>
                <w:sz w:val="20"/>
              </w:rPr>
              <w:t>Zareqe</w:t>
            </w:r>
            <w:r>
              <w:rPr>
                <w:spacing w:val="-6"/>
                <w:sz w:val="20"/>
              </w:rPr>
              <w:t> </w:t>
            </w:r>
            <w:r>
              <w:rPr>
                <w:spacing w:val="-4"/>
                <w:sz w:val="20"/>
              </w:rPr>
              <w:t>Kiko</w:t>
            </w:r>
          </w:p>
        </w:tc>
        <w:tc>
          <w:tcPr>
            <w:tcW w:w="4078" w:type="dxa"/>
          </w:tcPr>
          <w:p>
            <w:pPr>
              <w:pStyle w:val="TableParagraph"/>
              <w:spacing w:before="61"/>
              <w:ind w:left="105"/>
              <w:rPr>
                <w:sz w:val="20"/>
              </w:rPr>
            </w:pPr>
            <w:r>
              <w:rPr>
                <w:sz w:val="20"/>
              </w:rPr>
              <w:t>Manager,</w:t>
            </w:r>
            <w:r>
              <w:rPr>
                <w:spacing w:val="-6"/>
                <w:sz w:val="20"/>
              </w:rPr>
              <w:t> </w:t>
            </w:r>
            <w:r>
              <w:rPr>
                <w:sz w:val="20"/>
              </w:rPr>
              <w:t>EA</w:t>
            </w:r>
            <w:r>
              <w:rPr>
                <w:spacing w:val="-5"/>
                <w:sz w:val="20"/>
              </w:rPr>
              <w:t> </w:t>
            </w:r>
            <w:r>
              <w:rPr>
                <w:spacing w:val="-2"/>
                <w:sz w:val="20"/>
              </w:rPr>
              <w:t>Support</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Moses</w:t>
            </w:r>
            <w:r>
              <w:rPr>
                <w:spacing w:val="-8"/>
                <w:sz w:val="20"/>
              </w:rPr>
              <w:t> </w:t>
            </w:r>
            <w:r>
              <w:rPr>
                <w:sz w:val="20"/>
              </w:rPr>
              <w:t>Nukufakat</w:t>
            </w:r>
            <w:r>
              <w:rPr>
                <w:spacing w:val="-7"/>
                <w:sz w:val="20"/>
              </w:rPr>
              <w:t> </w:t>
            </w:r>
            <w:r>
              <w:rPr>
                <w:spacing w:val="-5"/>
                <w:sz w:val="20"/>
              </w:rPr>
              <w:t>onu</w:t>
            </w:r>
          </w:p>
        </w:tc>
        <w:tc>
          <w:tcPr>
            <w:tcW w:w="4078" w:type="dxa"/>
          </w:tcPr>
          <w:p>
            <w:pPr>
              <w:pStyle w:val="TableParagraph"/>
              <w:spacing w:before="61"/>
              <w:ind w:left="105"/>
              <w:rPr>
                <w:sz w:val="20"/>
              </w:rPr>
            </w:pPr>
            <w:r>
              <w:rPr>
                <w:sz w:val="20"/>
              </w:rPr>
              <w:t>Manager</w:t>
            </w:r>
            <w:r>
              <w:rPr>
                <w:spacing w:val="-8"/>
                <w:sz w:val="20"/>
              </w:rPr>
              <w:t> </w:t>
            </w:r>
            <w:r>
              <w:rPr>
                <w:sz w:val="20"/>
              </w:rPr>
              <w:t>Grants</w:t>
            </w:r>
            <w:r>
              <w:rPr>
                <w:spacing w:val="-8"/>
                <w:sz w:val="20"/>
              </w:rPr>
              <w:t> </w:t>
            </w:r>
            <w:r>
              <w:rPr>
                <w:spacing w:val="-2"/>
                <w:sz w:val="20"/>
              </w:rPr>
              <w:t>(Accounts)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Henson</w:t>
            </w:r>
            <w:r>
              <w:rPr>
                <w:spacing w:val="-10"/>
                <w:sz w:val="20"/>
              </w:rPr>
              <w:t> </w:t>
            </w:r>
            <w:r>
              <w:rPr>
                <w:spacing w:val="-2"/>
                <w:sz w:val="20"/>
              </w:rPr>
              <w:t>Makoani</w:t>
            </w:r>
          </w:p>
        </w:tc>
        <w:tc>
          <w:tcPr>
            <w:tcW w:w="4078" w:type="dxa"/>
          </w:tcPr>
          <w:p>
            <w:pPr>
              <w:pStyle w:val="TableParagraph"/>
              <w:spacing w:before="61"/>
              <w:ind w:left="105"/>
              <w:rPr>
                <w:sz w:val="20"/>
              </w:rPr>
            </w:pPr>
            <w:r>
              <w:rPr>
                <w:sz w:val="20"/>
              </w:rPr>
              <w:t>Manager</w:t>
            </w:r>
            <w:r>
              <w:rPr>
                <w:spacing w:val="-9"/>
                <w:sz w:val="20"/>
              </w:rPr>
              <w:t> </w:t>
            </w:r>
            <w:r>
              <w:rPr>
                <w:spacing w:val="-5"/>
                <w:sz w:val="20"/>
              </w:rPr>
              <w:t>AMD</w:t>
            </w:r>
          </w:p>
        </w:tc>
        <w:tc>
          <w:tcPr>
            <w:tcW w:w="2693" w:type="dxa"/>
          </w:tcPr>
          <w:p>
            <w:pPr>
              <w:pStyle w:val="TableParagraph"/>
              <w:spacing w:before="61"/>
              <w:ind w:left="108"/>
              <w:rPr>
                <w:sz w:val="20"/>
              </w:rPr>
            </w:pPr>
            <w:r>
              <w:rPr>
                <w:spacing w:val="-4"/>
                <w:sz w:val="20"/>
              </w:rPr>
              <w:t>MEHRD</w:t>
            </w:r>
          </w:p>
        </w:tc>
      </w:tr>
    </w:tbl>
    <w:p>
      <w:pPr>
        <w:spacing w:after="0"/>
        <w:rPr>
          <w:sz w:val="20"/>
        </w:rPr>
        <w:sectPr>
          <w:pgSz w:w="16850" w:h="11900" w:orient="landscape"/>
          <w:pgMar w:header="867" w:footer="830" w:top="1380" w:bottom="1020" w:left="1200" w:right="2420"/>
        </w:sectPr>
      </w:pPr>
    </w:p>
    <w:p>
      <w:pPr>
        <w:pStyle w:val="BodyText"/>
        <w:rPr>
          <w:rFonts w:ascii="Calibri Light"/>
          <w:b w:val="0"/>
          <w:sz w:val="2"/>
        </w:rPr>
      </w:pPr>
    </w:p>
    <w:tbl>
      <w:tblPr>
        <w:tblW w:w="0" w:type="auto"/>
        <w:jc w:val="left"/>
        <w:tblInd w:w="11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297"/>
        <w:gridCol w:w="4078"/>
        <w:gridCol w:w="2693"/>
      </w:tblGrid>
      <w:tr>
        <w:trPr>
          <w:trHeight w:val="606" w:hRule="atLeast"/>
        </w:trPr>
        <w:tc>
          <w:tcPr>
            <w:tcW w:w="2297" w:type="dxa"/>
          </w:tcPr>
          <w:p>
            <w:pPr>
              <w:pStyle w:val="TableParagraph"/>
              <w:spacing w:before="61"/>
              <w:ind w:left="107"/>
              <w:rPr>
                <w:sz w:val="20"/>
              </w:rPr>
            </w:pPr>
            <w:r>
              <w:rPr>
                <w:sz w:val="20"/>
              </w:rPr>
              <w:t>Christina</w:t>
            </w:r>
            <w:r>
              <w:rPr>
                <w:spacing w:val="-12"/>
                <w:sz w:val="20"/>
              </w:rPr>
              <w:t> </w:t>
            </w:r>
            <w:r>
              <w:rPr>
                <w:spacing w:val="-2"/>
                <w:sz w:val="20"/>
              </w:rPr>
              <w:t>Bakolo</w:t>
            </w:r>
          </w:p>
        </w:tc>
        <w:tc>
          <w:tcPr>
            <w:tcW w:w="4078" w:type="dxa"/>
          </w:tcPr>
          <w:p>
            <w:pPr>
              <w:pStyle w:val="TableParagraph"/>
              <w:spacing w:before="61"/>
              <w:ind w:left="105"/>
              <w:rPr>
                <w:sz w:val="20"/>
              </w:rPr>
            </w:pPr>
            <w:r>
              <w:rPr>
                <w:sz w:val="20"/>
              </w:rPr>
              <w:t>Coordinator</w:t>
            </w:r>
            <w:r>
              <w:rPr>
                <w:spacing w:val="-12"/>
                <w:sz w:val="20"/>
              </w:rPr>
              <w:t> </w:t>
            </w:r>
            <w:r>
              <w:rPr>
                <w:sz w:val="20"/>
              </w:rPr>
              <w:t>–</w:t>
            </w:r>
            <w:r>
              <w:rPr>
                <w:spacing w:val="-11"/>
                <w:sz w:val="20"/>
              </w:rPr>
              <w:t> </w:t>
            </w:r>
            <w:r>
              <w:rPr>
                <w:sz w:val="20"/>
              </w:rPr>
              <w:t>International</w:t>
            </w:r>
            <w:r>
              <w:rPr>
                <w:spacing w:val="-11"/>
                <w:sz w:val="20"/>
              </w:rPr>
              <w:t> </w:t>
            </w:r>
            <w:r>
              <w:rPr>
                <w:sz w:val="20"/>
              </w:rPr>
              <w:t>Education Coordination and NEB</w:t>
            </w:r>
          </w:p>
        </w:tc>
        <w:tc>
          <w:tcPr>
            <w:tcW w:w="2693" w:type="dxa"/>
          </w:tcPr>
          <w:p>
            <w:pPr>
              <w:pStyle w:val="TableParagraph"/>
              <w:spacing w:before="61"/>
              <w:ind w:left="108"/>
              <w:rPr>
                <w:sz w:val="20"/>
              </w:rPr>
            </w:pPr>
            <w:r>
              <w:rPr>
                <w:sz w:val="20"/>
              </w:rPr>
              <w:t>MEHRD</w:t>
            </w:r>
            <w:r>
              <w:rPr>
                <w:spacing w:val="-3"/>
                <w:sz w:val="20"/>
              </w:rPr>
              <w:t> </w:t>
            </w:r>
            <w:r>
              <w:rPr>
                <w:sz w:val="20"/>
              </w:rPr>
              <w:t>-</w:t>
            </w:r>
            <w:r>
              <w:rPr>
                <w:spacing w:val="-4"/>
                <w:sz w:val="20"/>
              </w:rPr>
              <w:t> </w:t>
            </w:r>
            <w:r>
              <w:rPr>
                <w:spacing w:val="-5"/>
                <w:sz w:val="20"/>
              </w:rPr>
              <w:t>SSU</w:t>
            </w:r>
          </w:p>
        </w:tc>
      </w:tr>
      <w:tr>
        <w:trPr>
          <w:trHeight w:val="364" w:hRule="atLeast"/>
        </w:trPr>
        <w:tc>
          <w:tcPr>
            <w:tcW w:w="2297" w:type="dxa"/>
          </w:tcPr>
          <w:p>
            <w:pPr>
              <w:pStyle w:val="TableParagraph"/>
              <w:spacing w:before="63"/>
              <w:ind w:left="107"/>
              <w:rPr>
                <w:sz w:val="20"/>
              </w:rPr>
            </w:pPr>
            <w:r>
              <w:rPr>
                <w:sz w:val="20"/>
              </w:rPr>
              <w:t>Margaret</w:t>
            </w:r>
            <w:r>
              <w:rPr>
                <w:spacing w:val="-8"/>
                <w:sz w:val="20"/>
              </w:rPr>
              <w:t> </w:t>
            </w:r>
            <w:r>
              <w:rPr>
                <w:spacing w:val="-2"/>
                <w:sz w:val="20"/>
              </w:rPr>
              <w:t>Saumare</w:t>
            </w:r>
          </w:p>
        </w:tc>
        <w:tc>
          <w:tcPr>
            <w:tcW w:w="4078" w:type="dxa"/>
          </w:tcPr>
          <w:p>
            <w:pPr>
              <w:pStyle w:val="TableParagraph"/>
              <w:spacing w:before="63"/>
              <w:ind w:left="105"/>
              <w:rPr>
                <w:sz w:val="20"/>
              </w:rPr>
            </w:pPr>
            <w:r>
              <w:rPr>
                <w:sz w:val="20"/>
              </w:rPr>
              <w:t>Team</w:t>
            </w:r>
            <w:r>
              <w:rPr>
                <w:spacing w:val="-7"/>
                <w:sz w:val="20"/>
              </w:rPr>
              <w:t> </w:t>
            </w:r>
            <w:r>
              <w:rPr>
                <w:sz w:val="20"/>
              </w:rPr>
              <w:t>Leader</w:t>
            </w:r>
            <w:r>
              <w:rPr>
                <w:spacing w:val="-7"/>
                <w:sz w:val="20"/>
              </w:rPr>
              <w:t> </w:t>
            </w:r>
            <w:r>
              <w:rPr>
                <w:spacing w:val="-2"/>
                <w:sz w:val="20"/>
              </w:rPr>
              <w:t>Innovation</w:t>
            </w:r>
          </w:p>
        </w:tc>
        <w:tc>
          <w:tcPr>
            <w:tcW w:w="2693" w:type="dxa"/>
          </w:tcPr>
          <w:p>
            <w:pPr>
              <w:pStyle w:val="TableParagraph"/>
              <w:spacing w:before="63"/>
              <w:ind w:left="108"/>
              <w:rPr>
                <w:sz w:val="20"/>
              </w:rPr>
            </w:pPr>
            <w:r>
              <w:rPr>
                <w:spacing w:val="-4"/>
                <w:sz w:val="20"/>
              </w:rPr>
              <w:t>MEHRD</w:t>
            </w:r>
          </w:p>
        </w:tc>
      </w:tr>
      <w:tr>
        <w:trPr>
          <w:trHeight w:val="364" w:hRule="atLeast"/>
        </w:trPr>
        <w:tc>
          <w:tcPr>
            <w:tcW w:w="2297" w:type="dxa"/>
          </w:tcPr>
          <w:p>
            <w:pPr>
              <w:pStyle w:val="TableParagraph"/>
              <w:spacing w:before="63"/>
              <w:ind w:left="107"/>
              <w:rPr>
                <w:sz w:val="20"/>
              </w:rPr>
            </w:pPr>
            <w:r>
              <w:rPr>
                <w:sz w:val="20"/>
              </w:rPr>
              <w:t>Anita</w:t>
            </w:r>
            <w:r>
              <w:rPr>
                <w:spacing w:val="-5"/>
                <w:sz w:val="20"/>
              </w:rPr>
              <w:t> </w:t>
            </w:r>
            <w:r>
              <w:rPr>
                <w:spacing w:val="-2"/>
                <w:sz w:val="20"/>
              </w:rPr>
              <w:t>Ringi</w:t>
            </w:r>
          </w:p>
        </w:tc>
        <w:tc>
          <w:tcPr>
            <w:tcW w:w="4078" w:type="dxa"/>
          </w:tcPr>
          <w:p>
            <w:pPr>
              <w:pStyle w:val="TableParagraph"/>
              <w:spacing w:before="63"/>
              <w:ind w:left="105"/>
              <w:rPr>
                <w:sz w:val="20"/>
              </w:rPr>
            </w:pPr>
            <w:r>
              <w:rPr>
                <w:sz w:val="20"/>
              </w:rPr>
              <w:t>Manager</w:t>
            </w:r>
            <w:r>
              <w:rPr>
                <w:spacing w:val="-8"/>
                <w:sz w:val="20"/>
              </w:rPr>
              <w:t> </w:t>
            </w:r>
            <w:r>
              <w:rPr>
                <w:sz w:val="20"/>
              </w:rPr>
              <w:t>(Ag)</w:t>
            </w:r>
            <w:r>
              <w:rPr>
                <w:spacing w:val="-9"/>
                <w:sz w:val="20"/>
              </w:rPr>
              <w:t> </w:t>
            </w:r>
            <w:r>
              <w:rPr>
                <w:spacing w:val="-2"/>
                <w:sz w:val="20"/>
              </w:rPr>
              <w:t>Procurement</w:t>
            </w:r>
          </w:p>
        </w:tc>
        <w:tc>
          <w:tcPr>
            <w:tcW w:w="2693" w:type="dxa"/>
          </w:tcPr>
          <w:p>
            <w:pPr>
              <w:pStyle w:val="TableParagraph"/>
              <w:spacing w:before="63"/>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Kathleen</w:t>
            </w:r>
            <w:r>
              <w:rPr>
                <w:spacing w:val="-10"/>
                <w:sz w:val="20"/>
              </w:rPr>
              <w:t> </w:t>
            </w:r>
            <w:r>
              <w:rPr>
                <w:spacing w:val="-2"/>
                <w:sz w:val="20"/>
              </w:rPr>
              <w:t>Sikapau</w:t>
            </w:r>
          </w:p>
        </w:tc>
        <w:tc>
          <w:tcPr>
            <w:tcW w:w="4078" w:type="dxa"/>
          </w:tcPr>
          <w:p>
            <w:pPr>
              <w:pStyle w:val="TableParagraph"/>
              <w:spacing w:before="61"/>
              <w:ind w:left="105"/>
              <w:rPr>
                <w:sz w:val="20"/>
              </w:rPr>
            </w:pPr>
            <w:r>
              <w:rPr>
                <w:sz w:val="20"/>
              </w:rPr>
              <w:t>Manager,</w:t>
            </w:r>
            <w:r>
              <w:rPr>
                <w:spacing w:val="-6"/>
                <w:sz w:val="20"/>
              </w:rPr>
              <w:t> </w:t>
            </w:r>
            <w:r>
              <w:rPr>
                <w:sz w:val="20"/>
              </w:rPr>
              <w:t>EA</w:t>
            </w:r>
            <w:r>
              <w:rPr>
                <w:spacing w:val="-5"/>
                <w:sz w:val="20"/>
              </w:rPr>
              <w:t> </w:t>
            </w:r>
            <w:r>
              <w:rPr>
                <w:spacing w:val="-2"/>
                <w:sz w:val="20"/>
              </w:rPr>
              <w:t>Support</w:t>
            </w:r>
          </w:p>
        </w:tc>
        <w:tc>
          <w:tcPr>
            <w:tcW w:w="2693" w:type="dxa"/>
          </w:tcPr>
          <w:p>
            <w:pPr>
              <w:pStyle w:val="TableParagraph"/>
              <w:spacing w:before="61"/>
              <w:ind w:left="108"/>
              <w:rPr>
                <w:sz w:val="20"/>
              </w:rPr>
            </w:pPr>
            <w:r>
              <w:rPr>
                <w:spacing w:val="-4"/>
                <w:sz w:val="20"/>
              </w:rPr>
              <w:t>MEHRD</w:t>
            </w:r>
          </w:p>
        </w:tc>
      </w:tr>
      <w:tr>
        <w:trPr>
          <w:trHeight w:val="365" w:hRule="atLeast"/>
        </w:trPr>
        <w:tc>
          <w:tcPr>
            <w:tcW w:w="2297" w:type="dxa"/>
          </w:tcPr>
          <w:p>
            <w:pPr>
              <w:pStyle w:val="TableParagraph"/>
              <w:spacing w:before="61"/>
              <w:ind w:left="107"/>
              <w:rPr>
                <w:sz w:val="20"/>
              </w:rPr>
            </w:pPr>
            <w:r>
              <w:rPr>
                <w:spacing w:val="-2"/>
                <w:sz w:val="20"/>
              </w:rPr>
              <w:t>Christopher</w:t>
            </w:r>
            <w:r>
              <w:rPr>
                <w:spacing w:val="6"/>
                <w:sz w:val="20"/>
              </w:rPr>
              <w:t> </w:t>
            </w:r>
            <w:r>
              <w:rPr>
                <w:spacing w:val="-2"/>
                <w:sz w:val="20"/>
              </w:rPr>
              <w:t>Sakiri</w:t>
            </w:r>
          </w:p>
        </w:tc>
        <w:tc>
          <w:tcPr>
            <w:tcW w:w="4078" w:type="dxa"/>
          </w:tcPr>
          <w:p>
            <w:pPr>
              <w:pStyle w:val="TableParagraph"/>
              <w:spacing w:before="61"/>
              <w:ind w:left="105"/>
              <w:rPr>
                <w:sz w:val="20"/>
              </w:rPr>
            </w:pPr>
            <w:r>
              <w:rPr>
                <w:sz w:val="20"/>
              </w:rPr>
              <w:t>Manager</w:t>
            </w:r>
            <w:r>
              <w:rPr>
                <w:spacing w:val="-7"/>
                <w:sz w:val="20"/>
              </w:rPr>
              <w:t> </w:t>
            </w:r>
            <w:r>
              <w:rPr>
                <w:sz w:val="20"/>
              </w:rPr>
              <w:t>(Ag)</w:t>
            </w:r>
            <w:r>
              <w:rPr>
                <w:spacing w:val="-5"/>
                <w:sz w:val="20"/>
              </w:rPr>
              <w:t> M&amp;E</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Tongoua</w:t>
            </w:r>
            <w:r>
              <w:rPr>
                <w:spacing w:val="-9"/>
                <w:sz w:val="20"/>
              </w:rPr>
              <w:t> </w:t>
            </w:r>
            <w:r>
              <w:rPr>
                <w:spacing w:val="-4"/>
                <w:sz w:val="20"/>
              </w:rPr>
              <w:t>Tabe</w:t>
            </w:r>
          </w:p>
        </w:tc>
        <w:tc>
          <w:tcPr>
            <w:tcW w:w="4078" w:type="dxa"/>
          </w:tcPr>
          <w:p>
            <w:pPr>
              <w:pStyle w:val="TableParagraph"/>
              <w:spacing w:before="61"/>
              <w:ind w:left="105"/>
              <w:rPr>
                <w:sz w:val="20"/>
              </w:rPr>
            </w:pPr>
            <w:r>
              <w:rPr>
                <w:sz w:val="20"/>
              </w:rPr>
              <w:t>Manager</w:t>
            </w:r>
            <w:r>
              <w:rPr>
                <w:spacing w:val="-11"/>
                <w:sz w:val="20"/>
              </w:rPr>
              <w:t> </w:t>
            </w:r>
            <w:r>
              <w:rPr>
                <w:sz w:val="20"/>
              </w:rPr>
              <w:t>(Ag)</w:t>
            </w:r>
            <w:r>
              <w:rPr>
                <w:spacing w:val="-8"/>
                <w:sz w:val="20"/>
              </w:rPr>
              <w:t> </w:t>
            </w:r>
            <w:r>
              <w:rPr>
                <w:sz w:val="20"/>
              </w:rPr>
              <w:t>School/Centre</w:t>
            </w:r>
            <w:r>
              <w:rPr>
                <w:spacing w:val="-8"/>
                <w:sz w:val="20"/>
              </w:rPr>
              <w:t> </w:t>
            </w:r>
            <w:r>
              <w:rPr>
                <w:spacing w:val="-2"/>
                <w:sz w:val="20"/>
              </w:rPr>
              <w:t>Registration</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Gladys</w:t>
            </w:r>
            <w:r>
              <w:rPr>
                <w:spacing w:val="-8"/>
                <w:sz w:val="20"/>
              </w:rPr>
              <w:t> </w:t>
            </w:r>
            <w:r>
              <w:rPr>
                <w:spacing w:val="-2"/>
                <w:sz w:val="20"/>
              </w:rPr>
              <w:t>Siale</w:t>
            </w:r>
          </w:p>
        </w:tc>
        <w:tc>
          <w:tcPr>
            <w:tcW w:w="4078" w:type="dxa"/>
          </w:tcPr>
          <w:p>
            <w:pPr>
              <w:pStyle w:val="TableParagraph"/>
              <w:spacing w:before="61"/>
              <w:ind w:left="105"/>
              <w:rPr>
                <w:sz w:val="20"/>
              </w:rPr>
            </w:pPr>
            <w:r>
              <w:rPr>
                <w:sz w:val="20"/>
              </w:rPr>
              <w:t>Manager</w:t>
            </w:r>
            <w:r>
              <w:rPr>
                <w:spacing w:val="-9"/>
                <w:sz w:val="20"/>
              </w:rPr>
              <w:t> </w:t>
            </w:r>
            <w:r>
              <w:rPr>
                <w:spacing w:val="-2"/>
                <w:sz w:val="20"/>
              </w:rPr>
              <w:t>Schools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John</w:t>
            </w:r>
            <w:r>
              <w:rPr>
                <w:spacing w:val="-6"/>
                <w:sz w:val="20"/>
              </w:rPr>
              <w:t> </w:t>
            </w:r>
            <w:r>
              <w:rPr>
                <w:spacing w:val="-2"/>
                <w:sz w:val="20"/>
              </w:rPr>
              <w:t>Riare</w:t>
            </w:r>
          </w:p>
        </w:tc>
        <w:tc>
          <w:tcPr>
            <w:tcW w:w="4078" w:type="dxa"/>
          </w:tcPr>
          <w:p>
            <w:pPr>
              <w:pStyle w:val="TableParagraph"/>
              <w:spacing w:before="61"/>
              <w:ind w:left="105"/>
              <w:rPr>
                <w:sz w:val="20"/>
              </w:rPr>
            </w:pPr>
            <w:r>
              <w:rPr>
                <w:sz w:val="20"/>
              </w:rPr>
              <w:t>Manager</w:t>
            </w:r>
            <w:r>
              <w:rPr>
                <w:spacing w:val="-8"/>
                <w:sz w:val="20"/>
              </w:rPr>
              <w:t> </w:t>
            </w:r>
            <w:r>
              <w:rPr>
                <w:sz w:val="20"/>
              </w:rPr>
              <w:t>(Ag)</w:t>
            </w:r>
            <w:r>
              <w:rPr>
                <w:spacing w:val="-9"/>
                <w:sz w:val="20"/>
              </w:rPr>
              <w:t> </w:t>
            </w:r>
            <w:r>
              <w:rPr>
                <w:spacing w:val="-5"/>
                <w:sz w:val="20"/>
              </w:rPr>
              <w:t>ISD</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Richard</w:t>
            </w:r>
            <w:r>
              <w:rPr>
                <w:spacing w:val="-8"/>
                <w:sz w:val="20"/>
              </w:rPr>
              <w:t> </w:t>
            </w:r>
            <w:r>
              <w:rPr>
                <w:spacing w:val="-2"/>
                <w:sz w:val="20"/>
              </w:rPr>
              <w:t>Adomana</w:t>
            </w:r>
          </w:p>
        </w:tc>
        <w:tc>
          <w:tcPr>
            <w:tcW w:w="4078" w:type="dxa"/>
          </w:tcPr>
          <w:p>
            <w:pPr>
              <w:pStyle w:val="TableParagraph"/>
              <w:spacing w:before="61"/>
              <w:ind w:left="105"/>
              <w:rPr>
                <w:sz w:val="20"/>
              </w:rPr>
            </w:pPr>
            <w:r>
              <w:rPr>
                <w:sz w:val="20"/>
              </w:rPr>
              <w:t>Manager</w:t>
            </w:r>
            <w:r>
              <w:rPr>
                <w:spacing w:val="-8"/>
                <w:sz w:val="20"/>
              </w:rPr>
              <w:t> </w:t>
            </w:r>
            <w:r>
              <w:rPr>
                <w:spacing w:val="-2"/>
                <w:sz w:val="20"/>
              </w:rPr>
              <w:t>Planning</w:t>
            </w:r>
          </w:p>
        </w:tc>
        <w:tc>
          <w:tcPr>
            <w:tcW w:w="2693" w:type="dxa"/>
          </w:tcPr>
          <w:p>
            <w:pPr>
              <w:pStyle w:val="TableParagraph"/>
              <w:spacing w:before="61"/>
              <w:ind w:left="108"/>
              <w:rPr>
                <w:sz w:val="20"/>
              </w:rPr>
            </w:pPr>
            <w:r>
              <w:rPr>
                <w:spacing w:val="-4"/>
                <w:sz w:val="20"/>
              </w:rPr>
              <w:t>MEHRD</w:t>
            </w:r>
          </w:p>
        </w:tc>
      </w:tr>
      <w:tr>
        <w:trPr>
          <w:trHeight w:val="361" w:hRule="atLeast"/>
        </w:trPr>
        <w:tc>
          <w:tcPr>
            <w:tcW w:w="2297" w:type="dxa"/>
          </w:tcPr>
          <w:p>
            <w:pPr>
              <w:pStyle w:val="TableParagraph"/>
              <w:spacing w:before="61"/>
              <w:ind w:left="107"/>
              <w:rPr>
                <w:sz w:val="20"/>
              </w:rPr>
            </w:pPr>
            <w:r>
              <w:rPr>
                <w:sz w:val="20"/>
              </w:rPr>
              <w:t>Judith</w:t>
            </w:r>
            <w:r>
              <w:rPr>
                <w:spacing w:val="-7"/>
                <w:sz w:val="20"/>
              </w:rPr>
              <w:t> </w:t>
            </w:r>
            <w:r>
              <w:rPr>
                <w:spacing w:val="-4"/>
                <w:sz w:val="20"/>
              </w:rPr>
              <w:t>Pule</w:t>
            </w:r>
          </w:p>
        </w:tc>
        <w:tc>
          <w:tcPr>
            <w:tcW w:w="4078" w:type="dxa"/>
          </w:tcPr>
          <w:p>
            <w:pPr>
              <w:pStyle w:val="TableParagraph"/>
              <w:spacing w:before="61"/>
              <w:ind w:left="105"/>
              <w:rPr>
                <w:sz w:val="20"/>
              </w:rPr>
            </w:pPr>
            <w:r>
              <w:rPr>
                <w:spacing w:val="-2"/>
                <w:sz w:val="20"/>
              </w:rPr>
              <w:t>Logistics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3"/>
              <w:ind w:left="107"/>
              <w:rPr>
                <w:sz w:val="20"/>
              </w:rPr>
            </w:pPr>
            <w:r>
              <w:rPr>
                <w:sz w:val="20"/>
              </w:rPr>
              <w:t>Katja</w:t>
            </w:r>
            <w:r>
              <w:rPr>
                <w:spacing w:val="-6"/>
                <w:sz w:val="20"/>
              </w:rPr>
              <w:t> </w:t>
            </w:r>
            <w:r>
              <w:rPr>
                <w:spacing w:val="-2"/>
                <w:sz w:val="20"/>
              </w:rPr>
              <w:t>Juksa</w:t>
            </w:r>
          </w:p>
        </w:tc>
        <w:tc>
          <w:tcPr>
            <w:tcW w:w="4078" w:type="dxa"/>
          </w:tcPr>
          <w:p>
            <w:pPr>
              <w:pStyle w:val="TableParagraph"/>
              <w:spacing w:before="63"/>
              <w:ind w:left="105"/>
              <w:rPr>
                <w:sz w:val="20"/>
              </w:rPr>
            </w:pPr>
            <w:r>
              <w:rPr>
                <w:sz w:val="20"/>
              </w:rPr>
              <w:t>Adviser</w:t>
            </w:r>
            <w:r>
              <w:rPr>
                <w:spacing w:val="-9"/>
                <w:sz w:val="20"/>
              </w:rPr>
              <w:t> </w:t>
            </w:r>
            <w:r>
              <w:rPr>
                <w:spacing w:val="-2"/>
                <w:sz w:val="20"/>
              </w:rPr>
              <w:t>Procurement</w:t>
            </w:r>
          </w:p>
        </w:tc>
        <w:tc>
          <w:tcPr>
            <w:tcW w:w="2693" w:type="dxa"/>
          </w:tcPr>
          <w:p>
            <w:pPr>
              <w:pStyle w:val="TableParagraph"/>
              <w:spacing w:before="63"/>
              <w:ind w:left="108"/>
              <w:rPr>
                <w:sz w:val="20"/>
              </w:rPr>
            </w:pPr>
            <w:r>
              <w:rPr>
                <w:sz w:val="20"/>
              </w:rPr>
              <w:t>MEHRD</w:t>
            </w:r>
            <w:r>
              <w:rPr>
                <w:spacing w:val="-3"/>
                <w:sz w:val="20"/>
              </w:rPr>
              <w:t> </w:t>
            </w:r>
            <w:r>
              <w:rPr>
                <w:sz w:val="20"/>
              </w:rPr>
              <w:t>-</w:t>
            </w:r>
            <w:r>
              <w:rPr>
                <w:spacing w:val="-4"/>
                <w:sz w:val="20"/>
              </w:rPr>
              <w:t> </w:t>
            </w:r>
            <w:r>
              <w:rPr>
                <w:spacing w:val="-2"/>
                <w:sz w:val="20"/>
              </w:rPr>
              <w:t>Procurement</w:t>
            </w:r>
          </w:p>
        </w:tc>
      </w:tr>
      <w:tr>
        <w:trPr>
          <w:trHeight w:val="364" w:hRule="atLeast"/>
        </w:trPr>
        <w:tc>
          <w:tcPr>
            <w:tcW w:w="2297" w:type="dxa"/>
          </w:tcPr>
          <w:p>
            <w:pPr>
              <w:pStyle w:val="TableParagraph"/>
              <w:spacing w:before="64"/>
              <w:ind w:left="107"/>
              <w:rPr>
                <w:sz w:val="20"/>
              </w:rPr>
            </w:pPr>
            <w:r>
              <w:rPr>
                <w:sz w:val="20"/>
              </w:rPr>
              <w:t>McGreggor</w:t>
            </w:r>
            <w:r>
              <w:rPr>
                <w:spacing w:val="-10"/>
                <w:sz w:val="20"/>
              </w:rPr>
              <w:t> </w:t>
            </w:r>
            <w:r>
              <w:rPr>
                <w:spacing w:val="-2"/>
                <w:sz w:val="20"/>
              </w:rPr>
              <w:t>Richards</w:t>
            </w:r>
          </w:p>
        </w:tc>
        <w:tc>
          <w:tcPr>
            <w:tcW w:w="4078" w:type="dxa"/>
          </w:tcPr>
          <w:p>
            <w:pPr>
              <w:pStyle w:val="TableParagraph"/>
              <w:spacing w:before="64"/>
              <w:ind w:left="105"/>
              <w:rPr>
                <w:sz w:val="20"/>
              </w:rPr>
            </w:pPr>
            <w:r>
              <w:rPr>
                <w:sz w:val="20"/>
              </w:rPr>
              <w:t>Technical</w:t>
            </w:r>
            <w:r>
              <w:rPr>
                <w:spacing w:val="-7"/>
                <w:sz w:val="20"/>
              </w:rPr>
              <w:t> </w:t>
            </w:r>
            <w:r>
              <w:rPr>
                <w:sz w:val="20"/>
              </w:rPr>
              <w:t>Adviser,</w:t>
            </w:r>
            <w:r>
              <w:rPr>
                <w:spacing w:val="-7"/>
                <w:sz w:val="20"/>
              </w:rPr>
              <w:t> </w:t>
            </w:r>
            <w:r>
              <w:rPr>
                <w:sz w:val="20"/>
              </w:rPr>
              <w:t>Payments</w:t>
            </w:r>
            <w:r>
              <w:rPr>
                <w:spacing w:val="-8"/>
                <w:sz w:val="20"/>
              </w:rPr>
              <w:t> </w:t>
            </w:r>
            <w:r>
              <w:rPr>
                <w:sz w:val="20"/>
              </w:rPr>
              <w:t>and</w:t>
            </w:r>
            <w:r>
              <w:rPr>
                <w:spacing w:val="-7"/>
                <w:sz w:val="20"/>
              </w:rPr>
              <w:t> </w:t>
            </w:r>
            <w:r>
              <w:rPr>
                <w:spacing w:val="-2"/>
                <w:sz w:val="20"/>
              </w:rPr>
              <w:t>Finance</w:t>
            </w:r>
          </w:p>
        </w:tc>
        <w:tc>
          <w:tcPr>
            <w:tcW w:w="2693" w:type="dxa"/>
          </w:tcPr>
          <w:p>
            <w:pPr>
              <w:pStyle w:val="TableParagraph"/>
              <w:spacing w:before="64"/>
              <w:ind w:left="108"/>
              <w:rPr>
                <w:sz w:val="20"/>
              </w:rPr>
            </w:pPr>
            <w:r>
              <w:rPr>
                <w:sz w:val="20"/>
              </w:rPr>
              <w:t>MEHRD</w:t>
            </w:r>
            <w:r>
              <w:rPr>
                <w:spacing w:val="-4"/>
                <w:sz w:val="20"/>
              </w:rPr>
              <w:t> </w:t>
            </w:r>
            <w:r>
              <w:rPr>
                <w:sz w:val="20"/>
              </w:rPr>
              <w:t>–</w:t>
            </w:r>
            <w:r>
              <w:rPr>
                <w:spacing w:val="-4"/>
                <w:sz w:val="20"/>
              </w:rPr>
              <w:t> </w:t>
            </w:r>
            <w:r>
              <w:rPr>
                <w:spacing w:val="-2"/>
                <w:sz w:val="20"/>
              </w:rPr>
              <w:t>Finance</w:t>
            </w:r>
          </w:p>
        </w:tc>
      </w:tr>
      <w:tr>
        <w:trPr>
          <w:trHeight w:val="364" w:hRule="atLeast"/>
        </w:trPr>
        <w:tc>
          <w:tcPr>
            <w:tcW w:w="2297" w:type="dxa"/>
          </w:tcPr>
          <w:p>
            <w:pPr>
              <w:pStyle w:val="TableParagraph"/>
              <w:spacing w:before="61"/>
              <w:ind w:left="107"/>
              <w:rPr>
                <w:sz w:val="20"/>
              </w:rPr>
            </w:pPr>
            <w:r>
              <w:rPr>
                <w:sz w:val="20"/>
              </w:rPr>
              <w:t>Steven</w:t>
            </w:r>
            <w:r>
              <w:rPr>
                <w:spacing w:val="-11"/>
                <w:sz w:val="20"/>
              </w:rPr>
              <w:t> </w:t>
            </w:r>
            <w:r>
              <w:rPr>
                <w:spacing w:val="-4"/>
                <w:sz w:val="20"/>
              </w:rPr>
              <w:t>Rose</w:t>
            </w:r>
          </w:p>
        </w:tc>
        <w:tc>
          <w:tcPr>
            <w:tcW w:w="4078" w:type="dxa"/>
          </w:tcPr>
          <w:p>
            <w:pPr>
              <w:pStyle w:val="TableParagraph"/>
              <w:spacing w:before="61"/>
              <w:ind w:left="105"/>
              <w:rPr>
                <w:sz w:val="20"/>
              </w:rPr>
            </w:pPr>
            <w:r>
              <w:rPr>
                <w:sz w:val="20"/>
              </w:rPr>
              <w:t>Monitoring</w:t>
            </w:r>
            <w:r>
              <w:rPr>
                <w:spacing w:val="-8"/>
                <w:sz w:val="20"/>
              </w:rPr>
              <w:t> </w:t>
            </w:r>
            <w:r>
              <w:rPr>
                <w:sz w:val="20"/>
              </w:rPr>
              <w:t>and</w:t>
            </w:r>
            <w:r>
              <w:rPr>
                <w:spacing w:val="-7"/>
                <w:sz w:val="20"/>
              </w:rPr>
              <w:t> </w:t>
            </w:r>
            <w:r>
              <w:rPr>
                <w:sz w:val="20"/>
              </w:rPr>
              <w:t>Evaluation</w:t>
            </w:r>
            <w:r>
              <w:rPr>
                <w:spacing w:val="-6"/>
                <w:sz w:val="20"/>
              </w:rPr>
              <w:t> </w:t>
            </w:r>
            <w:r>
              <w:rPr>
                <w:spacing w:val="-2"/>
                <w:sz w:val="20"/>
              </w:rPr>
              <w:t>Adviser</w:t>
            </w:r>
          </w:p>
        </w:tc>
        <w:tc>
          <w:tcPr>
            <w:tcW w:w="2693" w:type="dxa"/>
          </w:tcPr>
          <w:p>
            <w:pPr>
              <w:pStyle w:val="TableParagraph"/>
              <w:spacing w:before="61"/>
              <w:ind w:left="108"/>
              <w:rPr>
                <w:sz w:val="20"/>
              </w:rPr>
            </w:pPr>
            <w:r>
              <w:rPr>
                <w:sz w:val="20"/>
              </w:rPr>
              <w:t>MEHRD</w:t>
            </w:r>
            <w:r>
              <w:rPr>
                <w:spacing w:val="-3"/>
                <w:sz w:val="20"/>
              </w:rPr>
              <w:t> </w:t>
            </w:r>
            <w:r>
              <w:rPr>
                <w:sz w:val="20"/>
              </w:rPr>
              <w:t>-</w:t>
            </w:r>
            <w:r>
              <w:rPr>
                <w:spacing w:val="-4"/>
                <w:sz w:val="20"/>
              </w:rPr>
              <w:t> </w:t>
            </w:r>
            <w:r>
              <w:rPr>
                <w:spacing w:val="-5"/>
                <w:sz w:val="20"/>
              </w:rPr>
              <w:t>SSU</w:t>
            </w:r>
          </w:p>
        </w:tc>
      </w:tr>
      <w:tr>
        <w:trPr>
          <w:trHeight w:val="609" w:hRule="atLeast"/>
        </w:trPr>
        <w:tc>
          <w:tcPr>
            <w:tcW w:w="2297" w:type="dxa"/>
          </w:tcPr>
          <w:p>
            <w:pPr>
              <w:pStyle w:val="TableParagraph"/>
              <w:spacing w:before="61"/>
              <w:ind w:left="107"/>
              <w:rPr>
                <w:sz w:val="20"/>
              </w:rPr>
            </w:pPr>
            <w:r>
              <w:rPr>
                <w:sz w:val="20"/>
              </w:rPr>
              <w:t>Gerard</w:t>
            </w:r>
            <w:r>
              <w:rPr>
                <w:spacing w:val="-8"/>
                <w:sz w:val="20"/>
              </w:rPr>
              <w:t> </w:t>
            </w:r>
            <w:r>
              <w:rPr>
                <w:spacing w:val="-2"/>
                <w:sz w:val="20"/>
              </w:rPr>
              <w:t>Direen</w:t>
            </w:r>
          </w:p>
        </w:tc>
        <w:tc>
          <w:tcPr>
            <w:tcW w:w="4078" w:type="dxa"/>
          </w:tcPr>
          <w:p>
            <w:pPr>
              <w:pStyle w:val="TableParagraph"/>
              <w:spacing w:before="61"/>
              <w:ind w:left="105" w:right="198"/>
              <w:rPr>
                <w:sz w:val="20"/>
              </w:rPr>
            </w:pPr>
            <w:r>
              <w:rPr>
                <w:sz w:val="20"/>
              </w:rPr>
              <w:t>Technical</w:t>
            </w:r>
            <w:r>
              <w:rPr>
                <w:spacing w:val="-10"/>
                <w:sz w:val="20"/>
              </w:rPr>
              <w:t> </w:t>
            </w:r>
            <w:r>
              <w:rPr>
                <w:sz w:val="20"/>
              </w:rPr>
              <w:t>Adviser,</w:t>
            </w:r>
            <w:r>
              <w:rPr>
                <w:spacing w:val="-10"/>
                <w:sz w:val="20"/>
              </w:rPr>
              <w:t> </w:t>
            </w:r>
            <w:r>
              <w:rPr>
                <w:sz w:val="20"/>
              </w:rPr>
              <w:t>School</w:t>
            </w:r>
            <w:r>
              <w:rPr>
                <w:spacing w:val="-10"/>
                <w:sz w:val="20"/>
              </w:rPr>
              <w:t> </w:t>
            </w:r>
            <w:r>
              <w:rPr>
                <w:sz w:val="20"/>
              </w:rPr>
              <w:t>Review</w:t>
            </w:r>
            <w:r>
              <w:rPr>
                <w:spacing w:val="-11"/>
                <w:sz w:val="20"/>
              </w:rPr>
              <w:t> </w:t>
            </w:r>
            <w:r>
              <w:rPr>
                <w:sz w:val="20"/>
              </w:rPr>
              <w:t>and </w:t>
            </w:r>
            <w:r>
              <w:rPr>
                <w:spacing w:val="-2"/>
                <w:sz w:val="20"/>
              </w:rPr>
              <w:t>Standards</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1"/>
              <w:ind w:left="107"/>
              <w:rPr>
                <w:sz w:val="20"/>
              </w:rPr>
            </w:pPr>
            <w:r>
              <w:rPr>
                <w:sz w:val="20"/>
              </w:rPr>
              <w:t>Helen</w:t>
            </w:r>
            <w:r>
              <w:rPr>
                <w:spacing w:val="-7"/>
                <w:sz w:val="20"/>
              </w:rPr>
              <w:t> </w:t>
            </w:r>
            <w:r>
              <w:rPr>
                <w:spacing w:val="-4"/>
                <w:sz w:val="20"/>
              </w:rPr>
              <w:t>Rose</w:t>
            </w:r>
          </w:p>
        </w:tc>
        <w:tc>
          <w:tcPr>
            <w:tcW w:w="4078" w:type="dxa"/>
          </w:tcPr>
          <w:p>
            <w:pPr>
              <w:pStyle w:val="TableParagraph"/>
              <w:spacing w:before="61"/>
              <w:ind w:left="105"/>
              <w:rPr>
                <w:sz w:val="20"/>
              </w:rPr>
            </w:pPr>
            <w:r>
              <w:rPr>
                <w:sz w:val="20"/>
              </w:rPr>
              <w:t>Education</w:t>
            </w:r>
            <w:r>
              <w:rPr>
                <w:spacing w:val="-9"/>
                <w:sz w:val="20"/>
              </w:rPr>
              <w:t> </w:t>
            </w:r>
            <w:r>
              <w:rPr>
                <w:sz w:val="20"/>
              </w:rPr>
              <w:t>Sector</w:t>
            </w:r>
            <w:r>
              <w:rPr>
                <w:spacing w:val="-9"/>
                <w:sz w:val="20"/>
              </w:rPr>
              <w:t> </w:t>
            </w:r>
            <w:r>
              <w:rPr>
                <w:sz w:val="20"/>
              </w:rPr>
              <w:t>Management</w:t>
            </w:r>
            <w:r>
              <w:rPr>
                <w:spacing w:val="-9"/>
                <w:sz w:val="20"/>
              </w:rPr>
              <w:t> </w:t>
            </w:r>
            <w:r>
              <w:rPr>
                <w:spacing w:val="-2"/>
                <w:sz w:val="20"/>
              </w:rPr>
              <w:t>Adviser</w:t>
            </w:r>
          </w:p>
        </w:tc>
        <w:tc>
          <w:tcPr>
            <w:tcW w:w="2693" w:type="dxa"/>
          </w:tcPr>
          <w:p>
            <w:pPr>
              <w:pStyle w:val="TableParagraph"/>
              <w:spacing w:before="61"/>
              <w:ind w:left="108"/>
              <w:rPr>
                <w:sz w:val="20"/>
              </w:rPr>
            </w:pPr>
            <w:r>
              <w:rPr>
                <w:sz w:val="20"/>
              </w:rPr>
              <w:t>MEHRD</w:t>
            </w:r>
            <w:r>
              <w:rPr>
                <w:spacing w:val="-4"/>
                <w:sz w:val="20"/>
              </w:rPr>
              <w:t> </w:t>
            </w:r>
            <w:r>
              <w:rPr>
                <w:sz w:val="20"/>
              </w:rPr>
              <w:t>–</w:t>
            </w:r>
            <w:r>
              <w:rPr>
                <w:spacing w:val="-4"/>
                <w:sz w:val="20"/>
              </w:rPr>
              <w:t> </w:t>
            </w:r>
            <w:r>
              <w:rPr>
                <w:spacing w:val="-5"/>
                <w:sz w:val="20"/>
              </w:rPr>
              <w:t>SSU</w:t>
            </w:r>
          </w:p>
        </w:tc>
      </w:tr>
      <w:tr>
        <w:trPr>
          <w:trHeight w:val="364" w:hRule="atLeast"/>
        </w:trPr>
        <w:tc>
          <w:tcPr>
            <w:tcW w:w="2297" w:type="dxa"/>
          </w:tcPr>
          <w:p>
            <w:pPr>
              <w:pStyle w:val="TableParagraph"/>
              <w:spacing w:before="61"/>
              <w:ind w:left="107"/>
              <w:rPr>
                <w:sz w:val="20"/>
              </w:rPr>
            </w:pPr>
            <w:r>
              <w:rPr>
                <w:spacing w:val="-2"/>
                <w:sz w:val="20"/>
              </w:rPr>
              <w:t>Christine</w:t>
            </w:r>
            <w:r>
              <w:rPr>
                <w:spacing w:val="5"/>
                <w:sz w:val="20"/>
              </w:rPr>
              <w:t> </w:t>
            </w:r>
            <w:r>
              <w:rPr>
                <w:spacing w:val="-2"/>
                <w:sz w:val="20"/>
              </w:rPr>
              <w:t>Swift</w:t>
            </w:r>
          </w:p>
        </w:tc>
        <w:tc>
          <w:tcPr>
            <w:tcW w:w="4078" w:type="dxa"/>
          </w:tcPr>
          <w:p>
            <w:pPr>
              <w:pStyle w:val="TableParagraph"/>
              <w:spacing w:before="61"/>
              <w:ind w:left="105"/>
              <w:rPr>
                <w:sz w:val="20"/>
              </w:rPr>
            </w:pPr>
            <w:r>
              <w:rPr>
                <w:sz w:val="20"/>
              </w:rPr>
              <w:t>Technical</w:t>
            </w:r>
            <w:r>
              <w:rPr>
                <w:spacing w:val="-9"/>
                <w:sz w:val="20"/>
              </w:rPr>
              <w:t> </w:t>
            </w:r>
            <w:r>
              <w:rPr>
                <w:sz w:val="20"/>
              </w:rPr>
              <w:t>Adviser,</w:t>
            </w:r>
            <w:r>
              <w:rPr>
                <w:spacing w:val="-9"/>
                <w:sz w:val="20"/>
              </w:rPr>
              <w:t> </w:t>
            </w:r>
            <w:r>
              <w:rPr>
                <w:sz w:val="20"/>
              </w:rPr>
              <w:t>Legislative</w:t>
            </w:r>
            <w:r>
              <w:rPr>
                <w:spacing w:val="-8"/>
                <w:sz w:val="20"/>
              </w:rPr>
              <w:t> </w:t>
            </w:r>
            <w:r>
              <w:rPr>
                <w:spacing w:val="-2"/>
                <w:sz w:val="20"/>
              </w:rPr>
              <w:t>Drafter</w:t>
            </w:r>
          </w:p>
        </w:tc>
        <w:tc>
          <w:tcPr>
            <w:tcW w:w="2693" w:type="dxa"/>
          </w:tcPr>
          <w:p>
            <w:pPr>
              <w:pStyle w:val="TableParagraph"/>
              <w:spacing w:before="61"/>
              <w:ind w:left="108"/>
              <w:rPr>
                <w:sz w:val="20"/>
              </w:rPr>
            </w:pPr>
            <w:r>
              <w:rPr>
                <w:spacing w:val="-4"/>
                <w:sz w:val="20"/>
              </w:rPr>
              <w:t>MEHRD</w:t>
            </w:r>
          </w:p>
        </w:tc>
      </w:tr>
      <w:tr>
        <w:trPr>
          <w:trHeight w:val="362" w:hRule="atLeast"/>
        </w:trPr>
        <w:tc>
          <w:tcPr>
            <w:tcW w:w="2297" w:type="dxa"/>
          </w:tcPr>
          <w:p>
            <w:pPr>
              <w:pStyle w:val="TableParagraph"/>
              <w:spacing w:before="61"/>
              <w:ind w:left="107"/>
              <w:rPr>
                <w:sz w:val="20"/>
              </w:rPr>
            </w:pPr>
            <w:r>
              <w:rPr>
                <w:sz w:val="20"/>
              </w:rPr>
              <w:t>Sam</w:t>
            </w:r>
            <w:r>
              <w:rPr>
                <w:spacing w:val="-7"/>
                <w:sz w:val="20"/>
              </w:rPr>
              <w:t> </w:t>
            </w:r>
            <w:r>
              <w:rPr>
                <w:spacing w:val="-4"/>
                <w:sz w:val="20"/>
              </w:rPr>
              <w:t>Long</w:t>
            </w:r>
          </w:p>
        </w:tc>
        <w:tc>
          <w:tcPr>
            <w:tcW w:w="4078" w:type="dxa"/>
          </w:tcPr>
          <w:p>
            <w:pPr>
              <w:pStyle w:val="TableParagraph"/>
              <w:spacing w:before="61"/>
              <w:ind w:left="105"/>
              <w:rPr>
                <w:sz w:val="20"/>
              </w:rPr>
            </w:pPr>
            <w:r>
              <w:rPr>
                <w:sz w:val="20"/>
              </w:rPr>
              <w:t>ISD</w:t>
            </w:r>
            <w:r>
              <w:rPr>
                <w:spacing w:val="-4"/>
                <w:sz w:val="20"/>
              </w:rPr>
              <w:t> </w:t>
            </w:r>
            <w:r>
              <w:rPr>
                <w:sz w:val="20"/>
              </w:rPr>
              <w:t>ICT</w:t>
            </w:r>
            <w:r>
              <w:rPr>
                <w:spacing w:val="-4"/>
                <w:sz w:val="20"/>
              </w:rPr>
              <w:t> </w:t>
            </w:r>
            <w:r>
              <w:rPr>
                <w:sz w:val="20"/>
              </w:rPr>
              <w:t>adviser</w:t>
            </w:r>
            <w:r>
              <w:rPr>
                <w:spacing w:val="-4"/>
                <w:sz w:val="20"/>
              </w:rPr>
              <w:t> </w:t>
            </w:r>
            <w:r>
              <w:rPr>
                <w:spacing w:val="-2"/>
                <w:sz w:val="20"/>
              </w:rPr>
              <w:t>(VSA)</w:t>
            </w:r>
          </w:p>
        </w:tc>
        <w:tc>
          <w:tcPr>
            <w:tcW w:w="2693" w:type="dxa"/>
          </w:tcPr>
          <w:p>
            <w:pPr>
              <w:pStyle w:val="TableParagraph"/>
              <w:spacing w:before="61"/>
              <w:ind w:left="108"/>
              <w:rPr>
                <w:sz w:val="20"/>
              </w:rPr>
            </w:pPr>
            <w:r>
              <w:rPr>
                <w:spacing w:val="-4"/>
                <w:sz w:val="20"/>
              </w:rPr>
              <w:t>MEHRD</w:t>
            </w:r>
          </w:p>
        </w:tc>
      </w:tr>
      <w:tr>
        <w:trPr>
          <w:trHeight w:val="364" w:hRule="atLeast"/>
        </w:trPr>
        <w:tc>
          <w:tcPr>
            <w:tcW w:w="2297" w:type="dxa"/>
          </w:tcPr>
          <w:p>
            <w:pPr>
              <w:pStyle w:val="TableParagraph"/>
              <w:spacing w:before="63"/>
              <w:ind w:left="107"/>
              <w:rPr>
                <w:sz w:val="20"/>
              </w:rPr>
            </w:pPr>
            <w:r>
              <w:rPr>
                <w:sz w:val="20"/>
              </w:rPr>
              <w:t>Dr</w:t>
            </w:r>
            <w:r>
              <w:rPr>
                <w:spacing w:val="-6"/>
                <w:sz w:val="20"/>
              </w:rPr>
              <w:t> </w:t>
            </w:r>
            <w:r>
              <w:rPr>
                <w:sz w:val="20"/>
              </w:rPr>
              <w:t>Zelalem</w:t>
            </w:r>
            <w:r>
              <w:rPr>
                <w:spacing w:val="-6"/>
                <w:sz w:val="20"/>
              </w:rPr>
              <w:t> </w:t>
            </w:r>
            <w:r>
              <w:rPr>
                <w:spacing w:val="-2"/>
                <w:sz w:val="20"/>
              </w:rPr>
              <w:t>Taffesse</w:t>
            </w:r>
          </w:p>
        </w:tc>
        <w:tc>
          <w:tcPr>
            <w:tcW w:w="4078" w:type="dxa"/>
          </w:tcPr>
          <w:p>
            <w:pPr>
              <w:pStyle w:val="TableParagraph"/>
              <w:spacing w:before="63"/>
              <w:ind w:left="105"/>
              <w:rPr>
                <w:sz w:val="20"/>
              </w:rPr>
            </w:pPr>
            <w:r>
              <w:rPr>
                <w:sz w:val="20"/>
              </w:rPr>
              <w:t>Chief</w:t>
            </w:r>
            <w:r>
              <w:rPr>
                <w:spacing w:val="-9"/>
                <w:sz w:val="20"/>
              </w:rPr>
              <w:t> </w:t>
            </w:r>
            <w:r>
              <w:rPr>
                <w:sz w:val="20"/>
              </w:rPr>
              <w:t>of</w:t>
            </w:r>
            <w:r>
              <w:rPr>
                <w:spacing w:val="-5"/>
                <w:sz w:val="20"/>
              </w:rPr>
              <w:t> </w:t>
            </w:r>
            <w:r>
              <w:rPr>
                <w:sz w:val="20"/>
              </w:rPr>
              <w:t>UNICEF</w:t>
            </w:r>
            <w:r>
              <w:rPr>
                <w:spacing w:val="-7"/>
                <w:sz w:val="20"/>
              </w:rPr>
              <w:t> </w:t>
            </w:r>
            <w:r>
              <w:rPr>
                <w:sz w:val="20"/>
              </w:rPr>
              <w:t>Solomon</w:t>
            </w:r>
            <w:r>
              <w:rPr>
                <w:spacing w:val="-6"/>
                <w:sz w:val="20"/>
              </w:rPr>
              <w:t> </w:t>
            </w:r>
            <w:r>
              <w:rPr>
                <w:sz w:val="20"/>
              </w:rPr>
              <w:t>Islands</w:t>
            </w:r>
            <w:r>
              <w:rPr>
                <w:spacing w:val="-9"/>
                <w:sz w:val="20"/>
              </w:rPr>
              <w:t> </w:t>
            </w:r>
            <w:r>
              <w:rPr>
                <w:sz w:val="20"/>
              </w:rPr>
              <w:t>Field</w:t>
            </w:r>
            <w:r>
              <w:rPr>
                <w:spacing w:val="-6"/>
                <w:sz w:val="20"/>
              </w:rPr>
              <w:t> </w:t>
            </w:r>
            <w:r>
              <w:rPr>
                <w:spacing w:val="-2"/>
                <w:sz w:val="20"/>
              </w:rPr>
              <w:t>Office</w:t>
            </w:r>
          </w:p>
        </w:tc>
        <w:tc>
          <w:tcPr>
            <w:tcW w:w="2693" w:type="dxa"/>
          </w:tcPr>
          <w:p>
            <w:pPr>
              <w:pStyle w:val="TableParagraph"/>
              <w:spacing w:before="63"/>
              <w:ind w:left="108"/>
              <w:rPr>
                <w:sz w:val="20"/>
              </w:rPr>
            </w:pPr>
            <w:r>
              <w:rPr>
                <w:spacing w:val="-2"/>
                <w:sz w:val="20"/>
              </w:rPr>
              <w:t>UNICEF</w:t>
            </w:r>
          </w:p>
        </w:tc>
      </w:tr>
      <w:tr>
        <w:trPr>
          <w:trHeight w:val="364" w:hRule="atLeast"/>
        </w:trPr>
        <w:tc>
          <w:tcPr>
            <w:tcW w:w="2297" w:type="dxa"/>
          </w:tcPr>
          <w:p>
            <w:pPr>
              <w:pStyle w:val="TableParagraph"/>
              <w:spacing w:before="63"/>
              <w:ind w:left="107"/>
              <w:rPr>
                <w:sz w:val="20"/>
              </w:rPr>
            </w:pPr>
            <w:r>
              <w:rPr>
                <w:sz w:val="20"/>
              </w:rPr>
              <w:t>Barry</w:t>
            </w:r>
            <w:r>
              <w:rPr>
                <w:spacing w:val="-4"/>
                <w:sz w:val="20"/>
              </w:rPr>
              <w:t> </w:t>
            </w:r>
            <w:r>
              <w:rPr>
                <w:spacing w:val="-2"/>
                <w:sz w:val="20"/>
              </w:rPr>
              <w:t>Peddle</w:t>
            </w:r>
          </w:p>
        </w:tc>
        <w:tc>
          <w:tcPr>
            <w:tcW w:w="4078" w:type="dxa"/>
          </w:tcPr>
          <w:p>
            <w:pPr>
              <w:pStyle w:val="TableParagraph"/>
              <w:spacing w:before="63"/>
              <w:ind w:left="105"/>
              <w:rPr>
                <w:sz w:val="20"/>
              </w:rPr>
            </w:pPr>
            <w:r>
              <w:rPr>
                <w:sz w:val="20"/>
              </w:rPr>
              <w:t>Team</w:t>
            </w:r>
            <w:r>
              <w:rPr>
                <w:spacing w:val="-7"/>
                <w:sz w:val="20"/>
              </w:rPr>
              <w:t> </w:t>
            </w:r>
            <w:r>
              <w:rPr>
                <w:sz w:val="20"/>
              </w:rPr>
              <w:t>Leader</w:t>
            </w:r>
            <w:r>
              <w:rPr>
                <w:spacing w:val="-7"/>
                <w:sz w:val="20"/>
              </w:rPr>
              <w:t> </w:t>
            </w:r>
            <w:r>
              <w:rPr>
                <w:spacing w:val="-4"/>
                <w:sz w:val="20"/>
              </w:rPr>
              <w:t>S4EG</w:t>
            </w:r>
          </w:p>
        </w:tc>
        <w:tc>
          <w:tcPr>
            <w:tcW w:w="2693" w:type="dxa"/>
          </w:tcPr>
          <w:p>
            <w:pPr>
              <w:pStyle w:val="TableParagraph"/>
              <w:spacing w:before="63"/>
              <w:ind w:left="108"/>
              <w:rPr>
                <w:sz w:val="20"/>
              </w:rPr>
            </w:pPr>
            <w:r>
              <w:rPr>
                <w:spacing w:val="-4"/>
                <w:sz w:val="20"/>
              </w:rPr>
              <w:t>SINU</w:t>
            </w:r>
          </w:p>
        </w:tc>
      </w:tr>
      <w:tr>
        <w:trPr>
          <w:trHeight w:val="364" w:hRule="atLeast"/>
        </w:trPr>
        <w:tc>
          <w:tcPr>
            <w:tcW w:w="2297" w:type="dxa"/>
            <w:tcBorders>
              <w:bottom w:val="single" w:sz="4" w:space="0" w:color="000000"/>
            </w:tcBorders>
          </w:tcPr>
          <w:p>
            <w:pPr>
              <w:pStyle w:val="TableParagraph"/>
              <w:spacing w:before="61"/>
              <w:ind w:left="107"/>
              <w:rPr>
                <w:sz w:val="20"/>
              </w:rPr>
            </w:pPr>
            <w:r>
              <w:rPr>
                <w:sz w:val="20"/>
              </w:rPr>
              <w:t>Phil</w:t>
            </w:r>
            <w:r>
              <w:rPr>
                <w:spacing w:val="-4"/>
                <w:sz w:val="20"/>
              </w:rPr>
              <w:t> </w:t>
            </w:r>
            <w:r>
              <w:rPr>
                <w:spacing w:val="-2"/>
                <w:sz w:val="20"/>
              </w:rPr>
              <w:t>Coogan</w:t>
            </w:r>
          </w:p>
        </w:tc>
        <w:tc>
          <w:tcPr>
            <w:tcW w:w="4078" w:type="dxa"/>
            <w:tcBorders>
              <w:bottom w:val="single" w:sz="4" w:space="0" w:color="000000"/>
            </w:tcBorders>
          </w:tcPr>
          <w:p>
            <w:pPr>
              <w:pStyle w:val="TableParagraph"/>
              <w:spacing w:before="61"/>
              <w:ind w:left="105"/>
              <w:rPr>
                <w:sz w:val="20"/>
              </w:rPr>
            </w:pPr>
            <w:r>
              <w:rPr>
                <w:sz w:val="20"/>
              </w:rPr>
              <w:t>Team</w:t>
            </w:r>
            <w:r>
              <w:rPr>
                <w:spacing w:val="-6"/>
                <w:sz w:val="20"/>
              </w:rPr>
              <w:t> </w:t>
            </w:r>
            <w:r>
              <w:rPr>
                <w:sz w:val="20"/>
              </w:rPr>
              <w:t>Leader</w:t>
            </w:r>
            <w:r>
              <w:rPr>
                <w:spacing w:val="-4"/>
                <w:sz w:val="20"/>
              </w:rPr>
              <w:t> </w:t>
            </w:r>
            <w:r>
              <w:rPr>
                <w:sz w:val="20"/>
              </w:rPr>
              <w:t>ESP</w:t>
            </w:r>
            <w:r>
              <w:rPr>
                <w:spacing w:val="-6"/>
                <w:sz w:val="20"/>
              </w:rPr>
              <w:t> </w:t>
            </w:r>
            <w:r>
              <w:rPr>
                <w:sz w:val="20"/>
              </w:rPr>
              <w:t>new</w:t>
            </w:r>
            <w:r>
              <w:rPr>
                <w:spacing w:val="-5"/>
                <w:sz w:val="20"/>
              </w:rPr>
              <w:t> </w:t>
            </w:r>
            <w:r>
              <w:rPr>
                <w:spacing w:val="-2"/>
                <w:sz w:val="20"/>
              </w:rPr>
              <w:t>design</w:t>
            </w:r>
          </w:p>
        </w:tc>
        <w:tc>
          <w:tcPr>
            <w:tcW w:w="2693" w:type="dxa"/>
            <w:tcBorders>
              <w:bottom w:val="single" w:sz="4" w:space="0" w:color="000000"/>
            </w:tcBorders>
          </w:tcPr>
          <w:p>
            <w:pPr>
              <w:pStyle w:val="TableParagraph"/>
              <w:spacing w:before="61"/>
              <w:ind w:left="108"/>
              <w:rPr>
                <w:sz w:val="20"/>
              </w:rPr>
            </w:pPr>
            <w:r>
              <w:rPr>
                <w:sz w:val="20"/>
              </w:rPr>
              <w:t>Cognition</w:t>
            </w:r>
            <w:r>
              <w:rPr>
                <w:spacing w:val="-11"/>
                <w:sz w:val="20"/>
              </w:rPr>
              <w:t> </w:t>
            </w:r>
            <w:r>
              <w:rPr>
                <w:spacing w:val="-5"/>
                <w:sz w:val="20"/>
              </w:rPr>
              <w:t>NZ</w:t>
            </w:r>
          </w:p>
        </w:tc>
      </w:tr>
      <w:tr>
        <w:trPr>
          <w:trHeight w:val="364" w:hRule="atLeast"/>
        </w:trPr>
        <w:tc>
          <w:tcPr>
            <w:tcW w:w="2297" w:type="dxa"/>
            <w:tcBorders>
              <w:top w:val="single" w:sz="4" w:space="0" w:color="000000"/>
              <w:left w:val="single" w:sz="4" w:space="0" w:color="000000"/>
              <w:bottom w:val="single" w:sz="4" w:space="0" w:color="000000"/>
              <w:right w:val="single" w:sz="4" w:space="0" w:color="000000"/>
            </w:tcBorders>
          </w:tcPr>
          <w:p>
            <w:pPr>
              <w:pStyle w:val="TableParagraph"/>
              <w:spacing w:before="61"/>
              <w:ind w:left="107"/>
              <w:rPr>
                <w:sz w:val="20"/>
              </w:rPr>
            </w:pPr>
            <w:r>
              <w:rPr>
                <w:sz w:val="20"/>
              </w:rPr>
              <w:t>Peter</w:t>
            </w:r>
            <w:r>
              <w:rPr>
                <w:spacing w:val="-6"/>
                <w:sz w:val="20"/>
              </w:rPr>
              <w:t> </w:t>
            </w:r>
            <w:r>
              <w:rPr>
                <w:spacing w:val="-2"/>
                <w:sz w:val="20"/>
              </w:rPr>
              <w:t>Lokay</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61"/>
              <w:ind w:left="105"/>
              <w:rPr>
                <w:sz w:val="20"/>
              </w:rPr>
            </w:pPr>
            <w:r>
              <w:rPr>
                <w:sz w:val="20"/>
              </w:rPr>
              <w:t>Auditor</w:t>
            </w:r>
            <w:r>
              <w:rPr>
                <w:spacing w:val="-7"/>
                <w:sz w:val="20"/>
              </w:rPr>
              <w:t> </w:t>
            </w:r>
            <w:r>
              <w:rPr>
                <w:spacing w:val="-2"/>
                <w:sz w:val="20"/>
              </w:rPr>
              <w:t>General</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61"/>
              <w:ind w:left="108"/>
              <w:rPr>
                <w:sz w:val="20"/>
              </w:rPr>
            </w:pPr>
            <w:r>
              <w:rPr>
                <w:sz w:val="20"/>
              </w:rPr>
              <w:t>Office</w:t>
            </w:r>
            <w:r>
              <w:rPr>
                <w:spacing w:val="-6"/>
                <w:sz w:val="20"/>
              </w:rPr>
              <w:t> </w:t>
            </w:r>
            <w:r>
              <w:rPr>
                <w:sz w:val="20"/>
              </w:rPr>
              <w:t>of</w:t>
            </w:r>
            <w:r>
              <w:rPr>
                <w:spacing w:val="-6"/>
                <w:sz w:val="20"/>
              </w:rPr>
              <w:t> </w:t>
            </w:r>
            <w:r>
              <w:rPr>
                <w:sz w:val="20"/>
              </w:rPr>
              <w:t>the</w:t>
            </w:r>
            <w:r>
              <w:rPr>
                <w:spacing w:val="-5"/>
                <w:sz w:val="20"/>
              </w:rPr>
              <w:t> </w:t>
            </w:r>
            <w:r>
              <w:rPr>
                <w:sz w:val="20"/>
              </w:rPr>
              <w:t>Auditor</w:t>
            </w:r>
            <w:r>
              <w:rPr>
                <w:spacing w:val="-4"/>
                <w:sz w:val="20"/>
              </w:rPr>
              <w:t> </w:t>
            </w:r>
            <w:r>
              <w:rPr>
                <w:spacing w:val="-2"/>
                <w:sz w:val="20"/>
              </w:rPr>
              <w:t>General</w:t>
            </w:r>
          </w:p>
        </w:tc>
      </w:tr>
      <w:tr>
        <w:trPr>
          <w:trHeight w:val="364" w:hRule="atLeast"/>
        </w:trPr>
        <w:tc>
          <w:tcPr>
            <w:tcW w:w="2297" w:type="dxa"/>
            <w:tcBorders>
              <w:top w:val="single" w:sz="4" w:space="0" w:color="000000"/>
              <w:left w:val="single" w:sz="4" w:space="0" w:color="000000"/>
              <w:bottom w:val="single" w:sz="4" w:space="0" w:color="000000"/>
              <w:right w:val="single" w:sz="4" w:space="0" w:color="000000"/>
            </w:tcBorders>
          </w:tcPr>
          <w:p>
            <w:pPr>
              <w:pStyle w:val="TableParagraph"/>
              <w:spacing w:before="61"/>
              <w:ind w:left="107"/>
              <w:rPr>
                <w:sz w:val="20"/>
              </w:rPr>
            </w:pPr>
            <w:r>
              <w:rPr>
                <w:sz w:val="20"/>
              </w:rPr>
              <w:t>Johnson</w:t>
            </w:r>
            <w:r>
              <w:rPr>
                <w:spacing w:val="-11"/>
                <w:sz w:val="20"/>
              </w:rPr>
              <w:t> </w:t>
            </w:r>
            <w:r>
              <w:rPr>
                <w:spacing w:val="-4"/>
                <w:sz w:val="20"/>
              </w:rPr>
              <w:t>Lobo</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61"/>
              <w:ind w:left="105"/>
              <w:rPr>
                <w:sz w:val="20"/>
              </w:rPr>
            </w:pPr>
            <w:r>
              <w:rPr>
                <w:sz w:val="20"/>
              </w:rPr>
              <w:t>Senior</w:t>
            </w:r>
            <w:r>
              <w:rPr>
                <w:spacing w:val="-9"/>
                <w:sz w:val="20"/>
              </w:rPr>
              <w:t> </w:t>
            </w:r>
            <w:r>
              <w:rPr>
                <w:spacing w:val="-2"/>
                <w:sz w:val="20"/>
              </w:rPr>
              <w:t>Adviser</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61"/>
              <w:ind w:left="108"/>
              <w:rPr>
                <w:sz w:val="20"/>
              </w:rPr>
            </w:pPr>
            <w:r>
              <w:rPr>
                <w:sz w:val="20"/>
              </w:rPr>
              <w:t>Office</w:t>
            </w:r>
            <w:r>
              <w:rPr>
                <w:spacing w:val="-6"/>
                <w:sz w:val="20"/>
              </w:rPr>
              <w:t> </w:t>
            </w:r>
            <w:r>
              <w:rPr>
                <w:sz w:val="20"/>
              </w:rPr>
              <w:t>of</w:t>
            </w:r>
            <w:r>
              <w:rPr>
                <w:spacing w:val="-6"/>
                <w:sz w:val="20"/>
              </w:rPr>
              <w:t> </w:t>
            </w:r>
            <w:r>
              <w:rPr>
                <w:sz w:val="20"/>
              </w:rPr>
              <w:t>the</w:t>
            </w:r>
            <w:r>
              <w:rPr>
                <w:spacing w:val="-5"/>
                <w:sz w:val="20"/>
              </w:rPr>
              <w:t> </w:t>
            </w:r>
            <w:r>
              <w:rPr>
                <w:sz w:val="20"/>
              </w:rPr>
              <w:t>Auditor</w:t>
            </w:r>
            <w:r>
              <w:rPr>
                <w:spacing w:val="-4"/>
                <w:sz w:val="20"/>
              </w:rPr>
              <w:t> </w:t>
            </w:r>
            <w:r>
              <w:rPr>
                <w:spacing w:val="-2"/>
                <w:sz w:val="20"/>
              </w:rPr>
              <w:t>General</w:t>
            </w:r>
          </w:p>
        </w:tc>
      </w:tr>
    </w:tbl>
    <w:p>
      <w:pPr>
        <w:spacing w:after="0"/>
        <w:rPr>
          <w:sz w:val="20"/>
        </w:rPr>
        <w:sectPr>
          <w:pgSz w:w="16850" w:h="11900" w:orient="landscape"/>
          <w:pgMar w:header="867" w:footer="830" w:top="1380" w:bottom="1020" w:left="1200" w:right="2420"/>
        </w:sectPr>
      </w:pPr>
    </w:p>
    <w:p>
      <w:pPr>
        <w:pStyle w:val="Heading1"/>
        <w:spacing w:before="24"/>
        <w:ind w:left="218"/>
        <w:rPr>
          <w:b w:val="0"/>
        </w:rPr>
      </w:pPr>
      <w:bookmarkStart w:name="_bookmark46" w:id="47"/>
      <w:bookmarkEnd w:id="47"/>
      <w:r>
        <w:rPr/>
      </w:r>
      <w:r>
        <w:rPr>
          <w:b w:val="0"/>
          <w:color w:val="4471C4"/>
        </w:rPr>
        <w:t>Appendix</w:t>
      </w:r>
      <w:r>
        <w:rPr>
          <w:b w:val="0"/>
          <w:color w:val="4471C4"/>
          <w:spacing w:val="28"/>
        </w:rPr>
        <w:t> </w:t>
      </w:r>
      <w:r>
        <w:rPr>
          <w:b w:val="0"/>
          <w:color w:val="4471C4"/>
        </w:rPr>
        <w:t>5:</w:t>
      </w:r>
      <w:r>
        <w:rPr>
          <w:b w:val="0"/>
          <w:color w:val="4471C4"/>
          <w:spacing w:val="25"/>
        </w:rPr>
        <w:t> </w:t>
      </w:r>
      <w:r>
        <w:rPr>
          <w:b w:val="0"/>
          <w:color w:val="4471C4"/>
        </w:rPr>
        <w:t>2018</w:t>
      </w:r>
      <w:r>
        <w:rPr>
          <w:b w:val="0"/>
          <w:color w:val="4471C4"/>
          <w:spacing w:val="23"/>
        </w:rPr>
        <w:t> </w:t>
      </w:r>
      <w:r>
        <w:rPr>
          <w:b w:val="0"/>
          <w:color w:val="4471C4"/>
        </w:rPr>
        <w:t>Performance</w:t>
      </w:r>
      <w:r>
        <w:rPr>
          <w:b w:val="0"/>
          <w:color w:val="4471C4"/>
          <w:spacing w:val="24"/>
        </w:rPr>
        <w:t> </w:t>
      </w:r>
      <w:r>
        <w:rPr>
          <w:b w:val="0"/>
          <w:color w:val="4471C4"/>
          <w:spacing w:val="-2"/>
        </w:rPr>
        <w:t>Summary</w:t>
      </w:r>
    </w:p>
    <w:p>
      <w:pPr>
        <w:pStyle w:val="BodyText"/>
        <w:spacing w:before="1"/>
        <w:rPr>
          <w:rFonts w:ascii="Calibri Light"/>
          <w:b w:val="0"/>
          <w:sz w:val="21"/>
        </w:rPr>
      </w:pPr>
    </w:p>
    <w:tbl>
      <w:tblPr>
        <w:tblW w:w="0" w:type="auto"/>
        <w:jc w:val="left"/>
        <w:tblInd w:w="22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09"/>
        <w:gridCol w:w="1550"/>
        <w:gridCol w:w="1932"/>
        <w:gridCol w:w="1982"/>
        <w:gridCol w:w="1461"/>
        <w:gridCol w:w="1834"/>
      </w:tblGrid>
      <w:tr>
        <w:trPr>
          <w:trHeight w:val="805" w:hRule="atLeast"/>
        </w:trPr>
        <w:tc>
          <w:tcPr>
            <w:tcW w:w="2009" w:type="dxa"/>
            <w:shd w:val="clear" w:color="auto" w:fill="B4C5E7"/>
          </w:tcPr>
          <w:p>
            <w:pPr>
              <w:pStyle w:val="TableParagraph"/>
              <w:spacing w:before="8"/>
              <w:rPr>
                <w:rFonts w:ascii="Calibri Light"/>
                <w:b w:val="0"/>
                <w:sz w:val="23"/>
              </w:rPr>
            </w:pPr>
          </w:p>
          <w:p>
            <w:pPr>
              <w:pStyle w:val="TableParagraph"/>
              <w:ind w:left="107"/>
              <w:rPr>
                <w:b/>
                <w:sz w:val="19"/>
              </w:rPr>
            </w:pPr>
            <w:r>
              <w:rPr>
                <w:b/>
                <w:spacing w:val="-2"/>
                <w:sz w:val="19"/>
              </w:rPr>
              <w:t>MEHRD</w:t>
            </w:r>
          </w:p>
        </w:tc>
        <w:tc>
          <w:tcPr>
            <w:tcW w:w="1550" w:type="dxa"/>
            <w:shd w:val="clear" w:color="auto" w:fill="B4C5E7"/>
          </w:tcPr>
          <w:p>
            <w:pPr>
              <w:pStyle w:val="TableParagraph"/>
              <w:spacing w:line="268" w:lineRule="exact"/>
              <w:ind w:left="347" w:right="340"/>
              <w:jc w:val="center"/>
              <w:rPr>
                <w:b/>
                <w:sz w:val="22"/>
              </w:rPr>
            </w:pPr>
            <w:r>
              <w:rPr>
                <w:b/>
                <w:spacing w:val="-4"/>
                <w:sz w:val="22"/>
              </w:rPr>
              <w:t>MELP</w:t>
            </w:r>
          </w:p>
          <w:p>
            <w:pPr>
              <w:pStyle w:val="TableParagraph"/>
              <w:spacing w:line="270" w:lineRule="atLeast"/>
              <w:ind w:left="352" w:right="340"/>
              <w:jc w:val="center"/>
              <w:rPr>
                <w:b/>
                <w:sz w:val="22"/>
              </w:rPr>
            </w:pPr>
            <w:r>
              <w:rPr>
                <w:b/>
                <w:spacing w:val="-2"/>
                <w:sz w:val="22"/>
              </w:rPr>
              <w:t>Outcome Areas</w:t>
            </w:r>
          </w:p>
        </w:tc>
        <w:tc>
          <w:tcPr>
            <w:tcW w:w="1932" w:type="dxa"/>
            <w:shd w:val="clear" w:color="auto" w:fill="B4C5E7"/>
          </w:tcPr>
          <w:p>
            <w:pPr>
              <w:pStyle w:val="TableParagraph"/>
              <w:rPr>
                <w:rFonts w:ascii="Calibri Light"/>
                <w:b w:val="0"/>
                <w:sz w:val="14"/>
              </w:rPr>
            </w:pPr>
          </w:p>
          <w:p>
            <w:pPr>
              <w:pStyle w:val="TableParagraph"/>
              <w:ind w:left="574" w:hanging="96"/>
              <w:rPr>
                <w:b/>
                <w:sz w:val="19"/>
              </w:rPr>
            </w:pPr>
            <w:r>
              <w:rPr>
                <w:b/>
                <w:spacing w:val="-2"/>
                <w:sz w:val="19"/>
              </w:rPr>
              <w:t>Performance Indicators</w:t>
            </w:r>
          </w:p>
        </w:tc>
        <w:tc>
          <w:tcPr>
            <w:tcW w:w="1982" w:type="dxa"/>
            <w:shd w:val="clear" w:color="auto" w:fill="B4C5E7"/>
          </w:tcPr>
          <w:p>
            <w:pPr>
              <w:pStyle w:val="TableParagraph"/>
              <w:rPr>
                <w:rFonts w:ascii="Calibri Light"/>
                <w:b w:val="0"/>
                <w:sz w:val="14"/>
              </w:rPr>
            </w:pPr>
          </w:p>
          <w:p>
            <w:pPr>
              <w:pStyle w:val="TableParagraph"/>
              <w:ind w:left="538" w:right="306" w:hanging="214"/>
              <w:rPr>
                <w:b/>
                <w:sz w:val="19"/>
              </w:rPr>
            </w:pPr>
            <w:r>
              <w:rPr>
                <w:b/>
                <w:sz w:val="19"/>
              </w:rPr>
              <w:t>Expected</w:t>
            </w:r>
            <w:r>
              <w:rPr>
                <w:b/>
                <w:spacing w:val="-11"/>
                <w:sz w:val="19"/>
              </w:rPr>
              <w:t> </w:t>
            </w:r>
            <w:r>
              <w:rPr>
                <w:b/>
                <w:sz w:val="19"/>
              </w:rPr>
              <w:t>Results </w:t>
            </w:r>
            <w:r>
              <w:rPr>
                <w:b/>
                <w:spacing w:val="-2"/>
                <w:sz w:val="19"/>
              </w:rPr>
              <w:t>Statements</w:t>
            </w:r>
          </w:p>
        </w:tc>
        <w:tc>
          <w:tcPr>
            <w:tcW w:w="1461" w:type="dxa"/>
            <w:shd w:val="clear" w:color="auto" w:fill="B4C5E7"/>
          </w:tcPr>
          <w:p>
            <w:pPr>
              <w:pStyle w:val="TableParagraph"/>
              <w:spacing w:before="8"/>
              <w:rPr>
                <w:rFonts w:ascii="Calibri Light"/>
                <w:b w:val="0"/>
                <w:sz w:val="23"/>
              </w:rPr>
            </w:pPr>
          </w:p>
          <w:p>
            <w:pPr>
              <w:pStyle w:val="TableParagraph"/>
              <w:ind w:left="154" w:right="146"/>
              <w:jc w:val="center"/>
              <w:rPr>
                <w:b/>
                <w:sz w:val="19"/>
              </w:rPr>
            </w:pPr>
            <w:r>
              <w:rPr>
                <w:b/>
                <w:spacing w:val="-5"/>
                <w:sz w:val="19"/>
              </w:rPr>
              <w:t>IA</w:t>
            </w:r>
          </w:p>
        </w:tc>
        <w:tc>
          <w:tcPr>
            <w:tcW w:w="1834" w:type="dxa"/>
            <w:shd w:val="clear" w:color="auto" w:fill="B4C5E7"/>
          </w:tcPr>
          <w:p>
            <w:pPr>
              <w:pStyle w:val="TableParagraph"/>
              <w:spacing w:before="8"/>
              <w:rPr>
                <w:rFonts w:ascii="Calibri Light"/>
                <w:b w:val="0"/>
                <w:sz w:val="23"/>
              </w:rPr>
            </w:pPr>
          </w:p>
          <w:p>
            <w:pPr>
              <w:pStyle w:val="TableParagraph"/>
              <w:ind w:left="386"/>
              <w:rPr>
                <w:b/>
                <w:sz w:val="19"/>
              </w:rPr>
            </w:pPr>
            <w:r>
              <w:rPr>
                <w:b/>
                <w:spacing w:val="-2"/>
                <w:sz w:val="19"/>
              </w:rPr>
              <w:t>Payment</w:t>
            </w:r>
            <w:r>
              <w:rPr>
                <w:b/>
                <w:sz w:val="19"/>
              </w:rPr>
              <w:t> </w:t>
            </w:r>
            <w:r>
              <w:rPr>
                <w:b/>
                <w:spacing w:val="-5"/>
                <w:sz w:val="19"/>
              </w:rPr>
              <w:t>AUD</w:t>
            </w:r>
          </w:p>
        </w:tc>
      </w:tr>
      <w:tr>
        <w:trPr>
          <w:trHeight w:val="454" w:hRule="atLeast"/>
        </w:trPr>
        <w:tc>
          <w:tcPr>
            <w:tcW w:w="2009" w:type="dxa"/>
            <w:tcBorders>
              <w:bottom w:val="nil"/>
            </w:tcBorders>
          </w:tcPr>
          <w:p>
            <w:pPr>
              <w:pStyle w:val="TableParagraph"/>
              <w:tabs>
                <w:tab w:pos="1397" w:val="left" w:leader="none"/>
              </w:tabs>
              <w:spacing w:line="219" w:lineRule="exact"/>
              <w:ind w:left="107"/>
              <w:rPr>
                <w:b/>
                <w:sz w:val="18"/>
              </w:rPr>
            </w:pPr>
            <w:r>
              <w:rPr>
                <w:b/>
                <w:spacing w:val="-2"/>
                <w:sz w:val="18"/>
              </w:rPr>
              <w:t>ACCESS</w:t>
            </w:r>
            <w:r>
              <w:rPr>
                <w:b/>
                <w:sz w:val="18"/>
              </w:rPr>
              <w:tab/>
            </w:r>
            <w:r>
              <w:rPr>
                <w:b/>
                <w:spacing w:val="-2"/>
                <w:sz w:val="18"/>
              </w:rPr>
              <w:t>EO1.2</w:t>
            </w:r>
          </w:p>
        </w:tc>
        <w:tc>
          <w:tcPr>
            <w:tcW w:w="1550" w:type="dxa"/>
            <w:tcBorders>
              <w:bottom w:val="nil"/>
            </w:tcBorders>
          </w:tcPr>
          <w:p>
            <w:pPr>
              <w:pStyle w:val="TableParagraph"/>
              <w:spacing w:line="219" w:lineRule="exact"/>
              <w:ind w:left="108"/>
              <w:rPr>
                <w:b/>
                <w:sz w:val="18"/>
              </w:rPr>
            </w:pPr>
            <w:r>
              <w:rPr>
                <w:b/>
                <w:sz w:val="18"/>
              </w:rPr>
              <w:t>1.1 </w:t>
            </w:r>
            <w:r>
              <w:rPr>
                <w:b/>
                <w:spacing w:val="-2"/>
                <w:sz w:val="18"/>
              </w:rPr>
              <w:t>Transition</w:t>
            </w:r>
          </w:p>
          <w:p>
            <w:pPr>
              <w:pStyle w:val="TableParagraph"/>
              <w:spacing w:line="216" w:lineRule="exact"/>
              <w:ind w:left="108"/>
              <w:rPr>
                <w:b/>
                <w:sz w:val="18"/>
              </w:rPr>
            </w:pPr>
            <w:r>
              <w:rPr>
                <w:b/>
                <w:sz w:val="18"/>
              </w:rPr>
              <w:t>rates</w:t>
            </w:r>
            <w:r>
              <w:rPr>
                <w:b/>
                <w:spacing w:val="-2"/>
                <w:sz w:val="18"/>
              </w:rPr>
              <w:t> </w:t>
            </w:r>
            <w:r>
              <w:rPr>
                <w:b/>
                <w:sz w:val="18"/>
              </w:rPr>
              <w:t>by</w:t>
            </w:r>
            <w:r>
              <w:rPr>
                <w:b/>
                <w:spacing w:val="-1"/>
                <w:sz w:val="18"/>
              </w:rPr>
              <w:t> </w:t>
            </w:r>
            <w:r>
              <w:rPr>
                <w:b/>
                <w:sz w:val="18"/>
              </w:rPr>
              <w:t>level</w:t>
            </w:r>
            <w:r>
              <w:rPr>
                <w:b/>
                <w:spacing w:val="-3"/>
                <w:sz w:val="18"/>
              </w:rPr>
              <w:t> </w:t>
            </w:r>
            <w:r>
              <w:rPr>
                <w:b/>
                <w:spacing w:val="-5"/>
                <w:sz w:val="18"/>
              </w:rPr>
              <w:t>and</w:t>
            </w:r>
          </w:p>
        </w:tc>
        <w:tc>
          <w:tcPr>
            <w:tcW w:w="1932" w:type="dxa"/>
            <w:tcBorders>
              <w:bottom w:val="nil"/>
            </w:tcBorders>
          </w:tcPr>
          <w:p>
            <w:pPr>
              <w:pStyle w:val="TableParagraph"/>
              <w:spacing w:line="219" w:lineRule="exact"/>
              <w:ind w:left="109"/>
              <w:rPr>
                <w:sz w:val="18"/>
              </w:rPr>
            </w:pPr>
            <w:r>
              <w:rPr>
                <w:sz w:val="18"/>
              </w:rPr>
              <w:t>1.1.1</w:t>
            </w:r>
            <w:r>
              <w:rPr>
                <w:spacing w:val="39"/>
                <w:sz w:val="18"/>
              </w:rPr>
              <w:t> </w:t>
            </w:r>
            <w:r>
              <w:rPr>
                <w:sz w:val="18"/>
              </w:rPr>
              <w:t>By</w:t>
            </w:r>
            <w:r>
              <w:rPr>
                <w:spacing w:val="-1"/>
                <w:sz w:val="18"/>
              </w:rPr>
              <w:t> </w:t>
            </w:r>
            <w:r>
              <w:rPr>
                <w:sz w:val="18"/>
              </w:rPr>
              <w:t>the</w:t>
            </w:r>
            <w:r>
              <w:rPr>
                <w:spacing w:val="-2"/>
                <w:sz w:val="18"/>
              </w:rPr>
              <w:t> </w:t>
            </w:r>
            <w:r>
              <w:rPr>
                <w:sz w:val="18"/>
              </w:rPr>
              <w:t>end</w:t>
            </w:r>
            <w:r>
              <w:rPr>
                <w:spacing w:val="-2"/>
                <w:sz w:val="18"/>
              </w:rPr>
              <w:t> </w:t>
            </w:r>
            <w:r>
              <w:rPr>
                <w:spacing w:val="-5"/>
                <w:sz w:val="18"/>
              </w:rPr>
              <w:t>of</w:t>
            </w:r>
          </w:p>
          <w:p>
            <w:pPr>
              <w:pStyle w:val="TableParagraph"/>
              <w:spacing w:line="216" w:lineRule="exact"/>
              <w:ind w:left="109"/>
              <w:rPr>
                <w:sz w:val="18"/>
              </w:rPr>
            </w:pPr>
            <w:r>
              <w:rPr>
                <w:sz w:val="18"/>
              </w:rPr>
              <w:t>2018,</w:t>
            </w:r>
            <w:r>
              <w:rPr>
                <w:spacing w:val="-1"/>
                <w:sz w:val="18"/>
              </w:rPr>
              <w:t> </w:t>
            </w:r>
            <w:r>
              <w:rPr>
                <w:sz w:val="18"/>
              </w:rPr>
              <w:t>the</w:t>
            </w:r>
            <w:r>
              <w:rPr>
                <w:spacing w:val="-2"/>
                <w:sz w:val="18"/>
              </w:rPr>
              <w:t> </w:t>
            </w:r>
            <w:r>
              <w:rPr>
                <w:sz w:val="18"/>
              </w:rPr>
              <w:t>SISE</w:t>
            </w:r>
            <w:r>
              <w:rPr>
                <w:spacing w:val="-1"/>
                <w:sz w:val="18"/>
              </w:rPr>
              <w:t> </w:t>
            </w:r>
            <w:r>
              <w:rPr>
                <w:spacing w:val="-2"/>
                <w:sz w:val="18"/>
              </w:rPr>
              <w:t>Phase-</w:t>
            </w:r>
          </w:p>
        </w:tc>
        <w:tc>
          <w:tcPr>
            <w:tcW w:w="1982" w:type="dxa"/>
            <w:tcBorders>
              <w:bottom w:val="nil"/>
            </w:tcBorders>
          </w:tcPr>
          <w:p>
            <w:pPr>
              <w:pStyle w:val="TableParagraph"/>
              <w:spacing w:line="219" w:lineRule="exact"/>
              <w:ind w:left="109"/>
              <w:rPr>
                <w:sz w:val="18"/>
              </w:rPr>
            </w:pPr>
            <w:r>
              <w:rPr>
                <w:sz w:val="18"/>
              </w:rPr>
              <w:t>Quality</w:t>
            </w:r>
            <w:r>
              <w:rPr>
                <w:spacing w:val="-3"/>
                <w:sz w:val="18"/>
              </w:rPr>
              <w:t> </w:t>
            </w:r>
            <w:r>
              <w:rPr>
                <w:sz w:val="18"/>
              </w:rPr>
              <w:t>costed</w:t>
            </w:r>
            <w:r>
              <w:rPr>
                <w:spacing w:val="-3"/>
                <w:sz w:val="18"/>
              </w:rPr>
              <w:t> </w:t>
            </w:r>
            <w:r>
              <w:rPr>
                <w:spacing w:val="-4"/>
                <w:sz w:val="18"/>
              </w:rPr>
              <w:t>plan</w:t>
            </w:r>
          </w:p>
          <w:p>
            <w:pPr>
              <w:pStyle w:val="TableParagraph"/>
              <w:tabs>
                <w:tab w:pos="734" w:val="left" w:leader="none"/>
              </w:tabs>
              <w:spacing w:line="216" w:lineRule="exact"/>
              <w:ind w:left="109"/>
              <w:rPr>
                <w:sz w:val="18"/>
              </w:rPr>
            </w:pPr>
            <w:r>
              <w:rPr>
                <w:spacing w:val="-2"/>
                <w:sz w:val="18"/>
              </w:rPr>
              <w:t>(30%)</w:t>
            </w:r>
            <w:r>
              <w:rPr>
                <w:sz w:val="18"/>
              </w:rPr>
              <w:tab/>
              <w:t>SMT</w:t>
            </w:r>
            <w:r>
              <w:rPr>
                <w:spacing w:val="-2"/>
                <w:sz w:val="18"/>
              </w:rPr>
              <w:t> Minute</w:t>
            </w:r>
          </w:p>
        </w:tc>
        <w:tc>
          <w:tcPr>
            <w:tcW w:w="1461" w:type="dxa"/>
            <w:tcBorders>
              <w:bottom w:val="nil"/>
            </w:tcBorders>
            <w:shd w:val="clear" w:color="auto" w:fill="FFC000"/>
          </w:tcPr>
          <w:p>
            <w:pPr>
              <w:pStyle w:val="TableParagraph"/>
              <w:spacing w:line="266" w:lineRule="exact"/>
              <w:ind w:left="156" w:right="146"/>
              <w:jc w:val="center"/>
              <w:rPr>
                <w:sz w:val="22"/>
              </w:rPr>
            </w:pPr>
            <w:r>
              <w:rPr>
                <w:sz w:val="22"/>
              </w:rPr>
              <w:t>20%</w:t>
            </w:r>
            <w:r>
              <w:rPr>
                <w:spacing w:val="-2"/>
                <w:sz w:val="22"/>
              </w:rPr>
              <w:t> </w:t>
            </w:r>
            <w:r>
              <w:rPr>
                <w:sz w:val="22"/>
              </w:rPr>
              <w:t>(of</w:t>
            </w:r>
            <w:r>
              <w:rPr>
                <w:spacing w:val="-3"/>
                <w:sz w:val="22"/>
              </w:rPr>
              <w:t> </w:t>
            </w:r>
            <w:r>
              <w:rPr>
                <w:spacing w:val="-5"/>
                <w:sz w:val="22"/>
              </w:rPr>
              <w:t>90)</w:t>
            </w:r>
          </w:p>
        </w:tc>
        <w:tc>
          <w:tcPr>
            <w:tcW w:w="1834" w:type="dxa"/>
            <w:tcBorders>
              <w:bottom w:val="nil"/>
            </w:tcBorders>
          </w:tcPr>
          <w:p>
            <w:pPr>
              <w:pStyle w:val="TableParagraph"/>
              <w:tabs>
                <w:tab w:pos="858" w:val="left" w:leader="none"/>
              </w:tabs>
              <w:spacing w:line="266" w:lineRule="exact"/>
              <w:ind w:right="98"/>
              <w:jc w:val="right"/>
              <w:rPr>
                <w:sz w:val="22"/>
              </w:rPr>
            </w:pPr>
            <w:r>
              <w:rPr>
                <w:spacing w:val="-10"/>
                <w:sz w:val="22"/>
              </w:rPr>
              <w:t>$</w:t>
            </w:r>
            <w:r>
              <w:rPr>
                <w:sz w:val="22"/>
              </w:rPr>
              <w:tab/>
            </w:r>
            <w:r>
              <w:rPr>
                <w:spacing w:val="-2"/>
                <w:sz w:val="22"/>
              </w:rPr>
              <w:t>20,571</w:t>
            </w:r>
          </w:p>
        </w:tc>
      </w:tr>
      <w:tr>
        <w:trPr>
          <w:trHeight w:val="221"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201" w:lineRule="exact"/>
              <w:ind w:left="108"/>
              <w:rPr>
                <w:b/>
                <w:sz w:val="18"/>
              </w:rPr>
            </w:pPr>
            <w:r>
              <w:rPr>
                <w:b/>
                <w:spacing w:val="-2"/>
                <w:sz w:val="18"/>
              </w:rPr>
              <w:t>gender</w:t>
            </w:r>
          </w:p>
        </w:tc>
        <w:tc>
          <w:tcPr>
            <w:tcW w:w="1932" w:type="dxa"/>
            <w:tcBorders>
              <w:top w:val="nil"/>
              <w:bottom w:val="nil"/>
            </w:tcBorders>
          </w:tcPr>
          <w:p>
            <w:pPr>
              <w:pStyle w:val="TableParagraph"/>
              <w:spacing w:line="201" w:lineRule="exact"/>
              <w:ind w:left="109"/>
              <w:rPr>
                <w:sz w:val="18"/>
              </w:rPr>
            </w:pPr>
            <w:r>
              <w:rPr>
                <w:sz w:val="18"/>
              </w:rPr>
              <w:t>out</w:t>
            </w:r>
            <w:r>
              <w:rPr>
                <w:spacing w:val="-3"/>
                <w:sz w:val="18"/>
              </w:rPr>
              <w:t> </w:t>
            </w:r>
            <w:r>
              <w:rPr>
                <w:sz w:val="18"/>
              </w:rPr>
              <w:t>Committee</w:t>
            </w:r>
            <w:r>
              <w:rPr>
                <w:spacing w:val="-3"/>
                <w:sz w:val="18"/>
              </w:rPr>
              <w:t> </w:t>
            </w:r>
            <w:r>
              <w:rPr>
                <w:spacing w:val="-5"/>
                <w:sz w:val="18"/>
              </w:rPr>
              <w:t>has</w:t>
            </w:r>
          </w:p>
        </w:tc>
        <w:tc>
          <w:tcPr>
            <w:tcW w:w="1982" w:type="dxa"/>
            <w:tcBorders>
              <w:top w:val="nil"/>
              <w:bottom w:val="nil"/>
            </w:tcBorders>
          </w:tcPr>
          <w:p>
            <w:pPr>
              <w:pStyle w:val="TableParagraph"/>
              <w:spacing w:line="201" w:lineRule="exact"/>
              <w:ind w:left="109"/>
              <w:rPr>
                <w:sz w:val="18"/>
              </w:rPr>
            </w:pPr>
            <w:r>
              <w:rPr>
                <w:sz w:val="18"/>
              </w:rPr>
              <w:t>endorsing</w:t>
            </w:r>
            <w:r>
              <w:rPr>
                <w:spacing w:val="-4"/>
                <w:sz w:val="18"/>
              </w:rPr>
              <w:t> </w:t>
            </w:r>
            <w:r>
              <w:rPr>
                <w:sz w:val="18"/>
              </w:rPr>
              <w:t>plan</w:t>
            </w:r>
            <w:r>
              <w:rPr>
                <w:spacing w:val="-3"/>
                <w:sz w:val="18"/>
              </w:rPr>
              <w:t> </w:t>
            </w:r>
            <w:r>
              <w:rPr>
                <w:spacing w:val="-2"/>
                <w:sz w:val="18"/>
              </w:rPr>
              <w:t>(50%)</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costed</w:t>
            </w:r>
            <w:r>
              <w:rPr>
                <w:spacing w:val="-3"/>
                <w:sz w:val="18"/>
              </w:rPr>
              <w:t> </w:t>
            </w:r>
            <w:r>
              <w:rPr>
                <w:sz w:val="18"/>
              </w:rPr>
              <w:t>plan</w:t>
            </w:r>
            <w:r>
              <w:rPr>
                <w:spacing w:val="-1"/>
                <w:sz w:val="18"/>
              </w:rPr>
              <w:t> </w:t>
            </w:r>
            <w:r>
              <w:rPr>
                <w:sz w:val="18"/>
              </w:rPr>
              <w:t>in</w:t>
            </w:r>
            <w:r>
              <w:rPr>
                <w:spacing w:val="-2"/>
                <w:sz w:val="18"/>
              </w:rPr>
              <w:t> </w:t>
            </w:r>
            <w:r>
              <w:rPr>
                <w:sz w:val="18"/>
              </w:rPr>
              <w:t>place</w:t>
            </w:r>
            <w:r>
              <w:rPr>
                <w:spacing w:val="-2"/>
                <w:sz w:val="18"/>
              </w:rPr>
              <w:t> </w:t>
            </w:r>
            <w:r>
              <w:rPr>
                <w:spacing w:val="-5"/>
                <w:sz w:val="18"/>
              </w:rPr>
              <w:t>to</w:t>
            </w:r>
          </w:p>
        </w:tc>
        <w:tc>
          <w:tcPr>
            <w:tcW w:w="1982" w:type="dxa"/>
            <w:tcBorders>
              <w:top w:val="nil"/>
              <w:bottom w:val="nil"/>
            </w:tcBorders>
          </w:tcPr>
          <w:p>
            <w:pPr>
              <w:pStyle w:val="TableParagraph"/>
              <w:spacing w:line="200" w:lineRule="exact"/>
              <w:ind w:left="109"/>
              <w:rPr>
                <w:sz w:val="18"/>
              </w:rPr>
            </w:pPr>
            <w:r>
              <w:rPr>
                <w:sz w:val="18"/>
              </w:rPr>
              <w:t>EAs</w:t>
            </w:r>
            <w:r>
              <w:rPr>
                <w:spacing w:val="-3"/>
                <w:sz w:val="18"/>
              </w:rPr>
              <w:t> </w:t>
            </w:r>
            <w:r>
              <w:rPr>
                <w:spacing w:val="-2"/>
                <w:sz w:val="18"/>
              </w:rPr>
              <w:t>socialisation</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cater</w:t>
            </w:r>
            <w:r>
              <w:rPr>
                <w:spacing w:val="-1"/>
                <w:sz w:val="18"/>
              </w:rPr>
              <w:t> </w:t>
            </w:r>
            <w:r>
              <w:rPr>
                <w:sz w:val="18"/>
              </w:rPr>
              <w:t>for</w:t>
            </w:r>
            <w:r>
              <w:rPr>
                <w:spacing w:val="-1"/>
                <w:sz w:val="18"/>
              </w:rPr>
              <w:t> </w:t>
            </w:r>
            <w:r>
              <w:rPr>
                <w:spacing w:val="-2"/>
                <w:sz w:val="18"/>
              </w:rPr>
              <w:t>increased</w:t>
            </w:r>
          </w:p>
        </w:tc>
        <w:tc>
          <w:tcPr>
            <w:tcW w:w="1982" w:type="dxa"/>
            <w:tcBorders>
              <w:top w:val="nil"/>
              <w:bottom w:val="nil"/>
            </w:tcBorders>
          </w:tcPr>
          <w:p>
            <w:pPr>
              <w:pStyle w:val="TableParagraph"/>
              <w:spacing w:line="200" w:lineRule="exact"/>
              <w:ind w:left="109"/>
              <w:rPr>
                <w:sz w:val="18"/>
              </w:rPr>
            </w:pPr>
            <w:r>
              <w:rPr>
                <w:sz w:val="18"/>
              </w:rPr>
              <w:t>completed</w:t>
            </w:r>
            <w:r>
              <w:rPr>
                <w:spacing w:val="-6"/>
                <w:sz w:val="18"/>
              </w:rPr>
              <w:t> </w:t>
            </w:r>
            <w:r>
              <w:rPr>
                <w:spacing w:val="-2"/>
                <w:sz w:val="18"/>
              </w:rPr>
              <w:t>(10%)</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enrolments</w:t>
            </w:r>
            <w:r>
              <w:rPr>
                <w:spacing w:val="-3"/>
                <w:sz w:val="18"/>
              </w:rPr>
              <w:t> </w:t>
            </w:r>
            <w:r>
              <w:rPr>
                <w:sz w:val="18"/>
              </w:rPr>
              <w:t>in</w:t>
            </w:r>
            <w:r>
              <w:rPr>
                <w:spacing w:val="-2"/>
                <w:sz w:val="18"/>
              </w:rPr>
              <w:t> </w:t>
            </w:r>
            <w:r>
              <w:rPr>
                <w:sz w:val="18"/>
              </w:rPr>
              <w:t>years</w:t>
            </w:r>
            <w:r>
              <w:rPr>
                <w:spacing w:val="-3"/>
                <w:sz w:val="18"/>
              </w:rPr>
              <w:t> </w:t>
            </w:r>
            <w:r>
              <w:rPr>
                <w:spacing w:val="-10"/>
                <w:sz w:val="18"/>
              </w:rPr>
              <w:t>7</w:t>
            </w:r>
          </w:p>
        </w:tc>
        <w:tc>
          <w:tcPr>
            <w:tcW w:w="1982" w:type="dxa"/>
            <w:tcBorders>
              <w:top w:val="nil"/>
              <w:bottom w:val="nil"/>
            </w:tcBorders>
          </w:tcPr>
          <w:p>
            <w:pPr>
              <w:pStyle w:val="TableParagraph"/>
              <w:rPr>
                <w:rFonts w:ascii="Times New Roman"/>
                <w:sz w:val="14"/>
              </w:rPr>
            </w:pP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and</w:t>
            </w:r>
            <w:r>
              <w:rPr>
                <w:spacing w:val="-2"/>
                <w:sz w:val="18"/>
              </w:rPr>
              <w:t> </w:t>
            </w:r>
            <w:r>
              <w:rPr>
                <w:sz w:val="18"/>
              </w:rPr>
              <w:t>10</w:t>
            </w:r>
            <w:r>
              <w:rPr>
                <w:spacing w:val="40"/>
                <w:sz w:val="18"/>
              </w:rPr>
              <w:t> </w:t>
            </w:r>
            <w:r>
              <w:rPr>
                <w:sz w:val="18"/>
              </w:rPr>
              <w:t>and</w:t>
            </w:r>
            <w:r>
              <w:rPr>
                <w:spacing w:val="-2"/>
                <w:sz w:val="18"/>
              </w:rPr>
              <w:t> alternative</w:t>
            </w:r>
          </w:p>
        </w:tc>
        <w:tc>
          <w:tcPr>
            <w:tcW w:w="1982" w:type="dxa"/>
            <w:tcBorders>
              <w:top w:val="nil"/>
              <w:bottom w:val="nil"/>
            </w:tcBorders>
          </w:tcPr>
          <w:p>
            <w:pPr>
              <w:pStyle w:val="TableParagraph"/>
              <w:rPr>
                <w:rFonts w:ascii="Times New Roman"/>
                <w:sz w:val="14"/>
              </w:rPr>
            </w:pP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placement</w:t>
            </w:r>
            <w:r>
              <w:rPr>
                <w:spacing w:val="-4"/>
                <w:sz w:val="18"/>
              </w:rPr>
              <w:t> </w:t>
            </w:r>
            <w:r>
              <w:rPr>
                <w:sz w:val="18"/>
              </w:rPr>
              <w:t>method</w:t>
            </w:r>
            <w:r>
              <w:rPr>
                <w:spacing w:val="-3"/>
                <w:sz w:val="18"/>
              </w:rPr>
              <w:t> </w:t>
            </w:r>
            <w:r>
              <w:rPr>
                <w:spacing w:val="-5"/>
                <w:sz w:val="18"/>
              </w:rPr>
              <w:t>and</w:t>
            </w:r>
          </w:p>
        </w:tc>
        <w:tc>
          <w:tcPr>
            <w:tcW w:w="1982" w:type="dxa"/>
            <w:tcBorders>
              <w:top w:val="nil"/>
              <w:bottom w:val="nil"/>
            </w:tcBorders>
          </w:tcPr>
          <w:p>
            <w:pPr>
              <w:pStyle w:val="TableParagraph"/>
              <w:rPr>
                <w:rFonts w:ascii="Times New Roman"/>
                <w:sz w:val="14"/>
              </w:rPr>
            </w:pP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plan</w:t>
            </w:r>
            <w:r>
              <w:rPr>
                <w:spacing w:val="-6"/>
                <w:sz w:val="18"/>
              </w:rPr>
              <w:t> </w:t>
            </w:r>
            <w:r>
              <w:rPr>
                <w:sz w:val="18"/>
              </w:rPr>
              <w:t>socialised</w:t>
            </w:r>
            <w:r>
              <w:rPr>
                <w:spacing w:val="-4"/>
                <w:sz w:val="18"/>
              </w:rPr>
              <w:t> with</w:t>
            </w:r>
          </w:p>
        </w:tc>
        <w:tc>
          <w:tcPr>
            <w:tcW w:w="1982" w:type="dxa"/>
            <w:tcBorders>
              <w:top w:val="nil"/>
              <w:bottom w:val="nil"/>
            </w:tcBorders>
          </w:tcPr>
          <w:p>
            <w:pPr>
              <w:pStyle w:val="TableParagraph"/>
              <w:rPr>
                <w:rFonts w:ascii="Times New Roman"/>
                <w:sz w:val="14"/>
              </w:rPr>
            </w:pP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3"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tcBorders>
          </w:tcPr>
          <w:p>
            <w:pPr>
              <w:pStyle w:val="TableParagraph"/>
              <w:spacing w:line="183" w:lineRule="exact"/>
              <w:ind w:left="109"/>
              <w:rPr>
                <w:sz w:val="18"/>
              </w:rPr>
            </w:pPr>
            <w:r>
              <w:rPr>
                <w:spacing w:val="-5"/>
                <w:sz w:val="18"/>
              </w:rPr>
              <w:t>EAs</w:t>
            </w:r>
          </w:p>
        </w:tc>
        <w:tc>
          <w:tcPr>
            <w:tcW w:w="1982" w:type="dxa"/>
            <w:tcBorders>
              <w:top w:val="nil"/>
            </w:tcBorders>
          </w:tcPr>
          <w:p>
            <w:pPr>
              <w:pStyle w:val="TableParagraph"/>
              <w:rPr>
                <w:rFonts w:ascii="Times New Roman"/>
                <w:sz w:val="14"/>
              </w:rPr>
            </w:pPr>
          </w:p>
        </w:tc>
        <w:tc>
          <w:tcPr>
            <w:tcW w:w="1461" w:type="dxa"/>
            <w:tcBorders>
              <w:top w:val="nil"/>
            </w:tcBorders>
            <w:shd w:val="clear" w:color="auto" w:fill="FFC000"/>
          </w:tcPr>
          <w:p>
            <w:pPr>
              <w:pStyle w:val="TableParagraph"/>
              <w:rPr>
                <w:rFonts w:ascii="Times New Roman"/>
                <w:sz w:val="14"/>
              </w:rPr>
            </w:pPr>
          </w:p>
        </w:tc>
        <w:tc>
          <w:tcPr>
            <w:tcW w:w="1834" w:type="dxa"/>
            <w:tcBorders>
              <w:top w:val="nil"/>
            </w:tcBorders>
          </w:tcPr>
          <w:p>
            <w:pPr>
              <w:pStyle w:val="TableParagraph"/>
              <w:rPr>
                <w:rFonts w:ascii="Times New Roman"/>
                <w:sz w:val="14"/>
              </w:rPr>
            </w:pPr>
          </w:p>
        </w:tc>
      </w:tr>
      <w:tr>
        <w:trPr>
          <w:trHeight w:val="772" w:hRule="atLeast"/>
        </w:trPr>
        <w:tc>
          <w:tcPr>
            <w:tcW w:w="2009" w:type="dxa"/>
            <w:tcBorders>
              <w:top w:val="nil"/>
              <w:bottom w:val="nil"/>
            </w:tcBorders>
          </w:tcPr>
          <w:p>
            <w:pPr>
              <w:pStyle w:val="TableParagraph"/>
              <w:rPr>
                <w:rFonts w:ascii="Times New Roman"/>
                <w:sz w:val="18"/>
              </w:rPr>
            </w:pPr>
          </w:p>
        </w:tc>
        <w:tc>
          <w:tcPr>
            <w:tcW w:w="1550" w:type="dxa"/>
            <w:tcBorders>
              <w:top w:val="nil"/>
              <w:bottom w:val="nil"/>
            </w:tcBorders>
          </w:tcPr>
          <w:p>
            <w:pPr>
              <w:pStyle w:val="TableParagraph"/>
              <w:rPr>
                <w:rFonts w:ascii="Times New Roman"/>
                <w:sz w:val="18"/>
              </w:rPr>
            </w:pPr>
          </w:p>
        </w:tc>
        <w:tc>
          <w:tcPr>
            <w:tcW w:w="1932" w:type="dxa"/>
            <w:tcBorders>
              <w:bottom w:val="nil"/>
            </w:tcBorders>
          </w:tcPr>
          <w:p>
            <w:pPr>
              <w:pStyle w:val="TableParagraph"/>
              <w:spacing w:line="220" w:lineRule="atLeast" w:before="92"/>
              <w:ind w:left="109" w:right="102"/>
              <w:jc w:val="both"/>
              <w:rPr>
                <w:sz w:val="18"/>
              </w:rPr>
            </w:pPr>
            <w:r>
              <w:rPr>
                <w:sz w:val="18"/>
              </w:rPr>
              <w:t>1.1.2</w:t>
            </w:r>
            <w:r>
              <w:rPr>
                <w:spacing w:val="40"/>
                <w:sz w:val="18"/>
              </w:rPr>
              <w:t> </w:t>
            </w:r>
            <w:r>
              <w:rPr>
                <w:sz w:val="18"/>
              </w:rPr>
              <w:t>Transition Rates for</w:t>
            </w:r>
            <w:r>
              <w:rPr>
                <w:spacing w:val="-7"/>
                <w:sz w:val="18"/>
              </w:rPr>
              <w:t> </w:t>
            </w:r>
            <w:r>
              <w:rPr>
                <w:sz w:val="18"/>
              </w:rPr>
              <w:t>year</w:t>
            </w:r>
            <w:r>
              <w:rPr>
                <w:spacing w:val="-8"/>
                <w:sz w:val="18"/>
              </w:rPr>
              <w:t> </w:t>
            </w:r>
            <w:r>
              <w:rPr>
                <w:sz w:val="18"/>
              </w:rPr>
              <w:t>6</w:t>
            </w:r>
            <w:r>
              <w:rPr>
                <w:spacing w:val="-7"/>
                <w:sz w:val="18"/>
              </w:rPr>
              <w:t> </w:t>
            </w:r>
            <w:r>
              <w:rPr>
                <w:sz w:val="18"/>
              </w:rPr>
              <w:t>to</w:t>
            </w:r>
            <w:r>
              <w:rPr>
                <w:spacing w:val="-7"/>
                <w:sz w:val="18"/>
              </w:rPr>
              <w:t> </w:t>
            </w:r>
            <w:r>
              <w:rPr>
                <w:sz w:val="18"/>
              </w:rPr>
              <w:t>7</w:t>
            </w:r>
            <w:r>
              <w:rPr>
                <w:spacing w:val="-7"/>
                <w:sz w:val="18"/>
              </w:rPr>
              <w:t> </w:t>
            </w:r>
            <w:r>
              <w:rPr>
                <w:sz w:val="18"/>
              </w:rPr>
              <w:t>and</w:t>
            </w:r>
            <w:r>
              <w:rPr>
                <w:spacing w:val="-8"/>
                <w:sz w:val="18"/>
              </w:rPr>
              <w:t> </w:t>
            </w:r>
            <w:r>
              <w:rPr>
                <w:sz w:val="18"/>
              </w:rPr>
              <w:t>year 9 to 10 from 2017 to</w:t>
            </w:r>
          </w:p>
        </w:tc>
        <w:tc>
          <w:tcPr>
            <w:tcW w:w="1982" w:type="dxa"/>
            <w:tcBorders>
              <w:bottom w:val="nil"/>
            </w:tcBorders>
          </w:tcPr>
          <w:p>
            <w:pPr>
              <w:pStyle w:val="TableParagraph"/>
              <w:spacing w:before="1"/>
              <w:ind w:left="109" w:right="131"/>
              <w:rPr>
                <w:sz w:val="18"/>
              </w:rPr>
            </w:pPr>
            <w:r>
              <w:rPr>
                <w:sz w:val="18"/>
              </w:rPr>
              <w:t>Transition</w:t>
            </w:r>
            <w:r>
              <w:rPr>
                <w:spacing w:val="-2"/>
                <w:sz w:val="18"/>
              </w:rPr>
              <w:t> </w:t>
            </w:r>
            <w:r>
              <w:rPr>
                <w:sz w:val="18"/>
              </w:rPr>
              <w:t>Rates increase</w:t>
            </w:r>
            <w:r>
              <w:rPr>
                <w:spacing w:val="-11"/>
                <w:sz w:val="18"/>
              </w:rPr>
              <w:t> </w:t>
            </w:r>
            <w:r>
              <w:rPr>
                <w:sz w:val="18"/>
              </w:rPr>
              <w:t>(10%)</w:t>
            </w:r>
            <w:r>
              <w:rPr>
                <w:spacing w:val="-10"/>
                <w:sz w:val="18"/>
              </w:rPr>
              <w:t> </w:t>
            </w:r>
            <w:r>
              <w:rPr>
                <w:sz w:val="18"/>
              </w:rPr>
              <w:t>(as</w:t>
            </w:r>
            <w:r>
              <w:rPr>
                <w:spacing w:val="-10"/>
                <w:sz w:val="18"/>
              </w:rPr>
              <w:t> </w:t>
            </w:r>
            <w:r>
              <w:rPr>
                <w:sz w:val="18"/>
              </w:rPr>
              <w:t>per Annual Report 2018)</w:t>
            </w:r>
          </w:p>
        </w:tc>
        <w:tc>
          <w:tcPr>
            <w:tcW w:w="1461" w:type="dxa"/>
            <w:tcBorders>
              <w:bottom w:val="nil"/>
            </w:tcBorders>
            <w:shd w:val="clear" w:color="auto" w:fill="FF0000"/>
          </w:tcPr>
          <w:p>
            <w:pPr>
              <w:pStyle w:val="TableParagraph"/>
              <w:spacing w:line="268" w:lineRule="exact"/>
              <w:ind w:left="13"/>
              <w:jc w:val="center"/>
              <w:rPr>
                <w:sz w:val="22"/>
              </w:rPr>
            </w:pPr>
            <w:r>
              <w:rPr>
                <w:w w:val="100"/>
                <w:sz w:val="22"/>
              </w:rPr>
              <w:t>0</w:t>
            </w:r>
          </w:p>
        </w:tc>
        <w:tc>
          <w:tcPr>
            <w:tcW w:w="1834" w:type="dxa"/>
            <w:tcBorders>
              <w:bottom w:val="nil"/>
            </w:tcBorders>
          </w:tcPr>
          <w:p>
            <w:pPr>
              <w:pStyle w:val="TableParagraph"/>
              <w:tabs>
                <w:tab w:pos="1258" w:val="left" w:leader="none"/>
              </w:tabs>
              <w:spacing w:line="268" w:lineRule="exact"/>
              <w:ind w:right="95"/>
              <w:jc w:val="right"/>
              <w:rPr>
                <w:sz w:val="22"/>
              </w:rPr>
            </w:pPr>
            <w:r>
              <w:rPr>
                <w:spacing w:val="-10"/>
                <w:sz w:val="22"/>
              </w:rPr>
              <w:t>$</w:t>
            </w:r>
            <w:r>
              <w:rPr>
                <w:sz w:val="22"/>
              </w:rPr>
              <w:tab/>
            </w:r>
            <w:r>
              <w:rPr>
                <w:spacing w:val="-10"/>
                <w:sz w:val="22"/>
              </w:rPr>
              <w:t>-</w:t>
            </w: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2018</w:t>
            </w:r>
            <w:r>
              <w:rPr>
                <w:spacing w:val="-1"/>
                <w:sz w:val="18"/>
              </w:rPr>
              <w:t> </w:t>
            </w:r>
            <w:r>
              <w:rPr>
                <w:sz w:val="18"/>
              </w:rPr>
              <w:t>show</w:t>
            </w:r>
            <w:r>
              <w:rPr>
                <w:spacing w:val="-1"/>
                <w:sz w:val="18"/>
              </w:rPr>
              <w:t> </w:t>
            </w:r>
            <w:r>
              <w:rPr>
                <w:sz w:val="18"/>
              </w:rPr>
              <w:t>an</w:t>
            </w:r>
            <w:r>
              <w:rPr>
                <w:spacing w:val="-1"/>
                <w:sz w:val="18"/>
              </w:rPr>
              <w:t> </w:t>
            </w:r>
            <w:r>
              <w:rPr>
                <w:spacing w:val="-2"/>
                <w:sz w:val="18"/>
              </w:rPr>
              <w:t>increase</w:t>
            </w:r>
          </w:p>
        </w:tc>
        <w:tc>
          <w:tcPr>
            <w:tcW w:w="1982" w:type="dxa"/>
            <w:tcBorders>
              <w:top w:val="nil"/>
              <w:bottom w:val="nil"/>
            </w:tcBorders>
          </w:tcPr>
          <w:p>
            <w:pPr>
              <w:pStyle w:val="TableParagraph"/>
              <w:rPr>
                <w:rFonts w:ascii="Times New Roman"/>
                <w:sz w:val="14"/>
              </w:rPr>
            </w:pPr>
          </w:p>
        </w:tc>
        <w:tc>
          <w:tcPr>
            <w:tcW w:w="1461" w:type="dxa"/>
            <w:tcBorders>
              <w:top w:val="nil"/>
              <w:bottom w:val="nil"/>
            </w:tcBorders>
            <w:shd w:val="clear" w:color="auto" w:fill="FF0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99" w:hRule="atLeast"/>
        </w:trPr>
        <w:tc>
          <w:tcPr>
            <w:tcW w:w="2009" w:type="dxa"/>
            <w:tcBorders>
              <w:top w:val="nil"/>
            </w:tcBorders>
          </w:tcPr>
          <w:p>
            <w:pPr>
              <w:pStyle w:val="TableParagraph"/>
              <w:rPr>
                <w:rFonts w:ascii="Times New Roman"/>
                <w:sz w:val="18"/>
              </w:rPr>
            </w:pPr>
          </w:p>
        </w:tc>
        <w:tc>
          <w:tcPr>
            <w:tcW w:w="1550" w:type="dxa"/>
            <w:tcBorders>
              <w:top w:val="nil"/>
            </w:tcBorders>
          </w:tcPr>
          <w:p>
            <w:pPr>
              <w:pStyle w:val="TableParagraph"/>
              <w:rPr>
                <w:rFonts w:ascii="Times New Roman"/>
                <w:sz w:val="18"/>
              </w:rPr>
            </w:pPr>
          </w:p>
        </w:tc>
        <w:tc>
          <w:tcPr>
            <w:tcW w:w="1932" w:type="dxa"/>
            <w:tcBorders>
              <w:top w:val="nil"/>
            </w:tcBorders>
          </w:tcPr>
          <w:p>
            <w:pPr>
              <w:pStyle w:val="TableParagraph"/>
              <w:spacing w:line="204" w:lineRule="exact"/>
              <w:ind w:left="109"/>
              <w:rPr>
                <w:sz w:val="18"/>
              </w:rPr>
            </w:pPr>
            <w:r>
              <w:rPr>
                <w:sz w:val="18"/>
              </w:rPr>
              <w:t>over</w:t>
            </w:r>
            <w:r>
              <w:rPr>
                <w:spacing w:val="-2"/>
                <w:sz w:val="18"/>
              </w:rPr>
              <w:t> </w:t>
            </w:r>
            <w:r>
              <w:rPr>
                <w:sz w:val="18"/>
              </w:rPr>
              <w:t>2016-</w:t>
            </w:r>
            <w:r>
              <w:rPr>
                <w:spacing w:val="-4"/>
                <w:sz w:val="18"/>
              </w:rPr>
              <w:t>2017</w:t>
            </w:r>
          </w:p>
        </w:tc>
        <w:tc>
          <w:tcPr>
            <w:tcW w:w="1982" w:type="dxa"/>
            <w:tcBorders>
              <w:top w:val="nil"/>
            </w:tcBorders>
          </w:tcPr>
          <w:p>
            <w:pPr>
              <w:pStyle w:val="TableParagraph"/>
              <w:rPr>
                <w:rFonts w:ascii="Times New Roman"/>
                <w:sz w:val="18"/>
              </w:rPr>
            </w:pPr>
          </w:p>
        </w:tc>
        <w:tc>
          <w:tcPr>
            <w:tcW w:w="1461" w:type="dxa"/>
            <w:tcBorders>
              <w:top w:val="nil"/>
            </w:tcBorders>
            <w:shd w:val="clear" w:color="auto" w:fill="FF0000"/>
          </w:tcPr>
          <w:p>
            <w:pPr>
              <w:pStyle w:val="TableParagraph"/>
              <w:rPr>
                <w:rFonts w:ascii="Times New Roman"/>
                <w:sz w:val="18"/>
              </w:rPr>
            </w:pPr>
          </w:p>
        </w:tc>
        <w:tc>
          <w:tcPr>
            <w:tcW w:w="1834" w:type="dxa"/>
            <w:tcBorders>
              <w:top w:val="nil"/>
            </w:tcBorders>
          </w:tcPr>
          <w:p>
            <w:pPr>
              <w:pStyle w:val="TableParagraph"/>
              <w:rPr>
                <w:rFonts w:ascii="Times New Roman"/>
                <w:sz w:val="18"/>
              </w:rPr>
            </w:pPr>
          </w:p>
        </w:tc>
      </w:tr>
      <w:tr>
        <w:trPr>
          <w:trHeight w:val="455" w:hRule="atLeast"/>
        </w:trPr>
        <w:tc>
          <w:tcPr>
            <w:tcW w:w="2009" w:type="dxa"/>
            <w:tcBorders>
              <w:bottom w:val="nil"/>
            </w:tcBorders>
          </w:tcPr>
          <w:p>
            <w:pPr>
              <w:pStyle w:val="TableParagraph"/>
              <w:tabs>
                <w:tab w:pos="910" w:val="left" w:leader="none"/>
              </w:tabs>
              <w:spacing w:line="231" w:lineRule="exact"/>
              <w:ind w:left="107"/>
              <w:rPr>
                <w:b/>
                <w:sz w:val="19"/>
              </w:rPr>
            </w:pPr>
            <w:r>
              <w:rPr>
                <w:b/>
                <w:spacing w:val="-2"/>
                <w:sz w:val="19"/>
              </w:rPr>
              <w:t>ACCESS</w:t>
            </w:r>
            <w:r>
              <w:rPr>
                <w:b/>
                <w:sz w:val="19"/>
              </w:rPr>
              <w:tab/>
              <w:t>EO1</w:t>
            </w:r>
            <w:r>
              <w:rPr>
                <w:b/>
                <w:spacing w:val="-5"/>
                <w:sz w:val="19"/>
              </w:rPr>
              <w:t> </w:t>
            </w:r>
            <w:r>
              <w:rPr>
                <w:b/>
                <w:spacing w:val="-4"/>
                <w:sz w:val="19"/>
              </w:rPr>
              <w:t>(65)</w:t>
            </w:r>
          </w:p>
        </w:tc>
        <w:tc>
          <w:tcPr>
            <w:tcW w:w="1550" w:type="dxa"/>
            <w:tcBorders>
              <w:bottom w:val="nil"/>
            </w:tcBorders>
          </w:tcPr>
          <w:p>
            <w:pPr>
              <w:pStyle w:val="TableParagraph"/>
              <w:spacing w:line="219" w:lineRule="exact"/>
              <w:ind w:left="108"/>
              <w:rPr>
                <w:b/>
                <w:sz w:val="18"/>
              </w:rPr>
            </w:pPr>
            <w:r>
              <w:rPr>
                <w:b/>
                <w:sz w:val="18"/>
              </w:rPr>
              <w:t>1.2</w:t>
            </w:r>
            <w:r>
              <w:rPr>
                <w:b/>
                <w:spacing w:val="-1"/>
                <w:sz w:val="18"/>
              </w:rPr>
              <w:t> </w:t>
            </w:r>
            <w:r>
              <w:rPr>
                <w:b/>
                <w:sz w:val="18"/>
              </w:rPr>
              <w:t>Safe</w:t>
            </w:r>
            <w:r>
              <w:rPr>
                <w:b/>
                <w:spacing w:val="-1"/>
                <w:sz w:val="18"/>
              </w:rPr>
              <w:t> </w:t>
            </w:r>
            <w:r>
              <w:rPr>
                <w:b/>
                <w:spacing w:val="-5"/>
                <w:sz w:val="18"/>
              </w:rPr>
              <w:t>and</w:t>
            </w:r>
          </w:p>
          <w:p>
            <w:pPr>
              <w:pStyle w:val="TableParagraph"/>
              <w:spacing w:line="216" w:lineRule="exact" w:before="1"/>
              <w:ind w:left="108"/>
              <w:rPr>
                <w:b/>
                <w:sz w:val="18"/>
              </w:rPr>
            </w:pPr>
            <w:r>
              <w:rPr>
                <w:b/>
                <w:sz w:val="18"/>
              </w:rPr>
              <w:t>equitable</w:t>
            </w:r>
            <w:r>
              <w:rPr>
                <w:b/>
                <w:spacing w:val="-5"/>
                <w:sz w:val="18"/>
              </w:rPr>
              <w:t> </w:t>
            </w:r>
            <w:r>
              <w:rPr>
                <w:b/>
                <w:spacing w:val="-2"/>
                <w:sz w:val="18"/>
              </w:rPr>
              <w:t>access</w:t>
            </w:r>
          </w:p>
        </w:tc>
        <w:tc>
          <w:tcPr>
            <w:tcW w:w="1932" w:type="dxa"/>
            <w:tcBorders>
              <w:bottom w:val="nil"/>
            </w:tcBorders>
          </w:tcPr>
          <w:p>
            <w:pPr>
              <w:pStyle w:val="TableParagraph"/>
              <w:spacing w:line="219" w:lineRule="exact"/>
              <w:ind w:left="109"/>
              <w:rPr>
                <w:sz w:val="18"/>
              </w:rPr>
            </w:pPr>
            <w:r>
              <w:rPr>
                <w:sz w:val="18"/>
              </w:rPr>
              <w:t>1.2.1</w:t>
            </w:r>
            <w:r>
              <w:rPr>
                <w:spacing w:val="79"/>
                <w:sz w:val="18"/>
              </w:rPr>
              <w:t> </w:t>
            </w:r>
            <w:r>
              <w:rPr>
                <w:sz w:val="18"/>
              </w:rPr>
              <w:t>By</w:t>
            </w:r>
            <w:r>
              <w:rPr>
                <w:spacing w:val="-1"/>
                <w:sz w:val="18"/>
              </w:rPr>
              <w:t> </w:t>
            </w:r>
            <w:r>
              <w:rPr>
                <w:sz w:val="18"/>
              </w:rPr>
              <w:t>the</w:t>
            </w:r>
            <w:r>
              <w:rPr>
                <w:spacing w:val="-1"/>
                <w:sz w:val="18"/>
              </w:rPr>
              <w:t> </w:t>
            </w:r>
            <w:r>
              <w:rPr>
                <w:sz w:val="18"/>
              </w:rPr>
              <w:t>end</w:t>
            </w:r>
            <w:r>
              <w:rPr>
                <w:spacing w:val="-2"/>
                <w:sz w:val="18"/>
              </w:rPr>
              <w:t> </w:t>
            </w:r>
            <w:r>
              <w:rPr>
                <w:spacing w:val="-5"/>
                <w:sz w:val="18"/>
              </w:rPr>
              <w:t>of</w:t>
            </w:r>
          </w:p>
          <w:p>
            <w:pPr>
              <w:pStyle w:val="TableParagraph"/>
              <w:spacing w:line="216" w:lineRule="exact" w:before="1"/>
              <w:ind w:left="109"/>
              <w:rPr>
                <w:sz w:val="18"/>
              </w:rPr>
            </w:pPr>
            <w:r>
              <w:rPr>
                <w:sz w:val="18"/>
              </w:rPr>
              <w:t>2018,</w:t>
            </w:r>
            <w:r>
              <w:rPr>
                <w:spacing w:val="-2"/>
                <w:sz w:val="18"/>
              </w:rPr>
              <w:t> </w:t>
            </w:r>
            <w:r>
              <w:rPr>
                <w:sz w:val="18"/>
              </w:rPr>
              <w:t>Gender</w:t>
            </w:r>
            <w:r>
              <w:rPr>
                <w:spacing w:val="-1"/>
                <w:sz w:val="18"/>
              </w:rPr>
              <w:t> </w:t>
            </w:r>
            <w:r>
              <w:rPr>
                <w:spacing w:val="-2"/>
                <w:sz w:val="18"/>
              </w:rPr>
              <w:t>Equality</w:t>
            </w:r>
          </w:p>
        </w:tc>
        <w:tc>
          <w:tcPr>
            <w:tcW w:w="1982" w:type="dxa"/>
            <w:tcBorders>
              <w:bottom w:val="nil"/>
            </w:tcBorders>
          </w:tcPr>
          <w:p>
            <w:pPr>
              <w:pStyle w:val="TableParagraph"/>
              <w:spacing w:line="219" w:lineRule="exact"/>
              <w:ind w:left="109"/>
              <w:rPr>
                <w:sz w:val="18"/>
              </w:rPr>
            </w:pPr>
            <w:r>
              <w:rPr>
                <w:sz w:val="18"/>
              </w:rPr>
              <w:t>A</w:t>
            </w:r>
            <w:r>
              <w:rPr>
                <w:spacing w:val="-5"/>
                <w:sz w:val="18"/>
              </w:rPr>
              <w:t> </w:t>
            </w:r>
            <w:r>
              <w:rPr>
                <w:sz w:val="18"/>
              </w:rPr>
              <w:t>quality</w:t>
            </w:r>
            <w:r>
              <w:rPr>
                <w:spacing w:val="-1"/>
                <w:sz w:val="18"/>
              </w:rPr>
              <w:t> </w:t>
            </w:r>
            <w:r>
              <w:rPr>
                <w:spacing w:val="-2"/>
                <w:sz w:val="18"/>
              </w:rPr>
              <w:t>Gender</w:t>
            </w:r>
          </w:p>
          <w:p>
            <w:pPr>
              <w:pStyle w:val="TableParagraph"/>
              <w:spacing w:line="216" w:lineRule="exact" w:before="1"/>
              <w:ind w:left="109"/>
              <w:rPr>
                <w:sz w:val="18"/>
              </w:rPr>
            </w:pPr>
            <w:r>
              <w:rPr>
                <w:sz w:val="18"/>
              </w:rPr>
              <w:t>Equality</w:t>
            </w:r>
            <w:r>
              <w:rPr>
                <w:spacing w:val="-5"/>
                <w:sz w:val="18"/>
              </w:rPr>
              <w:t> </w:t>
            </w:r>
            <w:r>
              <w:rPr>
                <w:sz w:val="18"/>
              </w:rPr>
              <w:t>in</w:t>
            </w:r>
            <w:r>
              <w:rPr>
                <w:spacing w:val="-3"/>
                <w:sz w:val="18"/>
              </w:rPr>
              <w:t> </w:t>
            </w:r>
            <w:r>
              <w:rPr>
                <w:spacing w:val="-2"/>
                <w:sz w:val="18"/>
              </w:rPr>
              <w:t>Education</w:t>
            </w:r>
          </w:p>
        </w:tc>
        <w:tc>
          <w:tcPr>
            <w:tcW w:w="1461" w:type="dxa"/>
            <w:tcBorders>
              <w:bottom w:val="nil"/>
            </w:tcBorders>
            <w:shd w:val="clear" w:color="auto" w:fill="FFC000"/>
          </w:tcPr>
          <w:p>
            <w:pPr>
              <w:pStyle w:val="TableParagraph"/>
              <w:spacing w:line="268" w:lineRule="exact"/>
              <w:ind w:left="156" w:right="146"/>
              <w:jc w:val="center"/>
              <w:rPr>
                <w:sz w:val="22"/>
              </w:rPr>
            </w:pPr>
            <w:r>
              <w:rPr>
                <w:sz w:val="22"/>
              </w:rPr>
              <w:t>20%</w:t>
            </w:r>
            <w:r>
              <w:rPr>
                <w:spacing w:val="-2"/>
                <w:sz w:val="22"/>
              </w:rPr>
              <w:t> </w:t>
            </w:r>
            <w:r>
              <w:rPr>
                <w:sz w:val="22"/>
              </w:rPr>
              <w:t>(of</w:t>
            </w:r>
            <w:r>
              <w:rPr>
                <w:spacing w:val="-3"/>
                <w:sz w:val="22"/>
              </w:rPr>
              <w:t> </w:t>
            </w:r>
            <w:r>
              <w:rPr>
                <w:spacing w:val="-5"/>
                <w:sz w:val="22"/>
              </w:rPr>
              <w:t>60)</w:t>
            </w:r>
          </w:p>
        </w:tc>
        <w:tc>
          <w:tcPr>
            <w:tcW w:w="1834" w:type="dxa"/>
            <w:tcBorders>
              <w:bottom w:val="nil"/>
            </w:tcBorders>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13,714</w:t>
            </w: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in</w:t>
            </w:r>
            <w:r>
              <w:rPr>
                <w:spacing w:val="-5"/>
                <w:sz w:val="18"/>
              </w:rPr>
              <w:t> </w:t>
            </w:r>
            <w:r>
              <w:rPr>
                <w:sz w:val="18"/>
              </w:rPr>
              <w:t>Education</w:t>
            </w:r>
            <w:r>
              <w:rPr>
                <w:spacing w:val="-3"/>
                <w:sz w:val="18"/>
              </w:rPr>
              <w:t> </w:t>
            </w:r>
            <w:r>
              <w:rPr>
                <w:sz w:val="18"/>
              </w:rPr>
              <w:t>Policy</w:t>
            </w:r>
            <w:r>
              <w:rPr>
                <w:spacing w:val="-1"/>
                <w:sz w:val="18"/>
              </w:rPr>
              <w:t> </w:t>
            </w:r>
            <w:r>
              <w:rPr>
                <w:spacing w:val="-10"/>
                <w:sz w:val="18"/>
              </w:rPr>
              <w:t>–</w:t>
            </w:r>
          </w:p>
        </w:tc>
        <w:tc>
          <w:tcPr>
            <w:tcW w:w="1982" w:type="dxa"/>
            <w:tcBorders>
              <w:top w:val="nil"/>
              <w:bottom w:val="nil"/>
            </w:tcBorders>
          </w:tcPr>
          <w:p>
            <w:pPr>
              <w:pStyle w:val="TableParagraph"/>
              <w:spacing w:line="200" w:lineRule="exact"/>
              <w:ind w:left="109"/>
              <w:rPr>
                <w:sz w:val="18"/>
              </w:rPr>
            </w:pPr>
            <w:r>
              <w:rPr>
                <w:sz w:val="18"/>
              </w:rPr>
              <w:t>Policy</w:t>
            </w:r>
            <w:r>
              <w:rPr>
                <w:spacing w:val="-1"/>
                <w:sz w:val="18"/>
              </w:rPr>
              <w:t> </w:t>
            </w:r>
            <w:r>
              <w:rPr>
                <w:spacing w:val="-10"/>
                <w:sz w:val="18"/>
              </w:rPr>
              <w:t>–</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pacing w:val="-2"/>
                <w:sz w:val="18"/>
              </w:rPr>
              <w:t>implementation</w:t>
            </w:r>
          </w:p>
        </w:tc>
        <w:tc>
          <w:tcPr>
            <w:tcW w:w="1982" w:type="dxa"/>
            <w:tcBorders>
              <w:top w:val="nil"/>
              <w:bottom w:val="nil"/>
            </w:tcBorders>
          </w:tcPr>
          <w:p>
            <w:pPr>
              <w:pStyle w:val="TableParagraph"/>
              <w:spacing w:line="200" w:lineRule="exact"/>
              <w:ind w:left="109"/>
              <w:rPr>
                <w:sz w:val="18"/>
              </w:rPr>
            </w:pPr>
            <w:r>
              <w:rPr>
                <w:spacing w:val="-2"/>
                <w:sz w:val="18"/>
              </w:rPr>
              <w:t>implementation</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strategy</w:t>
            </w:r>
            <w:r>
              <w:rPr>
                <w:spacing w:val="-3"/>
                <w:sz w:val="18"/>
              </w:rPr>
              <w:t> </w:t>
            </w:r>
            <w:r>
              <w:rPr>
                <w:sz w:val="18"/>
              </w:rPr>
              <w:t>costed</w:t>
            </w:r>
            <w:r>
              <w:rPr>
                <w:spacing w:val="-2"/>
                <w:sz w:val="18"/>
              </w:rPr>
              <w:t> </w:t>
            </w:r>
            <w:r>
              <w:rPr>
                <w:spacing w:val="-5"/>
                <w:sz w:val="18"/>
              </w:rPr>
              <w:t>and</w:t>
            </w:r>
          </w:p>
        </w:tc>
        <w:tc>
          <w:tcPr>
            <w:tcW w:w="1982" w:type="dxa"/>
            <w:tcBorders>
              <w:top w:val="nil"/>
              <w:bottom w:val="nil"/>
            </w:tcBorders>
          </w:tcPr>
          <w:p>
            <w:pPr>
              <w:pStyle w:val="TableParagraph"/>
              <w:spacing w:line="200" w:lineRule="exact"/>
              <w:ind w:left="109"/>
              <w:rPr>
                <w:sz w:val="18"/>
              </w:rPr>
            </w:pPr>
            <w:r>
              <w:rPr>
                <w:sz w:val="18"/>
              </w:rPr>
              <w:t>strategy</w:t>
            </w:r>
            <w:r>
              <w:rPr>
                <w:spacing w:val="-3"/>
                <w:sz w:val="18"/>
              </w:rPr>
              <w:t> </w:t>
            </w:r>
            <w:r>
              <w:rPr>
                <w:sz w:val="18"/>
              </w:rPr>
              <w:t>costed</w:t>
            </w:r>
            <w:r>
              <w:rPr>
                <w:spacing w:val="-2"/>
                <w:sz w:val="18"/>
              </w:rPr>
              <w:t> (30%)</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20"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1" w:lineRule="exact"/>
              <w:ind w:left="109"/>
              <w:rPr>
                <w:sz w:val="18"/>
              </w:rPr>
            </w:pPr>
            <w:r>
              <w:rPr>
                <w:sz w:val="18"/>
              </w:rPr>
              <w:t>approved</w:t>
            </w:r>
            <w:r>
              <w:rPr>
                <w:spacing w:val="-3"/>
                <w:sz w:val="18"/>
              </w:rPr>
              <w:t> </w:t>
            </w:r>
            <w:r>
              <w:rPr>
                <w:sz w:val="18"/>
              </w:rPr>
              <w:t>by </w:t>
            </w:r>
            <w:r>
              <w:rPr>
                <w:spacing w:val="-5"/>
                <w:sz w:val="18"/>
              </w:rPr>
              <w:t>NEB</w:t>
            </w:r>
          </w:p>
        </w:tc>
        <w:tc>
          <w:tcPr>
            <w:tcW w:w="1982" w:type="dxa"/>
            <w:tcBorders>
              <w:top w:val="nil"/>
              <w:bottom w:val="nil"/>
            </w:tcBorders>
          </w:tcPr>
          <w:p>
            <w:pPr>
              <w:pStyle w:val="TableParagraph"/>
              <w:spacing w:line="201" w:lineRule="exact"/>
              <w:ind w:left="109"/>
              <w:rPr>
                <w:sz w:val="18"/>
              </w:rPr>
            </w:pPr>
            <w:r>
              <w:rPr>
                <w:sz w:val="18"/>
              </w:rPr>
              <w:t>and</w:t>
            </w:r>
            <w:r>
              <w:rPr>
                <w:spacing w:val="-2"/>
                <w:sz w:val="18"/>
              </w:rPr>
              <w:t> </w:t>
            </w:r>
            <w:r>
              <w:rPr>
                <w:sz w:val="18"/>
              </w:rPr>
              <w:t>NEB</w:t>
            </w:r>
            <w:r>
              <w:rPr>
                <w:spacing w:val="-1"/>
                <w:sz w:val="18"/>
              </w:rPr>
              <w:t> </w:t>
            </w:r>
            <w:r>
              <w:rPr>
                <w:spacing w:val="-2"/>
                <w:sz w:val="18"/>
              </w:rPr>
              <w:t>endorsement</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3" w:hRule="atLeast"/>
        </w:trPr>
        <w:tc>
          <w:tcPr>
            <w:tcW w:w="2009" w:type="dxa"/>
            <w:tcBorders>
              <w:top w:val="nil"/>
            </w:tcBorders>
          </w:tcPr>
          <w:p>
            <w:pPr>
              <w:pStyle w:val="TableParagraph"/>
              <w:rPr>
                <w:rFonts w:ascii="Times New Roman"/>
                <w:sz w:val="14"/>
              </w:rPr>
            </w:pPr>
          </w:p>
        </w:tc>
        <w:tc>
          <w:tcPr>
            <w:tcW w:w="1550" w:type="dxa"/>
            <w:tcBorders>
              <w:top w:val="nil"/>
            </w:tcBorders>
          </w:tcPr>
          <w:p>
            <w:pPr>
              <w:pStyle w:val="TableParagraph"/>
              <w:rPr>
                <w:rFonts w:ascii="Times New Roman"/>
                <w:sz w:val="14"/>
              </w:rPr>
            </w:pPr>
          </w:p>
        </w:tc>
        <w:tc>
          <w:tcPr>
            <w:tcW w:w="1932" w:type="dxa"/>
            <w:tcBorders>
              <w:top w:val="nil"/>
            </w:tcBorders>
          </w:tcPr>
          <w:p>
            <w:pPr>
              <w:pStyle w:val="TableParagraph"/>
              <w:rPr>
                <w:rFonts w:ascii="Times New Roman"/>
                <w:sz w:val="14"/>
              </w:rPr>
            </w:pPr>
          </w:p>
        </w:tc>
        <w:tc>
          <w:tcPr>
            <w:tcW w:w="1982" w:type="dxa"/>
            <w:tcBorders>
              <w:top w:val="nil"/>
            </w:tcBorders>
          </w:tcPr>
          <w:p>
            <w:pPr>
              <w:pStyle w:val="TableParagraph"/>
              <w:spacing w:line="183" w:lineRule="exact"/>
              <w:ind w:left="109"/>
              <w:rPr>
                <w:sz w:val="18"/>
              </w:rPr>
            </w:pPr>
            <w:r>
              <w:rPr>
                <w:sz w:val="18"/>
              </w:rPr>
              <w:t>minute</w:t>
            </w:r>
            <w:r>
              <w:rPr>
                <w:spacing w:val="-5"/>
                <w:sz w:val="18"/>
              </w:rPr>
              <w:t> </w:t>
            </w:r>
            <w:r>
              <w:rPr>
                <w:spacing w:val="-2"/>
                <w:sz w:val="18"/>
              </w:rPr>
              <w:t>(30%)</w:t>
            </w:r>
          </w:p>
        </w:tc>
        <w:tc>
          <w:tcPr>
            <w:tcW w:w="1461" w:type="dxa"/>
            <w:tcBorders>
              <w:top w:val="nil"/>
            </w:tcBorders>
            <w:shd w:val="clear" w:color="auto" w:fill="FFC000"/>
          </w:tcPr>
          <w:p>
            <w:pPr>
              <w:pStyle w:val="TableParagraph"/>
              <w:rPr>
                <w:rFonts w:ascii="Times New Roman"/>
                <w:sz w:val="14"/>
              </w:rPr>
            </w:pPr>
          </w:p>
        </w:tc>
        <w:tc>
          <w:tcPr>
            <w:tcW w:w="1834" w:type="dxa"/>
            <w:tcBorders>
              <w:top w:val="nil"/>
            </w:tcBorders>
          </w:tcPr>
          <w:p>
            <w:pPr>
              <w:pStyle w:val="TableParagraph"/>
              <w:rPr>
                <w:rFonts w:ascii="Times New Roman"/>
                <w:sz w:val="14"/>
              </w:rPr>
            </w:pPr>
          </w:p>
        </w:tc>
      </w:tr>
      <w:tr>
        <w:trPr>
          <w:trHeight w:val="670" w:hRule="atLeast"/>
        </w:trPr>
        <w:tc>
          <w:tcPr>
            <w:tcW w:w="2009" w:type="dxa"/>
            <w:vMerge w:val="restart"/>
          </w:tcPr>
          <w:p>
            <w:pPr>
              <w:pStyle w:val="TableParagraph"/>
              <w:rPr>
                <w:rFonts w:ascii="Times New Roman"/>
                <w:sz w:val="18"/>
              </w:rPr>
            </w:pPr>
          </w:p>
        </w:tc>
        <w:tc>
          <w:tcPr>
            <w:tcW w:w="1550" w:type="dxa"/>
            <w:vMerge w:val="restart"/>
          </w:tcPr>
          <w:p>
            <w:pPr>
              <w:pStyle w:val="TableParagraph"/>
              <w:rPr>
                <w:rFonts w:ascii="Times New Roman"/>
                <w:sz w:val="18"/>
              </w:rPr>
            </w:pPr>
          </w:p>
        </w:tc>
        <w:tc>
          <w:tcPr>
            <w:tcW w:w="1932" w:type="dxa"/>
            <w:tcBorders>
              <w:bottom w:val="nil"/>
            </w:tcBorders>
          </w:tcPr>
          <w:p>
            <w:pPr>
              <w:pStyle w:val="TableParagraph"/>
              <w:ind w:left="109"/>
              <w:rPr>
                <w:sz w:val="18"/>
              </w:rPr>
            </w:pPr>
            <w:r>
              <w:rPr>
                <w:sz w:val="18"/>
              </w:rPr>
              <w:t>1.2.2</w:t>
            </w:r>
            <w:r>
              <w:rPr>
                <w:spacing w:val="80"/>
                <w:sz w:val="18"/>
              </w:rPr>
              <w:t> </w:t>
            </w:r>
            <w:r>
              <w:rPr>
                <w:sz w:val="18"/>
              </w:rPr>
              <w:t>By the end of 2018,</w:t>
            </w:r>
            <w:r>
              <w:rPr>
                <w:spacing w:val="-11"/>
                <w:sz w:val="18"/>
              </w:rPr>
              <w:t> </w:t>
            </w:r>
            <w:r>
              <w:rPr>
                <w:sz w:val="18"/>
              </w:rPr>
              <w:t>Child</w:t>
            </w:r>
            <w:r>
              <w:rPr>
                <w:spacing w:val="-10"/>
                <w:sz w:val="18"/>
              </w:rPr>
              <w:t> </w:t>
            </w:r>
            <w:r>
              <w:rPr>
                <w:sz w:val="18"/>
              </w:rPr>
              <w:t>Protection</w:t>
            </w:r>
          </w:p>
          <w:p>
            <w:pPr>
              <w:pStyle w:val="TableParagraph"/>
              <w:spacing w:line="212" w:lineRule="exact"/>
              <w:ind w:left="109"/>
              <w:rPr>
                <w:sz w:val="18"/>
              </w:rPr>
            </w:pPr>
            <w:r>
              <w:rPr>
                <w:sz w:val="18"/>
              </w:rPr>
              <w:t>Policy</w:t>
            </w:r>
            <w:r>
              <w:rPr>
                <w:spacing w:val="-4"/>
                <w:sz w:val="18"/>
              </w:rPr>
              <w:t> </w:t>
            </w:r>
            <w:r>
              <w:rPr>
                <w:sz w:val="18"/>
              </w:rPr>
              <w:t>consulted</w:t>
            </w:r>
            <w:r>
              <w:rPr>
                <w:spacing w:val="-4"/>
                <w:sz w:val="18"/>
              </w:rPr>
              <w:t> </w:t>
            </w:r>
            <w:r>
              <w:rPr>
                <w:spacing w:val="-5"/>
                <w:sz w:val="18"/>
              </w:rPr>
              <w:t>on</w:t>
            </w:r>
          </w:p>
        </w:tc>
        <w:tc>
          <w:tcPr>
            <w:tcW w:w="1982" w:type="dxa"/>
            <w:tcBorders>
              <w:bottom w:val="nil"/>
            </w:tcBorders>
          </w:tcPr>
          <w:p>
            <w:pPr>
              <w:pStyle w:val="TableParagraph"/>
              <w:ind w:left="109" w:right="617" w:firstLine="36"/>
              <w:rPr>
                <w:sz w:val="18"/>
              </w:rPr>
            </w:pPr>
            <w:r>
              <w:rPr>
                <w:sz w:val="18"/>
              </w:rPr>
              <w:t>A quality Child Protection</w:t>
            </w:r>
            <w:r>
              <w:rPr>
                <w:spacing w:val="-11"/>
                <w:sz w:val="18"/>
              </w:rPr>
              <w:t> </w:t>
            </w:r>
            <w:r>
              <w:rPr>
                <w:sz w:val="18"/>
              </w:rPr>
              <w:t>Policy</w:t>
            </w:r>
          </w:p>
          <w:p>
            <w:pPr>
              <w:pStyle w:val="TableParagraph"/>
              <w:spacing w:line="212" w:lineRule="exact"/>
              <w:ind w:left="109"/>
              <w:rPr>
                <w:sz w:val="18"/>
              </w:rPr>
            </w:pPr>
            <w:r>
              <w:rPr>
                <w:sz w:val="18"/>
              </w:rPr>
              <w:t>consulted</w:t>
            </w:r>
            <w:r>
              <w:rPr>
                <w:spacing w:val="-4"/>
                <w:sz w:val="18"/>
              </w:rPr>
              <w:t> </w:t>
            </w:r>
            <w:r>
              <w:rPr>
                <w:sz w:val="18"/>
              </w:rPr>
              <w:t>with</w:t>
            </w:r>
            <w:r>
              <w:rPr>
                <w:spacing w:val="-4"/>
                <w:sz w:val="18"/>
              </w:rPr>
              <w:t> </w:t>
            </w:r>
            <w:r>
              <w:rPr>
                <w:spacing w:val="-2"/>
                <w:sz w:val="18"/>
              </w:rPr>
              <w:t>selected</w:t>
            </w:r>
          </w:p>
        </w:tc>
        <w:tc>
          <w:tcPr>
            <w:tcW w:w="1461" w:type="dxa"/>
            <w:tcBorders>
              <w:bottom w:val="nil"/>
            </w:tcBorders>
            <w:shd w:val="clear" w:color="auto" w:fill="FFC000"/>
          </w:tcPr>
          <w:p>
            <w:pPr>
              <w:pStyle w:val="TableParagraph"/>
              <w:spacing w:line="268" w:lineRule="exact"/>
              <w:ind w:left="165"/>
              <w:rPr>
                <w:sz w:val="22"/>
              </w:rPr>
            </w:pPr>
            <w:r>
              <w:rPr>
                <w:sz w:val="22"/>
              </w:rPr>
              <w:t>100%</w:t>
            </w:r>
            <w:r>
              <w:rPr>
                <w:spacing w:val="-4"/>
                <w:sz w:val="22"/>
              </w:rPr>
              <w:t> </w:t>
            </w:r>
            <w:r>
              <w:rPr>
                <w:sz w:val="22"/>
              </w:rPr>
              <w:t>(of</w:t>
            </w:r>
            <w:r>
              <w:rPr>
                <w:spacing w:val="-3"/>
                <w:sz w:val="22"/>
              </w:rPr>
              <w:t> </w:t>
            </w:r>
            <w:r>
              <w:rPr>
                <w:spacing w:val="-5"/>
                <w:sz w:val="22"/>
              </w:rPr>
              <w:t>30)</w:t>
            </w:r>
          </w:p>
          <w:p>
            <w:pPr>
              <w:pStyle w:val="TableParagraph"/>
              <w:spacing w:before="1"/>
              <w:ind w:left="141"/>
              <w:rPr>
                <w:sz w:val="22"/>
              </w:rPr>
            </w:pPr>
            <w:r>
              <w:rPr>
                <w:sz w:val="22"/>
              </w:rPr>
              <w:t>+</w:t>
            </w:r>
            <w:r>
              <w:rPr>
                <w:spacing w:val="-1"/>
                <w:sz w:val="22"/>
              </w:rPr>
              <w:t> </w:t>
            </w:r>
            <w:r>
              <w:rPr>
                <w:sz w:val="22"/>
              </w:rPr>
              <w:t>40%</w:t>
            </w:r>
            <w:r>
              <w:rPr>
                <w:spacing w:val="-3"/>
                <w:sz w:val="22"/>
              </w:rPr>
              <w:t> </w:t>
            </w:r>
            <w:r>
              <w:rPr>
                <w:sz w:val="22"/>
              </w:rPr>
              <w:t>(of</w:t>
            </w:r>
            <w:r>
              <w:rPr>
                <w:spacing w:val="-3"/>
                <w:sz w:val="22"/>
              </w:rPr>
              <w:t> </w:t>
            </w:r>
            <w:r>
              <w:rPr>
                <w:spacing w:val="-5"/>
                <w:sz w:val="22"/>
              </w:rPr>
              <w:t>10)</w:t>
            </w:r>
          </w:p>
        </w:tc>
        <w:tc>
          <w:tcPr>
            <w:tcW w:w="1834" w:type="dxa"/>
            <w:tcBorders>
              <w:bottom w:val="nil"/>
            </w:tcBorders>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38,857</w:t>
            </w:r>
          </w:p>
        </w:tc>
      </w:tr>
      <w:tr>
        <w:trPr>
          <w:trHeight w:val="210"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Borders>
              <w:top w:val="nil"/>
              <w:bottom w:val="nil"/>
            </w:tcBorders>
          </w:tcPr>
          <w:p>
            <w:pPr>
              <w:pStyle w:val="TableParagraph"/>
              <w:spacing w:line="191" w:lineRule="exact"/>
              <w:ind w:left="109"/>
              <w:rPr>
                <w:sz w:val="18"/>
              </w:rPr>
            </w:pPr>
            <w:r>
              <w:rPr>
                <w:sz w:val="18"/>
              </w:rPr>
              <w:t>and</w:t>
            </w:r>
            <w:r>
              <w:rPr>
                <w:spacing w:val="-2"/>
                <w:sz w:val="18"/>
              </w:rPr>
              <w:t> </w:t>
            </w:r>
            <w:r>
              <w:rPr>
                <w:sz w:val="18"/>
              </w:rPr>
              <w:t>revised</w:t>
            </w:r>
            <w:r>
              <w:rPr>
                <w:spacing w:val="-2"/>
                <w:sz w:val="18"/>
              </w:rPr>
              <w:t> </w:t>
            </w:r>
            <w:r>
              <w:rPr>
                <w:sz w:val="18"/>
              </w:rPr>
              <w:t>in</w:t>
            </w:r>
            <w:r>
              <w:rPr>
                <w:spacing w:val="-2"/>
                <w:sz w:val="18"/>
              </w:rPr>
              <w:t> </w:t>
            </w:r>
            <w:r>
              <w:rPr>
                <w:sz w:val="18"/>
              </w:rPr>
              <w:t>light</w:t>
            </w:r>
            <w:r>
              <w:rPr>
                <w:spacing w:val="-1"/>
                <w:sz w:val="18"/>
              </w:rPr>
              <w:t> </w:t>
            </w:r>
            <w:r>
              <w:rPr>
                <w:spacing w:val="-5"/>
                <w:sz w:val="18"/>
              </w:rPr>
              <w:t>of</w:t>
            </w:r>
          </w:p>
        </w:tc>
        <w:tc>
          <w:tcPr>
            <w:tcW w:w="1982" w:type="dxa"/>
            <w:tcBorders>
              <w:top w:val="nil"/>
              <w:bottom w:val="nil"/>
            </w:tcBorders>
          </w:tcPr>
          <w:p>
            <w:pPr>
              <w:pStyle w:val="TableParagraph"/>
              <w:spacing w:line="191" w:lineRule="exact"/>
              <w:ind w:left="109"/>
              <w:rPr>
                <w:sz w:val="18"/>
              </w:rPr>
            </w:pPr>
            <w:r>
              <w:rPr>
                <w:sz w:val="18"/>
              </w:rPr>
              <w:t>EAs</w:t>
            </w:r>
            <w:r>
              <w:rPr>
                <w:spacing w:val="-3"/>
                <w:sz w:val="18"/>
              </w:rPr>
              <w:t> </w:t>
            </w:r>
            <w:r>
              <w:rPr>
                <w:sz w:val="18"/>
              </w:rPr>
              <w:t>and</w:t>
            </w:r>
            <w:r>
              <w:rPr>
                <w:spacing w:val="-3"/>
                <w:sz w:val="18"/>
              </w:rPr>
              <w:t> </w:t>
            </w:r>
            <w:r>
              <w:rPr>
                <w:sz w:val="18"/>
              </w:rPr>
              <w:t>schools</w:t>
            </w:r>
            <w:r>
              <w:rPr>
                <w:spacing w:val="-3"/>
                <w:sz w:val="18"/>
              </w:rPr>
              <w:t> </w:t>
            </w:r>
            <w:r>
              <w:rPr>
                <w:spacing w:val="-2"/>
                <w:sz w:val="18"/>
              </w:rPr>
              <w:t>(30%)</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9"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Borders>
              <w:top w:val="nil"/>
              <w:bottom w:val="nil"/>
            </w:tcBorders>
          </w:tcPr>
          <w:p>
            <w:pPr>
              <w:pStyle w:val="TableParagraph"/>
              <w:spacing w:line="190" w:lineRule="exact"/>
              <w:ind w:left="109"/>
              <w:rPr>
                <w:sz w:val="18"/>
              </w:rPr>
            </w:pPr>
            <w:r>
              <w:rPr>
                <w:spacing w:val="-2"/>
                <w:sz w:val="18"/>
              </w:rPr>
              <w:t>consultations</w:t>
            </w:r>
          </w:p>
        </w:tc>
        <w:tc>
          <w:tcPr>
            <w:tcW w:w="1982" w:type="dxa"/>
            <w:tcBorders>
              <w:top w:val="nil"/>
              <w:bottom w:val="nil"/>
            </w:tcBorders>
          </w:tcPr>
          <w:p>
            <w:pPr>
              <w:pStyle w:val="TableParagraph"/>
              <w:spacing w:line="190" w:lineRule="exact"/>
              <w:ind w:left="109"/>
              <w:rPr>
                <w:sz w:val="18"/>
              </w:rPr>
            </w:pPr>
            <w:r>
              <w:rPr>
                <w:sz w:val="18"/>
              </w:rPr>
              <w:t>and</w:t>
            </w:r>
            <w:r>
              <w:rPr>
                <w:spacing w:val="-4"/>
                <w:sz w:val="18"/>
              </w:rPr>
              <w:t> </w:t>
            </w:r>
            <w:r>
              <w:rPr>
                <w:sz w:val="18"/>
              </w:rPr>
              <w:t>revisions</w:t>
            </w:r>
            <w:r>
              <w:rPr>
                <w:spacing w:val="-3"/>
                <w:sz w:val="18"/>
              </w:rPr>
              <w:t> </w:t>
            </w:r>
            <w:r>
              <w:rPr>
                <w:spacing w:val="-4"/>
                <w:sz w:val="18"/>
              </w:rPr>
              <w:t>made</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9"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Borders>
              <w:top w:val="nil"/>
              <w:bottom w:val="nil"/>
            </w:tcBorders>
          </w:tcPr>
          <w:p>
            <w:pPr>
              <w:pStyle w:val="TableParagraph"/>
              <w:rPr>
                <w:rFonts w:ascii="Times New Roman"/>
                <w:sz w:val="14"/>
              </w:rPr>
            </w:pPr>
          </w:p>
        </w:tc>
        <w:tc>
          <w:tcPr>
            <w:tcW w:w="1982" w:type="dxa"/>
            <w:tcBorders>
              <w:top w:val="nil"/>
              <w:bottom w:val="nil"/>
            </w:tcBorders>
          </w:tcPr>
          <w:p>
            <w:pPr>
              <w:pStyle w:val="TableParagraph"/>
              <w:spacing w:line="190" w:lineRule="exact"/>
              <w:ind w:left="109"/>
              <w:rPr>
                <w:sz w:val="18"/>
              </w:rPr>
            </w:pPr>
            <w:r>
              <w:rPr>
                <w:sz w:val="18"/>
              </w:rPr>
              <w:t>based</w:t>
            </w:r>
            <w:r>
              <w:rPr>
                <w:spacing w:val="-2"/>
                <w:sz w:val="18"/>
              </w:rPr>
              <w:t> </w:t>
            </w:r>
            <w:r>
              <w:rPr>
                <w:sz w:val="18"/>
              </w:rPr>
              <w:t>on</w:t>
            </w:r>
            <w:r>
              <w:rPr>
                <w:spacing w:val="-2"/>
                <w:sz w:val="18"/>
              </w:rPr>
              <w:t> consultations</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198"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Borders>
              <w:top w:val="nil"/>
            </w:tcBorders>
          </w:tcPr>
          <w:p>
            <w:pPr>
              <w:pStyle w:val="TableParagraph"/>
              <w:rPr>
                <w:rFonts w:ascii="Times New Roman"/>
                <w:sz w:val="12"/>
              </w:rPr>
            </w:pPr>
          </w:p>
        </w:tc>
        <w:tc>
          <w:tcPr>
            <w:tcW w:w="1982" w:type="dxa"/>
            <w:tcBorders>
              <w:top w:val="nil"/>
            </w:tcBorders>
          </w:tcPr>
          <w:p>
            <w:pPr>
              <w:pStyle w:val="TableParagraph"/>
              <w:spacing w:line="178" w:lineRule="exact"/>
              <w:ind w:left="109"/>
              <w:rPr>
                <w:sz w:val="18"/>
              </w:rPr>
            </w:pPr>
            <w:r>
              <w:rPr>
                <w:spacing w:val="-2"/>
                <w:sz w:val="18"/>
              </w:rPr>
              <w:t>(10%)</w:t>
            </w:r>
          </w:p>
        </w:tc>
        <w:tc>
          <w:tcPr>
            <w:tcW w:w="1461" w:type="dxa"/>
            <w:tcBorders>
              <w:top w:val="nil"/>
            </w:tcBorders>
            <w:shd w:val="clear" w:color="auto" w:fill="FFC000"/>
          </w:tcPr>
          <w:p>
            <w:pPr>
              <w:pStyle w:val="TableParagraph"/>
              <w:rPr>
                <w:rFonts w:ascii="Times New Roman"/>
                <w:sz w:val="12"/>
              </w:rPr>
            </w:pPr>
          </w:p>
        </w:tc>
        <w:tc>
          <w:tcPr>
            <w:tcW w:w="1834" w:type="dxa"/>
            <w:tcBorders>
              <w:top w:val="nil"/>
            </w:tcBorders>
          </w:tcPr>
          <w:p>
            <w:pPr>
              <w:pStyle w:val="TableParagraph"/>
              <w:rPr>
                <w:rFonts w:ascii="Times New Roman"/>
                <w:sz w:val="12"/>
              </w:rPr>
            </w:pPr>
          </w:p>
        </w:tc>
      </w:tr>
      <w:tr>
        <w:trPr>
          <w:trHeight w:val="455" w:hRule="atLeast"/>
        </w:trPr>
        <w:tc>
          <w:tcPr>
            <w:tcW w:w="2009" w:type="dxa"/>
            <w:tcBorders>
              <w:bottom w:val="nil"/>
            </w:tcBorders>
          </w:tcPr>
          <w:p>
            <w:pPr>
              <w:pStyle w:val="TableParagraph"/>
              <w:tabs>
                <w:tab w:pos="1455" w:val="left" w:leader="none"/>
              </w:tabs>
              <w:spacing w:line="219" w:lineRule="exact"/>
              <w:ind w:left="107"/>
              <w:rPr>
                <w:b/>
                <w:sz w:val="18"/>
              </w:rPr>
            </w:pPr>
            <w:r>
              <w:rPr>
                <w:b/>
                <w:spacing w:val="-2"/>
                <w:sz w:val="18"/>
              </w:rPr>
              <w:t>QUALITY</w:t>
            </w:r>
            <w:r>
              <w:rPr>
                <w:b/>
                <w:sz w:val="18"/>
              </w:rPr>
              <w:tab/>
            </w:r>
            <w:r>
              <w:rPr>
                <w:b/>
                <w:spacing w:val="-2"/>
                <w:sz w:val="18"/>
              </w:rPr>
              <w:t>IO2.1</w:t>
            </w:r>
          </w:p>
          <w:p>
            <w:pPr>
              <w:pStyle w:val="TableParagraph"/>
              <w:spacing w:line="216" w:lineRule="exact" w:before="1"/>
              <w:ind w:left="107"/>
              <w:rPr>
                <w:b/>
                <w:sz w:val="18"/>
              </w:rPr>
            </w:pPr>
            <w:r>
              <w:rPr>
                <w:b/>
                <w:sz w:val="18"/>
              </w:rPr>
              <w:t>(11&amp;</w:t>
            </w:r>
            <w:r>
              <w:rPr>
                <w:b/>
                <w:spacing w:val="-1"/>
                <w:sz w:val="18"/>
              </w:rPr>
              <w:t> </w:t>
            </w:r>
            <w:r>
              <w:rPr>
                <w:b/>
                <w:spacing w:val="-5"/>
                <w:sz w:val="18"/>
              </w:rPr>
              <w:t>13)</w:t>
            </w:r>
          </w:p>
        </w:tc>
        <w:tc>
          <w:tcPr>
            <w:tcW w:w="1550" w:type="dxa"/>
            <w:tcBorders>
              <w:bottom w:val="nil"/>
            </w:tcBorders>
          </w:tcPr>
          <w:p>
            <w:pPr>
              <w:pStyle w:val="TableParagraph"/>
              <w:spacing w:line="219" w:lineRule="exact"/>
              <w:ind w:left="108"/>
              <w:rPr>
                <w:b/>
                <w:sz w:val="18"/>
              </w:rPr>
            </w:pPr>
            <w:r>
              <w:rPr>
                <w:b/>
                <w:sz w:val="18"/>
              </w:rPr>
              <w:t>2.1 </w:t>
            </w:r>
            <w:r>
              <w:rPr>
                <w:b/>
                <w:spacing w:val="-4"/>
                <w:sz w:val="18"/>
              </w:rPr>
              <w:t>More</w:t>
            </w:r>
          </w:p>
          <w:p>
            <w:pPr>
              <w:pStyle w:val="TableParagraph"/>
              <w:spacing w:line="216" w:lineRule="exact" w:before="1"/>
              <w:ind w:left="108"/>
              <w:rPr>
                <w:b/>
                <w:sz w:val="18"/>
              </w:rPr>
            </w:pPr>
            <w:r>
              <w:rPr>
                <w:b/>
                <w:sz w:val="18"/>
              </w:rPr>
              <w:t>teachers</w:t>
            </w:r>
            <w:r>
              <w:rPr>
                <w:b/>
                <w:spacing w:val="-4"/>
                <w:sz w:val="18"/>
              </w:rPr>
              <w:t> </w:t>
            </w:r>
            <w:r>
              <w:rPr>
                <w:b/>
                <w:spacing w:val="-2"/>
                <w:sz w:val="18"/>
              </w:rPr>
              <w:t>using</w:t>
            </w:r>
          </w:p>
        </w:tc>
        <w:tc>
          <w:tcPr>
            <w:tcW w:w="1932" w:type="dxa"/>
            <w:tcBorders>
              <w:bottom w:val="nil"/>
            </w:tcBorders>
          </w:tcPr>
          <w:p>
            <w:pPr>
              <w:pStyle w:val="TableParagraph"/>
              <w:spacing w:line="219" w:lineRule="exact"/>
              <w:ind w:left="109"/>
              <w:rPr>
                <w:sz w:val="18"/>
              </w:rPr>
            </w:pPr>
            <w:r>
              <w:rPr>
                <w:sz w:val="18"/>
              </w:rPr>
              <w:t>2.1.1</w:t>
            </w:r>
            <w:r>
              <w:rPr>
                <w:spacing w:val="39"/>
                <w:sz w:val="18"/>
              </w:rPr>
              <w:t> </w:t>
            </w:r>
            <w:r>
              <w:rPr>
                <w:sz w:val="18"/>
              </w:rPr>
              <w:t>By</w:t>
            </w:r>
            <w:r>
              <w:rPr>
                <w:spacing w:val="-1"/>
                <w:sz w:val="18"/>
              </w:rPr>
              <w:t> </w:t>
            </w:r>
            <w:r>
              <w:rPr>
                <w:sz w:val="18"/>
              </w:rPr>
              <w:t>the</w:t>
            </w:r>
            <w:r>
              <w:rPr>
                <w:spacing w:val="-2"/>
                <w:sz w:val="18"/>
              </w:rPr>
              <w:t> </w:t>
            </w:r>
            <w:r>
              <w:rPr>
                <w:sz w:val="18"/>
              </w:rPr>
              <w:t>end</w:t>
            </w:r>
            <w:r>
              <w:rPr>
                <w:spacing w:val="-2"/>
                <w:sz w:val="18"/>
              </w:rPr>
              <w:t> </w:t>
            </w:r>
            <w:r>
              <w:rPr>
                <w:spacing w:val="-5"/>
                <w:sz w:val="18"/>
              </w:rPr>
              <w:t>of</w:t>
            </w:r>
          </w:p>
          <w:p>
            <w:pPr>
              <w:pStyle w:val="TableParagraph"/>
              <w:spacing w:line="216" w:lineRule="exact" w:before="1"/>
              <w:ind w:left="109"/>
              <w:rPr>
                <w:sz w:val="18"/>
              </w:rPr>
            </w:pPr>
            <w:r>
              <w:rPr>
                <w:sz w:val="18"/>
              </w:rPr>
              <w:t>2018,</w:t>
            </w:r>
            <w:r>
              <w:rPr>
                <w:spacing w:val="-1"/>
                <w:sz w:val="18"/>
              </w:rPr>
              <w:t> </w:t>
            </w:r>
            <w:r>
              <w:rPr>
                <w:sz w:val="18"/>
              </w:rPr>
              <w:t>PPY</w:t>
            </w:r>
            <w:r>
              <w:rPr>
                <w:spacing w:val="-1"/>
                <w:sz w:val="18"/>
              </w:rPr>
              <w:t> </w:t>
            </w:r>
            <w:r>
              <w:rPr>
                <w:sz w:val="18"/>
              </w:rPr>
              <w:t>Pilot </w:t>
            </w:r>
            <w:r>
              <w:rPr>
                <w:spacing w:val="-5"/>
                <w:sz w:val="18"/>
              </w:rPr>
              <w:t>in</w:t>
            </w:r>
          </w:p>
        </w:tc>
        <w:tc>
          <w:tcPr>
            <w:tcW w:w="1982" w:type="dxa"/>
            <w:tcBorders>
              <w:bottom w:val="nil"/>
            </w:tcBorders>
          </w:tcPr>
          <w:p>
            <w:pPr>
              <w:pStyle w:val="TableParagraph"/>
              <w:spacing w:line="219" w:lineRule="exact"/>
              <w:ind w:left="109"/>
              <w:rPr>
                <w:sz w:val="18"/>
              </w:rPr>
            </w:pPr>
            <w:r>
              <w:rPr>
                <w:sz w:val="18"/>
              </w:rPr>
              <w:t>PPY</w:t>
            </w:r>
            <w:r>
              <w:rPr>
                <w:spacing w:val="-3"/>
                <w:sz w:val="18"/>
              </w:rPr>
              <w:t> </w:t>
            </w:r>
            <w:r>
              <w:rPr>
                <w:sz w:val="18"/>
              </w:rPr>
              <w:t>Monitoring</w:t>
            </w:r>
            <w:r>
              <w:rPr>
                <w:spacing w:val="-3"/>
                <w:sz w:val="18"/>
              </w:rPr>
              <w:t> </w:t>
            </w:r>
            <w:r>
              <w:rPr>
                <w:spacing w:val="-2"/>
                <w:sz w:val="18"/>
              </w:rPr>
              <w:t>Report</w:t>
            </w:r>
          </w:p>
          <w:p>
            <w:pPr>
              <w:pStyle w:val="TableParagraph"/>
              <w:spacing w:line="216" w:lineRule="exact" w:before="1"/>
              <w:ind w:left="109"/>
              <w:rPr>
                <w:sz w:val="18"/>
              </w:rPr>
            </w:pPr>
            <w:r>
              <w:rPr>
                <w:sz w:val="18"/>
              </w:rPr>
              <w:t>received</w:t>
            </w:r>
            <w:r>
              <w:rPr>
                <w:spacing w:val="-2"/>
                <w:sz w:val="18"/>
              </w:rPr>
              <w:t> </w:t>
            </w:r>
            <w:r>
              <w:rPr>
                <w:sz w:val="18"/>
              </w:rPr>
              <w:t>by</w:t>
            </w:r>
            <w:r>
              <w:rPr>
                <w:spacing w:val="-2"/>
                <w:sz w:val="18"/>
              </w:rPr>
              <w:t> </w:t>
            </w:r>
            <w:r>
              <w:rPr>
                <w:sz w:val="18"/>
              </w:rPr>
              <w:t>MEHRD</w:t>
            </w:r>
            <w:r>
              <w:rPr>
                <w:spacing w:val="-2"/>
                <w:sz w:val="18"/>
              </w:rPr>
              <w:t> </w:t>
            </w:r>
            <w:r>
              <w:rPr>
                <w:spacing w:val="-5"/>
                <w:sz w:val="18"/>
              </w:rPr>
              <w:t>and</w:t>
            </w:r>
          </w:p>
        </w:tc>
        <w:tc>
          <w:tcPr>
            <w:tcW w:w="1461" w:type="dxa"/>
            <w:tcBorders>
              <w:bottom w:val="nil"/>
            </w:tcBorders>
            <w:shd w:val="clear" w:color="auto" w:fill="A9D08E"/>
          </w:tcPr>
          <w:p>
            <w:pPr>
              <w:pStyle w:val="TableParagraph"/>
              <w:spacing w:line="268" w:lineRule="exact"/>
              <w:ind w:left="156" w:right="146"/>
              <w:jc w:val="center"/>
              <w:rPr>
                <w:sz w:val="22"/>
              </w:rPr>
            </w:pPr>
            <w:r>
              <w:rPr>
                <w:sz w:val="22"/>
              </w:rPr>
              <w:t>100%</w:t>
            </w:r>
            <w:r>
              <w:rPr>
                <w:spacing w:val="-4"/>
                <w:sz w:val="22"/>
              </w:rPr>
              <w:t> </w:t>
            </w:r>
            <w:r>
              <w:rPr>
                <w:sz w:val="22"/>
              </w:rPr>
              <w:t>(of</w:t>
            </w:r>
            <w:r>
              <w:rPr>
                <w:spacing w:val="-3"/>
                <w:sz w:val="22"/>
              </w:rPr>
              <w:t> </w:t>
            </w:r>
            <w:r>
              <w:rPr>
                <w:spacing w:val="-5"/>
                <w:sz w:val="22"/>
              </w:rPr>
              <w:t>35)</w:t>
            </w:r>
          </w:p>
        </w:tc>
        <w:tc>
          <w:tcPr>
            <w:tcW w:w="1834" w:type="dxa"/>
            <w:tcBorders>
              <w:bottom w:val="nil"/>
            </w:tcBorders>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40,000</w:t>
            </w: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200" w:lineRule="exact"/>
              <w:ind w:left="108"/>
              <w:rPr>
                <w:b/>
                <w:sz w:val="18"/>
              </w:rPr>
            </w:pPr>
            <w:r>
              <w:rPr>
                <w:b/>
                <w:sz w:val="18"/>
              </w:rPr>
              <w:t>new</w:t>
            </w:r>
            <w:r>
              <w:rPr>
                <w:b/>
                <w:spacing w:val="-2"/>
                <w:sz w:val="18"/>
              </w:rPr>
              <w:t> improved</w:t>
            </w:r>
          </w:p>
        </w:tc>
        <w:tc>
          <w:tcPr>
            <w:tcW w:w="1932" w:type="dxa"/>
            <w:tcBorders>
              <w:top w:val="nil"/>
              <w:bottom w:val="nil"/>
            </w:tcBorders>
          </w:tcPr>
          <w:p>
            <w:pPr>
              <w:pStyle w:val="TableParagraph"/>
              <w:spacing w:line="200" w:lineRule="exact"/>
              <w:ind w:left="109"/>
              <w:rPr>
                <w:sz w:val="18"/>
              </w:rPr>
            </w:pPr>
            <w:r>
              <w:rPr>
                <w:sz w:val="18"/>
              </w:rPr>
              <w:t>Honiara,</w:t>
            </w:r>
            <w:r>
              <w:rPr>
                <w:spacing w:val="-4"/>
                <w:sz w:val="18"/>
              </w:rPr>
              <w:t> </w:t>
            </w:r>
            <w:r>
              <w:rPr>
                <w:spacing w:val="-2"/>
                <w:sz w:val="18"/>
              </w:rPr>
              <w:t>Guadalcanal</w:t>
            </w:r>
          </w:p>
        </w:tc>
        <w:tc>
          <w:tcPr>
            <w:tcW w:w="1982" w:type="dxa"/>
            <w:tcBorders>
              <w:top w:val="nil"/>
              <w:bottom w:val="nil"/>
            </w:tcBorders>
          </w:tcPr>
          <w:p>
            <w:pPr>
              <w:pStyle w:val="TableParagraph"/>
              <w:spacing w:line="200" w:lineRule="exact"/>
              <w:ind w:left="109"/>
              <w:rPr>
                <w:sz w:val="18"/>
              </w:rPr>
            </w:pPr>
            <w:r>
              <w:rPr>
                <w:sz w:val="18"/>
              </w:rPr>
              <w:t>UNICEF</w:t>
            </w:r>
            <w:r>
              <w:rPr>
                <w:spacing w:val="-5"/>
                <w:sz w:val="18"/>
              </w:rPr>
              <w:t> </w:t>
            </w:r>
            <w:r>
              <w:rPr>
                <w:spacing w:val="-2"/>
                <w:sz w:val="18"/>
              </w:rPr>
              <w:t>(35%)</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84" w:hRule="atLeast"/>
        </w:trPr>
        <w:tc>
          <w:tcPr>
            <w:tcW w:w="2009" w:type="dxa"/>
            <w:tcBorders>
              <w:top w:val="nil"/>
              <w:bottom w:val="nil"/>
            </w:tcBorders>
          </w:tcPr>
          <w:p>
            <w:pPr>
              <w:pStyle w:val="TableParagraph"/>
              <w:rPr>
                <w:rFonts w:ascii="Times New Roman"/>
                <w:sz w:val="18"/>
              </w:rPr>
            </w:pPr>
          </w:p>
        </w:tc>
        <w:tc>
          <w:tcPr>
            <w:tcW w:w="1550" w:type="dxa"/>
            <w:tcBorders>
              <w:top w:val="nil"/>
              <w:bottom w:val="nil"/>
            </w:tcBorders>
          </w:tcPr>
          <w:p>
            <w:pPr>
              <w:pStyle w:val="TableParagraph"/>
              <w:spacing w:line="204" w:lineRule="exact"/>
              <w:ind w:left="108"/>
              <w:rPr>
                <w:b/>
                <w:sz w:val="18"/>
              </w:rPr>
            </w:pPr>
            <w:r>
              <w:rPr>
                <w:b/>
                <w:spacing w:val="-2"/>
                <w:sz w:val="18"/>
              </w:rPr>
              <w:t>curriculum</w:t>
            </w:r>
          </w:p>
        </w:tc>
        <w:tc>
          <w:tcPr>
            <w:tcW w:w="1932" w:type="dxa"/>
            <w:tcBorders>
              <w:top w:val="nil"/>
            </w:tcBorders>
          </w:tcPr>
          <w:p>
            <w:pPr>
              <w:pStyle w:val="TableParagraph"/>
              <w:spacing w:line="204" w:lineRule="exact"/>
              <w:ind w:left="109"/>
              <w:rPr>
                <w:sz w:val="18"/>
              </w:rPr>
            </w:pPr>
            <w:r>
              <w:rPr>
                <w:sz w:val="18"/>
              </w:rPr>
              <w:t>and</w:t>
            </w:r>
            <w:r>
              <w:rPr>
                <w:spacing w:val="-2"/>
                <w:sz w:val="18"/>
              </w:rPr>
              <w:t> Malaita</w:t>
            </w:r>
          </w:p>
        </w:tc>
        <w:tc>
          <w:tcPr>
            <w:tcW w:w="1982" w:type="dxa"/>
            <w:tcBorders>
              <w:top w:val="nil"/>
            </w:tcBorders>
          </w:tcPr>
          <w:p>
            <w:pPr>
              <w:pStyle w:val="TableParagraph"/>
              <w:rPr>
                <w:rFonts w:ascii="Times New Roman"/>
                <w:sz w:val="18"/>
              </w:rPr>
            </w:pPr>
          </w:p>
        </w:tc>
        <w:tc>
          <w:tcPr>
            <w:tcW w:w="1461" w:type="dxa"/>
            <w:tcBorders>
              <w:top w:val="nil"/>
            </w:tcBorders>
            <w:shd w:val="clear" w:color="auto" w:fill="A9D08E"/>
          </w:tcPr>
          <w:p>
            <w:pPr>
              <w:pStyle w:val="TableParagraph"/>
              <w:rPr>
                <w:rFonts w:ascii="Times New Roman"/>
                <w:sz w:val="18"/>
              </w:rPr>
            </w:pPr>
          </w:p>
        </w:tc>
        <w:tc>
          <w:tcPr>
            <w:tcW w:w="1834" w:type="dxa"/>
            <w:tcBorders>
              <w:top w:val="nil"/>
            </w:tcBorders>
          </w:tcPr>
          <w:p>
            <w:pPr>
              <w:pStyle w:val="TableParagraph"/>
              <w:rPr>
                <w:rFonts w:ascii="Times New Roman"/>
                <w:sz w:val="18"/>
              </w:rPr>
            </w:pPr>
          </w:p>
        </w:tc>
      </w:tr>
    </w:tbl>
    <w:p>
      <w:pPr>
        <w:spacing w:after="0"/>
        <w:rPr>
          <w:rFonts w:ascii="Times New Roman"/>
          <w:sz w:val="18"/>
        </w:rPr>
        <w:sectPr>
          <w:pgSz w:w="16850" w:h="11900" w:orient="landscape"/>
          <w:pgMar w:header="867" w:footer="830" w:top="1380" w:bottom="1020" w:left="1200" w:right="2420"/>
        </w:sectPr>
      </w:pPr>
    </w:p>
    <w:tbl>
      <w:tblPr>
        <w:tblW w:w="0" w:type="auto"/>
        <w:jc w:val="left"/>
        <w:tblInd w:w="22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09"/>
        <w:gridCol w:w="1550"/>
        <w:gridCol w:w="1932"/>
        <w:gridCol w:w="1982"/>
        <w:gridCol w:w="1461"/>
        <w:gridCol w:w="1834"/>
      </w:tblGrid>
      <w:tr>
        <w:trPr>
          <w:trHeight w:val="961" w:hRule="atLeast"/>
        </w:trPr>
        <w:tc>
          <w:tcPr>
            <w:tcW w:w="2009" w:type="dxa"/>
            <w:vMerge w:val="restart"/>
            <w:tcBorders>
              <w:top w:val="nil"/>
            </w:tcBorders>
          </w:tcPr>
          <w:p>
            <w:pPr>
              <w:pStyle w:val="TableParagraph"/>
              <w:rPr>
                <w:rFonts w:ascii="Times New Roman"/>
                <w:sz w:val="18"/>
              </w:rPr>
            </w:pPr>
          </w:p>
        </w:tc>
        <w:tc>
          <w:tcPr>
            <w:tcW w:w="1550" w:type="dxa"/>
            <w:vMerge w:val="restart"/>
          </w:tcPr>
          <w:p>
            <w:pPr>
              <w:pStyle w:val="TableParagraph"/>
              <w:rPr>
                <w:rFonts w:ascii="Times New Roman"/>
                <w:sz w:val="18"/>
              </w:rPr>
            </w:pPr>
          </w:p>
        </w:tc>
        <w:tc>
          <w:tcPr>
            <w:tcW w:w="1932" w:type="dxa"/>
            <w:tcBorders>
              <w:top w:val="nil"/>
            </w:tcBorders>
          </w:tcPr>
          <w:p>
            <w:pPr>
              <w:pStyle w:val="TableParagraph"/>
              <w:spacing w:before="3"/>
              <w:ind w:left="109" w:right="703"/>
              <w:rPr>
                <w:sz w:val="18"/>
              </w:rPr>
            </w:pPr>
            <w:r>
              <w:rPr>
                <w:sz w:val="18"/>
              </w:rPr>
              <w:t>completed</w:t>
            </w:r>
            <w:r>
              <w:rPr>
                <w:spacing w:val="-11"/>
                <w:sz w:val="18"/>
              </w:rPr>
              <w:t> </w:t>
            </w:r>
            <w:r>
              <w:rPr>
                <w:sz w:val="18"/>
              </w:rPr>
              <w:t>and </w:t>
            </w:r>
            <w:r>
              <w:rPr>
                <w:spacing w:val="-2"/>
                <w:sz w:val="18"/>
              </w:rPr>
              <w:t>evaluated</w:t>
            </w:r>
          </w:p>
        </w:tc>
        <w:tc>
          <w:tcPr>
            <w:tcW w:w="1982" w:type="dxa"/>
            <w:tcBorders>
              <w:top w:val="nil"/>
            </w:tcBorders>
          </w:tcPr>
          <w:p>
            <w:pPr>
              <w:pStyle w:val="TableParagraph"/>
              <w:rPr>
                <w:rFonts w:ascii="Times New Roman"/>
                <w:sz w:val="18"/>
              </w:rPr>
            </w:pPr>
          </w:p>
        </w:tc>
        <w:tc>
          <w:tcPr>
            <w:tcW w:w="1461" w:type="dxa"/>
            <w:tcBorders>
              <w:top w:val="nil"/>
            </w:tcBorders>
            <w:shd w:val="clear" w:color="auto" w:fill="A9D08E"/>
          </w:tcPr>
          <w:p>
            <w:pPr>
              <w:pStyle w:val="TableParagraph"/>
              <w:rPr>
                <w:rFonts w:ascii="Times New Roman"/>
                <w:sz w:val="18"/>
              </w:rPr>
            </w:pPr>
          </w:p>
        </w:tc>
        <w:tc>
          <w:tcPr>
            <w:tcW w:w="1834" w:type="dxa"/>
            <w:tcBorders>
              <w:top w:val="nil"/>
            </w:tcBorders>
          </w:tcPr>
          <w:p>
            <w:pPr>
              <w:pStyle w:val="TableParagraph"/>
              <w:rPr>
                <w:rFonts w:ascii="Times New Roman"/>
                <w:sz w:val="18"/>
              </w:rPr>
            </w:pPr>
          </w:p>
        </w:tc>
      </w:tr>
      <w:tr>
        <w:trPr>
          <w:trHeight w:val="1317"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Pr>
          <w:p>
            <w:pPr>
              <w:pStyle w:val="TableParagraph"/>
              <w:spacing w:before="1"/>
              <w:ind w:left="109" w:right="77"/>
              <w:rPr>
                <w:sz w:val="18"/>
              </w:rPr>
            </w:pPr>
            <w:r>
              <w:rPr>
                <w:sz w:val="18"/>
              </w:rPr>
              <w:t>2.1.2</w:t>
            </w:r>
            <w:r>
              <w:rPr>
                <w:spacing w:val="28"/>
                <w:sz w:val="18"/>
              </w:rPr>
              <w:t> </w:t>
            </w:r>
            <w:r>
              <w:rPr>
                <w:sz w:val="18"/>
              </w:rPr>
              <w:t>By</w:t>
            </w:r>
            <w:r>
              <w:rPr>
                <w:spacing w:val="-7"/>
                <w:sz w:val="18"/>
              </w:rPr>
              <w:t> </w:t>
            </w:r>
            <w:r>
              <w:rPr>
                <w:sz w:val="18"/>
              </w:rPr>
              <w:t>the</w:t>
            </w:r>
            <w:r>
              <w:rPr>
                <w:spacing w:val="-8"/>
                <w:sz w:val="18"/>
              </w:rPr>
              <w:t> </w:t>
            </w:r>
            <w:r>
              <w:rPr>
                <w:sz w:val="18"/>
              </w:rPr>
              <w:t>end</w:t>
            </w:r>
            <w:r>
              <w:rPr>
                <w:spacing w:val="-8"/>
                <w:sz w:val="18"/>
              </w:rPr>
              <w:t> </w:t>
            </w:r>
            <w:r>
              <w:rPr>
                <w:sz w:val="18"/>
              </w:rPr>
              <w:t>of 2018, Cognition contract</w:t>
            </w:r>
            <w:r>
              <w:rPr>
                <w:spacing w:val="-11"/>
                <w:sz w:val="18"/>
              </w:rPr>
              <w:t> </w:t>
            </w:r>
            <w:r>
              <w:rPr>
                <w:sz w:val="18"/>
              </w:rPr>
              <w:t>(as</w:t>
            </w:r>
            <w:r>
              <w:rPr>
                <w:spacing w:val="-10"/>
                <w:sz w:val="18"/>
              </w:rPr>
              <w:t> </w:t>
            </w:r>
            <w:r>
              <w:rPr>
                <w:sz w:val="18"/>
              </w:rPr>
              <w:t>at</w:t>
            </w:r>
            <w:r>
              <w:rPr>
                <w:spacing w:val="-10"/>
                <w:sz w:val="18"/>
              </w:rPr>
              <w:t> </w:t>
            </w:r>
            <w:r>
              <w:rPr>
                <w:sz w:val="18"/>
              </w:rPr>
              <w:t>June 2018) deliverables completed</w:t>
            </w:r>
            <w:r>
              <w:rPr>
                <w:spacing w:val="-2"/>
                <w:sz w:val="18"/>
              </w:rPr>
              <w:t> </w:t>
            </w:r>
            <w:r>
              <w:rPr>
                <w:sz w:val="18"/>
              </w:rPr>
              <w:t>and</w:t>
            </w:r>
          </w:p>
          <w:p>
            <w:pPr>
              <w:pStyle w:val="TableParagraph"/>
              <w:spacing w:line="198" w:lineRule="exact"/>
              <w:ind w:left="109"/>
              <w:rPr>
                <w:sz w:val="18"/>
              </w:rPr>
            </w:pPr>
            <w:r>
              <w:rPr>
                <w:spacing w:val="-2"/>
                <w:sz w:val="18"/>
              </w:rPr>
              <w:t>accepted</w:t>
            </w:r>
          </w:p>
        </w:tc>
        <w:tc>
          <w:tcPr>
            <w:tcW w:w="1982" w:type="dxa"/>
          </w:tcPr>
          <w:p>
            <w:pPr>
              <w:pStyle w:val="TableParagraph"/>
              <w:spacing w:before="1"/>
              <w:ind w:left="109"/>
              <w:rPr>
                <w:sz w:val="18"/>
              </w:rPr>
            </w:pPr>
            <w:r>
              <w:rPr>
                <w:spacing w:val="-2"/>
                <w:sz w:val="18"/>
              </w:rPr>
              <w:t>Cognition </w:t>
            </w:r>
            <w:r>
              <w:rPr>
                <w:spacing w:val="-2"/>
                <w:sz w:val="18"/>
              </w:rPr>
              <w:t>deliverables</w:t>
            </w:r>
            <w:r>
              <w:rPr>
                <w:sz w:val="18"/>
              </w:rPr>
              <w:t> </w:t>
            </w:r>
            <w:r>
              <w:rPr>
                <w:spacing w:val="-2"/>
                <w:sz w:val="18"/>
              </w:rPr>
              <w:t>(65%)</w:t>
            </w:r>
          </w:p>
        </w:tc>
        <w:tc>
          <w:tcPr>
            <w:tcW w:w="1461" w:type="dxa"/>
            <w:shd w:val="clear" w:color="auto" w:fill="A9D08E"/>
          </w:tcPr>
          <w:p>
            <w:pPr>
              <w:pStyle w:val="TableParagraph"/>
              <w:spacing w:line="268" w:lineRule="exact"/>
              <w:ind w:left="156" w:right="146"/>
              <w:jc w:val="center"/>
              <w:rPr>
                <w:sz w:val="22"/>
              </w:rPr>
            </w:pPr>
            <w:r>
              <w:rPr>
                <w:sz w:val="22"/>
              </w:rPr>
              <w:t>100%</w:t>
            </w:r>
            <w:r>
              <w:rPr>
                <w:spacing w:val="-4"/>
                <w:sz w:val="22"/>
              </w:rPr>
              <w:t> </w:t>
            </w:r>
            <w:r>
              <w:rPr>
                <w:sz w:val="22"/>
              </w:rPr>
              <w:t>(of</w:t>
            </w:r>
            <w:r>
              <w:rPr>
                <w:spacing w:val="-3"/>
                <w:sz w:val="22"/>
              </w:rPr>
              <w:t> </w:t>
            </w:r>
            <w:r>
              <w:rPr>
                <w:spacing w:val="-5"/>
                <w:sz w:val="22"/>
              </w:rPr>
              <w:t>65)</w:t>
            </w:r>
          </w:p>
        </w:tc>
        <w:tc>
          <w:tcPr>
            <w:tcW w:w="1834" w:type="dxa"/>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74,286</w:t>
            </w:r>
          </w:p>
        </w:tc>
      </w:tr>
      <w:tr>
        <w:trPr>
          <w:trHeight w:val="460" w:hRule="atLeast"/>
        </w:trPr>
        <w:tc>
          <w:tcPr>
            <w:tcW w:w="2009" w:type="dxa"/>
            <w:tcBorders>
              <w:bottom w:val="nil"/>
            </w:tcBorders>
          </w:tcPr>
          <w:p>
            <w:pPr>
              <w:pStyle w:val="TableParagraph"/>
              <w:rPr>
                <w:rFonts w:ascii="Times New Roman"/>
                <w:sz w:val="18"/>
              </w:rPr>
            </w:pPr>
          </w:p>
        </w:tc>
        <w:tc>
          <w:tcPr>
            <w:tcW w:w="1550" w:type="dxa"/>
            <w:tcBorders>
              <w:bottom w:val="nil"/>
            </w:tcBorders>
          </w:tcPr>
          <w:p>
            <w:pPr>
              <w:pStyle w:val="TableParagraph"/>
              <w:spacing w:line="220" w:lineRule="atLeast"/>
              <w:ind w:left="108" w:right="250"/>
              <w:rPr>
                <w:b/>
                <w:sz w:val="18"/>
              </w:rPr>
            </w:pPr>
            <w:r>
              <w:rPr>
                <w:b/>
                <w:sz w:val="18"/>
              </w:rPr>
              <w:t>2.2 Teachers meeting</w:t>
            </w:r>
            <w:r>
              <w:rPr>
                <w:b/>
                <w:spacing w:val="-11"/>
                <w:sz w:val="18"/>
              </w:rPr>
              <w:t> </w:t>
            </w:r>
            <w:r>
              <w:rPr>
                <w:b/>
                <w:sz w:val="18"/>
              </w:rPr>
              <w:t>agreed</w:t>
            </w:r>
          </w:p>
        </w:tc>
        <w:tc>
          <w:tcPr>
            <w:tcW w:w="1932" w:type="dxa"/>
            <w:tcBorders>
              <w:bottom w:val="nil"/>
            </w:tcBorders>
          </w:tcPr>
          <w:p>
            <w:pPr>
              <w:pStyle w:val="TableParagraph"/>
              <w:spacing w:line="220" w:lineRule="atLeast"/>
              <w:ind w:left="109"/>
              <w:rPr>
                <w:sz w:val="18"/>
              </w:rPr>
            </w:pPr>
            <w:r>
              <w:rPr>
                <w:sz w:val="18"/>
              </w:rPr>
              <w:t>2.2.1</w:t>
            </w:r>
            <w:r>
              <w:rPr>
                <w:spacing w:val="80"/>
                <w:sz w:val="18"/>
              </w:rPr>
              <w:t> </w:t>
            </w:r>
            <w:r>
              <w:rPr>
                <w:sz w:val="18"/>
              </w:rPr>
              <w:t>By the end of 2018,</w:t>
            </w:r>
            <w:r>
              <w:rPr>
                <w:spacing w:val="-11"/>
                <w:sz w:val="18"/>
              </w:rPr>
              <w:t> </w:t>
            </w:r>
            <w:r>
              <w:rPr>
                <w:sz w:val="18"/>
              </w:rPr>
              <w:t>revised</w:t>
            </w:r>
            <w:r>
              <w:rPr>
                <w:spacing w:val="-10"/>
                <w:sz w:val="18"/>
              </w:rPr>
              <w:t> </w:t>
            </w:r>
            <w:r>
              <w:rPr>
                <w:sz w:val="18"/>
              </w:rPr>
              <w:t>National</w:t>
            </w:r>
          </w:p>
        </w:tc>
        <w:tc>
          <w:tcPr>
            <w:tcW w:w="1982" w:type="dxa"/>
            <w:tcBorders>
              <w:bottom w:val="nil"/>
            </w:tcBorders>
          </w:tcPr>
          <w:p>
            <w:pPr>
              <w:pStyle w:val="TableParagraph"/>
              <w:spacing w:line="220" w:lineRule="atLeast"/>
              <w:ind w:left="109"/>
              <w:rPr>
                <w:sz w:val="18"/>
              </w:rPr>
            </w:pPr>
            <w:r>
              <w:rPr>
                <w:sz w:val="18"/>
              </w:rPr>
              <w:t>Revised</w:t>
            </w:r>
            <w:r>
              <w:rPr>
                <w:spacing w:val="-11"/>
                <w:sz w:val="18"/>
              </w:rPr>
              <w:t> </w:t>
            </w:r>
            <w:r>
              <w:rPr>
                <w:sz w:val="18"/>
              </w:rPr>
              <w:t>quality</w:t>
            </w:r>
            <w:r>
              <w:rPr>
                <w:spacing w:val="-10"/>
                <w:sz w:val="18"/>
              </w:rPr>
              <w:t> </w:t>
            </w:r>
            <w:r>
              <w:rPr>
                <w:sz w:val="18"/>
              </w:rPr>
              <w:t>National professional standards</w:t>
            </w:r>
          </w:p>
        </w:tc>
        <w:tc>
          <w:tcPr>
            <w:tcW w:w="1461" w:type="dxa"/>
            <w:tcBorders>
              <w:bottom w:val="nil"/>
            </w:tcBorders>
            <w:shd w:val="clear" w:color="auto" w:fill="FFC000"/>
          </w:tcPr>
          <w:p>
            <w:pPr>
              <w:pStyle w:val="TableParagraph"/>
              <w:spacing w:before="1"/>
              <w:ind w:left="156" w:right="146"/>
              <w:jc w:val="center"/>
              <w:rPr>
                <w:sz w:val="22"/>
              </w:rPr>
            </w:pPr>
            <w:r>
              <w:rPr>
                <w:sz w:val="22"/>
              </w:rPr>
              <w:t>20%</w:t>
            </w:r>
            <w:r>
              <w:rPr>
                <w:spacing w:val="-4"/>
                <w:sz w:val="22"/>
              </w:rPr>
              <w:t> </w:t>
            </w:r>
            <w:r>
              <w:rPr>
                <w:sz w:val="22"/>
              </w:rPr>
              <w:t>(of</w:t>
            </w:r>
            <w:r>
              <w:rPr>
                <w:spacing w:val="-3"/>
                <w:sz w:val="22"/>
              </w:rPr>
              <w:t> </w:t>
            </w:r>
            <w:r>
              <w:rPr>
                <w:spacing w:val="-4"/>
                <w:sz w:val="22"/>
              </w:rPr>
              <w:t>100)</w:t>
            </w:r>
          </w:p>
        </w:tc>
        <w:tc>
          <w:tcPr>
            <w:tcW w:w="1834" w:type="dxa"/>
            <w:tcBorders>
              <w:bottom w:val="nil"/>
            </w:tcBorders>
          </w:tcPr>
          <w:p>
            <w:pPr>
              <w:pStyle w:val="TableParagraph"/>
              <w:tabs>
                <w:tab w:pos="858" w:val="left" w:leader="none"/>
              </w:tabs>
              <w:spacing w:before="1"/>
              <w:ind w:right="98"/>
              <w:jc w:val="right"/>
              <w:rPr>
                <w:sz w:val="22"/>
              </w:rPr>
            </w:pPr>
            <w:r>
              <w:rPr>
                <w:spacing w:val="-10"/>
                <w:sz w:val="22"/>
              </w:rPr>
              <w:t>$</w:t>
            </w:r>
            <w:r>
              <w:rPr>
                <w:sz w:val="22"/>
              </w:rPr>
              <w:tab/>
            </w:r>
            <w:r>
              <w:rPr>
                <w:spacing w:val="-2"/>
                <w:sz w:val="22"/>
              </w:rPr>
              <w:t>22,857</w:t>
            </w:r>
          </w:p>
        </w:tc>
      </w:tr>
      <w:tr>
        <w:trPr>
          <w:trHeight w:val="658" w:hRule="atLeast"/>
        </w:trPr>
        <w:tc>
          <w:tcPr>
            <w:tcW w:w="2009" w:type="dxa"/>
            <w:tcBorders>
              <w:top w:val="nil"/>
              <w:bottom w:val="nil"/>
            </w:tcBorders>
          </w:tcPr>
          <w:p>
            <w:pPr>
              <w:pStyle w:val="TableParagraph"/>
              <w:spacing w:before="64"/>
              <w:ind w:left="107" w:right="1229"/>
              <w:rPr>
                <w:b/>
                <w:sz w:val="18"/>
              </w:rPr>
            </w:pPr>
            <w:r>
              <w:rPr>
                <w:b/>
                <w:spacing w:val="-2"/>
                <w:sz w:val="18"/>
              </w:rPr>
              <w:t>QUALITY</w:t>
            </w:r>
            <w:r>
              <w:rPr>
                <w:b/>
                <w:sz w:val="18"/>
              </w:rPr>
              <w:t> </w:t>
            </w:r>
            <w:r>
              <w:rPr>
                <w:b/>
                <w:spacing w:val="-2"/>
                <w:sz w:val="18"/>
              </w:rPr>
              <w:t>IO2.3.1</w:t>
            </w:r>
          </w:p>
        </w:tc>
        <w:tc>
          <w:tcPr>
            <w:tcW w:w="1550" w:type="dxa"/>
            <w:tcBorders>
              <w:top w:val="nil"/>
              <w:bottom w:val="nil"/>
            </w:tcBorders>
          </w:tcPr>
          <w:p>
            <w:pPr>
              <w:pStyle w:val="TableParagraph"/>
              <w:spacing w:line="203" w:lineRule="exact"/>
              <w:ind w:left="108"/>
              <w:rPr>
                <w:b/>
                <w:sz w:val="18"/>
              </w:rPr>
            </w:pPr>
            <w:r>
              <w:rPr>
                <w:b/>
                <w:spacing w:val="-2"/>
                <w:sz w:val="18"/>
              </w:rPr>
              <w:t>standards</w:t>
            </w:r>
          </w:p>
        </w:tc>
        <w:tc>
          <w:tcPr>
            <w:tcW w:w="1932" w:type="dxa"/>
            <w:tcBorders>
              <w:top w:val="nil"/>
              <w:bottom w:val="nil"/>
            </w:tcBorders>
          </w:tcPr>
          <w:p>
            <w:pPr>
              <w:pStyle w:val="TableParagraph"/>
              <w:spacing w:line="203" w:lineRule="exact"/>
              <w:ind w:left="109"/>
              <w:rPr>
                <w:sz w:val="18"/>
              </w:rPr>
            </w:pPr>
            <w:r>
              <w:rPr>
                <w:sz w:val="18"/>
              </w:rPr>
              <w:t>professional</w:t>
            </w:r>
            <w:r>
              <w:rPr>
                <w:spacing w:val="-7"/>
                <w:sz w:val="18"/>
              </w:rPr>
              <w:t> </w:t>
            </w:r>
            <w:r>
              <w:rPr>
                <w:spacing w:val="-2"/>
                <w:sz w:val="18"/>
              </w:rPr>
              <w:t>standards</w:t>
            </w:r>
          </w:p>
          <w:p>
            <w:pPr>
              <w:pStyle w:val="TableParagraph"/>
              <w:spacing w:line="219" w:lineRule="exact" w:before="1"/>
              <w:ind w:left="109"/>
              <w:rPr>
                <w:sz w:val="18"/>
              </w:rPr>
            </w:pPr>
            <w:r>
              <w:rPr>
                <w:sz w:val="18"/>
              </w:rPr>
              <w:t>for</w:t>
            </w:r>
            <w:r>
              <w:rPr>
                <w:spacing w:val="-3"/>
                <w:sz w:val="18"/>
              </w:rPr>
              <w:t> </w:t>
            </w:r>
            <w:r>
              <w:rPr>
                <w:sz w:val="18"/>
              </w:rPr>
              <w:t>teachers</w:t>
            </w:r>
            <w:r>
              <w:rPr>
                <w:spacing w:val="-3"/>
                <w:sz w:val="18"/>
              </w:rPr>
              <w:t> </w:t>
            </w:r>
            <w:r>
              <w:rPr>
                <w:spacing w:val="-2"/>
                <w:sz w:val="18"/>
              </w:rPr>
              <w:t>(within</w:t>
            </w:r>
          </w:p>
          <w:p>
            <w:pPr>
              <w:pStyle w:val="TableParagraph"/>
              <w:spacing w:line="216" w:lineRule="exact"/>
              <w:ind w:left="109"/>
              <w:rPr>
                <w:sz w:val="18"/>
              </w:rPr>
            </w:pPr>
            <w:r>
              <w:rPr>
                <w:sz w:val="18"/>
              </w:rPr>
              <w:t>Teacher</w:t>
            </w:r>
            <w:r>
              <w:rPr>
                <w:spacing w:val="-5"/>
                <w:sz w:val="18"/>
              </w:rPr>
              <w:t> </w:t>
            </w:r>
            <w:r>
              <w:rPr>
                <w:spacing w:val="-2"/>
                <w:sz w:val="18"/>
              </w:rPr>
              <w:t>Service</w:t>
            </w:r>
          </w:p>
        </w:tc>
        <w:tc>
          <w:tcPr>
            <w:tcW w:w="1982" w:type="dxa"/>
            <w:tcBorders>
              <w:top w:val="nil"/>
              <w:bottom w:val="nil"/>
            </w:tcBorders>
          </w:tcPr>
          <w:p>
            <w:pPr>
              <w:pStyle w:val="TableParagraph"/>
              <w:spacing w:line="203" w:lineRule="exact"/>
              <w:ind w:left="109"/>
              <w:rPr>
                <w:sz w:val="18"/>
              </w:rPr>
            </w:pPr>
            <w:r>
              <w:rPr>
                <w:sz w:val="18"/>
              </w:rPr>
              <w:t>draft</w:t>
            </w:r>
            <w:r>
              <w:rPr>
                <w:spacing w:val="-5"/>
                <w:sz w:val="18"/>
              </w:rPr>
              <w:t> </w:t>
            </w:r>
            <w:r>
              <w:rPr>
                <w:sz w:val="18"/>
              </w:rPr>
              <w:t>consulted</w:t>
            </w:r>
            <w:r>
              <w:rPr>
                <w:spacing w:val="-2"/>
                <w:sz w:val="18"/>
              </w:rPr>
              <w:t> </w:t>
            </w:r>
            <w:r>
              <w:rPr>
                <w:spacing w:val="-4"/>
                <w:sz w:val="18"/>
              </w:rPr>
              <w:t>with</w:t>
            </w:r>
          </w:p>
          <w:p>
            <w:pPr>
              <w:pStyle w:val="TableParagraph"/>
              <w:spacing w:line="219" w:lineRule="exact" w:before="1"/>
              <w:ind w:left="109"/>
              <w:rPr>
                <w:sz w:val="18"/>
              </w:rPr>
            </w:pPr>
            <w:r>
              <w:rPr>
                <w:sz w:val="18"/>
              </w:rPr>
              <w:t>selected</w:t>
            </w:r>
            <w:r>
              <w:rPr>
                <w:spacing w:val="-4"/>
                <w:sz w:val="18"/>
              </w:rPr>
              <w:t> </w:t>
            </w:r>
            <w:r>
              <w:rPr>
                <w:spacing w:val="-2"/>
                <w:sz w:val="18"/>
              </w:rPr>
              <w:t>provinces</w:t>
            </w:r>
          </w:p>
          <w:p>
            <w:pPr>
              <w:pStyle w:val="TableParagraph"/>
              <w:spacing w:line="216" w:lineRule="exact"/>
              <w:ind w:left="109"/>
              <w:rPr>
                <w:sz w:val="18"/>
              </w:rPr>
            </w:pPr>
            <w:r>
              <w:rPr>
                <w:sz w:val="18"/>
              </w:rPr>
              <w:t>(50%)</w:t>
            </w:r>
            <w:r>
              <w:rPr>
                <w:spacing w:val="-2"/>
                <w:sz w:val="18"/>
              </w:rPr>
              <w:t> </w:t>
            </w:r>
            <w:r>
              <w:rPr>
                <w:sz w:val="18"/>
              </w:rPr>
              <w:t>Approval</w:t>
            </w:r>
            <w:r>
              <w:rPr>
                <w:spacing w:val="-1"/>
                <w:sz w:val="18"/>
              </w:rPr>
              <w:t> </w:t>
            </w:r>
            <w:r>
              <w:rPr>
                <w:spacing w:val="-2"/>
                <w:sz w:val="18"/>
              </w:rPr>
              <w:t>minute</w:t>
            </w:r>
          </w:p>
        </w:tc>
        <w:tc>
          <w:tcPr>
            <w:tcW w:w="1461" w:type="dxa"/>
            <w:tcBorders>
              <w:top w:val="nil"/>
              <w:bottom w:val="nil"/>
            </w:tcBorders>
            <w:shd w:val="clear" w:color="auto" w:fill="FFC000"/>
          </w:tcPr>
          <w:p>
            <w:pPr>
              <w:pStyle w:val="TableParagraph"/>
              <w:rPr>
                <w:rFonts w:ascii="Times New Roman"/>
                <w:sz w:val="18"/>
              </w:rPr>
            </w:pPr>
          </w:p>
        </w:tc>
        <w:tc>
          <w:tcPr>
            <w:tcW w:w="1834" w:type="dxa"/>
            <w:tcBorders>
              <w:top w:val="nil"/>
              <w:bottom w:val="nil"/>
            </w:tcBorders>
          </w:tcPr>
          <w:p>
            <w:pPr>
              <w:pStyle w:val="TableParagraph"/>
              <w:rPr>
                <w:rFonts w:ascii="Times New Roman"/>
                <w:sz w:val="18"/>
              </w:rPr>
            </w:pPr>
          </w:p>
        </w:tc>
      </w:tr>
      <w:tr>
        <w:trPr>
          <w:trHeight w:val="361" w:hRule="atLeast"/>
        </w:trPr>
        <w:tc>
          <w:tcPr>
            <w:tcW w:w="2009" w:type="dxa"/>
            <w:tcBorders>
              <w:top w:val="nil"/>
            </w:tcBorders>
          </w:tcPr>
          <w:p>
            <w:pPr>
              <w:pStyle w:val="TableParagraph"/>
              <w:rPr>
                <w:rFonts w:ascii="Times New Roman"/>
                <w:sz w:val="18"/>
              </w:rPr>
            </w:pPr>
          </w:p>
        </w:tc>
        <w:tc>
          <w:tcPr>
            <w:tcW w:w="1550" w:type="dxa"/>
            <w:tcBorders>
              <w:top w:val="nil"/>
            </w:tcBorders>
          </w:tcPr>
          <w:p>
            <w:pPr>
              <w:pStyle w:val="TableParagraph"/>
              <w:rPr>
                <w:rFonts w:ascii="Times New Roman"/>
                <w:sz w:val="18"/>
              </w:rPr>
            </w:pPr>
          </w:p>
        </w:tc>
        <w:tc>
          <w:tcPr>
            <w:tcW w:w="1932" w:type="dxa"/>
            <w:tcBorders>
              <w:top w:val="nil"/>
            </w:tcBorders>
          </w:tcPr>
          <w:p>
            <w:pPr>
              <w:pStyle w:val="TableParagraph"/>
              <w:spacing w:line="204" w:lineRule="exact"/>
              <w:ind w:left="109"/>
              <w:rPr>
                <w:sz w:val="18"/>
              </w:rPr>
            </w:pPr>
            <w:r>
              <w:rPr>
                <w:spacing w:val="-2"/>
                <w:sz w:val="18"/>
              </w:rPr>
              <w:t>Handbook)</w:t>
            </w:r>
          </w:p>
        </w:tc>
        <w:tc>
          <w:tcPr>
            <w:tcW w:w="1982" w:type="dxa"/>
            <w:tcBorders>
              <w:top w:val="nil"/>
            </w:tcBorders>
          </w:tcPr>
          <w:p>
            <w:pPr>
              <w:pStyle w:val="TableParagraph"/>
              <w:spacing w:line="204" w:lineRule="exact"/>
              <w:ind w:left="109"/>
              <w:rPr>
                <w:sz w:val="18"/>
              </w:rPr>
            </w:pPr>
            <w:r>
              <w:rPr>
                <w:sz w:val="18"/>
              </w:rPr>
              <w:t>from</w:t>
            </w:r>
            <w:r>
              <w:rPr>
                <w:spacing w:val="-4"/>
                <w:sz w:val="18"/>
              </w:rPr>
              <w:t> </w:t>
            </w:r>
            <w:r>
              <w:rPr>
                <w:sz w:val="18"/>
              </w:rPr>
              <w:t>SMT</w:t>
            </w:r>
            <w:r>
              <w:rPr>
                <w:spacing w:val="-1"/>
                <w:sz w:val="18"/>
              </w:rPr>
              <w:t> </w:t>
            </w:r>
            <w:r>
              <w:rPr>
                <w:spacing w:val="-2"/>
                <w:sz w:val="18"/>
              </w:rPr>
              <w:t>(50%)</w:t>
            </w:r>
          </w:p>
        </w:tc>
        <w:tc>
          <w:tcPr>
            <w:tcW w:w="1461" w:type="dxa"/>
            <w:tcBorders>
              <w:top w:val="nil"/>
            </w:tcBorders>
            <w:shd w:val="clear" w:color="auto" w:fill="FFC000"/>
          </w:tcPr>
          <w:p>
            <w:pPr>
              <w:pStyle w:val="TableParagraph"/>
              <w:rPr>
                <w:rFonts w:ascii="Times New Roman"/>
                <w:sz w:val="18"/>
              </w:rPr>
            </w:pPr>
          </w:p>
        </w:tc>
        <w:tc>
          <w:tcPr>
            <w:tcW w:w="1834" w:type="dxa"/>
            <w:tcBorders>
              <w:top w:val="nil"/>
            </w:tcBorders>
          </w:tcPr>
          <w:p>
            <w:pPr>
              <w:pStyle w:val="TableParagraph"/>
              <w:rPr>
                <w:rFonts w:ascii="Times New Roman"/>
                <w:sz w:val="18"/>
              </w:rPr>
            </w:pPr>
          </w:p>
        </w:tc>
      </w:tr>
      <w:tr>
        <w:trPr>
          <w:trHeight w:val="472" w:hRule="atLeast"/>
        </w:trPr>
        <w:tc>
          <w:tcPr>
            <w:tcW w:w="2009" w:type="dxa"/>
            <w:tcBorders>
              <w:bottom w:val="nil"/>
            </w:tcBorders>
          </w:tcPr>
          <w:p>
            <w:pPr>
              <w:pStyle w:val="TableParagraph"/>
              <w:spacing w:line="230" w:lineRule="atLeast"/>
              <w:ind w:left="107" w:right="1192"/>
              <w:rPr>
                <w:b/>
                <w:sz w:val="19"/>
              </w:rPr>
            </w:pPr>
            <w:r>
              <w:rPr>
                <w:b/>
                <w:spacing w:val="-2"/>
                <w:sz w:val="19"/>
              </w:rPr>
              <w:t>QUALITY </w:t>
            </w:r>
            <w:r>
              <w:rPr>
                <w:b/>
                <w:sz w:val="19"/>
              </w:rPr>
              <w:t>EO</w:t>
            </w:r>
            <w:r>
              <w:rPr>
                <w:b/>
                <w:spacing w:val="-2"/>
                <w:sz w:val="19"/>
              </w:rPr>
              <w:t> </w:t>
            </w:r>
            <w:r>
              <w:rPr>
                <w:b/>
                <w:sz w:val="19"/>
              </w:rPr>
              <w:t>2</w:t>
            </w:r>
          </w:p>
        </w:tc>
        <w:tc>
          <w:tcPr>
            <w:tcW w:w="1550" w:type="dxa"/>
            <w:tcBorders>
              <w:bottom w:val="nil"/>
            </w:tcBorders>
          </w:tcPr>
          <w:p>
            <w:pPr>
              <w:pStyle w:val="TableParagraph"/>
              <w:spacing w:before="1"/>
              <w:ind w:left="108"/>
              <w:rPr>
                <w:b/>
                <w:sz w:val="18"/>
              </w:rPr>
            </w:pPr>
            <w:r>
              <w:rPr>
                <w:b/>
                <w:sz w:val="18"/>
              </w:rPr>
              <w:t>2.3</w:t>
            </w:r>
            <w:r>
              <w:rPr>
                <w:b/>
                <w:spacing w:val="-11"/>
                <w:sz w:val="18"/>
              </w:rPr>
              <w:t> </w:t>
            </w:r>
            <w:r>
              <w:rPr>
                <w:b/>
                <w:sz w:val="18"/>
              </w:rPr>
              <w:t>Number</w:t>
            </w:r>
            <w:r>
              <w:rPr>
                <w:b/>
                <w:spacing w:val="-10"/>
                <w:sz w:val="18"/>
              </w:rPr>
              <w:t> </w:t>
            </w:r>
            <w:r>
              <w:rPr>
                <w:b/>
                <w:sz w:val="18"/>
              </w:rPr>
              <w:t>of </w:t>
            </w:r>
            <w:r>
              <w:rPr>
                <w:b/>
                <w:spacing w:val="-2"/>
                <w:sz w:val="18"/>
              </w:rPr>
              <w:t>students</w:t>
            </w:r>
          </w:p>
        </w:tc>
        <w:tc>
          <w:tcPr>
            <w:tcW w:w="1932" w:type="dxa"/>
            <w:tcBorders>
              <w:bottom w:val="nil"/>
            </w:tcBorders>
          </w:tcPr>
          <w:p>
            <w:pPr>
              <w:pStyle w:val="TableParagraph"/>
              <w:spacing w:before="1"/>
              <w:ind w:left="109" w:right="77"/>
              <w:rPr>
                <w:sz w:val="18"/>
              </w:rPr>
            </w:pPr>
            <w:r>
              <w:rPr>
                <w:sz w:val="18"/>
              </w:rPr>
              <w:t>2.3.1</w:t>
            </w:r>
            <w:r>
              <w:rPr>
                <w:spacing w:val="25"/>
                <w:sz w:val="18"/>
              </w:rPr>
              <w:t> </w:t>
            </w:r>
            <w:r>
              <w:rPr>
                <w:sz w:val="18"/>
              </w:rPr>
              <w:t>By</w:t>
            </w:r>
            <w:r>
              <w:rPr>
                <w:spacing w:val="-8"/>
                <w:sz w:val="18"/>
              </w:rPr>
              <w:t> </w:t>
            </w:r>
            <w:r>
              <w:rPr>
                <w:sz w:val="18"/>
              </w:rPr>
              <w:t>the</w:t>
            </w:r>
            <w:r>
              <w:rPr>
                <w:spacing w:val="-9"/>
                <w:sz w:val="18"/>
              </w:rPr>
              <w:t> </w:t>
            </w:r>
            <w:r>
              <w:rPr>
                <w:sz w:val="18"/>
              </w:rPr>
              <w:t>end</w:t>
            </w:r>
            <w:r>
              <w:rPr>
                <w:spacing w:val="-9"/>
                <w:sz w:val="18"/>
              </w:rPr>
              <w:t> </w:t>
            </w:r>
            <w:r>
              <w:rPr>
                <w:sz w:val="18"/>
              </w:rPr>
              <w:t>of 2018, 2017 SISTA</w:t>
            </w:r>
          </w:p>
        </w:tc>
        <w:tc>
          <w:tcPr>
            <w:tcW w:w="1982" w:type="dxa"/>
            <w:tcBorders>
              <w:bottom w:val="nil"/>
            </w:tcBorders>
          </w:tcPr>
          <w:p>
            <w:pPr>
              <w:pStyle w:val="TableParagraph"/>
              <w:spacing w:before="1"/>
              <w:ind w:left="109" w:right="131"/>
              <w:rPr>
                <w:sz w:val="18"/>
              </w:rPr>
            </w:pPr>
            <w:r>
              <w:rPr>
                <w:sz w:val="18"/>
              </w:rPr>
              <w:t>SMT endorsement minute</w:t>
            </w:r>
            <w:r>
              <w:rPr>
                <w:spacing w:val="-11"/>
                <w:sz w:val="18"/>
              </w:rPr>
              <w:t> </w:t>
            </w:r>
            <w:r>
              <w:rPr>
                <w:sz w:val="18"/>
              </w:rPr>
              <w:t>of</w:t>
            </w:r>
            <w:r>
              <w:rPr>
                <w:spacing w:val="-10"/>
                <w:sz w:val="18"/>
              </w:rPr>
              <w:t> </w:t>
            </w:r>
            <w:r>
              <w:rPr>
                <w:sz w:val="18"/>
              </w:rPr>
              <w:t>SISTA</w:t>
            </w:r>
            <w:r>
              <w:rPr>
                <w:spacing w:val="-10"/>
                <w:sz w:val="18"/>
              </w:rPr>
              <w:t> </w:t>
            </w:r>
            <w:r>
              <w:rPr>
                <w:sz w:val="18"/>
              </w:rPr>
              <w:t>results</w:t>
            </w:r>
          </w:p>
        </w:tc>
        <w:tc>
          <w:tcPr>
            <w:tcW w:w="1461" w:type="dxa"/>
            <w:tcBorders>
              <w:bottom w:val="nil"/>
            </w:tcBorders>
            <w:shd w:val="clear" w:color="auto" w:fill="A9D08E"/>
          </w:tcPr>
          <w:p>
            <w:pPr>
              <w:pStyle w:val="TableParagraph"/>
              <w:spacing w:line="268" w:lineRule="exact"/>
              <w:ind w:left="156" w:right="146"/>
              <w:jc w:val="center"/>
              <w:rPr>
                <w:sz w:val="22"/>
              </w:rPr>
            </w:pPr>
            <w:r>
              <w:rPr>
                <w:sz w:val="22"/>
              </w:rPr>
              <w:t>100%</w:t>
            </w:r>
            <w:r>
              <w:rPr>
                <w:spacing w:val="-4"/>
                <w:sz w:val="22"/>
              </w:rPr>
              <w:t> </w:t>
            </w:r>
            <w:r>
              <w:rPr>
                <w:sz w:val="22"/>
              </w:rPr>
              <w:t>(of</w:t>
            </w:r>
            <w:r>
              <w:rPr>
                <w:spacing w:val="-3"/>
                <w:sz w:val="22"/>
              </w:rPr>
              <w:t> </w:t>
            </w:r>
            <w:r>
              <w:rPr>
                <w:spacing w:val="-5"/>
                <w:sz w:val="22"/>
              </w:rPr>
              <w:t>70)</w:t>
            </w:r>
          </w:p>
        </w:tc>
        <w:tc>
          <w:tcPr>
            <w:tcW w:w="1834" w:type="dxa"/>
            <w:tcBorders>
              <w:bottom w:val="nil"/>
            </w:tcBorders>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80,000</w:t>
            </w:r>
          </w:p>
        </w:tc>
      </w:tr>
      <w:tr>
        <w:trPr>
          <w:trHeight w:val="207"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188" w:lineRule="exact"/>
              <w:ind w:left="108"/>
              <w:rPr>
                <w:b/>
                <w:sz w:val="18"/>
              </w:rPr>
            </w:pPr>
            <w:r>
              <w:rPr>
                <w:b/>
                <w:sz w:val="18"/>
              </w:rPr>
              <w:t>achieving</w:t>
            </w:r>
            <w:r>
              <w:rPr>
                <w:b/>
                <w:spacing w:val="-2"/>
                <w:sz w:val="18"/>
              </w:rPr>
              <w:t> </w:t>
            </w:r>
            <w:r>
              <w:rPr>
                <w:b/>
                <w:sz w:val="18"/>
              </w:rPr>
              <w:t>at</w:t>
            </w:r>
            <w:r>
              <w:rPr>
                <w:b/>
                <w:spacing w:val="-2"/>
                <w:sz w:val="18"/>
              </w:rPr>
              <w:t> </w:t>
            </w:r>
            <w:r>
              <w:rPr>
                <w:b/>
                <w:spacing w:val="-5"/>
                <w:sz w:val="18"/>
              </w:rPr>
              <w:t>or</w:t>
            </w:r>
          </w:p>
        </w:tc>
        <w:tc>
          <w:tcPr>
            <w:tcW w:w="1932" w:type="dxa"/>
            <w:tcBorders>
              <w:top w:val="nil"/>
              <w:bottom w:val="nil"/>
            </w:tcBorders>
          </w:tcPr>
          <w:p>
            <w:pPr>
              <w:pStyle w:val="TableParagraph"/>
              <w:spacing w:line="188" w:lineRule="exact"/>
              <w:ind w:left="109"/>
              <w:rPr>
                <w:sz w:val="18"/>
              </w:rPr>
            </w:pPr>
            <w:r>
              <w:rPr>
                <w:sz w:val="18"/>
              </w:rPr>
              <w:t>results</w:t>
            </w:r>
            <w:r>
              <w:rPr>
                <w:spacing w:val="-5"/>
                <w:sz w:val="18"/>
              </w:rPr>
              <w:t> </w:t>
            </w:r>
            <w:r>
              <w:rPr>
                <w:sz w:val="18"/>
              </w:rPr>
              <w:t>analysed</w:t>
            </w:r>
            <w:r>
              <w:rPr>
                <w:spacing w:val="-3"/>
                <w:sz w:val="18"/>
              </w:rPr>
              <w:t> </w:t>
            </w:r>
            <w:r>
              <w:rPr>
                <w:spacing w:val="-5"/>
                <w:sz w:val="18"/>
              </w:rPr>
              <w:t>and</w:t>
            </w:r>
          </w:p>
        </w:tc>
        <w:tc>
          <w:tcPr>
            <w:tcW w:w="1982" w:type="dxa"/>
            <w:tcBorders>
              <w:top w:val="nil"/>
              <w:bottom w:val="nil"/>
            </w:tcBorders>
          </w:tcPr>
          <w:p>
            <w:pPr>
              <w:pStyle w:val="TableParagraph"/>
              <w:spacing w:line="188" w:lineRule="exact"/>
              <w:ind w:left="109"/>
              <w:rPr>
                <w:sz w:val="18"/>
              </w:rPr>
            </w:pPr>
            <w:r>
              <w:rPr>
                <w:sz w:val="18"/>
              </w:rPr>
              <w:t>including</w:t>
            </w:r>
            <w:r>
              <w:rPr>
                <w:spacing w:val="-6"/>
                <w:sz w:val="18"/>
              </w:rPr>
              <w:t> </w:t>
            </w:r>
            <w:r>
              <w:rPr>
                <w:spacing w:val="-2"/>
                <w:sz w:val="18"/>
              </w:rPr>
              <w:t>national,</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200" w:lineRule="exact"/>
              <w:ind w:left="108"/>
              <w:rPr>
                <w:b/>
                <w:sz w:val="18"/>
              </w:rPr>
            </w:pPr>
            <w:r>
              <w:rPr>
                <w:b/>
                <w:sz w:val="18"/>
              </w:rPr>
              <w:t>above</w:t>
            </w:r>
            <w:r>
              <w:rPr>
                <w:b/>
                <w:spacing w:val="-4"/>
                <w:sz w:val="18"/>
              </w:rPr>
              <w:t> </w:t>
            </w:r>
            <w:r>
              <w:rPr>
                <w:b/>
                <w:spacing w:val="-5"/>
                <w:sz w:val="18"/>
              </w:rPr>
              <w:t>the</w:t>
            </w:r>
          </w:p>
        </w:tc>
        <w:tc>
          <w:tcPr>
            <w:tcW w:w="1932" w:type="dxa"/>
            <w:tcBorders>
              <w:top w:val="nil"/>
              <w:bottom w:val="nil"/>
            </w:tcBorders>
          </w:tcPr>
          <w:p>
            <w:pPr>
              <w:pStyle w:val="TableParagraph"/>
              <w:spacing w:line="200" w:lineRule="exact"/>
              <w:ind w:left="109"/>
              <w:rPr>
                <w:sz w:val="18"/>
              </w:rPr>
            </w:pPr>
            <w:r>
              <w:rPr>
                <w:sz w:val="18"/>
              </w:rPr>
              <w:t>disseminated</w:t>
            </w:r>
            <w:r>
              <w:rPr>
                <w:spacing w:val="-3"/>
                <w:sz w:val="18"/>
              </w:rPr>
              <w:t> </w:t>
            </w:r>
            <w:r>
              <w:rPr>
                <w:sz w:val="18"/>
              </w:rPr>
              <w:t>in</w:t>
            </w:r>
            <w:r>
              <w:rPr>
                <w:spacing w:val="-2"/>
                <w:sz w:val="18"/>
              </w:rPr>
              <w:t> </w:t>
            </w:r>
            <w:r>
              <w:rPr>
                <w:spacing w:val="-4"/>
                <w:sz w:val="18"/>
              </w:rPr>
              <w:t>user-</w:t>
            </w:r>
          </w:p>
        </w:tc>
        <w:tc>
          <w:tcPr>
            <w:tcW w:w="1982" w:type="dxa"/>
            <w:tcBorders>
              <w:top w:val="nil"/>
              <w:bottom w:val="nil"/>
            </w:tcBorders>
          </w:tcPr>
          <w:p>
            <w:pPr>
              <w:pStyle w:val="TableParagraph"/>
              <w:spacing w:line="200" w:lineRule="exact"/>
              <w:ind w:left="109"/>
              <w:rPr>
                <w:sz w:val="18"/>
              </w:rPr>
            </w:pPr>
            <w:r>
              <w:rPr>
                <w:sz w:val="18"/>
              </w:rPr>
              <w:t>provincial</w:t>
            </w:r>
            <w:r>
              <w:rPr>
                <w:spacing w:val="-4"/>
                <w:sz w:val="18"/>
              </w:rPr>
              <w:t> </w:t>
            </w:r>
            <w:r>
              <w:rPr>
                <w:sz w:val="18"/>
              </w:rPr>
              <w:t>and</w:t>
            </w:r>
            <w:r>
              <w:rPr>
                <w:spacing w:val="-2"/>
                <w:sz w:val="18"/>
              </w:rPr>
              <w:t> school</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200" w:lineRule="exact"/>
              <w:ind w:left="108"/>
              <w:rPr>
                <w:b/>
                <w:sz w:val="18"/>
              </w:rPr>
            </w:pPr>
            <w:r>
              <w:rPr>
                <w:b/>
                <w:sz w:val="18"/>
              </w:rPr>
              <w:t>expected</w:t>
            </w:r>
            <w:r>
              <w:rPr>
                <w:b/>
                <w:spacing w:val="-7"/>
                <w:sz w:val="18"/>
              </w:rPr>
              <w:t> </w:t>
            </w:r>
            <w:r>
              <w:rPr>
                <w:b/>
                <w:spacing w:val="-2"/>
                <w:sz w:val="18"/>
              </w:rPr>
              <w:t>literacy</w:t>
            </w:r>
          </w:p>
        </w:tc>
        <w:tc>
          <w:tcPr>
            <w:tcW w:w="1932" w:type="dxa"/>
            <w:tcBorders>
              <w:top w:val="nil"/>
              <w:bottom w:val="nil"/>
            </w:tcBorders>
          </w:tcPr>
          <w:p>
            <w:pPr>
              <w:pStyle w:val="TableParagraph"/>
              <w:spacing w:line="200" w:lineRule="exact"/>
              <w:ind w:left="109"/>
              <w:rPr>
                <w:sz w:val="18"/>
              </w:rPr>
            </w:pPr>
            <w:r>
              <w:rPr>
                <w:sz w:val="18"/>
              </w:rPr>
              <w:t>friendly</w:t>
            </w:r>
            <w:r>
              <w:rPr>
                <w:spacing w:val="-3"/>
                <w:sz w:val="18"/>
              </w:rPr>
              <w:t> </w:t>
            </w:r>
            <w:r>
              <w:rPr>
                <w:sz w:val="18"/>
              </w:rPr>
              <w:t>way</w:t>
            </w:r>
            <w:r>
              <w:rPr>
                <w:spacing w:val="-3"/>
                <w:sz w:val="18"/>
              </w:rPr>
              <w:t> </w:t>
            </w:r>
            <w:r>
              <w:rPr>
                <w:spacing w:val="-5"/>
                <w:sz w:val="18"/>
              </w:rPr>
              <w:t>to</w:t>
            </w:r>
          </w:p>
        </w:tc>
        <w:tc>
          <w:tcPr>
            <w:tcW w:w="1982" w:type="dxa"/>
            <w:tcBorders>
              <w:top w:val="nil"/>
              <w:bottom w:val="nil"/>
            </w:tcBorders>
          </w:tcPr>
          <w:p>
            <w:pPr>
              <w:pStyle w:val="TableParagraph"/>
              <w:spacing w:line="200" w:lineRule="exact"/>
              <w:ind w:left="109"/>
              <w:rPr>
                <w:sz w:val="18"/>
              </w:rPr>
            </w:pPr>
            <w:r>
              <w:rPr>
                <w:sz w:val="18"/>
              </w:rPr>
              <w:t>level</w:t>
            </w:r>
            <w:r>
              <w:rPr>
                <w:spacing w:val="-3"/>
                <w:sz w:val="18"/>
              </w:rPr>
              <w:t> </w:t>
            </w:r>
            <w:r>
              <w:rPr>
                <w:sz w:val="18"/>
              </w:rPr>
              <w:t>reports</w:t>
            </w:r>
            <w:r>
              <w:rPr>
                <w:spacing w:val="-3"/>
                <w:sz w:val="18"/>
              </w:rPr>
              <w:t> </w:t>
            </w:r>
            <w:r>
              <w:rPr>
                <w:spacing w:val="-2"/>
                <w:sz w:val="18"/>
              </w:rPr>
              <w:t>(40%)</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200" w:lineRule="exact"/>
              <w:ind w:left="108"/>
              <w:rPr>
                <w:b/>
                <w:sz w:val="18"/>
              </w:rPr>
            </w:pPr>
            <w:r>
              <w:rPr>
                <w:b/>
                <w:sz w:val="18"/>
              </w:rPr>
              <w:t>and</w:t>
            </w:r>
            <w:r>
              <w:rPr>
                <w:b/>
                <w:spacing w:val="-2"/>
                <w:sz w:val="18"/>
              </w:rPr>
              <w:t> numeracy</w:t>
            </w:r>
          </w:p>
        </w:tc>
        <w:tc>
          <w:tcPr>
            <w:tcW w:w="1932" w:type="dxa"/>
            <w:tcBorders>
              <w:top w:val="nil"/>
              <w:bottom w:val="nil"/>
            </w:tcBorders>
          </w:tcPr>
          <w:p>
            <w:pPr>
              <w:pStyle w:val="TableParagraph"/>
              <w:spacing w:line="200" w:lineRule="exact"/>
              <w:ind w:left="109"/>
              <w:rPr>
                <w:sz w:val="18"/>
              </w:rPr>
            </w:pPr>
            <w:r>
              <w:rPr>
                <w:sz w:val="18"/>
              </w:rPr>
              <w:t>national,</w:t>
            </w:r>
            <w:r>
              <w:rPr>
                <w:spacing w:val="-5"/>
                <w:sz w:val="18"/>
              </w:rPr>
              <w:t> </w:t>
            </w:r>
            <w:r>
              <w:rPr>
                <w:sz w:val="18"/>
              </w:rPr>
              <w:t>EAs</w:t>
            </w:r>
            <w:r>
              <w:rPr>
                <w:spacing w:val="-3"/>
                <w:sz w:val="18"/>
              </w:rPr>
              <w:t> </w:t>
            </w:r>
            <w:r>
              <w:rPr>
                <w:spacing w:val="-5"/>
                <w:sz w:val="18"/>
              </w:rPr>
              <w:t>and</w:t>
            </w:r>
          </w:p>
        </w:tc>
        <w:tc>
          <w:tcPr>
            <w:tcW w:w="1982" w:type="dxa"/>
            <w:tcBorders>
              <w:top w:val="nil"/>
              <w:bottom w:val="nil"/>
            </w:tcBorders>
          </w:tcPr>
          <w:p>
            <w:pPr>
              <w:pStyle w:val="TableParagraph"/>
              <w:spacing w:line="200" w:lineRule="exact"/>
              <w:ind w:left="109"/>
              <w:rPr>
                <w:sz w:val="18"/>
              </w:rPr>
            </w:pPr>
            <w:r>
              <w:rPr>
                <w:sz w:val="18"/>
              </w:rPr>
              <w:t>Evidence</w:t>
            </w:r>
            <w:r>
              <w:rPr>
                <w:spacing w:val="-5"/>
                <w:sz w:val="18"/>
              </w:rPr>
              <w:t> of</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spacing w:line="200" w:lineRule="exact"/>
              <w:ind w:left="108"/>
              <w:rPr>
                <w:b/>
                <w:sz w:val="18"/>
              </w:rPr>
            </w:pPr>
            <w:r>
              <w:rPr>
                <w:b/>
                <w:spacing w:val="-2"/>
                <w:sz w:val="18"/>
              </w:rPr>
              <w:t>level</w:t>
            </w:r>
          </w:p>
        </w:tc>
        <w:tc>
          <w:tcPr>
            <w:tcW w:w="1932" w:type="dxa"/>
            <w:tcBorders>
              <w:top w:val="nil"/>
              <w:bottom w:val="nil"/>
            </w:tcBorders>
          </w:tcPr>
          <w:p>
            <w:pPr>
              <w:pStyle w:val="TableParagraph"/>
              <w:spacing w:line="200" w:lineRule="exact"/>
              <w:ind w:left="109"/>
              <w:rPr>
                <w:sz w:val="18"/>
              </w:rPr>
            </w:pPr>
            <w:r>
              <w:rPr>
                <w:sz w:val="18"/>
              </w:rPr>
              <w:t>school</w:t>
            </w:r>
            <w:r>
              <w:rPr>
                <w:spacing w:val="-5"/>
                <w:sz w:val="18"/>
              </w:rPr>
              <w:t> </w:t>
            </w:r>
            <w:r>
              <w:rPr>
                <w:spacing w:val="-2"/>
                <w:sz w:val="18"/>
              </w:rPr>
              <w:t>level</w:t>
            </w:r>
          </w:p>
        </w:tc>
        <w:tc>
          <w:tcPr>
            <w:tcW w:w="1982" w:type="dxa"/>
            <w:tcBorders>
              <w:top w:val="nil"/>
              <w:bottom w:val="nil"/>
            </w:tcBorders>
          </w:tcPr>
          <w:p>
            <w:pPr>
              <w:pStyle w:val="TableParagraph"/>
              <w:spacing w:line="200" w:lineRule="exact"/>
              <w:ind w:left="109"/>
              <w:rPr>
                <w:sz w:val="18"/>
              </w:rPr>
            </w:pPr>
            <w:r>
              <w:rPr>
                <w:sz w:val="18"/>
              </w:rPr>
              <w:t>dissemination</w:t>
            </w:r>
            <w:r>
              <w:rPr>
                <w:spacing w:val="-7"/>
                <w:sz w:val="18"/>
              </w:rPr>
              <w:t> </w:t>
            </w:r>
            <w:r>
              <w:rPr>
                <w:spacing w:val="-5"/>
                <w:sz w:val="18"/>
              </w:rPr>
              <w:t>to</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rPr>
                <w:rFonts w:ascii="Times New Roman"/>
                <w:sz w:val="14"/>
              </w:rPr>
            </w:pPr>
          </w:p>
        </w:tc>
        <w:tc>
          <w:tcPr>
            <w:tcW w:w="1982" w:type="dxa"/>
            <w:tcBorders>
              <w:top w:val="nil"/>
              <w:bottom w:val="nil"/>
            </w:tcBorders>
          </w:tcPr>
          <w:p>
            <w:pPr>
              <w:pStyle w:val="TableParagraph"/>
              <w:spacing w:line="200" w:lineRule="exact"/>
              <w:ind w:left="109"/>
              <w:rPr>
                <w:sz w:val="18"/>
              </w:rPr>
            </w:pPr>
            <w:r>
              <w:rPr>
                <w:sz w:val="18"/>
              </w:rPr>
              <w:t>national,</w:t>
            </w:r>
            <w:r>
              <w:rPr>
                <w:spacing w:val="-5"/>
                <w:sz w:val="18"/>
              </w:rPr>
              <w:t> </w:t>
            </w:r>
            <w:r>
              <w:rPr>
                <w:sz w:val="18"/>
              </w:rPr>
              <w:t>provincial</w:t>
            </w:r>
            <w:r>
              <w:rPr>
                <w:spacing w:val="-4"/>
                <w:sz w:val="18"/>
              </w:rPr>
              <w:t> </w:t>
            </w:r>
            <w:r>
              <w:rPr>
                <w:spacing w:val="-5"/>
                <w:sz w:val="18"/>
              </w:rPr>
              <w:t>and</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rPr>
                <w:rFonts w:ascii="Times New Roman"/>
                <w:sz w:val="14"/>
              </w:rPr>
            </w:pPr>
          </w:p>
        </w:tc>
        <w:tc>
          <w:tcPr>
            <w:tcW w:w="1982" w:type="dxa"/>
            <w:tcBorders>
              <w:top w:val="nil"/>
              <w:bottom w:val="nil"/>
            </w:tcBorders>
          </w:tcPr>
          <w:p>
            <w:pPr>
              <w:pStyle w:val="TableParagraph"/>
              <w:spacing w:line="200" w:lineRule="exact"/>
              <w:ind w:left="109"/>
              <w:rPr>
                <w:sz w:val="18"/>
              </w:rPr>
            </w:pPr>
            <w:r>
              <w:rPr>
                <w:sz w:val="18"/>
              </w:rPr>
              <w:t>school</w:t>
            </w:r>
            <w:r>
              <w:rPr>
                <w:spacing w:val="-4"/>
                <w:sz w:val="18"/>
              </w:rPr>
              <w:t> </w:t>
            </w:r>
            <w:r>
              <w:rPr>
                <w:sz w:val="18"/>
              </w:rPr>
              <w:t>level</w:t>
            </w:r>
            <w:r>
              <w:rPr>
                <w:spacing w:val="-3"/>
                <w:sz w:val="18"/>
              </w:rPr>
              <w:t> </w:t>
            </w:r>
            <w:r>
              <w:rPr>
                <w:spacing w:val="-2"/>
                <w:sz w:val="18"/>
              </w:rPr>
              <w:t>(e.g.</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20" w:hRule="atLeast"/>
        </w:trPr>
        <w:tc>
          <w:tcPr>
            <w:tcW w:w="2009" w:type="dxa"/>
            <w:tcBorders>
              <w:top w:val="nil"/>
              <w:bottom w:val="nil"/>
            </w:tcBorders>
          </w:tcPr>
          <w:p>
            <w:pPr>
              <w:pStyle w:val="TableParagraph"/>
              <w:rPr>
                <w:rFonts w:ascii="Times New Roman"/>
                <w:sz w:val="14"/>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rPr>
                <w:rFonts w:ascii="Times New Roman"/>
                <w:sz w:val="14"/>
              </w:rPr>
            </w:pPr>
          </w:p>
        </w:tc>
        <w:tc>
          <w:tcPr>
            <w:tcW w:w="1982" w:type="dxa"/>
            <w:tcBorders>
              <w:top w:val="nil"/>
              <w:bottom w:val="nil"/>
            </w:tcBorders>
          </w:tcPr>
          <w:p>
            <w:pPr>
              <w:pStyle w:val="TableParagraph"/>
              <w:spacing w:line="201" w:lineRule="exact"/>
              <w:ind w:left="109"/>
              <w:rPr>
                <w:sz w:val="18"/>
              </w:rPr>
            </w:pPr>
            <w:r>
              <w:rPr>
                <w:sz w:val="18"/>
              </w:rPr>
              <w:t>meeting</w:t>
            </w:r>
            <w:r>
              <w:rPr>
                <w:spacing w:val="-6"/>
                <w:sz w:val="18"/>
              </w:rPr>
              <w:t> </w:t>
            </w:r>
            <w:r>
              <w:rPr>
                <w:sz w:val="18"/>
              </w:rPr>
              <w:t>minutes,</w:t>
            </w:r>
            <w:r>
              <w:rPr>
                <w:spacing w:val="-2"/>
                <w:sz w:val="18"/>
              </w:rPr>
              <w:t> </w:t>
            </w:r>
            <w:r>
              <w:rPr>
                <w:spacing w:val="-4"/>
                <w:sz w:val="18"/>
              </w:rPr>
              <w:t>back</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0" w:hRule="atLeast"/>
        </w:trPr>
        <w:tc>
          <w:tcPr>
            <w:tcW w:w="2009" w:type="dxa"/>
            <w:tcBorders>
              <w:top w:val="nil"/>
            </w:tcBorders>
          </w:tcPr>
          <w:p>
            <w:pPr>
              <w:pStyle w:val="TableParagraph"/>
              <w:rPr>
                <w:rFonts w:ascii="Times New Roman"/>
                <w:sz w:val="14"/>
              </w:rPr>
            </w:pPr>
          </w:p>
        </w:tc>
        <w:tc>
          <w:tcPr>
            <w:tcW w:w="1550" w:type="dxa"/>
            <w:tcBorders>
              <w:top w:val="nil"/>
            </w:tcBorders>
          </w:tcPr>
          <w:p>
            <w:pPr>
              <w:pStyle w:val="TableParagraph"/>
              <w:rPr>
                <w:rFonts w:ascii="Times New Roman"/>
                <w:sz w:val="14"/>
              </w:rPr>
            </w:pPr>
          </w:p>
        </w:tc>
        <w:tc>
          <w:tcPr>
            <w:tcW w:w="1932" w:type="dxa"/>
            <w:tcBorders>
              <w:top w:val="nil"/>
            </w:tcBorders>
          </w:tcPr>
          <w:p>
            <w:pPr>
              <w:pStyle w:val="TableParagraph"/>
              <w:rPr>
                <w:rFonts w:ascii="Times New Roman"/>
                <w:sz w:val="14"/>
              </w:rPr>
            </w:pPr>
          </w:p>
        </w:tc>
        <w:tc>
          <w:tcPr>
            <w:tcW w:w="1982" w:type="dxa"/>
            <w:tcBorders>
              <w:top w:val="nil"/>
            </w:tcBorders>
          </w:tcPr>
          <w:p>
            <w:pPr>
              <w:pStyle w:val="TableParagraph"/>
              <w:spacing w:line="183" w:lineRule="exact"/>
              <w:ind w:left="109"/>
              <w:rPr>
                <w:sz w:val="18"/>
              </w:rPr>
            </w:pPr>
            <w:r>
              <w:rPr>
                <w:sz w:val="18"/>
              </w:rPr>
              <w:t>to</w:t>
            </w:r>
            <w:r>
              <w:rPr>
                <w:spacing w:val="-3"/>
                <w:sz w:val="18"/>
              </w:rPr>
              <w:t> </w:t>
            </w:r>
            <w:r>
              <w:rPr>
                <w:sz w:val="18"/>
              </w:rPr>
              <w:t>office</w:t>
            </w:r>
            <w:r>
              <w:rPr>
                <w:spacing w:val="-2"/>
                <w:sz w:val="18"/>
              </w:rPr>
              <w:t> </w:t>
            </w:r>
            <w:r>
              <w:rPr>
                <w:sz w:val="18"/>
              </w:rPr>
              <w:t>reports)</w:t>
            </w:r>
            <w:r>
              <w:rPr>
                <w:spacing w:val="-2"/>
                <w:sz w:val="18"/>
              </w:rPr>
              <w:t> (30%)</w:t>
            </w:r>
          </w:p>
        </w:tc>
        <w:tc>
          <w:tcPr>
            <w:tcW w:w="1461" w:type="dxa"/>
            <w:tcBorders>
              <w:top w:val="nil"/>
            </w:tcBorders>
            <w:shd w:val="clear" w:color="auto" w:fill="A9D08E"/>
          </w:tcPr>
          <w:p>
            <w:pPr>
              <w:pStyle w:val="TableParagraph"/>
              <w:rPr>
                <w:rFonts w:ascii="Times New Roman"/>
                <w:sz w:val="14"/>
              </w:rPr>
            </w:pPr>
          </w:p>
        </w:tc>
        <w:tc>
          <w:tcPr>
            <w:tcW w:w="1834" w:type="dxa"/>
            <w:tcBorders>
              <w:top w:val="nil"/>
            </w:tcBorders>
          </w:tcPr>
          <w:p>
            <w:pPr>
              <w:pStyle w:val="TableParagraph"/>
              <w:rPr>
                <w:rFonts w:ascii="Times New Roman"/>
                <w:sz w:val="14"/>
              </w:rPr>
            </w:pPr>
          </w:p>
        </w:tc>
      </w:tr>
      <w:tr>
        <w:trPr>
          <w:trHeight w:val="452" w:hRule="atLeast"/>
        </w:trPr>
        <w:tc>
          <w:tcPr>
            <w:tcW w:w="2009" w:type="dxa"/>
            <w:vMerge w:val="restart"/>
          </w:tcPr>
          <w:p>
            <w:pPr>
              <w:pStyle w:val="TableParagraph"/>
              <w:rPr>
                <w:rFonts w:ascii="Times New Roman"/>
                <w:sz w:val="18"/>
              </w:rPr>
            </w:pPr>
          </w:p>
        </w:tc>
        <w:tc>
          <w:tcPr>
            <w:tcW w:w="1550" w:type="dxa"/>
            <w:tcBorders>
              <w:bottom w:val="nil"/>
            </w:tcBorders>
          </w:tcPr>
          <w:p>
            <w:pPr>
              <w:pStyle w:val="TableParagraph"/>
              <w:rPr>
                <w:rFonts w:ascii="Times New Roman"/>
                <w:sz w:val="18"/>
              </w:rPr>
            </w:pPr>
          </w:p>
        </w:tc>
        <w:tc>
          <w:tcPr>
            <w:tcW w:w="1932" w:type="dxa"/>
            <w:tcBorders>
              <w:bottom w:val="nil"/>
            </w:tcBorders>
          </w:tcPr>
          <w:p>
            <w:pPr>
              <w:pStyle w:val="TableParagraph"/>
              <w:spacing w:line="219" w:lineRule="exact"/>
              <w:ind w:left="109"/>
              <w:rPr>
                <w:sz w:val="18"/>
              </w:rPr>
            </w:pPr>
            <w:r>
              <w:rPr>
                <w:sz w:val="18"/>
              </w:rPr>
              <w:t>2.3.2</w:t>
            </w:r>
            <w:r>
              <w:rPr>
                <w:spacing w:val="-2"/>
                <w:sz w:val="18"/>
              </w:rPr>
              <w:t> </w:t>
            </w:r>
            <w:r>
              <w:rPr>
                <w:sz w:val="18"/>
              </w:rPr>
              <w:t>SISTA</w:t>
            </w:r>
            <w:r>
              <w:rPr>
                <w:spacing w:val="-2"/>
                <w:sz w:val="18"/>
              </w:rPr>
              <w:t> </w:t>
            </w:r>
            <w:r>
              <w:rPr>
                <w:spacing w:val="-4"/>
                <w:sz w:val="18"/>
              </w:rPr>
              <w:t>2017</w:t>
            </w:r>
          </w:p>
          <w:p>
            <w:pPr>
              <w:pStyle w:val="TableParagraph"/>
              <w:spacing w:line="211" w:lineRule="exact" w:before="1"/>
              <w:ind w:left="109"/>
              <w:rPr>
                <w:sz w:val="18"/>
              </w:rPr>
            </w:pPr>
            <w:r>
              <w:rPr>
                <w:sz w:val="18"/>
              </w:rPr>
              <w:t>results</w:t>
            </w:r>
            <w:r>
              <w:rPr>
                <w:spacing w:val="-4"/>
                <w:sz w:val="18"/>
              </w:rPr>
              <w:t> </w:t>
            </w:r>
            <w:r>
              <w:rPr>
                <w:sz w:val="18"/>
              </w:rPr>
              <w:t>show</w:t>
            </w:r>
            <w:r>
              <w:rPr>
                <w:spacing w:val="-1"/>
                <w:sz w:val="18"/>
              </w:rPr>
              <w:t> </w:t>
            </w:r>
            <w:r>
              <w:rPr>
                <w:spacing w:val="-5"/>
                <w:sz w:val="18"/>
              </w:rPr>
              <w:t>an</w:t>
            </w:r>
          </w:p>
        </w:tc>
        <w:tc>
          <w:tcPr>
            <w:tcW w:w="1982" w:type="dxa"/>
            <w:tcBorders>
              <w:bottom w:val="nil"/>
            </w:tcBorders>
          </w:tcPr>
          <w:p>
            <w:pPr>
              <w:pStyle w:val="TableParagraph"/>
              <w:spacing w:line="219" w:lineRule="exact"/>
              <w:ind w:left="109"/>
              <w:rPr>
                <w:sz w:val="18"/>
              </w:rPr>
            </w:pPr>
            <w:r>
              <w:rPr>
                <w:sz w:val="18"/>
              </w:rPr>
              <w:t>An</w:t>
            </w:r>
            <w:r>
              <w:rPr>
                <w:spacing w:val="-4"/>
                <w:sz w:val="18"/>
              </w:rPr>
              <w:t> </w:t>
            </w:r>
            <w:r>
              <w:rPr>
                <w:sz w:val="18"/>
              </w:rPr>
              <w:t>average</w:t>
            </w:r>
            <w:r>
              <w:rPr>
                <w:spacing w:val="-1"/>
                <w:sz w:val="18"/>
              </w:rPr>
              <w:t> </w:t>
            </w:r>
            <w:r>
              <w:rPr>
                <w:sz w:val="18"/>
              </w:rPr>
              <w:t>of</w:t>
            </w:r>
            <w:r>
              <w:rPr>
                <w:spacing w:val="-1"/>
                <w:sz w:val="18"/>
              </w:rPr>
              <w:t> </w:t>
            </w:r>
            <w:r>
              <w:rPr>
                <w:spacing w:val="-5"/>
                <w:sz w:val="18"/>
              </w:rPr>
              <w:t>all</w:t>
            </w:r>
          </w:p>
          <w:p>
            <w:pPr>
              <w:pStyle w:val="TableParagraph"/>
              <w:spacing w:line="211" w:lineRule="exact" w:before="1"/>
              <w:ind w:left="109"/>
              <w:rPr>
                <w:sz w:val="18"/>
              </w:rPr>
            </w:pPr>
            <w:r>
              <w:rPr>
                <w:sz w:val="18"/>
              </w:rPr>
              <w:t>literacy</w:t>
            </w:r>
            <w:r>
              <w:rPr>
                <w:spacing w:val="-4"/>
                <w:sz w:val="18"/>
              </w:rPr>
              <w:t> </w:t>
            </w:r>
            <w:r>
              <w:rPr>
                <w:sz w:val="18"/>
              </w:rPr>
              <w:t>domains</w:t>
            </w:r>
            <w:r>
              <w:rPr>
                <w:spacing w:val="-2"/>
                <w:sz w:val="18"/>
              </w:rPr>
              <w:t> </w:t>
            </w:r>
            <w:r>
              <w:rPr>
                <w:spacing w:val="-5"/>
                <w:sz w:val="18"/>
              </w:rPr>
              <w:t>has</w:t>
            </w:r>
          </w:p>
        </w:tc>
        <w:tc>
          <w:tcPr>
            <w:tcW w:w="1461" w:type="dxa"/>
            <w:tcBorders>
              <w:bottom w:val="nil"/>
            </w:tcBorders>
            <w:shd w:val="clear" w:color="auto" w:fill="FFC000"/>
          </w:tcPr>
          <w:p>
            <w:pPr>
              <w:pStyle w:val="TableParagraph"/>
              <w:spacing w:line="268" w:lineRule="exact"/>
              <w:ind w:left="156" w:right="146"/>
              <w:jc w:val="center"/>
              <w:rPr>
                <w:sz w:val="22"/>
              </w:rPr>
            </w:pPr>
            <w:r>
              <w:rPr>
                <w:sz w:val="22"/>
              </w:rPr>
              <w:t>10%</w:t>
            </w:r>
            <w:r>
              <w:rPr>
                <w:spacing w:val="-2"/>
                <w:sz w:val="22"/>
              </w:rPr>
              <w:t> </w:t>
            </w:r>
            <w:r>
              <w:rPr>
                <w:sz w:val="22"/>
              </w:rPr>
              <w:t>(of</w:t>
            </w:r>
            <w:r>
              <w:rPr>
                <w:spacing w:val="-3"/>
                <w:sz w:val="22"/>
              </w:rPr>
              <w:t> </w:t>
            </w:r>
            <w:r>
              <w:rPr>
                <w:spacing w:val="-5"/>
                <w:sz w:val="22"/>
              </w:rPr>
              <w:t>30)</w:t>
            </w:r>
          </w:p>
        </w:tc>
        <w:tc>
          <w:tcPr>
            <w:tcW w:w="1834" w:type="dxa"/>
            <w:tcBorders>
              <w:bottom w:val="nil"/>
            </w:tcBorders>
          </w:tcPr>
          <w:p>
            <w:pPr>
              <w:pStyle w:val="TableParagraph"/>
              <w:tabs>
                <w:tab w:pos="957" w:val="left" w:leader="none"/>
              </w:tabs>
              <w:spacing w:line="268" w:lineRule="exact"/>
              <w:ind w:right="98"/>
              <w:jc w:val="right"/>
              <w:rPr>
                <w:sz w:val="22"/>
              </w:rPr>
            </w:pPr>
            <w:r>
              <w:rPr>
                <w:spacing w:val="-10"/>
                <w:sz w:val="22"/>
              </w:rPr>
              <w:t>$</w:t>
            </w:r>
            <w:r>
              <w:rPr>
                <w:sz w:val="22"/>
              </w:rPr>
              <w:tab/>
            </w:r>
            <w:r>
              <w:rPr>
                <w:spacing w:val="-4"/>
                <w:sz w:val="22"/>
              </w:rPr>
              <w:t>3,429</w:t>
            </w:r>
          </w:p>
        </w:tc>
      </w:tr>
      <w:tr>
        <w:trPr>
          <w:trHeight w:val="209" w:hRule="atLeast"/>
        </w:trPr>
        <w:tc>
          <w:tcPr>
            <w:tcW w:w="2009" w:type="dxa"/>
            <w:vMerge/>
            <w:tcBorders>
              <w:top w:val="nil"/>
            </w:tcBorders>
          </w:tcPr>
          <w:p>
            <w:pPr>
              <w:rPr>
                <w:sz w:val="2"/>
                <w:szCs w:val="2"/>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190" w:lineRule="exact"/>
              <w:ind w:left="109"/>
              <w:rPr>
                <w:sz w:val="18"/>
              </w:rPr>
            </w:pPr>
            <w:r>
              <w:rPr>
                <w:sz w:val="18"/>
              </w:rPr>
              <w:t>improvement</w:t>
            </w:r>
            <w:r>
              <w:rPr>
                <w:spacing w:val="-5"/>
                <w:sz w:val="18"/>
              </w:rPr>
              <w:t> </w:t>
            </w:r>
            <w:r>
              <w:rPr>
                <w:sz w:val="18"/>
              </w:rPr>
              <w:t>in</w:t>
            </w:r>
            <w:r>
              <w:rPr>
                <w:spacing w:val="-2"/>
                <w:sz w:val="18"/>
              </w:rPr>
              <w:t> </w:t>
            </w:r>
            <w:r>
              <w:rPr>
                <w:spacing w:val="-4"/>
                <w:sz w:val="18"/>
              </w:rPr>
              <w:t>both</w:t>
            </w:r>
          </w:p>
        </w:tc>
        <w:tc>
          <w:tcPr>
            <w:tcW w:w="1982" w:type="dxa"/>
            <w:tcBorders>
              <w:top w:val="nil"/>
              <w:bottom w:val="nil"/>
            </w:tcBorders>
          </w:tcPr>
          <w:p>
            <w:pPr>
              <w:pStyle w:val="TableParagraph"/>
              <w:spacing w:line="190" w:lineRule="exact"/>
              <w:ind w:left="109"/>
              <w:rPr>
                <w:sz w:val="18"/>
              </w:rPr>
            </w:pPr>
            <w:r>
              <w:rPr>
                <w:sz w:val="18"/>
              </w:rPr>
              <w:t>improved</w:t>
            </w:r>
            <w:r>
              <w:rPr>
                <w:spacing w:val="-4"/>
                <w:sz w:val="18"/>
              </w:rPr>
              <w:t> </w:t>
            </w:r>
            <w:r>
              <w:rPr>
                <w:spacing w:val="-5"/>
                <w:sz w:val="18"/>
              </w:rPr>
              <w:t>and</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9" w:hRule="atLeast"/>
        </w:trPr>
        <w:tc>
          <w:tcPr>
            <w:tcW w:w="2009" w:type="dxa"/>
            <w:vMerge/>
            <w:tcBorders>
              <w:top w:val="nil"/>
            </w:tcBorders>
          </w:tcPr>
          <w:p>
            <w:pPr>
              <w:rPr>
                <w:sz w:val="2"/>
                <w:szCs w:val="2"/>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190" w:lineRule="exact"/>
              <w:ind w:left="109"/>
              <w:rPr>
                <w:sz w:val="18"/>
              </w:rPr>
            </w:pPr>
            <w:r>
              <w:rPr>
                <w:sz w:val="18"/>
              </w:rPr>
              <w:t>literacy</w:t>
            </w:r>
            <w:r>
              <w:rPr>
                <w:spacing w:val="-5"/>
                <w:sz w:val="18"/>
              </w:rPr>
              <w:t> </w:t>
            </w:r>
            <w:r>
              <w:rPr>
                <w:sz w:val="18"/>
              </w:rPr>
              <w:t>and</w:t>
            </w:r>
            <w:r>
              <w:rPr>
                <w:spacing w:val="-1"/>
                <w:sz w:val="18"/>
              </w:rPr>
              <w:t> </w:t>
            </w:r>
            <w:r>
              <w:rPr>
                <w:spacing w:val="-2"/>
                <w:sz w:val="18"/>
              </w:rPr>
              <w:t>numeracy</w:t>
            </w:r>
          </w:p>
        </w:tc>
        <w:tc>
          <w:tcPr>
            <w:tcW w:w="1982" w:type="dxa"/>
            <w:tcBorders>
              <w:top w:val="nil"/>
              <w:bottom w:val="nil"/>
            </w:tcBorders>
          </w:tcPr>
          <w:p>
            <w:pPr>
              <w:pStyle w:val="TableParagraph"/>
              <w:spacing w:line="190" w:lineRule="exact"/>
              <w:ind w:left="109"/>
              <w:rPr>
                <w:sz w:val="18"/>
              </w:rPr>
            </w:pPr>
            <w:r>
              <w:rPr>
                <w:sz w:val="18"/>
              </w:rPr>
              <w:t>numeracy</w:t>
            </w:r>
            <w:r>
              <w:rPr>
                <w:spacing w:val="-2"/>
                <w:sz w:val="18"/>
              </w:rPr>
              <w:t> </w:t>
            </w:r>
            <w:r>
              <w:rPr>
                <w:sz w:val="18"/>
              </w:rPr>
              <w:t>has</w:t>
            </w:r>
            <w:r>
              <w:rPr>
                <w:spacing w:val="-1"/>
                <w:sz w:val="18"/>
              </w:rPr>
              <w:t> </w:t>
            </w:r>
            <w:r>
              <w:rPr>
                <w:spacing w:val="-2"/>
                <w:sz w:val="18"/>
              </w:rPr>
              <w:t>improved</w:t>
            </w:r>
          </w:p>
        </w:tc>
        <w:tc>
          <w:tcPr>
            <w:tcW w:w="1461" w:type="dxa"/>
            <w:tcBorders>
              <w:top w:val="nil"/>
              <w:bottom w:val="nil"/>
            </w:tcBorders>
            <w:shd w:val="clear" w:color="auto" w:fill="FFC000"/>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194" w:hRule="atLeast"/>
        </w:trPr>
        <w:tc>
          <w:tcPr>
            <w:tcW w:w="2009" w:type="dxa"/>
            <w:vMerge/>
            <w:tcBorders>
              <w:top w:val="nil"/>
            </w:tcBorders>
          </w:tcPr>
          <w:p>
            <w:pPr>
              <w:rPr>
                <w:sz w:val="2"/>
                <w:szCs w:val="2"/>
              </w:rPr>
            </w:pPr>
          </w:p>
        </w:tc>
        <w:tc>
          <w:tcPr>
            <w:tcW w:w="1550" w:type="dxa"/>
            <w:tcBorders>
              <w:top w:val="nil"/>
              <w:bottom w:val="nil"/>
            </w:tcBorders>
          </w:tcPr>
          <w:p>
            <w:pPr>
              <w:pStyle w:val="TableParagraph"/>
              <w:rPr>
                <w:rFonts w:ascii="Times New Roman"/>
                <w:sz w:val="12"/>
              </w:rPr>
            </w:pPr>
          </w:p>
        </w:tc>
        <w:tc>
          <w:tcPr>
            <w:tcW w:w="1932" w:type="dxa"/>
            <w:tcBorders>
              <w:top w:val="nil"/>
            </w:tcBorders>
          </w:tcPr>
          <w:p>
            <w:pPr>
              <w:pStyle w:val="TableParagraph"/>
              <w:spacing w:line="177" w:lineRule="exact"/>
              <w:ind w:left="109"/>
              <w:rPr>
                <w:sz w:val="18"/>
              </w:rPr>
            </w:pPr>
            <w:r>
              <w:rPr>
                <w:sz w:val="18"/>
              </w:rPr>
              <w:t>for</w:t>
            </w:r>
            <w:r>
              <w:rPr>
                <w:spacing w:val="-2"/>
                <w:sz w:val="18"/>
              </w:rPr>
              <w:t> </w:t>
            </w:r>
            <w:r>
              <w:rPr>
                <w:sz w:val="18"/>
              </w:rPr>
              <w:t>both</w:t>
            </w:r>
            <w:r>
              <w:rPr>
                <w:spacing w:val="-2"/>
                <w:sz w:val="18"/>
              </w:rPr>
              <w:t> </w:t>
            </w:r>
            <w:r>
              <w:rPr>
                <w:sz w:val="18"/>
              </w:rPr>
              <w:t>grades</w:t>
            </w:r>
            <w:r>
              <w:rPr>
                <w:spacing w:val="-2"/>
                <w:sz w:val="18"/>
              </w:rPr>
              <w:t> </w:t>
            </w:r>
            <w:r>
              <w:rPr>
                <w:sz w:val="18"/>
              </w:rPr>
              <w:t>4</w:t>
            </w:r>
            <w:r>
              <w:rPr>
                <w:spacing w:val="-1"/>
                <w:sz w:val="18"/>
              </w:rPr>
              <w:t> </w:t>
            </w:r>
            <w:r>
              <w:rPr>
                <w:sz w:val="18"/>
              </w:rPr>
              <w:t>and</w:t>
            </w:r>
            <w:r>
              <w:rPr>
                <w:spacing w:val="-2"/>
                <w:sz w:val="18"/>
              </w:rPr>
              <w:t> </w:t>
            </w:r>
            <w:r>
              <w:rPr>
                <w:spacing w:val="-10"/>
                <w:sz w:val="18"/>
              </w:rPr>
              <w:t>6</w:t>
            </w:r>
          </w:p>
        </w:tc>
        <w:tc>
          <w:tcPr>
            <w:tcW w:w="1982" w:type="dxa"/>
            <w:tcBorders>
              <w:top w:val="nil"/>
            </w:tcBorders>
          </w:tcPr>
          <w:p>
            <w:pPr>
              <w:pStyle w:val="TableParagraph"/>
              <w:spacing w:line="177" w:lineRule="exact"/>
              <w:ind w:left="109"/>
              <w:rPr>
                <w:sz w:val="18"/>
              </w:rPr>
            </w:pPr>
            <w:r>
              <w:rPr>
                <w:spacing w:val="-2"/>
                <w:sz w:val="18"/>
              </w:rPr>
              <w:t>(30%)</w:t>
            </w:r>
          </w:p>
        </w:tc>
        <w:tc>
          <w:tcPr>
            <w:tcW w:w="1461" w:type="dxa"/>
            <w:tcBorders>
              <w:top w:val="nil"/>
            </w:tcBorders>
            <w:shd w:val="clear" w:color="auto" w:fill="FFC000"/>
          </w:tcPr>
          <w:p>
            <w:pPr>
              <w:pStyle w:val="TableParagraph"/>
              <w:rPr>
                <w:rFonts w:ascii="Times New Roman"/>
                <w:sz w:val="12"/>
              </w:rPr>
            </w:pPr>
          </w:p>
        </w:tc>
        <w:tc>
          <w:tcPr>
            <w:tcW w:w="1834" w:type="dxa"/>
            <w:tcBorders>
              <w:top w:val="nil"/>
            </w:tcBorders>
          </w:tcPr>
          <w:p>
            <w:pPr>
              <w:pStyle w:val="TableParagraph"/>
              <w:rPr>
                <w:rFonts w:ascii="Times New Roman"/>
                <w:sz w:val="12"/>
              </w:rPr>
            </w:pPr>
          </w:p>
        </w:tc>
      </w:tr>
      <w:tr>
        <w:trPr>
          <w:trHeight w:val="459" w:hRule="atLeast"/>
        </w:trPr>
        <w:tc>
          <w:tcPr>
            <w:tcW w:w="2009" w:type="dxa"/>
            <w:vMerge w:val="restart"/>
            <w:tcBorders>
              <w:bottom w:val="nil"/>
            </w:tcBorders>
          </w:tcPr>
          <w:p>
            <w:pPr>
              <w:pStyle w:val="TableParagraph"/>
              <w:rPr>
                <w:rFonts w:ascii="Times New Roman"/>
                <w:sz w:val="18"/>
              </w:rPr>
            </w:pPr>
          </w:p>
        </w:tc>
        <w:tc>
          <w:tcPr>
            <w:tcW w:w="1550" w:type="dxa"/>
            <w:tcBorders>
              <w:top w:val="nil"/>
              <w:bottom w:val="nil"/>
            </w:tcBorders>
          </w:tcPr>
          <w:p>
            <w:pPr>
              <w:pStyle w:val="TableParagraph"/>
              <w:spacing w:line="220" w:lineRule="atLeast"/>
              <w:ind w:left="108"/>
              <w:rPr>
                <w:b/>
                <w:sz w:val="18"/>
              </w:rPr>
            </w:pPr>
            <w:r>
              <w:rPr>
                <w:b/>
                <w:sz w:val="18"/>
              </w:rPr>
              <w:t>2.4</w:t>
            </w:r>
            <w:r>
              <w:rPr>
                <w:b/>
                <w:spacing w:val="-11"/>
                <w:sz w:val="18"/>
              </w:rPr>
              <w:t> </w:t>
            </w:r>
            <w:r>
              <w:rPr>
                <w:b/>
                <w:sz w:val="18"/>
              </w:rPr>
              <w:t>Percentage</w:t>
            </w:r>
            <w:r>
              <w:rPr>
                <w:b/>
                <w:spacing w:val="-10"/>
                <w:sz w:val="18"/>
              </w:rPr>
              <w:t> </w:t>
            </w:r>
            <w:r>
              <w:rPr>
                <w:b/>
                <w:sz w:val="18"/>
              </w:rPr>
              <w:t>of certified</w:t>
            </w:r>
            <w:r>
              <w:rPr>
                <w:b/>
                <w:spacing w:val="-5"/>
                <w:sz w:val="18"/>
              </w:rPr>
              <w:t> </w:t>
            </w:r>
            <w:r>
              <w:rPr>
                <w:b/>
                <w:spacing w:val="-2"/>
                <w:sz w:val="18"/>
              </w:rPr>
              <w:t>teachers</w:t>
            </w:r>
          </w:p>
        </w:tc>
        <w:tc>
          <w:tcPr>
            <w:tcW w:w="1932" w:type="dxa"/>
            <w:tcBorders>
              <w:bottom w:val="nil"/>
            </w:tcBorders>
          </w:tcPr>
          <w:p>
            <w:pPr>
              <w:pStyle w:val="TableParagraph"/>
              <w:spacing w:line="220" w:lineRule="atLeast"/>
              <w:ind w:left="109" w:right="77"/>
              <w:rPr>
                <w:sz w:val="18"/>
              </w:rPr>
            </w:pPr>
            <w:r>
              <w:rPr>
                <w:sz w:val="18"/>
              </w:rPr>
              <w:t>2.4.1</w:t>
            </w:r>
            <w:r>
              <w:rPr>
                <w:spacing w:val="40"/>
                <w:sz w:val="18"/>
              </w:rPr>
              <w:t> </w:t>
            </w:r>
            <w:r>
              <w:rPr>
                <w:sz w:val="18"/>
              </w:rPr>
              <w:t>By the end of 2018,</w:t>
            </w:r>
            <w:r>
              <w:rPr>
                <w:spacing w:val="-11"/>
                <w:sz w:val="18"/>
              </w:rPr>
              <w:t> </w:t>
            </w:r>
            <w:r>
              <w:rPr>
                <w:sz w:val="18"/>
              </w:rPr>
              <w:t>delivery</w:t>
            </w:r>
            <w:r>
              <w:rPr>
                <w:spacing w:val="-10"/>
                <w:sz w:val="18"/>
              </w:rPr>
              <w:t> </w:t>
            </w:r>
            <w:r>
              <w:rPr>
                <w:sz w:val="18"/>
              </w:rPr>
              <w:t>of</w:t>
            </w:r>
            <w:r>
              <w:rPr>
                <w:spacing w:val="-10"/>
                <w:sz w:val="18"/>
              </w:rPr>
              <w:t> </w:t>
            </w:r>
            <w:r>
              <w:rPr>
                <w:sz w:val="18"/>
              </w:rPr>
              <w:t>USP</w:t>
            </w:r>
          </w:p>
        </w:tc>
        <w:tc>
          <w:tcPr>
            <w:tcW w:w="1982" w:type="dxa"/>
            <w:tcBorders>
              <w:bottom w:val="nil"/>
            </w:tcBorders>
          </w:tcPr>
          <w:p>
            <w:pPr>
              <w:pStyle w:val="TableParagraph"/>
              <w:spacing w:line="220" w:lineRule="atLeast"/>
              <w:ind w:left="109"/>
              <w:rPr>
                <w:sz w:val="18"/>
              </w:rPr>
            </w:pPr>
            <w:r>
              <w:rPr>
                <w:sz w:val="18"/>
              </w:rPr>
              <w:t>Untrained</w:t>
            </w:r>
            <w:r>
              <w:rPr>
                <w:spacing w:val="-2"/>
                <w:sz w:val="18"/>
              </w:rPr>
              <w:t> </w:t>
            </w:r>
            <w:r>
              <w:rPr>
                <w:sz w:val="18"/>
              </w:rPr>
              <w:t>teachers (target</w:t>
            </w:r>
            <w:r>
              <w:rPr>
                <w:spacing w:val="-11"/>
                <w:sz w:val="18"/>
              </w:rPr>
              <w:t> </w:t>
            </w:r>
            <w:r>
              <w:rPr>
                <w:sz w:val="18"/>
              </w:rPr>
              <w:t>of</w:t>
            </w:r>
            <w:r>
              <w:rPr>
                <w:spacing w:val="-10"/>
                <w:sz w:val="18"/>
              </w:rPr>
              <w:t> </w:t>
            </w:r>
            <w:r>
              <w:rPr>
                <w:sz w:val="18"/>
              </w:rPr>
              <w:t>75)</w:t>
            </w:r>
            <w:r>
              <w:rPr>
                <w:spacing w:val="-10"/>
                <w:sz w:val="18"/>
              </w:rPr>
              <w:t> </w:t>
            </w:r>
            <w:r>
              <w:rPr>
                <w:sz w:val="18"/>
              </w:rPr>
              <w:t>complete</w:t>
            </w:r>
          </w:p>
        </w:tc>
        <w:tc>
          <w:tcPr>
            <w:tcW w:w="1461" w:type="dxa"/>
            <w:tcBorders>
              <w:bottom w:val="nil"/>
            </w:tcBorders>
            <w:shd w:val="clear" w:color="auto" w:fill="A9D08E"/>
          </w:tcPr>
          <w:p>
            <w:pPr>
              <w:pStyle w:val="TableParagraph"/>
              <w:spacing w:before="1"/>
              <w:ind w:left="156" w:right="146"/>
              <w:jc w:val="center"/>
              <w:rPr>
                <w:sz w:val="22"/>
              </w:rPr>
            </w:pPr>
            <w:r>
              <w:rPr>
                <w:sz w:val="22"/>
              </w:rPr>
              <w:t>100%</w:t>
            </w:r>
            <w:r>
              <w:rPr>
                <w:spacing w:val="-4"/>
                <w:sz w:val="22"/>
              </w:rPr>
              <w:t> </w:t>
            </w:r>
            <w:r>
              <w:rPr>
                <w:sz w:val="22"/>
              </w:rPr>
              <w:t>(of</w:t>
            </w:r>
            <w:r>
              <w:rPr>
                <w:spacing w:val="-3"/>
                <w:sz w:val="22"/>
              </w:rPr>
              <w:t> </w:t>
            </w:r>
            <w:r>
              <w:rPr>
                <w:spacing w:val="-5"/>
                <w:sz w:val="22"/>
              </w:rPr>
              <w:t>30)</w:t>
            </w:r>
          </w:p>
        </w:tc>
        <w:tc>
          <w:tcPr>
            <w:tcW w:w="1834" w:type="dxa"/>
            <w:tcBorders>
              <w:bottom w:val="nil"/>
            </w:tcBorders>
          </w:tcPr>
          <w:p>
            <w:pPr>
              <w:pStyle w:val="TableParagraph"/>
              <w:tabs>
                <w:tab w:pos="858" w:val="left" w:leader="none"/>
              </w:tabs>
              <w:spacing w:before="1"/>
              <w:ind w:right="98"/>
              <w:jc w:val="right"/>
              <w:rPr>
                <w:sz w:val="22"/>
              </w:rPr>
            </w:pPr>
            <w:r>
              <w:rPr>
                <w:spacing w:val="-10"/>
                <w:sz w:val="22"/>
              </w:rPr>
              <w:t>$</w:t>
            </w:r>
            <w:r>
              <w:rPr>
                <w:sz w:val="22"/>
              </w:rPr>
              <w:tab/>
            </w:r>
            <w:r>
              <w:rPr>
                <w:spacing w:val="-2"/>
                <w:sz w:val="22"/>
              </w:rPr>
              <w:t>34,286</w:t>
            </w:r>
          </w:p>
        </w:tc>
      </w:tr>
      <w:tr>
        <w:trPr>
          <w:trHeight w:val="219" w:hRule="atLeast"/>
        </w:trPr>
        <w:tc>
          <w:tcPr>
            <w:tcW w:w="2009" w:type="dxa"/>
            <w:vMerge/>
            <w:tcBorders>
              <w:top w:val="nil"/>
              <w:bottom w:val="nil"/>
            </w:tcBorders>
          </w:tcPr>
          <w:p>
            <w:pPr>
              <w:rPr>
                <w:sz w:val="2"/>
                <w:szCs w:val="2"/>
              </w:rPr>
            </w:pPr>
          </w:p>
        </w:tc>
        <w:tc>
          <w:tcPr>
            <w:tcW w:w="1550" w:type="dxa"/>
            <w:tcBorders>
              <w:top w:val="nil"/>
              <w:bottom w:val="nil"/>
            </w:tcBorders>
          </w:tcPr>
          <w:p>
            <w:pPr>
              <w:pStyle w:val="TableParagraph"/>
              <w:spacing w:line="200" w:lineRule="exact"/>
              <w:ind w:left="108"/>
              <w:rPr>
                <w:b/>
                <w:sz w:val="18"/>
              </w:rPr>
            </w:pPr>
            <w:r>
              <w:rPr>
                <w:b/>
                <w:sz w:val="18"/>
              </w:rPr>
              <w:t>by</w:t>
            </w:r>
            <w:r>
              <w:rPr>
                <w:b/>
                <w:spacing w:val="-1"/>
                <w:sz w:val="18"/>
              </w:rPr>
              <w:t> </w:t>
            </w:r>
            <w:r>
              <w:rPr>
                <w:b/>
                <w:spacing w:val="-2"/>
                <w:sz w:val="18"/>
              </w:rPr>
              <w:t>gender</w:t>
            </w:r>
          </w:p>
        </w:tc>
        <w:tc>
          <w:tcPr>
            <w:tcW w:w="1932" w:type="dxa"/>
            <w:tcBorders>
              <w:top w:val="nil"/>
              <w:bottom w:val="nil"/>
            </w:tcBorders>
          </w:tcPr>
          <w:p>
            <w:pPr>
              <w:pStyle w:val="TableParagraph"/>
              <w:spacing w:line="200" w:lineRule="exact"/>
              <w:ind w:left="109"/>
              <w:rPr>
                <w:sz w:val="18"/>
              </w:rPr>
            </w:pPr>
            <w:r>
              <w:rPr>
                <w:sz w:val="18"/>
              </w:rPr>
              <w:t>Certificate</w:t>
            </w:r>
            <w:r>
              <w:rPr>
                <w:spacing w:val="-5"/>
                <w:sz w:val="18"/>
              </w:rPr>
              <w:t> </w:t>
            </w:r>
            <w:r>
              <w:rPr>
                <w:sz w:val="18"/>
              </w:rPr>
              <w:t>in</w:t>
            </w:r>
            <w:r>
              <w:rPr>
                <w:spacing w:val="-5"/>
                <w:sz w:val="18"/>
              </w:rPr>
              <w:t> </w:t>
            </w:r>
            <w:r>
              <w:rPr>
                <w:spacing w:val="-2"/>
                <w:sz w:val="18"/>
              </w:rPr>
              <w:t>Teaching</w:t>
            </w:r>
          </w:p>
        </w:tc>
        <w:tc>
          <w:tcPr>
            <w:tcW w:w="1982" w:type="dxa"/>
            <w:tcBorders>
              <w:top w:val="nil"/>
              <w:bottom w:val="nil"/>
            </w:tcBorders>
          </w:tcPr>
          <w:p>
            <w:pPr>
              <w:pStyle w:val="TableParagraph"/>
              <w:spacing w:line="200" w:lineRule="exact"/>
              <w:ind w:left="109"/>
              <w:rPr>
                <w:sz w:val="18"/>
              </w:rPr>
            </w:pPr>
            <w:r>
              <w:rPr>
                <w:sz w:val="18"/>
              </w:rPr>
              <w:t>both</w:t>
            </w:r>
            <w:r>
              <w:rPr>
                <w:spacing w:val="-5"/>
                <w:sz w:val="18"/>
              </w:rPr>
              <w:t> </w:t>
            </w:r>
            <w:r>
              <w:rPr>
                <w:sz w:val="18"/>
              </w:rPr>
              <w:t>courses</w:t>
            </w:r>
            <w:r>
              <w:rPr>
                <w:spacing w:val="-3"/>
                <w:sz w:val="18"/>
              </w:rPr>
              <w:t> </w:t>
            </w:r>
            <w:r>
              <w:rPr>
                <w:spacing w:val="-5"/>
                <w:sz w:val="18"/>
              </w:rPr>
              <w:t>as</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vMerge/>
            <w:tcBorders>
              <w:top w:val="nil"/>
              <w:bottom w:val="nil"/>
            </w:tcBorders>
          </w:tcPr>
          <w:p>
            <w:pPr>
              <w:rPr>
                <w:sz w:val="2"/>
                <w:szCs w:val="2"/>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Primary</w:t>
            </w:r>
            <w:r>
              <w:rPr>
                <w:spacing w:val="-1"/>
                <w:sz w:val="18"/>
              </w:rPr>
              <w:t> </w:t>
            </w:r>
            <w:r>
              <w:rPr>
                <w:spacing w:val="-2"/>
                <w:sz w:val="18"/>
              </w:rPr>
              <w:t>(courses</w:t>
            </w:r>
          </w:p>
        </w:tc>
        <w:tc>
          <w:tcPr>
            <w:tcW w:w="1982" w:type="dxa"/>
            <w:tcBorders>
              <w:top w:val="nil"/>
              <w:bottom w:val="nil"/>
            </w:tcBorders>
          </w:tcPr>
          <w:p>
            <w:pPr>
              <w:pStyle w:val="TableParagraph"/>
              <w:spacing w:line="200" w:lineRule="exact"/>
              <w:ind w:left="109"/>
              <w:rPr>
                <w:sz w:val="18"/>
              </w:rPr>
            </w:pPr>
            <w:r>
              <w:rPr>
                <w:sz w:val="18"/>
              </w:rPr>
              <w:t>reported</w:t>
            </w:r>
            <w:r>
              <w:rPr>
                <w:spacing w:val="-5"/>
                <w:sz w:val="18"/>
              </w:rPr>
              <w:t> </w:t>
            </w:r>
            <w:r>
              <w:rPr>
                <w:sz w:val="18"/>
              </w:rPr>
              <w:t>in</w:t>
            </w:r>
            <w:r>
              <w:rPr>
                <w:spacing w:val="-3"/>
                <w:sz w:val="18"/>
              </w:rPr>
              <w:t> </w:t>
            </w:r>
            <w:r>
              <w:rPr>
                <w:spacing w:val="-2"/>
                <w:sz w:val="18"/>
              </w:rPr>
              <w:t>Annual</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19" w:hRule="atLeast"/>
        </w:trPr>
        <w:tc>
          <w:tcPr>
            <w:tcW w:w="2009" w:type="dxa"/>
            <w:vMerge/>
            <w:tcBorders>
              <w:top w:val="nil"/>
              <w:bottom w:val="nil"/>
            </w:tcBorders>
          </w:tcPr>
          <w:p>
            <w:pPr>
              <w:rPr>
                <w:sz w:val="2"/>
                <w:szCs w:val="2"/>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0" w:lineRule="exact"/>
              <w:ind w:left="109"/>
              <w:rPr>
                <w:sz w:val="18"/>
              </w:rPr>
            </w:pPr>
            <w:r>
              <w:rPr>
                <w:sz w:val="18"/>
              </w:rPr>
              <w:t>ED152</w:t>
            </w:r>
            <w:r>
              <w:rPr>
                <w:spacing w:val="-4"/>
                <w:sz w:val="18"/>
              </w:rPr>
              <w:t> </w:t>
            </w:r>
            <w:r>
              <w:rPr>
                <w:sz w:val="18"/>
              </w:rPr>
              <w:t>and</w:t>
            </w:r>
            <w:r>
              <w:rPr>
                <w:spacing w:val="-4"/>
                <w:sz w:val="18"/>
              </w:rPr>
              <w:t> </w:t>
            </w:r>
            <w:r>
              <w:rPr>
                <w:sz w:val="18"/>
              </w:rPr>
              <w:t>ED100)</w:t>
            </w:r>
            <w:r>
              <w:rPr>
                <w:spacing w:val="-4"/>
                <w:sz w:val="18"/>
              </w:rPr>
              <w:t> </w:t>
            </w:r>
            <w:r>
              <w:rPr>
                <w:spacing w:val="-5"/>
                <w:sz w:val="18"/>
              </w:rPr>
              <w:t>for</w:t>
            </w:r>
          </w:p>
        </w:tc>
        <w:tc>
          <w:tcPr>
            <w:tcW w:w="1982" w:type="dxa"/>
            <w:tcBorders>
              <w:top w:val="nil"/>
              <w:bottom w:val="nil"/>
            </w:tcBorders>
          </w:tcPr>
          <w:p>
            <w:pPr>
              <w:pStyle w:val="TableParagraph"/>
              <w:spacing w:line="200" w:lineRule="exact"/>
              <w:ind w:left="109"/>
              <w:rPr>
                <w:sz w:val="18"/>
              </w:rPr>
            </w:pPr>
            <w:r>
              <w:rPr>
                <w:sz w:val="18"/>
              </w:rPr>
              <w:t>Report</w:t>
            </w:r>
            <w:r>
              <w:rPr>
                <w:spacing w:val="-2"/>
                <w:sz w:val="18"/>
              </w:rPr>
              <w:t> </w:t>
            </w:r>
            <w:r>
              <w:rPr>
                <w:sz w:val="18"/>
              </w:rPr>
              <w:t>2018</w:t>
            </w:r>
            <w:r>
              <w:rPr>
                <w:spacing w:val="-1"/>
                <w:sz w:val="18"/>
              </w:rPr>
              <w:t> </w:t>
            </w:r>
            <w:r>
              <w:rPr>
                <w:spacing w:val="-2"/>
                <w:sz w:val="18"/>
              </w:rPr>
              <w:t>(30%)</w:t>
            </w: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20" w:hRule="atLeast"/>
        </w:trPr>
        <w:tc>
          <w:tcPr>
            <w:tcW w:w="2009" w:type="dxa"/>
            <w:vMerge/>
            <w:tcBorders>
              <w:top w:val="nil"/>
              <w:bottom w:val="nil"/>
            </w:tcBorders>
          </w:tcPr>
          <w:p>
            <w:pPr>
              <w:rPr>
                <w:sz w:val="2"/>
                <w:szCs w:val="2"/>
              </w:rPr>
            </w:pPr>
          </w:p>
        </w:tc>
        <w:tc>
          <w:tcPr>
            <w:tcW w:w="1550" w:type="dxa"/>
            <w:tcBorders>
              <w:top w:val="nil"/>
              <w:bottom w:val="nil"/>
            </w:tcBorders>
          </w:tcPr>
          <w:p>
            <w:pPr>
              <w:pStyle w:val="TableParagraph"/>
              <w:rPr>
                <w:rFonts w:ascii="Times New Roman"/>
                <w:sz w:val="14"/>
              </w:rPr>
            </w:pPr>
          </w:p>
        </w:tc>
        <w:tc>
          <w:tcPr>
            <w:tcW w:w="1932" w:type="dxa"/>
            <w:tcBorders>
              <w:top w:val="nil"/>
              <w:bottom w:val="nil"/>
            </w:tcBorders>
          </w:tcPr>
          <w:p>
            <w:pPr>
              <w:pStyle w:val="TableParagraph"/>
              <w:spacing w:line="201" w:lineRule="exact"/>
              <w:ind w:left="109"/>
              <w:rPr>
                <w:sz w:val="18"/>
              </w:rPr>
            </w:pPr>
            <w:r>
              <w:rPr>
                <w:sz w:val="18"/>
              </w:rPr>
              <w:t>75</w:t>
            </w:r>
            <w:r>
              <w:rPr>
                <w:spacing w:val="-3"/>
                <w:sz w:val="18"/>
              </w:rPr>
              <w:t> </w:t>
            </w:r>
            <w:r>
              <w:rPr>
                <w:sz w:val="18"/>
              </w:rPr>
              <w:t>untrained</w:t>
            </w:r>
            <w:r>
              <w:rPr>
                <w:spacing w:val="-2"/>
                <w:sz w:val="18"/>
              </w:rPr>
              <w:t> teachers</w:t>
            </w:r>
          </w:p>
        </w:tc>
        <w:tc>
          <w:tcPr>
            <w:tcW w:w="1982" w:type="dxa"/>
            <w:tcBorders>
              <w:top w:val="nil"/>
              <w:bottom w:val="nil"/>
            </w:tcBorders>
          </w:tcPr>
          <w:p>
            <w:pPr>
              <w:pStyle w:val="TableParagraph"/>
              <w:rPr>
                <w:rFonts w:ascii="Times New Roman"/>
                <w:sz w:val="14"/>
              </w:rPr>
            </w:pPr>
          </w:p>
        </w:tc>
        <w:tc>
          <w:tcPr>
            <w:tcW w:w="1461" w:type="dxa"/>
            <w:tcBorders>
              <w:top w:val="nil"/>
              <w:bottom w:val="nil"/>
            </w:tcBorders>
            <w:shd w:val="clear" w:color="auto" w:fill="A9D08E"/>
          </w:tcPr>
          <w:p>
            <w:pPr>
              <w:pStyle w:val="TableParagraph"/>
              <w:rPr>
                <w:rFonts w:ascii="Times New Roman"/>
                <w:sz w:val="14"/>
              </w:rPr>
            </w:pPr>
          </w:p>
        </w:tc>
        <w:tc>
          <w:tcPr>
            <w:tcW w:w="1834" w:type="dxa"/>
            <w:tcBorders>
              <w:top w:val="nil"/>
              <w:bottom w:val="nil"/>
            </w:tcBorders>
          </w:tcPr>
          <w:p>
            <w:pPr>
              <w:pStyle w:val="TableParagraph"/>
              <w:rPr>
                <w:rFonts w:ascii="Times New Roman"/>
                <w:sz w:val="14"/>
              </w:rPr>
            </w:pPr>
          </w:p>
        </w:tc>
      </w:tr>
      <w:tr>
        <w:trPr>
          <w:trHeight w:val="200" w:hRule="atLeast"/>
        </w:trPr>
        <w:tc>
          <w:tcPr>
            <w:tcW w:w="2009" w:type="dxa"/>
            <w:vMerge/>
            <w:tcBorders>
              <w:top w:val="nil"/>
              <w:bottom w:val="nil"/>
            </w:tcBorders>
          </w:tcPr>
          <w:p>
            <w:pPr>
              <w:rPr>
                <w:sz w:val="2"/>
                <w:szCs w:val="2"/>
              </w:rPr>
            </w:pPr>
          </w:p>
        </w:tc>
        <w:tc>
          <w:tcPr>
            <w:tcW w:w="1550" w:type="dxa"/>
            <w:tcBorders>
              <w:top w:val="nil"/>
              <w:bottom w:val="nil"/>
            </w:tcBorders>
          </w:tcPr>
          <w:p>
            <w:pPr>
              <w:pStyle w:val="TableParagraph"/>
              <w:rPr>
                <w:rFonts w:ascii="Times New Roman"/>
                <w:sz w:val="14"/>
              </w:rPr>
            </w:pPr>
          </w:p>
        </w:tc>
        <w:tc>
          <w:tcPr>
            <w:tcW w:w="1932" w:type="dxa"/>
            <w:tcBorders>
              <w:top w:val="nil"/>
            </w:tcBorders>
          </w:tcPr>
          <w:p>
            <w:pPr>
              <w:pStyle w:val="TableParagraph"/>
              <w:spacing w:line="183" w:lineRule="exact"/>
              <w:ind w:left="109"/>
              <w:rPr>
                <w:sz w:val="18"/>
              </w:rPr>
            </w:pPr>
            <w:r>
              <w:rPr>
                <w:spacing w:val="-2"/>
                <w:sz w:val="18"/>
              </w:rPr>
              <w:t>completed</w:t>
            </w:r>
          </w:p>
        </w:tc>
        <w:tc>
          <w:tcPr>
            <w:tcW w:w="1982" w:type="dxa"/>
            <w:tcBorders>
              <w:top w:val="nil"/>
            </w:tcBorders>
          </w:tcPr>
          <w:p>
            <w:pPr>
              <w:pStyle w:val="TableParagraph"/>
              <w:rPr>
                <w:rFonts w:ascii="Times New Roman"/>
                <w:sz w:val="14"/>
              </w:rPr>
            </w:pPr>
          </w:p>
        </w:tc>
        <w:tc>
          <w:tcPr>
            <w:tcW w:w="1461" w:type="dxa"/>
            <w:tcBorders>
              <w:top w:val="nil"/>
            </w:tcBorders>
            <w:shd w:val="clear" w:color="auto" w:fill="A9D08E"/>
          </w:tcPr>
          <w:p>
            <w:pPr>
              <w:pStyle w:val="TableParagraph"/>
              <w:rPr>
                <w:rFonts w:ascii="Times New Roman"/>
                <w:sz w:val="14"/>
              </w:rPr>
            </w:pPr>
          </w:p>
        </w:tc>
        <w:tc>
          <w:tcPr>
            <w:tcW w:w="1834" w:type="dxa"/>
            <w:tcBorders>
              <w:top w:val="nil"/>
            </w:tcBorders>
          </w:tcPr>
          <w:p>
            <w:pPr>
              <w:pStyle w:val="TableParagraph"/>
              <w:rPr>
                <w:rFonts w:ascii="Times New Roman"/>
                <w:sz w:val="14"/>
              </w:rPr>
            </w:pPr>
          </w:p>
        </w:tc>
      </w:tr>
    </w:tbl>
    <w:p>
      <w:pPr>
        <w:spacing w:after="0"/>
        <w:rPr>
          <w:rFonts w:ascii="Times New Roman"/>
          <w:sz w:val="14"/>
        </w:rPr>
        <w:sectPr>
          <w:type w:val="continuous"/>
          <w:pgSz w:w="16850" w:h="11900" w:orient="landscape"/>
          <w:pgMar w:header="867" w:footer="830" w:top="1380" w:bottom="1020" w:left="1200" w:right="2420"/>
        </w:sectPr>
      </w:pPr>
    </w:p>
    <w:tbl>
      <w:tblPr>
        <w:tblW w:w="0" w:type="auto"/>
        <w:jc w:val="left"/>
        <w:tblInd w:w="22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09"/>
        <w:gridCol w:w="1550"/>
        <w:gridCol w:w="1932"/>
        <w:gridCol w:w="1982"/>
        <w:gridCol w:w="1461"/>
        <w:gridCol w:w="1834"/>
      </w:tblGrid>
      <w:tr>
        <w:trPr>
          <w:trHeight w:val="988" w:hRule="atLeast"/>
        </w:trPr>
        <w:tc>
          <w:tcPr>
            <w:tcW w:w="2009" w:type="dxa"/>
            <w:tcBorders>
              <w:top w:val="nil"/>
            </w:tcBorders>
          </w:tcPr>
          <w:p>
            <w:pPr>
              <w:pStyle w:val="TableParagraph"/>
              <w:rPr>
                <w:rFonts w:ascii="Times New Roman"/>
                <w:sz w:val="18"/>
              </w:rPr>
            </w:pPr>
          </w:p>
        </w:tc>
        <w:tc>
          <w:tcPr>
            <w:tcW w:w="1550" w:type="dxa"/>
            <w:tcBorders>
              <w:top w:val="nil"/>
            </w:tcBorders>
          </w:tcPr>
          <w:p>
            <w:pPr>
              <w:pStyle w:val="TableParagraph"/>
              <w:rPr>
                <w:rFonts w:ascii="Times New Roman"/>
                <w:sz w:val="18"/>
              </w:rPr>
            </w:pPr>
          </w:p>
        </w:tc>
        <w:tc>
          <w:tcPr>
            <w:tcW w:w="1932" w:type="dxa"/>
            <w:tcBorders>
              <w:top w:val="nil"/>
            </w:tcBorders>
          </w:tcPr>
          <w:p>
            <w:pPr>
              <w:pStyle w:val="TableParagraph"/>
              <w:ind w:left="109" w:right="77"/>
              <w:rPr>
                <w:sz w:val="18"/>
              </w:rPr>
            </w:pPr>
            <w:r>
              <w:rPr>
                <w:sz w:val="18"/>
              </w:rPr>
              <w:t>2.4.2</w:t>
            </w:r>
            <w:r>
              <w:rPr>
                <w:spacing w:val="40"/>
                <w:sz w:val="18"/>
              </w:rPr>
              <w:t> </w:t>
            </w:r>
            <w:r>
              <w:rPr>
                <w:sz w:val="18"/>
              </w:rPr>
              <w:t>By the end of 2018,</w:t>
            </w:r>
            <w:r>
              <w:rPr>
                <w:spacing w:val="-11"/>
                <w:sz w:val="18"/>
              </w:rPr>
              <w:t> </w:t>
            </w:r>
            <w:r>
              <w:rPr>
                <w:sz w:val="18"/>
              </w:rPr>
              <w:t>a</w:t>
            </w:r>
            <w:r>
              <w:rPr>
                <w:spacing w:val="-10"/>
                <w:sz w:val="18"/>
              </w:rPr>
              <w:t> </w:t>
            </w:r>
            <w:r>
              <w:rPr>
                <w:sz w:val="18"/>
              </w:rPr>
              <w:t>Teacher</w:t>
            </w:r>
            <w:r>
              <w:rPr>
                <w:spacing w:val="-10"/>
                <w:sz w:val="18"/>
              </w:rPr>
              <w:t> </w:t>
            </w:r>
            <w:r>
              <w:rPr>
                <w:sz w:val="18"/>
              </w:rPr>
              <w:t>Supply and Demand study endorsed by SMT</w:t>
            </w:r>
          </w:p>
        </w:tc>
        <w:tc>
          <w:tcPr>
            <w:tcW w:w="1982" w:type="dxa"/>
            <w:tcBorders>
              <w:top w:val="nil"/>
            </w:tcBorders>
          </w:tcPr>
          <w:p>
            <w:pPr>
              <w:pStyle w:val="TableParagraph"/>
              <w:ind w:left="109" w:right="131"/>
              <w:rPr>
                <w:sz w:val="18"/>
              </w:rPr>
            </w:pPr>
            <w:r>
              <w:rPr>
                <w:sz w:val="18"/>
              </w:rPr>
              <w:t>A quality Teacher Supply and Demand study</w:t>
            </w:r>
            <w:r>
              <w:rPr>
                <w:spacing w:val="-11"/>
                <w:sz w:val="18"/>
              </w:rPr>
              <w:t> </w:t>
            </w:r>
            <w:r>
              <w:rPr>
                <w:sz w:val="18"/>
              </w:rPr>
              <w:t>endorsed</w:t>
            </w:r>
            <w:r>
              <w:rPr>
                <w:spacing w:val="-10"/>
                <w:sz w:val="18"/>
              </w:rPr>
              <w:t> </w:t>
            </w:r>
            <w:r>
              <w:rPr>
                <w:sz w:val="18"/>
              </w:rPr>
              <w:t>by</w:t>
            </w:r>
            <w:r>
              <w:rPr>
                <w:spacing w:val="-10"/>
                <w:sz w:val="18"/>
              </w:rPr>
              <w:t> </w:t>
            </w:r>
            <w:r>
              <w:rPr>
                <w:sz w:val="18"/>
              </w:rPr>
              <w:t>SMT </w:t>
            </w:r>
            <w:r>
              <w:rPr>
                <w:spacing w:val="-2"/>
                <w:sz w:val="18"/>
              </w:rPr>
              <w:t>(70%)</w:t>
            </w:r>
          </w:p>
        </w:tc>
        <w:tc>
          <w:tcPr>
            <w:tcW w:w="1461" w:type="dxa"/>
            <w:tcBorders>
              <w:top w:val="nil"/>
            </w:tcBorders>
            <w:shd w:val="clear" w:color="auto" w:fill="FF0000"/>
          </w:tcPr>
          <w:p>
            <w:pPr>
              <w:pStyle w:val="TableParagraph"/>
              <w:spacing w:line="268" w:lineRule="exact"/>
              <w:ind w:left="156" w:right="142"/>
              <w:jc w:val="center"/>
              <w:rPr>
                <w:sz w:val="22"/>
              </w:rPr>
            </w:pPr>
            <w:r>
              <w:rPr>
                <w:spacing w:val="-5"/>
                <w:sz w:val="22"/>
              </w:rPr>
              <w:t>0%</w:t>
            </w:r>
          </w:p>
        </w:tc>
        <w:tc>
          <w:tcPr>
            <w:tcW w:w="1834" w:type="dxa"/>
            <w:tcBorders>
              <w:top w:val="nil"/>
            </w:tcBorders>
          </w:tcPr>
          <w:p>
            <w:pPr>
              <w:pStyle w:val="TableParagraph"/>
              <w:tabs>
                <w:tab w:pos="1258" w:val="left" w:leader="none"/>
              </w:tabs>
              <w:spacing w:line="268" w:lineRule="exact"/>
              <w:ind w:right="95"/>
              <w:jc w:val="right"/>
              <w:rPr>
                <w:sz w:val="22"/>
              </w:rPr>
            </w:pPr>
            <w:r>
              <w:rPr>
                <w:spacing w:val="-10"/>
                <w:sz w:val="22"/>
              </w:rPr>
              <w:t>$</w:t>
            </w:r>
            <w:r>
              <w:rPr>
                <w:sz w:val="22"/>
              </w:rPr>
              <w:tab/>
            </w:r>
            <w:r>
              <w:rPr>
                <w:spacing w:val="-10"/>
                <w:sz w:val="22"/>
              </w:rPr>
              <w:t>-</w:t>
            </w:r>
          </w:p>
        </w:tc>
      </w:tr>
      <w:tr>
        <w:trPr>
          <w:trHeight w:val="1541" w:hRule="atLeast"/>
        </w:trPr>
        <w:tc>
          <w:tcPr>
            <w:tcW w:w="2009" w:type="dxa"/>
            <w:vMerge w:val="restart"/>
          </w:tcPr>
          <w:p>
            <w:pPr>
              <w:pStyle w:val="TableParagraph"/>
              <w:tabs>
                <w:tab w:pos="1537" w:val="left" w:leader="none"/>
              </w:tabs>
              <w:spacing w:before="1"/>
              <w:ind w:left="107" w:right="165"/>
              <w:rPr>
                <w:b/>
                <w:sz w:val="18"/>
              </w:rPr>
            </w:pPr>
            <w:r>
              <w:rPr>
                <w:b/>
                <w:spacing w:val="-2"/>
                <w:sz w:val="18"/>
              </w:rPr>
              <w:t>QUALITY</w:t>
            </w:r>
            <w:r>
              <w:rPr>
                <w:b/>
                <w:sz w:val="18"/>
              </w:rPr>
              <w:tab/>
            </w:r>
            <w:r>
              <w:rPr>
                <w:b/>
                <w:spacing w:val="-4"/>
                <w:sz w:val="18"/>
              </w:rPr>
              <w:t>(48)</w:t>
            </w:r>
            <w:r>
              <w:rPr>
                <w:b/>
                <w:sz w:val="18"/>
              </w:rPr>
              <w:t> </w:t>
            </w:r>
            <w:r>
              <w:rPr>
                <w:b/>
                <w:spacing w:val="-4"/>
                <w:sz w:val="18"/>
              </w:rPr>
              <w:t>TBA</w:t>
            </w:r>
          </w:p>
        </w:tc>
        <w:tc>
          <w:tcPr>
            <w:tcW w:w="1550" w:type="dxa"/>
            <w:vMerge w:val="restart"/>
          </w:tcPr>
          <w:p>
            <w:pPr>
              <w:pStyle w:val="TableParagraph"/>
              <w:spacing w:before="1"/>
              <w:ind w:left="108" w:right="115"/>
              <w:rPr>
                <w:b/>
                <w:sz w:val="18"/>
              </w:rPr>
            </w:pPr>
            <w:r>
              <w:rPr>
                <w:b/>
                <w:sz w:val="18"/>
              </w:rPr>
              <w:t>2.5</w:t>
            </w:r>
            <w:r>
              <w:rPr>
                <w:b/>
                <w:spacing w:val="40"/>
                <w:sz w:val="18"/>
              </w:rPr>
              <w:t> </w:t>
            </w:r>
            <w:r>
              <w:rPr>
                <w:b/>
                <w:sz w:val="18"/>
              </w:rPr>
              <w:t>School grant expenditure</w:t>
            </w:r>
            <w:r>
              <w:rPr>
                <w:b/>
                <w:spacing w:val="-11"/>
                <w:sz w:val="18"/>
              </w:rPr>
              <w:t> </w:t>
            </w:r>
            <w:r>
              <w:rPr>
                <w:b/>
                <w:sz w:val="18"/>
              </w:rPr>
              <w:t>used for learning </w:t>
            </w:r>
            <w:r>
              <w:rPr>
                <w:b/>
                <w:spacing w:val="-2"/>
                <w:sz w:val="18"/>
              </w:rPr>
              <w:t>materials</w:t>
            </w:r>
          </w:p>
        </w:tc>
        <w:tc>
          <w:tcPr>
            <w:tcW w:w="1932" w:type="dxa"/>
          </w:tcPr>
          <w:p>
            <w:pPr>
              <w:pStyle w:val="TableParagraph"/>
              <w:spacing w:before="1"/>
              <w:ind w:left="109" w:right="329"/>
              <w:rPr>
                <w:sz w:val="18"/>
              </w:rPr>
            </w:pPr>
            <w:r>
              <w:rPr>
                <w:sz w:val="18"/>
              </w:rPr>
              <w:t>2.5.1</w:t>
            </w:r>
            <w:r>
              <w:rPr>
                <w:spacing w:val="69"/>
                <w:sz w:val="18"/>
              </w:rPr>
              <w:t> </w:t>
            </w:r>
            <w:r>
              <w:rPr>
                <w:sz w:val="18"/>
              </w:rPr>
              <w:t>By</w:t>
            </w:r>
            <w:r>
              <w:rPr>
                <w:spacing w:val="-5"/>
                <w:sz w:val="18"/>
              </w:rPr>
              <w:t> </w:t>
            </w:r>
            <w:r>
              <w:rPr>
                <w:sz w:val="18"/>
              </w:rPr>
              <w:t>the</w:t>
            </w:r>
            <w:r>
              <w:rPr>
                <w:spacing w:val="-5"/>
                <w:sz w:val="18"/>
              </w:rPr>
              <w:t> </w:t>
            </w:r>
            <w:r>
              <w:rPr>
                <w:sz w:val="18"/>
              </w:rPr>
              <w:t>end</w:t>
            </w:r>
            <w:r>
              <w:rPr>
                <w:spacing w:val="-5"/>
                <w:sz w:val="18"/>
              </w:rPr>
              <w:t> </w:t>
            </w:r>
            <w:r>
              <w:rPr>
                <w:sz w:val="18"/>
              </w:rPr>
              <w:t>of 2018, school grants (Secondary,</w:t>
            </w:r>
            <w:r>
              <w:rPr>
                <w:spacing w:val="-11"/>
                <w:sz w:val="18"/>
              </w:rPr>
              <w:t> </w:t>
            </w:r>
            <w:r>
              <w:rPr>
                <w:sz w:val="18"/>
              </w:rPr>
              <w:t>Primary and TVET) training completed in three </w:t>
            </w:r>
            <w:r>
              <w:rPr>
                <w:spacing w:val="-2"/>
                <w:sz w:val="18"/>
              </w:rPr>
              <w:t>provinces</w:t>
            </w:r>
          </w:p>
        </w:tc>
        <w:tc>
          <w:tcPr>
            <w:tcW w:w="1982" w:type="dxa"/>
          </w:tcPr>
          <w:p>
            <w:pPr>
              <w:pStyle w:val="TableParagraph"/>
              <w:spacing w:before="1"/>
              <w:ind w:left="109"/>
              <w:rPr>
                <w:sz w:val="18"/>
              </w:rPr>
            </w:pPr>
            <w:r>
              <w:rPr>
                <w:sz w:val="18"/>
              </w:rPr>
              <w:t>Training that promotes the</w:t>
            </w:r>
            <w:r>
              <w:rPr>
                <w:spacing w:val="-10"/>
                <w:sz w:val="18"/>
              </w:rPr>
              <w:t> </w:t>
            </w:r>
            <w:r>
              <w:rPr>
                <w:sz w:val="18"/>
              </w:rPr>
              <w:t>use</w:t>
            </w:r>
            <w:r>
              <w:rPr>
                <w:spacing w:val="-10"/>
                <w:sz w:val="18"/>
              </w:rPr>
              <w:t> </w:t>
            </w:r>
            <w:r>
              <w:rPr>
                <w:sz w:val="18"/>
              </w:rPr>
              <w:t>of</w:t>
            </w:r>
            <w:r>
              <w:rPr>
                <w:spacing w:val="-10"/>
                <w:sz w:val="18"/>
              </w:rPr>
              <w:t> </w:t>
            </w:r>
            <w:r>
              <w:rPr>
                <w:sz w:val="18"/>
              </w:rPr>
              <w:t>school</w:t>
            </w:r>
            <w:r>
              <w:rPr>
                <w:spacing w:val="-10"/>
                <w:sz w:val="18"/>
              </w:rPr>
              <w:t> </w:t>
            </w:r>
            <w:r>
              <w:rPr>
                <w:sz w:val="18"/>
              </w:rPr>
              <w:t>grants for learning materials carried out.</w:t>
            </w:r>
            <w:r>
              <w:rPr>
                <w:spacing w:val="40"/>
                <w:sz w:val="18"/>
              </w:rPr>
              <w:t> </w:t>
            </w:r>
            <w:r>
              <w:rPr>
                <w:sz w:val="18"/>
              </w:rPr>
              <w:t>Training reports or records for three</w:t>
            </w:r>
            <w:r>
              <w:rPr>
                <w:spacing w:val="-7"/>
                <w:sz w:val="18"/>
              </w:rPr>
              <w:t> </w:t>
            </w:r>
            <w:r>
              <w:rPr>
                <w:sz w:val="18"/>
              </w:rPr>
              <w:t>provinces</w:t>
            </w:r>
            <w:r>
              <w:rPr>
                <w:spacing w:val="-8"/>
                <w:sz w:val="18"/>
              </w:rPr>
              <w:t> </w:t>
            </w:r>
            <w:r>
              <w:rPr>
                <w:sz w:val="18"/>
              </w:rPr>
              <w:t>in</w:t>
            </w:r>
            <w:r>
              <w:rPr>
                <w:spacing w:val="-8"/>
                <w:sz w:val="18"/>
              </w:rPr>
              <w:t> </w:t>
            </w:r>
            <w:r>
              <w:rPr>
                <w:sz w:val="18"/>
              </w:rPr>
              <w:t>2018</w:t>
            </w:r>
          </w:p>
          <w:p>
            <w:pPr>
              <w:pStyle w:val="TableParagraph"/>
              <w:spacing w:line="201" w:lineRule="exact"/>
              <w:ind w:left="109"/>
              <w:rPr>
                <w:sz w:val="18"/>
              </w:rPr>
            </w:pPr>
            <w:r>
              <w:rPr>
                <w:spacing w:val="-2"/>
                <w:sz w:val="18"/>
              </w:rPr>
              <w:t>(50%)</w:t>
            </w:r>
          </w:p>
        </w:tc>
        <w:tc>
          <w:tcPr>
            <w:tcW w:w="1461" w:type="dxa"/>
            <w:shd w:val="clear" w:color="auto" w:fill="A9D08E"/>
          </w:tcPr>
          <w:p>
            <w:pPr>
              <w:pStyle w:val="TableParagraph"/>
              <w:spacing w:line="268" w:lineRule="exact"/>
              <w:ind w:left="156" w:right="146"/>
              <w:jc w:val="center"/>
              <w:rPr>
                <w:sz w:val="22"/>
              </w:rPr>
            </w:pPr>
            <w:r>
              <w:rPr>
                <w:spacing w:val="-4"/>
                <w:sz w:val="22"/>
              </w:rPr>
              <w:t>100%</w:t>
            </w:r>
          </w:p>
        </w:tc>
        <w:tc>
          <w:tcPr>
            <w:tcW w:w="1834" w:type="dxa"/>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57,143</w:t>
            </w:r>
          </w:p>
        </w:tc>
      </w:tr>
      <w:tr>
        <w:trPr>
          <w:trHeight w:val="1319"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Pr>
          <w:p>
            <w:pPr>
              <w:pStyle w:val="TableParagraph"/>
              <w:spacing w:before="1"/>
              <w:ind w:left="109"/>
              <w:rPr>
                <w:sz w:val="18"/>
              </w:rPr>
            </w:pPr>
            <w:r>
              <w:rPr>
                <w:sz w:val="18"/>
              </w:rPr>
              <w:t>2.5.2.</w:t>
            </w:r>
            <w:r>
              <w:rPr>
                <w:spacing w:val="35"/>
                <w:sz w:val="18"/>
              </w:rPr>
              <w:t> </w:t>
            </w:r>
            <w:r>
              <w:rPr>
                <w:sz w:val="18"/>
              </w:rPr>
              <w:t>By</w:t>
            </w:r>
            <w:r>
              <w:rPr>
                <w:spacing w:val="-3"/>
                <w:sz w:val="18"/>
              </w:rPr>
              <w:t> </w:t>
            </w:r>
            <w:r>
              <w:rPr>
                <w:sz w:val="18"/>
              </w:rPr>
              <w:t>the</w:t>
            </w:r>
            <w:r>
              <w:rPr>
                <w:spacing w:val="-4"/>
                <w:sz w:val="18"/>
              </w:rPr>
              <w:t> </w:t>
            </w:r>
            <w:r>
              <w:rPr>
                <w:sz w:val="18"/>
              </w:rPr>
              <w:t>end</w:t>
            </w:r>
            <w:r>
              <w:rPr>
                <w:spacing w:val="-4"/>
                <w:sz w:val="18"/>
              </w:rPr>
              <w:t> </w:t>
            </w:r>
            <w:r>
              <w:rPr>
                <w:sz w:val="18"/>
              </w:rPr>
              <w:t>of 2018, analysis of retirements</w:t>
            </w:r>
            <w:r>
              <w:rPr>
                <w:spacing w:val="-11"/>
                <w:sz w:val="18"/>
              </w:rPr>
              <w:t> </w:t>
            </w:r>
            <w:r>
              <w:rPr>
                <w:sz w:val="18"/>
              </w:rPr>
              <w:t>to</w:t>
            </w:r>
            <w:r>
              <w:rPr>
                <w:spacing w:val="-10"/>
                <w:sz w:val="18"/>
              </w:rPr>
              <w:t> </w:t>
            </w:r>
            <w:r>
              <w:rPr>
                <w:sz w:val="18"/>
              </w:rPr>
              <w:t>show breakdown</w:t>
            </w:r>
            <w:r>
              <w:rPr>
                <w:spacing w:val="-2"/>
                <w:sz w:val="18"/>
              </w:rPr>
              <w:t> </w:t>
            </w:r>
            <w:r>
              <w:rPr>
                <w:sz w:val="18"/>
              </w:rPr>
              <w:t>of </w:t>
            </w:r>
            <w:r>
              <w:rPr>
                <w:spacing w:val="-2"/>
                <w:sz w:val="18"/>
              </w:rPr>
              <w:t>expenditure</w:t>
            </w:r>
          </w:p>
        </w:tc>
        <w:tc>
          <w:tcPr>
            <w:tcW w:w="1982" w:type="dxa"/>
          </w:tcPr>
          <w:p>
            <w:pPr>
              <w:pStyle w:val="TableParagraph"/>
              <w:spacing w:before="1"/>
              <w:ind w:left="109" w:right="158" w:firstLine="40"/>
              <w:rPr>
                <w:sz w:val="18"/>
              </w:rPr>
            </w:pPr>
            <w:r>
              <w:rPr>
                <w:sz w:val="18"/>
              </w:rPr>
              <w:t>Report on analysis of acquittals showing currently</w:t>
            </w:r>
            <w:r>
              <w:rPr>
                <w:spacing w:val="-11"/>
                <w:sz w:val="18"/>
              </w:rPr>
              <w:t> </w:t>
            </w:r>
            <w:r>
              <w:rPr>
                <w:sz w:val="18"/>
              </w:rPr>
              <w:t>how</w:t>
            </w:r>
            <w:r>
              <w:rPr>
                <w:spacing w:val="-10"/>
                <w:sz w:val="18"/>
              </w:rPr>
              <w:t> </w:t>
            </w:r>
            <w:r>
              <w:rPr>
                <w:sz w:val="18"/>
              </w:rPr>
              <w:t>much</w:t>
            </w:r>
            <w:r>
              <w:rPr>
                <w:spacing w:val="-10"/>
                <w:sz w:val="18"/>
              </w:rPr>
              <w:t> </w:t>
            </w:r>
            <w:r>
              <w:rPr>
                <w:sz w:val="18"/>
              </w:rPr>
              <w:t>of school grants is used for learning materials</w:t>
            </w:r>
          </w:p>
          <w:p>
            <w:pPr>
              <w:pStyle w:val="TableParagraph"/>
              <w:spacing w:line="199" w:lineRule="exact"/>
              <w:ind w:left="109"/>
              <w:rPr>
                <w:sz w:val="18"/>
              </w:rPr>
            </w:pPr>
            <w:r>
              <w:rPr>
                <w:spacing w:val="-2"/>
                <w:sz w:val="18"/>
              </w:rPr>
              <w:t>(50%)</w:t>
            </w:r>
          </w:p>
        </w:tc>
        <w:tc>
          <w:tcPr>
            <w:tcW w:w="1461" w:type="dxa"/>
            <w:shd w:val="clear" w:color="auto" w:fill="FF0000"/>
          </w:tcPr>
          <w:p>
            <w:pPr>
              <w:pStyle w:val="TableParagraph"/>
              <w:spacing w:line="268" w:lineRule="exact"/>
              <w:ind w:left="13"/>
              <w:jc w:val="center"/>
              <w:rPr>
                <w:sz w:val="22"/>
              </w:rPr>
            </w:pPr>
            <w:r>
              <w:rPr>
                <w:w w:val="100"/>
                <w:sz w:val="22"/>
              </w:rPr>
              <w:t>0</w:t>
            </w:r>
          </w:p>
        </w:tc>
        <w:tc>
          <w:tcPr>
            <w:tcW w:w="1834" w:type="dxa"/>
          </w:tcPr>
          <w:p>
            <w:pPr>
              <w:pStyle w:val="TableParagraph"/>
              <w:tabs>
                <w:tab w:pos="1258" w:val="left" w:leader="none"/>
              </w:tabs>
              <w:spacing w:line="268" w:lineRule="exact"/>
              <w:ind w:right="95"/>
              <w:jc w:val="right"/>
              <w:rPr>
                <w:sz w:val="22"/>
              </w:rPr>
            </w:pPr>
            <w:r>
              <w:rPr>
                <w:spacing w:val="-10"/>
                <w:sz w:val="22"/>
              </w:rPr>
              <w:t>$</w:t>
            </w:r>
            <w:r>
              <w:rPr>
                <w:sz w:val="22"/>
              </w:rPr>
              <w:tab/>
            </w:r>
            <w:r>
              <w:rPr>
                <w:spacing w:val="-10"/>
                <w:sz w:val="22"/>
              </w:rPr>
              <w:t>-</w:t>
            </w:r>
          </w:p>
        </w:tc>
      </w:tr>
      <w:tr>
        <w:trPr>
          <w:trHeight w:val="1977" w:hRule="atLeast"/>
        </w:trPr>
        <w:tc>
          <w:tcPr>
            <w:tcW w:w="2009" w:type="dxa"/>
            <w:vMerge w:val="restart"/>
          </w:tcPr>
          <w:p>
            <w:pPr>
              <w:pStyle w:val="TableParagraph"/>
              <w:ind w:left="107" w:right="742"/>
              <w:rPr>
                <w:b/>
                <w:sz w:val="18"/>
              </w:rPr>
            </w:pPr>
            <w:r>
              <w:rPr>
                <w:b/>
                <w:spacing w:val="-2"/>
                <w:sz w:val="18"/>
              </w:rPr>
              <w:t>MANAGEMENT</w:t>
            </w:r>
            <w:r>
              <w:rPr>
                <w:b/>
                <w:sz w:val="18"/>
              </w:rPr>
              <w:t> </w:t>
            </w:r>
            <w:r>
              <w:rPr>
                <w:b/>
                <w:spacing w:val="-2"/>
                <w:sz w:val="18"/>
              </w:rPr>
              <w:t>SYSTEMS</w:t>
            </w:r>
            <w:r>
              <w:rPr>
                <w:b/>
                <w:spacing w:val="80"/>
                <w:sz w:val="18"/>
              </w:rPr>
              <w:t> </w:t>
            </w:r>
            <w:r>
              <w:rPr>
                <w:b/>
                <w:sz w:val="18"/>
              </w:rPr>
              <w:t>EO3.1 (55-66)</w:t>
            </w:r>
          </w:p>
        </w:tc>
        <w:tc>
          <w:tcPr>
            <w:tcW w:w="1550" w:type="dxa"/>
            <w:vMerge w:val="restart"/>
          </w:tcPr>
          <w:p>
            <w:pPr>
              <w:pStyle w:val="TableParagraph"/>
              <w:ind w:left="108" w:right="160"/>
              <w:rPr>
                <w:b/>
                <w:sz w:val="18"/>
              </w:rPr>
            </w:pPr>
            <w:r>
              <w:rPr>
                <w:b/>
                <w:sz w:val="18"/>
              </w:rPr>
              <w:t>3.1 Retirement percentage of 2018 Second Biannual</w:t>
            </w:r>
            <w:r>
              <w:rPr>
                <w:b/>
                <w:spacing w:val="30"/>
                <w:sz w:val="18"/>
              </w:rPr>
              <w:t> </w:t>
            </w:r>
            <w:r>
              <w:rPr>
                <w:b/>
                <w:sz w:val="18"/>
              </w:rPr>
              <w:t>School Grants</w:t>
            </w:r>
            <w:r>
              <w:rPr>
                <w:b/>
                <w:spacing w:val="-11"/>
                <w:sz w:val="18"/>
              </w:rPr>
              <w:t> </w:t>
            </w:r>
            <w:r>
              <w:rPr>
                <w:b/>
                <w:sz w:val="18"/>
              </w:rPr>
              <w:t>improved and 2019 first </w:t>
            </w:r>
            <w:r>
              <w:rPr>
                <w:b/>
                <w:spacing w:val="-2"/>
                <w:sz w:val="18"/>
              </w:rPr>
              <w:t>tranche</w:t>
            </w:r>
            <w:r>
              <w:rPr>
                <w:b/>
                <w:sz w:val="18"/>
              </w:rPr>
              <w:t> disbursement</w:t>
            </w:r>
            <w:r>
              <w:rPr>
                <w:b/>
                <w:spacing w:val="-11"/>
                <w:sz w:val="18"/>
              </w:rPr>
              <w:t> </w:t>
            </w:r>
            <w:r>
              <w:rPr>
                <w:b/>
                <w:sz w:val="18"/>
              </w:rPr>
              <w:t>on </w:t>
            </w:r>
            <w:r>
              <w:rPr>
                <w:b/>
                <w:spacing w:val="-4"/>
                <w:sz w:val="18"/>
              </w:rPr>
              <w:t>time</w:t>
            </w:r>
          </w:p>
        </w:tc>
        <w:tc>
          <w:tcPr>
            <w:tcW w:w="1932" w:type="dxa"/>
          </w:tcPr>
          <w:p>
            <w:pPr>
              <w:pStyle w:val="TableParagraph"/>
              <w:ind w:left="109" w:right="77"/>
              <w:rPr>
                <w:sz w:val="18"/>
              </w:rPr>
            </w:pPr>
            <w:r>
              <w:rPr>
                <w:sz w:val="18"/>
              </w:rPr>
              <w:t>3.1.1 At least 65% of 2018</w:t>
            </w:r>
            <w:r>
              <w:rPr>
                <w:spacing w:val="-11"/>
                <w:sz w:val="18"/>
              </w:rPr>
              <w:t> </w:t>
            </w:r>
            <w:r>
              <w:rPr>
                <w:sz w:val="18"/>
              </w:rPr>
              <w:t>School</w:t>
            </w:r>
            <w:r>
              <w:rPr>
                <w:spacing w:val="-10"/>
                <w:sz w:val="18"/>
              </w:rPr>
              <w:t> </w:t>
            </w:r>
            <w:r>
              <w:rPr>
                <w:sz w:val="18"/>
              </w:rPr>
              <w:t>grants</w:t>
            </w:r>
            <w:r>
              <w:rPr>
                <w:spacing w:val="-10"/>
                <w:sz w:val="18"/>
              </w:rPr>
              <w:t> </w:t>
            </w:r>
            <w:r>
              <w:rPr>
                <w:sz w:val="18"/>
              </w:rPr>
              <w:t>are retired by 31 March 2019 (2018 second </w:t>
            </w:r>
            <w:r>
              <w:rPr>
                <w:spacing w:val="-2"/>
                <w:sz w:val="18"/>
              </w:rPr>
              <w:t>biannual)</w:t>
            </w:r>
          </w:p>
        </w:tc>
        <w:tc>
          <w:tcPr>
            <w:tcW w:w="1982" w:type="dxa"/>
          </w:tcPr>
          <w:p>
            <w:pPr>
              <w:pStyle w:val="TableParagraph"/>
              <w:ind w:left="109" w:right="158"/>
              <w:rPr>
                <w:sz w:val="18"/>
              </w:rPr>
            </w:pPr>
            <w:r>
              <w:rPr>
                <w:sz w:val="18"/>
              </w:rPr>
              <w:t>MEHRD</w:t>
            </w:r>
            <w:r>
              <w:rPr>
                <w:spacing w:val="-2"/>
                <w:sz w:val="18"/>
              </w:rPr>
              <w:t> </w:t>
            </w:r>
            <w:r>
              <w:rPr>
                <w:sz w:val="18"/>
              </w:rPr>
              <w:t>Acquittal report for Primary, Secondary,</w:t>
            </w:r>
            <w:r>
              <w:rPr>
                <w:spacing w:val="-11"/>
                <w:sz w:val="18"/>
              </w:rPr>
              <w:t> </w:t>
            </w:r>
            <w:r>
              <w:rPr>
                <w:sz w:val="18"/>
              </w:rPr>
              <w:t>TVET</w:t>
            </w:r>
            <w:r>
              <w:rPr>
                <w:spacing w:val="-10"/>
                <w:sz w:val="18"/>
              </w:rPr>
              <w:t> </w:t>
            </w:r>
            <w:r>
              <w:rPr>
                <w:sz w:val="18"/>
              </w:rPr>
              <w:t>as</w:t>
            </w:r>
            <w:r>
              <w:rPr>
                <w:spacing w:val="-10"/>
                <w:sz w:val="18"/>
              </w:rPr>
              <w:t> </w:t>
            </w:r>
            <w:r>
              <w:rPr>
                <w:sz w:val="18"/>
              </w:rPr>
              <w:t>at 31 March 2019 –</w:t>
            </w:r>
          </w:p>
          <w:p>
            <w:pPr>
              <w:pStyle w:val="TableParagraph"/>
              <w:spacing w:before="1"/>
              <w:ind w:left="109"/>
              <w:rPr>
                <w:sz w:val="18"/>
              </w:rPr>
            </w:pPr>
            <w:r>
              <w:rPr>
                <w:sz w:val="18"/>
              </w:rPr>
              <w:t>retirements</w:t>
            </w:r>
            <w:r>
              <w:rPr>
                <w:spacing w:val="-7"/>
                <w:sz w:val="18"/>
              </w:rPr>
              <w:t> </w:t>
            </w:r>
            <w:r>
              <w:rPr>
                <w:spacing w:val="-2"/>
                <w:sz w:val="18"/>
              </w:rPr>
              <w:t>(50%)</w:t>
            </w:r>
          </w:p>
        </w:tc>
        <w:tc>
          <w:tcPr>
            <w:tcW w:w="1461" w:type="dxa"/>
            <w:shd w:val="clear" w:color="auto" w:fill="FF0000"/>
          </w:tcPr>
          <w:p>
            <w:pPr>
              <w:pStyle w:val="TableParagraph"/>
              <w:spacing w:line="268" w:lineRule="exact"/>
              <w:ind w:left="13"/>
              <w:jc w:val="center"/>
              <w:rPr>
                <w:sz w:val="22"/>
              </w:rPr>
            </w:pPr>
            <w:r>
              <w:rPr>
                <w:w w:val="100"/>
                <w:sz w:val="22"/>
              </w:rPr>
              <w:t>0</w:t>
            </w:r>
          </w:p>
        </w:tc>
        <w:tc>
          <w:tcPr>
            <w:tcW w:w="1834" w:type="dxa"/>
          </w:tcPr>
          <w:p>
            <w:pPr>
              <w:pStyle w:val="TableParagraph"/>
              <w:tabs>
                <w:tab w:pos="1258" w:val="left" w:leader="none"/>
              </w:tabs>
              <w:spacing w:line="268" w:lineRule="exact"/>
              <w:ind w:right="95"/>
              <w:jc w:val="right"/>
              <w:rPr>
                <w:sz w:val="22"/>
              </w:rPr>
            </w:pPr>
            <w:r>
              <w:rPr>
                <w:spacing w:val="-10"/>
                <w:sz w:val="22"/>
              </w:rPr>
              <w:t>$</w:t>
            </w:r>
            <w:r>
              <w:rPr>
                <w:sz w:val="22"/>
              </w:rPr>
              <w:tab/>
            </w:r>
            <w:r>
              <w:rPr>
                <w:spacing w:val="-10"/>
                <w:sz w:val="22"/>
              </w:rPr>
              <w:t>-</w:t>
            </w:r>
          </w:p>
        </w:tc>
      </w:tr>
      <w:tr>
        <w:trPr>
          <w:trHeight w:val="1389"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Pr>
          <w:p>
            <w:pPr>
              <w:pStyle w:val="TableParagraph"/>
              <w:spacing w:before="1"/>
              <w:ind w:left="109" w:right="181"/>
              <w:rPr>
                <w:sz w:val="18"/>
              </w:rPr>
            </w:pPr>
            <w:r>
              <w:rPr>
                <w:sz w:val="18"/>
              </w:rPr>
              <w:t>3.1.2.</w:t>
            </w:r>
            <w:r>
              <w:rPr>
                <w:spacing w:val="40"/>
                <w:sz w:val="18"/>
              </w:rPr>
              <w:t> </w:t>
            </w:r>
            <w:r>
              <w:rPr>
                <w:sz w:val="18"/>
              </w:rPr>
              <w:t>At least 85% received the first tranche</w:t>
            </w:r>
            <w:r>
              <w:rPr>
                <w:spacing w:val="-11"/>
                <w:sz w:val="18"/>
              </w:rPr>
              <w:t> </w:t>
            </w:r>
            <w:r>
              <w:rPr>
                <w:sz w:val="18"/>
              </w:rPr>
              <w:t>of</w:t>
            </w:r>
            <w:r>
              <w:rPr>
                <w:spacing w:val="-10"/>
                <w:sz w:val="18"/>
              </w:rPr>
              <w:t> </w:t>
            </w:r>
            <w:r>
              <w:rPr>
                <w:sz w:val="18"/>
              </w:rPr>
              <w:t>their</w:t>
            </w:r>
            <w:r>
              <w:rPr>
                <w:spacing w:val="-10"/>
                <w:sz w:val="18"/>
              </w:rPr>
              <w:t> </w:t>
            </w:r>
            <w:r>
              <w:rPr>
                <w:sz w:val="18"/>
              </w:rPr>
              <w:t>2019 grant by 31 March </w:t>
            </w:r>
            <w:r>
              <w:rPr>
                <w:spacing w:val="-4"/>
                <w:sz w:val="18"/>
              </w:rPr>
              <w:t>2019</w:t>
            </w:r>
          </w:p>
        </w:tc>
        <w:tc>
          <w:tcPr>
            <w:tcW w:w="1982" w:type="dxa"/>
          </w:tcPr>
          <w:p>
            <w:pPr>
              <w:pStyle w:val="TableParagraph"/>
              <w:spacing w:before="1"/>
              <w:ind w:left="109" w:right="131" w:firstLine="40"/>
              <w:rPr>
                <w:sz w:val="18"/>
              </w:rPr>
            </w:pPr>
            <w:r>
              <w:rPr>
                <w:sz w:val="18"/>
              </w:rPr>
              <w:t>MERHD</w:t>
            </w:r>
            <w:r>
              <w:rPr>
                <w:spacing w:val="-2"/>
                <w:sz w:val="18"/>
              </w:rPr>
              <w:t> </w:t>
            </w:r>
            <w:r>
              <w:rPr>
                <w:sz w:val="18"/>
              </w:rPr>
              <w:t>Acquittal report for Primary, Secondary, TVET as at 31 March 2019 - disbursement of first tranche</w:t>
            </w:r>
            <w:r>
              <w:rPr>
                <w:spacing w:val="-11"/>
                <w:sz w:val="18"/>
              </w:rPr>
              <w:t> </w:t>
            </w:r>
            <w:r>
              <w:rPr>
                <w:sz w:val="18"/>
              </w:rPr>
              <w:t>for</w:t>
            </w:r>
            <w:r>
              <w:rPr>
                <w:spacing w:val="-10"/>
                <w:sz w:val="18"/>
              </w:rPr>
              <w:t> </w:t>
            </w:r>
            <w:r>
              <w:rPr>
                <w:sz w:val="18"/>
              </w:rPr>
              <w:t>2019</w:t>
            </w:r>
            <w:r>
              <w:rPr>
                <w:spacing w:val="-10"/>
                <w:sz w:val="18"/>
              </w:rPr>
              <w:t> </w:t>
            </w:r>
            <w:r>
              <w:rPr>
                <w:sz w:val="18"/>
              </w:rPr>
              <w:t>(50%)</w:t>
            </w:r>
          </w:p>
        </w:tc>
        <w:tc>
          <w:tcPr>
            <w:tcW w:w="1461" w:type="dxa"/>
            <w:shd w:val="clear" w:color="auto" w:fill="A9D08E"/>
          </w:tcPr>
          <w:p>
            <w:pPr>
              <w:pStyle w:val="TableParagraph"/>
              <w:spacing w:line="268" w:lineRule="exact"/>
              <w:ind w:left="156" w:right="146"/>
              <w:jc w:val="center"/>
              <w:rPr>
                <w:sz w:val="22"/>
              </w:rPr>
            </w:pPr>
            <w:r>
              <w:rPr>
                <w:sz w:val="22"/>
              </w:rPr>
              <w:t>100%</w:t>
            </w:r>
            <w:r>
              <w:rPr>
                <w:spacing w:val="-4"/>
                <w:sz w:val="22"/>
              </w:rPr>
              <w:t> </w:t>
            </w:r>
            <w:r>
              <w:rPr>
                <w:sz w:val="22"/>
              </w:rPr>
              <w:t>(of</w:t>
            </w:r>
            <w:r>
              <w:rPr>
                <w:spacing w:val="-3"/>
                <w:sz w:val="22"/>
              </w:rPr>
              <w:t> </w:t>
            </w:r>
            <w:r>
              <w:rPr>
                <w:spacing w:val="-5"/>
                <w:sz w:val="22"/>
              </w:rPr>
              <w:t>50)</w:t>
            </w:r>
          </w:p>
        </w:tc>
        <w:tc>
          <w:tcPr>
            <w:tcW w:w="1834" w:type="dxa"/>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57,143</w:t>
            </w:r>
          </w:p>
        </w:tc>
      </w:tr>
      <w:tr>
        <w:trPr>
          <w:trHeight w:val="779" w:hRule="atLeast"/>
        </w:trPr>
        <w:tc>
          <w:tcPr>
            <w:tcW w:w="2009" w:type="dxa"/>
            <w:vMerge w:val="restart"/>
          </w:tcPr>
          <w:p>
            <w:pPr>
              <w:pStyle w:val="TableParagraph"/>
              <w:spacing w:before="61"/>
              <w:ind w:left="107" w:right="165"/>
              <w:rPr>
                <w:b/>
                <w:sz w:val="18"/>
              </w:rPr>
            </w:pPr>
            <w:r>
              <w:rPr>
                <w:b/>
                <w:spacing w:val="-2"/>
                <w:sz w:val="18"/>
              </w:rPr>
              <w:t>MANAGEMENT</w:t>
            </w:r>
            <w:r>
              <w:rPr>
                <w:b/>
                <w:sz w:val="18"/>
              </w:rPr>
              <w:t> </w:t>
            </w:r>
            <w:r>
              <w:rPr>
                <w:b/>
                <w:spacing w:val="-2"/>
                <w:sz w:val="18"/>
              </w:rPr>
              <w:t>SYSTEMS</w:t>
            </w:r>
          </w:p>
          <w:p>
            <w:pPr>
              <w:pStyle w:val="TableParagraph"/>
              <w:spacing w:line="219" w:lineRule="exact"/>
              <w:ind w:left="107"/>
              <w:rPr>
                <w:b/>
                <w:sz w:val="18"/>
              </w:rPr>
            </w:pPr>
            <w:r>
              <w:rPr>
                <w:b/>
                <w:spacing w:val="-2"/>
                <w:sz w:val="18"/>
              </w:rPr>
              <w:t>(TBA)</w:t>
            </w:r>
          </w:p>
        </w:tc>
        <w:tc>
          <w:tcPr>
            <w:tcW w:w="1550" w:type="dxa"/>
            <w:vMerge w:val="restart"/>
          </w:tcPr>
          <w:p>
            <w:pPr>
              <w:pStyle w:val="TableParagraph"/>
              <w:spacing w:before="1"/>
              <w:ind w:left="108" w:right="256"/>
              <w:rPr>
                <w:b/>
                <w:sz w:val="18"/>
              </w:rPr>
            </w:pPr>
            <w:r>
              <w:rPr>
                <w:b/>
                <w:sz w:val="18"/>
              </w:rPr>
              <w:t>3.2 New Education</w:t>
            </w:r>
            <w:r>
              <w:rPr>
                <w:b/>
                <w:spacing w:val="-11"/>
                <w:sz w:val="18"/>
              </w:rPr>
              <w:t> </w:t>
            </w:r>
            <w:r>
              <w:rPr>
                <w:b/>
                <w:sz w:val="18"/>
              </w:rPr>
              <w:t>Bill</w:t>
            </w:r>
            <w:r>
              <w:rPr>
                <w:b/>
                <w:spacing w:val="-10"/>
                <w:sz w:val="18"/>
              </w:rPr>
              <w:t> </w:t>
            </w:r>
            <w:r>
              <w:rPr>
                <w:b/>
                <w:sz w:val="18"/>
              </w:rPr>
              <w:t>is </w:t>
            </w:r>
            <w:r>
              <w:rPr>
                <w:b/>
                <w:spacing w:val="-2"/>
                <w:sz w:val="18"/>
              </w:rPr>
              <w:t>passed</w:t>
            </w:r>
          </w:p>
        </w:tc>
        <w:tc>
          <w:tcPr>
            <w:tcW w:w="1932" w:type="dxa"/>
            <w:vMerge w:val="restart"/>
          </w:tcPr>
          <w:p>
            <w:pPr>
              <w:pStyle w:val="TableParagraph"/>
              <w:spacing w:before="1"/>
              <w:ind w:left="109" w:right="72"/>
              <w:rPr>
                <w:sz w:val="18"/>
              </w:rPr>
            </w:pPr>
            <w:r>
              <w:rPr>
                <w:sz w:val="18"/>
              </w:rPr>
              <w:t>3.2.1 Draft Education Bill</w:t>
            </w:r>
            <w:r>
              <w:rPr>
                <w:spacing w:val="-11"/>
                <w:sz w:val="18"/>
              </w:rPr>
              <w:t> </w:t>
            </w:r>
            <w:r>
              <w:rPr>
                <w:sz w:val="18"/>
              </w:rPr>
              <w:t>is</w:t>
            </w:r>
            <w:r>
              <w:rPr>
                <w:spacing w:val="-10"/>
                <w:sz w:val="18"/>
              </w:rPr>
              <w:t> </w:t>
            </w:r>
            <w:r>
              <w:rPr>
                <w:sz w:val="18"/>
              </w:rPr>
              <w:t>endorsed</w:t>
            </w:r>
            <w:r>
              <w:rPr>
                <w:spacing w:val="-10"/>
                <w:sz w:val="18"/>
              </w:rPr>
              <w:t> </w:t>
            </w:r>
            <w:r>
              <w:rPr>
                <w:sz w:val="18"/>
              </w:rPr>
              <w:t>by</w:t>
            </w:r>
            <w:r>
              <w:rPr>
                <w:spacing w:val="-10"/>
                <w:sz w:val="18"/>
              </w:rPr>
              <w:t> </w:t>
            </w:r>
            <w:r>
              <w:rPr>
                <w:sz w:val="18"/>
              </w:rPr>
              <w:t>NEB in</w:t>
            </w:r>
            <w:r>
              <w:rPr>
                <w:spacing w:val="-2"/>
                <w:sz w:val="18"/>
              </w:rPr>
              <w:t> </w:t>
            </w:r>
            <w:r>
              <w:rPr>
                <w:sz w:val="18"/>
              </w:rPr>
              <w:t>October</w:t>
            </w:r>
          </w:p>
        </w:tc>
        <w:tc>
          <w:tcPr>
            <w:tcW w:w="1982" w:type="dxa"/>
          </w:tcPr>
          <w:p>
            <w:pPr>
              <w:pStyle w:val="TableParagraph"/>
              <w:spacing w:before="1"/>
              <w:ind w:left="109"/>
              <w:rPr>
                <w:sz w:val="18"/>
              </w:rPr>
            </w:pPr>
            <w:r>
              <w:rPr>
                <w:sz w:val="18"/>
              </w:rPr>
              <w:t>Bill in final format approved</w:t>
            </w:r>
            <w:r>
              <w:rPr>
                <w:spacing w:val="-11"/>
                <w:sz w:val="18"/>
              </w:rPr>
              <w:t> </w:t>
            </w:r>
            <w:r>
              <w:rPr>
                <w:sz w:val="18"/>
              </w:rPr>
              <w:t>by</w:t>
            </w:r>
            <w:r>
              <w:rPr>
                <w:spacing w:val="-10"/>
                <w:sz w:val="18"/>
              </w:rPr>
              <w:t> </w:t>
            </w:r>
            <w:r>
              <w:rPr>
                <w:sz w:val="18"/>
              </w:rPr>
              <w:t>SMT</w:t>
            </w:r>
            <w:r>
              <w:rPr>
                <w:spacing w:val="-10"/>
                <w:sz w:val="18"/>
              </w:rPr>
              <w:t> </w:t>
            </w:r>
            <w:r>
              <w:rPr>
                <w:sz w:val="18"/>
              </w:rPr>
              <w:t>(50%)</w:t>
            </w:r>
          </w:p>
        </w:tc>
        <w:tc>
          <w:tcPr>
            <w:tcW w:w="1461" w:type="dxa"/>
            <w:shd w:val="clear" w:color="auto" w:fill="A9D08E"/>
          </w:tcPr>
          <w:p>
            <w:pPr>
              <w:pStyle w:val="TableParagraph"/>
              <w:spacing w:line="268" w:lineRule="exact"/>
              <w:ind w:left="156" w:right="146"/>
              <w:jc w:val="center"/>
              <w:rPr>
                <w:sz w:val="22"/>
              </w:rPr>
            </w:pPr>
            <w:r>
              <w:rPr>
                <w:sz w:val="22"/>
              </w:rPr>
              <w:t>100%</w:t>
            </w:r>
            <w:r>
              <w:rPr>
                <w:spacing w:val="-4"/>
                <w:sz w:val="22"/>
              </w:rPr>
              <w:t> </w:t>
            </w:r>
            <w:r>
              <w:rPr>
                <w:sz w:val="22"/>
              </w:rPr>
              <w:t>(of</w:t>
            </w:r>
            <w:r>
              <w:rPr>
                <w:spacing w:val="-3"/>
                <w:sz w:val="22"/>
              </w:rPr>
              <w:t> </w:t>
            </w:r>
            <w:r>
              <w:rPr>
                <w:spacing w:val="-5"/>
                <w:sz w:val="22"/>
              </w:rPr>
              <w:t>50)</w:t>
            </w:r>
          </w:p>
        </w:tc>
        <w:tc>
          <w:tcPr>
            <w:tcW w:w="1834" w:type="dxa"/>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57,143</w:t>
            </w:r>
          </w:p>
        </w:tc>
      </w:tr>
      <w:tr>
        <w:trPr>
          <w:trHeight w:val="570"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vMerge/>
            <w:tcBorders>
              <w:top w:val="nil"/>
            </w:tcBorders>
          </w:tcPr>
          <w:p>
            <w:pPr>
              <w:rPr>
                <w:sz w:val="2"/>
                <w:szCs w:val="2"/>
              </w:rPr>
            </w:pPr>
          </w:p>
        </w:tc>
        <w:tc>
          <w:tcPr>
            <w:tcW w:w="1982" w:type="dxa"/>
          </w:tcPr>
          <w:p>
            <w:pPr>
              <w:pStyle w:val="TableParagraph"/>
              <w:spacing w:before="1"/>
              <w:ind w:left="109"/>
              <w:rPr>
                <w:sz w:val="18"/>
              </w:rPr>
            </w:pPr>
            <w:r>
              <w:rPr>
                <w:sz w:val="18"/>
              </w:rPr>
              <w:t>NEB memorandum to Minister</w:t>
            </w:r>
            <w:r>
              <w:rPr>
                <w:spacing w:val="-11"/>
                <w:sz w:val="18"/>
              </w:rPr>
              <w:t> </w:t>
            </w:r>
            <w:r>
              <w:rPr>
                <w:sz w:val="18"/>
              </w:rPr>
              <w:t>of</w:t>
            </w:r>
            <w:r>
              <w:rPr>
                <w:spacing w:val="-10"/>
                <w:sz w:val="18"/>
              </w:rPr>
              <w:t> </w:t>
            </w:r>
            <w:r>
              <w:rPr>
                <w:sz w:val="18"/>
              </w:rPr>
              <w:t>EHRD</w:t>
            </w:r>
            <w:r>
              <w:rPr>
                <w:spacing w:val="-10"/>
                <w:sz w:val="18"/>
              </w:rPr>
              <w:t> </w:t>
            </w:r>
            <w:r>
              <w:rPr>
                <w:sz w:val="18"/>
              </w:rPr>
              <w:t>(50%)</w:t>
            </w:r>
          </w:p>
        </w:tc>
        <w:tc>
          <w:tcPr>
            <w:tcW w:w="1461" w:type="dxa"/>
            <w:shd w:val="clear" w:color="auto" w:fill="A9D08E"/>
          </w:tcPr>
          <w:p>
            <w:pPr>
              <w:pStyle w:val="TableParagraph"/>
              <w:spacing w:line="268" w:lineRule="exact"/>
              <w:ind w:left="156" w:right="146"/>
              <w:jc w:val="center"/>
              <w:rPr>
                <w:sz w:val="22"/>
              </w:rPr>
            </w:pPr>
            <w:r>
              <w:rPr>
                <w:sz w:val="22"/>
              </w:rPr>
              <w:t>100%</w:t>
            </w:r>
            <w:r>
              <w:rPr>
                <w:spacing w:val="-4"/>
                <w:sz w:val="22"/>
              </w:rPr>
              <w:t> </w:t>
            </w:r>
            <w:r>
              <w:rPr>
                <w:sz w:val="22"/>
              </w:rPr>
              <w:t>(of</w:t>
            </w:r>
            <w:r>
              <w:rPr>
                <w:spacing w:val="-3"/>
                <w:sz w:val="22"/>
              </w:rPr>
              <w:t> </w:t>
            </w:r>
            <w:r>
              <w:rPr>
                <w:spacing w:val="-5"/>
                <w:sz w:val="22"/>
              </w:rPr>
              <w:t>50)</w:t>
            </w:r>
          </w:p>
        </w:tc>
        <w:tc>
          <w:tcPr>
            <w:tcW w:w="1834" w:type="dxa"/>
          </w:tcPr>
          <w:p>
            <w:pPr>
              <w:pStyle w:val="TableParagraph"/>
              <w:tabs>
                <w:tab w:pos="858" w:val="left" w:leader="none"/>
              </w:tabs>
              <w:spacing w:line="268" w:lineRule="exact"/>
              <w:ind w:right="98"/>
              <w:jc w:val="right"/>
              <w:rPr>
                <w:sz w:val="22"/>
              </w:rPr>
            </w:pPr>
            <w:r>
              <w:rPr>
                <w:spacing w:val="-10"/>
                <w:sz w:val="22"/>
              </w:rPr>
              <w:t>$</w:t>
            </w:r>
            <w:r>
              <w:rPr>
                <w:sz w:val="22"/>
              </w:rPr>
              <w:tab/>
            </w:r>
            <w:r>
              <w:rPr>
                <w:spacing w:val="-2"/>
                <w:sz w:val="22"/>
              </w:rPr>
              <w:t>57,143</w:t>
            </w:r>
          </w:p>
        </w:tc>
      </w:tr>
    </w:tbl>
    <w:p>
      <w:pPr>
        <w:spacing w:after="0" w:line="268" w:lineRule="exact"/>
        <w:jc w:val="right"/>
        <w:rPr>
          <w:sz w:val="22"/>
        </w:rPr>
        <w:sectPr>
          <w:type w:val="continuous"/>
          <w:pgSz w:w="16850" w:h="11900" w:orient="landscape"/>
          <w:pgMar w:header="867" w:footer="830" w:top="1380" w:bottom="1020" w:left="1200" w:right="2420"/>
        </w:sectPr>
      </w:pPr>
    </w:p>
    <w:tbl>
      <w:tblPr>
        <w:tblW w:w="0" w:type="auto"/>
        <w:jc w:val="left"/>
        <w:tblInd w:w="22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09"/>
        <w:gridCol w:w="1550"/>
        <w:gridCol w:w="1932"/>
        <w:gridCol w:w="1982"/>
        <w:gridCol w:w="1461"/>
        <w:gridCol w:w="1834"/>
      </w:tblGrid>
      <w:tr>
        <w:trPr>
          <w:trHeight w:val="1756" w:hRule="atLeast"/>
        </w:trPr>
        <w:tc>
          <w:tcPr>
            <w:tcW w:w="2009" w:type="dxa"/>
            <w:tcBorders>
              <w:top w:val="nil"/>
            </w:tcBorders>
          </w:tcPr>
          <w:p>
            <w:pPr>
              <w:pStyle w:val="TableParagraph"/>
              <w:tabs>
                <w:tab w:pos="1441" w:val="left" w:leader="none"/>
              </w:tabs>
              <w:ind w:left="107" w:right="185"/>
              <w:rPr>
                <w:b/>
                <w:sz w:val="18"/>
              </w:rPr>
            </w:pPr>
            <w:r>
              <w:rPr>
                <w:b/>
                <w:spacing w:val="-2"/>
                <w:sz w:val="18"/>
              </w:rPr>
              <w:t>MANAGEMENT</w:t>
            </w:r>
            <w:r>
              <w:rPr>
                <w:b/>
                <w:sz w:val="18"/>
              </w:rPr>
              <w:t> </w:t>
            </w:r>
            <w:r>
              <w:rPr>
                <w:b/>
                <w:spacing w:val="-2"/>
                <w:sz w:val="18"/>
              </w:rPr>
              <w:t>SYSTEMS</w:t>
            </w:r>
            <w:r>
              <w:rPr>
                <w:b/>
                <w:sz w:val="18"/>
              </w:rPr>
              <w:tab/>
            </w:r>
            <w:r>
              <w:rPr>
                <w:b/>
                <w:spacing w:val="-4"/>
                <w:sz w:val="18"/>
              </w:rPr>
              <w:t>I03.2</w:t>
            </w:r>
            <w:r>
              <w:rPr>
                <w:b/>
                <w:sz w:val="18"/>
              </w:rPr>
              <w:t> </w:t>
            </w:r>
            <w:r>
              <w:rPr>
                <w:b/>
                <w:spacing w:val="-4"/>
                <w:sz w:val="18"/>
              </w:rPr>
              <w:t>(40)</w:t>
            </w:r>
          </w:p>
        </w:tc>
        <w:tc>
          <w:tcPr>
            <w:tcW w:w="1550" w:type="dxa"/>
            <w:tcBorders>
              <w:top w:val="nil"/>
            </w:tcBorders>
          </w:tcPr>
          <w:p>
            <w:pPr>
              <w:pStyle w:val="TableParagraph"/>
              <w:ind w:left="108" w:right="128"/>
              <w:rPr>
                <w:b/>
                <w:sz w:val="18"/>
              </w:rPr>
            </w:pPr>
            <w:r>
              <w:rPr>
                <w:b/>
                <w:sz w:val="18"/>
              </w:rPr>
              <w:t>3.3</w:t>
            </w:r>
            <w:r>
              <w:rPr>
                <w:b/>
                <w:spacing w:val="40"/>
                <w:sz w:val="18"/>
              </w:rPr>
              <w:t> </w:t>
            </w:r>
            <w:r>
              <w:rPr>
                <w:b/>
                <w:sz w:val="18"/>
              </w:rPr>
              <w:t>Education </w:t>
            </w:r>
            <w:r>
              <w:rPr>
                <w:b/>
                <w:spacing w:val="-2"/>
                <w:sz w:val="18"/>
              </w:rPr>
              <w:t>Authorities</w:t>
            </w:r>
            <w:r>
              <w:rPr>
                <w:b/>
                <w:sz w:val="18"/>
              </w:rPr>
              <w:t> operate to agreed</w:t>
            </w:r>
            <w:r>
              <w:rPr>
                <w:b/>
                <w:spacing w:val="-11"/>
                <w:sz w:val="18"/>
              </w:rPr>
              <w:t> </w:t>
            </w:r>
            <w:r>
              <w:rPr>
                <w:b/>
                <w:sz w:val="18"/>
              </w:rPr>
              <w:t>standards</w:t>
            </w:r>
          </w:p>
        </w:tc>
        <w:tc>
          <w:tcPr>
            <w:tcW w:w="1932" w:type="dxa"/>
            <w:tcBorders>
              <w:top w:val="nil"/>
            </w:tcBorders>
          </w:tcPr>
          <w:p>
            <w:pPr>
              <w:pStyle w:val="TableParagraph"/>
              <w:ind w:left="109" w:right="77"/>
              <w:rPr>
                <w:sz w:val="18"/>
              </w:rPr>
            </w:pPr>
            <w:r>
              <w:rPr>
                <w:sz w:val="18"/>
              </w:rPr>
              <w:t>3.3.1</w:t>
            </w:r>
            <w:r>
              <w:rPr>
                <w:spacing w:val="25"/>
                <w:sz w:val="18"/>
              </w:rPr>
              <w:t> </w:t>
            </w:r>
            <w:r>
              <w:rPr>
                <w:sz w:val="18"/>
              </w:rPr>
              <w:t>By</w:t>
            </w:r>
            <w:r>
              <w:rPr>
                <w:spacing w:val="-8"/>
                <w:sz w:val="18"/>
              </w:rPr>
              <w:t> </w:t>
            </w:r>
            <w:r>
              <w:rPr>
                <w:sz w:val="18"/>
              </w:rPr>
              <w:t>the</w:t>
            </w:r>
            <w:r>
              <w:rPr>
                <w:spacing w:val="-9"/>
                <w:sz w:val="18"/>
              </w:rPr>
              <w:t> </w:t>
            </w:r>
            <w:r>
              <w:rPr>
                <w:sz w:val="18"/>
              </w:rPr>
              <w:t>end</w:t>
            </w:r>
            <w:r>
              <w:rPr>
                <w:spacing w:val="-9"/>
                <w:sz w:val="18"/>
              </w:rPr>
              <w:t> </w:t>
            </w:r>
            <w:r>
              <w:rPr>
                <w:sz w:val="18"/>
              </w:rPr>
              <w:t>of 2018, Standards</w:t>
            </w:r>
          </w:p>
          <w:p>
            <w:pPr>
              <w:pStyle w:val="TableParagraph"/>
              <w:ind w:left="109" w:right="329"/>
              <w:rPr>
                <w:sz w:val="18"/>
              </w:rPr>
            </w:pPr>
            <w:r>
              <w:rPr>
                <w:sz w:val="18"/>
              </w:rPr>
              <w:t>approved, 27 EAs receive</w:t>
            </w:r>
            <w:r>
              <w:rPr>
                <w:spacing w:val="-2"/>
                <w:sz w:val="18"/>
              </w:rPr>
              <w:t> </w:t>
            </w:r>
            <w:r>
              <w:rPr>
                <w:sz w:val="18"/>
              </w:rPr>
              <w:t>training including</w:t>
            </w:r>
            <w:r>
              <w:rPr>
                <w:spacing w:val="-11"/>
                <w:sz w:val="18"/>
              </w:rPr>
              <w:t> </w:t>
            </w:r>
            <w:r>
              <w:rPr>
                <w:sz w:val="18"/>
              </w:rPr>
              <w:t>initial</w:t>
            </w:r>
            <w:r>
              <w:rPr>
                <w:spacing w:val="-10"/>
                <w:sz w:val="18"/>
              </w:rPr>
              <w:t> </w:t>
            </w:r>
            <w:r>
              <w:rPr>
                <w:sz w:val="18"/>
              </w:rPr>
              <w:t>self- </w:t>
            </w:r>
            <w:r>
              <w:rPr>
                <w:spacing w:val="-2"/>
                <w:sz w:val="18"/>
              </w:rPr>
              <w:t>assessments</w:t>
            </w:r>
            <w:r>
              <w:rPr>
                <w:sz w:val="18"/>
              </w:rPr>
              <w:t> completed</w:t>
            </w:r>
            <w:r>
              <w:rPr>
                <w:spacing w:val="-2"/>
                <w:sz w:val="18"/>
              </w:rPr>
              <w:t> </w:t>
            </w:r>
            <w:r>
              <w:rPr>
                <w:sz w:val="18"/>
              </w:rPr>
              <w:t>and</w:t>
            </w:r>
          </w:p>
          <w:p>
            <w:pPr>
              <w:pStyle w:val="TableParagraph"/>
              <w:spacing w:line="199" w:lineRule="exact"/>
              <w:ind w:left="109"/>
              <w:rPr>
                <w:sz w:val="18"/>
              </w:rPr>
            </w:pPr>
            <w:r>
              <w:rPr>
                <w:spacing w:val="-2"/>
                <w:sz w:val="18"/>
              </w:rPr>
              <w:t>analysed</w:t>
            </w:r>
          </w:p>
        </w:tc>
        <w:tc>
          <w:tcPr>
            <w:tcW w:w="1982" w:type="dxa"/>
            <w:tcBorders>
              <w:top w:val="nil"/>
            </w:tcBorders>
          </w:tcPr>
          <w:p>
            <w:pPr>
              <w:pStyle w:val="TableParagraph"/>
              <w:ind w:left="109" w:right="331"/>
              <w:rPr>
                <w:sz w:val="18"/>
              </w:rPr>
            </w:pPr>
            <w:r>
              <w:rPr>
                <w:sz w:val="18"/>
              </w:rPr>
              <w:t>Quality</w:t>
            </w:r>
            <w:r>
              <w:rPr>
                <w:spacing w:val="-11"/>
                <w:sz w:val="18"/>
              </w:rPr>
              <w:t> </w:t>
            </w:r>
            <w:r>
              <w:rPr>
                <w:sz w:val="18"/>
              </w:rPr>
              <w:t>EA</w:t>
            </w:r>
            <w:r>
              <w:rPr>
                <w:spacing w:val="-10"/>
                <w:sz w:val="18"/>
              </w:rPr>
              <w:t> </w:t>
            </w:r>
            <w:r>
              <w:rPr>
                <w:sz w:val="18"/>
              </w:rPr>
              <w:t>Standards drafted</w:t>
            </w:r>
            <w:r>
              <w:rPr>
                <w:spacing w:val="-2"/>
                <w:sz w:val="18"/>
              </w:rPr>
              <w:t> </w:t>
            </w:r>
            <w:r>
              <w:rPr>
                <w:sz w:val="18"/>
              </w:rPr>
              <w:t>(20%)</w:t>
            </w:r>
          </w:p>
          <w:p>
            <w:pPr>
              <w:pStyle w:val="TableParagraph"/>
              <w:ind w:left="109"/>
              <w:rPr>
                <w:sz w:val="18"/>
              </w:rPr>
            </w:pPr>
            <w:r>
              <w:rPr>
                <w:sz w:val="18"/>
              </w:rPr>
              <w:t>SMT</w:t>
            </w:r>
            <w:r>
              <w:rPr>
                <w:spacing w:val="-11"/>
                <w:sz w:val="18"/>
              </w:rPr>
              <w:t> </w:t>
            </w:r>
            <w:r>
              <w:rPr>
                <w:sz w:val="18"/>
              </w:rPr>
              <w:t>approval</w:t>
            </w:r>
            <w:r>
              <w:rPr>
                <w:spacing w:val="-10"/>
                <w:sz w:val="18"/>
              </w:rPr>
              <w:t> </w:t>
            </w:r>
            <w:r>
              <w:rPr>
                <w:sz w:val="18"/>
              </w:rPr>
              <w:t>minute</w:t>
            </w:r>
            <w:r>
              <w:rPr>
                <w:spacing w:val="-10"/>
                <w:sz w:val="18"/>
              </w:rPr>
              <w:t> </w:t>
            </w:r>
            <w:r>
              <w:rPr>
                <w:sz w:val="18"/>
              </w:rPr>
              <w:t>of EA Standards (50%) Training in initial self- assessments</w:t>
            </w:r>
            <w:r>
              <w:rPr>
                <w:spacing w:val="-11"/>
                <w:sz w:val="18"/>
              </w:rPr>
              <w:t> </w:t>
            </w:r>
            <w:r>
              <w:rPr>
                <w:sz w:val="18"/>
              </w:rPr>
              <w:t>completed by EACI (30%)</w:t>
            </w:r>
          </w:p>
        </w:tc>
        <w:tc>
          <w:tcPr>
            <w:tcW w:w="1461" w:type="dxa"/>
            <w:tcBorders>
              <w:top w:val="nil"/>
            </w:tcBorders>
            <w:shd w:val="clear" w:color="auto" w:fill="A9D08E"/>
          </w:tcPr>
          <w:p>
            <w:pPr>
              <w:pStyle w:val="TableParagraph"/>
              <w:spacing w:line="268" w:lineRule="exact"/>
              <w:ind w:left="156" w:right="146"/>
              <w:jc w:val="center"/>
              <w:rPr>
                <w:sz w:val="22"/>
              </w:rPr>
            </w:pPr>
            <w:r>
              <w:rPr>
                <w:spacing w:val="-4"/>
                <w:sz w:val="22"/>
              </w:rPr>
              <w:t>100%</w:t>
            </w:r>
          </w:p>
        </w:tc>
        <w:tc>
          <w:tcPr>
            <w:tcW w:w="1834" w:type="dxa"/>
            <w:tcBorders>
              <w:top w:val="nil"/>
            </w:tcBorders>
          </w:tcPr>
          <w:p>
            <w:pPr>
              <w:pStyle w:val="TableParagraph"/>
              <w:tabs>
                <w:tab w:pos="757" w:val="left" w:leader="none"/>
              </w:tabs>
              <w:spacing w:line="268" w:lineRule="exact"/>
              <w:ind w:right="98"/>
              <w:jc w:val="right"/>
              <w:rPr>
                <w:sz w:val="22"/>
              </w:rPr>
            </w:pPr>
            <w:r>
              <w:rPr>
                <w:spacing w:val="-10"/>
                <w:sz w:val="22"/>
              </w:rPr>
              <w:t>$</w:t>
            </w:r>
            <w:r>
              <w:rPr>
                <w:sz w:val="22"/>
              </w:rPr>
              <w:tab/>
            </w:r>
            <w:r>
              <w:rPr>
                <w:spacing w:val="-2"/>
                <w:sz w:val="22"/>
              </w:rPr>
              <w:t>114,286</w:t>
            </w:r>
          </w:p>
        </w:tc>
      </w:tr>
      <w:tr>
        <w:trPr>
          <w:trHeight w:val="1610" w:hRule="atLeast"/>
        </w:trPr>
        <w:tc>
          <w:tcPr>
            <w:tcW w:w="2009" w:type="dxa"/>
          </w:tcPr>
          <w:p>
            <w:pPr>
              <w:pStyle w:val="TableParagraph"/>
              <w:tabs>
                <w:tab w:pos="1400" w:val="left" w:leader="none"/>
              </w:tabs>
              <w:spacing w:before="1"/>
              <w:ind w:left="107" w:right="155"/>
              <w:rPr>
                <w:b/>
                <w:sz w:val="18"/>
              </w:rPr>
            </w:pPr>
            <w:r>
              <w:rPr>
                <w:b/>
                <w:spacing w:val="-2"/>
                <w:sz w:val="18"/>
              </w:rPr>
              <w:t>MANAGEMENT</w:t>
            </w:r>
            <w:r>
              <w:rPr>
                <w:b/>
                <w:sz w:val="18"/>
              </w:rPr>
              <w:t> </w:t>
            </w:r>
            <w:r>
              <w:rPr>
                <w:b/>
                <w:spacing w:val="-2"/>
                <w:sz w:val="18"/>
              </w:rPr>
              <w:t>SYSTEMS</w:t>
            </w:r>
            <w:r>
              <w:rPr>
                <w:b/>
                <w:sz w:val="18"/>
              </w:rPr>
              <w:tab/>
            </w:r>
            <w:r>
              <w:rPr>
                <w:b/>
                <w:spacing w:val="-2"/>
                <w:sz w:val="18"/>
              </w:rPr>
              <w:t>EO3.6</w:t>
            </w:r>
          </w:p>
        </w:tc>
        <w:tc>
          <w:tcPr>
            <w:tcW w:w="1550" w:type="dxa"/>
          </w:tcPr>
          <w:p>
            <w:pPr>
              <w:pStyle w:val="TableParagraph"/>
              <w:spacing w:before="1"/>
              <w:ind w:left="108"/>
              <w:rPr>
                <w:b/>
                <w:sz w:val="18"/>
              </w:rPr>
            </w:pPr>
            <w:r>
              <w:rPr>
                <w:b/>
                <w:sz w:val="18"/>
              </w:rPr>
              <w:t>3.4</w:t>
            </w:r>
            <w:r>
              <w:rPr>
                <w:b/>
                <w:spacing w:val="39"/>
                <w:sz w:val="18"/>
              </w:rPr>
              <w:t> </w:t>
            </w:r>
            <w:r>
              <w:rPr>
                <w:b/>
                <w:sz w:val="18"/>
              </w:rPr>
              <w:t>The</w:t>
            </w:r>
            <w:r>
              <w:rPr>
                <w:b/>
                <w:spacing w:val="-1"/>
                <w:sz w:val="18"/>
              </w:rPr>
              <w:t> </w:t>
            </w:r>
            <w:r>
              <w:rPr>
                <w:b/>
                <w:spacing w:val="-4"/>
                <w:sz w:val="18"/>
              </w:rPr>
              <w:t>2018</w:t>
            </w:r>
          </w:p>
          <w:p>
            <w:pPr>
              <w:pStyle w:val="TableParagraph"/>
              <w:spacing w:before="2"/>
              <w:ind w:left="108"/>
              <w:rPr>
                <w:b/>
                <w:sz w:val="18"/>
              </w:rPr>
            </w:pPr>
            <w:r>
              <w:rPr>
                <w:b/>
                <w:spacing w:val="-2"/>
                <w:sz w:val="18"/>
              </w:rPr>
              <w:t>recurrent</w:t>
            </w:r>
            <w:r>
              <w:rPr>
                <w:b/>
                <w:sz w:val="18"/>
              </w:rPr>
              <w:t> expenditure for Basic</w:t>
            </w:r>
            <w:r>
              <w:rPr>
                <w:b/>
                <w:spacing w:val="-11"/>
                <w:sz w:val="18"/>
              </w:rPr>
              <w:t> </w:t>
            </w:r>
            <w:r>
              <w:rPr>
                <w:b/>
                <w:sz w:val="18"/>
              </w:rPr>
              <w:t>Education</w:t>
            </w:r>
            <w:r>
              <w:rPr>
                <w:b/>
                <w:spacing w:val="-10"/>
                <w:sz w:val="18"/>
              </w:rPr>
              <w:t> </w:t>
            </w:r>
            <w:r>
              <w:rPr>
                <w:b/>
                <w:sz w:val="18"/>
              </w:rPr>
              <w:t>is maintained or </w:t>
            </w:r>
            <w:r>
              <w:rPr>
                <w:b/>
                <w:spacing w:val="-2"/>
                <w:sz w:val="18"/>
              </w:rPr>
              <w:t>improved</w:t>
            </w:r>
          </w:p>
        </w:tc>
        <w:tc>
          <w:tcPr>
            <w:tcW w:w="1932" w:type="dxa"/>
          </w:tcPr>
          <w:p>
            <w:pPr>
              <w:pStyle w:val="TableParagraph"/>
              <w:spacing w:before="1"/>
              <w:ind w:left="109" w:right="77"/>
              <w:rPr>
                <w:sz w:val="18"/>
              </w:rPr>
            </w:pPr>
            <w:r>
              <w:rPr>
                <w:sz w:val="18"/>
              </w:rPr>
              <w:t>3.4.1</w:t>
            </w:r>
            <w:r>
              <w:rPr>
                <w:spacing w:val="40"/>
                <w:sz w:val="18"/>
              </w:rPr>
              <w:t> </w:t>
            </w:r>
            <w:r>
              <w:rPr>
                <w:sz w:val="18"/>
              </w:rPr>
              <w:t>Recurrent expenditure for per- unit</w:t>
            </w:r>
            <w:r>
              <w:rPr>
                <w:spacing w:val="-10"/>
                <w:sz w:val="18"/>
              </w:rPr>
              <w:t> </w:t>
            </w:r>
            <w:r>
              <w:rPr>
                <w:sz w:val="18"/>
              </w:rPr>
              <w:t>cost</w:t>
            </w:r>
            <w:r>
              <w:rPr>
                <w:spacing w:val="-10"/>
                <w:sz w:val="18"/>
              </w:rPr>
              <w:t> </w:t>
            </w:r>
            <w:r>
              <w:rPr>
                <w:sz w:val="18"/>
              </w:rPr>
              <w:t>per</w:t>
            </w:r>
            <w:r>
              <w:rPr>
                <w:spacing w:val="-10"/>
                <w:sz w:val="18"/>
              </w:rPr>
              <w:t> </w:t>
            </w:r>
            <w:r>
              <w:rPr>
                <w:sz w:val="18"/>
              </w:rPr>
              <w:t>student</w:t>
            </w:r>
            <w:r>
              <w:rPr>
                <w:spacing w:val="-10"/>
                <w:sz w:val="18"/>
              </w:rPr>
              <w:t> </w:t>
            </w:r>
            <w:r>
              <w:rPr>
                <w:sz w:val="18"/>
              </w:rPr>
              <w:t>at Primary</w:t>
            </w:r>
            <w:r>
              <w:rPr>
                <w:spacing w:val="-9"/>
                <w:sz w:val="18"/>
              </w:rPr>
              <w:t> </w:t>
            </w:r>
            <w:r>
              <w:rPr>
                <w:sz w:val="18"/>
              </w:rPr>
              <w:t>and</w:t>
            </w:r>
            <w:r>
              <w:rPr>
                <w:spacing w:val="-9"/>
                <w:sz w:val="18"/>
              </w:rPr>
              <w:t> </w:t>
            </w:r>
            <w:r>
              <w:rPr>
                <w:sz w:val="18"/>
              </w:rPr>
              <w:t>Secondary School in 2018 is equal or greater than 2017</w:t>
            </w:r>
          </w:p>
        </w:tc>
        <w:tc>
          <w:tcPr>
            <w:tcW w:w="1982" w:type="dxa"/>
          </w:tcPr>
          <w:p>
            <w:pPr>
              <w:pStyle w:val="TableParagraph"/>
              <w:spacing w:before="1"/>
              <w:ind w:left="109" w:right="131"/>
              <w:rPr>
                <w:sz w:val="18"/>
              </w:rPr>
            </w:pPr>
            <w:r>
              <w:rPr>
                <w:sz w:val="18"/>
              </w:rPr>
              <w:t>Calculate</w:t>
            </w:r>
            <w:r>
              <w:rPr>
                <w:spacing w:val="-11"/>
                <w:sz w:val="18"/>
              </w:rPr>
              <w:t> </w:t>
            </w:r>
            <w:r>
              <w:rPr>
                <w:sz w:val="18"/>
              </w:rPr>
              <w:t>using</w:t>
            </w:r>
            <w:r>
              <w:rPr>
                <w:spacing w:val="-10"/>
                <w:sz w:val="18"/>
              </w:rPr>
              <w:t> </w:t>
            </w:r>
            <w:r>
              <w:rPr>
                <w:sz w:val="18"/>
              </w:rPr>
              <w:t>real prices, recurrent allocation</w:t>
            </w:r>
            <w:r>
              <w:rPr>
                <w:spacing w:val="-2"/>
                <w:sz w:val="18"/>
              </w:rPr>
              <w:t> </w:t>
            </w:r>
            <w:r>
              <w:rPr>
                <w:sz w:val="18"/>
              </w:rPr>
              <w:t>includes primary (50%) and</w:t>
            </w:r>
          </w:p>
          <w:p>
            <w:pPr>
              <w:pStyle w:val="TableParagraph"/>
              <w:ind w:left="109"/>
              <w:rPr>
                <w:sz w:val="18"/>
              </w:rPr>
            </w:pPr>
            <w:r>
              <w:rPr>
                <w:sz w:val="18"/>
              </w:rPr>
              <w:t>secondary</w:t>
            </w:r>
            <w:r>
              <w:rPr>
                <w:spacing w:val="-11"/>
                <w:sz w:val="18"/>
              </w:rPr>
              <w:t> </w:t>
            </w:r>
            <w:r>
              <w:rPr>
                <w:sz w:val="18"/>
              </w:rPr>
              <w:t>(50%)</w:t>
            </w:r>
            <w:r>
              <w:rPr>
                <w:spacing w:val="-10"/>
                <w:sz w:val="18"/>
              </w:rPr>
              <w:t> </w:t>
            </w:r>
            <w:r>
              <w:rPr>
                <w:sz w:val="18"/>
              </w:rPr>
              <w:t>grant </w:t>
            </w:r>
            <w:r>
              <w:rPr>
                <w:spacing w:val="-2"/>
                <w:sz w:val="18"/>
              </w:rPr>
              <w:t>component.</w:t>
            </w:r>
          </w:p>
        </w:tc>
        <w:tc>
          <w:tcPr>
            <w:tcW w:w="1461" w:type="dxa"/>
            <w:shd w:val="clear" w:color="auto" w:fill="A9D08E"/>
          </w:tcPr>
          <w:p>
            <w:pPr>
              <w:pStyle w:val="TableParagraph"/>
              <w:spacing w:line="268" w:lineRule="exact"/>
              <w:ind w:left="156" w:right="146"/>
              <w:jc w:val="center"/>
              <w:rPr>
                <w:sz w:val="22"/>
              </w:rPr>
            </w:pPr>
            <w:r>
              <w:rPr>
                <w:spacing w:val="-4"/>
                <w:sz w:val="22"/>
              </w:rPr>
              <w:t>100%</w:t>
            </w:r>
          </w:p>
        </w:tc>
        <w:tc>
          <w:tcPr>
            <w:tcW w:w="1834" w:type="dxa"/>
          </w:tcPr>
          <w:p>
            <w:pPr>
              <w:pStyle w:val="TableParagraph"/>
              <w:tabs>
                <w:tab w:pos="757" w:val="left" w:leader="none"/>
              </w:tabs>
              <w:spacing w:line="268" w:lineRule="exact"/>
              <w:ind w:right="98"/>
              <w:jc w:val="right"/>
              <w:rPr>
                <w:sz w:val="22"/>
              </w:rPr>
            </w:pPr>
            <w:r>
              <w:rPr>
                <w:spacing w:val="-10"/>
                <w:sz w:val="22"/>
              </w:rPr>
              <w:t>$</w:t>
            </w:r>
            <w:r>
              <w:rPr>
                <w:sz w:val="22"/>
              </w:rPr>
              <w:tab/>
            </w:r>
            <w:r>
              <w:rPr>
                <w:spacing w:val="-2"/>
                <w:sz w:val="22"/>
              </w:rPr>
              <w:t>114,286</w:t>
            </w:r>
          </w:p>
        </w:tc>
      </w:tr>
      <w:tr>
        <w:trPr>
          <w:trHeight w:val="1538" w:hRule="atLeast"/>
        </w:trPr>
        <w:tc>
          <w:tcPr>
            <w:tcW w:w="2009" w:type="dxa"/>
            <w:vMerge w:val="restart"/>
          </w:tcPr>
          <w:p>
            <w:pPr>
              <w:pStyle w:val="TableParagraph"/>
              <w:rPr>
                <w:rFonts w:ascii="Times New Roman"/>
                <w:sz w:val="18"/>
              </w:rPr>
            </w:pPr>
          </w:p>
        </w:tc>
        <w:tc>
          <w:tcPr>
            <w:tcW w:w="1550" w:type="dxa"/>
            <w:vMerge w:val="restart"/>
          </w:tcPr>
          <w:p>
            <w:pPr>
              <w:pStyle w:val="TableParagraph"/>
              <w:spacing w:before="1"/>
              <w:ind w:left="108" w:right="345"/>
              <w:rPr>
                <w:b/>
                <w:sz w:val="18"/>
              </w:rPr>
            </w:pPr>
            <w:r>
              <w:rPr>
                <w:b/>
                <w:sz w:val="18"/>
              </w:rPr>
              <w:t>3.5 Solomon </w:t>
            </w:r>
            <w:r>
              <w:rPr>
                <w:b/>
                <w:spacing w:val="-2"/>
                <w:sz w:val="18"/>
              </w:rPr>
              <w:t>Islands</w:t>
            </w:r>
            <w:r>
              <w:rPr>
                <w:b/>
                <w:sz w:val="18"/>
              </w:rPr>
              <w:t> </w:t>
            </w:r>
            <w:r>
              <w:rPr>
                <w:b/>
                <w:spacing w:val="-2"/>
                <w:sz w:val="18"/>
              </w:rPr>
              <w:t>Government</w:t>
            </w:r>
            <w:r>
              <w:rPr>
                <w:b/>
                <w:sz w:val="18"/>
              </w:rPr>
              <w:t> </w:t>
            </w:r>
            <w:r>
              <w:rPr>
                <w:b/>
                <w:spacing w:val="-2"/>
                <w:sz w:val="18"/>
              </w:rPr>
              <w:t>scholarships</w:t>
            </w:r>
            <w:r>
              <w:rPr>
                <w:b/>
                <w:sz w:val="18"/>
              </w:rPr>
              <w:t> budgeting</w:t>
            </w:r>
            <w:r>
              <w:rPr>
                <w:b/>
                <w:spacing w:val="-11"/>
                <w:sz w:val="18"/>
              </w:rPr>
              <w:t> </w:t>
            </w:r>
            <w:r>
              <w:rPr>
                <w:b/>
                <w:sz w:val="18"/>
              </w:rPr>
              <w:t>and expenditure</w:t>
            </w:r>
            <w:r>
              <w:rPr>
                <w:b/>
                <w:spacing w:val="-11"/>
                <w:sz w:val="18"/>
              </w:rPr>
              <w:t> </w:t>
            </w:r>
            <w:r>
              <w:rPr>
                <w:b/>
                <w:sz w:val="18"/>
              </w:rPr>
              <w:t>is </w:t>
            </w:r>
            <w:r>
              <w:rPr>
                <w:b/>
                <w:spacing w:val="-2"/>
                <w:sz w:val="18"/>
              </w:rPr>
              <w:t>sustainable</w:t>
            </w:r>
          </w:p>
        </w:tc>
        <w:tc>
          <w:tcPr>
            <w:tcW w:w="1932" w:type="dxa"/>
          </w:tcPr>
          <w:p>
            <w:pPr>
              <w:pStyle w:val="TableParagraph"/>
              <w:spacing w:before="1"/>
              <w:ind w:left="109" w:right="77"/>
              <w:rPr>
                <w:sz w:val="18"/>
              </w:rPr>
            </w:pPr>
            <w:r>
              <w:rPr>
                <w:sz w:val="18"/>
              </w:rPr>
              <w:t>3.5.1</w:t>
            </w:r>
            <w:r>
              <w:rPr>
                <w:spacing w:val="39"/>
                <w:sz w:val="18"/>
              </w:rPr>
              <w:t> </w:t>
            </w:r>
            <w:r>
              <w:rPr>
                <w:sz w:val="18"/>
              </w:rPr>
              <w:t>The</w:t>
            </w:r>
            <w:r>
              <w:rPr>
                <w:spacing w:val="-2"/>
                <w:sz w:val="18"/>
              </w:rPr>
              <w:t> </w:t>
            </w:r>
            <w:r>
              <w:rPr>
                <w:sz w:val="18"/>
              </w:rPr>
              <w:t>total</w:t>
            </w:r>
            <w:r>
              <w:rPr>
                <w:spacing w:val="-2"/>
                <w:sz w:val="18"/>
              </w:rPr>
              <w:t> </w:t>
            </w:r>
            <w:r>
              <w:rPr>
                <w:sz w:val="18"/>
              </w:rPr>
              <w:t>of</w:t>
            </w:r>
            <w:r>
              <w:rPr>
                <w:spacing w:val="-2"/>
                <w:sz w:val="18"/>
              </w:rPr>
              <w:t> </w:t>
            </w:r>
            <w:r>
              <w:rPr>
                <w:sz w:val="18"/>
              </w:rPr>
              <w:t>new SIG</w:t>
            </w:r>
            <w:r>
              <w:rPr>
                <w:spacing w:val="-11"/>
                <w:sz w:val="18"/>
              </w:rPr>
              <w:t> </w:t>
            </w:r>
            <w:r>
              <w:rPr>
                <w:sz w:val="18"/>
              </w:rPr>
              <w:t>scholarship</w:t>
            </w:r>
            <w:r>
              <w:rPr>
                <w:spacing w:val="-10"/>
                <w:sz w:val="18"/>
              </w:rPr>
              <w:t> </w:t>
            </w:r>
            <w:r>
              <w:rPr>
                <w:sz w:val="18"/>
              </w:rPr>
              <w:t>awards allocated for 2018 is 700</w:t>
            </w:r>
            <w:r>
              <w:rPr>
                <w:spacing w:val="-1"/>
                <w:sz w:val="18"/>
              </w:rPr>
              <w:t> </w:t>
            </w:r>
            <w:r>
              <w:rPr>
                <w:sz w:val="18"/>
              </w:rPr>
              <w:t>or</w:t>
            </w:r>
            <w:r>
              <w:rPr>
                <w:spacing w:val="-1"/>
                <w:sz w:val="18"/>
              </w:rPr>
              <w:t> </w:t>
            </w:r>
            <w:r>
              <w:rPr>
                <w:sz w:val="18"/>
              </w:rPr>
              <w:t>fewer</w:t>
            </w:r>
            <w:r>
              <w:rPr>
                <w:spacing w:val="-1"/>
                <w:sz w:val="18"/>
              </w:rPr>
              <w:t> </w:t>
            </w:r>
            <w:r>
              <w:rPr>
                <w:sz w:val="18"/>
              </w:rPr>
              <w:t>including for local and </w:t>
            </w:r>
            <w:r>
              <w:rPr>
                <w:spacing w:val="-2"/>
                <w:sz w:val="18"/>
              </w:rPr>
              <w:t>international</w:t>
            </w:r>
          </w:p>
          <w:p>
            <w:pPr>
              <w:pStyle w:val="TableParagraph"/>
              <w:spacing w:line="199" w:lineRule="exact"/>
              <w:ind w:left="109"/>
              <w:rPr>
                <w:sz w:val="18"/>
              </w:rPr>
            </w:pPr>
            <w:r>
              <w:rPr>
                <w:spacing w:val="-2"/>
                <w:sz w:val="18"/>
              </w:rPr>
              <w:t>institutions</w:t>
            </w:r>
          </w:p>
        </w:tc>
        <w:tc>
          <w:tcPr>
            <w:tcW w:w="1982" w:type="dxa"/>
            <w:vMerge w:val="restart"/>
          </w:tcPr>
          <w:p>
            <w:pPr>
              <w:pStyle w:val="TableParagraph"/>
              <w:spacing w:before="1"/>
              <w:ind w:left="109" w:right="131"/>
              <w:rPr>
                <w:sz w:val="18"/>
              </w:rPr>
            </w:pPr>
            <w:r>
              <w:rPr>
                <w:sz w:val="18"/>
              </w:rPr>
              <w:t>SIEMIS</w:t>
            </w:r>
            <w:r>
              <w:rPr>
                <w:spacing w:val="-2"/>
                <w:sz w:val="18"/>
              </w:rPr>
              <w:t> </w:t>
            </w:r>
            <w:r>
              <w:rPr>
                <w:sz w:val="18"/>
              </w:rPr>
              <w:t>Expenditure Report as per 2018 Annual</w:t>
            </w:r>
            <w:r>
              <w:rPr>
                <w:spacing w:val="-11"/>
                <w:sz w:val="18"/>
              </w:rPr>
              <w:t> </w:t>
            </w:r>
            <w:r>
              <w:rPr>
                <w:sz w:val="18"/>
              </w:rPr>
              <w:t>Report</w:t>
            </w:r>
            <w:r>
              <w:rPr>
                <w:spacing w:val="-10"/>
                <w:sz w:val="18"/>
              </w:rPr>
              <w:t> </w:t>
            </w:r>
            <w:r>
              <w:rPr>
                <w:sz w:val="18"/>
              </w:rPr>
              <w:t>and</w:t>
            </w:r>
            <w:r>
              <w:rPr>
                <w:spacing w:val="-10"/>
                <w:sz w:val="18"/>
              </w:rPr>
              <w:t> </w:t>
            </w:r>
            <w:r>
              <w:rPr>
                <w:sz w:val="18"/>
              </w:rPr>
              <w:t>NTU SIMS data report </w:t>
            </w:r>
            <w:r>
              <w:rPr>
                <w:spacing w:val="-2"/>
                <w:sz w:val="18"/>
              </w:rPr>
              <w:t>(100%)</w:t>
            </w:r>
          </w:p>
        </w:tc>
        <w:tc>
          <w:tcPr>
            <w:tcW w:w="1461" w:type="dxa"/>
            <w:vMerge w:val="restart"/>
            <w:shd w:val="clear" w:color="auto" w:fill="FFC000"/>
          </w:tcPr>
          <w:p>
            <w:pPr>
              <w:pStyle w:val="TableParagraph"/>
              <w:spacing w:line="268" w:lineRule="exact"/>
              <w:ind w:left="156" w:right="143"/>
              <w:jc w:val="center"/>
              <w:rPr>
                <w:sz w:val="22"/>
              </w:rPr>
            </w:pPr>
            <w:r>
              <w:rPr>
                <w:spacing w:val="-5"/>
                <w:sz w:val="22"/>
              </w:rPr>
              <w:t>70%</w:t>
            </w:r>
          </w:p>
        </w:tc>
        <w:tc>
          <w:tcPr>
            <w:tcW w:w="1834" w:type="dxa"/>
            <w:vMerge w:val="restart"/>
          </w:tcPr>
          <w:p>
            <w:pPr>
              <w:pStyle w:val="TableParagraph"/>
              <w:tabs>
                <w:tab w:pos="1065" w:val="left" w:leader="none"/>
              </w:tabs>
              <w:spacing w:line="268" w:lineRule="exact"/>
              <w:ind w:left="206"/>
              <w:rPr>
                <w:sz w:val="22"/>
              </w:rPr>
            </w:pPr>
            <w:r>
              <w:rPr>
                <w:spacing w:val="-10"/>
                <w:sz w:val="22"/>
              </w:rPr>
              <w:t>$</w:t>
            </w:r>
            <w:r>
              <w:rPr>
                <w:sz w:val="22"/>
              </w:rPr>
              <w:tab/>
            </w:r>
            <w:r>
              <w:rPr>
                <w:spacing w:val="-2"/>
                <w:sz w:val="22"/>
              </w:rPr>
              <w:t>80,000</w:t>
            </w:r>
          </w:p>
        </w:tc>
      </w:tr>
      <w:tr>
        <w:trPr>
          <w:trHeight w:val="1439" w:hRule="atLeast"/>
        </w:trPr>
        <w:tc>
          <w:tcPr>
            <w:tcW w:w="2009" w:type="dxa"/>
            <w:vMerge/>
            <w:tcBorders>
              <w:top w:val="nil"/>
            </w:tcBorders>
          </w:tcPr>
          <w:p>
            <w:pPr>
              <w:rPr>
                <w:sz w:val="2"/>
                <w:szCs w:val="2"/>
              </w:rPr>
            </w:pPr>
          </w:p>
        </w:tc>
        <w:tc>
          <w:tcPr>
            <w:tcW w:w="1550" w:type="dxa"/>
            <w:vMerge/>
            <w:tcBorders>
              <w:top w:val="nil"/>
            </w:tcBorders>
          </w:tcPr>
          <w:p>
            <w:pPr>
              <w:rPr>
                <w:sz w:val="2"/>
                <w:szCs w:val="2"/>
              </w:rPr>
            </w:pPr>
          </w:p>
        </w:tc>
        <w:tc>
          <w:tcPr>
            <w:tcW w:w="1932" w:type="dxa"/>
          </w:tcPr>
          <w:p>
            <w:pPr>
              <w:pStyle w:val="TableParagraph"/>
              <w:spacing w:before="1"/>
              <w:ind w:left="109"/>
              <w:rPr>
                <w:sz w:val="18"/>
              </w:rPr>
            </w:pPr>
            <w:r>
              <w:rPr>
                <w:sz w:val="18"/>
              </w:rPr>
              <w:t>3.5.2 2018 </w:t>
            </w:r>
            <w:r>
              <w:rPr>
                <w:spacing w:val="-2"/>
                <w:sz w:val="18"/>
              </w:rPr>
              <w:t>MEHRD</w:t>
            </w:r>
          </w:p>
          <w:p>
            <w:pPr>
              <w:pStyle w:val="TableParagraph"/>
              <w:spacing w:before="1"/>
              <w:ind w:left="109" w:right="361"/>
              <w:rPr>
                <w:sz w:val="18"/>
              </w:rPr>
            </w:pPr>
            <w:r>
              <w:rPr>
                <w:spacing w:val="-2"/>
                <w:sz w:val="18"/>
              </w:rPr>
              <w:t>Scholarship</w:t>
            </w:r>
            <w:r>
              <w:rPr>
                <w:sz w:val="18"/>
              </w:rPr>
              <w:t> expenditure is not higher than 2017 MEHRD</w:t>
            </w:r>
            <w:r>
              <w:rPr>
                <w:spacing w:val="-11"/>
                <w:sz w:val="18"/>
              </w:rPr>
              <w:t> </w:t>
            </w:r>
            <w:r>
              <w:rPr>
                <w:sz w:val="18"/>
              </w:rPr>
              <w:t>Scholarship </w:t>
            </w:r>
            <w:r>
              <w:rPr>
                <w:spacing w:val="-2"/>
                <w:sz w:val="18"/>
              </w:rPr>
              <w:t>expenditure</w:t>
            </w:r>
          </w:p>
        </w:tc>
        <w:tc>
          <w:tcPr>
            <w:tcW w:w="1982" w:type="dxa"/>
            <w:vMerge/>
            <w:tcBorders>
              <w:top w:val="nil"/>
            </w:tcBorders>
          </w:tcPr>
          <w:p>
            <w:pPr>
              <w:rPr>
                <w:sz w:val="2"/>
                <w:szCs w:val="2"/>
              </w:rPr>
            </w:pPr>
          </w:p>
        </w:tc>
        <w:tc>
          <w:tcPr>
            <w:tcW w:w="1461" w:type="dxa"/>
            <w:vMerge/>
            <w:tcBorders>
              <w:top w:val="nil"/>
            </w:tcBorders>
            <w:shd w:val="clear" w:color="auto" w:fill="FFC000"/>
          </w:tcPr>
          <w:p>
            <w:pPr>
              <w:rPr>
                <w:sz w:val="2"/>
                <w:szCs w:val="2"/>
              </w:rPr>
            </w:pPr>
          </w:p>
        </w:tc>
        <w:tc>
          <w:tcPr>
            <w:tcW w:w="1834" w:type="dxa"/>
            <w:vMerge/>
            <w:tcBorders>
              <w:top w:val="nil"/>
            </w:tcBorders>
          </w:tcPr>
          <w:p>
            <w:pPr>
              <w:rPr>
                <w:sz w:val="2"/>
                <w:szCs w:val="2"/>
              </w:rPr>
            </w:pPr>
          </w:p>
        </w:tc>
      </w:tr>
      <w:tr>
        <w:trPr>
          <w:trHeight w:val="1759" w:hRule="atLeast"/>
        </w:trPr>
        <w:tc>
          <w:tcPr>
            <w:tcW w:w="2009" w:type="dxa"/>
          </w:tcPr>
          <w:p>
            <w:pPr>
              <w:pStyle w:val="TableParagraph"/>
              <w:tabs>
                <w:tab w:pos="1400" w:val="left" w:leader="none"/>
              </w:tabs>
              <w:spacing w:before="1"/>
              <w:ind w:left="107" w:right="185"/>
              <w:rPr>
                <w:b/>
                <w:sz w:val="18"/>
              </w:rPr>
            </w:pPr>
            <w:r>
              <w:rPr>
                <w:b/>
                <w:spacing w:val="-2"/>
                <w:sz w:val="18"/>
              </w:rPr>
              <w:t>MANAGEMENT</w:t>
            </w:r>
            <w:r>
              <w:rPr>
                <w:b/>
                <w:sz w:val="18"/>
              </w:rPr>
              <w:t> </w:t>
            </w:r>
            <w:r>
              <w:rPr>
                <w:b/>
                <w:spacing w:val="-2"/>
                <w:sz w:val="18"/>
              </w:rPr>
              <w:t>SYSTEMS</w:t>
            </w:r>
            <w:r>
              <w:rPr>
                <w:b/>
                <w:sz w:val="18"/>
              </w:rPr>
              <w:tab/>
            </w:r>
            <w:r>
              <w:rPr>
                <w:b/>
                <w:spacing w:val="-2"/>
                <w:sz w:val="18"/>
              </w:rPr>
              <w:t>E03.3</w:t>
            </w:r>
            <w:r>
              <w:rPr>
                <w:b/>
                <w:sz w:val="18"/>
              </w:rPr>
              <w:t> </w:t>
            </w:r>
            <w:r>
              <w:rPr>
                <w:b/>
                <w:spacing w:val="-4"/>
                <w:sz w:val="18"/>
              </w:rPr>
              <w:t>DFA</w:t>
            </w:r>
          </w:p>
        </w:tc>
        <w:tc>
          <w:tcPr>
            <w:tcW w:w="1550" w:type="dxa"/>
          </w:tcPr>
          <w:p>
            <w:pPr>
              <w:pStyle w:val="TableParagraph"/>
              <w:spacing w:before="1"/>
              <w:ind w:left="108" w:right="128"/>
              <w:rPr>
                <w:b/>
                <w:sz w:val="18"/>
              </w:rPr>
            </w:pPr>
            <w:r>
              <w:rPr>
                <w:b/>
                <w:sz w:val="18"/>
              </w:rPr>
              <w:t>3.6</w:t>
            </w:r>
            <w:r>
              <w:rPr>
                <w:b/>
                <w:spacing w:val="12"/>
                <w:sz w:val="18"/>
              </w:rPr>
              <w:t> </w:t>
            </w:r>
            <w:r>
              <w:rPr>
                <w:b/>
                <w:sz w:val="18"/>
              </w:rPr>
              <w:t>The</w:t>
            </w:r>
            <w:r>
              <w:rPr>
                <w:b/>
                <w:spacing w:val="-10"/>
                <w:sz w:val="18"/>
              </w:rPr>
              <w:t> </w:t>
            </w:r>
            <w:r>
              <w:rPr>
                <w:b/>
                <w:sz w:val="18"/>
              </w:rPr>
              <w:t>Solomon </w:t>
            </w:r>
            <w:r>
              <w:rPr>
                <w:b/>
                <w:spacing w:val="-2"/>
                <w:sz w:val="18"/>
              </w:rPr>
              <w:t>Islands</w:t>
            </w:r>
            <w:r>
              <w:rPr>
                <w:b/>
                <w:sz w:val="18"/>
              </w:rPr>
              <w:t> </w:t>
            </w:r>
            <w:r>
              <w:rPr>
                <w:b/>
                <w:spacing w:val="-2"/>
                <w:sz w:val="18"/>
              </w:rPr>
              <w:t>Government</w:t>
            </w:r>
            <w:r>
              <w:rPr>
                <w:b/>
                <w:sz w:val="18"/>
              </w:rPr>
              <w:t> maintains its recurrent</w:t>
            </w:r>
            <w:r>
              <w:rPr>
                <w:b/>
                <w:spacing w:val="-11"/>
                <w:sz w:val="18"/>
              </w:rPr>
              <w:t> </w:t>
            </w:r>
            <w:r>
              <w:rPr>
                <w:b/>
                <w:sz w:val="18"/>
              </w:rPr>
              <w:t>budget allocation</w:t>
            </w:r>
            <w:r>
              <w:rPr>
                <w:b/>
                <w:spacing w:val="-2"/>
                <w:sz w:val="18"/>
              </w:rPr>
              <w:t> </w:t>
            </w:r>
            <w:r>
              <w:rPr>
                <w:b/>
                <w:sz w:val="18"/>
              </w:rPr>
              <w:t>for education</w:t>
            </w:r>
            <w:r>
              <w:rPr>
                <w:b/>
                <w:spacing w:val="-2"/>
                <w:sz w:val="18"/>
              </w:rPr>
              <w:t> </w:t>
            </w:r>
            <w:r>
              <w:rPr>
                <w:b/>
                <w:sz w:val="18"/>
              </w:rPr>
              <w:t>in</w:t>
            </w:r>
          </w:p>
          <w:p>
            <w:pPr>
              <w:pStyle w:val="TableParagraph"/>
              <w:spacing w:line="199" w:lineRule="exact" w:before="1"/>
              <w:ind w:left="108"/>
              <w:rPr>
                <w:b/>
                <w:sz w:val="18"/>
              </w:rPr>
            </w:pPr>
            <w:r>
              <w:rPr>
                <w:b/>
                <w:spacing w:val="-4"/>
                <w:sz w:val="18"/>
              </w:rPr>
              <w:t>2017</w:t>
            </w:r>
          </w:p>
        </w:tc>
        <w:tc>
          <w:tcPr>
            <w:tcW w:w="1932" w:type="dxa"/>
          </w:tcPr>
          <w:p>
            <w:pPr>
              <w:pStyle w:val="TableParagraph"/>
              <w:spacing w:before="1"/>
              <w:ind w:left="109" w:right="181"/>
              <w:rPr>
                <w:sz w:val="18"/>
              </w:rPr>
            </w:pPr>
            <w:r>
              <w:rPr>
                <w:sz w:val="18"/>
              </w:rPr>
              <w:t>3.6.1</w:t>
            </w:r>
            <w:r>
              <w:rPr>
                <w:spacing w:val="40"/>
                <w:sz w:val="18"/>
              </w:rPr>
              <w:t> </w:t>
            </w:r>
            <w:r>
              <w:rPr>
                <w:sz w:val="18"/>
              </w:rPr>
              <w:t>A minimum of 22% of national recurrent</w:t>
            </w:r>
            <w:r>
              <w:rPr>
                <w:spacing w:val="-11"/>
                <w:sz w:val="18"/>
              </w:rPr>
              <w:t> </w:t>
            </w:r>
            <w:r>
              <w:rPr>
                <w:sz w:val="18"/>
              </w:rPr>
              <w:t>expenditure is committed to the education</w:t>
            </w:r>
            <w:r>
              <w:rPr>
                <w:spacing w:val="-2"/>
                <w:sz w:val="18"/>
              </w:rPr>
              <w:t> </w:t>
            </w:r>
            <w:r>
              <w:rPr>
                <w:sz w:val="18"/>
              </w:rPr>
              <w:t>sector</w:t>
            </w:r>
          </w:p>
        </w:tc>
        <w:tc>
          <w:tcPr>
            <w:tcW w:w="1982" w:type="dxa"/>
          </w:tcPr>
          <w:p>
            <w:pPr>
              <w:pStyle w:val="TableParagraph"/>
              <w:spacing w:before="1"/>
              <w:ind w:left="109" w:right="436"/>
              <w:jc w:val="both"/>
              <w:rPr>
                <w:sz w:val="18"/>
              </w:rPr>
            </w:pPr>
            <w:r>
              <w:rPr>
                <w:sz w:val="18"/>
              </w:rPr>
              <w:t>SIEMIS</w:t>
            </w:r>
            <w:r>
              <w:rPr>
                <w:spacing w:val="-11"/>
                <w:sz w:val="18"/>
              </w:rPr>
              <w:t> </w:t>
            </w:r>
            <w:r>
              <w:rPr>
                <w:sz w:val="18"/>
              </w:rPr>
              <w:t>Expenditure Report</w:t>
            </w:r>
            <w:r>
              <w:rPr>
                <w:spacing w:val="-2"/>
                <w:sz w:val="18"/>
              </w:rPr>
              <w:t> </w:t>
            </w:r>
            <w:r>
              <w:rPr>
                <w:sz w:val="18"/>
              </w:rPr>
              <w:t>as</w:t>
            </w:r>
            <w:r>
              <w:rPr>
                <w:spacing w:val="-2"/>
                <w:sz w:val="18"/>
              </w:rPr>
              <w:t> </w:t>
            </w:r>
            <w:r>
              <w:rPr>
                <w:sz w:val="18"/>
              </w:rPr>
              <w:t>per</w:t>
            </w:r>
            <w:r>
              <w:rPr>
                <w:spacing w:val="-1"/>
                <w:sz w:val="18"/>
              </w:rPr>
              <w:t> </w:t>
            </w:r>
            <w:r>
              <w:rPr>
                <w:sz w:val="18"/>
              </w:rPr>
              <w:t>2018 Annual</w:t>
            </w:r>
            <w:r>
              <w:rPr>
                <w:spacing w:val="-2"/>
                <w:sz w:val="18"/>
              </w:rPr>
              <w:t> </w:t>
            </w:r>
            <w:r>
              <w:rPr>
                <w:sz w:val="18"/>
              </w:rPr>
              <w:t>Report</w:t>
            </w:r>
          </w:p>
        </w:tc>
        <w:tc>
          <w:tcPr>
            <w:tcW w:w="1461" w:type="dxa"/>
            <w:shd w:val="clear" w:color="auto" w:fill="A9D08E"/>
          </w:tcPr>
          <w:p>
            <w:pPr>
              <w:pStyle w:val="TableParagraph"/>
              <w:spacing w:before="1"/>
              <w:ind w:left="156" w:right="146"/>
              <w:jc w:val="center"/>
              <w:rPr>
                <w:sz w:val="22"/>
              </w:rPr>
            </w:pPr>
            <w:r>
              <w:rPr>
                <w:spacing w:val="-4"/>
                <w:sz w:val="22"/>
              </w:rPr>
              <w:t>100%</w:t>
            </w:r>
          </w:p>
        </w:tc>
        <w:tc>
          <w:tcPr>
            <w:tcW w:w="1834" w:type="dxa"/>
          </w:tcPr>
          <w:p>
            <w:pPr>
              <w:pStyle w:val="TableParagraph"/>
              <w:tabs>
                <w:tab w:pos="757" w:val="left" w:leader="none"/>
              </w:tabs>
              <w:spacing w:before="1"/>
              <w:ind w:right="98"/>
              <w:jc w:val="right"/>
              <w:rPr>
                <w:sz w:val="22"/>
              </w:rPr>
            </w:pPr>
            <w:r>
              <w:rPr>
                <w:spacing w:val="-10"/>
                <w:sz w:val="22"/>
              </w:rPr>
              <w:t>$</w:t>
            </w:r>
            <w:r>
              <w:rPr>
                <w:sz w:val="22"/>
              </w:rPr>
              <w:tab/>
            </w:r>
            <w:r>
              <w:rPr>
                <w:spacing w:val="-2"/>
                <w:sz w:val="22"/>
              </w:rPr>
              <w:t>114,286</w:t>
            </w:r>
          </w:p>
        </w:tc>
      </w:tr>
    </w:tbl>
    <w:p>
      <w:pPr>
        <w:spacing w:after="0"/>
        <w:jc w:val="right"/>
        <w:rPr>
          <w:sz w:val="22"/>
        </w:rPr>
        <w:sectPr>
          <w:type w:val="continuous"/>
          <w:pgSz w:w="16850" w:h="11900" w:orient="landscape"/>
          <w:pgMar w:header="867" w:footer="830" w:top="1380" w:bottom="1598" w:left="1200" w:right="2420"/>
        </w:sectPr>
      </w:pPr>
    </w:p>
    <w:tbl>
      <w:tblPr>
        <w:tblW w:w="0" w:type="auto"/>
        <w:jc w:val="left"/>
        <w:tblInd w:w="22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09"/>
        <w:gridCol w:w="1550"/>
        <w:gridCol w:w="1932"/>
        <w:gridCol w:w="1982"/>
        <w:gridCol w:w="1461"/>
        <w:gridCol w:w="1834"/>
      </w:tblGrid>
      <w:tr>
        <w:trPr>
          <w:trHeight w:val="1538" w:hRule="atLeast"/>
        </w:trPr>
        <w:tc>
          <w:tcPr>
            <w:tcW w:w="2009" w:type="dxa"/>
            <w:tcBorders>
              <w:top w:val="nil"/>
            </w:tcBorders>
          </w:tcPr>
          <w:p>
            <w:pPr>
              <w:pStyle w:val="TableParagraph"/>
              <w:ind w:left="107" w:right="165"/>
              <w:rPr>
                <w:b/>
                <w:sz w:val="18"/>
              </w:rPr>
            </w:pPr>
            <w:r>
              <w:rPr>
                <w:b/>
                <w:spacing w:val="-2"/>
                <w:sz w:val="18"/>
              </w:rPr>
              <w:t>MANAGEMENT</w:t>
            </w:r>
            <w:r>
              <w:rPr>
                <w:b/>
                <w:sz w:val="18"/>
              </w:rPr>
              <w:t> </w:t>
            </w:r>
            <w:r>
              <w:rPr>
                <w:b/>
                <w:spacing w:val="-2"/>
                <w:sz w:val="18"/>
              </w:rPr>
              <w:t>SYSTEMS</w:t>
            </w:r>
          </w:p>
          <w:p>
            <w:pPr>
              <w:pStyle w:val="TableParagraph"/>
              <w:spacing w:line="219" w:lineRule="exact"/>
              <w:ind w:left="107"/>
              <w:rPr>
                <w:b/>
                <w:sz w:val="18"/>
              </w:rPr>
            </w:pPr>
            <w:r>
              <w:rPr>
                <w:b/>
                <w:spacing w:val="-5"/>
                <w:sz w:val="18"/>
              </w:rPr>
              <w:t>DFA</w:t>
            </w:r>
          </w:p>
        </w:tc>
        <w:tc>
          <w:tcPr>
            <w:tcW w:w="1550" w:type="dxa"/>
            <w:tcBorders>
              <w:top w:val="nil"/>
            </w:tcBorders>
          </w:tcPr>
          <w:p>
            <w:pPr>
              <w:pStyle w:val="TableParagraph"/>
              <w:ind w:left="108" w:right="128"/>
              <w:rPr>
                <w:b/>
                <w:sz w:val="18"/>
              </w:rPr>
            </w:pPr>
            <w:r>
              <w:rPr>
                <w:b/>
                <w:sz w:val="18"/>
              </w:rPr>
              <w:t>3.7</w:t>
            </w:r>
            <w:r>
              <w:rPr>
                <w:b/>
                <w:spacing w:val="40"/>
                <w:sz w:val="18"/>
              </w:rPr>
              <w:t> </w:t>
            </w:r>
            <w:r>
              <w:rPr>
                <w:b/>
                <w:sz w:val="18"/>
              </w:rPr>
              <w:t>External Audits</w:t>
            </w:r>
            <w:r>
              <w:rPr>
                <w:b/>
                <w:spacing w:val="-11"/>
                <w:sz w:val="18"/>
              </w:rPr>
              <w:t> </w:t>
            </w:r>
            <w:r>
              <w:rPr>
                <w:b/>
                <w:sz w:val="18"/>
              </w:rPr>
              <w:t>of</w:t>
            </w:r>
            <w:r>
              <w:rPr>
                <w:b/>
                <w:spacing w:val="-10"/>
                <w:sz w:val="18"/>
              </w:rPr>
              <w:t> </w:t>
            </w:r>
            <w:r>
              <w:rPr>
                <w:b/>
                <w:sz w:val="18"/>
              </w:rPr>
              <w:t>MEHRD finances are </w:t>
            </w:r>
            <w:r>
              <w:rPr>
                <w:b/>
                <w:spacing w:val="-2"/>
                <w:sz w:val="18"/>
              </w:rPr>
              <w:t>conducted</w:t>
            </w:r>
          </w:p>
        </w:tc>
        <w:tc>
          <w:tcPr>
            <w:tcW w:w="1932" w:type="dxa"/>
            <w:tcBorders>
              <w:top w:val="nil"/>
            </w:tcBorders>
          </w:tcPr>
          <w:p>
            <w:pPr>
              <w:pStyle w:val="TableParagraph"/>
              <w:ind w:left="109" w:right="77"/>
              <w:rPr>
                <w:sz w:val="18"/>
              </w:rPr>
            </w:pPr>
            <w:r>
              <w:rPr>
                <w:sz w:val="18"/>
              </w:rPr>
              <w:t>3.7.1</w:t>
            </w:r>
            <w:r>
              <w:rPr>
                <w:spacing w:val="40"/>
                <w:sz w:val="18"/>
              </w:rPr>
              <w:t> </w:t>
            </w:r>
            <w:r>
              <w:rPr>
                <w:sz w:val="18"/>
              </w:rPr>
              <w:t>By the end of 2018, 2015 External Audit of MEHRD complete</w:t>
            </w:r>
            <w:r>
              <w:rPr>
                <w:spacing w:val="-11"/>
                <w:sz w:val="18"/>
              </w:rPr>
              <w:t> </w:t>
            </w:r>
            <w:r>
              <w:rPr>
                <w:sz w:val="18"/>
              </w:rPr>
              <w:t>(four</w:t>
            </w:r>
            <w:r>
              <w:rPr>
                <w:spacing w:val="-10"/>
                <w:sz w:val="18"/>
              </w:rPr>
              <w:t> </w:t>
            </w:r>
            <w:r>
              <w:rPr>
                <w:sz w:val="18"/>
              </w:rPr>
              <w:t>cycles and</w:t>
            </w:r>
            <w:r>
              <w:rPr>
                <w:spacing w:val="-2"/>
                <w:sz w:val="18"/>
              </w:rPr>
              <w:t> </w:t>
            </w:r>
            <w:r>
              <w:rPr>
                <w:sz w:val="18"/>
              </w:rPr>
              <w:t>transactions), including</w:t>
            </w:r>
            <w:r>
              <w:rPr>
                <w:spacing w:val="-2"/>
                <w:sz w:val="18"/>
              </w:rPr>
              <w:t> </w:t>
            </w:r>
            <w:r>
              <w:rPr>
                <w:sz w:val="18"/>
              </w:rPr>
              <w:t>MEHRD</w:t>
            </w:r>
          </w:p>
          <w:p>
            <w:pPr>
              <w:pStyle w:val="TableParagraph"/>
              <w:spacing w:line="199" w:lineRule="exact"/>
              <w:ind w:left="109"/>
              <w:rPr>
                <w:sz w:val="18"/>
              </w:rPr>
            </w:pPr>
            <w:r>
              <w:rPr>
                <w:sz w:val="18"/>
              </w:rPr>
              <w:t>management</w:t>
            </w:r>
            <w:r>
              <w:rPr>
                <w:spacing w:val="-3"/>
                <w:sz w:val="18"/>
              </w:rPr>
              <w:t> </w:t>
            </w:r>
            <w:r>
              <w:rPr>
                <w:spacing w:val="-2"/>
                <w:sz w:val="18"/>
              </w:rPr>
              <w:t>response</w:t>
            </w:r>
          </w:p>
        </w:tc>
        <w:tc>
          <w:tcPr>
            <w:tcW w:w="1982" w:type="dxa"/>
            <w:tcBorders>
              <w:top w:val="nil"/>
            </w:tcBorders>
          </w:tcPr>
          <w:p>
            <w:pPr>
              <w:pStyle w:val="TableParagraph"/>
              <w:ind w:left="109"/>
              <w:rPr>
                <w:sz w:val="18"/>
              </w:rPr>
            </w:pPr>
            <w:r>
              <w:rPr>
                <w:sz w:val="18"/>
              </w:rPr>
              <w:t>MEHRD</w:t>
            </w:r>
            <w:r>
              <w:rPr>
                <w:spacing w:val="-2"/>
                <w:sz w:val="18"/>
              </w:rPr>
              <w:t> </w:t>
            </w:r>
            <w:r>
              <w:rPr>
                <w:sz w:val="18"/>
              </w:rPr>
              <w:t>Management Response for External Audit</w:t>
            </w:r>
            <w:r>
              <w:rPr>
                <w:spacing w:val="-11"/>
                <w:sz w:val="18"/>
              </w:rPr>
              <w:t> </w:t>
            </w:r>
            <w:r>
              <w:rPr>
                <w:sz w:val="18"/>
              </w:rPr>
              <w:t>Part</w:t>
            </w:r>
            <w:r>
              <w:rPr>
                <w:spacing w:val="-10"/>
                <w:sz w:val="18"/>
              </w:rPr>
              <w:t> </w:t>
            </w:r>
            <w:r>
              <w:rPr>
                <w:sz w:val="18"/>
              </w:rPr>
              <w:t>1</w:t>
            </w:r>
            <w:r>
              <w:rPr>
                <w:spacing w:val="-10"/>
                <w:sz w:val="18"/>
              </w:rPr>
              <w:t> </w:t>
            </w:r>
            <w:r>
              <w:rPr>
                <w:sz w:val="18"/>
              </w:rPr>
              <w:t>completed (70%) MEHRD</w:t>
            </w:r>
          </w:p>
          <w:p>
            <w:pPr>
              <w:pStyle w:val="TableParagraph"/>
              <w:spacing w:before="1"/>
              <w:ind w:left="109"/>
              <w:rPr>
                <w:sz w:val="18"/>
              </w:rPr>
            </w:pPr>
            <w:r>
              <w:rPr>
                <w:sz w:val="18"/>
              </w:rPr>
              <w:t>Management</w:t>
            </w:r>
            <w:r>
              <w:rPr>
                <w:spacing w:val="-3"/>
                <w:sz w:val="18"/>
              </w:rPr>
              <w:t> </w:t>
            </w:r>
            <w:r>
              <w:rPr>
                <w:sz w:val="18"/>
              </w:rPr>
              <w:t>Response for</w:t>
            </w:r>
            <w:r>
              <w:rPr>
                <w:spacing w:val="-5"/>
                <w:sz w:val="18"/>
              </w:rPr>
              <w:t> </w:t>
            </w:r>
            <w:r>
              <w:rPr>
                <w:sz w:val="18"/>
              </w:rPr>
              <w:t>External</w:t>
            </w:r>
            <w:r>
              <w:rPr>
                <w:spacing w:val="-3"/>
                <w:sz w:val="18"/>
              </w:rPr>
              <w:t> </w:t>
            </w:r>
            <w:r>
              <w:rPr>
                <w:sz w:val="18"/>
              </w:rPr>
              <w:t>Audit</w:t>
            </w:r>
            <w:r>
              <w:rPr>
                <w:spacing w:val="-2"/>
                <w:sz w:val="18"/>
              </w:rPr>
              <w:t> </w:t>
            </w:r>
            <w:r>
              <w:rPr>
                <w:sz w:val="18"/>
              </w:rPr>
              <w:t>Part</w:t>
            </w:r>
            <w:r>
              <w:rPr>
                <w:spacing w:val="-2"/>
                <w:sz w:val="18"/>
              </w:rPr>
              <w:t> </w:t>
            </w:r>
            <w:r>
              <w:rPr>
                <w:spacing w:val="-10"/>
                <w:sz w:val="18"/>
              </w:rPr>
              <w:t>2</w:t>
            </w:r>
          </w:p>
          <w:p>
            <w:pPr>
              <w:pStyle w:val="TableParagraph"/>
              <w:spacing w:line="199" w:lineRule="exact"/>
              <w:ind w:left="109"/>
              <w:rPr>
                <w:sz w:val="18"/>
              </w:rPr>
            </w:pPr>
            <w:r>
              <w:rPr>
                <w:sz w:val="18"/>
              </w:rPr>
              <w:t>completed</w:t>
            </w:r>
            <w:r>
              <w:rPr>
                <w:spacing w:val="-6"/>
                <w:sz w:val="18"/>
              </w:rPr>
              <w:t> </w:t>
            </w:r>
            <w:r>
              <w:rPr>
                <w:spacing w:val="-2"/>
                <w:sz w:val="18"/>
              </w:rPr>
              <w:t>(30%)</w:t>
            </w:r>
          </w:p>
        </w:tc>
        <w:tc>
          <w:tcPr>
            <w:tcW w:w="1461" w:type="dxa"/>
            <w:tcBorders>
              <w:top w:val="nil"/>
            </w:tcBorders>
            <w:shd w:val="clear" w:color="auto" w:fill="A9D08E"/>
          </w:tcPr>
          <w:p>
            <w:pPr>
              <w:pStyle w:val="TableParagraph"/>
              <w:spacing w:line="268" w:lineRule="exact"/>
              <w:ind w:left="484"/>
              <w:rPr>
                <w:sz w:val="22"/>
              </w:rPr>
            </w:pPr>
            <w:r>
              <w:rPr>
                <w:spacing w:val="-4"/>
                <w:sz w:val="22"/>
              </w:rPr>
              <w:t>100%</w:t>
            </w:r>
          </w:p>
        </w:tc>
        <w:tc>
          <w:tcPr>
            <w:tcW w:w="1834" w:type="dxa"/>
            <w:tcBorders>
              <w:top w:val="nil"/>
            </w:tcBorders>
          </w:tcPr>
          <w:p>
            <w:pPr>
              <w:pStyle w:val="TableParagraph"/>
              <w:tabs>
                <w:tab w:pos="757" w:val="left" w:leader="none"/>
              </w:tabs>
              <w:spacing w:line="268" w:lineRule="exact"/>
              <w:ind w:right="98"/>
              <w:jc w:val="right"/>
              <w:rPr>
                <w:sz w:val="22"/>
              </w:rPr>
            </w:pPr>
            <w:r>
              <w:rPr>
                <w:spacing w:val="-10"/>
                <w:sz w:val="22"/>
              </w:rPr>
              <w:t>$</w:t>
            </w:r>
            <w:r>
              <w:rPr>
                <w:sz w:val="22"/>
              </w:rPr>
              <w:tab/>
            </w:r>
            <w:r>
              <w:rPr>
                <w:spacing w:val="-2"/>
                <w:sz w:val="22"/>
              </w:rPr>
              <w:t>114,286</w:t>
            </w:r>
          </w:p>
        </w:tc>
      </w:tr>
      <w:tr>
        <w:trPr>
          <w:trHeight w:val="311" w:hRule="atLeast"/>
        </w:trPr>
        <w:tc>
          <w:tcPr>
            <w:tcW w:w="2009" w:type="dxa"/>
          </w:tcPr>
          <w:p>
            <w:pPr>
              <w:pStyle w:val="TableParagraph"/>
              <w:spacing w:line="283" w:lineRule="exact" w:before="9"/>
              <w:ind w:left="107"/>
              <w:rPr>
                <w:b/>
                <w:sz w:val="24"/>
              </w:rPr>
            </w:pPr>
            <w:r>
              <w:rPr>
                <w:b/>
                <w:spacing w:val="-4"/>
                <w:sz w:val="24"/>
              </w:rPr>
              <w:t>TOTAL</w:t>
            </w:r>
          </w:p>
        </w:tc>
        <w:tc>
          <w:tcPr>
            <w:tcW w:w="1550" w:type="dxa"/>
          </w:tcPr>
          <w:p>
            <w:pPr>
              <w:pStyle w:val="TableParagraph"/>
              <w:rPr>
                <w:rFonts w:ascii="Times New Roman"/>
                <w:sz w:val="18"/>
              </w:rPr>
            </w:pPr>
          </w:p>
        </w:tc>
        <w:tc>
          <w:tcPr>
            <w:tcW w:w="1932" w:type="dxa"/>
          </w:tcPr>
          <w:p>
            <w:pPr>
              <w:pStyle w:val="TableParagraph"/>
              <w:rPr>
                <w:rFonts w:ascii="Times New Roman"/>
                <w:sz w:val="18"/>
              </w:rPr>
            </w:pPr>
          </w:p>
        </w:tc>
        <w:tc>
          <w:tcPr>
            <w:tcW w:w="1982" w:type="dxa"/>
          </w:tcPr>
          <w:p>
            <w:pPr>
              <w:pStyle w:val="TableParagraph"/>
              <w:rPr>
                <w:rFonts w:ascii="Times New Roman"/>
                <w:sz w:val="18"/>
              </w:rPr>
            </w:pPr>
          </w:p>
        </w:tc>
        <w:tc>
          <w:tcPr>
            <w:tcW w:w="1461" w:type="dxa"/>
          </w:tcPr>
          <w:p>
            <w:pPr>
              <w:pStyle w:val="TableParagraph"/>
              <w:rPr>
                <w:rFonts w:ascii="Times New Roman"/>
                <w:sz w:val="18"/>
              </w:rPr>
            </w:pPr>
          </w:p>
        </w:tc>
        <w:tc>
          <w:tcPr>
            <w:tcW w:w="1834" w:type="dxa"/>
          </w:tcPr>
          <w:p>
            <w:pPr>
              <w:pStyle w:val="TableParagraph"/>
              <w:tabs>
                <w:tab w:pos="500" w:val="left" w:leader="none"/>
              </w:tabs>
              <w:spacing w:line="290" w:lineRule="exact" w:before="1"/>
              <w:ind w:right="99"/>
              <w:jc w:val="right"/>
              <w:rPr>
                <w:b/>
                <w:sz w:val="24"/>
              </w:rPr>
            </w:pPr>
            <w:r>
              <w:rPr>
                <w:b/>
                <w:spacing w:val="-10"/>
                <w:sz w:val="24"/>
              </w:rPr>
              <w:t>$</w:t>
            </w:r>
            <w:r>
              <w:rPr>
                <w:b/>
                <w:sz w:val="24"/>
              </w:rPr>
              <w:tab/>
            </w:r>
            <w:r>
              <w:rPr>
                <w:b/>
                <w:spacing w:val="-2"/>
                <w:sz w:val="24"/>
              </w:rPr>
              <w:t>1,093,717</w:t>
            </w:r>
          </w:p>
        </w:tc>
      </w:tr>
      <w:tr>
        <w:trPr>
          <w:trHeight w:val="309" w:hRule="atLeast"/>
        </w:trPr>
        <w:tc>
          <w:tcPr>
            <w:tcW w:w="2009" w:type="dxa"/>
          </w:tcPr>
          <w:p>
            <w:pPr>
              <w:pStyle w:val="TableParagraph"/>
              <w:spacing w:line="273" w:lineRule="exact" w:before="16"/>
              <w:ind w:left="107"/>
              <w:rPr>
                <w:b/>
                <w:sz w:val="24"/>
              </w:rPr>
            </w:pPr>
            <w:r>
              <w:rPr>
                <w:b/>
                <w:sz w:val="24"/>
              </w:rPr>
              <w:t>Percent</w:t>
            </w:r>
            <w:r>
              <w:rPr>
                <w:b/>
                <w:spacing w:val="-3"/>
                <w:sz w:val="24"/>
              </w:rPr>
              <w:t> </w:t>
            </w:r>
            <w:r>
              <w:rPr>
                <w:b/>
                <w:sz w:val="24"/>
              </w:rPr>
              <w:t>of</w:t>
            </w:r>
            <w:r>
              <w:rPr>
                <w:b/>
                <w:spacing w:val="-3"/>
                <w:sz w:val="24"/>
              </w:rPr>
              <w:t> </w:t>
            </w:r>
            <w:r>
              <w:rPr>
                <w:b/>
                <w:spacing w:val="-2"/>
                <w:sz w:val="24"/>
              </w:rPr>
              <w:t>total</w:t>
            </w:r>
          </w:p>
        </w:tc>
        <w:tc>
          <w:tcPr>
            <w:tcW w:w="1550" w:type="dxa"/>
          </w:tcPr>
          <w:p>
            <w:pPr>
              <w:pStyle w:val="TableParagraph"/>
              <w:rPr>
                <w:rFonts w:ascii="Times New Roman"/>
                <w:sz w:val="18"/>
              </w:rPr>
            </w:pPr>
          </w:p>
        </w:tc>
        <w:tc>
          <w:tcPr>
            <w:tcW w:w="1932" w:type="dxa"/>
          </w:tcPr>
          <w:p>
            <w:pPr>
              <w:pStyle w:val="TableParagraph"/>
              <w:rPr>
                <w:rFonts w:ascii="Times New Roman"/>
                <w:sz w:val="18"/>
              </w:rPr>
            </w:pPr>
          </w:p>
        </w:tc>
        <w:tc>
          <w:tcPr>
            <w:tcW w:w="1982" w:type="dxa"/>
          </w:tcPr>
          <w:p>
            <w:pPr>
              <w:pStyle w:val="TableParagraph"/>
              <w:rPr>
                <w:rFonts w:ascii="Times New Roman"/>
                <w:sz w:val="18"/>
              </w:rPr>
            </w:pPr>
          </w:p>
        </w:tc>
        <w:tc>
          <w:tcPr>
            <w:tcW w:w="1461" w:type="dxa"/>
          </w:tcPr>
          <w:p>
            <w:pPr>
              <w:pStyle w:val="TableParagraph"/>
              <w:rPr>
                <w:rFonts w:ascii="Times New Roman"/>
                <w:sz w:val="18"/>
              </w:rPr>
            </w:pPr>
          </w:p>
        </w:tc>
        <w:tc>
          <w:tcPr>
            <w:tcW w:w="1834" w:type="dxa"/>
          </w:tcPr>
          <w:p>
            <w:pPr>
              <w:pStyle w:val="TableParagraph"/>
              <w:spacing w:line="290" w:lineRule="exact"/>
              <w:ind w:right="95"/>
              <w:jc w:val="right"/>
              <w:rPr>
                <w:b/>
                <w:sz w:val="24"/>
              </w:rPr>
            </w:pPr>
            <w:r>
              <w:rPr>
                <w:b/>
                <w:spacing w:val="-2"/>
                <w:sz w:val="24"/>
              </w:rPr>
              <w:t>68.36%</w:t>
            </w:r>
          </w:p>
        </w:tc>
      </w:tr>
    </w:tbl>
    <w:sectPr>
      <w:type w:val="continuous"/>
      <w:pgSz w:w="16850" w:h="11900" w:orient="landscape"/>
      <w:pgMar w:header="867" w:footer="830" w:top="1380" w:bottom="1020" w:left="120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3999pt;margin-top:787.399963pt;width:14.2pt;height:13.05pt;mso-position-horizontal-relative:page;mso-position-vertical-relative:page;z-index:-18372096" type="#_x0000_t202" id="docshape2" filled="false" stroked="false">
          <v:textbox inset="0,0,0,0">
            <w:txbxContent>
              <w:p>
                <w:pPr>
                  <w:pStyle w:val="BodyText"/>
                  <w:spacing w:line="245" w:lineRule="exact"/>
                  <w:ind w:left="60"/>
                  <w:rPr>
                    <w:rFonts w:ascii="Calibri Light"/>
                    <w:b w:val="0"/>
                  </w:rPr>
                </w:pPr>
                <w:r>
                  <w:rPr>
                    <w:rFonts w:ascii="Calibri Light"/>
                    <w:b w:val="0"/>
                    <w:spacing w:val="-5"/>
                  </w:rPr>
                  <w:fldChar w:fldCharType="begin"/>
                </w:r>
                <w:r>
                  <w:rPr>
                    <w:rFonts w:ascii="Calibri Light"/>
                    <w:b w:val="0"/>
                    <w:spacing w:val="-5"/>
                  </w:rPr>
                  <w:instrText> PAGE  \* roman </w:instrText>
                </w:r>
                <w:r>
                  <w:rPr>
                    <w:rFonts w:ascii="Calibri Light"/>
                    <w:b w:val="0"/>
                    <w:spacing w:val="-5"/>
                  </w:rPr>
                  <w:fldChar w:fldCharType="separate"/>
                </w:r>
                <w:r>
                  <w:rPr>
                    <w:rFonts w:ascii="Calibri Light"/>
                    <w:b w:val="0"/>
                    <w:spacing w:val="-5"/>
                  </w:rPr>
                  <w:t>iii</w:t>
                </w:r>
                <w:r>
                  <w:rPr>
                    <w:rFonts w:ascii="Calibri Light"/>
                    <w:b w:val="0"/>
                    <w:spacing w:val="-5"/>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80011pt;margin-top:789.529968pt;width:33.1pt;height:11pt;mso-position-horizontal-relative:page;mso-position-vertical-relative:page;z-index:-18371072" type="#_x0000_t202" id="docshape4"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Page</w:t>
                </w:r>
                <w:r>
                  <w:rPr>
                    <w:rFonts w:ascii="Calibri Light"/>
                    <w:b w:val="0"/>
                    <w:color w:val="4471C4"/>
                    <w:spacing w:val="-8"/>
                    <w:sz w:val="18"/>
                  </w:rPr>
                  <w:t> </w:t>
                </w:r>
                <w:r>
                  <w:rPr>
                    <w:rFonts w:ascii="Calibri Light"/>
                    <w:b w:val="0"/>
                    <w:color w:val="4471C4"/>
                    <w:spacing w:val="-5"/>
                    <w:sz w:val="18"/>
                  </w:rPr>
                  <w:fldChar w:fldCharType="begin"/>
                </w:r>
                <w:r>
                  <w:rPr>
                    <w:rFonts w:ascii="Calibri Light"/>
                    <w:b w:val="0"/>
                    <w:color w:val="4471C4"/>
                    <w:spacing w:val="-5"/>
                    <w:sz w:val="18"/>
                  </w:rPr>
                  <w:instrText> PAGE </w:instrText>
                </w:r>
                <w:r>
                  <w:rPr>
                    <w:rFonts w:ascii="Calibri Light"/>
                    <w:b w:val="0"/>
                    <w:color w:val="4471C4"/>
                    <w:spacing w:val="-5"/>
                    <w:sz w:val="18"/>
                  </w:rPr>
                  <w:fldChar w:fldCharType="separate"/>
                </w:r>
                <w:r>
                  <w:rPr>
                    <w:rFonts w:ascii="Calibri Light"/>
                    <w:b w:val="0"/>
                    <w:color w:val="4471C4"/>
                    <w:spacing w:val="-5"/>
                    <w:sz w:val="18"/>
                  </w:rPr>
                  <w:t>10</w:t>
                </w:r>
                <w:r>
                  <w:rPr>
                    <w:rFonts w:ascii="Calibri Light"/>
                    <w:b w:val="0"/>
                    <w:color w:val="4471C4"/>
                    <w:spacing w:val="-5"/>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8.460022pt;margin-top:542.450012pt;width:33.1pt;height:11pt;mso-position-horizontal-relative:page;mso-position-vertical-relative:page;z-index:-18370048" type="#_x0000_t202" id="docshape21"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Page</w:t>
                </w:r>
                <w:r>
                  <w:rPr>
                    <w:rFonts w:ascii="Calibri Light"/>
                    <w:b w:val="0"/>
                    <w:color w:val="4471C4"/>
                    <w:spacing w:val="-8"/>
                    <w:sz w:val="18"/>
                  </w:rPr>
                  <w:t> </w:t>
                </w:r>
                <w:r>
                  <w:rPr>
                    <w:rFonts w:ascii="Calibri Light"/>
                    <w:b w:val="0"/>
                    <w:color w:val="4471C4"/>
                    <w:spacing w:val="-5"/>
                    <w:sz w:val="18"/>
                  </w:rPr>
                  <w:fldChar w:fldCharType="begin"/>
                </w:r>
                <w:r>
                  <w:rPr>
                    <w:rFonts w:ascii="Calibri Light"/>
                    <w:b w:val="0"/>
                    <w:color w:val="4471C4"/>
                    <w:spacing w:val="-5"/>
                    <w:sz w:val="18"/>
                  </w:rPr>
                  <w:instrText> PAGE </w:instrText>
                </w:r>
                <w:r>
                  <w:rPr>
                    <w:rFonts w:ascii="Calibri Light"/>
                    <w:b w:val="0"/>
                    <w:color w:val="4471C4"/>
                    <w:spacing w:val="-5"/>
                    <w:sz w:val="18"/>
                  </w:rPr>
                  <w:fldChar w:fldCharType="separate"/>
                </w:r>
                <w:r>
                  <w:rPr>
                    <w:rFonts w:ascii="Calibri Light"/>
                    <w:b w:val="0"/>
                    <w:color w:val="4471C4"/>
                    <w:spacing w:val="-5"/>
                    <w:sz w:val="18"/>
                  </w:rPr>
                  <w:t>40</w:t>
                </w:r>
                <w:r>
                  <w:rPr>
                    <w:rFonts w:ascii="Calibri Light"/>
                    <w:b w:val="0"/>
                    <w:color w:val="4471C4"/>
                    <w:spacing w:val="-5"/>
                    <w:sz w:val="18"/>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80011pt;margin-top:789.529968pt;width:33.1pt;height:11pt;mso-position-horizontal-relative:page;mso-position-vertical-relative:page;z-index:-18369024" type="#_x0000_t202" id="docshape26"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Page</w:t>
                </w:r>
                <w:r>
                  <w:rPr>
                    <w:rFonts w:ascii="Calibri Light"/>
                    <w:b w:val="0"/>
                    <w:color w:val="4471C4"/>
                    <w:spacing w:val="-8"/>
                    <w:sz w:val="18"/>
                  </w:rPr>
                  <w:t> </w:t>
                </w:r>
                <w:r>
                  <w:rPr>
                    <w:rFonts w:ascii="Calibri Light"/>
                    <w:b w:val="0"/>
                    <w:color w:val="4471C4"/>
                    <w:spacing w:val="-5"/>
                    <w:sz w:val="18"/>
                  </w:rPr>
                  <w:fldChar w:fldCharType="begin"/>
                </w:r>
                <w:r>
                  <w:rPr>
                    <w:rFonts w:ascii="Calibri Light"/>
                    <w:b w:val="0"/>
                    <w:color w:val="4471C4"/>
                    <w:spacing w:val="-5"/>
                    <w:sz w:val="18"/>
                  </w:rPr>
                  <w:instrText> PAGE </w:instrText>
                </w:r>
                <w:r>
                  <w:rPr>
                    <w:rFonts w:ascii="Calibri Light"/>
                    <w:b w:val="0"/>
                    <w:color w:val="4471C4"/>
                    <w:spacing w:val="-5"/>
                    <w:sz w:val="18"/>
                  </w:rPr>
                  <w:fldChar w:fldCharType="separate"/>
                </w:r>
                <w:r>
                  <w:rPr>
                    <w:rFonts w:ascii="Calibri Light"/>
                    <w:b w:val="0"/>
                    <w:color w:val="4471C4"/>
                    <w:spacing w:val="-5"/>
                    <w:sz w:val="18"/>
                  </w:rPr>
                  <w:t>45</w:t>
                </w:r>
                <w:r>
                  <w:rPr>
                    <w:rFonts w:ascii="Calibri Light"/>
                    <w:b w:val="0"/>
                    <w:color w:val="4471C4"/>
                    <w:spacing w:val="-5"/>
                    <w:sz w:val="18"/>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140015pt;margin-top:542.450012pt;width:33.1pt;height:11pt;mso-position-horizontal-relative:page;mso-position-vertical-relative:page;z-index:-18368000" type="#_x0000_t202" id="docshape28"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Page</w:t>
                </w:r>
                <w:r>
                  <w:rPr>
                    <w:rFonts w:ascii="Calibri Light"/>
                    <w:b w:val="0"/>
                    <w:color w:val="4471C4"/>
                    <w:spacing w:val="-7"/>
                    <w:sz w:val="18"/>
                  </w:rPr>
                  <w:t> </w:t>
                </w:r>
                <w:r>
                  <w:rPr>
                    <w:rFonts w:ascii="Calibri Light"/>
                    <w:b w:val="0"/>
                    <w:color w:val="4471C4"/>
                    <w:spacing w:val="-5"/>
                    <w:sz w:val="18"/>
                  </w:rPr>
                  <w:fldChar w:fldCharType="begin"/>
                </w:r>
                <w:r>
                  <w:rPr>
                    <w:rFonts w:ascii="Calibri Light"/>
                    <w:b w:val="0"/>
                    <w:color w:val="4471C4"/>
                    <w:spacing w:val="-5"/>
                    <w:sz w:val="18"/>
                  </w:rPr>
                  <w:instrText> PAGE </w:instrText>
                </w:r>
                <w:r>
                  <w:rPr>
                    <w:rFonts w:ascii="Calibri Light"/>
                    <w:b w:val="0"/>
                    <w:color w:val="4471C4"/>
                    <w:spacing w:val="-5"/>
                    <w:sz w:val="18"/>
                  </w:rPr>
                  <w:fldChar w:fldCharType="separate"/>
                </w:r>
                <w:r>
                  <w:rPr>
                    <w:rFonts w:ascii="Calibri Light"/>
                    <w:b w:val="0"/>
                    <w:color w:val="4471C4"/>
                    <w:spacing w:val="-5"/>
                    <w:sz w:val="18"/>
                  </w:rPr>
                  <w:t>47</w:t>
                </w:r>
                <w:r>
                  <w:rPr>
                    <w:rFonts w:ascii="Calibri Light"/>
                    <w:b w:val="0"/>
                    <w:color w:val="4471C4"/>
                    <w:spacing w:val="-5"/>
                    <w:sz w:val="18"/>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024002pt;margin-top:43.36998pt;width:319.3pt;height:11pt;mso-position-horizontal-relative:page;mso-position-vertical-relative:page;z-index:-18372608" type="#_x0000_t202" id="docshape1"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Independent</w:t>
                </w:r>
                <w:r>
                  <w:rPr>
                    <w:rFonts w:ascii="Calibri Light"/>
                    <w:b w:val="0"/>
                    <w:color w:val="4471C4"/>
                    <w:spacing w:val="-5"/>
                    <w:sz w:val="18"/>
                  </w:rPr>
                  <w:t> </w:t>
                </w:r>
                <w:r>
                  <w:rPr>
                    <w:rFonts w:ascii="Calibri Light"/>
                    <w:b w:val="0"/>
                    <w:color w:val="4471C4"/>
                    <w:sz w:val="18"/>
                  </w:rPr>
                  <w:t>Assessor</w:t>
                </w:r>
                <w:r>
                  <w:rPr>
                    <w:rFonts w:ascii="Calibri Light"/>
                    <w:b w:val="0"/>
                    <w:color w:val="4471C4"/>
                    <w:spacing w:val="-2"/>
                    <w:sz w:val="18"/>
                  </w:rPr>
                  <w:t> </w:t>
                </w:r>
                <w:r>
                  <w:rPr>
                    <w:rFonts w:ascii="Calibri Light"/>
                    <w:b w:val="0"/>
                    <w:color w:val="4471C4"/>
                    <w:sz w:val="18"/>
                  </w:rPr>
                  <w:t>Report</w:t>
                </w:r>
                <w:r>
                  <w:rPr>
                    <w:rFonts w:ascii="Calibri Light"/>
                    <w:b w:val="0"/>
                    <w:color w:val="4471C4"/>
                    <w:spacing w:val="-2"/>
                    <w:sz w:val="18"/>
                  </w:rPr>
                  <w:t> </w:t>
                </w:r>
                <w:r>
                  <w:rPr>
                    <w:rFonts w:ascii="Calibri Light"/>
                    <w:b w:val="0"/>
                    <w:color w:val="4471C4"/>
                    <w:sz w:val="18"/>
                  </w:rPr>
                  <w:t>2019:</w:t>
                </w:r>
                <w:r>
                  <w:rPr>
                    <w:rFonts w:ascii="Calibri Light"/>
                    <w:b w:val="0"/>
                    <w:color w:val="4471C4"/>
                    <w:spacing w:val="-2"/>
                    <w:sz w:val="18"/>
                  </w:rPr>
                  <w:t> </w:t>
                </w:r>
                <w:r>
                  <w:rPr>
                    <w:rFonts w:ascii="Calibri Light"/>
                    <w:b w:val="0"/>
                    <w:color w:val="4471C4"/>
                    <w:sz w:val="18"/>
                  </w:rPr>
                  <w:t>Solomon</w:t>
                </w:r>
                <w:r>
                  <w:rPr>
                    <w:rFonts w:ascii="Calibri Light"/>
                    <w:b w:val="0"/>
                    <w:color w:val="4471C4"/>
                    <w:spacing w:val="-2"/>
                    <w:sz w:val="18"/>
                  </w:rPr>
                  <w:t> </w:t>
                </w:r>
                <w:r>
                  <w:rPr>
                    <w:rFonts w:ascii="Calibri Light"/>
                    <w:b w:val="0"/>
                    <w:color w:val="4471C4"/>
                    <w:sz w:val="18"/>
                  </w:rPr>
                  <w:t>Islands</w:t>
                </w:r>
                <w:r>
                  <w:rPr>
                    <w:rFonts w:ascii="Calibri Light"/>
                    <w:b w:val="0"/>
                    <w:color w:val="4471C4"/>
                    <w:spacing w:val="-3"/>
                    <w:sz w:val="18"/>
                  </w:rPr>
                  <w:t> </w:t>
                </w:r>
                <w:r>
                  <w:rPr>
                    <w:rFonts w:ascii="Calibri Light"/>
                    <w:b w:val="0"/>
                    <w:color w:val="4471C4"/>
                    <w:sz w:val="18"/>
                  </w:rPr>
                  <w:t>Education</w:t>
                </w:r>
                <w:r>
                  <w:rPr>
                    <w:rFonts w:ascii="Calibri Light"/>
                    <w:b w:val="0"/>
                    <w:color w:val="4471C4"/>
                    <w:spacing w:val="-2"/>
                    <w:sz w:val="18"/>
                  </w:rPr>
                  <w:t> </w:t>
                </w:r>
                <w:r>
                  <w:rPr>
                    <w:rFonts w:ascii="Calibri Light"/>
                    <w:b w:val="0"/>
                    <w:color w:val="4471C4"/>
                    <w:sz w:val="18"/>
                  </w:rPr>
                  <w:t>Sector</w:t>
                </w:r>
                <w:r>
                  <w:rPr>
                    <w:rFonts w:ascii="Calibri Light"/>
                    <w:b w:val="0"/>
                    <w:color w:val="4471C4"/>
                    <w:spacing w:val="-3"/>
                    <w:sz w:val="18"/>
                  </w:rPr>
                  <w:t> </w:t>
                </w:r>
                <w:r>
                  <w:rPr>
                    <w:rFonts w:ascii="Calibri Light"/>
                    <w:b w:val="0"/>
                    <w:color w:val="4471C4"/>
                    <w:sz w:val="18"/>
                  </w:rPr>
                  <w:t>Support</w:t>
                </w:r>
                <w:r>
                  <w:rPr>
                    <w:rFonts w:ascii="Calibri Light"/>
                    <w:b w:val="0"/>
                    <w:color w:val="4471C4"/>
                    <w:spacing w:val="-1"/>
                    <w:sz w:val="18"/>
                  </w:rPr>
                  <w:t> </w:t>
                </w:r>
                <w:r>
                  <w:rPr>
                    <w:rFonts w:ascii="Calibri Light"/>
                    <w:b w:val="0"/>
                    <w:color w:val="4471C4"/>
                    <w:spacing w:val="-2"/>
                    <w:sz w:val="18"/>
                  </w:rPr>
                  <w:t>Program</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43.36998pt;width:319.3pt;height:11pt;mso-position-horizontal-relative:page;mso-position-vertical-relative:page;z-index:-18371584" type="#_x0000_t202" id="docshape3"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Independent</w:t>
                </w:r>
                <w:r>
                  <w:rPr>
                    <w:rFonts w:ascii="Calibri Light"/>
                    <w:b w:val="0"/>
                    <w:color w:val="4471C4"/>
                    <w:spacing w:val="-5"/>
                    <w:sz w:val="18"/>
                  </w:rPr>
                  <w:t> </w:t>
                </w:r>
                <w:r>
                  <w:rPr>
                    <w:rFonts w:ascii="Calibri Light"/>
                    <w:b w:val="0"/>
                    <w:color w:val="4471C4"/>
                    <w:sz w:val="18"/>
                  </w:rPr>
                  <w:t>Assessor</w:t>
                </w:r>
                <w:r>
                  <w:rPr>
                    <w:rFonts w:ascii="Calibri Light"/>
                    <w:b w:val="0"/>
                    <w:color w:val="4471C4"/>
                    <w:spacing w:val="-2"/>
                    <w:sz w:val="18"/>
                  </w:rPr>
                  <w:t> </w:t>
                </w:r>
                <w:r>
                  <w:rPr>
                    <w:rFonts w:ascii="Calibri Light"/>
                    <w:b w:val="0"/>
                    <w:color w:val="4471C4"/>
                    <w:sz w:val="18"/>
                  </w:rPr>
                  <w:t>Report</w:t>
                </w:r>
                <w:r>
                  <w:rPr>
                    <w:rFonts w:ascii="Calibri Light"/>
                    <w:b w:val="0"/>
                    <w:color w:val="4471C4"/>
                    <w:spacing w:val="-2"/>
                    <w:sz w:val="18"/>
                  </w:rPr>
                  <w:t> </w:t>
                </w:r>
                <w:r>
                  <w:rPr>
                    <w:rFonts w:ascii="Calibri Light"/>
                    <w:b w:val="0"/>
                    <w:color w:val="4471C4"/>
                    <w:sz w:val="18"/>
                  </w:rPr>
                  <w:t>2019:</w:t>
                </w:r>
                <w:r>
                  <w:rPr>
                    <w:rFonts w:ascii="Calibri Light"/>
                    <w:b w:val="0"/>
                    <w:color w:val="4471C4"/>
                    <w:spacing w:val="-2"/>
                    <w:sz w:val="18"/>
                  </w:rPr>
                  <w:t> </w:t>
                </w:r>
                <w:r>
                  <w:rPr>
                    <w:rFonts w:ascii="Calibri Light"/>
                    <w:b w:val="0"/>
                    <w:color w:val="4471C4"/>
                    <w:sz w:val="18"/>
                  </w:rPr>
                  <w:t>Solomon</w:t>
                </w:r>
                <w:r>
                  <w:rPr>
                    <w:rFonts w:ascii="Calibri Light"/>
                    <w:b w:val="0"/>
                    <w:color w:val="4471C4"/>
                    <w:spacing w:val="-2"/>
                    <w:sz w:val="18"/>
                  </w:rPr>
                  <w:t> </w:t>
                </w:r>
                <w:r>
                  <w:rPr>
                    <w:rFonts w:ascii="Calibri Light"/>
                    <w:b w:val="0"/>
                    <w:color w:val="4471C4"/>
                    <w:sz w:val="18"/>
                  </w:rPr>
                  <w:t>Islands</w:t>
                </w:r>
                <w:r>
                  <w:rPr>
                    <w:rFonts w:ascii="Calibri Light"/>
                    <w:b w:val="0"/>
                    <w:color w:val="4471C4"/>
                    <w:spacing w:val="-3"/>
                    <w:sz w:val="18"/>
                  </w:rPr>
                  <w:t> </w:t>
                </w:r>
                <w:r>
                  <w:rPr>
                    <w:rFonts w:ascii="Calibri Light"/>
                    <w:b w:val="0"/>
                    <w:color w:val="4471C4"/>
                    <w:sz w:val="18"/>
                  </w:rPr>
                  <w:t>Education</w:t>
                </w:r>
                <w:r>
                  <w:rPr>
                    <w:rFonts w:ascii="Calibri Light"/>
                    <w:b w:val="0"/>
                    <w:color w:val="4471C4"/>
                    <w:spacing w:val="-2"/>
                    <w:sz w:val="18"/>
                  </w:rPr>
                  <w:t> </w:t>
                </w:r>
                <w:r>
                  <w:rPr>
                    <w:rFonts w:ascii="Calibri Light"/>
                    <w:b w:val="0"/>
                    <w:color w:val="4471C4"/>
                    <w:sz w:val="18"/>
                  </w:rPr>
                  <w:t>Sector</w:t>
                </w:r>
                <w:r>
                  <w:rPr>
                    <w:rFonts w:ascii="Calibri Light"/>
                    <w:b w:val="0"/>
                    <w:color w:val="4471C4"/>
                    <w:spacing w:val="-3"/>
                    <w:sz w:val="18"/>
                  </w:rPr>
                  <w:t> </w:t>
                </w:r>
                <w:r>
                  <w:rPr>
                    <w:rFonts w:ascii="Calibri Light"/>
                    <w:b w:val="0"/>
                    <w:color w:val="4471C4"/>
                    <w:sz w:val="18"/>
                  </w:rPr>
                  <w:t>Support</w:t>
                </w:r>
                <w:r>
                  <w:rPr>
                    <w:rFonts w:ascii="Calibri Light"/>
                    <w:b w:val="0"/>
                    <w:color w:val="4471C4"/>
                    <w:spacing w:val="-1"/>
                    <w:sz w:val="18"/>
                  </w:rPr>
                  <w:t> </w:t>
                </w:r>
                <w:r>
                  <w:rPr>
                    <w:rFonts w:ascii="Calibri Light"/>
                    <w:b w:val="0"/>
                    <w:color w:val="4471C4"/>
                    <w:spacing w:val="-2"/>
                    <w:sz w:val="18"/>
                  </w:rPr>
                  <w:t>Program</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43.370022pt;width:319.3pt;height:11pt;mso-position-horizontal-relative:page;mso-position-vertical-relative:page;z-index:-18370560" type="#_x0000_t202" id="docshape20"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Independent</w:t>
                </w:r>
                <w:r>
                  <w:rPr>
                    <w:rFonts w:ascii="Calibri Light"/>
                    <w:b w:val="0"/>
                    <w:color w:val="4471C4"/>
                    <w:spacing w:val="-5"/>
                    <w:sz w:val="18"/>
                  </w:rPr>
                  <w:t> </w:t>
                </w:r>
                <w:r>
                  <w:rPr>
                    <w:rFonts w:ascii="Calibri Light"/>
                    <w:b w:val="0"/>
                    <w:color w:val="4471C4"/>
                    <w:sz w:val="18"/>
                  </w:rPr>
                  <w:t>Assessor</w:t>
                </w:r>
                <w:r>
                  <w:rPr>
                    <w:rFonts w:ascii="Calibri Light"/>
                    <w:b w:val="0"/>
                    <w:color w:val="4471C4"/>
                    <w:spacing w:val="-2"/>
                    <w:sz w:val="18"/>
                  </w:rPr>
                  <w:t> </w:t>
                </w:r>
                <w:r>
                  <w:rPr>
                    <w:rFonts w:ascii="Calibri Light"/>
                    <w:b w:val="0"/>
                    <w:color w:val="4471C4"/>
                    <w:sz w:val="18"/>
                  </w:rPr>
                  <w:t>Report</w:t>
                </w:r>
                <w:r>
                  <w:rPr>
                    <w:rFonts w:ascii="Calibri Light"/>
                    <w:b w:val="0"/>
                    <w:color w:val="4471C4"/>
                    <w:spacing w:val="-2"/>
                    <w:sz w:val="18"/>
                  </w:rPr>
                  <w:t> </w:t>
                </w:r>
                <w:r>
                  <w:rPr>
                    <w:rFonts w:ascii="Calibri Light"/>
                    <w:b w:val="0"/>
                    <w:color w:val="4471C4"/>
                    <w:sz w:val="18"/>
                  </w:rPr>
                  <w:t>2019:</w:t>
                </w:r>
                <w:r>
                  <w:rPr>
                    <w:rFonts w:ascii="Calibri Light"/>
                    <w:b w:val="0"/>
                    <w:color w:val="4471C4"/>
                    <w:spacing w:val="-2"/>
                    <w:sz w:val="18"/>
                  </w:rPr>
                  <w:t> </w:t>
                </w:r>
                <w:r>
                  <w:rPr>
                    <w:rFonts w:ascii="Calibri Light"/>
                    <w:b w:val="0"/>
                    <w:color w:val="4471C4"/>
                    <w:sz w:val="18"/>
                  </w:rPr>
                  <w:t>Solomon</w:t>
                </w:r>
                <w:r>
                  <w:rPr>
                    <w:rFonts w:ascii="Calibri Light"/>
                    <w:b w:val="0"/>
                    <w:color w:val="4471C4"/>
                    <w:spacing w:val="-2"/>
                    <w:sz w:val="18"/>
                  </w:rPr>
                  <w:t> </w:t>
                </w:r>
                <w:r>
                  <w:rPr>
                    <w:rFonts w:ascii="Calibri Light"/>
                    <w:b w:val="0"/>
                    <w:color w:val="4471C4"/>
                    <w:sz w:val="18"/>
                  </w:rPr>
                  <w:t>Islands</w:t>
                </w:r>
                <w:r>
                  <w:rPr>
                    <w:rFonts w:ascii="Calibri Light"/>
                    <w:b w:val="0"/>
                    <w:color w:val="4471C4"/>
                    <w:spacing w:val="-3"/>
                    <w:sz w:val="18"/>
                  </w:rPr>
                  <w:t> </w:t>
                </w:r>
                <w:r>
                  <w:rPr>
                    <w:rFonts w:ascii="Calibri Light"/>
                    <w:b w:val="0"/>
                    <w:color w:val="4471C4"/>
                    <w:sz w:val="18"/>
                  </w:rPr>
                  <w:t>Education</w:t>
                </w:r>
                <w:r>
                  <w:rPr>
                    <w:rFonts w:ascii="Calibri Light"/>
                    <w:b w:val="0"/>
                    <w:color w:val="4471C4"/>
                    <w:spacing w:val="-2"/>
                    <w:sz w:val="18"/>
                  </w:rPr>
                  <w:t> </w:t>
                </w:r>
                <w:r>
                  <w:rPr>
                    <w:rFonts w:ascii="Calibri Light"/>
                    <w:b w:val="0"/>
                    <w:color w:val="4471C4"/>
                    <w:sz w:val="18"/>
                  </w:rPr>
                  <w:t>Sector</w:t>
                </w:r>
                <w:r>
                  <w:rPr>
                    <w:rFonts w:ascii="Calibri Light"/>
                    <w:b w:val="0"/>
                    <w:color w:val="4471C4"/>
                    <w:spacing w:val="-3"/>
                    <w:sz w:val="18"/>
                  </w:rPr>
                  <w:t> </w:t>
                </w:r>
                <w:r>
                  <w:rPr>
                    <w:rFonts w:ascii="Calibri Light"/>
                    <w:b w:val="0"/>
                    <w:color w:val="4471C4"/>
                    <w:sz w:val="18"/>
                  </w:rPr>
                  <w:t>Support</w:t>
                </w:r>
                <w:r>
                  <w:rPr>
                    <w:rFonts w:ascii="Calibri Light"/>
                    <w:b w:val="0"/>
                    <w:color w:val="4471C4"/>
                    <w:spacing w:val="-1"/>
                    <w:sz w:val="18"/>
                  </w:rPr>
                  <w:t> </w:t>
                </w:r>
                <w:r>
                  <w:rPr>
                    <w:rFonts w:ascii="Calibri Light"/>
                    <w:b w:val="0"/>
                    <w:color w:val="4471C4"/>
                    <w:spacing w:val="-2"/>
                    <w:sz w:val="18"/>
                  </w:rPr>
                  <w:t>Program</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43.36998pt;width:319.3pt;height:11pt;mso-position-horizontal-relative:page;mso-position-vertical-relative:page;z-index:-18369536" type="#_x0000_t202" id="docshape25"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Independent</w:t>
                </w:r>
                <w:r>
                  <w:rPr>
                    <w:rFonts w:ascii="Calibri Light"/>
                    <w:b w:val="0"/>
                    <w:color w:val="4471C4"/>
                    <w:spacing w:val="-5"/>
                    <w:sz w:val="18"/>
                  </w:rPr>
                  <w:t> </w:t>
                </w:r>
                <w:r>
                  <w:rPr>
                    <w:rFonts w:ascii="Calibri Light"/>
                    <w:b w:val="0"/>
                    <w:color w:val="4471C4"/>
                    <w:sz w:val="18"/>
                  </w:rPr>
                  <w:t>Assessor</w:t>
                </w:r>
                <w:r>
                  <w:rPr>
                    <w:rFonts w:ascii="Calibri Light"/>
                    <w:b w:val="0"/>
                    <w:color w:val="4471C4"/>
                    <w:spacing w:val="-2"/>
                    <w:sz w:val="18"/>
                  </w:rPr>
                  <w:t> </w:t>
                </w:r>
                <w:r>
                  <w:rPr>
                    <w:rFonts w:ascii="Calibri Light"/>
                    <w:b w:val="0"/>
                    <w:color w:val="4471C4"/>
                    <w:sz w:val="18"/>
                  </w:rPr>
                  <w:t>Report</w:t>
                </w:r>
                <w:r>
                  <w:rPr>
                    <w:rFonts w:ascii="Calibri Light"/>
                    <w:b w:val="0"/>
                    <w:color w:val="4471C4"/>
                    <w:spacing w:val="-2"/>
                    <w:sz w:val="18"/>
                  </w:rPr>
                  <w:t> </w:t>
                </w:r>
                <w:r>
                  <w:rPr>
                    <w:rFonts w:ascii="Calibri Light"/>
                    <w:b w:val="0"/>
                    <w:color w:val="4471C4"/>
                    <w:sz w:val="18"/>
                  </w:rPr>
                  <w:t>2019:</w:t>
                </w:r>
                <w:r>
                  <w:rPr>
                    <w:rFonts w:ascii="Calibri Light"/>
                    <w:b w:val="0"/>
                    <w:color w:val="4471C4"/>
                    <w:spacing w:val="-2"/>
                    <w:sz w:val="18"/>
                  </w:rPr>
                  <w:t> </w:t>
                </w:r>
                <w:r>
                  <w:rPr>
                    <w:rFonts w:ascii="Calibri Light"/>
                    <w:b w:val="0"/>
                    <w:color w:val="4471C4"/>
                    <w:sz w:val="18"/>
                  </w:rPr>
                  <w:t>Solomon</w:t>
                </w:r>
                <w:r>
                  <w:rPr>
                    <w:rFonts w:ascii="Calibri Light"/>
                    <w:b w:val="0"/>
                    <w:color w:val="4471C4"/>
                    <w:spacing w:val="-2"/>
                    <w:sz w:val="18"/>
                  </w:rPr>
                  <w:t> </w:t>
                </w:r>
                <w:r>
                  <w:rPr>
                    <w:rFonts w:ascii="Calibri Light"/>
                    <w:b w:val="0"/>
                    <w:color w:val="4471C4"/>
                    <w:sz w:val="18"/>
                  </w:rPr>
                  <w:t>Islands</w:t>
                </w:r>
                <w:r>
                  <w:rPr>
                    <w:rFonts w:ascii="Calibri Light"/>
                    <w:b w:val="0"/>
                    <w:color w:val="4471C4"/>
                    <w:spacing w:val="-3"/>
                    <w:sz w:val="18"/>
                  </w:rPr>
                  <w:t> </w:t>
                </w:r>
                <w:r>
                  <w:rPr>
                    <w:rFonts w:ascii="Calibri Light"/>
                    <w:b w:val="0"/>
                    <w:color w:val="4471C4"/>
                    <w:sz w:val="18"/>
                  </w:rPr>
                  <w:t>Education</w:t>
                </w:r>
                <w:r>
                  <w:rPr>
                    <w:rFonts w:ascii="Calibri Light"/>
                    <w:b w:val="0"/>
                    <w:color w:val="4471C4"/>
                    <w:spacing w:val="-2"/>
                    <w:sz w:val="18"/>
                  </w:rPr>
                  <w:t> </w:t>
                </w:r>
                <w:r>
                  <w:rPr>
                    <w:rFonts w:ascii="Calibri Light"/>
                    <w:b w:val="0"/>
                    <w:color w:val="4471C4"/>
                    <w:sz w:val="18"/>
                  </w:rPr>
                  <w:t>Sector</w:t>
                </w:r>
                <w:r>
                  <w:rPr>
                    <w:rFonts w:ascii="Calibri Light"/>
                    <w:b w:val="0"/>
                    <w:color w:val="4471C4"/>
                    <w:spacing w:val="-3"/>
                    <w:sz w:val="18"/>
                  </w:rPr>
                  <w:t> </w:t>
                </w:r>
                <w:r>
                  <w:rPr>
                    <w:rFonts w:ascii="Calibri Light"/>
                    <w:b w:val="0"/>
                    <w:color w:val="4471C4"/>
                    <w:sz w:val="18"/>
                  </w:rPr>
                  <w:t>Support</w:t>
                </w:r>
                <w:r>
                  <w:rPr>
                    <w:rFonts w:ascii="Calibri Light"/>
                    <w:b w:val="0"/>
                    <w:color w:val="4471C4"/>
                    <w:spacing w:val="-1"/>
                    <w:sz w:val="18"/>
                  </w:rPr>
                  <w:t> </w:t>
                </w:r>
                <w:r>
                  <w:rPr>
                    <w:rFonts w:ascii="Calibri Light"/>
                    <w:b w:val="0"/>
                    <w:color w:val="4471C4"/>
                    <w:spacing w:val="-2"/>
                    <w:sz w:val="18"/>
                  </w:rPr>
                  <w:t>Program</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9998pt;margin-top:43.370022pt;width:319.3pt;height:11pt;mso-position-horizontal-relative:page;mso-position-vertical-relative:page;z-index:-18368512" type="#_x0000_t202" id="docshape27" filled="false" stroked="false">
          <v:textbox inset="0,0,0,0">
            <w:txbxContent>
              <w:p>
                <w:pPr>
                  <w:spacing w:line="203" w:lineRule="exact" w:before="0"/>
                  <w:ind w:left="20" w:right="0" w:firstLine="0"/>
                  <w:jc w:val="left"/>
                  <w:rPr>
                    <w:rFonts w:ascii="Calibri Light"/>
                    <w:b w:val="0"/>
                    <w:sz w:val="18"/>
                  </w:rPr>
                </w:pPr>
                <w:r>
                  <w:rPr>
                    <w:rFonts w:ascii="Calibri Light"/>
                    <w:b w:val="0"/>
                    <w:color w:val="4471C4"/>
                    <w:sz w:val="18"/>
                  </w:rPr>
                  <w:t>Independent</w:t>
                </w:r>
                <w:r>
                  <w:rPr>
                    <w:rFonts w:ascii="Calibri Light"/>
                    <w:b w:val="0"/>
                    <w:color w:val="4471C4"/>
                    <w:spacing w:val="-5"/>
                    <w:sz w:val="18"/>
                  </w:rPr>
                  <w:t> </w:t>
                </w:r>
                <w:r>
                  <w:rPr>
                    <w:rFonts w:ascii="Calibri Light"/>
                    <w:b w:val="0"/>
                    <w:color w:val="4471C4"/>
                    <w:sz w:val="18"/>
                  </w:rPr>
                  <w:t>Assessor</w:t>
                </w:r>
                <w:r>
                  <w:rPr>
                    <w:rFonts w:ascii="Calibri Light"/>
                    <w:b w:val="0"/>
                    <w:color w:val="4471C4"/>
                    <w:spacing w:val="-2"/>
                    <w:sz w:val="18"/>
                  </w:rPr>
                  <w:t> </w:t>
                </w:r>
                <w:r>
                  <w:rPr>
                    <w:rFonts w:ascii="Calibri Light"/>
                    <w:b w:val="0"/>
                    <w:color w:val="4471C4"/>
                    <w:sz w:val="18"/>
                  </w:rPr>
                  <w:t>Report</w:t>
                </w:r>
                <w:r>
                  <w:rPr>
                    <w:rFonts w:ascii="Calibri Light"/>
                    <w:b w:val="0"/>
                    <w:color w:val="4471C4"/>
                    <w:spacing w:val="-2"/>
                    <w:sz w:val="18"/>
                  </w:rPr>
                  <w:t> </w:t>
                </w:r>
                <w:r>
                  <w:rPr>
                    <w:rFonts w:ascii="Calibri Light"/>
                    <w:b w:val="0"/>
                    <w:color w:val="4471C4"/>
                    <w:sz w:val="18"/>
                  </w:rPr>
                  <w:t>2019:</w:t>
                </w:r>
                <w:r>
                  <w:rPr>
                    <w:rFonts w:ascii="Calibri Light"/>
                    <w:b w:val="0"/>
                    <w:color w:val="4471C4"/>
                    <w:spacing w:val="-2"/>
                    <w:sz w:val="18"/>
                  </w:rPr>
                  <w:t> </w:t>
                </w:r>
                <w:r>
                  <w:rPr>
                    <w:rFonts w:ascii="Calibri Light"/>
                    <w:b w:val="0"/>
                    <w:color w:val="4471C4"/>
                    <w:sz w:val="18"/>
                  </w:rPr>
                  <w:t>Solomon</w:t>
                </w:r>
                <w:r>
                  <w:rPr>
                    <w:rFonts w:ascii="Calibri Light"/>
                    <w:b w:val="0"/>
                    <w:color w:val="4471C4"/>
                    <w:spacing w:val="-2"/>
                    <w:sz w:val="18"/>
                  </w:rPr>
                  <w:t> </w:t>
                </w:r>
                <w:r>
                  <w:rPr>
                    <w:rFonts w:ascii="Calibri Light"/>
                    <w:b w:val="0"/>
                    <w:color w:val="4471C4"/>
                    <w:sz w:val="18"/>
                  </w:rPr>
                  <w:t>Islands</w:t>
                </w:r>
                <w:r>
                  <w:rPr>
                    <w:rFonts w:ascii="Calibri Light"/>
                    <w:b w:val="0"/>
                    <w:color w:val="4471C4"/>
                    <w:spacing w:val="-3"/>
                    <w:sz w:val="18"/>
                  </w:rPr>
                  <w:t> </w:t>
                </w:r>
                <w:r>
                  <w:rPr>
                    <w:rFonts w:ascii="Calibri Light"/>
                    <w:b w:val="0"/>
                    <w:color w:val="4471C4"/>
                    <w:sz w:val="18"/>
                  </w:rPr>
                  <w:t>Education</w:t>
                </w:r>
                <w:r>
                  <w:rPr>
                    <w:rFonts w:ascii="Calibri Light"/>
                    <w:b w:val="0"/>
                    <w:color w:val="4471C4"/>
                    <w:spacing w:val="-2"/>
                    <w:sz w:val="18"/>
                  </w:rPr>
                  <w:t> </w:t>
                </w:r>
                <w:r>
                  <w:rPr>
                    <w:rFonts w:ascii="Calibri Light"/>
                    <w:b w:val="0"/>
                    <w:color w:val="4471C4"/>
                    <w:sz w:val="18"/>
                  </w:rPr>
                  <w:t>Sector</w:t>
                </w:r>
                <w:r>
                  <w:rPr>
                    <w:rFonts w:ascii="Calibri Light"/>
                    <w:b w:val="0"/>
                    <w:color w:val="4471C4"/>
                    <w:spacing w:val="-3"/>
                    <w:sz w:val="18"/>
                  </w:rPr>
                  <w:t> </w:t>
                </w:r>
                <w:r>
                  <w:rPr>
                    <w:rFonts w:ascii="Calibri Light"/>
                    <w:b w:val="0"/>
                    <w:color w:val="4471C4"/>
                    <w:sz w:val="18"/>
                  </w:rPr>
                  <w:t>Support</w:t>
                </w:r>
                <w:r>
                  <w:rPr>
                    <w:rFonts w:ascii="Calibri Light"/>
                    <w:b w:val="0"/>
                    <w:color w:val="4471C4"/>
                    <w:spacing w:val="-1"/>
                    <w:sz w:val="18"/>
                  </w:rPr>
                  <w:t> </w:t>
                </w:r>
                <w:r>
                  <w:rPr>
                    <w:rFonts w:ascii="Calibri Light"/>
                    <w:b w:val="0"/>
                    <w:color w:val="4471C4"/>
                    <w:spacing w:val="-2"/>
                    <w:sz w:val="18"/>
                  </w:rPr>
                  <w:t>Program</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0"/>
      <w:numFmt w:val="bullet"/>
      <w:lvlText w:val="•"/>
      <w:lvlJc w:val="left"/>
      <w:pPr>
        <w:ind w:left="100" w:hanging="670"/>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011" w:hanging="670"/>
      </w:pPr>
      <w:rPr>
        <w:rFonts w:hint="default"/>
        <w:lang w:val="en-US" w:eastAsia="en-US" w:bidi="ar-SA"/>
      </w:rPr>
    </w:lvl>
    <w:lvl w:ilvl="2">
      <w:start w:val="0"/>
      <w:numFmt w:val="bullet"/>
      <w:lvlText w:val="•"/>
      <w:lvlJc w:val="left"/>
      <w:pPr>
        <w:ind w:left="1923" w:hanging="670"/>
      </w:pPr>
      <w:rPr>
        <w:rFonts w:hint="default"/>
        <w:lang w:val="en-US" w:eastAsia="en-US" w:bidi="ar-SA"/>
      </w:rPr>
    </w:lvl>
    <w:lvl w:ilvl="3">
      <w:start w:val="0"/>
      <w:numFmt w:val="bullet"/>
      <w:lvlText w:val="•"/>
      <w:lvlJc w:val="left"/>
      <w:pPr>
        <w:ind w:left="2835" w:hanging="670"/>
      </w:pPr>
      <w:rPr>
        <w:rFonts w:hint="default"/>
        <w:lang w:val="en-US" w:eastAsia="en-US" w:bidi="ar-SA"/>
      </w:rPr>
    </w:lvl>
    <w:lvl w:ilvl="4">
      <w:start w:val="0"/>
      <w:numFmt w:val="bullet"/>
      <w:lvlText w:val="•"/>
      <w:lvlJc w:val="left"/>
      <w:pPr>
        <w:ind w:left="3747" w:hanging="670"/>
      </w:pPr>
      <w:rPr>
        <w:rFonts w:hint="default"/>
        <w:lang w:val="en-US" w:eastAsia="en-US" w:bidi="ar-SA"/>
      </w:rPr>
    </w:lvl>
    <w:lvl w:ilvl="5">
      <w:start w:val="0"/>
      <w:numFmt w:val="bullet"/>
      <w:lvlText w:val="•"/>
      <w:lvlJc w:val="left"/>
      <w:pPr>
        <w:ind w:left="4659" w:hanging="670"/>
      </w:pPr>
      <w:rPr>
        <w:rFonts w:hint="default"/>
        <w:lang w:val="en-US" w:eastAsia="en-US" w:bidi="ar-SA"/>
      </w:rPr>
    </w:lvl>
    <w:lvl w:ilvl="6">
      <w:start w:val="0"/>
      <w:numFmt w:val="bullet"/>
      <w:lvlText w:val="•"/>
      <w:lvlJc w:val="left"/>
      <w:pPr>
        <w:ind w:left="5571" w:hanging="670"/>
      </w:pPr>
      <w:rPr>
        <w:rFonts w:hint="default"/>
        <w:lang w:val="en-US" w:eastAsia="en-US" w:bidi="ar-SA"/>
      </w:rPr>
    </w:lvl>
    <w:lvl w:ilvl="7">
      <w:start w:val="0"/>
      <w:numFmt w:val="bullet"/>
      <w:lvlText w:val="•"/>
      <w:lvlJc w:val="left"/>
      <w:pPr>
        <w:ind w:left="6483" w:hanging="670"/>
      </w:pPr>
      <w:rPr>
        <w:rFonts w:hint="default"/>
        <w:lang w:val="en-US" w:eastAsia="en-US" w:bidi="ar-SA"/>
      </w:rPr>
    </w:lvl>
    <w:lvl w:ilvl="8">
      <w:start w:val="0"/>
      <w:numFmt w:val="bullet"/>
      <w:lvlText w:val="•"/>
      <w:lvlJc w:val="left"/>
      <w:pPr>
        <w:ind w:left="7395" w:hanging="670"/>
      </w:pPr>
      <w:rPr>
        <w:rFonts w:hint="default"/>
        <w:lang w:val="en-US" w:eastAsia="en-US" w:bidi="ar-SA"/>
      </w:rPr>
    </w:lvl>
  </w:abstractNum>
  <w:abstractNum w:abstractNumId="44">
    <w:multiLevelType w:val="hybridMultilevel"/>
    <w:lvl w:ilvl="0">
      <w:start w:val="6"/>
      <w:numFmt w:val="decimal"/>
      <w:lvlText w:val="%1."/>
      <w:lvlJc w:val="left"/>
      <w:pPr>
        <w:ind w:left="864" w:hanging="765"/>
        <w:jc w:val="left"/>
      </w:pPr>
      <w:rPr>
        <w:rFonts w:hint="default" w:ascii="Calibri" w:hAnsi="Calibri" w:eastAsia="Calibri" w:cs="Calibri"/>
        <w:b w:val="0"/>
        <w:bCs w:val="0"/>
        <w:i w:val="0"/>
        <w:iCs w:val="0"/>
        <w:w w:val="100"/>
        <w:sz w:val="22"/>
        <w:szCs w:val="22"/>
        <w:lang w:val="en-US" w:eastAsia="en-US" w:bidi="ar-SA"/>
      </w:rPr>
    </w:lvl>
    <w:lvl w:ilvl="1">
      <w:start w:val="1"/>
      <w:numFmt w:val="lowerLetter"/>
      <w:lvlText w:val="%2."/>
      <w:lvlJc w:val="left"/>
      <w:pPr>
        <w:ind w:left="100" w:hanging="67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1788" w:hanging="670"/>
      </w:pPr>
      <w:rPr>
        <w:rFonts w:hint="default"/>
        <w:lang w:val="en-US" w:eastAsia="en-US" w:bidi="ar-SA"/>
      </w:rPr>
    </w:lvl>
    <w:lvl w:ilvl="3">
      <w:start w:val="0"/>
      <w:numFmt w:val="bullet"/>
      <w:lvlText w:val="•"/>
      <w:lvlJc w:val="left"/>
      <w:pPr>
        <w:ind w:left="2717" w:hanging="670"/>
      </w:pPr>
      <w:rPr>
        <w:rFonts w:hint="default"/>
        <w:lang w:val="en-US" w:eastAsia="en-US" w:bidi="ar-SA"/>
      </w:rPr>
    </w:lvl>
    <w:lvl w:ilvl="4">
      <w:start w:val="0"/>
      <w:numFmt w:val="bullet"/>
      <w:lvlText w:val="•"/>
      <w:lvlJc w:val="left"/>
      <w:pPr>
        <w:ind w:left="3646" w:hanging="670"/>
      </w:pPr>
      <w:rPr>
        <w:rFonts w:hint="default"/>
        <w:lang w:val="en-US" w:eastAsia="en-US" w:bidi="ar-SA"/>
      </w:rPr>
    </w:lvl>
    <w:lvl w:ilvl="5">
      <w:start w:val="0"/>
      <w:numFmt w:val="bullet"/>
      <w:lvlText w:val="•"/>
      <w:lvlJc w:val="left"/>
      <w:pPr>
        <w:ind w:left="4575" w:hanging="670"/>
      </w:pPr>
      <w:rPr>
        <w:rFonts w:hint="default"/>
        <w:lang w:val="en-US" w:eastAsia="en-US" w:bidi="ar-SA"/>
      </w:rPr>
    </w:lvl>
    <w:lvl w:ilvl="6">
      <w:start w:val="0"/>
      <w:numFmt w:val="bullet"/>
      <w:lvlText w:val="•"/>
      <w:lvlJc w:val="left"/>
      <w:pPr>
        <w:ind w:left="5504" w:hanging="670"/>
      </w:pPr>
      <w:rPr>
        <w:rFonts w:hint="default"/>
        <w:lang w:val="en-US" w:eastAsia="en-US" w:bidi="ar-SA"/>
      </w:rPr>
    </w:lvl>
    <w:lvl w:ilvl="7">
      <w:start w:val="0"/>
      <w:numFmt w:val="bullet"/>
      <w:lvlText w:val="•"/>
      <w:lvlJc w:val="left"/>
      <w:pPr>
        <w:ind w:left="6432" w:hanging="670"/>
      </w:pPr>
      <w:rPr>
        <w:rFonts w:hint="default"/>
        <w:lang w:val="en-US" w:eastAsia="en-US" w:bidi="ar-SA"/>
      </w:rPr>
    </w:lvl>
    <w:lvl w:ilvl="8">
      <w:start w:val="0"/>
      <w:numFmt w:val="bullet"/>
      <w:lvlText w:val="•"/>
      <w:lvlJc w:val="left"/>
      <w:pPr>
        <w:ind w:left="7361" w:hanging="670"/>
      </w:pPr>
      <w:rPr>
        <w:rFonts w:hint="default"/>
        <w:lang w:val="en-US" w:eastAsia="en-US" w:bidi="ar-SA"/>
      </w:rPr>
    </w:lvl>
  </w:abstractNum>
  <w:abstractNum w:abstractNumId="43">
    <w:multiLevelType w:val="hybridMultilevel"/>
    <w:lvl w:ilvl="0">
      <w:start w:val="1"/>
      <w:numFmt w:val="lowerLetter"/>
      <w:lvlText w:val="(%1)"/>
      <w:lvlJc w:val="left"/>
      <w:pPr>
        <w:ind w:left="150" w:hanging="490"/>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1065" w:hanging="490"/>
      </w:pPr>
      <w:rPr>
        <w:rFonts w:hint="default"/>
        <w:lang w:val="en-US" w:eastAsia="en-US" w:bidi="ar-SA"/>
      </w:rPr>
    </w:lvl>
    <w:lvl w:ilvl="2">
      <w:start w:val="0"/>
      <w:numFmt w:val="bullet"/>
      <w:lvlText w:val="•"/>
      <w:lvlJc w:val="left"/>
      <w:pPr>
        <w:ind w:left="1971" w:hanging="490"/>
      </w:pPr>
      <w:rPr>
        <w:rFonts w:hint="default"/>
        <w:lang w:val="en-US" w:eastAsia="en-US" w:bidi="ar-SA"/>
      </w:rPr>
    </w:lvl>
    <w:lvl w:ilvl="3">
      <w:start w:val="0"/>
      <w:numFmt w:val="bullet"/>
      <w:lvlText w:val="•"/>
      <w:lvlJc w:val="left"/>
      <w:pPr>
        <w:ind w:left="2877" w:hanging="490"/>
      </w:pPr>
      <w:rPr>
        <w:rFonts w:hint="default"/>
        <w:lang w:val="en-US" w:eastAsia="en-US" w:bidi="ar-SA"/>
      </w:rPr>
    </w:lvl>
    <w:lvl w:ilvl="4">
      <w:start w:val="0"/>
      <w:numFmt w:val="bullet"/>
      <w:lvlText w:val="•"/>
      <w:lvlJc w:val="left"/>
      <w:pPr>
        <w:ind w:left="3783" w:hanging="490"/>
      </w:pPr>
      <w:rPr>
        <w:rFonts w:hint="default"/>
        <w:lang w:val="en-US" w:eastAsia="en-US" w:bidi="ar-SA"/>
      </w:rPr>
    </w:lvl>
    <w:lvl w:ilvl="5">
      <w:start w:val="0"/>
      <w:numFmt w:val="bullet"/>
      <w:lvlText w:val="•"/>
      <w:lvlJc w:val="left"/>
      <w:pPr>
        <w:ind w:left="4689" w:hanging="490"/>
      </w:pPr>
      <w:rPr>
        <w:rFonts w:hint="default"/>
        <w:lang w:val="en-US" w:eastAsia="en-US" w:bidi="ar-SA"/>
      </w:rPr>
    </w:lvl>
    <w:lvl w:ilvl="6">
      <w:start w:val="0"/>
      <w:numFmt w:val="bullet"/>
      <w:lvlText w:val="•"/>
      <w:lvlJc w:val="left"/>
      <w:pPr>
        <w:ind w:left="5595" w:hanging="490"/>
      </w:pPr>
      <w:rPr>
        <w:rFonts w:hint="default"/>
        <w:lang w:val="en-US" w:eastAsia="en-US" w:bidi="ar-SA"/>
      </w:rPr>
    </w:lvl>
    <w:lvl w:ilvl="7">
      <w:start w:val="0"/>
      <w:numFmt w:val="bullet"/>
      <w:lvlText w:val="•"/>
      <w:lvlJc w:val="left"/>
      <w:pPr>
        <w:ind w:left="6501" w:hanging="490"/>
      </w:pPr>
      <w:rPr>
        <w:rFonts w:hint="default"/>
        <w:lang w:val="en-US" w:eastAsia="en-US" w:bidi="ar-SA"/>
      </w:rPr>
    </w:lvl>
    <w:lvl w:ilvl="8">
      <w:start w:val="0"/>
      <w:numFmt w:val="bullet"/>
      <w:lvlText w:val="•"/>
      <w:lvlJc w:val="left"/>
      <w:pPr>
        <w:ind w:left="7407" w:hanging="490"/>
      </w:pPr>
      <w:rPr>
        <w:rFonts w:hint="default"/>
        <w:lang w:val="en-US" w:eastAsia="en-US" w:bidi="ar-SA"/>
      </w:rPr>
    </w:lvl>
  </w:abstractNum>
  <w:abstractNum w:abstractNumId="42">
    <w:multiLevelType w:val="hybridMultilevel"/>
    <w:lvl w:ilvl="0">
      <w:start w:val="0"/>
      <w:numFmt w:val="bullet"/>
      <w:lvlText w:val="•"/>
      <w:lvlJc w:val="left"/>
      <w:pPr>
        <w:ind w:left="820" w:hanging="720"/>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659" w:hanging="720"/>
      </w:pPr>
      <w:rPr>
        <w:rFonts w:hint="default"/>
        <w:lang w:val="en-US" w:eastAsia="en-US" w:bidi="ar-SA"/>
      </w:rPr>
    </w:lvl>
    <w:lvl w:ilvl="2">
      <w:start w:val="0"/>
      <w:numFmt w:val="bullet"/>
      <w:lvlText w:val="•"/>
      <w:lvlJc w:val="left"/>
      <w:pPr>
        <w:ind w:left="2499" w:hanging="720"/>
      </w:pPr>
      <w:rPr>
        <w:rFonts w:hint="default"/>
        <w:lang w:val="en-US" w:eastAsia="en-US" w:bidi="ar-SA"/>
      </w:rPr>
    </w:lvl>
    <w:lvl w:ilvl="3">
      <w:start w:val="0"/>
      <w:numFmt w:val="bullet"/>
      <w:lvlText w:val="•"/>
      <w:lvlJc w:val="left"/>
      <w:pPr>
        <w:ind w:left="3339" w:hanging="720"/>
      </w:pPr>
      <w:rPr>
        <w:rFonts w:hint="default"/>
        <w:lang w:val="en-US" w:eastAsia="en-US" w:bidi="ar-SA"/>
      </w:rPr>
    </w:lvl>
    <w:lvl w:ilvl="4">
      <w:start w:val="0"/>
      <w:numFmt w:val="bullet"/>
      <w:lvlText w:val="•"/>
      <w:lvlJc w:val="left"/>
      <w:pPr>
        <w:ind w:left="4179" w:hanging="720"/>
      </w:pPr>
      <w:rPr>
        <w:rFonts w:hint="default"/>
        <w:lang w:val="en-US" w:eastAsia="en-US" w:bidi="ar-SA"/>
      </w:rPr>
    </w:lvl>
    <w:lvl w:ilvl="5">
      <w:start w:val="0"/>
      <w:numFmt w:val="bullet"/>
      <w:lvlText w:val="•"/>
      <w:lvlJc w:val="left"/>
      <w:pPr>
        <w:ind w:left="5019" w:hanging="720"/>
      </w:pPr>
      <w:rPr>
        <w:rFonts w:hint="default"/>
        <w:lang w:val="en-US" w:eastAsia="en-US" w:bidi="ar-SA"/>
      </w:rPr>
    </w:lvl>
    <w:lvl w:ilvl="6">
      <w:start w:val="0"/>
      <w:numFmt w:val="bullet"/>
      <w:lvlText w:val="•"/>
      <w:lvlJc w:val="left"/>
      <w:pPr>
        <w:ind w:left="5859" w:hanging="720"/>
      </w:pPr>
      <w:rPr>
        <w:rFonts w:hint="default"/>
        <w:lang w:val="en-US" w:eastAsia="en-US" w:bidi="ar-SA"/>
      </w:rPr>
    </w:lvl>
    <w:lvl w:ilvl="7">
      <w:start w:val="0"/>
      <w:numFmt w:val="bullet"/>
      <w:lvlText w:val="•"/>
      <w:lvlJc w:val="left"/>
      <w:pPr>
        <w:ind w:left="6699" w:hanging="720"/>
      </w:pPr>
      <w:rPr>
        <w:rFonts w:hint="default"/>
        <w:lang w:val="en-US" w:eastAsia="en-US" w:bidi="ar-SA"/>
      </w:rPr>
    </w:lvl>
    <w:lvl w:ilvl="8">
      <w:start w:val="0"/>
      <w:numFmt w:val="bullet"/>
      <w:lvlText w:val="•"/>
      <w:lvlJc w:val="left"/>
      <w:pPr>
        <w:ind w:left="7539" w:hanging="720"/>
      </w:pPr>
      <w:rPr>
        <w:rFonts w:hint="default"/>
        <w:lang w:val="en-US" w:eastAsia="en-US" w:bidi="ar-SA"/>
      </w:rPr>
    </w:lvl>
  </w:abstractNum>
  <w:abstractNum w:abstractNumId="41">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40">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39">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38">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37">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36">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35">
    <w:multiLevelType w:val="hybridMultilevel"/>
    <w:lvl w:ilvl="0">
      <w:start w:val="3"/>
      <w:numFmt w:val="decimal"/>
      <w:lvlText w:val="%1"/>
      <w:lvlJc w:val="left"/>
      <w:pPr>
        <w:ind w:left="109" w:hanging="447"/>
        <w:jc w:val="left"/>
      </w:pPr>
      <w:rPr>
        <w:rFonts w:hint="default"/>
        <w:lang w:val="en-US" w:eastAsia="en-US" w:bidi="ar-SA"/>
      </w:rPr>
    </w:lvl>
    <w:lvl w:ilvl="1">
      <w:start w:val="5"/>
      <w:numFmt w:val="decimal"/>
      <w:lvlText w:val="%1.%2"/>
      <w:lvlJc w:val="left"/>
      <w:pPr>
        <w:ind w:left="109" w:hanging="447"/>
        <w:jc w:val="left"/>
      </w:pPr>
      <w:rPr>
        <w:rFonts w:hint="default"/>
        <w:lang w:val="en-US" w:eastAsia="en-US" w:bidi="ar-SA"/>
      </w:rPr>
    </w:lvl>
    <w:lvl w:ilvl="2">
      <w:start w:val="1"/>
      <w:numFmt w:val="decimal"/>
      <w:lvlText w:val="%1.%2.%3"/>
      <w:lvlJc w:val="left"/>
      <w:pPr>
        <w:ind w:left="109" w:hanging="447"/>
        <w:jc w:val="left"/>
      </w:pPr>
      <w:rPr>
        <w:rFonts w:hint="default" w:ascii="Calibri" w:hAnsi="Calibri" w:eastAsia="Calibri" w:cs="Calibri"/>
        <w:b w:val="0"/>
        <w:bCs w:val="0"/>
        <w:i w:val="0"/>
        <w:iCs w:val="0"/>
        <w:w w:val="100"/>
        <w:sz w:val="18"/>
        <w:szCs w:val="18"/>
        <w:lang w:val="en-US" w:eastAsia="en-US" w:bidi="ar-SA"/>
      </w:rPr>
    </w:lvl>
    <w:lvl w:ilvl="3">
      <w:start w:val="0"/>
      <w:numFmt w:val="bullet"/>
      <w:lvlText w:val="•"/>
      <w:lvlJc w:val="left"/>
      <w:pPr>
        <w:ind w:left="1342" w:hanging="447"/>
      </w:pPr>
      <w:rPr>
        <w:rFonts w:hint="default"/>
        <w:lang w:val="en-US" w:eastAsia="en-US" w:bidi="ar-SA"/>
      </w:rPr>
    </w:lvl>
    <w:lvl w:ilvl="4">
      <w:start w:val="0"/>
      <w:numFmt w:val="bullet"/>
      <w:lvlText w:val="•"/>
      <w:lvlJc w:val="left"/>
      <w:pPr>
        <w:ind w:left="1757" w:hanging="447"/>
      </w:pPr>
      <w:rPr>
        <w:rFonts w:hint="default"/>
        <w:lang w:val="en-US" w:eastAsia="en-US" w:bidi="ar-SA"/>
      </w:rPr>
    </w:lvl>
    <w:lvl w:ilvl="5">
      <w:start w:val="0"/>
      <w:numFmt w:val="bullet"/>
      <w:lvlText w:val="•"/>
      <w:lvlJc w:val="left"/>
      <w:pPr>
        <w:ind w:left="2171" w:hanging="447"/>
      </w:pPr>
      <w:rPr>
        <w:rFonts w:hint="default"/>
        <w:lang w:val="en-US" w:eastAsia="en-US" w:bidi="ar-SA"/>
      </w:rPr>
    </w:lvl>
    <w:lvl w:ilvl="6">
      <w:start w:val="0"/>
      <w:numFmt w:val="bullet"/>
      <w:lvlText w:val="•"/>
      <w:lvlJc w:val="left"/>
      <w:pPr>
        <w:ind w:left="2585" w:hanging="447"/>
      </w:pPr>
      <w:rPr>
        <w:rFonts w:hint="default"/>
        <w:lang w:val="en-US" w:eastAsia="en-US" w:bidi="ar-SA"/>
      </w:rPr>
    </w:lvl>
    <w:lvl w:ilvl="7">
      <w:start w:val="0"/>
      <w:numFmt w:val="bullet"/>
      <w:lvlText w:val="•"/>
      <w:lvlJc w:val="left"/>
      <w:pPr>
        <w:ind w:left="3000" w:hanging="447"/>
      </w:pPr>
      <w:rPr>
        <w:rFonts w:hint="default"/>
        <w:lang w:val="en-US" w:eastAsia="en-US" w:bidi="ar-SA"/>
      </w:rPr>
    </w:lvl>
    <w:lvl w:ilvl="8">
      <w:start w:val="0"/>
      <w:numFmt w:val="bullet"/>
      <w:lvlText w:val="•"/>
      <w:lvlJc w:val="left"/>
      <w:pPr>
        <w:ind w:left="3414" w:hanging="447"/>
      </w:pPr>
      <w:rPr>
        <w:rFonts w:hint="default"/>
        <w:lang w:val="en-US" w:eastAsia="en-US" w:bidi="ar-SA"/>
      </w:rPr>
    </w:lvl>
  </w:abstractNum>
  <w:abstractNum w:abstractNumId="34">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33">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32">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31">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30">
    <w:multiLevelType w:val="hybridMultilevel"/>
    <w:lvl w:ilvl="0">
      <w:start w:val="0"/>
      <w:numFmt w:val="bullet"/>
      <w:lvlText w:val=""/>
      <w:lvlJc w:val="left"/>
      <w:pPr>
        <w:ind w:left="428" w:hanging="286"/>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689" w:hanging="286"/>
      </w:pPr>
      <w:rPr>
        <w:rFonts w:hint="default"/>
        <w:lang w:val="en-US" w:eastAsia="en-US" w:bidi="ar-SA"/>
      </w:rPr>
    </w:lvl>
    <w:lvl w:ilvl="2">
      <w:start w:val="0"/>
      <w:numFmt w:val="bullet"/>
      <w:lvlText w:val="•"/>
      <w:lvlJc w:val="left"/>
      <w:pPr>
        <w:ind w:left="958" w:hanging="286"/>
      </w:pPr>
      <w:rPr>
        <w:rFonts w:hint="default"/>
        <w:lang w:val="en-US" w:eastAsia="en-US" w:bidi="ar-SA"/>
      </w:rPr>
    </w:lvl>
    <w:lvl w:ilvl="3">
      <w:start w:val="0"/>
      <w:numFmt w:val="bullet"/>
      <w:lvlText w:val="•"/>
      <w:lvlJc w:val="left"/>
      <w:pPr>
        <w:ind w:left="1227" w:hanging="286"/>
      </w:pPr>
      <w:rPr>
        <w:rFonts w:hint="default"/>
        <w:lang w:val="en-US" w:eastAsia="en-US" w:bidi="ar-SA"/>
      </w:rPr>
    </w:lvl>
    <w:lvl w:ilvl="4">
      <w:start w:val="0"/>
      <w:numFmt w:val="bullet"/>
      <w:lvlText w:val="•"/>
      <w:lvlJc w:val="left"/>
      <w:pPr>
        <w:ind w:left="1496" w:hanging="286"/>
      </w:pPr>
      <w:rPr>
        <w:rFonts w:hint="default"/>
        <w:lang w:val="en-US" w:eastAsia="en-US" w:bidi="ar-SA"/>
      </w:rPr>
    </w:lvl>
    <w:lvl w:ilvl="5">
      <w:start w:val="0"/>
      <w:numFmt w:val="bullet"/>
      <w:lvlText w:val="•"/>
      <w:lvlJc w:val="left"/>
      <w:pPr>
        <w:ind w:left="1765" w:hanging="286"/>
      </w:pPr>
      <w:rPr>
        <w:rFonts w:hint="default"/>
        <w:lang w:val="en-US" w:eastAsia="en-US" w:bidi="ar-SA"/>
      </w:rPr>
    </w:lvl>
    <w:lvl w:ilvl="6">
      <w:start w:val="0"/>
      <w:numFmt w:val="bullet"/>
      <w:lvlText w:val="•"/>
      <w:lvlJc w:val="left"/>
      <w:pPr>
        <w:ind w:left="2034" w:hanging="286"/>
      </w:pPr>
      <w:rPr>
        <w:rFonts w:hint="default"/>
        <w:lang w:val="en-US" w:eastAsia="en-US" w:bidi="ar-SA"/>
      </w:rPr>
    </w:lvl>
    <w:lvl w:ilvl="7">
      <w:start w:val="0"/>
      <w:numFmt w:val="bullet"/>
      <w:lvlText w:val="•"/>
      <w:lvlJc w:val="left"/>
      <w:pPr>
        <w:ind w:left="2303" w:hanging="286"/>
      </w:pPr>
      <w:rPr>
        <w:rFonts w:hint="default"/>
        <w:lang w:val="en-US" w:eastAsia="en-US" w:bidi="ar-SA"/>
      </w:rPr>
    </w:lvl>
    <w:lvl w:ilvl="8">
      <w:start w:val="0"/>
      <w:numFmt w:val="bullet"/>
      <w:lvlText w:val="•"/>
      <w:lvlJc w:val="left"/>
      <w:pPr>
        <w:ind w:left="2572" w:hanging="286"/>
      </w:pPr>
      <w:rPr>
        <w:rFonts w:hint="default"/>
        <w:lang w:val="en-US" w:eastAsia="en-US" w:bidi="ar-SA"/>
      </w:rPr>
    </w:lvl>
  </w:abstractNum>
  <w:abstractNum w:abstractNumId="29">
    <w:multiLevelType w:val="hybridMultilevel"/>
    <w:lvl w:ilvl="0">
      <w:start w:val="0"/>
      <w:numFmt w:val="bullet"/>
      <w:lvlText w:val=""/>
      <w:lvlJc w:val="left"/>
      <w:pPr>
        <w:ind w:left="428" w:hanging="286"/>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5" w:hanging="286"/>
      </w:pPr>
      <w:rPr>
        <w:rFonts w:hint="default"/>
        <w:lang w:val="en-US" w:eastAsia="en-US" w:bidi="ar-SA"/>
      </w:rPr>
    </w:lvl>
    <w:lvl w:ilvl="2">
      <w:start w:val="0"/>
      <w:numFmt w:val="bullet"/>
      <w:lvlText w:val="•"/>
      <w:lvlJc w:val="left"/>
      <w:pPr>
        <w:ind w:left="1070" w:hanging="286"/>
      </w:pPr>
      <w:rPr>
        <w:rFonts w:hint="default"/>
        <w:lang w:val="en-US" w:eastAsia="en-US" w:bidi="ar-SA"/>
      </w:rPr>
    </w:lvl>
    <w:lvl w:ilvl="3">
      <w:start w:val="0"/>
      <w:numFmt w:val="bullet"/>
      <w:lvlText w:val="•"/>
      <w:lvlJc w:val="left"/>
      <w:pPr>
        <w:ind w:left="1396" w:hanging="286"/>
      </w:pPr>
      <w:rPr>
        <w:rFonts w:hint="default"/>
        <w:lang w:val="en-US" w:eastAsia="en-US" w:bidi="ar-SA"/>
      </w:rPr>
    </w:lvl>
    <w:lvl w:ilvl="4">
      <w:start w:val="0"/>
      <w:numFmt w:val="bullet"/>
      <w:lvlText w:val="•"/>
      <w:lvlJc w:val="left"/>
      <w:pPr>
        <w:ind w:left="1721" w:hanging="286"/>
      </w:pPr>
      <w:rPr>
        <w:rFonts w:hint="default"/>
        <w:lang w:val="en-US" w:eastAsia="en-US" w:bidi="ar-SA"/>
      </w:rPr>
    </w:lvl>
    <w:lvl w:ilvl="5">
      <w:start w:val="0"/>
      <w:numFmt w:val="bullet"/>
      <w:lvlText w:val="•"/>
      <w:lvlJc w:val="left"/>
      <w:pPr>
        <w:ind w:left="2047" w:hanging="286"/>
      </w:pPr>
      <w:rPr>
        <w:rFonts w:hint="default"/>
        <w:lang w:val="en-US" w:eastAsia="en-US" w:bidi="ar-SA"/>
      </w:rPr>
    </w:lvl>
    <w:lvl w:ilvl="6">
      <w:start w:val="0"/>
      <w:numFmt w:val="bullet"/>
      <w:lvlText w:val="•"/>
      <w:lvlJc w:val="left"/>
      <w:pPr>
        <w:ind w:left="2372" w:hanging="286"/>
      </w:pPr>
      <w:rPr>
        <w:rFonts w:hint="default"/>
        <w:lang w:val="en-US" w:eastAsia="en-US" w:bidi="ar-SA"/>
      </w:rPr>
    </w:lvl>
    <w:lvl w:ilvl="7">
      <w:start w:val="0"/>
      <w:numFmt w:val="bullet"/>
      <w:lvlText w:val="•"/>
      <w:lvlJc w:val="left"/>
      <w:pPr>
        <w:ind w:left="2697" w:hanging="286"/>
      </w:pPr>
      <w:rPr>
        <w:rFonts w:hint="default"/>
        <w:lang w:val="en-US" w:eastAsia="en-US" w:bidi="ar-SA"/>
      </w:rPr>
    </w:lvl>
    <w:lvl w:ilvl="8">
      <w:start w:val="0"/>
      <w:numFmt w:val="bullet"/>
      <w:lvlText w:val="•"/>
      <w:lvlJc w:val="left"/>
      <w:pPr>
        <w:ind w:left="3023" w:hanging="286"/>
      </w:pPr>
      <w:rPr>
        <w:rFonts w:hint="default"/>
        <w:lang w:val="en-US" w:eastAsia="en-US" w:bidi="ar-SA"/>
      </w:rPr>
    </w:lvl>
  </w:abstractNum>
  <w:abstractNum w:abstractNumId="28">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27">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26">
    <w:multiLevelType w:val="hybridMultilevel"/>
    <w:lvl w:ilvl="0">
      <w:start w:val="0"/>
      <w:numFmt w:val="bullet"/>
      <w:lvlText w:val=""/>
      <w:lvlJc w:val="left"/>
      <w:pPr>
        <w:ind w:left="428" w:hanging="286"/>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689" w:hanging="286"/>
      </w:pPr>
      <w:rPr>
        <w:rFonts w:hint="default"/>
        <w:lang w:val="en-US" w:eastAsia="en-US" w:bidi="ar-SA"/>
      </w:rPr>
    </w:lvl>
    <w:lvl w:ilvl="2">
      <w:start w:val="0"/>
      <w:numFmt w:val="bullet"/>
      <w:lvlText w:val="•"/>
      <w:lvlJc w:val="left"/>
      <w:pPr>
        <w:ind w:left="958" w:hanging="286"/>
      </w:pPr>
      <w:rPr>
        <w:rFonts w:hint="default"/>
        <w:lang w:val="en-US" w:eastAsia="en-US" w:bidi="ar-SA"/>
      </w:rPr>
    </w:lvl>
    <w:lvl w:ilvl="3">
      <w:start w:val="0"/>
      <w:numFmt w:val="bullet"/>
      <w:lvlText w:val="•"/>
      <w:lvlJc w:val="left"/>
      <w:pPr>
        <w:ind w:left="1227" w:hanging="286"/>
      </w:pPr>
      <w:rPr>
        <w:rFonts w:hint="default"/>
        <w:lang w:val="en-US" w:eastAsia="en-US" w:bidi="ar-SA"/>
      </w:rPr>
    </w:lvl>
    <w:lvl w:ilvl="4">
      <w:start w:val="0"/>
      <w:numFmt w:val="bullet"/>
      <w:lvlText w:val="•"/>
      <w:lvlJc w:val="left"/>
      <w:pPr>
        <w:ind w:left="1496" w:hanging="286"/>
      </w:pPr>
      <w:rPr>
        <w:rFonts w:hint="default"/>
        <w:lang w:val="en-US" w:eastAsia="en-US" w:bidi="ar-SA"/>
      </w:rPr>
    </w:lvl>
    <w:lvl w:ilvl="5">
      <w:start w:val="0"/>
      <w:numFmt w:val="bullet"/>
      <w:lvlText w:val="•"/>
      <w:lvlJc w:val="left"/>
      <w:pPr>
        <w:ind w:left="1765" w:hanging="286"/>
      </w:pPr>
      <w:rPr>
        <w:rFonts w:hint="default"/>
        <w:lang w:val="en-US" w:eastAsia="en-US" w:bidi="ar-SA"/>
      </w:rPr>
    </w:lvl>
    <w:lvl w:ilvl="6">
      <w:start w:val="0"/>
      <w:numFmt w:val="bullet"/>
      <w:lvlText w:val="•"/>
      <w:lvlJc w:val="left"/>
      <w:pPr>
        <w:ind w:left="2034" w:hanging="286"/>
      </w:pPr>
      <w:rPr>
        <w:rFonts w:hint="default"/>
        <w:lang w:val="en-US" w:eastAsia="en-US" w:bidi="ar-SA"/>
      </w:rPr>
    </w:lvl>
    <w:lvl w:ilvl="7">
      <w:start w:val="0"/>
      <w:numFmt w:val="bullet"/>
      <w:lvlText w:val="•"/>
      <w:lvlJc w:val="left"/>
      <w:pPr>
        <w:ind w:left="2303" w:hanging="286"/>
      </w:pPr>
      <w:rPr>
        <w:rFonts w:hint="default"/>
        <w:lang w:val="en-US" w:eastAsia="en-US" w:bidi="ar-SA"/>
      </w:rPr>
    </w:lvl>
    <w:lvl w:ilvl="8">
      <w:start w:val="0"/>
      <w:numFmt w:val="bullet"/>
      <w:lvlText w:val="•"/>
      <w:lvlJc w:val="left"/>
      <w:pPr>
        <w:ind w:left="2572" w:hanging="286"/>
      </w:pPr>
      <w:rPr>
        <w:rFonts w:hint="default"/>
        <w:lang w:val="en-US" w:eastAsia="en-US" w:bidi="ar-SA"/>
      </w:rPr>
    </w:lvl>
  </w:abstractNum>
  <w:abstractNum w:abstractNumId="25">
    <w:multiLevelType w:val="hybridMultilevel"/>
    <w:lvl w:ilvl="0">
      <w:start w:val="0"/>
      <w:numFmt w:val="bullet"/>
      <w:lvlText w:val=""/>
      <w:lvlJc w:val="left"/>
      <w:pPr>
        <w:ind w:left="428" w:hanging="286"/>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5" w:hanging="286"/>
      </w:pPr>
      <w:rPr>
        <w:rFonts w:hint="default"/>
        <w:lang w:val="en-US" w:eastAsia="en-US" w:bidi="ar-SA"/>
      </w:rPr>
    </w:lvl>
    <w:lvl w:ilvl="2">
      <w:start w:val="0"/>
      <w:numFmt w:val="bullet"/>
      <w:lvlText w:val="•"/>
      <w:lvlJc w:val="left"/>
      <w:pPr>
        <w:ind w:left="1070" w:hanging="286"/>
      </w:pPr>
      <w:rPr>
        <w:rFonts w:hint="default"/>
        <w:lang w:val="en-US" w:eastAsia="en-US" w:bidi="ar-SA"/>
      </w:rPr>
    </w:lvl>
    <w:lvl w:ilvl="3">
      <w:start w:val="0"/>
      <w:numFmt w:val="bullet"/>
      <w:lvlText w:val="•"/>
      <w:lvlJc w:val="left"/>
      <w:pPr>
        <w:ind w:left="1396" w:hanging="286"/>
      </w:pPr>
      <w:rPr>
        <w:rFonts w:hint="default"/>
        <w:lang w:val="en-US" w:eastAsia="en-US" w:bidi="ar-SA"/>
      </w:rPr>
    </w:lvl>
    <w:lvl w:ilvl="4">
      <w:start w:val="0"/>
      <w:numFmt w:val="bullet"/>
      <w:lvlText w:val="•"/>
      <w:lvlJc w:val="left"/>
      <w:pPr>
        <w:ind w:left="1721" w:hanging="286"/>
      </w:pPr>
      <w:rPr>
        <w:rFonts w:hint="default"/>
        <w:lang w:val="en-US" w:eastAsia="en-US" w:bidi="ar-SA"/>
      </w:rPr>
    </w:lvl>
    <w:lvl w:ilvl="5">
      <w:start w:val="0"/>
      <w:numFmt w:val="bullet"/>
      <w:lvlText w:val="•"/>
      <w:lvlJc w:val="left"/>
      <w:pPr>
        <w:ind w:left="2047" w:hanging="286"/>
      </w:pPr>
      <w:rPr>
        <w:rFonts w:hint="default"/>
        <w:lang w:val="en-US" w:eastAsia="en-US" w:bidi="ar-SA"/>
      </w:rPr>
    </w:lvl>
    <w:lvl w:ilvl="6">
      <w:start w:val="0"/>
      <w:numFmt w:val="bullet"/>
      <w:lvlText w:val="•"/>
      <w:lvlJc w:val="left"/>
      <w:pPr>
        <w:ind w:left="2372" w:hanging="286"/>
      </w:pPr>
      <w:rPr>
        <w:rFonts w:hint="default"/>
        <w:lang w:val="en-US" w:eastAsia="en-US" w:bidi="ar-SA"/>
      </w:rPr>
    </w:lvl>
    <w:lvl w:ilvl="7">
      <w:start w:val="0"/>
      <w:numFmt w:val="bullet"/>
      <w:lvlText w:val="•"/>
      <w:lvlJc w:val="left"/>
      <w:pPr>
        <w:ind w:left="2697" w:hanging="286"/>
      </w:pPr>
      <w:rPr>
        <w:rFonts w:hint="default"/>
        <w:lang w:val="en-US" w:eastAsia="en-US" w:bidi="ar-SA"/>
      </w:rPr>
    </w:lvl>
    <w:lvl w:ilvl="8">
      <w:start w:val="0"/>
      <w:numFmt w:val="bullet"/>
      <w:lvlText w:val="•"/>
      <w:lvlJc w:val="left"/>
      <w:pPr>
        <w:ind w:left="3023" w:hanging="286"/>
      </w:pPr>
      <w:rPr>
        <w:rFonts w:hint="default"/>
        <w:lang w:val="en-US" w:eastAsia="en-US" w:bidi="ar-SA"/>
      </w:rPr>
    </w:lvl>
  </w:abstractNum>
  <w:abstractNum w:abstractNumId="24">
    <w:multiLevelType w:val="hybridMultilevel"/>
    <w:lvl w:ilvl="0">
      <w:start w:val="2"/>
      <w:numFmt w:val="decimal"/>
      <w:lvlText w:val="%1"/>
      <w:lvlJc w:val="left"/>
      <w:pPr>
        <w:ind w:left="109" w:hanging="447"/>
        <w:jc w:val="left"/>
      </w:pPr>
      <w:rPr>
        <w:rFonts w:hint="default"/>
        <w:lang w:val="en-US" w:eastAsia="en-US" w:bidi="ar-SA"/>
      </w:rPr>
    </w:lvl>
    <w:lvl w:ilvl="1">
      <w:start w:val="4"/>
      <w:numFmt w:val="decimal"/>
      <w:lvlText w:val="%1.%2"/>
      <w:lvlJc w:val="left"/>
      <w:pPr>
        <w:ind w:left="109" w:hanging="447"/>
        <w:jc w:val="left"/>
      </w:pPr>
      <w:rPr>
        <w:rFonts w:hint="default"/>
        <w:lang w:val="en-US" w:eastAsia="en-US" w:bidi="ar-SA"/>
      </w:rPr>
    </w:lvl>
    <w:lvl w:ilvl="2">
      <w:start w:val="1"/>
      <w:numFmt w:val="decimal"/>
      <w:lvlText w:val="%1.%2.%3"/>
      <w:lvlJc w:val="left"/>
      <w:pPr>
        <w:ind w:left="109" w:hanging="447"/>
        <w:jc w:val="left"/>
      </w:pPr>
      <w:rPr>
        <w:rFonts w:hint="default" w:ascii="Calibri" w:hAnsi="Calibri" w:eastAsia="Calibri" w:cs="Calibri"/>
        <w:b w:val="0"/>
        <w:bCs w:val="0"/>
        <w:i w:val="0"/>
        <w:iCs w:val="0"/>
        <w:w w:val="100"/>
        <w:sz w:val="18"/>
        <w:szCs w:val="18"/>
        <w:lang w:val="en-US" w:eastAsia="en-US" w:bidi="ar-SA"/>
      </w:rPr>
    </w:lvl>
    <w:lvl w:ilvl="3">
      <w:start w:val="0"/>
      <w:numFmt w:val="bullet"/>
      <w:lvlText w:val="•"/>
      <w:lvlJc w:val="left"/>
      <w:pPr>
        <w:ind w:left="1342" w:hanging="447"/>
      </w:pPr>
      <w:rPr>
        <w:rFonts w:hint="default"/>
        <w:lang w:val="en-US" w:eastAsia="en-US" w:bidi="ar-SA"/>
      </w:rPr>
    </w:lvl>
    <w:lvl w:ilvl="4">
      <w:start w:val="0"/>
      <w:numFmt w:val="bullet"/>
      <w:lvlText w:val="•"/>
      <w:lvlJc w:val="left"/>
      <w:pPr>
        <w:ind w:left="1757" w:hanging="447"/>
      </w:pPr>
      <w:rPr>
        <w:rFonts w:hint="default"/>
        <w:lang w:val="en-US" w:eastAsia="en-US" w:bidi="ar-SA"/>
      </w:rPr>
    </w:lvl>
    <w:lvl w:ilvl="5">
      <w:start w:val="0"/>
      <w:numFmt w:val="bullet"/>
      <w:lvlText w:val="•"/>
      <w:lvlJc w:val="left"/>
      <w:pPr>
        <w:ind w:left="2171" w:hanging="447"/>
      </w:pPr>
      <w:rPr>
        <w:rFonts w:hint="default"/>
        <w:lang w:val="en-US" w:eastAsia="en-US" w:bidi="ar-SA"/>
      </w:rPr>
    </w:lvl>
    <w:lvl w:ilvl="6">
      <w:start w:val="0"/>
      <w:numFmt w:val="bullet"/>
      <w:lvlText w:val="•"/>
      <w:lvlJc w:val="left"/>
      <w:pPr>
        <w:ind w:left="2585" w:hanging="447"/>
      </w:pPr>
      <w:rPr>
        <w:rFonts w:hint="default"/>
        <w:lang w:val="en-US" w:eastAsia="en-US" w:bidi="ar-SA"/>
      </w:rPr>
    </w:lvl>
    <w:lvl w:ilvl="7">
      <w:start w:val="0"/>
      <w:numFmt w:val="bullet"/>
      <w:lvlText w:val="•"/>
      <w:lvlJc w:val="left"/>
      <w:pPr>
        <w:ind w:left="3000" w:hanging="447"/>
      </w:pPr>
      <w:rPr>
        <w:rFonts w:hint="default"/>
        <w:lang w:val="en-US" w:eastAsia="en-US" w:bidi="ar-SA"/>
      </w:rPr>
    </w:lvl>
    <w:lvl w:ilvl="8">
      <w:start w:val="0"/>
      <w:numFmt w:val="bullet"/>
      <w:lvlText w:val="•"/>
      <w:lvlJc w:val="left"/>
      <w:pPr>
        <w:ind w:left="3414" w:hanging="447"/>
      </w:pPr>
      <w:rPr>
        <w:rFonts w:hint="default"/>
        <w:lang w:val="en-US" w:eastAsia="en-US" w:bidi="ar-SA"/>
      </w:rPr>
    </w:lvl>
  </w:abstractNum>
  <w:abstractNum w:abstractNumId="23">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22">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21">
    <w:multiLevelType w:val="hybridMultilevel"/>
    <w:lvl w:ilvl="0">
      <w:start w:val="2"/>
      <w:numFmt w:val="decimal"/>
      <w:lvlText w:val="%1"/>
      <w:lvlJc w:val="left"/>
      <w:pPr>
        <w:ind w:left="109" w:hanging="447"/>
        <w:jc w:val="left"/>
      </w:pPr>
      <w:rPr>
        <w:rFonts w:hint="default"/>
        <w:lang w:val="en-US" w:eastAsia="en-US" w:bidi="ar-SA"/>
      </w:rPr>
    </w:lvl>
    <w:lvl w:ilvl="1">
      <w:start w:val="3"/>
      <w:numFmt w:val="decimal"/>
      <w:lvlText w:val="%1.%2"/>
      <w:lvlJc w:val="left"/>
      <w:pPr>
        <w:ind w:left="109" w:hanging="447"/>
        <w:jc w:val="left"/>
      </w:pPr>
      <w:rPr>
        <w:rFonts w:hint="default"/>
        <w:lang w:val="en-US" w:eastAsia="en-US" w:bidi="ar-SA"/>
      </w:rPr>
    </w:lvl>
    <w:lvl w:ilvl="2">
      <w:start w:val="1"/>
      <w:numFmt w:val="decimal"/>
      <w:lvlText w:val="%1.%2.%3"/>
      <w:lvlJc w:val="left"/>
      <w:pPr>
        <w:ind w:left="109" w:hanging="447"/>
        <w:jc w:val="left"/>
      </w:pPr>
      <w:rPr>
        <w:rFonts w:hint="default" w:ascii="Calibri" w:hAnsi="Calibri" w:eastAsia="Calibri" w:cs="Calibri"/>
        <w:b w:val="0"/>
        <w:bCs w:val="0"/>
        <w:i w:val="0"/>
        <w:iCs w:val="0"/>
        <w:w w:val="100"/>
        <w:sz w:val="18"/>
        <w:szCs w:val="18"/>
        <w:lang w:val="en-US" w:eastAsia="en-US" w:bidi="ar-SA"/>
      </w:rPr>
    </w:lvl>
    <w:lvl w:ilvl="3">
      <w:start w:val="0"/>
      <w:numFmt w:val="bullet"/>
      <w:lvlText w:val="•"/>
      <w:lvlJc w:val="left"/>
      <w:pPr>
        <w:ind w:left="1342" w:hanging="447"/>
      </w:pPr>
      <w:rPr>
        <w:rFonts w:hint="default"/>
        <w:lang w:val="en-US" w:eastAsia="en-US" w:bidi="ar-SA"/>
      </w:rPr>
    </w:lvl>
    <w:lvl w:ilvl="4">
      <w:start w:val="0"/>
      <w:numFmt w:val="bullet"/>
      <w:lvlText w:val="•"/>
      <w:lvlJc w:val="left"/>
      <w:pPr>
        <w:ind w:left="1757" w:hanging="447"/>
      </w:pPr>
      <w:rPr>
        <w:rFonts w:hint="default"/>
        <w:lang w:val="en-US" w:eastAsia="en-US" w:bidi="ar-SA"/>
      </w:rPr>
    </w:lvl>
    <w:lvl w:ilvl="5">
      <w:start w:val="0"/>
      <w:numFmt w:val="bullet"/>
      <w:lvlText w:val="•"/>
      <w:lvlJc w:val="left"/>
      <w:pPr>
        <w:ind w:left="2171" w:hanging="447"/>
      </w:pPr>
      <w:rPr>
        <w:rFonts w:hint="default"/>
        <w:lang w:val="en-US" w:eastAsia="en-US" w:bidi="ar-SA"/>
      </w:rPr>
    </w:lvl>
    <w:lvl w:ilvl="6">
      <w:start w:val="0"/>
      <w:numFmt w:val="bullet"/>
      <w:lvlText w:val="•"/>
      <w:lvlJc w:val="left"/>
      <w:pPr>
        <w:ind w:left="2585" w:hanging="447"/>
      </w:pPr>
      <w:rPr>
        <w:rFonts w:hint="default"/>
        <w:lang w:val="en-US" w:eastAsia="en-US" w:bidi="ar-SA"/>
      </w:rPr>
    </w:lvl>
    <w:lvl w:ilvl="7">
      <w:start w:val="0"/>
      <w:numFmt w:val="bullet"/>
      <w:lvlText w:val="•"/>
      <w:lvlJc w:val="left"/>
      <w:pPr>
        <w:ind w:left="3000" w:hanging="447"/>
      </w:pPr>
      <w:rPr>
        <w:rFonts w:hint="default"/>
        <w:lang w:val="en-US" w:eastAsia="en-US" w:bidi="ar-SA"/>
      </w:rPr>
    </w:lvl>
    <w:lvl w:ilvl="8">
      <w:start w:val="0"/>
      <w:numFmt w:val="bullet"/>
      <w:lvlText w:val="•"/>
      <w:lvlJc w:val="left"/>
      <w:pPr>
        <w:ind w:left="3414" w:hanging="447"/>
      </w:pPr>
      <w:rPr>
        <w:rFonts w:hint="default"/>
        <w:lang w:val="en-US" w:eastAsia="en-US" w:bidi="ar-SA"/>
      </w:rPr>
    </w:lvl>
  </w:abstractNum>
  <w:abstractNum w:abstractNumId="20">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19">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18">
    <w:multiLevelType w:val="hybridMultilevel"/>
    <w:lvl w:ilvl="0">
      <w:start w:val="0"/>
      <w:numFmt w:val="bullet"/>
      <w:lvlText w:val=""/>
      <w:lvlJc w:val="left"/>
      <w:pPr>
        <w:ind w:left="428" w:hanging="286"/>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689" w:hanging="286"/>
      </w:pPr>
      <w:rPr>
        <w:rFonts w:hint="default"/>
        <w:lang w:val="en-US" w:eastAsia="en-US" w:bidi="ar-SA"/>
      </w:rPr>
    </w:lvl>
    <w:lvl w:ilvl="2">
      <w:start w:val="0"/>
      <w:numFmt w:val="bullet"/>
      <w:lvlText w:val="•"/>
      <w:lvlJc w:val="left"/>
      <w:pPr>
        <w:ind w:left="958" w:hanging="286"/>
      </w:pPr>
      <w:rPr>
        <w:rFonts w:hint="default"/>
        <w:lang w:val="en-US" w:eastAsia="en-US" w:bidi="ar-SA"/>
      </w:rPr>
    </w:lvl>
    <w:lvl w:ilvl="3">
      <w:start w:val="0"/>
      <w:numFmt w:val="bullet"/>
      <w:lvlText w:val="•"/>
      <w:lvlJc w:val="left"/>
      <w:pPr>
        <w:ind w:left="1227" w:hanging="286"/>
      </w:pPr>
      <w:rPr>
        <w:rFonts w:hint="default"/>
        <w:lang w:val="en-US" w:eastAsia="en-US" w:bidi="ar-SA"/>
      </w:rPr>
    </w:lvl>
    <w:lvl w:ilvl="4">
      <w:start w:val="0"/>
      <w:numFmt w:val="bullet"/>
      <w:lvlText w:val="•"/>
      <w:lvlJc w:val="left"/>
      <w:pPr>
        <w:ind w:left="1496" w:hanging="286"/>
      </w:pPr>
      <w:rPr>
        <w:rFonts w:hint="default"/>
        <w:lang w:val="en-US" w:eastAsia="en-US" w:bidi="ar-SA"/>
      </w:rPr>
    </w:lvl>
    <w:lvl w:ilvl="5">
      <w:start w:val="0"/>
      <w:numFmt w:val="bullet"/>
      <w:lvlText w:val="•"/>
      <w:lvlJc w:val="left"/>
      <w:pPr>
        <w:ind w:left="1765" w:hanging="286"/>
      </w:pPr>
      <w:rPr>
        <w:rFonts w:hint="default"/>
        <w:lang w:val="en-US" w:eastAsia="en-US" w:bidi="ar-SA"/>
      </w:rPr>
    </w:lvl>
    <w:lvl w:ilvl="6">
      <w:start w:val="0"/>
      <w:numFmt w:val="bullet"/>
      <w:lvlText w:val="•"/>
      <w:lvlJc w:val="left"/>
      <w:pPr>
        <w:ind w:left="2034" w:hanging="286"/>
      </w:pPr>
      <w:rPr>
        <w:rFonts w:hint="default"/>
        <w:lang w:val="en-US" w:eastAsia="en-US" w:bidi="ar-SA"/>
      </w:rPr>
    </w:lvl>
    <w:lvl w:ilvl="7">
      <w:start w:val="0"/>
      <w:numFmt w:val="bullet"/>
      <w:lvlText w:val="•"/>
      <w:lvlJc w:val="left"/>
      <w:pPr>
        <w:ind w:left="2303" w:hanging="286"/>
      </w:pPr>
      <w:rPr>
        <w:rFonts w:hint="default"/>
        <w:lang w:val="en-US" w:eastAsia="en-US" w:bidi="ar-SA"/>
      </w:rPr>
    </w:lvl>
    <w:lvl w:ilvl="8">
      <w:start w:val="0"/>
      <w:numFmt w:val="bullet"/>
      <w:lvlText w:val="•"/>
      <w:lvlJc w:val="left"/>
      <w:pPr>
        <w:ind w:left="2572" w:hanging="286"/>
      </w:pPr>
      <w:rPr>
        <w:rFonts w:hint="default"/>
        <w:lang w:val="en-US" w:eastAsia="en-US" w:bidi="ar-SA"/>
      </w:rPr>
    </w:lvl>
  </w:abstractNum>
  <w:abstractNum w:abstractNumId="17">
    <w:multiLevelType w:val="hybridMultilevel"/>
    <w:lvl w:ilvl="0">
      <w:start w:val="0"/>
      <w:numFmt w:val="bullet"/>
      <w:lvlText w:val=""/>
      <w:lvlJc w:val="left"/>
      <w:pPr>
        <w:ind w:left="428" w:hanging="286"/>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5" w:hanging="286"/>
      </w:pPr>
      <w:rPr>
        <w:rFonts w:hint="default"/>
        <w:lang w:val="en-US" w:eastAsia="en-US" w:bidi="ar-SA"/>
      </w:rPr>
    </w:lvl>
    <w:lvl w:ilvl="2">
      <w:start w:val="0"/>
      <w:numFmt w:val="bullet"/>
      <w:lvlText w:val="•"/>
      <w:lvlJc w:val="left"/>
      <w:pPr>
        <w:ind w:left="1070" w:hanging="286"/>
      </w:pPr>
      <w:rPr>
        <w:rFonts w:hint="default"/>
        <w:lang w:val="en-US" w:eastAsia="en-US" w:bidi="ar-SA"/>
      </w:rPr>
    </w:lvl>
    <w:lvl w:ilvl="3">
      <w:start w:val="0"/>
      <w:numFmt w:val="bullet"/>
      <w:lvlText w:val="•"/>
      <w:lvlJc w:val="left"/>
      <w:pPr>
        <w:ind w:left="1396" w:hanging="286"/>
      </w:pPr>
      <w:rPr>
        <w:rFonts w:hint="default"/>
        <w:lang w:val="en-US" w:eastAsia="en-US" w:bidi="ar-SA"/>
      </w:rPr>
    </w:lvl>
    <w:lvl w:ilvl="4">
      <w:start w:val="0"/>
      <w:numFmt w:val="bullet"/>
      <w:lvlText w:val="•"/>
      <w:lvlJc w:val="left"/>
      <w:pPr>
        <w:ind w:left="1721" w:hanging="286"/>
      </w:pPr>
      <w:rPr>
        <w:rFonts w:hint="default"/>
        <w:lang w:val="en-US" w:eastAsia="en-US" w:bidi="ar-SA"/>
      </w:rPr>
    </w:lvl>
    <w:lvl w:ilvl="5">
      <w:start w:val="0"/>
      <w:numFmt w:val="bullet"/>
      <w:lvlText w:val="•"/>
      <w:lvlJc w:val="left"/>
      <w:pPr>
        <w:ind w:left="2047" w:hanging="286"/>
      </w:pPr>
      <w:rPr>
        <w:rFonts w:hint="default"/>
        <w:lang w:val="en-US" w:eastAsia="en-US" w:bidi="ar-SA"/>
      </w:rPr>
    </w:lvl>
    <w:lvl w:ilvl="6">
      <w:start w:val="0"/>
      <w:numFmt w:val="bullet"/>
      <w:lvlText w:val="•"/>
      <w:lvlJc w:val="left"/>
      <w:pPr>
        <w:ind w:left="2372" w:hanging="286"/>
      </w:pPr>
      <w:rPr>
        <w:rFonts w:hint="default"/>
        <w:lang w:val="en-US" w:eastAsia="en-US" w:bidi="ar-SA"/>
      </w:rPr>
    </w:lvl>
    <w:lvl w:ilvl="7">
      <w:start w:val="0"/>
      <w:numFmt w:val="bullet"/>
      <w:lvlText w:val="•"/>
      <w:lvlJc w:val="left"/>
      <w:pPr>
        <w:ind w:left="2697" w:hanging="286"/>
      </w:pPr>
      <w:rPr>
        <w:rFonts w:hint="default"/>
        <w:lang w:val="en-US" w:eastAsia="en-US" w:bidi="ar-SA"/>
      </w:rPr>
    </w:lvl>
    <w:lvl w:ilvl="8">
      <w:start w:val="0"/>
      <w:numFmt w:val="bullet"/>
      <w:lvlText w:val="•"/>
      <w:lvlJc w:val="left"/>
      <w:pPr>
        <w:ind w:left="3023" w:hanging="286"/>
      </w:pPr>
      <w:rPr>
        <w:rFonts w:hint="default"/>
        <w:lang w:val="en-US" w:eastAsia="en-US" w:bidi="ar-SA"/>
      </w:rPr>
    </w:lvl>
  </w:abstractNum>
  <w:abstractNum w:abstractNumId="16">
    <w:multiLevelType w:val="hybridMultilevel"/>
    <w:lvl w:ilvl="0">
      <w:start w:val="2"/>
      <w:numFmt w:val="decimal"/>
      <w:lvlText w:val="%1"/>
      <w:lvlJc w:val="left"/>
      <w:pPr>
        <w:ind w:left="109" w:hanging="447"/>
        <w:jc w:val="left"/>
      </w:pPr>
      <w:rPr>
        <w:rFonts w:hint="default"/>
        <w:lang w:val="en-US" w:eastAsia="en-US" w:bidi="ar-SA"/>
      </w:rPr>
    </w:lvl>
    <w:lvl w:ilvl="1">
      <w:start w:val="1"/>
      <w:numFmt w:val="decimal"/>
      <w:lvlText w:val="%1.%2"/>
      <w:lvlJc w:val="left"/>
      <w:pPr>
        <w:ind w:left="109" w:hanging="447"/>
        <w:jc w:val="left"/>
      </w:pPr>
      <w:rPr>
        <w:rFonts w:hint="default"/>
        <w:lang w:val="en-US" w:eastAsia="en-US" w:bidi="ar-SA"/>
      </w:rPr>
    </w:lvl>
    <w:lvl w:ilvl="2">
      <w:start w:val="1"/>
      <w:numFmt w:val="decimal"/>
      <w:lvlText w:val="%1.%2.%3"/>
      <w:lvlJc w:val="left"/>
      <w:pPr>
        <w:ind w:left="109" w:hanging="447"/>
        <w:jc w:val="left"/>
      </w:pPr>
      <w:rPr>
        <w:rFonts w:hint="default" w:ascii="Calibri" w:hAnsi="Calibri" w:eastAsia="Calibri" w:cs="Calibri"/>
        <w:b w:val="0"/>
        <w:bCs w:val="0"/>
        <w:i w:val="0"/>
        <w:iCs w:val="0"/>
        <w:w w:val="100"/>
        <w:sz w:val="18"/>
        <w:szCs w:val="18"/>
        <w:lang w:val="en-US" w:eastAsia="en-US" w:bidi="ar-SA"/>
      </w:rPr>
    </w:lvl>
    <w:lvl w:ilvl="3">
      <w:start w:val="0"/>
      <w:numFmt w:val="bullet"/>
      <w:lvlText w:val="•"/>
      <w:lvlJc w:val="left"/>
      <w:pPr>
        <w:ind w:left="1342" w:hanging="447"/>
      </w:pPr>
      <w:rPr>
        <w:rFonts w:hint="default"/>
        <w:lang w:val="en-US" w:eastAsia="en-US" w:bidi="ar-SA"/>
      </w:rPr>
    </w:lvl>
    <w:lvl w:ilvl="4">
      <w:start w:val="0"/>
      <w:numFmt w:val="bullet"/>
      <w:lvlText w:val="•"/>
      <w:lvlJc w:val="left"/>
      <w:pPr>
        <w:ind w:left="1757" w:hanging="447"/>
      </w:pPr>
      <w:rPr>
        <w:rFonts w:hint="default"/>
        <w:lang w:val="en-US" w:eastAsia="en-US" w:bidi="ar-SA"/>
      </w:rPr>
    </w:lvl>
    <w:lvl w:ilvl="5">
      <w:start w:val="0"/>
      <w:numFmt w:val="bullet"/>
      <w:lvlText w:val="•"/>
      <w:lvlJc w:val="left"/>
      <w:pPr>
        <w:ind w:left="2171" w:hanging="447"/>
      </w:pPr>
      <w:rPr>
        <w:rFonts w:hint="default"/>
        <w:lang w:val="en-US" w:eastAsia="en-US" w:bidi="ar-SA"/>
      </w:rPr>
    </w:lvl>
    <w:lvl w:ilvl="6">
      <w:start w:val="0"/>
      <w:numFmt w:val="bullet"/>
      <w:lvlText w:val="•"/>
      <w:lvlJc w:val="left"/>
      <w:pPr>
        <w:ind w:left="2585" w:hanging="447"/>
      </w:pPr>
      <w:rPr>
        <w:rFonts w:hint="default"/>
        <w:lang w:val="en-US" w:eastAsia="en-US" w:bidi="ar-SA"/>
      </w:rPr>
    </w:lvl>
    <w:lvl w:ilvl="7">
      <w:start w:val="0"/>
      <w:numFmt w:val="bullet"/>
      <w:lvlText w:val="•"/>
      <w:lvlJc w:val="left"/>
      <w:pPr>
        <w:ind w:left="3000" w:hanging="447"/>
      </w:pPr>
      <w:rPr>
        <w:rFonts w:hint="default"/>
        <w:lang w:val="en-US" w:eastAsia="en-US" w:bidi="ar-SA"/>
      </w:rPr>
    </w:lvl>
    <w:lvl w:ilvl="8">
      <w:start w:val="0"/>
      <w:numFmt w:val="bullet"/>
      <w:lvlText w:val="•"/>
      <w:lvlJc w:val="left"/>
      <w:pPr>
        <w:ind w:left="3414" w:hanging="447"/>
      </w:pPr>
      <w:rPr>
        <w:rFonts w:hint="default"/>
        <w:lang w:val="en-US" w:eastAsia="en-US" w:bidi="ar-SA"/>
      </w:rPr>
    </w:lvl>
  </w:abstractNum>
  <w:abstractNum w:abstractNumId="15">
    <w:multiLevelType w:val="hybridMultilevel"/>
    <w:lvl w:ilvl="0">
      <w:start w:val="2"/>
      <w:numFmt w:val="decimal"/>
      <w:lvlText w:val="%1"/>
      <w:lvlJc w:val="left"/>
      <w:pPr>
        <w:ind w:left="109" w:hanging="269"/>
        <w:jc w:val="left"/>
      </w:pPr>
      <w:rPr>
        <w:rFonts w:hint="default"/>
        <w:lang w:val="en-US" w:eastAsia="en-US" w:bidi="ar-SA"/>
      </w:rPr>
    </w:lvl>
    <w:lvl w:ilvl="1">
      <w:start w:val="1"/>
      <w:numFmt w:val="decimal"/>
      <w:lvlText w:val="%1.%2"/>
      <w:lvlJc w:val="left"/>
      <w:pPr>
        <w:ind w:left="109" w:hanging="269"/>
        <w:jc w:val="left"/>
      </w:pPr>
      <w:rPr>
        <w:rFonts w:hint="default" w:ascii="Calibri" w:hAnsi="Calibri" w:eastAsia="Calibri" w:cs="Calibri"/>
        <w:b w:val="0"/>
        <w:bCs w:val="0"/>
        <w:i w:val="0"/>
        <w:iCs w:val="0"/>
        <w:w w:val="100"/>
        <w:sz w:val="18"/>
        <w:szCs w:val="18"/>
        <w:lang w:val="en-US" w:eastAsia="en-US" w:bidi="ar-SA"/>
      </w:rPr>
    </w:lvl>
    <w:lvl w:ilvl="2">
      <w:start w:val="0"/>
      <w:numFmt w:val="bullet"/>
      <w:lvlText w:val="•"/>
      <w:lvlJc w:val="left"/>
      <w:pPr>
        <w:ind w:left="304" w:hanging="269"/>
      </w:pPr>
      <w:rPr>
        <w:rFonts w:hint="default"/>
        <w:lang w:val="en-US" w:eastAsia="en-US" w:bidi="ar-SA"/>
      </w:rPr>
    </w:lvl>
    <w:lvl w:ilvl="3">
      <w:start w:val="0"/>
      <w:numFmt w:val="bullet"/>
      <w:lvlText w:val="•"/>
      <w:lvlJc w:val="left"/>
      <w:pPr>
        <w:ind w:left="406" w:hanging="269"/>
      </w:pPr>
      <w:rPr>
        <w:rFonts w:hint="default"/>
        <w:lang w:val="en-US" w:eastAsia="en-US" w:bidi="ar-SA"/>
      </w:rPr>
    </w:lvl>
    <w:lvl w:ilvl="4">
      <w:start w:val="0"/>
      <w:numFmt w:val="bullet"/>
      <w:lvlText w:val="•"/>
      <w:lvlJc w:val="left"/>
      <w:pPr>
        <w:ind w:left="508" w:hanging="269"/>
      </w:pPr>
      <w:rPr>
        <w:rFonts w:hint="default"/>
        <w:lang w:val="en-US" w:eastAsia="en-US" w:bidi="ar-SA"/>
      </w:rPr>
    </w:lvl>
    <w:lvl w:ilvl="5">
      <w:start w:val="0"/>
      <w:numFmt w:val="bullet"/>
      <w:lvlText w:val="•"/>
      <w:lvlJc w:val="left"/>
      <w:pPr>
        <w:ind w:left="611" w:hanging="269"/>
      </w:pPr>
      <w:rPr>
        <w:rFonts w:hint="default"/>
        <w:lang w:val="en-US" w:eastAsia="en-US" w:bidi="ar-SA"/>
      </w:rPr>
    </w:lvl>
    <w:lvl w:ilvl="6">
      <w:start w:val="0"/>
      <w:numFmt w:val="bullet"/>
      <w:lvlText w:val="•"/>
      <w:lvlJc w:val="left"/>
      <w:pPr>
        <w:ind w:left="713" w:hanging="269"/>
      </w:pPr>
      <w:rPr>
        <w:rFonts w:hint="default"/>
        <w:lang w:val="en-US" w:eastAsia="en-US" w:bidi="ar-SA"/>
      </w:rPr>
    </w:lvl>
    <w:lvl w:ilvl="7">
      <w:start w:val="0"/>
      <w:numFmt w:val="bullet"/>
      <w:lvlText w:val="•"/>
      <w:lvlJc w:val="left"/>
      <w:pPr>
        <w:ind w:left="815" w:hanging="269"/>
      </w:pPr>
      <w:rPr>
        <w:rFonts w:hint="default"/>
        <w:lang w:val="en-US" w:eastAsia="en-US" w:bidi="ar-SA"/>
      </w:rPr>
    </w:lvl>
    <w:lvl w:ilvl="8">
      <w:start w:val="0"/>
      <w:numFmt w:val="bullet"/>
      <w:lvlText w:val="•"/>
      <w:lvlJc w:val="left"/>
      <w:pPr>
        <w:ind w:left="917" w:hanging="269"/>
      </w:pPr>
      <w:rPr>
        <w:rFonts w:hint="default"/>
        <w:lang w:val="en-US" w:eastAsia="en-US" w:bidi="ar-SA"/>
      </w:rPr>
    </w:lvl>
  </w:abstractNum>
  <w:abstractNum w:abstractNumId="14">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13">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12">
    <w:multiLevelType w:val="hybridMultilevel"/>
    <w:lvl w:ilvl="0">
      <w:start w:val="1"/>
      <w:numFmt w:val="decimal"/>
      <w:lvlText w:val="%1"/>
      <w:lvlJc w:val="left"/>
      <w:pPr>
        <w:ind w:left="109" w:hanging="488"/>
        <w:jc w:val="left"/>
      </w:pPr>
      <w:rPr>
        <w:rFonts w:hint="default"/>
        <w:lang w:val="en-US" w:eastAsia="en-US" w:bidi="ar-SA"/>
      </w:rPr>
    </w:lvl>
    <w:lvl w:ilvl="1">
      <w:start w:val="2"/>
      <w:numFmt w:val="decimal"/>
      <w:lvlText w:val="%1.%2"/>
      <w:lvlJc w:val="left"/>
      <w:pPr>
        <w:ind w:left="109" w:hanging="488"/>
        <w:jc w:val="left"/>
      </w:pPr>
      <w:rPr>
        <w:rFonts w:hint="default"/>
        <w:lang w:val="en-US" w:eastAsia="en-US" w:bidi="ar-SA"/>
      </w:rPr>
    </w:lvl>
    <w:lvl w:ilvl="2">
      <w:start w:val="1"/>
      <w:numFmt w:val="decimal"/>
      <w:lvlText w:val="%1.%2.%3"/>
      <w:lvlJc w:val="left"/>
      <w:pPr>
        <w:ind w:left="109" w:hanging="488"/>
        <w:jc w:val="left"/>
      </w:pPr>
      <w:rPr>
        <w:rFonts w:hint="default" w:ascii="Calibri" w:hAnsi="Calibri" w:eastAsia="Calibri" w:cs="Calibri"/>
        <w:b w:val="0"/>
        <w:bCs w:val="0"/>
        <w:i w:val="0"/>
        <w:iCs w:val="0"/>
        <w:w w:val="100"/>
        <w:sz w:val="18"/>
        <w:szCs w:val="18"/>
        <w:lang w:val="en-US" w:eastAsia="en-US" w:bidi="ar-SA"/>
      </w:rPr>
    </w:lvl>
    <w:lvl w:ilvl="3">
      <w:start w:val="0"/>
      <w:numFmt w:val="bullet"/>
      <w:lvlText w:val="•"/>
      <w:lvlJc w:val="left"/>
      <w:pPr>
        <w:ind w:left="1342" w:hanging="488"/>
      </w:pPr>
      <w:rPr>
        <w:rFonts w:hint="default"/>
        <w:lang w:val="en-US" w:eastAsia="en-US" w:bidi="ar-SA"/>
      </w:rPr>
    </w:lvl>
    <w:lvl w:ilvl="4">
      <w:start w:val="0"/>
      <w:numFmt w:val="bullet"/>
      <w:lvlText w:val="•"/>
      <w:lvlJc w:val="left"/>
      <w:pPr>
        <w:ind w:left="1757" w:hanging="488"/>
      </w:pPr>
      <w:rPr>
        <w:rFonts w:hint="default"/>
        <w:lang w:val="en-US" w:eastAsia="en-US" w:bidi="ar-SA"/>
      </w:rPr>
    </w:lvl>
    <w:lvl w:ilvl="5">
      <w:start w:val="0"/>
      <w:numFmt w:val="bullet"/>
      <w:lvlText w:val="•"/>
      <w:lvlJc w:val="left"/>
      <w:pPr>
        <w:ind w:left="2171" w:hanging="488"/>
      </w:pPr>
      <w:rPr>
        <w:rFonts w:hint="default"/>
        <w:lang w:val="en-US" w:eastAsia="en-US" w:bidi="ar-SA"/>
      </w:rPr>
    </w:lvl>
    <w:lvl w:ilvl="6">
      <w:start w:val="0"/>
      <w:numFmt w:val="bullet"/>
      <w:lvlText w:val="•"/>
      <w:lvlJc w:val="left"/>
      <w:pPr>
        <w:ind w:left="2585" w:hanging="488"/>
      </w:pPr>
      <w:rPr>
        <w:rFonts w:hint="default"/>
        <w:lang w:val="en-US" w:eastAsia="en-US" w:bidi="ar-SA"/>
      </w:rPr>
    </w:lvl>
    <w:lvl w:ilvl="7">
      <w:start w:val="0"/>
      <w:numFmt w:val="bullet"/>
      <w:lvlText w:val="•"/>
      <w:lvlJc w:val="left"/>
      <w:pPr>
        <w:ind w:left="3000" w:hanging="488"/>
      </w:pPr>
      <w:rPr>
        <w:rFonts w:hint="default"/>
        <w:lang w:val="en-US" w:eastAsia="en-US" w:bidi="ar-SA"/>
      </w:rPr>
    </w:lvl>
    <w:lvl w:ilvl="8">
      <w:start w:val="0"/>
      <w:numFmt w:val="bullet"/>
      <w:lvlText w:val="•"/>
      <w:lvlJc w:val="left"/>
      <w:pPr>
        <w:ind w:left="3414" w:hanging="488"/>
      </w:pPr>
      <w:rPr>
        <w:rFonts w:hint="default"/>
        <w:lang w:val="en-US" w:eastAsia="en-US" w:bidi="ar-SA"/>
      </w:rPr>
    </w:lvl>
  </w:abstractNum>
  <w:abstractNum w:abstractNumId="11">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43" w:hanging="360"/>
      </w:pPr>
      <w:rPr>
        <w:rFonts w:hint="default"/>
        <w:lang w:val="en-US" w:eastAsia="en-US" w:bidi="ar-SA"/>
      </w:rPr>
    </w:lvl>
    <w:lvl w:ilvl="2">
      <w:start w:val="0"/>
      <w:numFmt w:val="bullet"/>
      <w:lvlText w:val="•"/>
      <w:lvlJc w:val="left"/>
      <w:pPr>
        <w:ind w:left="1006" w:hanging="360"/>
      </w:pPr>
      <w:rPr>
        <w:rFonts w:hint="default"/>
        <w:lang w:val="en-US" w:eastAsia="en-US" w:bidi="ar-SA"/>
      </w:rPr>
    </w:lvl>
    <w:lvl w:ilvl="3">
      <w:start w:val="0"/>
      <w:numFmt w:val="bullet"/>
      <w:lvlText w:val="•"/>
      <w:lvlJc w:val="left"/>
      <w:pPr>
        <w:ind w:left="1269" w:hanging="360"/>
      </w:pPr>
      <w:rPr>
        <w:rFonts w:hint="default"/>
        <w:lang w:val="en-US" w:eastAsia="en-US" w:bidi="ar-SA"/>
      </w:rPr>
    </w:lvl>
    <w:lvl w:ilvl="4">
      <w:start w:val="0"/>
      <w:numFmt w:val="bullet"/>
      <w:lvlText w:val="•"/>
      <w:lvlJc w:val="left"/>
      <w:pPr>
        <w:ind w:left="1532" w:hanging="360"/>
      </w:pPr>
      <w:rPr>
        <w:rFonts w:hint="default"/>
        <w:lang w:val="en-US" w:eastAsia="en-US" w:bidi="ar-SA"/>
      </w:rPr>
    </w:lvl>
    <w:lvl w:ilvl="5">
      <w:start w:val="0"/>
      <w:numFmt w:val="bullet"/>
      <w:lvlText w:val="•"/>
      <w:lvlJc w:val="left"/>
      <w:pPr>
        <w:ind w:left="1795" w:hanging="360"/>
      </w:pPr>
      <w:rPr>
        <w:rFonts w:hint="default"/>
        <w:lang w:val="en-US" w:eastAsia="en-US" w:bidi="ar-SA"/>
      </w:rPr>
    </w:lvl>
    <w:lvl w:ilvl="6">
      <w:start w:val="0"/>
      <w:numFmt w:val="bullet"/>
      <w:lvlText w:val="•"/>
      <w:lvlJc w:val="left"/>
      <w:pPr>
        <w:ind w:left="2058" w:hanging="360"/>
      </w:pPr>
      <w:rPr>
        <w:rFonts w:hint="default"/>
        <w:lang w:val="en-US" w:eastAsia="en-US" w:bidi="ar-SA"/>
      </w:rPr>
    </w:lvl>
    <w:lvl w:ilvl="7">
      <w:start w:val="0"/>
      <w:numFmt w:val="bullet"/>
      <w:lvlText w:val="•"/>
      <w:lvlJc w:val="left"/>
      <w:pPr>
        <w:ind w:left="2321" w:hanging="360"/>
      </w:pPr>
      <w:rPr>
        <w:rFonts w:hint="default"/>
        <w:lang w:val="en-US" w:eastAsia="en-US" w:bidi="ar-SA"/>
      </w:rPr>
    </w:lvl>
    <w:lvl w:ilvl="8">
      <w:start w:val="0"/>
      <w:numFmt w:val="bullet"/>
      <w:lvlText w:val="•"/>
      <w:lvlJc w:val="left"/>
      <w:pPr>
        <w:ind w:left="2584" w:hanging="360"/>
      </w:pPr>
      <w:rPr>
        <w:rFonts w:hint="default"/>
        <w:lang w:val="en-US" w:eastAsia="en-US" w:bidi="ar-SA"/>
      </w:rPr>
    </w:lvl>
  </w:abstractNum>
  <w:abstractNum w:abstractNumId="10">
    <w:multiLevelType w:val="hybridMultilevel"/>
    <w:lvl w:ilvl="0">
      <w:start w:val="0"/>
      <w:numFmt w:val="bullet"/>
      <w:lvlText w:val=""/>
      <w:lvlJc w:val="left"/>
      <w:pPr>
        <w:ind w:left="471"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118"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57" w:hanging="360"/>
      </w:pPr>
      <w:rPr>
        <w:rFonts w:hint="default"/>
        <w:lang w:val="en-US" w:eastAsia="en-US" w:bidi="ar-SA"/>
      </w:rPr>
    </w:lvl>
    <w:lvl w:ilvl="5">
      <w:start w:val="0"/>
      <w:numFmt w:val="bullet"/>
      <w:lvlText w:val="•"/>
      <w:lvlJc w:val="left"/>
      <w:pPr>
        <w:ind w:left="2077" w:hanging="360"/>
      </w:pPr>
      <w:rPr>
        <w:rFonts w:hint="default"/>
        <w:lang w:val="en-US" w:eastAsia="en-US" w:bidi="ar-SA"/>
      </w:rPr>
    </w:lvl>
    <w:lvl w:ilvl="6">
      <w:start w:val="0"/>
      <w:numFmt w:val="bullet"/>
      <w:lvlText w:val="•"/>
      <w:lvlJc w:val="left"/>
      <w:pPr>
        <w:ind w:left="2396" w:hanging="360"/>
      </w:pPr>
      <w:rPr>
        <w:rFonts w:hint="default"/>
        <w:lang w:val="en-US" w:eastAsia="en-US" w:bidi="ar-SA"/>
      </w:rPr>
    </w:lvl>
    <w:lvl w:ilvl="7">
      <w:start w:val="0"/>
      <w:numFmt w:val="bullet"/>
      <w:lvlText w:val="•"/>
      <w:lvlJc w:val="left"/>
      <w:pPr>
        <w:ind w:left="2715" w:hanging="360"/>
      </w:pPr>
      <w:rPr>
        <w:rFonts w:hint="default"/>
        <w:lang w:val="en-US" w:eastAsia="en-US" w:bidi="ar-SA"/>
      </w:rPr>
    </w:lvl>
    <w:lvl w:ilvl="8">
      <w:start w:val="0"/>
      <w:numFmt w:val="bullet"/>
      <w:lvlText w:val="•"/>
      <w:lvlJc w:val="left"/>
      <w:pPr>
        <w:ind w:left="3035" w:hanging="360"/>
      </w:pPr>
      <w:rPr>
        <w:rFonts w:hint="default"/>
        <w:lang w:val="en-US" w:eastAsia="en-US" w:bidi="ar-SA"/>
      </w:rPr>
    </w:lvl>
  </w:abstractNum>
  <w:abstractNum w:abstractNumId="9">
    <w:multiLevelType w:val="hybridMultilevel"/>
    <w:lvl w:ilvl="0">
      <w:start w:val="1"/>
      <w:numFmt w:val="decimal"/>
      <w:lvlText w:val="%1"/>
      <w:lvlJc w:val="left"/>
      <w:pPr>
        <w:ind w:left="109" w:hanging="447"/>
        <w:jc w:val="left"/>
      </w:pPr>
      <w:rPr>
        <w:rFonts w:hint="default"/>
        <w:lang w:val="en-US" w:eastAsia="en-US" w:bidi="ar-SA"/>
      </w:rPr>
    </w:lvl>
    <w:lvl w:ilvl="1">
      <w:start w:val="1"/>
      <w:numFmt w:val="decimal"/>
      <w:lvlText w:val="%1.%2"/>
      <w:lvlJc w:val="left"/>
      <w:pPr>
        <w:ind w:left="109" w:hanging="447"/>
        <w:jc w:val="left"/>
      </w:pPr>
      <w:rPr>
        <w:rFonts w:hint="default"/>
        <w:lang w:val="en-US" w:eastAsia="en-US" w:bidi="ar-SA"/>
      </w:rPr>
    </w:lvl>
    <w:lvl w:ilvl="2">
      <w:start w:val="1"/>
      <w:numFmt w:val="decimal"/>
      <w:lvlText w:val="%1.%2.%3"/>
      <w:lvlJc w:val="left"/>
      <w:pPr>
        <w:ind w:left="109" w:hanging="447"/>
        <w:jc w:val="left"/>
      </w:pPr>
      <w:rPr>
        <w:rFonts w:hint="default" w:ascii="Calibri" w:hAnsi="Calibri" w:eastAsia="Calibri" w:cs="Calibri"/>
        <w:b w:val="0"/>
        <w:bCs w:val="0"/>
        <w:i w:val="0"/>
        <w:iCs w:val="0"/>
        <w:w w:val="100"/>
        <w:sz w:val="18"/>
        <w:szCs w:val="18"/>
        <w:lang w:val="en-US" w:eastAsia="en-US" w:bidi="ar-SA"/>
      </w:rPr>
    </w:lvl>
    <w:lvl w:ilvl="3">
      <w:start w:val="0"/>
      <w:numFmt w:val="bullet"/>
      <w:lvlText w:val="•"/>
      <w:lvlJc w:val="left"/>
      <w:pPr>
        <w:ind w:left="1342" w:hanging="447"/>
      </w:pPr>
      <w:rPr>
        <w:rFonts w:hint="default"/>
        <w:lang w:val="en-US" w:eastAsia="en-US" w:bidi="ar-SA"/>
      </w:rPr>
    </w:lvl>
    <w:lvl w:ilvl="4">
      <w:start w:val="0"/>
      <w:numFmt w:val="bullet"/>
      <w:lvlText w:val="•"/>
      <w:lvlJc w:val="left"/>
      <w:pPr>
        <w:ind w:left="1757" w:hanging="447"/>
      </w:pPr>
      <w:rPr>
        <w:rFonts w:hint="default"/>
        <w:lang w:val="en-US" w:eastAsia="en-US" w:bidi="ar-SA"/>
      </w:rPr>
    </w:lvl>
    <w:lvl w:ilvl="5">
      <w:start w:val="0"/>
      <w:numFmt w:val="bullet"/>
      <w:lvlText w:val="•"/>
      <w:lvlJc w:val="left"/>
      <w:pPr>
        <w:ind w:left="2171" w:hanging="447"/>
      </w:pPr>
      <w:rPr>
        <w:rFonts w:hint="default"/>
        <w:lang w:val="en-US" w:eastAsia="en-US" w:bidi="ar-SA"/>
      </w:rPr>
    </w:lvl>
    <w:lvl w:ilvl="6">
      <w:start w:val="0"/>
      <w:numFmt w:val="bullet"/>
      <w:lvlText w:val="•"/>
      <w:lvlJc w:val="left"/>
      <w:pPr>
        <w:ind w:left="2585" w:hanging="447"/>
      </w:pPr>
      <w:rPr>
        <w:rFonts w:hint="default"/>
        <w:lang w:val="en-US" w:eastAsia="en-US" w:bidi="ar-SA"/>
      </w:rPr>
    </w:lvl>
    <w:lvl w:ilvl="7">
      <w:start w:val="0"/>
      <w:numFmt w:val="bullet"/>
      <w:lvlText w:val="•"/>
      <w:lvlJc w:val="left"/>
      <w:pPr>
        <w:ind w:left="3000" w:hanging="447"/>
      </w:pPr>
      <w:rPr>
        <w:rFonts w:hint="default"/>
        <w:lang w:val="en-US" w:eastAsia="en-US" w:bidi="ar-SA"/>
      </w:rPr>
    </w:lvl>
    <w:lvl w:ilvl="8">
      <w:start w:val="0"/>
      <w:numFmt w:val="bullet"/>
      <w:lvlText w:val="•"/>
      <w:lvlJc w:val="left"/>
      <w:pPr>
        <w:ind w:left="3414" w:hanging="447"/>
      </w:pPr>
      <w:rPr>
        <w:rFonts w:hint="default"/>
        <w:lang w:val="en-US" w:eastAsia="en-US" w:bidi="ar-SA"/>
      </w:rPr>
    </w:lvl>
  </w:abstractNum>
  <w:abstractNum w:abstractNumId="8">
    <w:multiLevelType w:val="hybridMultilevel"/>
    <w:lvl w:ilvl="0">
      <w:start w:val="1"/>
      <w:numFmt w:val="decimal"/>
      <w:lvlText w:val="%1."/>
      <w:lvlJc w:val="left"/>
      <w:pPr>
        <w:ind w:left="940" w:hanging="360"/>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2356" w:hanging="360"/>
      </w:pPr>
      <w:rPr>
        <w:rFonts w:hint="default"/>
        <w:lang w:val="en-US" w:eastAsia="en-US" w:bidi="ar-SA"/>
      </w:rPr>
    </w:lvl>
    <w:lvl w:ilvl="2">
      <w:start w:val="0"/>
      <w:numFmt w:val="bullet"/>
      <w:lvlText w:val="•"/>
      <w:lvlJc w:val="left"/>
      <w:pPr>
        <w:ind w:left="3772" w:hanging="360"/>
      </w:pPr>
      <w:rPr>
        <w:rFonts w:hint="default"/>
        <w:lang w:val="en-US" w:eastAsia="en-US" w:bidi="ar-SA"/>
      </w:rPr>
    </w:lvl>
    <w:lvl w:ilvl="3">
      <w:start w:val="0"/>
      <w:numFmt w:val="bullet"/>
      <w:lvlText w:val="•"/>
      <w:lvlJc w:val="left"/>
      <w:pPr>
        <w:ind w:left="5188" w:hanging="360"/>
      </w:pPr>
      <w:rPr>
        <w:rFonts w:hint="default"/>
        <w:lang w:val="en-US" w:eastAsia="en-US" w:bidi="ar-SA"/>
      </w:rPr>
    </w:lvl>
    <w:lvl w:ilvl="4">
      <w:start w:val="0"/>
      <w:numFmt w:val="bullet"/>
      <w:lvlText w:val="•"/>
      <w:lvlJc w:val="left"/>
      <w:pPr>
        <w:ind w:left="6604" w:hanging="360"/>
      </w:pPr>
      <w:rPr>
        <w:rFonts w:hint="default"/>
        <w:lang w:val="en-US" w:eastAsia="en-US" w:bidi="ar-SA"/>
      </w:rPr>
    </w:lvl>
    <w:lvl w:ilvl="5">
      <w:start w:val="0"/>
      <w:numFmt w:val="bullet"/>
      <w:lvlText w:val="•"/>
      <w:lvlJc w:val="left"/>
      <w:pPr>
        <w:ind w:left="8020" w:hanging="360"/>
      </w:pPr>
      <w:rPr>
        <w:rFonts w:hint="default"/>
        <w:lang w:val="en-US" w:eastAsia="en-US" w:bidi="ar-SA"/>
      </w:rPr>
    </w:lvl>
    <w:lvl w:ilvl="6">
      <w:start w:val="0"/>
      <w:numFmt w:val="bullet"/>
      <w:lvlText w:val="•"/>
      <w:lvlJc w:val="left"/>
      <w:pPr>
        <w:ind w:left="9436" w:hanging="360"/>
      </w:pPr>
      <w:rPr>
        <w:rFonts w:hint="default"/>
        <w:lang w:val="en-US" w:eastAsia="en-US" w:bidi="ar-SA"/>
      </w:rPr>
    </w:lvl>
    <w:lvl w:ilvl="7">
      <w:start w:val="0"/>
      <w:numFmt w:val="bullet"/>
      <w:lvlText w:val="•"/>
      <w:lvlJc w:val="left"/>
      <w:pPr>
        <w:ind w:left="10852" w:hanging="360"/>
      </w:pPr>
      <w:rPr>
        <w:rFonts w:hint="default"/>
        <w:lang w:val="en-US" w:eastAsia="en-US" w:bidi="ar-SA"/>
      </w:rPr>
    </w:lvl>
    <w:lvl w:ilvl="8">
      <w:start w:val="0"/>
      <w:numFmt w:val="bullet"/>
      <w:lvlText w:val="•"/>
      <w:lvlJc w:val="left"/>
      <w:pPr>
        <w:ind w:left="12268" w:hanging="360"/>
      </w:pPr>
      <w:rPr>
        <w:rFonts w:hint="default"/>
        <w:lang w:val="en-US" w:eastAsia="en-US" w:bidi="ar-SA"/>
      </w:rPr>
    </w:lvl>
  </w:abstractNum>
  <w:abstractNum w:abstractNumId="7">
    <w:multiLevelType w:val="hybridMultilevel"/>
    <w:lvl w:ilvl="0">
      <w:start w:val="0"/>
      <w:numFmt w:val="bullet"/>
      <w:lvlText w:val=""/>
      <w:lvlJc w:val="left"/>
      <w:pPr>
        <w:ind w:left="94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895" w:hanging="360"/>
      </w:pPr>
      <w:rPr>
        <w:rFonts w:hint="default"/>
        <w:lang w:val="en-US" w:eastAsia="en-US" w:bidi="ar-SA"/>
      </w:rPr>
    </w:lvl>
    <w:lvl w:ilvl="2">
      <w:start w:val="0"/>
      <w:numFmt w:val="bullet"/>
      <w:lvlText w:val="•"/>
      <w:lvlJc w:val="left"/>
      <w:pPr>
        <w:ind w:left="2851" w:hanging="360"/>
      </w:pPr>
      <w:rPr>
        <w:rFonts w:hint="default"/>
        <w:lang w:val="en-US" w:eastAsia="en-US" w:bidi="ar-SA"/>
      </w:rPr>
    </w:lvl>
    <w:lvl w:ilvl="3">
      <w:start w:val="0"/>
      <w:numFmt w:val="bullet"/>
      <w:lvlText w:val="•"/>
      <w:lvlJc w:val="left"/>
      <w:pPr>
        <w:ind w:left="3807" w:hanging="360"/>
      </w:pPr>
      <w:rPr>
        <w:rFonts w:hint="default"/>
        <w:lang w:val="en-US" w:eastAsia="en-US" w:bidi="ar-SA"/>
      </w:rPr>
    </w:lvl>
    <w:lvl w:ilvl="4">
      <w:start w:val="0"/>
      <w:numFmt w:val="bullet"/>
      <w:lvlText w:val="•"/>
      <w:lvlJc w:val="left"/>
      <w:pPr>
        <w:ind w:left="4763" w:hanging="360"/>
      </w:pPr>
      <w:rPr>
        <w:rFonts w:hint="default"/>
        <w:lang w:val="en-US" w:eastAsia="en-US" w:bidi="ar-SA"/>
      </w:rPr>
    </w:lvl>
    <w:lvl w:ilvl="5">
      <w:start w:val="0"/>
      <w:numFmt w:val="bullet"/>
      <w:lvlText w:val="•"/>
      <w:lvlJc w:val="left"/>
      <w:pPr>
        <w:ind w:left="5719" w:hanging="360"/>
      </w:pPr>
      <w:rPr>
        <w:rFonts w:hint="default"/>
        <w:lang w:val="en-US" w:eastAsia="en-US" w:bidi="ar-SA"/>
      </w:rPr>
    </w:lvl>
    <w:lvl w:ilvl="6">
      <w:start w:val="0"/>
      <w:numFmt w:val="bullet"/>
      <w:lvlText w:val="•"/>
      <w:lvlJc w:val="left"/>
      <w:pPr>
        <w:ind w:left="6675" w:hanging="360"/>
      </w:pPr>
      <w:rPr>
        <w:rFonts w:hint="default"/>
        <w:lang w:val="en-US" w:eastAsia="en-US" w:bidi="ar-SA"/>
      </w:rPr>
    </w:lvl>
    <w:lvl w:ilvl="7">
      <w:start w:val="0"/>
      <w:numFmt w:val="bullet"/>
      <w:lvlText w:val="•"/>
      <w:lvlJc w:val="left"/>
      <w:pPr>
        <w:ind w:left="7631" w:hanging="360"/>
      </w:pPr>
      <w:rPr>
        <w:rFonts w:hint="default"/>
        <w:lang w:val="en-US" w:eastAsia="en-US" w:bidi="ar-SA"/>
      </w:rPr>
    </w:lvl>
    <w:lvl w:ilvl="8">
      <w:start w:val="0"/>
      <w:numFmt w:val="bullet"/>
      <w:lvlText w:val="•"/>
      <w:lvlJc w:val="left"/>
      <w:pPr>
        <w:ind w:left="8587" w:hanging="360"/>
      </w:pPr>
      <w:rPr>
        <w:rFonts w:hint="default"/>
        <w:lang w:val="en-US" w:eastAsia="en-US" w:bidi="ar-SA"/>
      </w:rPr>
    </w:lvl>
  </w:abstractNum>
  <w:abstractNum w:abstractNumId="6">
    <w:multiLevelType w:val="hybridMultilevel"/>
    <w:lvl w:ilvl="0">
      <w:start w:val="4"/>
      <w:numFmt w:val="decimal"/>
      <w:lvlText w:val="%1"/>
      <w:lvlJc w:val="left"/>
      <w:pPr>
        <w:ind w:left="940" w:hanging="720"/>
        <w:jc w:val="left"/>
      </w:pPr>
      <w:rPr>
        <w:rFonts w:hint="default"/>
        <w:lang w:val="en-US" w:eastAsia="en-US" w:bidi="ar-SA"/>
      </w:rPr>
    </w:lvl>
    <w:lvl w:ilvl="1">
      <w:start w:val="3"/>
      <w:numFmt w:val="decimal"/>
      <w:lvlText w:val="%1.%2."/>
      <w:lvlJc w:val="left"/>
      <w:pPr>
        <w:ind w:left="940" w:hanging="720"/>
        <w:jc w:val="left"/>
      </w:pPr>
      <w:rPr>
        <w:rFonts w:hint="default" w:ascii="Calibri Light" w:hAnsi="Calibri Light" w:eastAsia="Calibri Light" w:cs="Calibri Light"/>
        <w:b w:val="0"/>
        <w:bCs w:val="0"/>
        <w:i w:val="0"/>
        <w:iCs w:val="0"/>
        <w:color w:val="4471C4"/>
        <w:w w:val="99"/>
        <w:sz w:val="26"/>
        <w:szCs w:val="26"/>
        <w:lang w:val="en-US" w:eastAsia="en-US" w:bidi="ar-SA"/>
      </w:rPr>
    </w:lvl>
    <w:lvl w:ilvl="2">
      <w:start w:val="1"/>
      <w:numFmt w:val="decimal"/>
      <w:lvlText w:val="%1.%2.%3"/>
      <w:lvlJc w:val="left"/>
      <w:pPr>
        <w:ind w:left="940" w:hanging="720"/>
        <w:jc w:val="left"/>
      </w:pPr>
      <w:rPr>
        <w:rFonts w:hint="default" w:ascii="Calibri Light" w:hAnsi="Calibri Light" w:eastAsia="Calibri Light" w:cs="Calibri Light"/>
        <w:b w:val="0"/>
        <w:bCs w:val="0"/>
        <w:i w:val="0"/>
        <w:iCs w:val="0"/>
        <w:color w:val="4471C4"/>
        <w:spacing w:val="0"/>
        <w:w w:val="100"/>
        <w:sz w:val="24"/>
        <w:szCs w:val="24"/>
        <w:lang w:val="en-US" w:eastAsia="en-US" w:bidi="ar-SA"/>
      </w:rPr>
    </w:lvl>
    <w:lvl w:ilvl="3">
      <w:start w:val="0"/>
      <w:numFmt w:val="bullet"/>
      <w:lvlText w:val="•"/>
      <w:lvlJc w:val="left"/>
      <w:pPr>
        <w:ind w:left="3807" w:hanging="720"/>
      </w:pPr>
      <w:rPr>
        <w:rFonts w:hint="default"/>
        <w:lang w:val="en-US" w:eastAsia="en-US" w:bidi="ar-SA"/>
      </w:rPr>
    </w:lvl>
    <w:lvl w:ilvl="4">
      <w:start w:val="0"/>
      <w:numFmt w:val="bullet"/>
      <w:lvlText w:val="•"/>
      <w:lvlJc w:val="left"/>
      <w:pPr>
        <w:ind w:left="4763" w:hanging="720"/>
      </w:pPr>
      <w:rPr>
        <w:rFonts w:hint="default"/>
        <w:lang w:val="en-US" w:eastAsia="en-US" w:bidi="ar-SA"/>
      </w:rPr>
    </w:lvl>
    <w:lvl w:ilvl="5">
      <w:start w:val="0"/>
      <w:numFmt w:val="bullet"/>
      <w:lvlText w:val="•"/>
      <w:lvlJc w:val="left"/>
      <w:pPr>
        <w:ind w:left="5719" w:hanging="720"/>
      </w:pPr>
      <w:rPr>
        <w:rFonts w:hint="default"/>
        <w:lang w:val="en-US" w:eastAsia="en-US" w:bidi="ar-SA"/>
      </w:rPr>
    </w:lvl>
    <w:lvl w:ilvl="6">
      <w:start w:val="0"/>
      <w:numFmt w:val="bullet"/>
      <w:lvlText w:val="•"/>
      <w:lvlJc w:val="left"/>
      <w:pPr>
        <w:ind w:left="6675" w:hanging="720"/>
      </w:pPr>
      <w:rPr>
        <w:rFonts w:hint="default"/>
        <w:lang w:val="en-US" w:eastAsia="en-US" w:bidi="ar-SA"/>
      </w:rPr>
    </w:lvl>
    <w:lvl w:ilvl="7">
      <w:start w:val="0"/>
      <w:numFmt w:val="bullet"/>
      <w:lvlText w:val="•"/>
      <w:lvlJc w:val="left"/>
      <w:pPr>
        <w:ind w:left="7631" w:hanging="720"/>
      </w:pPr>
      <w:rPr>
        <w:rFonts w:hint="default"/>
        <w:lang w:val="en-US" w:eastAsia="en-US" w:bidi="ar-SA"/>
      </w:rPr>
    </w:lvl>
    <w:lvl w:ilvl="8">
      <w:start w:val="0"/>
      <w:numFmt w:val="bullet"/>
      <w:lvlText w:val="•"/>
      <w:lvlJc w:val="left"/>
      <w:pPr>
        <w:ind w:left="8587" w:hanging="720"/>
      </w:pPr>
      <w:rPr>
        <w:rFonts w:hint="default"/>
        <w:lang w:val="en-US" w:eastAsia="en-US" w:bidi="ar-SA"/>
      </w:rPr>
    </w:lvl>
  </w:abstractNum>
  <w:abstractNum w:abstractNumId="5">
    <w:multiLevelType w:val="hybridMultilevel"/>
    <w:lvl w:ilvl="0">
      <w:start w:val="0"/>
      <w:numFmt w:val="bullet"/>
      <w:lvlText w:val=""/>
      <w:lvlJc w:val="left"/>
      <w:pPr>
        <w:ind w:left="940" w:hanging="360"/>
      </w:pPr>
      <w:rPr>
        <w:rFonts w:hint="default" w:ascii="Symbol" w:hAnsi="Symbol" w:eastAsia="Symbol" w:cs="Symbol"/>
        <w:b w:val="0"/>
        <w:bCs w:val="0"/>
        <w:i w:val="0"/>
        <w:iCs w:val="0"/>
        <w:w w:val="100"/>
        <w:sz w:val="22"/>
        <w:szCs w:val="22"/>
        <w:lang w:val="en-US" w:eastAsia="en-US" w:bidi="ar-SA"/>
      </w:rPr>
    </w:lvl>
    <w:lvl w:ilvl="1">
      <w:start w:val="0"/>
      <w:numFmt w:val="bullet"/>
      <w:lvlText w:val="o"/>
      <w:lvlJc w:val="left"/>
      <w:pPr>
        <w:ind w:left="1660" w:hanging="360"/>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2642" w:hanging="360"/>
      </w:pPr>
      <w:rPr>
        <w:rFonts w:hint="default"/>
        <w:lang w:val="en-US" w:eastAsia="en-US" w:bidi="ar-SA"/>
      </w:rPr>
    </w:lvl>
    <w:lvl w:ilvl="3">
      <w:start w:val="0"/>
      <w:numFmt w:val="bullet"/>
      <w:lvlText w:val="•"/>
      <w:lvlJc w:val="left"/>
      <w:pPr>
        <w:ind w:left="3624" w:hanging="360"/>
      </w:pPr>
      <w:rPr>
        <w:rFonts w:hint="default"/>
        <w:lang w:val="en-US" w:eastAsia="en-US" w:bidi="ar-SA"/>
      </w:rPr>
    </w:lvl>
    <w:lvl w:ilvl="4">
      <w:start w:val="0"/>
      <w:numFmt w:val="bullet"/>
      <w:lvlText w:val="•"/>
      <w:lvlJc w:val="left"/>
      <w:pPr>
        <w:ind w:left="4606" w:hanging="360"/>
      </w:pPr>
      <w:rPr>
        <w:rFonts w:hint="default"/>
        <w:lang w:val="en-US" w:eastAsia="en-US" w:bidi="ar-SA"/>
      </w:rPr>
    </w:lvl>
    <w:lvl w:ilvl="5">
      <w:start w:val="0"/>
      <w:numFmt w:val="bullet"/>
      <w:lvlText w:val="•"/>
      <w:lvlJc w:val="left"/>
      <w:pPr>
        <w:ind w:left="5588" w:hanging="360"/>
      </w:pPr>
      <w:rPr>
        <w:rFonts w:hint="default"/>
        <w:lang w:val="en-US" w:eastAsia="en-US" w:bidi="ar-SA"/>
      </w:rPr>
    </w:lvl>
    <w:lvl w:ilvl="6">
      <w:start w:val="0"/>
      <w:numFmt w:val="bullet"/>
      <w:lvlText w:val="•"/>
      <w:lvlJc w:val="left"/>
      <w:pPr>
        <w:ind w:left="6570" w:hanging="360"/>
      </w:pPr>
      <w:rPr>
        <w:rFonts w:hint="default"/>
        <w:lang w:val="en-US" w:eastAsia="en-US" w:bidi="ar-SA"/>
      </w:rPr>
    </w:lvl>
    <w:lvl w:ilvl="7">
      <w:start w:val="0"/>
      <w:numFmt w:val="bullet"/>
      <w:lvlText w:val="•"/>
      <w:lvlJc w:val="left"/>
      <w:pPr>
        <w:ind w:left="7552" w:hanging="360"/>
      </w:pPr>
      <w:rPr>
        <w:rFonts w:hint="default"/>
        <w:lang w:val="en-US" w:eastAsia="en-US" w:bidi="ar-SA"/>
      </w:rPr>
    </w:lvl>
    <w:lvl w:ilvl="8">
      <w:start w:val="0"/>
      <w:numFmt w:val="bullet"/>
      <w:lvlText w:val="•"/>
      <w:lvlJc w:val="left"/>
      <w:pPr>
        <w:ind w:left="8534" w:hanging="360"/>
      </w:pPr>
      <w:rPr>
        <w:rFonts w:hint="default"/>
        <w:lang w:val="en-US" w:eastAsia="en-US" w:bidi="ar-SA"/>
      </w:rPr>
    </w:lvl>
  </w:abstractNum>
  <w:abstractNum w:abstractNumId="4">
    <w:multiLevelType w:val="hybridMultilevel"/>
    <w:lvl w:ilvl="0">
      <w:start w:val="1"/>
      <w:numFmt w:val="lowerLetter"/>
      <w:lvlText w:val="%1)"/>
      <w:lvlJc w:val="left"/>
      <w:pPr>
        <w:ind w:left="940" w:hanging="360"/>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1895" w:hanging="360"/>
      </w:pPr>
      <w:rPr>
        <w:rFonts w:hint="default"/>
        <w:lang w:val="en-US" w:eastAsia="en-US" w:bidi="ar-SA"/>
      </w:rPr>
    </w:lvl>
    <w:lvl w:ilvl="2">
      <w:start w:val="0"/>
      <w:numFmt w:val="bullet"/>
      <w:lvlText w:val="•"/>
      <w:lvlJc w:val="left"/>
      <w:pPr>
        <w:ind w:left="2851" w:hanging="360"/>
      </w:pPr>
      <w:rPr>
        <w:rFonts w:hint="default"/>
        <w:lang w:val="en-US" w:eastAsia="en-US" w:bidi="ar-SA"/>
      </w:rPr>
    </w:lvl>
    <w:lvl w:ilvl="3">
      <w:start w:val="0"/>
      <w:numFmt w:val="bullet"/>
      <w:lvlText w:val="•"/>
      <w:lvlJc w:val="left"/>
      <w:pPr>
        <w:ind w:left="3807" w:hanging="360"/>
      </w:pPr>
      <w:rPr>
        <w:rFonts w:hint="default"/>
        <w:lang w:val="en-US" w:eastAsia="en-US" w:bidi="ar-SA"/>
      </w:rPr>
    </w:lvl>
    <w:lvl w:ilvl="4">
      <w:start w:val="0"/>
      <w:numFmt w:val="bullet"/>
      <w:lvlText w:val="•"/>
      <w:lvlJc w:val="left"/>
      <w:pPr>
        <w:ind w:left="4763" w:hanging="360"/>
      </w:pPr>
      <w:rPr>
        <w:rFonts w:hint="default"/>
        <w:lang w:val="en-US" w:eastAsia="en-US" w:bidi="ar-SA"/>
      </w:rPr>
    </w:lvl>
    <w:lvl w:ilvl="5">
      <w:start w:val="0"/>
      <w:numFmt w:val="bullet"/>
      <w:lvlText w:val="•"/>
      <w:lvlJc w:val="left"/>
      <w:pPr>
        <w:ind w:left="5719" w:hanging="360"/>
      </w:pPr>
      <w:rPr>
        <w:rFonts w:hint="default"/>
        <w:lang w:val="en-US" w:eastAsia="en-US" w:bidi="ar-SA"/>
      </w:rPr>
    </w:lvl>
    <w:lvl w:ilvl="6">
      <w:start w:val="0"/>
      <w:numFmt w:val="bullet"/>
      <w:lvlText w:val="•"/>
      <w:lvlJc w:val="left"/>
      <w:pPr>
        <w:ind w:left="6675" w:hanging="360"/>
      </w:pPr>
      <w:rPr>
        <w:rFonts w:hint="default"/>
        <w:lang w:val="en-US" w:eastAsia="en-US" w:bidi="ar-SA"/>
      </w:rPr>
    </w:lvl>
    <w:lvl w:ilvl="7">
      <w:start w:val="0"/>
      <w:numFmt w:val="bullet"/>
      <w:lvlText w:val="•"/>
      <w:lvlJc w:val="left"/>
      <w:pPr>
        <w:ind w:left="7631" w:hanging="360"/>
      </w:pPr>
      <w:rPr>
        <w:rFonts w:hint="default"/>
        <w:lang w:val="en-US" w:eastAsia="en-US" w:bidi="ar-SA"/>
      </w:rPr>
    </w:lvl>
    <w:lvl w:ilvl="8">
      <w:start w:val="0"/>
      <w:numFmt w:val="bullet"/>
      <w:lvlText w:val="•"/>
      <w:lvlJc w:val="left"/>
      <w:pPr>
        <w:ind w:left="8587" w:hanging="360"/>
      </w:pPr>
      <w:rPr>
        <w:rFonts w:hint="default"/>
        <w:lang w:val="en-US" w:eastAsia="en-US" w:bidi="ar-SA"/>
      </w:rPr>
    </w:lvl>
  </w:abstractNum>
  <w:abstractNum w:abstractNumId="3">
    <w:multiLevelType w:val="hybridMultilevel"/>
    <w:lvl w:ilvl="0">
      <w:start w:val="1"/>
      <w:numFmt w:val="decimal"/>
      <w:lvlText w:val="%1."/>
      <w:lvlJc w:val="left"/>
      <w:pPr>
        <w:ind w:left="940" w:hanging="720"/>
        <w:jc w:val="left"/>
      </w:pPr>
      <w:rPr>
        <w:rFonts w:hint="default"/>
        <w:spacing w:val="0"/>
        <w:w w:val="99"/>
        <w:lang w:val="en-US" w:eastAsia="en-US" w:bidi="ar-SA"/>
      </w:rPr>
    </w:lvl>
    <w:lvl w:ilvl="1">
      <w:start w:val="1"/>
      <w:numFmt w:val="decimal"/>
      <w:lvlText w:val="%1.%2"/>
      <w:lvlJc w:val="left"/>
      <w:pPr>
        <w:ind w:left="940" w:hanging="720"/>
        <w:jc w:val="left"/>
      </w:pPr>
      <w:rPr>
        <w:rFonts w:hint="default"/>
        <w:w w:val="99"/>
        <w:lang w:val="en-US" w:eastAsia="en-US" w:bidi="ar-SA"/>
      </w:rPr>
    </w:lvl>
    <w:lvl w:ilvl="2">
      <w:start w:val="1"/>
      <w:numFmt w:val="decimal"/>
      <w:lvlText w:val="%1.%2.%3"/>
      <w:lvlJc w:val="left"/>
      <w:pPr>
        <w:ind w:left="940" w:hanging="720"/>
        <w:jc w:val="left"/>
      </w:pPr>
      <w:rPr>
        <w:rFonts w:hint="default" w:ascii="Calibri Light" w:hAnsi="Calibri Light" w:eastAsia="Calibri Light" w:cs="Calibri Light"/>
        <w:b w:val="0"/>
        <w:bCs w:val="0"/>
        <w:i w:val="0"/>
        <w:iCs w:val="0"/>
        <w:color w:val="4471C4"/>
        <w:spacing w:val="0"/>
        <w:w w:val="100"/>
        <w:sz w:val="24"/>
        <w:szCs w:val="24"/>
        <w:lang w:val="en-US" w:eastAsia="en-US" w:bidi="ar-SA"/>
      </w:rPr>
    </w:lvl>
    <w:lvl w:ilvl="3">
      <w:start w:val="0"/>
      <w:numFmt w:val="bullet"/>
      <w:lvlText w:val=""/>
      <w:lvlJc w:val="left"/>
      <w:pPr>
        <w:ind w:left="940" w:hanging="360"/>
      </w:pPr>
      <w:rPr>
        <w:rFonts w:hint="default" w:ascii="Symbol" w:hAnsi="Symbol" w:eastAsia="Symbol" w:cs="Symbol"/>
        <w:b w:val="0"/>
        <w:bCs w:val="0"/>
        <w:i w:val="0"/>
        <w:iCs w:val="0"/>
        <w:w w:val="100"/>
        <w:sz w:val="22"/>
        <w:szCs w:val="22"/>
        <w:lang w:val="en-US" w:eastAsia="en-US" w:bidi="ar-SA"/>
      </w:rPr>
    </w:lvl>
    <w:lvl w:ilvl="4">
      <w:start w:val="0"/>
      <w:numFmt w:val="bullet"/>
      <w:lvlText w:val="•"/>
      <w:lvlJc w:val="left"/>
      <w:pPr>
        <w:ind w:left="4763" w:hanging="360"/>
      </w:pPr>
      <w:rPr>
        <w:rFonts w:hint="default"/>
        <w:lang w:val="en-US" w:eastAsia="en-US" w:bidi="ar-SA"/>
      </w:rPr>
    </w:lvl>
    <w:lvl w:ilvl="5">
      <w:start w:val="0"/>
      <w:numFmt w:val="bullet"/>
      <w:lvlText w:val="•"/>
      <w:lvlJc w:val="left"/>
      <w:pPr>
        <w:ind w:left="5719" w:hanging="360"/>
      </w:pPr>
      <w:rPr>
        <w:rFonts w:hint="default"/>
        <w:lang w:val="en-US" w:eastAsia="en-US" w:bidi="ar-SA"/>
      </w:rPr>
    </w:lvl>
    <w:lvl w:ilvl="6">
      <w:start w:val="0"/>
      <w:numFmt w:val="bullet"/>
      <w:lvlText w:val="•"/>
      <w:lvlJc w:val="left"/>
      <w:pPr>
        <w:ind w:left="6675" w:hanging="360"/>
      </w:pPr>
      <w:rPr>
        <w:rFonts w:hint="default"/>
        <w:lang w:val="en-US" w:eastAsia="en-US" w:bidi="ar-SA"/>
      </w:rPr>
    </w:lvl>
    <w:lvl w:ilvl="7">
      <w:start w:val="0"/>
      <w:numFmt w:val="bullet"/>
      <w:lvlText w:val="•"/>
      <w:lvlJc w:val="left"/>
      <w:pPr>
        <w:ind w:left="7631" w:hanging="360"/>
      </w:pPr>
      <w:rPr>
        <w:rFonts w:hint="default"/>
        <w:lang w:val="en-US" w:eastAsia="en-US" w:bidi="ar-SA"/>
      </w:rPr>
    </w:lvl>
    <w:lvl w:ilvl="8">
      <w:start w:val="0"/>
      <w:numFmt w:val="bullet"/>
      <w:lvlText w:val="•"/>
      <w:lvlJc w:val="left"/>
      <w:pPr>
        <w:ind w:left="8587" w:hanging="360"/>
      </w:pPr>
      <w:rPr>
        <w:rFonts w:hint="default"/>
        <w:lang w:val="en-US" w:eastAsia="en-US" w:bidi="ar-SA"/>
      </w:rPr>
    </w:lvl>
  </w:abstractNum>
  <w:abstractNum w:abstractNumId="2">
    <w:multiLevelType w:val="hybridMultilevel"/>
    <w:lvl w:ilvl="0">
      <w:start w:val="0"/>
      <w:numFmt w:val="bullet"/>
      <w:lvlText w:val=""/>
      <w:lvlJc w:val="left"/>
      <w:pPr>
        <w:ind w:left="94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895" w:hanging="360"/>
      </w:pPr>
      <w:rPr>
        <w:rFonts w:hint="default"/>
        <w:lang w:val="en-US" w:eastAsia="en-US" w:bidi="ar-SA"/>
      </w:rPr>
    </w:lvl>
    <w:lvl w:ilvl="2">
      <w:start w:val="0"/>
      <w:numFmt w:val="bullet"/>
      <w:lvlText w:val="•"/>
      <w:lvlJc w:val="left"/>
      <w:pPr>
        <w:ind w:left="2851" w:hanging="360"/>
      </w:pPr>
      <w:rPr>
        <w:rFonts w:hint="default"/>
        <w:lang w:val="en-US" w:eastAsia="en-US" w:bidi="ar-SA"/>
      </w:rPr>
    </w:lvl>
    <w:lvl w:ilvl="3">
      <w:start w:val="0"/>
      <w:numFmt w:val="bullet"/>
      <w:lvlText w:val="•"/>
      <w:lvlJc w:val="left"/>
      <w:pPr>
        <w:ind w:left="3807" w:hanging="360"/>
      </w:pPr>
      <w:rPr>
        <w:rFonts w:hint="default"/>
        <w:lang w:val="en-US" w:eastAsia="en-US" w:bidi="ar-SA"/>
      </w:rPr>
    </w:lvl>
    <w:lvl w:ilvl="4">
      <w:start w:val="0"/>
      <w:numFmt w:val="bullet"/>
      <w:lvlText w:val="•"/>
      <w:lvlJc w:val="left"/>
      <w:pPr>
        <w:ind w:left="4763" w:hanging="360"/>
      </w:pPr>
      <w:rPr>
        <w:rFonts w:hint="default"/>
        <w:lang w:val="en-US" w:eastAsia="en-US" w:bidi="ar-SA"/>
      </w:rPr>
    </w:lvl>
    <w:lvl w:ilvl="5">
      <w:start w:val="0"/>
      <w:numFmt w:val="bullet"/>
      <w:lvlText w:val="•"/>
      <w:lvlJc w:val="left"/>
      <w:pPr>
        <w:ind w:left="5719" w:hanging="360"/>
      </w:pPr>
      <w:rPr>
        <w:rFonts w:hint="default"/>
        <w:lang w:val="en-US" w:eastAsia="en-US" w:bidi="ar-SA"/>
      </w:rPr>
    </w:lvl>
    <w:lvl w:ilvl="6">
      <w:start w:val="0"/>
      <w:numFmt w:val="bullet"/>
      <w:lvlText w:val="•"/>
      <w:lvlJc w:val="left"/>
      <w:pPr>
        <w:ind w:left="6675" w:hanging="360"/>
      </w:pPr>
      <w:rPr>
        <w:rFonts w:hint="default"/>
        <w:lang w:val="en-US" w:eastAsia="en-US" w:bidi="ar-SA"/>
      </w:rPr>
    </w:lvl>
    <w:lvl w:ilvl="7">
      <w:start w:val="0"/>
      <w:numFmt w:val="bullet"/>
      <w:lvlText w:val="•"/>
      <w:lvlJc w:val="left"/>
      <w:pPr>
        <w:ind w:left="7631" w:hanging="360"/>
      </w:pPr>
      <w:rPr>
        <w:rFonts w:hint="default"/>
        <w:lang w:val="en-US" w:eastAsia="en-US" w:bidi="ar-SA"/>
      </w:rPr>
    </w:lvl>
    <w:lvl w:ilvl="8">
      <w:start w:val="0"/>
      <w:numFmt w:val="bullet"/>
      <w:lvlText w:val="•"/>
      <w:lvlJc w:val="left"/>
      <w:pPr>
        <w:ind w:left="8587" w:hanging="360"/>
      </w:pPr>
      <w:rPr>
        <w:rFonts w:hint="default"/>
        <w:lang w:val="en-US" w:eastAsia="en-US" w:bidi="ar-SA"/>
      </w:rPr>
    </w:lvl>
  </w:abstractNum>
  <w:abstractNum w:abstractNumId="1">
    <w:multiLevelType w:val="hybridMultilevel"/>
    <w:lvl w:ilvl="0">
      <w:start w:val="4"/>
      <w:numFmt w:val="decimal"/>
      <w:lvlText w:val="%1"/>
      <w:lvlJc w:val="left"/>
      <w:pPr>
        <w:ind w:left="1101" w:hanging="660"/>
        <w:jc w:val="left"/>
      </w:pPr>
      <w:rPr>
        <w:rFonts w:hint="default"/>
        <w:lang w:val="en-US" w:eastAsia="en-US" w:bidi="ar-SA"/>
      </w:rPr>
    </w:lvl>
    <w:lvl w:ilvl="1">
      <w:start w:val="3"/>
      <w:numFmt w:val="decimal"/>
      <w:lvlText w:val="%1.%2."/>
      <w:lvlJc w:val="left"/>
      <w:pPr>
        <w:ind w:left="1101" w:hanging="660"/>
        <w:jc w:val="left"/>
      </w:pPr>
      <w:rPr>
        <w:rFonts w:hint="default" w:ascii="Calibri" w:hAnsi="Calibri" w:eastAsia="Calibri" w:cs="Calibri"/>
        <w:b/>
        <w:bCs/>
        <w:i w:val="0"/>
        <w:iCs w:val="0"/>
        <w:spacing w:val="-1"/>
        <w:w w:val="99"/>
        <w:sz w:val="20"/>
        <w:szCs w:val="20"/>
        <w:lang w:val="en-US" w:eastAsia="en-US" w:bidi="ar-SA"/>
      </w:rPr>
    </w:lvl>
    <w:lvl w:ilvl="2">
      <w:start w:val="1"/>
      <w:numFmt w:val="decimal"/>
      <w:lvlText w:val="%1.%2.%3"/>
      <w:lvlJc w:val="left"/>
      <w:pPr>
        <w:ind w:left="1319" w:hanging="660"/>
        <w:jc w:val="left"/>
      </w:pPr>
      <w:rPr>
        <w:rFonts w:hint="default" w:ascii="Calibri" w:hAnsi="Calibri" w:eastAsia="Calibri" w:cs="Calibri"/>
        <w:b w:val="0"/>
        <w:bCs w:val="0"/>
        <w:i w:val="0"/>
        <w:iCs w:val="0"/>
        <w:w w:val="99"/>
        <w:sz w:val="20"/>
        <w:szCs w:val="20"/>
        <w:lang w:val="en-US" w:eastAsia="en-US" w:bidi="ar-SA"/>
      </w:rPr>
    </w:lvl>
    <w:lvl w:ilvl="3">
      <w:start w:val="0"/>
      <w:numFmt w:val="bullet"/>
      <w:lvlText w:val="•"/>
      <w:lvlJc w:val="left"/>
      <w:pPr>
        <w:ind w:left="3359" w:hanging="660"/>
      </w:pPr>
      <w:rPr>
        <w:rFonts w:hint="default"/>
        <w:lang w:val="en-US" w:eastAsia="en-US" w:bidi="ar-SA"/>
      </w:rPr>
    </w:lvl>
    <w:lvl w:ilvl="4">
      <w:start w:val="0"/>
      <w:numFmt w:val="bullet"/>
      <w:lvlText w:val="•"/>
      <w:lvlJc w:val="left"/>
      <w:pPr>
        <w:ind w:left="4379" w:hanging="660"/>
      </w:pPr>
      <w:rPr>
        <w:rFonts w:hint="default"/>
        <w:lang w:val="en-US" w:eastAsia="en-US" w:bidi="ar-SA"/>
      </w:rPr>
    </w:lvl>
    <w:lvl w:ilvl="5">
      <w:start w:val="0"/>
      <w:numFmt w:val="bullet"/>
      <w:lvlText w:val="•"/>
      <w:lvlJc w:val="left"/>
      <w:pPr>
        <w:ind w:left="5399" w:hanging="660"/>
      </w:pPr>
      <w:rPr>
        <w:rFonts w:hint="default"/>
        <w:lang w:val="en-US" w:eastAsia="en-US" w:bidi="ar-SA"/>
      </w:rPr>
    </w:lvl>
    <w:lvl w:ilvl="6">
      <w:start w:val="0"/>
      <w:numFmt w:val="bullet"/>
      <w:lvlText w:val="•"/>
      <w:lvlJc w:val="left"/>
      <w:pPr>
        <w:ind w:left="6419" w:hanging="660"/>
      </w:pPr>
      <w:rPr>
        <w:rFonts w:hint="default"/>
        <w:lang w:val="en-US" w:eastAsia="en-US" w:bidi="ar-SA"/>
      </w:rPr>
    </w:lvl>
    <w:lvl w:ilvl="7">
      <w:start w:val="0"/>
      <w:numFmt w:val="bullet"/>
      <w:lvlText w:val="•"/>
      <w:lvlJc w:val="left"/>
      <w:pPr>
        <w:ind w:left="7439" w:hanging="660"/>
      </w:pPr>
      <w:rPr>
        <w:rFonts w:hint="default"/>
        <w:lang w:val="en-US" w:eastAsia="en-US" w:bidi="ar-SA"/>
      </w:rPr>
    </w:lvl>
    <w:lvl w:ilvl="8">
      <w:start w:val="0"/>
      <w:numFmt w:val="bullet"/>
      <w:lvlText w:val="•"/>
      <w:lvlJc w:val="left"/>
      <w:pPr>
        <w:ind w:left="8459" w:hanging="660"/>
      </w:pPr>
      <w:rPr>
        <w:rFonts w:hint="default"/>
        <w:lang w:val="en-US" w:eastAsia="en-US" w:bidi="ar-SA"/>
      </w:rPr>
    </w:lvl>
  </w:abstractNum>
  <w:abstractNum w:abstractNumId="0">
    <w:multiLevelType w:val="hybridMultilevel"/>
    <w:lvl w:ilvl="0">
      <w:start w:val="1"/>
      <w:numFmt w:val="decimal"/>
      <w:lvlText w:val="%1."/>
      <w:lvlJc w:val="left"/>
      <w:pPr>
        <w:ind w:left="659" w:hanging="440"/>
        <w:jc w:val="right"/>
      </w:pPr>
      <w:rPr>
        <w:rFonts w:hint="default"/>
        <w:spacing w:val="-1"/>
        <w:w w:val="99"/>
        <w:lang w:val="en-US" w:eastAsia="en-US" w:bidi="ar-SA"/>
      </w:rPr>
    </w:lvl>
    <w:lvl w:ilvl="1">
      <w:start w:val="1"/>
      <w:numFmt w:val="decimal"/>
      <w:lvlText w:val="%1.%2"/>
      <w:lvlJc w:val="left"/>
      <w:pPr>
        <w:ind w:left="1101" w:hanging="660"/>
        <w:jc w:val="left"/>
      </w:pPr>
      <w:rPr>
        <w:rFonts w:hint="default" w:ascii="Calibri" w:hAnsi="Calibri" w:eastAsia="Calibri" w:cs="Calibri"/>
        <w:b/>
        <w:bCs/>
        <w:i w:val="0"/>
        <w:iCs w:val="0"/>
        <w:spacing w:val="-1"/>
        <w:w w:val="99"/>
        <w:sz w:val="20"/>
        <w:szCs w:val="20"/>
        <w:lang w:val="en-US" w:eastAsia="en-US" w:bidi="ar-SA"/>
      </w:rPr>
    </w:lvl>
    <w:lvl w:ilvl="2">
      <w:start w:val="1"/>
      <w:numFmt w:val="decimal"/>
      <w:lvlText w:val="%1.%2.%3"/>
      <w:lvlJc w:val="left"/>
      <w:pPr>
        <w:ind w:left="1319" w:hanging="660"/>
        <w:jc w:val="left"/>
      </w:pPr>
      <w:rPr>
        <w:rFonts w:hint="default" w:ascii="Calibri" w:hAnsi="Calibri" w:eastAsia="Calibri" w:cs="Calibri"/>
        <w:b w:val="0"/>
        <w:bCs w:val="0"/>
        <w:i w:val="0"/>
        <w:iCs w:val="0"/>
        <w:w w:val="99"/>
        <w:sz w:val="20"/>
        <w:szCs w:val="20"/>
        <w:lang w:val="en-US" w:eastAsia="en-US" w:bidi="ar-SA"/>
      </w:rPr>
    </w:lvl>
    <w:lvl w:ilvl="3">
      <w:start w:val="0"/>
      <w:numFmt w:val="bullet"/>
      <w:lvlText w:val="•"/>
      <w:lvlJc w:val="left"/>
      <w:pPr>
        <w:ind w:left="2467" w:hanging="660"/>
      </w:pPr>
      <w:rPr>
        <w:rFonts w:hint="default"/>
        <w:lang w:val="en-US" w:eastAsia="en-US" w:bidi="ar-SA"/>
      </w:rPr>
    </w:lvl>
    <w:lvl w:ilvl="4">
      <w:start w:val="0"/>
      <w:numFmt w:val="bullet"/>
      <w:lvlText w:val="•"/>
      <w:lvlJc w:val="left"/>
      <w:pPr>
        <w:ind w:left="3614" w:hanging="660"/>
      </w:pPr>
      <w:rPr>
        <w:rFonts w:hint="default"/>
        <w:lang w:val="en-US" w:eastAsia="en-US" w:bidi="ar-SA"/>
      </w:rPr>
    </w:lvl>
    <w:lvl w:ilvl="5">
      <w:start w:val="0"/>
      <w:numFmt w:val="bullet"/>
      <w:lvlText w:val="•"/>
      <w:lvlJc w:val="left"/>
      <w:pPr>
        <w:ind w:left="4762" w:hanging="660"/>
      </w:pPr>
      <w:rPr>
        <w:rFonts w:hint="default"/>
        <w:lang w:val="en-US" w:eastAsia="en-US" w:bidi="ar-SA"/>
      </w:rPr>
    </w:lvl>
    <w:lvl w:ilvl="6">
      <w:start w:val="0"/>
      <w:numFmt w:val="bullet"/>
      <w:lvlText w:val="•"/>
      <w:lvlJc w:val="left"/>
      <w:pPr>
        <w:ind w:left="5909" w:hanging="660"/>
      </w:pPr>
      <w:rPr>
        <w:rFonts w:hint="default"/>
        <w:lang w:val="en-US" w:eastAsia="en-US" w:bidi="ar-SA"/>
      </w:rPr>
    </w:lvl>
    <w:lvl w:ilvl="7">
      <w:start w:val="0"/>
      <w:numFmt w:val="bullet"/>
      <w:lvlText w:val="•"/>
      <w:lvlJc w:val="left"/>
      <w:pPr>
        <w:ind w:left="7057" w:hanging="660"/>
      </w:pPr>
      <w:rPr>
        <w:rFonts w:hint="default"/>
        <w:lang w:val="en-US" w:eastAsia="en-US" w:bidi="ar-SA"/>
      </w:rPr>
    </w:lvl>
    <w:lvl w:ilvl="8">
      <w:start w:val="0"/>
      <w:numFmt w:val="bullet"/>
      <w:lvlText w:val="•"/>
      <w:lvlJc w:val="left"/>
      <w:pPr>
        <w:ind w:left="8204" w:hanging="660"/>
      </w:pPr>
      <w:rPr>
        <w:rFonts w:hint="default"/>
        <w:lang w:val="en-US" w:eastAsia="en-US" w:bidi="ar-SA"/>
      </w:r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16"/>
      <w:ind w:left="659" w:hanging="440"/>
    </w:pPr>
    <w:rPr>
      <w:rFonts w:ascii="Calibri Light" w:hAnsi="Calibri Light" w:eastAsia="Calibri Light" w:cs="Calibri Light"/>
      <w:sz w:val="20"/>
      <w:szCs w:val="20"/>
      <w:lang w:val="en-US" w:eastAsia="en-US" w:bidi="ar-SA"/>
    </w:rPr>
  </w:style>
  <w:style w:styleId="TOC2" w:type="paragraph">
    <w:name w:val="TOC 2"/>
    <w:basedOn w:val="Normal"/>
    <w:uiPriority w:val="1"/>
    <w:qFormat/>
    <w:pPr>
      <w:spacing w:before="116"/>
      <w:ind w:left="220"/>
    </w:pPr>
    <w:rPr>
      <w:rFonts w:ascii="Calibri Light" w:hAnsi="Calibri Light" w:eastAsia="Calibri Light" w:cs="Calibri Light"/>
      <w:sz w:val="20"/>
      <w:szCs w:val="20"/>
      <w:lang w:val="en-US" w:eastAsia="en-US" w:bidi="ar-SA"/>
    </w:rPr>
  </w:style>
  <w:style w:styleId="TOC3" w:type="paragraph">
    <w:name w:val="TOC 3"/>
    <w:basedOn w:val="Normal"/>
    <w:uiPriority w:val="1"/>
    <w:qFormat/>
    <w:pPr>
      <w:spacing w:before="157"/>
      <w:ind w:left="1101" w:hanging="661"/>
    </w:pPr>
    <w:rPr>
      <w:rFonts w:ascii="Calibri" w:hAnsi="Calibri" w:eastAsia="Calibri" w:cs="Calibri"/>
      <w:b/>
      <w:bCs/>
      <w:sz w:val="20"/>
      <w:szCs w:val="20"/>
      <w:lang w:val="en-US" w:eastAsia="en-US" w:bidi="ar-SA"/>
    </w:rPr>
  </w:style>
  <w:style w:styleId="TOC4" w:type="paragraph">
    <w:name w:val="TOC 4"/>
    <w:basedOn w:val="Normal"/>
    <w:uiPriority w:val="1"/>
    <w:qFormat/>
    <w:pPr>
      <w:spacing w:before="37"/>
      <w:ind w:left="1319" w:hanging="661"/>
    </w:pPr>
    <w:rPr>
      <w:rFonts w:ascii="Calibri" w:hAnsi="Calibri" w:eastAsia="Calibri" w:cs="Calibri"/>
      <w:sz w:val="20"/>
      <w:szCs w:val="20"/>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35"/>
      <w:ind w:left="220"/>
      <w:outlineLvl w:val="1"/>
    </w:pPr>
    <w:rPr>
      <w:rFonts w:ascii="Calibri Light" w:hAnsi="Calibri Light" w:eastAsia="Calibri Light" w:cs="Calibri Light"/>
      <w:sz w:val="32"/>
      <w:szCs w:val="32"/>
      <w:lang w:val="en-US" w:eastAsia="en-US" w:bidi="ar-SA"/>
    </w:rPr>
  </w:style>
  <w:style w:styleId="Heading2" w:type="paragraph">
    <w:name w:val="Heading 2"/>
    <w:basedOn w:val="Normal"/>
    <w:uiPriority w:val="1"/>
    <w:qFormat/>
    <w:pPr>
      <w:ind w:left="940" w:hanging="721"/>
      <w:outlineLvl w:val="2"/>
    </w:pPr>
    <w:rPr>
      <w:rFonts w:ascii="Calibri Light" w:hAnsi="Calibri Light" w:eastAsia="Calibri Light" w:cs="Calibri Light"/>
      <w:sz w:val="28"/>
      <w:szCs w:val="28"/>
      <w:lang w:val="en-US" w:eastAsia="en-US" w:bidi="ar-SA"/>
    </w:rPr>
  </w:style>
  <w:style w:styleId="Heading3" w:type="paragraph">
    <w:name w:val="Heading 3"/>
    <w:basedOn w:val="Normal"/>
    <w:uiPriority w:val="1"/>
    <w:qFormat/>
    <w:pPr>
      <w:ind w:left="940" w:hanging="721"/>
      <w:outlineLvl w:val="3"/>
    </w:pPr>
    <w:rPr>
      <w:rFonts w:ascii="Calibri Light" w:hAnsi="Calibri Light" w:eastAsia="Calibri Light" w:cs="Calibri Light"/>
      <w:sz w:val="26"/>
      <w:szCs w:val="26"/>
      <w:lang w:val="en-US" w:eastAsia="en-US" w:bidi="ar-SA"/>
    </w:rPr>
  </w:style>
  <w:style w:styleId="Heading4" w:type="paragraph">
    <w:name w:val="Heading 4"/>
    <w:basedOn w:val="Normal"/>
    <w:uiPriority w:val="1"/>
    <w:qFormat/>
    <w:pPr>
      <w:ind w:left="220"/>
      <w:jc w:val="both"/>
      <w:outlineLvl w:val="4"/>
    </w:pPr>
    <w:rPr>
      <w:rFonts w:ascii="Calibri Light" w:hAnsi="Calibri Light" w:eastAsia="Calibri Light" w:cs="Calibri Light"/>
      <w:sz w:val="24"/>
      <w:szCs w:val="24"/>
      <w:lang w:val="en-US" w:eastAsia="en-US" w:bidi="ar-SA"/>
    </w:rPr>
  </w:style>
  <w:style w:styleId="Title" w:type="paragraph">
    <w:name w:val="Title"/>
    <w:basedOn w:val="Normal"/>
    <w:uiPriority w:val="1"/>
    <w:qFormat/>
    <w:pPr>
      <w:ind w:left="356" w:right="1393" w:hanging="3"/>
      <w:jc w:val="center"/>
    </w:pPr>
    <w:rPr>
      <w:rFonts w:ascii="Calibri Light" w:hAnsi="Calibri Light" w:eastAsia="Calibri Light" w:cs="Calibri Light"/>
      <w:sz w:val="56"/>
      <w:szCs w:val="56"/>
      <w:lang w:val="en-US" w:eastAsia="en-US" w:bidi="ar-SA"/>
    </w:rPr>
  </w:style>
  <w:style w:styleId="ListParagraph" w:type="paragraph">
    <w:name w:val="List Paragraph"/>
    <w:basedOn w:val="Normal"/>
    <w:uiPriority w:val="1"/>
    <w:qFormat/>
    <w:pPr>
      <w:ind w:left="940" w:hanging="361"/>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metis-analytics.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hyperlink" Target="http://www.mof.gov.sb/Libraries/2018_Budget_Books/2018_Volume_1.sflb.ashx"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www.solomontimes.com/news/government-terminates-179-scholarships/8895"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yperlink" Target="http://www.mof.gov.sb/Libraries/Budget_2019/2019_Recurrent_Budget.sflb.ashx"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s://read.oecd-ilibrary.org/development/oecd-development-co-operation-peer-reviews-australia-2018_9789264293366-en#page1" TargetMode="External"/><Relationship Id="rId24" Type="http://schemas.openxmlformats.org/officeDocument/2006/relationships/image" Target="media/image11.png"/><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header" Target="header4.xml"/><Relationship Id="rId28" Type="http://schemas.openxmlformats.org/officeDocument/2006/relationships/footer" Target="footer4.xml"/><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hyperlink" Target="http://www.solomontimes.com/news/government-terminates-179-" TargetMode="External"/><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Solomon Islands Education Sector Program 2: Independent assessment report</dc:title>
  <dcterms:created xsi:type="dcterms:W3CDTF">2023-03-19T23:23:46Z</dcterms:created>
  <dcterms:modified xsi:type="dcterms:W3CDTF">2023-03-19T23:23:46Z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LastSaved">
    <vt:filetime>2023-03-19T00:00:00Z</vt:filetime>
  </property>
</Properties>
</file>