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7A68FA" w14:textId="7B3138E2" w:rsidR="00394191" w:rsidRPr="00A52A71" w:rsidRDefault="00394191" w:rsidP="0050691A">
      <w:pPr>
        <w:pStyle w:val="Heading2"/>
        <w:shd w:val="clear" w:color="auto" w:fill="DEEAF6" w:themeFill="accent1" w:themeFillTint="33"/>
        <w:rPr>
          <w:b/>
          <w:sz w:val="28"/>
          <w:szCs w:val="24"/>
        </w:rPr>
      </w:pPr>
      <w:r w:rsidRPr="00A52A71">
        <w:rPr>
          <w:b/>
          <w:sz w:val="28"/>
          <w:szCs w:val="24"/>
        </w:rPr>
        <w:t>201</w:t>
      </w:r>
      <w:r w:rsidR="00471C64" w:rsidRPr="00A52A71">
        <w:rPr>
          <w:b/>
          <w:sz w:val="28"/>
          <w:szCs w:val="24"/>
        </w:rPr>
        <w:t>9</w:t>
      </w:r>
      <w:r w:rsidRPr="00A52A71">
        <w:rPr>
          <w:b/>
          <w:sz w:val="28"/>
          <w:szCs w:val="24"/>
        </w:rPr>
        <w:t xml:space="preserve"> Solomon Islands Education Sector </w:t>
      </w:r>
      <w:r w:rsidR="00D04F1E">
        <w:rPr>
          <w:b/>
          <w:sz w:val="28"/>
          <w:szCs w:val="24"/>
        </w:rPr>
        <w:t xml:space="preserve">Support </w:t>
      </w:r>
      <w:r w:rsidRPr="00A52A71">
        <w:rPr>
          <w:b/>
          <w:sz w:val="28"/>
          <w:szCs w:val="24"/>
        </w:rPr>
        <w:t xml:space="preserve">Program </w:t>
      </w:r>
      <w:r w:rsidR="00D04F1E">
        <w:rPr>
          <w:b/>
          <w:sz w:val="28"/>
          <w:szCs w:val="24"/>
        </w:rPr>
        <w:t xml:space="preserve">(ESSP) </w:t>
      </w:r>
      <w:r w:rsidRPr="00A52A71">
        <w:rPr>
          <w:b/>
          <w:sz w:val="28"/>
          <w:szCs w:val="24"/>
        </w:rPr>
        <w:t>Performance Linked A</w:t>
      </w:r>
      <w:r w:rsidR="00C709DF" w:rsidRPr="00A52A71">
        <w:rPr>
          <w:b/>
          <w:sz w:val="28"/>
          <w:szCs w:val="24"/>
        </w:rPr>
        <w:t>id Assessment</w:t>
      </w:r>
    </w:p>
    <w:p w14:paraId="0D1A3A3B" w14:textId="4A3CEF88" w:rsidR="00394191" w:rsidRPr="00A52A71" w:rsidRDefault="0050691A" w:rsidP="0050691A">
      <w:pPr>
        <w:pStyle w:val="Heading2"/>
        <w:shd w:val="clear" w:color="auto" w:fill="DEEAF6" w:themeFill="accent1" w:themeFillTint="33"/>
        <w:spacing w:after="240"/>
        <w:rPr>
          <w:b/>
          <w:sz w:val="28"/>
          <w:szCs w:val="24"/>
        </w:rPr>
      </w:pPr>
      <w:r>
        <w:rPr>
          <w:b/>
          <w:sz w:val="28"/>
          <w:szCs w:val="24"/>
        </w:rPr>
        <w:t>DFAT</w:t>
      </w:r>
      <w:r w:rsidR="00D62B26" w:rsidRPr="00A52A71">
        <w:rPr>
          <w:b/>
          <w:sz w:val="28"/>
          <w:szCs w:val="24"/>
        </w:rPr>
        <w:t xml:space="preserve"> </w:t>
      </w:r>
      <w:r w:rsidR="00394191" w:rsidRPr="00A52A71">
        <w:rPr>
          <w:b/>
          <w:sz w:val="28"/>
          <w:szCs w:val="24"/>
        </w:rPr>
        <w:t>Management Response</w:t>
      </w:r>
    </w:p>
    <w:tbl>
      <w:tblPr>
        <w:tblStyle w:val="GridTable4-Accent1"/>
        <w:tblpPr w:leftFromText="180" w:rightFromText="180" w:vertAnchor="text" w:tblpY="1"/>
        <w:tblW w:w="14839" w:type="dxa"/>
        <w:tblLook w:val="04A0" w:firstRow="1" w:lastRow="0" w:firstColumn="1" w:lastColumn="0" w:noHBand="0" w:noVBand="1"/>
        <w:tblCaption w:val="Individual management response to the recommendations."/>
        <w:tblDescription w:val="Recommendation: Recommendation 1 [repeat evaluation recommendation in full. 'Landscape' orientation could be used for this table.]&#10;Response: [Note: select one option from the column below, delete others]: To insert: Agree/ Agree in part/ Disagree.&#10;Explanation: To insert. [If Agreeing in part: clearly specifiy which aspect of the recommendation you partly agree with].&#10;Action plan: to insert.&#10;Timeframe: If practical, please specify timeframe here."/>
      </w:tblPr>
      <w:tblGrid>
        <w:gridCol w:w="5501"/>
        <w:gridCol w:w="1329"/>
        <w:gridCol w:w="4096"/>
        <w:gridCol w:w="3913"/>
      </w:tblGrid>
      <w:tr w:rsidR="00314FB1" w:rsidRPr="00A52A71" w14:paraId="0773FBA0" w14:textId="77777777" w:rsidTr="008B1C1A">
        <w:trPr>
          <w:cnfStyle w:val="100000000000" w:firstRow="1" w:lastRow="0" w:firstColumn="0" w:lastColumn="0" w:oddVBand="0" w:evenVBand="0" w:oddHBand="0" w:evenHBand="0" w:firstRowFirstColumn="0" w:firstRowLastColumn="0" w:lastRowFirstColumn="0" w:lastRowLastColumn="0"/>
          <w:trHeight w:val="418"/>
          <w:tblHeader/>
        </w:trPr>
        <w:tc>
          <w:tcPr>
            <w:cnfStyle w:val="001000000000" w:firstRow="0" w:lastRow="0" w:firstColumn="1" w:lastColumn="0" w:oddVBand="0" w:evenVBand="0" w:oddHBand="0" w:evenHBand="0" w:firstRowFirstColumn="0" w:firstRowLastColumn="0" w:lastRowFirstColumn="0" w:lastRowLastColumn="0"/>
            <w:tcW w:w="5501" w:type="dxa"/>
            <w:shd w:val="clear" w:color="auto" w:fill="2E74B5" w:themeFill="accent1" w:themeFillShade="BF"/>
            <w:hideMark/>
          </w:tcPr>
          <w:p w14:paraId="4238A321" w14:textId="77777777" w:rsidR="00314FB1" w:rsidRPr="00A52A71" w:rsidRDefault="00314FB1" w:rsidP="009E5421">
            <w:pPr>
              <w:pStyle w:val="Heading2"/>
              <w:jc w:val="center"/>
              <w:outlineLvl w:val="1"/>
              <w:rPr>
                <w:b w:val="0"/>
                <w:i/>
                <w:color w:val="FFFFFF" w:themeColor="background1"/>
                <w:sz w:val="24"/>
                <w:szCs w:val="24"/>
              </w:rPr>
            </w:pPr>
            <w:r w:rsidRPr="00A52A71">
              <w:rPr>
                <w:color w:val="FFFFFF" w:themeColor="background1"/>
                <w:sz w:val="24"/>
                <w:szCs w:val="24"/>
              </w:rPr>
              <w:t>Recommendation/ Statement</w:t>
            </w:r>
            <w:r w:rsidR="00D62B26" w:rsidRPr="00A52A71">
              <w:rPr>
                <w:color w:val="FFFFFF" w:themeColor="background1"/>
                <w:sz w:val="24"/>
                <w:szCs w:val="24"/>
              </w:rPr>
              <w:t xml:space="preserve"> from the PLA Report</w:t>
            </w:r>
          </w:p>
        </w:tc>
        <w:tc>
          <w:tcPr>
            <w:tcW w:w="1329" w:type="dxa"/>
            <w:shd w:val="clear" w:color="auto" w:fill="2E74B5" w:themeFill="accent1" w:themeFillShade="BF"/>
            <w:hideMark/>
          </w:tcPr>
          <w:p w14:paraId="11D6FD96" w14:textId="77777777" w:rsidR="00314FB1" w:rsidRPr="00A52A71" w:rsidRDefault="00314FB1" w:rsidP="009E5421">
            <w:pPr>
              <w:pStyle w:val="Heading2"/>
              <w:jc w:val="center"/>
              <w:outlineLvl w:val="1"/>
              <w:cnfStyle w:val="100000000000" w:firstRow="1" w:lastRow="0" w:firstColumn="0" w:lastColumn="0" w:oddVBand="0" w:evenVBand="0" w:oddHBand="0" w:evenHBand="0" w:firstRowFirstColumn="0" w:firstRowLastColumn="0" w:lastRowFirstColumn="0" w:lastRowLastColumn="0"/>
              <w:rPr>
                <w:b w:val="0"/>
                <w:i/>
                <w:color w:val="FFFFFF" w:themeColor="background1"/>
                <w:sz w:val="24"/>
                <w:szCs w:val="24"/>
              </w:rPr>
            </w:pPr>
            <w:r w:rsidRPr="00A52A71">
              <w:rPr>
                <w:color w:val="FFFFFF" w:themeColor="background1"/>
                <w:sz w:val="24"/>
                <w:szCs w:val="24"/>
              </w:rPr>
              <w:t>Response</w:t>
            </w:r>
          </w:p>
        </w:tc>
        <w:tc>
          <w:tcPr>
            <w:tcW w:w="4096" w:type="dxa"/>
            <w:shd w:val="clear" w:color="auto" w:fill="2E74B5" w:themeFill="accent1" w:themeFillShade="BF"/>
            <w:hideMark/>
          </w:tcPr>
          <w:p w14:paraId="7FCB19BD" w14:textId="77777777" w:rsidR="00314FB1" w:rsidRPr="00A52A71" w:rsidRDefault="00314FB1" w:rsidP="009E5421">
            <w:pPr>
              <w:pStyle w:val="Heading2"/>
              <w:jc w:val="center"/>
              <w:outlineLvl w:val="1"/>
              <w:cnfStyle w:val="100000000000" w:firstRow="1" w:lastRow="0" w:firstColumn="0" w:lastColumn="0" w:oddVBand="0" w:evenVBand="0" w:oddHBand="0" w:evenHBand="0" w:firstRowFirstColumn="0" w:firstRowLastColumn="0" w:lastRowFirstColumn="0" w:lastRowLastColumn="0"/>
              <w:rPr>
                <w:b w:val="0"/>
                <w:i/>
                <w:color w:val="FFFFFF" w:themeColor="background1"/>
                <w:sz w:val="24"/>
                <w:szCs w:val="24"/>
              </w:rPr>
            </w:pPr>
            <w:r w:rsidRPr="00A52A71">
              <w:rPr>
                <w:color w:val="FFFFFF" w:themeColor="background1"/>
                <w:sz w:val="24"/>
                <w:szCs w:val="24"/>
              </w:rPr>
              <w:t>Explanation</w:t>
            </w:r>
          </w:p>
        </w:tc>
        <w:tc>
          <w:tcPr>
            <w:tcW w:w="3913" w:type="dxa"/>
            <w:shd w:val="clear" w:color="auto" w:fill="2E74B5" w:themeFill="accent1" w:themeFillShade="BF"/>
            <w:hideMark/>
          </w:tcPr>
          <w:p w14:paraId="2DA754FB" w14:textId="77777777" w:rsidR="00314FB1" w:rsidRPr="00A52A71" w:rsidRDefault="00314FB1" w:rsidP="009E5421">
            <w:pPr>
              <w:pStyle w:val="Heading2"/>
              <w:jc w:val="center"/>
              <w:outlineLvl w:val="1"/>
              <w:cnfStyle w:val="100000000000" w:firstRow="1" w:lastRow="0" w:firstColumn="0" w:lastColumn="0" w:oddVBand="0" w:evenVBand="0" w:oddHBand="0" w:evenHBand="0" w:firstRowFirstColumn="0" w:firstRowLastColumn="0" w:lastRowFirstColumn="0" w:lastRowLastColumn="0"/>
              <w:rPr>
                <w:b w:val="0"/>
                <w:i/>
                <w:color w:val="FFFFFF" w:themeColor="background1"/>
                <w:sz w:val="24"/>
                <w:szCs w:val="24"/>
              </w:rPr>
            </w:pPr>
            <w:r w:rsidRPr="00A52A71">
              <w:rPr>
                <w:color w:val="FFFFFF" w:themeColor="background1"/>
                <w:sz w:val="24"/>
                <w:szCs w:val="24"/>
              </w:rPr>
              <w:t xml:space="preserve">Action </w:t>
            </w:r>
            <w:r w:rsidR="009E5421" w:rsidRPr="00A52A71">
              <w:rPr>
                <w:color w:val="FFFFFF" w:themeColor="background1"/>
                <w:sz w:val="24"/>
                <w:szCs w:val="24"/>
              </w:rPr>
              <w:t>P</w:t>
            </w:r>
            <w:r w:rsidRPr="00A52A71">
              <w:rPr>
                <w:color w:val="FFFFFF" w:themeColor="background1"/>
                <w:sz w:val="24"/>
                <w:szCs w:val="24"/>
              </w:rPr>
              <w:t>lan</w:t>
            </w:r>
          </w:p>
        </w:tc>
      </w:tr>
      <w:tr w:rsidR="009811D8" w:rsidRPr="009811D8" w14:paraId="12680649" w14:textId="77777777" w:rsidTr="00F6462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01" w:type="dxa"/>
          </w:tcPr>
          <w:p w14:paraId="0788E5D2" w14:textId="77777777" w:rsidR="00C46849" w:rsidRPr="00281E5E" w:rsidRDefault="00D749B1" w:rsidP="00471C64">
            <w:pPr>
              <w:pStyle w:val="Heading3"/>
              <w:spacing w:before="120" w:after="0" w:line="240" w:lineRule="auto"/>
              <w:contextualSpacing w:val="0"/>
              <w:outlineLvl w:val="2"/>
              <w:rPr>
                <w:rFonts w:asciiTheme="minorHAnsi" w:hAnsiTheme="minorHAnsi" w:cstheme="minorHAnsi"/>
                <w:b w:val="0"/>
                <w:color w:val="auto"/>
                <w:sz w:val="20"/>
                <w:szCs w:val="20"/>
                <w:u w:val="single"/>
              </w:rPr>
            </w:pPr>
            <w:r w:rsidRPr="00281E5E">
              <w:rPr>
                <w:rFonts w:asciiTheme="minorHAnsi" w:hAnsiTheme="minorHAnsi" w:cstheme="minorHAnsi"/>
                <w:color w:val="auto"/>
                <w:sz w:val="20"/>
                <w:szCs w:val="20"/>
                <w:u w:val="single"/>
              </w:rPr>
              <w:t>Recommendation 1</w:t>
            </w:r>
            <w:r w:rsidR="0056277F" w:rsidRPr="00281E5E">
              <w:rPr>
                <w:rFonts w:asciiTheme="minorHAnsi" w:hAnsiTheme="minorHAnsi" w:cstheme="minorHAnsi"/>
                <w:color w:val="auto"/>
                <w:sz w:val="20"/>
                <w:szCs w:val="20"/>
                <w:u w:val="single"/>
              </w:rPr>
              <w:t>:</w:t>
            </w:r>
            <w:r w:rsidR="007730F8" w:rsidRPr="00281E5E">
              <w:rPr>
                <w:rFonts w:asciiTheme="minorHAnsi" w:hAnsiTheme="minorHAnsi" w:cstheme="minorHAnsi"/>
                <w:color w:val="auto"/>
                <w:sz w:val="20"/>
                <w:szCs w:val="20"/>
                <w:u w:val="single"/>
              </w:rPr>
              <w:t xml:space="preserve"> Performance payment</w:t>
            </w:r>
          </w:p>
          <w:p w14:paraId="29E561B6" w14:textId="3B4EBB40" w:rsidR="0099143B" w:rsidRPr="00281E5E" w:rsidRDefault="00F13A29" w:rsidP="00F13A29">
            <w:pPr>
              <w:pStyle w:val="Heading3"/>
              <w:spacing w:before="120" w:line="240" w:lineRule="auto"/>
              <w:contextualSpacing w:val="0"/>
              <w:outlineLvl w:val="2"/>
              <w:rPr>
                <w:rFonts w:asciiTheme="minorHAnsi" w:hAnsiTheme="minorHAnsi" w:cstheme="minorHAnsi"/>
                <w:b w:val="0"/>
                <w:bCs/>
                <w:color w:val="auto"/>
                <w:sz w:val="20"/>
                <w:szCs w:val="20"/>
              </w:rPr>
            </w:pPr>
            <w:r w:rsidRPr="00281E5E">
              <w:rPr>
                <w:rFonts w:asciiTheme="minorHAnsi" w:hAnsiTheme="minorHAnsi" w:cstheme="minorHAnsi"/>
                <w:b w:val="0"/>
                <w:bCs/>
                <w:color w:val="auto"/>
                <w:sz w:val="20"/>
                <w:szCs w:val="20"/>
              </w:rPr>
              <w:t>The overall recommended Performance Linked</w:t>
            </w:r>
            <w:r w:rsidR="00066392" w:rsidRPr="00281E5E">
              <w:rPr>
                <w:rFonts w:asciiTheme="minorHAnsi" w:hAnsiTheme="minorHAnsi" w:cstheme="minorHAnsi"/>
                <w:b w:val="0"/>
                <w:bCs/>
                <w:color w:val="auto"/>
                <w:sz w:val="20"/>
                <w:szCs w:val="20"/>
              </w:rPr>
              <w:t xml:space="preserve"> Aid</w:t>
            </w:r>
            <w:r w:rsidR="000411D2">
              <w:rPr>
                <w:rFonts w:asciiTheme="minorHAnsi" w:hAnsiTheme="minorHAnsi" w:cstheme="minorHAnsi"/>
                <w:b w:val="0"/>
                <w:bCs/>
                <w:color w:val="auto"/>
                <w:sz w:val="20"/>
                <w:szCs w:val="20"/>
              </w:rPr>
              <w:t xml:space="preserve"> (PLA)</w:t>
            </w:r>
            <w:r w:rsidRPr="00281E5E">
              <w:rPr>
                <w:rFonts w:asciiTheme="minorHAnsi" w:hAnsiTheme="minorHAnsi" w:cstheme="minorHAnsi"/>
                <w:b w:val="0"/>
                <w:bCs/>
                <w:color w:val="auto"/>
                <w:sz w:val="20"/>
                <w:szCs w:val="20"/>
              </w:rPr>
              <w:t xml:space="preserve"> paym</w:t>
            </w:r>
            <w:r w:rsidR="0012104B" w:rsidRPr="00281E5E">
              <w:rPr>
                <w:rFonts w:asciiTheme="minorHAnsi" w:hAnsiTheme="minorHAnsi" w:cstheme="minorHAnsi"/>
                <w:b w:val="0"/>
                <w:bCs/>
                <w:color w:val="auto"/>
                <w:sz w:val="20"/>
                <w:szCs w:val="20"/>
              </w:rPr>
              <w:t>ent for 201</w:t>
            </w:r>
            <w:r w:rsidR="00471C64" w:rsidRPr="00281E5E">
              <w:rPr>
                <w:rFonts w:asciiTheme="minorHAnsi" w:hAnsiTheme="minorHAnsi" w:cstheme="minorHAnsi"/>
                <w:b w:val="0"/>
                <w:bCs/>
                <w:color w:val="auto"/>
                <w:sz w:val="20"/>
                <w:szCs w:val="20"/>
              </w:rPr>
              <w:t>9</w:t>
            </w:r>
            <w:r w:rsidR="0012104B" w:rsidRPr="00281E5E">
              <w:rPr>
                <w:rFonts w:asciiTheme="minorHAnsi" w:hAnsiTheme="minorHAnsi" w:cstheme="minorHAnsi"/>
                <w:b w:val="0"/>
                <w:bCs/>
                <w:color w:val="auto"/>
                <w:sz w:val="20"/>
                <w:szCs w:val="20"/>
              </w:rPr>
              <w:t xml:space="preserve"> is </w:t>
            </w:r>
            <w:r w:rsidR="00471C64" w:rsidRPr="00281E5E">
              <w:rPr>
                <w:rFonts w:asciiTheme="minorHAnsi" w:hAnsiTheme="minorHAnsi" w:cstheme="minorHAnsi"/>
                <w:b w:val="0"/>
                <w:bCs/>
                <w:color w:val="auto"/>
                <w:sz w:val="20"/>
                <w:szCs w:val="20"/>
              </w:rPr>
              <w:t>82.3</w:t>
            </w:r>
            <w:r w:rsidR="0012104B" w:rsidRPr="00281E5E">
              <w:rPr>
                <w:rFonts w:asciiTheme="minorHAnsi" w:hAnsiTheme="minorHAnsi" w:cstheme="minorHAnsi"/>
                <w:b w:val="0"/>
                <w:bCs/>
                <w:color w:val="auto"/>
                <w:sz w:val="20"/>
                <w:szCs w:val="20"/>
              </w:rPr>
              <w:t xml:space="preserve"> per cent</w:t>
            </w:r>
            <w:r w:rsidR="0099143B" w:rsidRPr="00281E5E">
              <w:rPr>
                <w:rFonts w:asciiTheme="minorHAnsi" w:hAnsiTheme="minorHAnsi" w:cstheme="minorHAnsi"/>
                <w:b w:val="0"/>
                <w:bCs/>
                <w:color w:val="auto"/>
                <w:sz w:val="20"/>
                <w:szCs w:val="20"/>
              </w:rPr>
              <w:t>.</w:t>
            </w:r>
          </w:p>
        </w:tc>
        <w:tc>
          <w:tcPr>
            <w:tcW w:w="1329" w:type="dxa"/>
            <w:hideMark/>
          </w:tcPr>
          <w:p w14:paraId="5FE25456" w14:textId="2C98EAEB" w:rsidR="0099143B" w:rsidRPr="00B13576" w:rsidRDefault="00A21D2C" w:rsidP="00FE7C98">
            <w:pPr>
              <w:pStyle w:val="Heading3"/>
              <w:spacing w:before="120" w:line="240" w:lineRule="auto"/>
              <w:contextualSpacing w:val="0"/>
              <w:outlineLvl w:val="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szCs w:val="20"/>
              </w:rPr>
            </w:pPr>
            <w:r w:rsidRPr="00B13576">
              <w:rPr>
                <w:rFonts w:asciiTheme="minorHAnsi" w:hAnsiTheme="minorHAnsi" w:cstheme="minorHAnsi"/>
                <w:color w:val="000000" w:themeColor="text1"/>
                <w:sz w:val="20"/>
                <w:szCs w:val="20"/>
              </w:rPr>
              <w:t>Agree</w:t>
            </w:r>
          </w:p>
          <w:p w14:paraId="08CA638D" w14:textId="2A613B10" w:rsidR="00EF3889" w:rsidRPr="00A21D2C" w:rsidRDefault="00EF3889" w:rsidP="00EF3889">
            <w:pPr>
              <w:cnfStyle w:val="000000100000" w:firstRow="0" w:lastRow="0" w:firstColumn="0" w:lastColumn="0" w:oddVBand="0" w:evenVBand="0" w:oddHBand="1" w:evenHBand="0" w:firstRowFirstColumn="0" w:firstRowLastColumn="0" w:lastRowFirstColumn="0" w:lastRowLastColumn="0"/>
              <w:rPr>
                <w:rFonts w:cstheme="minorHAnsi"/>
                <w:color w:val="FF0000"/>
                <w:sz w:val="20"/>
                <w:szCs w:val="20"/>
                <w:lang w:val="en-AU"/>
              </w:rPr>
            </w:pPr>
          </w:p>
        </w:tc>
        <w:tc>
          <w:tcPr>
            <w:tcW w:w="4096" w:type="dxa"/>
          </w:tcPr>
          <w:p w14:paraId="5759D8CF" w14:textId="71C5D5F3" w:rsidR="0099143B" w:rsidRPr="00A21D2C" w:rsidRDefault="00F73EEA" w:rsidP="00E21AC4">
            <w:pPr>
              <w:pStyle w:val="BodyText"/>
              <w:spacing w:after="120" w:line="240" w:lineRule="auto"/>
              <w:cnfStyle w:val="000000100000" w:firstRow="0" w:lastRow="0" w:firstColumn="0" w:lastColumn="0" w:oddVBand="0" w:evenVBand="0" w:oddHBand="1" w:evenHBand="0" w:firstRowFirstColumn="0" w:firstRowLastColumn="0" w:lastRowFirstColumn="0" w:lastRowLastColumn="0"/>
              <w:rPr>
                <w:rFonts w:cstheme="minorHAnsi"/>
                <w:color w:val="FF0000"/>
                <w:sz w:val="20"/>
                <w:szCs w:val="20"/>
              </w:rPr>
            </w:pPr>
            <w:r w:rsidRPr="00B13576">
              <w:rPr>
                <w:rFonts w:cstheme="minorHAnsi"/>
                <w:color w:val="000000" w:themeColor="text1"/>
                <w:sz w:val="20"/>
                <w:szCs w:val="20"/>
              </w:rPr>
              <w:t>DFAT</w:t>
            </w:r>
            <w:r w:rsidR="000411D2">
              <w:rPr>
                <w:rFonts w:cstheme="minorHAnsi"/>
                <w:color w:val="000000" w:themeColor="text1"/>
                <w:sz w:val="20"/>
                <w:szCs w:val="20"/>
              </w:rPr>
              <w:t xml:space="preserve"> and Solomon Islands Ministry of Education and Human Resources Development (MEHRD)</w:t>
            </w:r>
            <w:r w:rsidRPr="00B13576">
              <w:rPr>
                <w:rFonts w:cstheme="minorHAnsi"/>
                <w:color w:val="000000" w:themeColor="text1"/>
                <w:sz w:val="20"/>
                <w:szCs w:val="20"/>
              </w:rPr>
              <w:t xml:space="preserve"> agree with the assessor’s findings for all targets</w:t>
            </w:r>
            <w:r w:rsidR="00A21D2C" w:rsidRPr="00B13576">
              <w:rPr>
                <w:rFonts w:cstheme="minorHAnsi"/>
                <w:color w:val="000000" w:themeColor="text1"/>
                <w:sz w:val="20"/>
                <w:szCs w:val="20"/>
              </w:rPr>
              <w:t>.</w:t>
            </w:r>
            <w:r w:rsidR="009852FA" w:rsidRPr="00B13576">
              <w:rPr>
                <w:rFonts w:cstheme="minorHAnsi"/>
                <w:color w:val="000000" w:themeColor="text1"/>
                <w:sz w:val="20"/>
                <w:szCs w:val="20"/>
              </w:rPr>
              <w:t xml:space="preserve"> </w:t>
            </w:r>
          </w:p>
        </w:tc>
        <w:tc>
          <w:tcPr>
            <w:tcW w:w="3913" w:type="dxa"/>
          </w:tcPr>
          <w:p w14:paraId="2CDF6D12" w14:textId="589053FB" w:rsidR="00885FBA" w:rsidRPr="00281E5E" w:rsidRDefault="00885FBA" w:rsidP="000411D2">
            <w:pPr>
              <w:pStyle w:val="BodyText"/>
              <w:spacing w:after="120" w:line="240" w:lineRule="auto"/>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r w:rsidRPr="00281E5E">
              <w:rPr>
                <w:rFonts w:cstheme="minorHAnsi"/>
                <w:color w:val="000000" w:themeColor="text1"/>
                <w:sz w:val="20"/>
                <w:szCs w:val="20"/>
              </w:rPr>
              <w:t xml:space="preserve">DFAT </w:t>
            </w:r>
            <w:r w:rsidR="0068367B">
              <w:rPr>
                <w:rFonts w:cstheme="minorHAnsi"/>
                <w:color w:val="000000" w:themeColor="text1"/>
                <w:sz w:val="20"/>
                <w:szCs w:val="20"/>
              </w:rPr>
              <w:t xml:space="preserve">will </w:t>
            </w:r>
            <w:r w:rsidR="000411D2">
              <w:rPr>
                <w:rFonts w:cstheme="minorHAnsi"/>
                <w:color w:val="000000" w:themeColor="text1"/>
                <w:sz w:val="20"/>
                <w:szCs w:val="20"/>
              </w:rPr>
              <w:t>ma</w:t>
            </w:r>
            <w:r w:rsidR="0068367B">
              <w:rPr>
                <w:rFonts w:cstheme="minorHAnsi"/>
                <w:color w:val="000000" w:themeColor="text1"/>
                <w:sz w:val="20"/>
                <w:szCs w:val="20"/>
              </w:rPr>
              <w:t>ke</w:t>
            </w:r>
            <w:r w:rsidRPr="00281E5E">
              <w:rPr>
                <w:rFonts w:cstheme="minorHAnsi"/>
                <w:color w:val="000000" w:themeColor="text1"/>
                <w:sz w:val="20"/>
                <w:szCs w:val="20"/>
              </w:rPr>
              <w:t xml:space="preserve"> this payment in </w:t>
            </w:r>
            <w:r w:rsidR="0068367B">
              <w:rPr>
                <w:rFonts w:cstheme="minorHAnsi"/>
                <w:color w:val="000000" w:themeColor="text1"/>
                <w:sz w:val="20"/>
                <w:szCs w:val="20"/>
              </w:rPr>
              <w:t xml:space="preserve">early </w:t>
            </w:r>
            <w:r w:rsidRPr="00281E5E">
              <w:rPr>
                <w:rFonts w:cstheme="minorHAnsi"/>
                <w:color w:val="000000" w:themeColor="text1"/>
                <w:sz w:val="20"/>
                <w:szCs w:val="20"/>
              </w:rPr>
              <w:t>2021</w:t>
            </w:r>
            <w:r w:rsidR="000411D2">
              <w:rPr>
                <w:rFonts w:cstheme="minorHAnsi"/>
                <w:color w:val="000000" w:themeColor="text1"/>
                <w:sz w:val="20"/>
                <w:szCs w:val="20"/>
              </w:rPr>
              <w:t>,</w:t>
            </w:r>
            <w:r w:rsidRPr="00281E5E">
              <w:rPr>
                <w:rFonts w:cstheme="minorHAnsi"/>
                <w:color w:val="000000" w:themeColor="text1"/>
                <w:sz w:val="20"/>
                <w:szCs w:val="20"/>
              </w:rPr>
              <w:t xml:space="preserve"> under the Direct Funding Agreement between DFAT and S</w:t>
            </w:r>
            <w:r w:rsidR="000411D2">
              <w:rPr>
                <w:rFonts w:cstheme="minorHAnsi"/>
                <w:color w:val="000000" w:themeColor="text1"/>
                <w:sz w:val="20"/>
                <w:szCs w:val="20"/>
              </w:rPr>
              <w:t>olomon Islands Government</w:t>
            </w:r>
            <w:r w:rsidRPr="00281E5E">
              <w:rPr>
                <w:rFonts w:cstheme="minorHAnsi"/>
                <w:color w:val="000000" w:themeColor="text1"/>
                <w:sz w:val="20"/>
                <w:szCs w:val="20"/>
              </w:rPr>
              <w:t xml:space="preserve">.  </w:t>
            </w:r>
          </w:p>
        </w:tc>
      </w:tr>
      <w:tr w:rsidR="00066392" w:rsidRPr="009811D8" w14:paraId="76581A6A" w14:textId="77777777" w:rsidTr="00F6462E">
        <w:trPr>
          <w:cantSplit/>
        </w:trPr>
        <w:tc>
          <w:tcPr>
            <w:cnfStyle w:val="001000000000" w:firstRow="0" w:lastRow="0" w:firstColumn="1" w:lastColumn="0" w:oddVBand="0" w:evenVBand="0" w:oddHBand="0" w:evenHBand="0" w:firstRowFirstColumn="0" w:firstRowLastColumn="0" w:lastRowFirstColumn="0" w:lastRowLastColumn="0"/>
            <w:tcW w:w="5501" w:type="dxa"/>
          </w:tcPr>
          <w:p w14:paraId="50270A95" w14:textId="3F0198D9" w:rsidR="00066392" w:rsidRPr="00281E5E" w:rsidRDefault="005D7F7E" w:rsidP="00471C64">
            <w:pPr>
              <w:pStyle w:val="Heading3"/>
              <w:spacing w:before="120" w:after="0" w:line="240" w:lineRule="auto"/>
              <w:contextualSpacing w:val="0"/>
              <w:outlineLvl w:val="2"/>
              <w:rPr>
                <w:rFonts w:asciiTheme="minorHAnsi" w:hAnsiTheme="minorHAnsi" w:cstheme="minorHAnsi"/>
                <w:b w:val="0"/>
                <w:bCs/>
                <w:color w:val="auto"/>
                <w:sz w:val="20"/>
                <w:szCs w:val="20"/>
                <w:u w:val="single"/>
              </w:rPr>
            </w:pPr>
            <w:r w:rsidRPr="00281E5E">
              <w:rPr>
                <w:rFonts w:asciiTheme="minorHAnsi" w:hAnsiTheme="minorHAnsi" w:cstheme="minorHAnsi"/>
                <w:color w:val="auto"/>
                <w:sz w:val="20"/>
                <w:szCs w:val="20"/>
                <w:u w:val="single"/>
              </w:rPr>
              <w:t xml:space="preserve">Suggestion 1:  </w:t>
            </w:r>
            <w:r w:rsidR="00066392" w:rsidRPr="00281E5E">
              <w:rPr>
                <w:rFonts w:asciiTheme="minorHAnsi" w:hAnsiTheme="minorHAnsi" w:cstheme="minorHAnsi"/>
                <w:color w:val="auto"/>
                <w:sz w:val="20"/>
                <w:szCs w:val="20"/>
                <w:u w:val="single"/>
              </w:rPr>
              <w:t>Future Performance Indicators</w:t>
            </w:r>
          </w:p>
          <w:p w14:paraId="702EF929" w14:textId="4D1BE5C1" w:rsidR="00066392" w:rsidRPr="00281E5E" w:rsidRDefault="00BC7DEB" w:rsidP="00066392">
            <w:pPr>
              <w:rPr>
                <w:rFonts w:eastAsiaTheme="majorEastAsia" w:cstheme="minorHAnsi"/>
                <w:b w:val="0"/>
                <w:color w:val="000000" w:themeColor="text1"/>
                <w:sz w:val="20"/>
                <w:szCs w:val="20"/>
                <w:lang w:val="en-AU"/>
              </w:rPr>
            </w:pPr>
            <w:r w:rsidRPr="00281E5E">
              <w:rPr>
                <w:rFonts w:eastAsiaTheme="majorEastAsia" w:cstheme="minorHAnsi"/>
                <w:b w:val="0"/>
                <w:color w:val="000000" w:themeColor="text1"/>
                <w:sz w:val="20"/>
                <w:szCs w:val="20"/>
                <w:lang w:val="en-AU"/>
              </w:rPr>
              <w:t xml:space="preserve">The report makes </w:t>
            </w:r>
            <w:proofErr w:type="gramStart"/>
            <w:r w:rsidRPr="00281E5E">
              <w:rPr>
                <w:rFonts w:eastAsiaTheme="majorEastAsia" w:cstheme="minorHAnsi"/>
                <w:b w:val="0"/>
                <w:color w:val="000000" w:themeColor="text1"/>
                <w:sz w:val="20"/>
                <w:szCs w:val="20"/>
                <w:lang w:val="en-AU"/>
              </w:rPr>
              <w:t>a number of</w:t>
            </w:r>
            <w:proofErr w:type="gramEnd"/>
            <w:r w:rsidRPr="00281E5E">
              <w:rPr>
                <w:rFonts w:eastAsiaTheme="majorEastAsia" w:cstheme="minorHAnsi"/>
                <w:b w:val="0"/>
                <w:color w:val="000000" w:themeColor="text1"/>
                <w:sz w:val="20"/>
                <w:szCs w:val="20"/>
                <w:lang w:val="en-AU"/>
              </w:rPr>
              <w:t xml:space="preserve"> suggestions to inform the development </w:t>
            </w:r>
            <w:r w:rsidR="002765D7" w:rsidRPr="00281E5E">
              <w:rPr>
                <w:rFonts w:eastAsiaTheme="majorEastAsia" w:cstheme="minorHAnsi"/>
                <w:b w:val="0"/>
                <w:color w:val="000000" w:themeColor="text1"/>
                <w:sz w:val="20"/>
                <w:szCs w:val="20"/>
                <w:lang w:val="en-AU"/>
              </w:rPr>
              <w:t xml:space="preserve">of </w:t>
            </w:r>
            <w:r w:rsidRPr="00281E5E">
              <w:rPr>
                <w:rFonts w:eastAsiaTheme="majorEastAsia" w:cstheme="minorHAnsi"/>
                <w:b w:val="0"/>
                <w:color w:val="000000" w:themeColor="text1"/>
                <w:sz w:val="20"/>
                <w:szCs w:val="20"/>
                <w:lang w:val="en-AU"/>
              </w:rPr>
              <w:t>indicators and targets for 2020 and beyond:</w:t>
            </w:r>
          </w:p>
          <w:p w14:paraId="23FEA093" w14:textId="77777777" w:rsidR="00BC7DEB" w:rsidRPr="00281E5E" w:rsidRDefault="00BC7DEB" w:rsidP="002F3862">
            <w:pPr>
              <w:pStyle w:val="ListParagraph"/>
              <w:numPr>
                <w:ilvl w:val="0"/>
                <w:numId w:val="10"/>
              </w:numPr>
              <w:rPr>
                <w:rFonts w:eastAsiaTheme="majorEastAsia" w:cstheme="minorHAnsi"/>
                <w:b w:val="0"/>
                <w:bCs w:val="0"/>
                <w:color w:val="000000" w:themeColor="text1"/>
                <w:sz w:val="20"/>
                <w:szCs w:val="20"/>
              </w:rPr>
            </w:pPr>
            <w:r w:rsidRPr="00281E5E">
              <w:rPr>
                <w:rFonts w:eastAsiaTheme="majorEastAsia" w:cstheme="minorHAnsi"/>
                <w:b w:val="0"/>
                <w:bCs w:val="0"/>
                <w:color w:val="000000" w:themeColor="text1"/>
                <w:sz w:val="20"/>
                <w:szCs w:val="20"/>
              </w:rPr>
              <w:t>Develop a mix of strategically critical long-term indicators and shorter-term annual indicators</w:t>
            </w:r>
          </w:p>
          <w:p w14:paraId="41D84981" w14:textId="583C6185" w:rsidR="00BC7DEB" w:rsidRPr="00281E5E" w:rsidRDefault="00BC7DEB" w:rsidP="002F3862">
            <w:pPr>
              <w:pStyle w:val="ListParagraph"/>
              <w:numPr>
                <w:ilvl w:val="0"/>
                <w:numId w:val="10"/>
              </w:numPr>
              <w:rPr>
                <w:rFonts w:eastAsiaTheme="majorEastAsia" w:cstheme="minorHAnsi"/>
                <w:b w:val="0"/>
                <w:bCs w:val="0"/>
                <w:color w:val="000000" w:themeColor="text1"/>
                <w:sz w:val="20"/>
                <w:szCs w:val="20"/>
              </w:rPr>
            </w:pPr>
            <w:r w:rsidRPr="00281E5E">
              <w:rPr>
                <w:rFonts w:eastAsiaTheme="majorEastAsia" w:cstheme="minorHAnsi"/>
                <w:b w:val="0"/>
                <w:bCs w:val="0"/>
                <w:color w:val="000000" w:themeColor="text1"/>
                <w:sz w:val="20"/>
                <w:szCs w:val="20"/>
              </w:rPr>
              <w:t>Develop interdependent indicators sequenced over time to achieve a target</w:t>
            </w:r>
          </w:p>
          <w:p w14:paraId="1F760289" w14:textId="08E5193E" w:rsidR="002F3862" w:rsidRPr="00281E5E" w:rsidRDefault="002F3862" w:rsidP="002F3862">
            <w:pPr>
              <w:pStyle w:val="ListParagraph"/>
              <w:numPr>
                <w:ilvl w:val="0"/>
                <w:numId w:val="10"/>
              </w:numPr>
              <w:rPr>
                <w:rFonts w:eastAsiaTheme="majorEastAsia" w:cstheme="minorHAnsi"/>
                <w:b w:val="0"/>
                <w:bCs w:val="0"/>
                <w:color w:val="000000" w:themeColor="text1"/>
                <w:sz w:val="20"/>
                <w:szCs w:val="20"/>
              </w:rPr>
            </w:pPr>
            <w:r w:rsidRPr="00281E5E">
              <w:rPr>
                <w:rFonts w:eastAsiaTheme="majorEastAsia" w:cstheme="minorHAnsi"/>
                <w:b w:val="0"/>
                <w:bCs w:val="0"/>
                <w:color w:val="000000" w:themeColor="text1"/>
                <w:sz w:val="20"/>
                <w:szCs w:val="20"/>
              </w:rPr>
              <w:t>Set targets in advance and/or for multiple years</w:t>
            </w:r>
          </w:p>
          <w:p w14:paraId="19289CDD" w14:textId="3CAC9692" w:rsidR="002765D7" w:rsidRPr="00281E5E" w:rsidRDefault="002765D7" w:rsidP="002F3862">
            <w:pPr>
              <w:pStyle w:val="ListParagraph"/>
              <w:numPr>
                <w:ilvl w:val="0"/>
                <w:numId w:val="10"/>
              </w:numPr>
              <w:rPr>
                <w:rFonts w:eastAsiaTheme="majorEastAsia" w:cstheme="minorHAnsi"/>
                <w:b w:val="0"/>
                <w:bCs w:val="0"/>
                <w:color w:val="000000" w:themeColor="text1"/>
                <w:sz w:val="20"/>
                <w:szCs w:val="20"/>
              </w:rPr>
            </w:pPr>
            <w:r w:rsidRPr="00281E5E">
              <w:rPr>
                <w:rFonts w:eastAsiaTheme="majorEastAsia" w:cstheme="minorHAnsi"/>
                <w:b w:val="0"/>
                <w:bCs w:val="0"/>
                <w:color w:val="000000" w:themeColor="text1"/>
                <w:sz w:val="20"/>
                <w:szCs w:val="20"/>
              </w:rPr>
              <w:t>Consider partnership, coordination, communication indic</w:t>
            </w:r>
            <w:r w:rsidR="004A1F02" w:rsidRPr="00281E5E">
              <w:rPr>
                <w:rFonts w:eastAsiaTheme="majorEastAsia" w:cstheme="minorHAnsi"/>
                <w:b w:val="0"/>
                <w:bCs w:val="0"/>
                <w:color w:val="000000" w:themeColor="text1"/>
                <w:sz w:val="20"/>
                <w:szCs w:val="20"/>
              </w:rPr>
              <w:t>a</w:t>
            </w:r>
            <w:r w:rsidRPr="00281E5E">
              <w:rPr>
                <w:rFonts w:eastAsiaTheme="majorEastAsia" w:cstheme="minorHAnsi"/>
                <w:b w:val="0"/>
                <w:bCs w:val="0"/>
                <w:color w:val="000000" w:themeColor="text1"/>
                <w:sz w:val="20"/>
                <w:szCs w:val="20"/>
              </w:rPr>
              <w:t xml:space="preserve">tors </w:t>
            </w:r>
          </w:p>
          <w:p w14:paraId="5155E61E" w14:textId="0AE1F2B4" w:rsidR="002F3862" w:rsidRPr="00281E5E" w:rsidRDefault="002F3862" w:rsidP="002F3862">
            <w:pPr>
              <w:pStyle w:val="ListParagraph"/>
              <w:numPr>
                <w:ilvl w:val="0"/>
                <w:numId w:val="10"/>
              </w:numPr>
              <w:rPr>
                <w:rFonts w:eastAsiaTheme="majorEastAsia" w:cstheme="minorHAnsi"/>
                <w:b w:val="0"/>
                <w:bCs w:val="0"/>
                <w:color w:val="000000" w:themeColor="text1"/>
                <w:sz w:val="20"/>
                <w:szCs w:val="20"/>
              </w:rPr>
            </w:pPr>
            <w:r w:rsidRPr="00281E5E">
              <w:rPr>
                <w:rFonts w:eastAsiaTheme="majorEastAsia" w:cstheme="minorHAnsi"/>
                <w:b w:val="0"/>
                <w:bCs w:val="0"/>
                <w:color w:val="000000" w:themeColor="text1"/>
                <w:sz w:val="20"/>
                <w:szCs w:val="20"/>
              </w:rPr>
              <w:t>Specific to the COVID context</w:t>
            </w:r>
          </w:p>
          <w:p w14:paraId="09F557D0" w14:textId="315602E2" w:rsidR="00BC7DEB" w:rsidRPr="00281E5E" w:rsidRDefault="00BC7DEB" w:rsidP="002765D7">
            <w:pPr>
              <w:pStyle w:val="ListParagraph"/>
              <w:numPr>
                <w:ilvl w:val="1"/>
                <w:numId w:val="11"/>
              </w:numPr>
              <w:ind w:left="738" w:hanging="284"/>
              <w:rPr>
                <w:rFonts w:eastAsiaTheme="majorEastAsia" w:cstheme="minorHAnsi"/>
                <w:b w:val="0"/>
                <w:bCs w:val="0"/>
                <w:color w:val="000000" w:themeColor="text1"/>
                <w:sz w:val="20"/>
                <w:szCs w:val="20"/>
              </w:rPr>
            </w:pPr>
            <w:r w:rsidRPr="00281E5E">
              <w:rPr>
                <w:rFonts w:eastAsiaTheme="majorEastAsia" w:cstheme="minorHAnsi"/>
                <w:b w:val="0"/>
                <w:bCs w:val="0"/>
                <w:color w:val="000000" w:themeColor="text1"/>
                <w:sz w:val="20"/>
                <w:szCs w:val="20"/>
              </w:rPr>
              <w:t>Recognise and respon</w:t>
            </w:r>
            <w:r w:rsidR="002765D7" w:rsidRPr="00281E5E">
              <w:rPr>
                <w:rFonts w:eastAsiaTheme="majorEastAsia" w:cstheme="minorHAnsi"/>
                <w:b w:val="0"/>
                <w:bCs w:val="0"/>
                <w:color w:val="000000" w:themeColor="text1"/>
                <w:sz w:val="20"/>
                <w:szCs w:val="20"/>
              </w:rPr>
              <w:t xml:space="preserve">d </w:t>
            </w:r>
            <w:r w:rsidRPr="00281E5E">
              <w:rPr>
                <w:rFonts w:eastAsiaTheme="majorEastAsia" w:cstheme="minorHAnsi"/>
                <w:b w:val="0"/>
                <w:bCs w:val="0"/>
                <w:color w:val="000000" w:themeColor="text1"/>
                <w:sz w:val="20"/>
                <w:szCs w:val="20"/>
              </w:rPr>
              <w:t xml:space="preserve">realistically within the current </w:t>
            </w:r>
            <w:r w:rsidR="00281E5E">
              <w:rPr>
                <w:rFonts w:eastAsiaTheme="majorEastAsia" w:cstheme="minorHAnsi"/>
                <w:b w:val="0"/>
                <w:bCs w:val="0"/>
                <w:color w:val="000000" w:themeColor="text1"/>
                <w:sz w:val="20"/>
                <w:szCs w:val="20"/>
              </w:rPr>
              <w:t xml:space="preserve">COVID </w:t>
            </w:r>
            <w:r w:rsidRPr="00281E5E">
              <w:rPr>
                <w:rFonts w:eastAsiaTheme="majorEastAsia" w:cstheme="minorHAnsi"/>
                <w:b w:val="0"/>
                <w:bCs w:val="0"/>
                <w:color w:val="000000" w:themeColor="text1"/>
                <w:sz w:val="20"/>
                <w:szCs w:val="20"/>
              </w:rPr>
              <w:t xml:space="preserve">context </w:t>
            </w:r>
          </w:p>
          <w:p w14:paraId="19732F34" w14:textId="7066D6B9" w:rsidR="00BC7DEB" w:rsidRPr="00281E5E" w:rsidRDefault="00BC7DEB" w:rsidP="002765D7">
            <w:pPr>
              <w:pStyle w:val="ListParagraph"/>
              <w:numPr>
                <w:ilvl w:val="1"/>
                <w:numId w:val="11"/>
              </w:numPr>
              <w:ind w:left="738" w:hanging="284"/>
              <w:rPr>
                <w:rFonts w:eastAsiaTheme="majorEastAsia" w:cstheme="minorHAnsi"/>
                <w:b w:val="0"/>
                <w:bCs w:val="0"/>
                <w:color w:val="000000" w:themeColor="text1"/>
                <w:sz w:val="20"/>
                <w:szCs w:val="20"/>
              </w:rPr>
            </w:pPr>
            <w:r w:rsidRPr="00281E5E">
              <w:rPr>
                <w:rFonts w:eastAsiaTheme="majorEastAsia" w:cstheme="minorHAnsi"/>
                <w:b w:val="0"/>
                <w:bCs w:val="0"/>
                <w:color w:val="000000" w:themeColor="text1"/>
                <w:sz w:val="20"/>
                <w:szCs w:val="20"/>
              </w:rPr>
              <w:t xml:space="preserve">Use MEHRD’s COVID-19 Response Plan </w:t>
            </w:r>
            <w:r w:rsidR="002765D7" w:rsidRPr="00281E5E">
              <w:rPr>
                <w:rFonts w:eastAsiaTheme="majorEastAsia" w:cstheme="minorHAnsi"/>
                <w:b w:val="0"/>
                <w:bCs w:val="0"/>
                <w:color w:val="000000" w:themeColor="text1"/>
                <w:sz w:val="20"/>
                <w:szCs w:val="20"/>
              </w:rPr>
              <w:t>and</w:t>
            </w:r>
            <w:r w:rsidR="002F3862" w:rsidRPr="00281E5E">
              <w:rPr>
                <w:rFonts w:eastAsiaTheme="majorEastAsia" w:cstheme="minorHAnsi"/>
                <w:b w:val="0"/>
                <w:bCs w:val="0"/>
                <w:color w:val="000000" w:themeColor="text1"/>
                <w:sz w:val="20"/>
                <w:szCs w:val="20"/>
              </w:rPr>
              <w:t xml:space="preserve"> revised A</w:t>
            </w:r>
            <w:r w:rsidR="00281E5E">
              <w:rPr>
                <w:rFonts w:eastAsiaTheme="majorEastAsia" w:cstheme="minorHAnsi"/>
                <w:b w:val="0"/>
                <w:bCs w:val="0"/>
                <w:color w:val="000000" w:themeColor="text1"/>
                <w:sz w:val="20"/>
                <w:szCs w:val="20"/>
              </w:rPr>
              <w:t xml:space="preserve">nnual Work Plan </w:t>
            </w:r>
            <w:r w:rsidRPr="00281E5E">
              <w:rPr>
                <w:rFonts w:eastAsiaTheme="majorEastAsia" w:cstheme="minorHAnsi"/>
                <w:b w:val="0"/>
                <w:bCs w:val="0"/>
                <w:color w:val="000000" w:themeColor="text1"/>
                <w:sz w:val="20"/>
                <w:szCs w:val="20"/>
              </w:rPr>
              <w:t>to set targets</w:t>
            </w:r>
            <w:r w:rsidR="002765D7" w:rsidRPr="00281E5E">
              <w:rPr>
                <w:rFonts w:eastAsiaTheme="majorEastAsia" w:cstheme="minorHAnsi"/>
                <w:b w:val="0"/>
                <w:bCs w:val="0"/>
                <w:color w:val="000000" w:themeColor="text1"/>
                <w:sz w:val="20"/>
                <w:szCs w:val="20"/>
              </w:rPr>
              <w:t xml:space="preserve"> (including for WASH and learning continuity activities)</w:t>
            </w:r>
          </w:p>
          <w:p w14:paraId="35C7F08E" w14:textId="4DF4D180" w:rsidR="00BC7DEB" w:rsidRPr="00281E5E" w:rsidRDefault="00842942" w:rsidP="002765D7">
            <w:pPr>
              <w:pStyle w:val="ListParagraph"/>
              <w:numPr>
                <w:ilvl w:val="0"/>
                <w:numId w:val="10"/>
              </w:numPr>
              <w:rPr>
                <w:rFonts w:eastAsiaTheme="majorEastAsia" w:cstheme="minorHAnsi"/>
                <w:b w:val="0"/>
                <w:bCs w:val="0"/>
                <w:color w:val="000000" w:themeColor="text1"/>
                <w:sz w:val="20"/>
                <w:szCs w:val="20"/>
              </w:rPr>
            </w:pPr>
            <w:r>
              <w:rPr>
                <w:rFonts w:eastAsiaTheme="majorEastAsia" w:cstheme="minorHAnsi"/>
                <w:b w:val="0"/>
                <w:bCs w:val="0"/>
                <w:color w:val="000000" w:themeColor="text1"/>
                <w:sz w:val="20"/>
                <w:szCs w:val="20"/>
              </w:rPr>
              <w:t>Consider developing indicators focused on</w:t>
            </w:r>
            <w:r w:rsidR="002F3862" w:rsidRPr="00281E5E">
              <w:rPr>
                <w:rFonts w:eastAsiaTheme="majorEastAsia" w:cstheme="minorHAnsi"/>
                <w:b w:val="0"/>
                <w:bCs w:val="0"/>
                <w:color w:val="000000" w:themeColor="text1"/>
                <w:sz w:val="20"/>
                <w:szCs w:val="20"/>
              </w:rPr>
              <w:t xml:space="preserve"> Education Authorities’ Improvement Plans</w:t>
            </w:r>
          </w:p>
        </w:tc>
        <w:tc>
          <w:tcPr>
            <w:tcW w:w="1329" w:type="dxa"/>
          </w:tcPr>
          <w:p w14:paraId="52643F84" w14:textId="30FBA847" w:rsidR="00066392" w:rsidRPr="00281E5E" w:rsidRDefault="00B6559C" w:rsidP="00471C64">
            <w:pPr>
              <w:pStyle w:val="Heading3"/>
              <w:spacing w:before="120" w:line="240" w:lineRule="auto"/>
              <w:contextualSpacing w:val="0"/>
              <w:outlineLvl w:val="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FF0000"/>
                <w:sz w:val="20"/>
                <w:szCs w:val="20"/>
              </w:rPr>
            </w:pPr>
            <w:r w:rsidRPr="00281E5E">
              <w:rPr>
                <w:rFonts w:asciiTheme="minorHAnsi" w:hAnsiTheme="minorHAnsi" w:cstheme="minorHAnsi"/>
                <w:color w:val="000000" w:themeColor="text1"/>
                <w:sz w:val="20"/>
                <w:szCs w:val="20"/>
              </w:rPr>
              <w:t>Agree</w:t>
            </w:r>
            <w:r w:rsidR="00D300BC">
              <w:rPr>
                <w:rFonts w:asciiTheme="minorHAnsi" w:hAnsiTheme="minorHAnsi" w:cstheme="minorHAnsi"/>
                <w:color w:val="000000" w:themeColor="text1"/>
                <w:sz w:val="20"/>
                <w:szCs w:val="20"/>
              </w:rPr>
              <w:t xml:space="preserve"> in principle</w:t>
            </w:r>
          </w:p>
        </w:tc>
        <w:tc>
          <w:tcPr>
            <w:tcW w:w="4096" w:type="dxa"/>
          </w:tcPr>
          <w:p w14:paraId="6AE5932D" w14:textId="61A8D100" w:rsidR="00BC7DEB" w:rsidRPr="00281E5E" w:rsidRDefault="004673C8" w:rsidP="007969EE">
            <w:pPr>
              <w:pStyle w:val="BodyText"/>
              <w:spacing w:after="120" w:line="240" w:lineRule="auto"/>
              <w:cnfStyle w:val="000000000000" w:firstRow="0" w:lastRow="0" w:firstColumn="0" w:lastColumn="0" w:oddVBand="0" w:evenVBand="0" w:oddHBand="0" w:evenHBand="0" w:firstRowFirstColumn="0" w:firstRowLastColumn="0" w:lastRowFirstColumn="0" w:lastRowLastColumn="0"/>
              <w:rPr>
                <w:rFonts w:cstheme="minorHAnsi"/>
                <w:color w:val="FF0000"/>
                <w:sz w:val="20"/>
                <w:szCs w:val="20"/>
              </w:rPr>
            </w:pPr>
            <w:r w:rsidRPr="00281E5E">
              <w:rPr>
                <w:rFonts w:cstheme="minorHAnsi"/>
                <w:color w:val="000000" w:themeColor="text1"/>
                <w:sz w:val="20"/>
                <w:szCs w:val="20"/>
              </w:rPr>
              <w:t>Noting the intention for future PLA indicators and targets to be drawn from the MEHRD Education Performance Matrix</w:t>
            </w:r>
            <w:r w:rsidR="00D300BC">
              <w:rPr>
                <w:rFonts w:cstheme="minorHAnsi"/>
                <w:color w:val="000000" w:themeColor="text1"/>
                <w:sz w:val="20"/>
                <w:szCs w:val="20"/>
              </w:rPr>
              <w:t xml:space="preserve"> and the</w:t>
            </w:r>
            <w:r w:rsidR="00D300BC" w:rsidRPr="00281E5E">
              <w:rPr>
                <w:rFonts w:cstheme="minorHAnsi"/>
                <w:color w:val="000000" w:themeColor="text1"/>
                <w:sz w:val="20"/>
                <w:szCs w:val="20"/>
              </w:rPr>
              <w:t xml:space="preserve"> E</w:t>
            </w:r>
            <w:r w:rsidR="000411D2">
              <w:rPr>
                <w:rFonts w:cstheme="minorHAnsi"/>
                <w:color w:val="000000" w:themeColor="text1"/>
                <w:sz w:val="20"/>
                <w:szCs w:val="20"/>
              </w:rPr>
              <w:t>ducation Sector Support Program (E</w:t>
            </w:r>
            <w:r w:rsidR="00D300BC" w:rsidRPr="00281E5E">
              <w:rPr>
                <w:rFonts w:cstheme="minorHAnsi"/>
                <w:color w:val="000000" w:themeColor="text1"/>
                <w:sz w:val="20"/>
                <w:szCs w:val="20"/>
              </w:rPr>
              <w:t>SSP</w:t>
            </w:r>
            <w:r w:rsidR="000411D2">
              <w:rPr>
                <w:rFonts w:cstheme="minorHAnsi"/>
                <w:color w:val="000000" w:themeColor="text1"/>
                <w:sz w:val="20"/>
                <w:szCs w:val="20"/>
              </w:rPr>
              <w:t>)</w:t>
            </w:r>
            <w:r w:rsidR="00D300BC" w:rsidRPr="00281E5E">
              <w:rPr>
                <w:rFonts w:cstheme="minorHAnsi"/>
                <w:color w:val="000000" w:themeColor="text1"/>
                <w:sz w:val="20"/>
                <w:szCs w:val="20"/>
              </w:rPr>
              <w:t xml:space="preserve"> Monitoring and Evaluation Framework</w:t>
            </w:r>
            <w:r w:rsidRPr="00281E5E">
              <w:rPr>
                <w:rFonts w:cstheme="minorHAnsi"/>
                <w:color w:val="000000" w:themeColor="text1"/>
                <w:sz w:val="20"/>
                <w:szCs w:val="20"/>
              </w:rPr>
              <w:t xml:space="preserve">, </w:t>
            </w:r>
            <w:r w:rsidR="00B6559C" w:rsidRPr="00281E5E">
              <w:rPr>
                <w:rFonts w:cstheme="minorHAnsi"/>
                <w:color w:val="000000" w:themeColor="text1"/>
                <w:sz w:val="20"/>
                <w:szCs w:val="20"/>
              </w:rPr>
              <w:t xml:space="preserve">DFAT agrees to consider </w:t>
            </w:r>
            <w:r w:rsidRPr="00281E5E">
              <w:rPr>
                <w:rFonts w:cstheme="minorHAnsi"/>
                <w:color w:val="000000" w:themeColor="text1"/>
                <w:sz w:val="20"/>
                <w:szCs w:val="20"/>
              </w:rPr>
              <w:t>these suggestions in developing future PLA indicators and targets.  DFAT particularly agrees with the benefits of taking a longer-term approach.</w:t>
            </w:r>
          </w:p>
        </w:tc>
        <w:tc>
          <w:tcPr>
            <w:tcW w:w="3913" w:type="dxa"/>
          </w:tcPr>
          <w:p w14:paraId="5FF3FC3D" w14:textId="33445687" w:rsidR="00066392" w:rsidRPr="00281E5E" w:rsidRDefault="00B6559C" w:rsidP="00DC47EC">
            <w:pPr>
              <w:pStyle w:val="BodyText"/>
              <w:spacing w:after="120"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r w:rsidRPr="00281E5E">
              <w:rPr>
                <w:rFonts w:cstheme="minorHAnsi"/>
                <w:color w:val="000000" w:themeColor="text1"/>
                <w:sz w:val="20"/>
                <w:szCs w:val="20"/>
              </w:rPr>
              <w:t xml:space="preserve">ESSP PMT will </w:t>
            </w:r>
            <w:r w:rsidR="00281E5E">
              <w:rPr>
                <w:rFonts w:cstheme="minorHAnsi"/>
                <w:color w:val="000000" w:themeColor="text1"/>
                <w:sz w:val="20"/>
                <w:szCs w:val="20"/>
              </w:rPr>
              <w:t>incorporate</w:t>
            </w:r>
            <w:r w:rsidRPr="00281E5E">
              <w:rPr>
                <w:rFonts w:cstheme="minorHAnsi"/>
                <w:color w:val="000000" w:themeColor="text1"/>
                <w:sz w:val="20"/>
                <w:szCs w:val="20"/>
              </w:rPr>
              <w:t xml:space="preserve"> these suggestions</w:t>
            </w:r>
            <w:r w:rsidR="00281E5E">
              <w:rPr>
                <w:rFonts w:cstheme="minorHAnsi"/>
                <w:color w:val="000000" w:themeColor="text1"/>
                <w:sz w:val="20"/>
                <w:szCs w:val="20"/>
              </w:rPr>
              <w:t xml:space="preserve"> (where possible)</w:t>
            </w:r>
            <w:r w:rsidRPr="00281E5E">
              <w:rPr>
                <w:rFonts w:cstheme="minorHAnsi"/>
                <w:color w:val="000000" w:themeColor="text1"/>
                <w:sz w:val="20"/>
                <w:szCs w:val="20"/>
              </w:rPr>
              <w:t xml:space="preserve"> in developing proposed PLA indicators and targets for f</w:t>
            </w:r>
            <w:r w:rsidR="00C64CC2" w:rsidRPr="00281E5E">
              <w:rPr>
                <w:rFonts w:cstheme="minorHAnsi"/>
                <w:color w:val="000000" w:themeColor="text1"/>
                <w:sz w:val="20"/>
                <w:szCs w:val="20"/>
              </w:rPr>
              <w:t>orward</w:t>
            </w:r>
            <w:r w:rsidRPr="00281E5E">
              <w:rPr>
                <w:rFonts w:cstheme="minorHAnsi"/>
                <w:color w:val="000000" w:themeColor="text1"/>
                <w:sz w:val="20"/>
                <w:szCs w:val="20"/>
              </w:rPr>
              <w:t xml:space="preserve"> years.</w:t>
            </w:r>
          </w:p>
          <w:p w14:paraId="044C1897" w14:textId="1D264363" w:rsidR="00B6559C" w:rsidRPr="00281E5E" w:rsidRDefault="00B6559C" w:rsidP="00DC47EC">
            <w:pPr>
              <w:pStyle w:val="BodyText"/>
              <w:spacing w:after="120" w:line="240" w:lineRule="auto"/>
              <w:cnfStyle w:val="000000000000" w:firstRow="0" w:lastRow="0" w:firstColumn="0" w:lastColumn="0" w:oddVBand="0" w:evenVBand="0" w:oddHBand="0" w:evenHBand="0" w:firstRowFirstColumn="0" w:firstRowLastColumn="0" w:lastRowFirstColumn="0" w:lastRowLastColumn="0"/>
              <w:rPr>
                <w:rFonts w:cstheme="minorHAnsi"/>
                <w:color w:val="FF0000"/>
                <w:sz w:val="20"/>
                <w:szCs w:val="20"/>
              </w:rPr>
            </w:pPr>
          </w:p>
        </w:tc>
      </w:tr>
      <w:tr w:rsidR="00C729F5" w:rsidRPr="009811D8" w14:paraId="03EFD74D" w14:textId="77777777" w:rsidTr="00F6462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01" w:type="dxa"/>
          </w:tcPr>
          <w:p w14:paraId="64959411" w14:textId="77777777" w:rsidR="00C729F5" w:rsidRPr="00281E5E" w:rsidRDefault="00C729F5" w:rsidP="00C729F5">
            <w:pPr>
              <w:pStyle w:val="Heading3"/>
              <w:spacing w:before="120" w:after="0" w:line="240" w:lineRule="auto"/>
              <w:contextualSpacing w:val="0"/>
              <w:outlineLvl w:val="2"/>
              <w:rPr>
                <w:rFonts w:asciiTheme="minorHAnsi" w:hAnsiTheme="minorHAnsi" w:cstheme="minorHAnsi"/>
                <w:bCs/>
                <w:color w:val="auto"/>
                <w:sz w:val="20"/>
                <w:szCs w:val="20"/>
                <w:u w:val="single"/>
              </w:rPr>
            </w:pPr>
            <w:r w:rsidRPr="00281E5E">
              <w:rPr>
                <w:rFonts w:asciiTheme="minorHAnsi" w:hAnsiTheme="minorHAnsi" w:cstheme="minorHAnsi"/>
                <w:bCs/>
                <w:color w:val="auto"/>
                <w:sz w:val="20"/>
                <w:szCs w:val="20"/>
                <w:u w:val="single"/>
              </w:rPr>
              <w:t>Suggestion 2: Strengthening the Partnership Approach through the Education Sector Support Program (ESSP)</w:t>
            </w:r>
          </w:p>
          <w:p w14:paraId="4DFCDE2F" w14:textId="595E36C0" w:rsidR="00C729F5" w:rsidRPr="00281E5E" w:rsidRDefault="00C729F5" w:rsidP="00C729F5">
            <w:pPr>
              <w:pStyle w:val="Heading3"/>
              <w:spacing w:before="120" w:after="0" w:line="240" w:lineRule="auto"/>
              <w:contextualSpacing w:val="0"/>
              <w:outlineLvl w:val="2"/>
              <w:rPr>
                <w:rFonts w:asciiTheme="minorHAnsi" w:hAnsiTheme="minorHAnsi" w:cstheme="minorHAnsi"/>
                <w:color w:val="auto"/>
                <w:sz w:val="20"/>
                <w:szCs w:val="20"/>
                <w:u w:val="single"/>
              </w:rPr>
            </w:pPr>
            <w:r w:rsidRPr="00281E5E">
              <w:rPr>
                <w:rFonts w:cstheme="minorHAnsi"/>
                <w:b w:val="0"/>
                <w:color w:val="auto"/>
                <w:sz w:val="20"/>
                <w:szCs w:val="20"/>
              </w:rPr>
              <w:t xml:space="preserve">[…] the ESSP-PMT [Program Management Team] provides an excellent mechanism to facilitate and coordinate the PLA assessment by strengthening the partnership approach for MEHRD, DFAT and MFAT.  </w:t>
            </w:r>
          </w:p>
        </w:tc>
        <w:tc>
          <w:tcPr>
            <w:tcW w:w="1329" w:type="dxa"/>
          </w:tcPr>
          <w:p w14:paraId="78E486DD" w14:textId="0E675725" w:rsidR="00C729F5" w:rsidRPr="00281E5E" w:rsidRDefault="00C729F5" w:rsidP="00C729F5">
            <w:pPr>
              <w:pStyle w:val="Heading3"/>
              <w:spacing w:before="120" w:line="240" w:lineRule="auto"/>
              <w:contextualSpacing w:val="0"/>
              <w:outlineLvl w:val="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szCs w:val="20"/>
              </w:rPr>
            </w:pPr>
            <w:r w:rsidRPr="00B13576">
              <w:rPr>
                <w:rFonts w:asciiTheme="minorHAnsi" w:hAnsiTheme="minorHAnsi" w:cstheme="minorHAnsi"/>
                <w:color w:val="000000" w:themeColor="text1"/>
                <w:sz w:val="20"/>
                <w:szCs w:val="20"/>
              </w:rPr>
              <w:t xml:space="preserve">Agree </w:t>
            </w:r>
          </w:p>
        </w:tc>
        <w:tc>
          <w:tcPr>
            <w:tcW w:w="4096" w:type="dxa"/>
          </w:tcPr>
          <w:p w14:paraId="2D86CF6E" w14:textId="77777777" w:rsidR="00C729F5" w:rsidRPr="00B13576" w:rsidRDefault="00C729F5" w:rsidP="00C729F5">
            <w:pPr>
              <w:pStyle w:val="BodyText"/>
              <w:spacing w:after="120" w:line="240" w:lineRule="auto"/>
              <w:cnfStyle w:val="000000100000" w:firstRow="0" w:lastRow="0" w:firstColumn="0" w:lastColumn="0" w:oddVBand="0" w:evenVBand="0" w:oddHBand="1" w:evenHBand="0" w:firstRowFirstColumn="0" w:firstRowLastColumn="0" w:lastRowFirstColumn="0" w:lastRowLastColumn="0"/>
              <w:rPr>
                <w:rFonts w:cstheme="minorHAnsi"/>
                <w:b/>
                <w:color w:val="000000" w:themeColor="text1"/>
                <w:sz w:val="20"/>
                <w:szCs w:val="20"/>
              </w:rPr>
            </w:pPr>
            <w:r w:rsidRPr="00B13576">
              <w:rPr>
                <w:rFonts w:cstheme="minorHAnsi"/>
                <w:color w:val="000000" w:themeColor="text1"/>
                <w:sz w:val="20"/>
                <w:szCs w:val="20"/>
              </w:rPr>
              <w:t xml:space="preserve">DFAT would like future PLA processes to be led by the ESSP PMT, in collaboration with MEHRD M&amp;E officers, and integrated into ESSP Governance Committee processes.  This will help strengthen the partnership between </w:t>
            </w:r>
            <w:r w:rsidRPr="00B13576">
              <w:rPr>
                <w:rFonts w:cstheme="minorHAnsi"/>
                <w:color w:val="000000" w:themeColor="text1"/>
                <w:sz w:val="20"/>
                <w:szCs w:val="20"/>
              </w:rPr>
              <w:lastRenderedPageBreak/>
              <w:t>MEHRD, DFAT and MFAT, enable joint decision-making, and improve efficiencies.</w:t>
            </w:r>
          </w:p>
          <w:p w14:paraId="27D07026" w14:textId="77777777" w:rsidR="00C729F5" w:rsidRPr="00B13576" w:rsidRDefault="00C729F5" w:rsidP="00C729F5">
            <w:pPr>
              <w:cnfStyle w:val="000000100000" w:firstRow="0" w:lastRow="0" w:firstColumn="0" w:lastColumn="0" w:oddVBand="0" w:evenVBand="0" w:oddHBand="1" w:evenHBand="0" w:firstRowFirstColumn="0" w:firstRowLastColumn="0" w:lastRowFirstColumn="0" w:lastRowLastColumn="0"/>
              <w:rPr>
                <w:rFonts w:cstheme="minorHAnsi"/>
                <w:b/>
                <w:color w:val="000000" w:themeColor="text1"/>
                <w:sz w:val="20"/>
                <w:szCs w:val="20"/>
              </w:rPr>
            </w:pPr>
          </w:p>
          <w:p w14:paraId="7216CBA9" w14:textId="026B3CB2" w:rsidR="00C729F5" w:rsidRPr="00281E5E" w:rsidRDefault="00C729F5" w:rsidP="00C729F5">
            <w:pPr>
              <w:pStyle w:val="BodyText"/>
              <w:spacing w:after="120" w:line="240" w:lineRule="auto"/>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r w:rsidRPr="00B13576">
              <w:rPr>
                <w:rFonts w:cstheme="minorHAnsi"/>
                <w:color w:val="FF0000"/>
                <w:sz w:val="20"/>
                <w:szCs w:val="20"/>
              </w:rPr>
              <w:tab/>
            </w:r>
          </w:p>
        </w:tc>
        <w:tc>
          <w:tcPr>
            <w:tcW w:w="3913" w:type="dxa"/>
          </w:tcPr>
          <w:p w14:paraId="670438CD" w14:textId="77777777" w:rsidR="00C729F5" w:rsidRPr="00B13576" w:rsidRDefault="00C729F5" w:rsidP="00C729F5">
            <w:pPr>
              <w:pStyle w:val="BodyText"/>
              <w:spacing w:after="120" w:line="240" w:lineRule="auto"/>
              <w:cnfStyle w:val="000000100000" w:firstRow="0" w:lastRow="0" w:firstColumn="0" w:lastColumn="0" w:oddVBand="0" w:evenVBand="0" w:oddHBand="1" w:evenHBand="0" w:firstRowFirstColumn="0" w:firstRowLastColumn="0" w:lastRowFirstColumn="0" w:lastRowLastColumn="0"/>
              <w:rPr>
                <w:rFonts w:cstheme="minorHAnsi"/>
                <w:b/>
                <w:color w:val="000000" w:themeColor="text1"/>
                <w:sz w:val="20"/>
                <w:szCs w:val="20"/>
              </w:rPr>
            </w:pPr>
            <w:r w:rsidRPr="00B13576">
              <w:rPr>
                <w:rFonts w:cstheme="minorHAnsi"/>
                <w:color w:val="000000" w:themeColor="text1"/>
                <w:sz w:val="20"/>
                <w:szCs w:val="20"/>
              </w:rPr>
              <w:lastRenderedPageBreak/>
              <w:t>ESSP</w:t>
            </w:r>
            <w:r>
              <w:rPr>
                <w:rFonts w:cstheme="minorHAnsi"/>
                <w:color w:val="000000" w:themeColor="text1"/>
                <w:sz w:val="20"/>
                <w:szCs w:val="20"/>
              </w:rPr>
              <w:t xml:space="preserve"> </w:t>
            </w:r>
            <w:r w:rsidRPr="00B13576">
              <w:rPr>
                <w:rFonts w:cstheme="minorHAnsi"/>
                <w:color w:val="000000" w:themeColor="text1"/>
                <w:sz w:val="20"/>
                <w:szCs w:val="20"/>
              </w:rPr>
              <w:t xml:space="preserve">PMT will develop an ESSP </w:t>
            </w:r>
            <w:proofErr w:type="gramStart"/>
            <w:r w:rsidRPr="00B13576">
              <w:rPr>
                <w:rFonts w:cstheme="minorHAnsi"/>
                <w:color w:val="000000" w:themeColor="text1"/>
                <w:sz w:val="20"/>
                <w:szCs w:val="20"/>
              </w:rPr>
              <w:t>Monitoring</w:t>
            </w:r>
            <w:proofErr w:type="gramEnd"/>
            <w:r w:rsidRPr="00B13576">
              <w:rPr>
                <w:rFonts w:cstheme="minorHAnsi"/>
                <w:color w:val="000000" w:themeColor="text1"/>
                <w:sz w:val="20"/>
                <w:szCs w:val="20"/>
              </w:rPr>
              <w:t xml:space="preserve"> and Evaluation Framework (MEF) derived from MEHRD’s Education Performance Matrix (EPM).  </w:t>
            </w:r>
          </w:p>
          <w:p w14:paraId="2803FCE6" w14:textId="77777777" w:rsidR="00C729F5" w:rsidRPr="00B13576" w:rsidRDefault="00C729F5" w:rsidP="00C729F5">
            <w:pPr>
              <w:pStyle w:val="BodyText"/>
              <w:spacing w:after="120" w:line="240" w:lineRule="auto"/>
              <w:cnfStyle w:val="000000100000" w:firstRow="0" w:lastRow="0" w:firstColumn="0" w:lastColumn="0" w:oddVBand="0" w:evenVBand="0" w:oddHBand="1" w:evenHBand="0" w:firstRowFirstColumn="0" w:firstRowLastColumn="0" w:lastRowFirstColumn="0" w:lastRowLastColumn="0"/>
              <w:rPr>
                <w:rFonts w:cstheme="minorHAnsi"/>
                <w:b/>
                <w:color w:val="000000" w:themeColor="text1"/>
                <w:sz w:val="20"/>
                <w:szCs w:val="20"/>
              </w:rPr>
            </w:pPr>
            <w:r w:rsidRPr="00B13576">
              <w:rPr>
                <w:rFonts w:cstheme="minorHAnsi"/>
                <w:color w:val="000000" w:themeColor="text1"/>
                <w:sz w:val="20"/>
                <w:szCs w:val="20"/>
              </w:rPr>
              <w:t xml:space="preserve">Future PLA targets can be drawn from the MEHRD EPM, in consultation with MEHRD </w:t>
            </w:r>
            <w:r w:rsidRPr="00B13576">
              <w:rPr>
                <w:rFonts w:cstheme="minorHAnsi"/>
                <w:color w:val="000000" w:themeColor="text1"/>
                <w:sz w:val="20"/>
                <w:szCs w:val="20"/>
              </w:rPr>
              <w:lastRenderedPageBreak/>
              <w:t>M&amp;E officers and with the approval of the ESSP Governance Committee.</w:t>
            </w:r>
          </w:p>
          <w:p w14:paraId="6F900A81" w14:textId="3C09C7AA" w:rsidR="00C729F5" w:rsidRPr="00281E5E" w:rsidRDefault="00C729F5" w:rsidP="00C729F5">
            <w:pPr>
              <w:pStyle w:val="BodyText"/>
              <w:spacing w:after="120" w:line="240" w:lineRule="auto"/>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r w:rsidRPr="00B13576">
              <w:rPr>
                <w:rFonts w:cstheme="minorHAnsi"/>
                <w:color w:val="000000" w:themeColor="text1"/>
                <w:sz w:val="20"/>
                <w:szCs w:val="20"/>
              </w:rPr>
              <w:t>Future PLA assessments will be prepared by the ESSP PMT in consultation with MEHRD SSU M&amp;E officers, for consideration by the ESSP Governance Committee (with DFAT to make the final decision on PLA payments).</w:t>
            </w:r>
          </w:p>
        </w:tc>
      </w:tr>
      <w:tr w:rsidR="00C729F5" w:rsidRPr="009811D8" w14:paraId="00159C68" w14:textId="77777777" w:rsidTr="00F6462E">
        <w:trPr>
          <w:cantSplit/>
        </w:trPr>
        <w:tc>
          <w:tcPr>
            <w:cnfStyle w:val="001000000000" w:firstRow="0" w:lastRow="0" w:firstColumn="1" w:lastColumn="0" w:oddVBand="0" w:evenVBand="0" w:oddHBand="0" w:evenHBand="0" w:firstRowFirstColumn="0" w:firstRowLastColumn="0" w:lastRowFirstColumn="0" w:lastRowLastColumn="0"/>
            <w:tcW w:w="5501" w:type="dxa"/>
          </w:tcPr>
          <w:p w14:paraId="751AE030" w14:textId="77777777" w:rsidR="00C729F5" w:rsidRPr="00281E5E" w:rsidRDefault="00C729F5" w:rsidP="00C729F5">
            <w:pPr>
              <w:pStyle w:val="Heading3"/>
              <w:spacing w:before="120" w:after="0" w:line="240" w:lineRule="auto"/>
              <w:contextualSpacing w:val="0"/>
              <w:outlineLvl w:val="2"/>
              <w:rPr>
                <w:rFonts w:asciiTheme="minorHAnsi" w:hAnsiTheme="minorHAnsi" w:cstheme="minorHAnsi"/>
                <w:bCs/>
                <w:color w:val="auto"/>
                <w:sz w:val="20"/>
                <w:szCs w:val="20"/>
                <w:u w:val="single"/>
              </w:rPr>
            </w:pPr>
            <w:r w:rsidRPr="00281E5E">
              <w:rPr>
                <w:rFonts w:asciiTheme="minorHAnsi" w:hAnsiTheme="minorHAnsi" w:cstheme="minorHAnsi"/>
                <w:bCs/>
                <w:color w:val="auto"/>
                <w:sz w:val="20"/>
                <w:szCs w:val="20"/>
                <w:u w:val="single"/>
              </w:rPr>
              <w:lastRenderedPageBreak/>
              <w:t>Suggestion 3: Strengthening the evidence through qualitative data</w:t>
            </w:r>
          </w:p>
          <w:p w14:paraId="17C432C9" w14:textId="3E785EA0" w:rsidR="00491296" w:rsidRPr="00491296" w:rsidRDefault="00C729F5" w:rsidP="00491296">
            <w:pPr>
              <w:pStyle w:val="Heading3"/>
              <w:spacing w:before="120" w:line="240" w:lineRule="auto"/>
              <w:contextualSpacing w:val="0"/>
              <w:outlineLvl w:val="2"/>
              <w:rPr>
                <w:rFonts w:cstheme="minorHAnsi"/>
                <w:bCs/>
                <w:color w:val="000000" w:themeColor="text1"/>
                <w:sz w:val="20"/>
                <w:szCs w:val="20"/>
              </w:rPr>
            </w:pPr>
            <w:r w:rsidRPr="00281E5E">
              <w:rPr>
                <w:rFonts w:cstheme="minorHAnsi"/>
                <w:b w:val="0"/>
                <w:color w:val="000000" w:themeColor="text1"/>
                <w:sz w:val="20"/>
                <w:szCs w:val="20"/>
              </w:rPr>
              <w:t xml:space="preserve">The PLA indicators, targets and data collection process </w:t>
            </w:r>
            <w:proofErr w:type="gramStart"/>
            <w:r w:rsidRPr="00281E5E">
              <w:rPr>
                <w:rFonts w:cstheme="minorHAnsi"/>
                <w:b w:val="0"/>
                <w:color w:val="000000" w:themeColor="text1"/>
                <w:sz w:val="20"/>
                <w:szCs w:val="20"/>
              </w:rPr>
              <w:t>relies</w:t>
            </w:r>
            <w:proofErr w:type="gramEnd"/>
            <w:r w:rsidRPr="00281E5E">
              <w:rPr>
                <w:rFonts w:cstheme="minorHAnsi"/>
                <w:b w:val="0"/>
                <w:color w:val="000000" w:themeColor="text1"/>
                <w:sz w:val="20"/>
                <w:szCs w:val="20"/>
              </w:rPr>
              <w:t xml:space="preserve"> almost entirely upon quantitative data – this limits the potential to capture and describe the rich ‘stories of change’ through qualitative M&amp;E techniques. The consultation process is mainly focused on verification of quantitative data. Perhaps areas of research could be agreed and undertaken in the year prior to PLA to feed into the process and value-add to the quantitative data collection.</w:t>
            </w:r>
          </w:p>
        </w:tc>
        <w:tc>
          <w:tcPr>
            <w:tcW w:w="1329" w:type="dxa"/>
          </w:tcPr>
          <w:p w14:paraId="5CDCFA65" w14:textId="59609C27" w:rsidR="00C729F5" w:rsidRPr="00281E5E" w:rsidRDefault="00C729F5" w:rsidP="00C729F5">
            <w:pPr>
              <w:pStyle w:val="Heading3"/>
              <w:spacing w:before="120" w:line="240" w:lineRule="auto"/>
              <w:contextualSpacing w:val="0"/>
              <w:outlineLvl w:val="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szCs w:val="20"/>
              </w:rPr>
            </w:pPr>
            <w:r w:rsidRPr="00281E5E">
              <w:rPr>
                <w:rFonts w:asciiTheme="minorHAnsi" w:hAnsiTheme="minorHAnsi" w:cstheme="minorHAnsi"/>
                <w:color w:val="000000" w:themeColor="text1"/>
                <w:sz w:val="20"/>
                <w:szCs w:val="20"/>
              </w:rPr>
              <w:t>Noted for future consideration</w:t>
            </w:r>
          </w:p>
        </w:tc>
        <w:tc>
          <w:tcPr>
            <w:tcW w:w="4096" w:type="dxa"/>
          </w:tcPr>
          <w:p w14:paraId="247EE96F" w14:textId="6A536AD1" w:rsidR="00C729F5" w:rsidRPr="00281E5E" w:rsidRDefault="00C729F5" w:rsidP="00C729F5">
            <w:pPr>
              <w:pStyle w:val="BodyText"/>
              <w:spacing w:after="120"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r w:rsidRPr="00281E5E">
              <w:rPr>
                <w:rFonts w:cstheme="minorHAnsi"/>
                <w:color w:val="000000" w:themeColor="text1"/>
                <w:sz w:val="20"/>
                <w:szCs w:val="20"/>
              </w:rPr>
              <w:t>DFAT will consider this suggestion in future if indicators/targets based on qualitative data are incorporated into the MEHRD’s Education Performance Matrix, from which the PLA targets will be drawn.</w:t>
            </w:r>
          </w:p>
        </w:tc>
        <w:tc>
          <w:tcPr>
            <w:tcW w:w="3913" w:type="dxa"/>
          </w:tcPr>
          <w:p w14:paraId="33CDFAA7" w14:textId="77777777" w:rsidR="00C729F5" w:rsidRPr="00281E5E" w:rsidRDefault="00C729F5" w:rsidP="00C729F5">
            <w:pPr>
              <w:pStyle w:val="BodyText"/>
              <w:spacing w:after="120"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p>
        </w:tc>
      </w:tr>
      <w:tr w:rsidR="00C729F5" w:rsidRPr="009811D8" w14:paraId="4841AA04" w14:textId="77777777" w:rsidTr="00F6462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01" w:type="dxa"/>
          </w:tcPr>
          <w:p w14:paraId="39227D31" w14:textId="77777777" w:rsidR="00C729F5" w:rsidRPr="00281E5E" w:rsidRDefault="00C729F5" w:rsidP="00C729F5">
            <w:pPr>
              <w:pStyle w:val="Heading3"/>
              <w:spacing w:before="120" w:line="240" w:lineRule="auto"/>
              <w:contextualSpacing w:val="0"/>
              <w:outlineLvl w:val="2"/>
              <w:rPr>
                <w:rFonts w:asciiTheme="minorHAnsi" w:hAnsiTheme="minorHAnsi" w:cstheme="minorHAnsi"/>
                <w:bCs/>
                <w:color w:val="auto"/>
                <w:sz w:val="20"/>
                <w:szCs w:val="20"/>
                <w:u w:val="single"/>
              </w:rPr>
            </w:pPr>
            <w:r w:rsidRPr="00281E5E">
              <w:rPr>
                <w:rFonts w:asciiTheme="minorHAnsi" w:hAnsiTheme="minorHAnsi" w:cstheme="minorHAnsi"/>
                <w:bCs/>
                <w:color w:val="auto"/>
                <w:sz w:val="20"/>
                <w:szCs w:val="20"/>
                <w:u w:val="single"/>
              </w:rPr>
              <w:t>Suggestion 4: Engaging in PLA as an incentive</w:t>
            </w:r>
          </w:p>
          <w:p w14:paraId="2F1DDE0F" w14:textId="7B299325" w:rsidR="00C729F5" w:rsidRPr="00281E5E" w:rsidRDefault="00C729F5" w:rsidP="00C729F5">
            <w:pPr>
              <w:pStyle w:val="Heading3"/>
              <w:spacing w:before="120" w:after="0" w:line="240" w:lineRule="auto"/>
              <w:contextualSpacing w:val="0"/>
              <w:outlineLvl w:val="2"/>
              <w:rPr>
                <w:rFonts w:asciiTheme="minorHAnsi" w:hAnsiTheme="minorHAnsi" w:cstheme="minorHAnsi"/>
                <w:color w:val="auto"/>
                <w:sz w:val="20"/>
                <w:szCs w:val="20"/>
                <w:u w:val="single"/>
              </w:rPr>
            </w:pPr>
            <w:r w:rsidRPr="00281E5E">
              <w:rPr>
                <w:rFonts w:cstheme="minorHAnsi"/>
                <w:b w:val="0"/>
                <w:color w:val="000000" w:themeColor="text1"/>
                <w:sz w:val="20"/>
                <w:szCs w:val="20"/>
              </w:rPr>
              <w:t xml:space="preserve">There is an opportunity under ESSP to engage with MEHRD officers more deeply to not only set the targets but collaborate on how the targets can be met. </w:t>
            </w:r>
          </w:p>
        </w:tc>
        <w:tc>
          <w:tcPr>
            <w:tcW w:w="1329" w:type="dxa"/>
          </w:tcPr>
          <w:p w14:paraId="27DCAE48" w14:textId="04FEE430" w:rsidR="00C729F5" w:rsidRPr="00281E5E" w:rsidRDefault="00C729F5" w:rsidP="00C729F5">
            <w:pPr>
              <w:pStyle w:val="Heading3"/>
              <w:spacing w:before="120" w:line="240" w:lineRule="auto"/>
              <w:contextualSpacing w:val="0"/>
              <w:outlineLvl w:val="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szCs w:val="20"/>
              </w:rPr>
            </w:pPr>
            <w:r w:rsidRPr="00281E5E">
              <w:rPr>
                <w:rFonts w:asciiTheme="minorHAnsi" w:hAnsiTheme="minorHAnsi" w:cstheme="minorHAnsi"/>
                <w:color w:val="000000" w:themeColor="text1"/>
                <w:sz w:val="20"/>
                <w:szCs w:val="20"/>
              </w:rPr>
              <w:t xml:space="preserve">Agree </w:t>
            </w:r>
          </w:p>
        </w:tc>
        <w:tc>
          <w:tcPr>
            <w:tcW w:w="4096" w:type="dxa"/>
          </w:tcPr>
          <w:p w14:paraId="4184AEB9" w14:textId="77777777" w:rsidR="00C729F5" w:rsidRPr="00281E5E" w:rsidRDefault="00C729F5" w:rsidP="00C729F5">
            <w:pPr>
              <w:pStyle w:val="BodyText"/>
              <w:spacing w:after="120" w:line="240" w:lineRule="auto"/>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r w:rsidRPr="00281E5E">
              <w:rPr>
                <w:rFonts w:cstheme="minorHAnsi"/>
                <w:color w:val="000000" w:themeColor="text1"/>
                <w:sz w:val="20"/>
                <w:szCs w:val="20"/>
              </w:rPr>
              <w:t xml:space="preserve">DFAT agrees that increasing awareness of PLA targets within MEHRD is important to maximise the incentivising effect.  </w:t>
            </w:r>
          </w:p>
          <w:p w14:paraId="5816C8E9" w14:textId="77777777" w:rsidR="00C729F5" w:rsidRPr="00281E5E" w:rsidRDefault="00C729F5" w:rsidP="00C729F5">
            <w:pPr>
              <w:pStyle w:val="BodyText"/>
              <w:spacing w:after="120" w:line="240" w:lineRule="auto"/>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p>
        </w:tc>
        <w:tc>
          <w:tcPr>
            <w:tcW w:w="3913" w:type="dxa"/>
          </w:tcPr>
          <w:p w14:paraId="7D267ACB" w14:textId="1A2FCC45" w:rsidR="00C729F5" w:rsidRPr="00281E5E" w:rsidRDefault="00C729F5" w:rsidP="00C729F5">
            <w:pPr>
              <w:pStyle w:val="BodyText"/>
              <w:spacing w:after="120" w:line="240" w:lineRule="auto"/>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r w:rsidRPr="00281E5E">
              <w:rPr>
                <w:rFonts w:cstheme="minorHAnsi"/>
                <w:color w:val="000000" w:themeColor="text1"/>
                <w:sz w:val="20"/>
                <w:szCs w:val="20"/>
              </w:rPr>
              <w:t>The ESSP</w:t>
            </w:r>
            <w:r>
              <w:rPr>
                <w:rFonts w:cstheme="minorHAnsi"/>
                <w:color w:val="000000" w:themeColor="text1"/>
                <w:sz w:val="20"/>
                <w:szCs w:val="20"/>
              </w:rPr>
              <w:t xml:space="preserve"> </w:t>
            </w:r>
            <w:r w:rsidRPr="00281E5E">
              <w:rPr>
                <w:rFonts w:cstheme="minorHAnsi"/>
                <w:color w:val="000000" w:themeColor="text1"/>
                <w:sz w:val="20"/>
                <w:szCs w:val="20"/>
              </w:rPr>
              <w:t xml:space="preserve">PMT will incorporate into </w:t>
            </w:r>
            <w:proofErr w:type="gramStart"/>
            <w:r w:rsidRPr="00281E5E">
              <w:rPr>
                <w:rFonts w:cstheme="minorHAnsi"/>
                <w:color w:val="000000" w:themeColor="text1"/>
                <w:sz w:val="20"/>
                <w:szCs w:val="20"/>
              </w:rPr>
              <w:t xml:space="preserve">the </w:t>
            </w:r>
            <w:r>
              <w:rPr>
                <w:rFonts w:cstheme="minorHAnsi"/>
                <w:color w:val="000000" w:themeColor="text1"/>
                <w:sz w:val="20"/>
                <w:szCs w:val="20"/>
              </w:rPr>
              <w:t>its</w:t>
            </w:r>
            <w:proofErr w:type="gramEnd"/>
            <w:r>
              <w:rPr>
                <w:rFonts w:cstheme="minorHAnsi"/>
                <w:color w:val="000000" w:themeColor="text1"/>
                <w:sz w:val="20"/>
                <w:szCs w:val="20"/>
              </w:rPr>
              <w:t xml:space="preserve"> workplan</w:t>
            </w:r>
            <w:r w:rsidRPr="00281E5E">
              <w:rPr>
                <w:rFonts w:cstheme="minorHAnsi"/>
                <w:color w:val="000000" w:themeColor="text1"/>
                <w:sz w:val="20"/>
                <w:szCs w:val="20"/>
              </w:rPr>
              <w:t xml:space="preserve"> engagement by Technical Advisers with MEHRD counterparts on PLA targets (awareness, collaborative approaches to meeting targets).</w:t>
            </w:r>
          </w:p>
        </w:tc>
      </w:tr>
      <w:tr w:rsidR="00C729F5" w:rsidRPr="009811D8" w14:paraId="58120EA6" w14:textId="77777777" w:rsidTr="00F6462E">
        <w:trPr>
          <w:cantSplit/>
        </w:trPr>
        <w:tc>
          <w:tcPr>
            <w:cnfStyle w:val="001000000000" w:firstRow="0" w:lastRow="0" w:firstColumn="1" w:lastColumn="0" w:oddVBand="0" w:evenVBand="0" w:oddHBand="0" w:evenHBand="0" w:firstRowFirstColumn="0" w:firstRowLastColumn="0" w:lastRowFirstColumn="0" w:lastRowLastColumn="0"/>
            <w:tcW w:w="5501" w:type="dxa"/>
          </w:tcPr>
          <w:p w14:paraId="15FE79BB" w14:textId="77777777" w:rsidR="00C729F5" w:rsidRPr="00281E5E" w:rsidRDefault="00C729F5" w:rsidP="00C729F5">
            <w:pPr>
              <w:pStyle w:val="Heading3"/>
              <w:spacing w:before="120" w:line="240" w:lineRule="auto"/>
              <w:contextualSpacing w:val="0"/>
              <w:outlineLvl w:val="2"/>
              <w:rPr>
                <w:rFonts w:asciiTheme="minorHAnsi" w:hAnsiTheme="minorHAnsi" w:cstheme="minorHAnsi"/>
                <w:b w:val="0"/>
                <w:bCs/>
                <w:color w:val="000000" w:themeColor="text1"/>
                <w:sz w:val="20"/>
                <w:szCs w:val="20"/>
                <w:u w:val="single"/>
              </w:rPr>
            </w:pPr>
            <w:r w:rsidRPr="00281E5E">
              <w:rPr>
                <w:rFonts w:asciiTheme="minorHAnsi" w:hAnsiTheme="minorHAnsi" w:cstheme="minorHAnsi"/>
                <w:color w:val="000000" w:themeColor="text1"/>
                <w:sz w:val="20"/>
                <w:szCs w:val="20"/>
                <w:u w:val="single"/>
              </w:rPr>
              <w:t>Suggestion 5:  Leadership and management of PLA [assessments]</w:t>
            </w:r>
          </w:p>
          <w:p w14:paraId="24437519" w14:textId="2A8DB439" w:rsidR="00C729F5" w:rsidRPr="00281E5E" w:rsidRDefault="00C729F5" w:rsidP="00E21AC4">
            <w:pPr>
              <w:spacing w:before="0" w:after="120" w:line="240" w:lineRule="auto"/>
              <w:contextualSpacing/>
              <w:rPr>
                <w:rFonts w:cstheme="minorHAnsi"/>
                <w:color w:val="auto"/>
                <w:sz w:val="20"/>
                <w:szCs w:val="20"/>
                <w:u w:val="single"/>
              </w:rPr>
            </w:pPr>
            <w:r w:rsidRPr="00281E5E">
              <w:rPr>
                <w:rFonts w:eastAsiaTheme="majorEastAsia" w:cstheme="minorHAnsi"/>
                <w:b w:val="0"/>
                <w:color w:val="000000" w:themeColor="text1"/>
                <w:sz w:val="20"/>
                <w:szCs w:val="20"/>
                <w:lang w:val="en-AU"/>
              </w:rPr>
              <w:t xml:space="preserve">Last year’s AHC [DFAT] management response suggested the ESSP PMT would take responsibility for managing the PLA [assessment] this year – delays to the establishment of the PMT delayed this. </w:t>
            </w:r>
          </w:p>
        </w:tc>
        <w:tc>
          <w:tcPr>
            <w:tcW w:w="1329" w:type="dxa"/>
          </w:tcPr>
          <w:p w14:paraId="4AF008B0" w14:textId="70D8B44B" w:rsidR="00C729F5" w:rsidRPr="00281E5E" w:rsidRDefault="00C729F5" w:rsidP="00C729F5">
            <w:pPr>
              <w:pStyle w:val="Heading3"/>
              <w:spacing w:before="120" w:line="240" w:lineRule="auto"/>
              <w:contextualSpacing w:val="0"/>
              <w:outlineLvl w:val="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szCs w:val="20"/>
              </w:rPr>
            </w:pPr>
            <w:r w:rsidRPr="00B13576">
              <w:rPr>
                <w:rFonts w:asciiTheme="minorHAnsi" w:hAnsiTheme="minorHAnsi" w:cstheme="minorHAnsi"/>
                <w:color w:val="000000" w:themeColor="text1"/>
                <w:sz w:val="20"/>
                <w:szCs w:val="20"/>
              </w:rPr>
              <w:t>Noted</w:t>
            </w:r>
          </w:p>
        </w:tc>
        <w:tc>
          <w:tcPr>
            <w:tcW w:w="4096" w:type="dxa"/>
          </w:tcPr>
          <w:p w14:paraId="758A2226" w14:textId="4489A532" w:rsidR="00C729F5" w:rsidRPr="00281E5E" w:rsidRDefault="00C729F5" w:rsidP="00C729F5">
            <w:pPr>
              <w:pStyle w:val="BodyText"/>
              <w:spacing w:after="120"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r w:rsidRPr="00B13576">
              <w:rPr>
                <w:rFonts w:cstheme="minorHAnsi"/>
                <w:color w:val="000000" w:themeColor="text1"/>
                <w:sz w:val="20"/>
                <w:szCs w:val="20"/>
              </w:rPr>
              <w:t>The planned approach under ESSP is for MEHRD’s systems to produce PLA assessment data which the ESSP PMT will verify and use to prepare the report.  It is intended that this will promote consistency and avoid duplication of effort, as well as increasing collaboration.</w:t>
            </w:r>
          </w:p>
        </w:tc>
        <w:tc>
          <w:tcPr>
            <w:tcW w:w="3913" w:type="dxa"/>
          </w:tcPr>
          <w:p w14:paraId="4F4D0051" w14:textId="6F93440E" w:rsidR="00C729F5" w:rsidRPr="00281E5E" w:rsidRDefault="00C729F5" w:rsidP="00C729F5">
            <w:pPr>
              <w:pStyle w:val="BodyText"/>
              <w:spacing w:after="120"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r w:rsidRPr="00B13576">
              <w:rPr>
                <w:rFonts w:cstheme="minorHAnsi"/>
                <w:color w:val="000000" w:themeColor="text1"/>
                <w:sz w:val="20"/>
                <w:szCs w:val="20"/>
              </w:rPr>
              <w:t>Future PLA assessments will be prepared by the ESSP PMT, using data from MEHRD’s systems, and with engagement by MEHRD M&amp;E officers (as per response to suggestion 6) and the ESSP Governance Committee (as per the response to suggestion 2).</w:t>
            </w:r>
          </w:p>
        </w:tc>
      </w:tr>
      <w:tr w:rsidR="00C729F5" w:rsidRPr="009811D8" w14:paraId="5BFD4D94" w14:textId="77777777" w:rsidTr="00F6462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01" w:type="dxa"/>
          </w:tcPr>
          <w:p w14:paraId="3556FD2F" w14:textId="77777777" w:rsidR="00C729F5" w:rsidRPr="00281E5E" w:rsidRDefault="00C729F5" w:rsidP="00C729F5">
            <w:pPr>
              <w:pStyle w:val="Heading3"/>
              <w:spacing w:before="120" w:line="240" w:lineRule="auto"/>
              <w:contextualSpacing w:val="0"/>
              <w:outlineLvl w:val="2"/>
              <w:rPr>
                <w:rFonts w:asciiTheme="minorHAnsi" w:hAnsiTheme="minorHAnsi" w:cstheme="minorHAnsi"/>
                <w:b w:val="0"/>
                <w:bCs/>
                <w:color w:val="000000" w:themeColor="text1"/>
                <w:sz w:val="20"/>
                <w:szCs w:val="20"/>
                <w:u w:val="single"/>
              </w:rPr>
            </w:pPr>
            <w:r w:rsidRPr="00281E5E">
              <w:rPr>
                <w:rFonts w:asciiTheme="minorHAnsi" w:hAnsiTheme="minorHAnsi" w:cstheme="minorHAnsi"/>
                <w:color w:val="000000" w:themeColor="text1"/>
                <w:sz w:val="20"/>
                <w:szCs w:val="20"/>
                <w:u w:val="single"/>
              </w:rPr>
              <w:t>Suggestion 6:  Assessment as a partnership</w:t>
            </w:r>
          </w:p>
          <w:p w14:paraId="20E5FF41" w14:textId="1947C7B9" w:rsidR="00C729F5" w:rsidRPr="00281E5E" w:rsidRDefault="00C729F5" w:rsidP="00E21AC4">
            <w:pPr>
              <w:spacing w:before="0" w:after="120" w:line="240" w:lineRule="auto"/>
              <w:contextualSpacing/>
              <w:rPr>
                <w:rFonts w:cstheme="minorHAnsi"/>
                <w:color w:val="auto"/>
                <w:sz w:val="20"/>
                <w:szCs w:val="20"/>
                <w:u w:val="single"/>
              </w:rPr>
            </w:pPr>
            <w:r w:rsidRPr="00281E5E">
              <w:rPr>
                <w:rFonts w:eastAsiaTheme="majorEastAsia" w:cstheme="minorHAnsi"/>
                <w:b w:val="0"/>
                <w:color w:val="000000" w:themeColor="text1"/>
                <w:sz w:val="20"/>
                <w:szCs w:val="20"/>
                <w:lang w:val="en-AU"/>
              </w:rPr>
              <w:t xml:space="preserve">In line with the development of indicators in a genuine partnership, the assessment should be carried out in partnership too. This does not mean the assessor is not able to make recommendations with which MEHRD might not agree. The </w:t>
            </w:r>
            <w:r w:rsidRPr="00281E5E">
              <w:rPr>
                <w:rFonts w:eastAsiaTheme="majorEastAsia" w:cstheme="minorHAnsi"/>
                <w:b w:val="0"/>
                <w:color w:val="000000" w:themeColor="text1"/>
                <w:sz w:val="20"/>
                <w:szCs w:val="20"/>
                <w:lang w:val="en-AU"/>
              </w:rPr>
              <w:lastRenderedPageBreak/>
              <w:t xml:space="preserve">inclusion of </w:t>
            </w:r>
            <w:r>
              <w:rPr>
                <w:rFonts w:eastAsiaTheme="majorEastAsia" w:cstheme="minorHAnsi"/>
                <w:b w:val="0"/>
                <w:color w:val="000000" w:themeColor="text1"/>
                <w:sz w:val="20"/>
                <w:szCs w:val="20"/>
                <w:lang w:val="en-AU"/>
              </w:rPr>
              <w:t xml:space="preserve">MEHRD </w:t>
            </w:r>
            <w:r w:rsidRPr="00281E5E">
              <w:rPr>
                <w:rFonts w:eastAsiaTheme="majorEastAsia" w:cstheme="minorHAnsi"/>
                <w:b w:val="0"/>
                <w:color w:val="000000" w:themeColor="text1"/>
                <w:sz w:val="20"/>
                <w:szCs w:val="20"/>
                <w:lang w:val="en-AU"/>
              </w:rPr>
              <w:t xml:space="preserve">M&amp;E officers in the process this year was resoundingly successful both as an opportunity to collaborate but also as a particularly useful capacity building activity. The process did not diminish the efficacy of the results – it value added and enhanced the capability of MEHRD M&amp;E. </w:t>
            </w:r>
          </w:p>
        </w:tc>
        <w:tc>
          <w:tcPr>
            <w:tcW w:w="1329" w:type="dxa"/>
          </w:tcPr>
          <w:p w14:paraId="327E27DF" w14:textId="3FB6B9F1" w:rsidR="00C729F5" w:rsidRPr="00281E5E" w:rsidRDefault="00C729F5" w:rsidP="00C729F5">
            <w:pPr>
              <w:pStyle w:val="Heading3"/>
              <w:spacing w:before="120" w:line="240" w:lineRule="auto"/>
              <w:contextualSpacing w:val="0"/>
              <w:outlineLvl w:val="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szCs w:val="20"/>
              </w:rPr>
            </w:pPr>
            <w:r w:rsidRPr="00281E5E">
              <w:rPr>
                <w:rFonts w:asciiTheme="minorHAnsi" w:hAnsiTheme="minorHAnsi" w:cstheme="minorHAnsi"/>
                <w:color w:val="000000" w:themeColor="text1"/>
                <w:sz w:val="20"/>
                <w:szCs w:val="20"/>
              </w:rPr>
              <w:lastRenderedPageBreak/>
              <w:t>Noted</w:t>
            </w:r>
          </w:p>
        </w:tc>
        <w:tc>
          <w:tcPr>
            <w:tcW w:w="4096" w:type="dxa"/>
          </w:tcPr>
          <w:p w14:paraId="2CCC65E3" w14:textId="6008312F" w:rsidR="00C729F5" w:rsidRPr="00281E5E" w:rsidRDefault="00C729F5" w:rsidP="00C729F5">
            <w:pPr>
              <w:pStyle w:val="BodyText"/>
              <w:spacing w:after="120" w:line="240" w:lineRule="auto"/>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r w:rsidRPr="00281E5E">
              <w:rPr>
                <w:rFonts w:cstheme="minorHAnsi"/>
                <w:color w:val="000000" w:themeColor="text1"/>
                <w:sz w:val="20"/>
                <w:szCs w:val="20"/>
              </w:rPr>
              <w:t>DFAT supports the inclusion of MEHRD M&amp;E officers in the PLA assessment process.</w:t>
            </w:r>
          </w:p>
        </w:tc>
        <w:tc>
          <w:tcPr>
            <w:tcW w:w="3913" w:type="dxa"/>
          </w:tcPr>
          <w:p w14:paraId="386D8111" w14:textId="3553C1B9" w:rsidR="00C729F5" w:rsidRPr="00281E5E" w:rsidRDefault="00C729F5" w:rsidP="00C729F5">
            <w:pPr>
              <w:pStyle w:val="BodyText"/>
              <w:spacing w:after="120" w:line="240" w:lineRule="auto"/>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r w:rsidRPr="00281E5E">
              <w:rPr>
                <w:rFonts w:cstheme="minorHAnsi"/>
                <w:color w:val="000000" w:themeColor="text1"/>
                <w:sz w:val="20"/>
                <w:szCs w:val="20"/>
              </w:rPr>
              <w:t>The ESSP PMT will include MEHRD M&amp;E officers in future PLA assessment processes.</w:t>
            </w:r>
          </w:p>
        </w:tc>
      </w:tr>
    </w:tbl>
    <w:p w14:paraId="51AC6EB3" w14:textId="7F6918E2" w:rsidR="00D036CD" w:rsidRDefault="00D036CD" w:rsidP="00C729F5"/>
    <w:sectPr w:rsidR="00D036CD" w:rsidSect="00491296">
      <w:footerReference w:type="default" r:id="rId8"/>
      <w:footerReference w:type="first" r:id="rId9"/>
      <w:pgSz w:w="16838" w:h="11906" w:orient="landscape" w:code="9"/>
      <w:pgMar w:top="1134" w:right="1134" w:bottom="1134" w:left="1134" w:header="567" w:footer="44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DEC013" w14:textId="77777777" w:rsidR="00C849E0" w:rsidRDefault="00C849E0" w:rsidP="00BF1D6E">
      <w:pPr>
        <w:spacing w:before="0" w:after="0" w:line="240" w:lineRule="auto"/>
      </w:pPr>
      <w:r>
        <w:separator/>
      </w:r>
    </w:p>
  </w:endnote>
  <w:endnote w:type="continuationSeparator" w:id="0">
    <w:p w14:paraId="0D985221" w14:textId="77777777" w:rsidR="00C849E0" w:rsidRDefault="00C849E0" w:rsidP="00BF1D6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32314787"/>
      <w:docPartObj>
        <w:docPartGallery w:val="Page Numbers (Bottom of Page)"/>
        <w:docPartUnique/>
      </w:docPartObj>
    </w:sdtPr>
    <w:sdtEndPr/>
    <w:sdtContent>
      <w:sdt>
        <w:sdtPr>
          <w:id w:val="1728636285"/>
          <w:docPartObj>
            <w:docPartGallery w:val="Page Numbers (Top of Page)"/>
            <w:docPartUnique/>
          </w:docPartObj>
        </w:sdtPr>
        <w:sdtEndPr/>
        <w:sdtContent>
          <w:p w14:paraId="4A3FCB46" w14:textId="77777777" w:rsidR="00314FB1" w:rsidRDefault="00314FB1">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AC3A12">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C3A12">
              <w:rPr>
                <w:b/>
                <w:bCs/>
                <w:noProof/>
              </w:rPr>
              <w:t>4</w:t>
            </w:r>
            <w:r>
              <w:rPr>
                <w:b/>
                <w:bCs/>
                <w:sz w:val="24"/>
                <w:szCs w:val="24"/>
              </w:rPr>
              <w:fldChar w:fldCharType="end"/>
            </w:r>
          </w:p>
        </w:sdtContent>
      </w:sdt>
    </w:sdtContent>
  </w:sdt>
  <w:p w14:paraId="0C662329" w14:textId="77777777" w:rsidR="00314FB1" w:rsidRDefault="00314F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95021352"/>
      <w:docPartObj>
        <w:docPartGallery w:val="Page Numbers (Bottom of Page)"/>
        <w:docPartUnique/>
      </w:docPartObj>
    </w:sdtPr>
    <w:sdtEndPr/>
    <w:sdtContent>
      <w:sdt>
        <w:sdtPr>
          <w:id w:val="792411954"/>
          <w:docPartObj>
            <w:docPartGallery w:val="Page Numbers (Top of Page)"/>
            <w:docPartUnique/>
          </w:docPartObj>
        </w:sdtPr>
        <w:sdtEndPr/>
        <w:sdtContent>
          <w:p w14:paraId="7E371F3D" w14:textId="77777777" w:rsidR="00BF1D6E" w:rsidRDefault="00BF1D6E">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02373A">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30E38">
              <w:rPr>
                <w:b/>
                <w:bCs/>
                <w:noProof/>
              </w:rPr>
              <w:t>3</w:t>
            </w:r>
            <w:r>
              <w:rPr>
                <w:b/>
                <w:bCs/>
                <w:sz w:val="24"/>
                <w:szCs w:val="24"/>
              </w:rPr>
              <w:fldChar w:fldCharType="end"/>
            </w:r>
          </w:p>
        </w:sdtContent>
      </w:sdt>
    </w:sdtContent>
  </w:sdt>
  <w:p w14:paraId="23B675D3" w14:textId="77777777" w:rsidR="00BF1D6E" w:rsidRDefault="00BF1D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EC3263" w14:textId="77777777" w:rsidR="00C849E0" w:rsidRDefault="00C849E0" w:rsidP="00BF1D6E">
      <w:pPr>
        <w:spacing w:before="0" w:after="0" w:line="240" w:lineRule="auto"/>
      </w:pPr>
      <w:r>
        <w:separator/>
      </w:r>
    </w:p>
  </w:footnote>
  <w:footnote w:type="continuationSeparator" w:id="0">
    <w:p w14:paraId="46C2634F" w14:textId="77777777" w:rsidR="00C849E0" w:rsidRDefault="00C849E0" w:rsidP="00BF1D6E">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A5F89"/>
    <w:multiLevelType w:val="hybridMultilevel"/>
    <w:tmpl w:val="BDD63FE6"/>
    <w:lvl w:ilvl="0" w:tplc="0C090001">
      <w:start w:val="1"/>
      <w:numFmt w:val="bullet"/>
      <w:lvlText w:val=""/>
      <w:lvlJc w:val="left"/>
      <w:pPr>
        <w:ind w:left="360" w:hanging="360"/>
      </w:pPr>
      <w:rPr>
        <w:rFonts w:ascii="Symbol" w:hAnsi="Symbol" w:hint="default"/>
      </w:rPr>
    </w:lvl>
    <w:lvl w:ilvl="1" w:tplc="1F92677A">
      <w:start w:val="2020"/>
      <w:numFmt w:val="bullet"/>
      <w:lvlText w:val="-"/>
      <w:lvlJc w:val="left"/>
      <w:pPr>
        <w:ind w:left="1080" w:hanging="360"/>
      </w:pPr>
      <w:rPr>
        <w:rFonts w:ascii="Calibri" w:eastAsiaTheme="minorHAnsi" w:hAnsi="Calibri" w:cs="Calibri"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27286826"/>
    <w:multiLevelType w:val="hybridMultilevel"/>
    <w:tmpl w:val="6F9ADE8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40AE0E6D"/>
    <w:multiLevelType w:val="hybridMultilevel"/>
    <w:tmpl w:val="3494787C"/>
    <w:lvl w:ilvl="0" w:tplc="0C09001B">
      <w:start w:val="1"/>
      <w:numFmt w:val="lowerRoman"/>
      <w:lvlText w:val="%1."/>
      <w:lvlJc w:val="right"/>
      <w:pPr>
        <w:ind w:left="1407" w:hanging="360"/>
      </w:pPr>
    </w:lvl>
    <w:lvl w:ilvl="1" w:tplc="0C090019">
      <w:start w:val="1"/>
      <w:numFmt w:val="lowerLetter"/>
      <w:lvlText w:val="%2."/>
      <w:lvlJc w:val="left"/>
      <w:pPr>
        <w:ind w:left="2127" w:hanging="360"/>
      </w:pPr>
    </w:lvl>
    <w:lvl w:ilvl="2" w:tplc="0C09001B">
      <w:start w:val="1"/>
      <w:numFmt w:val="lowerRoman"/>
      <w:lvlText w:val="%3."/>
      <w:lvlJc w:val="right"/>
      <w:pPr>
        <w:ind w:left="2847" w:hanging="180"/>
      </w:pPr>
    </w:lvl>
    <w:lvl w:ilvl="3" w:tplc="0C09000F">
      <w:start w:val="1"/>
      <w:numFmt w:val="decimal"/>
      <w:lvlText w:val="%4."/>
      <w:lvlJc w:val="left"/>
      <w:pPr>
        <w:ind w:left="3567" w:hanging="360"/>
      </w:pPr>
    </w:lvl>
    <w:lvl w:ilvl="4" w:tplc="0C090019" w:tentative="1">
      <w:start w:val="1"/>
      <w:numFmt w:val="lowerLetter"/>
      <w:lvlText w:val="%5."/>
      <w:lvlJc w:val="left"/>
      <w:pPr>
        <w:ind w:left="4287" w:hanging="360"/>
      </w:pPr>
    </w:lvl>
    <w:lvl w:ilvl="5" w:tplc="0C09001B" w:tentative="1">
      <w:start w:val="1"/>
      <w:numFmt w:val="lowerRoman"/>
      <w:lvlText w:val="%6."/>
      <w:lvlJc w:val="right"/>
      <w:pPr>
        <w:ind w:left="5007" w:hanging="180"/>
      </w:pPr>
    </w:lvl>
    <w:lvl w:ilvl="6" w:tplc="0C09000F" w:tentative="1">
      <w:start w:val="1"/>
      <w:numFmt w:val="decimal"/>
      <w:lvlText w:val="%7."/>
      <w:lvlJc w:val="left"/>
      <w:pPr>
        <w:ind w:left="5727" w:hanging="360"/>
      </w:pPr>
    </w:lvl>
    <w:lvl w:ilvl="7" w:tplc="0C090019" w:tentative="1">
      <w:start w:val="1"/>
      <w:numFmt w:val="lowerLetter"/>
      <w:lvlText w:val="%8."/>
      <w:lvlJc w:val="left"/>
      <w:pPr>
        <w:ind w:left="6447" w:hanging="360"/>
      </w:pPr>
    </w:lvl>
    <w:lvl w:ilvl="8" w:tplc="0C09001B" w:tentative="1">
      <w:start w:val="1"/>
      <w:numFmt w:val="lowerRoman"/>
      <w:lvlText w:val="%9."/>
      <w:lvlJc w:val="right"/>
      <w:pPr>
        <w:ind w:left="7167" w:hanging="180"/>
      </w:pPr>
    </w:lvl>
  </w:abstractNum>
  <w:abstractNum w:abstractNumId="3" w15:restartNumberingAfterBreak="0">
    <w:nsid w:val="4856546F"/>
    <w:multiLevelType w:val="hybridMultilevel"/>
    <w:tmpl w:val="F4BC532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49045F73"/>
    <w:multiLevelType w:val="hybridMultilevel"/>
    <w:tmpl w:val="F59A9C6C"/>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49FC0256"/>
    <w:multiLevelType w:val="hybridMultilevel"/>
    <w:tmpl w:val="BE2AD9E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54AC03CB"/>
    <w:multiLevelType w:val="hybridMultilevel"/>
    <w:tmpl w:val="1C30D294"/>
    <w:lvl w:ilvl="0" w:tplc="1F92677A">
      <w:start w:val="2020"/>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B557C96"/>
    <w:multiLevelType w:val="hybridMultilevel"/>
    <w:tmpl w:val="0344C7F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6D0A5C64"/>
    <w:multiLevelType w:val="hybridMultilevel"/>
    <w:tmpl w:val="FBAC911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76DB0379"/>
    <w:multiLevelType w:val="hybridMultilevel"/>
    <w:tmpl w:val="E774FF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75B1FF1"/>
    <w:multiLevelType w:val="hybridMultilevel"/>
    <w:tmpl w:val="B246D7B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num>
  <w:num w:numId="2">
    <w:abstractNumId w:val="4"/>
  </w:num>
  <w:num w:numId="3">
    <w:abstractNumId w:val="10"/>
  </w:num>
  <w:num w:numId="4">
    <w:abstractNumId w:val="5"/>
  </w:num>
  <w:num w:numId="5">
    <w:abstractNumId w:val="8"/>
  </w:num>
  <w:num w:numId="6">
    <w:abstractNumId w:val="7"/>
  </w:num>
  <w:num w:numId="7">
    <w:abstractNumId w:val="3"/>
  </w:num>
  <w:num w:numId="8">
    <w:abstractNumId w:val="6"/>
  </w:num>
  <w:num w:numId="9">
    <w:abstractNumId w:val="9"/>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revisionView w:inkAnnotations="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143B"/>
    <w:rsid w:val="000040AA"/>
    <w:rsid w:val="0002373A"/>
    <w:rsid w:val="00023DA2"/>
    <w:rsid w:val="00030E50"/>
    <w:rsid w:val="00036856"/>
    <w:rsid w:val="00037885"/>
    <w:rsid w:val="000411D2"/>
    <w:rsid w:val="00066392"/>
    <w:rsid w:val="00067234"/>
    <w:rsid w:val="0007228D"/>
    <w:rsid w:val="00073037"/>
    <w:rsid w:val="00092B45"/>
    <w:rsid w:val="000A5BBC"/>
    <w:rsid w:val="000B77C0"/>
    <w:rsid w:val="000B7AA4"/>
    <w:rsid w:val="000D24CC"/>
    <w:rsid w:val="000E589E"/>
    <w:rsid w:val="000F1DB5"/>
    <w:rsid w:val="001102A1"/>
    <w:rsid w:val="00112F13"/>
    <w:rsid w:val="00114B04"/>
    <w:rsid w:val="00115EA3"/>
    <w:rsid w:val="0012104B"/>
    <w:rsid w:val="00127085"/>
    <w:rsid w:val="00142D5D"/>
    <w:rsid w:val="00161586"/>
    <w:rsid w:val="00164F27"/>
    <w:rsid w:val="00173485"/>
    <w:rsid w:val="0017659A"/>
    <w:rsid w:val="00180138"/>
    <w:rsid w:val="00183755"/>
    <w:rsid w:val="00190DD2"/>
    <w:rsid w:val="00196F15"/>
    <w:rsid w:val="001C1E04"/>
    <w:rsid w:val="001C2CBC"/>
    <w:rsid w:val="001C67DA"/>
    <w:rsid w:val="001E080A"/>
    <w:rsid w:val="001E7652"/>
    <w:rsid w:val="001F6941"/>
    <w:rsid w:val="00201F86"/>
    <w:rsid w:val="00205432"/>
    <w:rsid w:val="0021692B"/>
    <w:rsid w:val="00226575"/>
    <w:rsid w:val="0022785F"/>
    <w:rsid w:val="00235048"/>
    <w:rsid w:val="00236C32"/>
    <w:rsid w:val="002420FE"/>
    <w:rsid w:val="002541CA"/>
    <w:rsid w:val="00257C32"/>
    <w:rsid w:val="002718D7"/>
    <w:rsid w:val="00275574"/>
    <w:rsid w:val="00275ED3"/>
    <w:rsid w:val="002765D7"/>
    <w:rsid w:val="00281E5E"/>
    <w:rsid w:val="0029045F"/>
    <w:rsid w:val="002A0BCD"/>
    <w:rsid w:val="002A7492"/>
    <w:rsid w:val="002C33E9"/>
    <w:rsid w:val="002C5928"/>
    <w:rsid w:val="002C7B5C"/>
    <w:rsid w:val="002D50A8"/>
    <w:rsid w:val="002E35D7"/>
    <w:rsid w:val="002E6AAD"/>
    <w:rsid w:val="002F3862"/>
    <w:rsid w:val="002F52EF"/>
    <w:rsid w:val="00314FB1"/>
    <w:rsid w:val="00316215"/>
    <w:rsid w:val="0032195C"/>
    <w:rsid w:val="00322D19"/>
    <w:rsid w:val="00367F3E"/>
    <w:rsid w:val="00385092"/>
    <w:rsid w:val="00394191"/>
    <w:rsid w:val="003B7559"/>
    <w:rsid w:val="003C12B6"/>
    <w:rsid w:val="003C6413"/>
    <w:rsid w:val="003D3BA3"/>
    <w:rsid w:val="003F0D02"/>
    <w:rsid w:val="004125B2"/>
    <w:rsid w:val="00416175"/>
    <w:rsid w:val="00446FA0"/>
    <w:rsid w:val="0045541C"/>
    <w:rsid w:val="004628AD"/>
    <w:rsid w:val="004673C8"/>
    <w:rsid w:val="00471C64"/>
    <w:rsid w:val="00491296"/>
    <w:rsid w:val="00492912"/>
    <w:rsid w:val="00497852"/>
    <w:rsid w:val="004A1F02"/>
    <w:rsid w:val="004D2AAA"/>
    <w:rsid w:val="004D7927"/>
    <w:rsid w:val="004E0B96"/>
    <w:rsid w:val="004E6E26"/>
    <w:rsid w:val="00501A42"/>
    <w:rsid w:val="0050691A"/>
    <w:rsid w:val="00516532"/>
    <w:rsid w:val="005236AC"/>
    <w:rsid w:val="005310FB"/>
    <w:rsid w:val="00531566"/>
    <w:rsid w:val="00541602"/>
    <w:rsid w:val="00543336"/>
    <w:rsid w:val="00546AFB"/>
    <w:rsid w:val="005549CF"/>
    <w:rsid w:val="0056277F"/>
    <w:rsid w:val="00570575"/>
    <w:rsid w:val="00577A22"/>
    <w:rsid w:val="00581BF4"/>
    <w:rsid w:val="005932E4"/>
    <w:rsid w:val="005A2965"/>
    <w:rsid w:val="005B6688"/>
    <w:rsid w:val="005D7F7E"/>
    <w:rsid w:val="005F7C27"/>
    <w:rsid w:val="00607052"/>
    <w:rsid w:val="00614AB8"/>
    <w:rsid w:val="00616162"/>
    <w:rsid w:val="00621DEE"/>
    <w:rsid w:val="00627D3E"/>
    <w:rsid w:val="006510E8"/>
    <w:rsid w:val="0066206B"/>
    <w:rsid w:val="0066388D"/>
    <w:rsid w:val="0066447D"/>
    <w:rsid w:val="00677A3F"/>
    <w:rsid w:val="0068367B"/>
    <w:rsid w:val="00686E6A"/>
    <w:rsid w:val="0069246B"/>
    <w:rsid w:val="006A4651"/>
    <w:rsid w:val="006F250E"/>
    <w:rsid w:val="006F626F"/>
    <w:rsid w:val="00703EC6"/>
    <w:rsid w:val="007168AC"/>
    <w:rsid w:val="00740611"/>
    <w:rsid w:val="00743DF1"/>
    <w:rsid w:val="00752969"/>
    <w:rsid w:val="00764FE6"/>
    <w:rsid w:val="00765336"/>
    <w:rsid w:val="00772056"/>
    <w:rsid w:val="007730F8"/>
    <w:rsid w:val="007759D4"/>
    <w:rsid w:val="00782A39"/>
    <w:rsid w:val="007969EE"/>
    <w:rsid w:val="007B5B14"/>
    <w:rsid w:val="007C3892"/>
    <w:rsid w:val="007C6566"/>
    <w:rsid w:val="007F58F5"/>
    <w:rsid w:val="0080579D"/>
    <w:rsid w:val="00840409"/>
    <w:rsid w:val="00841A9D"/>
    <w:rsid w:val="00842942"/>
    <w:rsid w:val="00885FBA"/>
    <w:rsid w:val="008B0BA2"/>
    <w:rsid w:val="008B1C1A"/>
    <w:rsid w:val="008B7827"/>
    <w:rsid w:val="008B7D21"/>
    <w:rsid w:val="008D6EAA"/>
    <w:rsid w:val="00915523"/>
    <w:rsid w:val="00915A33"/>
    <w:rsid w:val="00925C33"/>
    <w:rsid w:val="009554DF"/>
    <w:rsid w:val="0096300E"/>
    <w:rsid w:val="009811D8"/>
    <w:rsid w:val="009852FA"/>
    <w:rsid w:val="00985B93"/>
    <w:rsid w:val="00990CDD"/>
    <w:rsid w:val="0099143B"/>
    <w:rsid w:val="00997EAD"/>
    <w:rsid w:val="009A3C36"/>
    <w:rsid w:val="009C02E5"/>
    <w:rsid w:val="009D6255"/>
    <w:rsid w:val="009E5421"/>
    <w:rsid w:val="009F17F7"/>
    <w:rsid w:val="009F4D29"/>
    <w:rsid w:val="00A0257A"/>
    <w:rsid w:val="00A04951"/>
    <w:rsid w:val="00A13CE2"/>
    <w:rsid w:val="00A15FFF"/>
    <w:rsid w:val="00A21D2C"/>
    <w:rsid w:val="00A36137"/>
    <w:rsid w:val="00A466DC"/>
    <w:rsid w:val="00A4701D"/>
    <w:rsid w:val="00A52A71"/>
    <w:rsid w:val="00A610EC"/>
    <w:rsid w:val="00A73856"/>
    <w:rsid w:val="00A74B85"/>
    <w:rsid w:val="00A81AA0"/>
    <w:rsid w:val="00A85E46"/>
    <w:rsid w:val="00A976B9"/>
    <w:rsid w:val="00AA1A28"/>
    <w:rsid w:val="00AB2876"/>
    <w:rsid w:val="00AC3A12"/>
    <w:rsid w:val="00AC40A3"/>
    <w:rsid w:val="00AC4D47"/>
    <w:rsid w:val="00AD1BF2"/>
    <w:rsid w:val="00AD23D8"/>
    <w:rsid w:val="00AF227A"/>
    <w:rsid w:val="00B006D7"/>
    <w:rsid w:val="00B07D0F"/>
    <w:rsid w:val="00B1111B"/>
    <w:rsid w:val="00B11E1E"/>
    <w:rsid w:val="00B13576"/>
    <w:rsid w:val="00B24D6D"/>
    <w:rsid w:val="00B30701"/>
    <w:rsid w:val="00B6559C"/>
    <w:rsid w:val="00B661D2"/>
    <w:rsid w:val="00B90DB5"/>
    <w:rsid w:val="00B92E79"/>
    <w:rsid w:val="00BA404A"/>
    <w:rsid w:val="00BC06D8"/>
    <w:rsid w:val="00BC7DEB"/>
    <w:rsid w:val="00BE7D53"/>
    <w:rsid w:val="00BF1D6E"/>
    <w:rsid w:val="00BF4825"/>
    <w:rsid w:val="00C15CDB"/>
    <w:rsid w:val="00C24B90"/>
    <w:rsid w:val="00C32466"/>
    <w:rsid w:val="00C40A33"/>
    <w:rsid w:val="00C44374"/>
    <w:rsid w:val="00C46849"/>
    <w:rsid w:val="00C5300B"/>
    <w:rsid w:val="00C64CC2"/>
    <w:rsid w:val="00C709DF"/>
    <w:rsid w:val="00C729F5"/>
    <w:rsid w:val="00C750AE"/>
    <w:rsid w:val="00C849E0"/>
    <w:rsid w:val="00CB3596"/>
    <w:rsid w:val="00CC3A58"/>
    <w:rsid w:val="00CC6754"/>
    <w:rsid w:val="00CD18DC"/>
    <w:rsid w:val="00CF61BC"/>
    <w:rsid w:val="00CF7092"/>
    <w:rsid w:val="00D036CD"/>
    <w:rsid w:val="00D04F1E"/>
    <w:rsid w:val="00D1411D"/>
    <w:rsid w:val="00D262D6"/>
    <w:rsid w:val="00D300BC"/>
    <w:rsid w:val="00D54E8E"/>
    <w:rsid w:val="00D556A8"/>
    <w:rsid w:val="00D57B85"/>
    <w:rsid w:val="00D62251"/>
    <w:rsid w:val="00D62B26"/>
    <w:rsid w:val="00D749B1"/>
    <w:rsid w:val="00D829EF"/>
    <w:rsid w:val="00D83976"/>
    <w:rsid w:val="00D9513D"/>
    <w:rsid w:val="00DB61B7"/>
    <w:rsid w:val="00DC15AC"/>
    <w:rsid w:val="00DC47EC"/>
    <w:rsid w:val="00DC5D6C"/>
    <w:rsid w:val="00DD2C2F"/>
    <w:rsid w:val="00DF2CA6"/>
    <w:rsid w:val="00DF52DB"/>
    <w:rsid w:val="00E1286E"/>
    <w:rsid w:val="00E20C3C"/>
    <w:rsid w:val="00E21AC4"/>
    <w:rsid w:val="00E30C43"/>
    <w:rsid w:val="00E30E38"/>
    <w:rsid w:val="00E31F72"/>
    <w:rsid w:val="00E45014"/>
    <w:rsid w:val="00E617CF"/>
    <w:rsid w:val="00E67709"/>
    <w:rsid w:val="00E91145"/>
    <w:rsid w:val="00E958E5"/>
    <w:rsid w:val="00EA1754"/>
    <w:rsid w:val="00EA6889"/>
    <w:rsid w:val="00EB102E"/>
    <w:rsid w:val="00ED2DA3"/>
    <w:rsid w:val="00EF2F9F"/>
    <w:rsid w:val="00EF3889"/>
    <w:rsid w:val="00F13A29"/>
    <w:rsid w:val="00F15A65"/>
    <w:rsid w:val="00F2510E"/>
    <w:rsid w:val="00F253D7"/>
    <w:rsid w:val="00F40488"/>
    <w:rsid w:val="00F4372C"/>
    <w:rsid w:val="00F467DD"/>
    <w:rsid w:val="00F51564"/>
    <w:rsid w:val="00F570A8"/>
    <w:rsid w:val="00F6352A"/>
    <w:rsid w:val="00F6462E"/>
    <w:rsid w:val="00F70F82"/>
    <w:rsid w:val="00F71C9B"/>
    <w:rsid w:val="00F73EEA"/>
    <w:rsid w:val="00F80C37"/>
    <w:rsid w:val="00F8522F"/>
    <w:rsid w:val="00F9516F"/>
    <w:rsid w:val="00FD5917"/>
    <w:rsid w:val="00FE7C98"/>
    <w:rsid w:val="00FE7EE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D377AD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4191"/>
    <w:pPr>
      <w:suppressAutoHyphens/>
      <w:spacing w:before="120" w:after="60" w:line="260" w:lineRule="atLeast"/>
    </w:pPr>
    <w:rPr>
      <w:color w:val="44546A" w:themeColor="text2"/>
      <w:lang w:val="en-GB"/>
    </w:rPr>
  </w:style>
  <w:style w:type="paragraph" w:styleId="Heading1">
    <w:name w:val="heading 1"/>
    <w:basedOn w:val="Normal"/>
    <w:next w:val="Normal"/>
    <w:link w:val="Heading1Char"/>
    <w:uiPriority w:val="9"/>
    <w:qFormat/>
    <w:rsid w:val="00DC5D6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9143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Heading2"/>
    <w:next w:val="Normal"/>
    <w:link w:val="Heading3Char"/>
    <w:unhideWhenUsed/>
    <w:qFormat/>
    <w:rsid w:val="0099143B"/>
    <w:pPr>
      <w:spacing w:before="480" w:after="120" w:line="360" w:lineRule="atLeast"/>
      <w:contextualSpacing/>
      <w:outlineLvl w:val="2"/>
    </w:pPr>
    <w:rPr>
      <w:bCs/>
      <w:color w:val="44546A" w:themeColor="text2"/>
      <w:sz w:val="30"/>
      <w:lang w:val="en-AU"/>
    </w:rPr>
  </w:style>
  <w:style w:type="paragraph" w:styleId="Heading4">
    <w:name w:val="heading 4"/>
    <w:basedOn w:val="Normal"/>
    <w:next w:val="Normal"/>
    <w:link w:val="Heading4Char"/>
    <w:uiPriority w:val="9"/>
    <w:unhideWhenUsed/>
    <w:qFormat/>
    <w:rsid w:val="002A7492"/>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EA6889"/>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9143B"/>
    <w:rPr>
      <w:rFonts w:asciiTheme="majorHAnsi" w:eastAsiaTheme="majorEastAsia" w:hAnsiTheme="majorHAnsi" w:cstheme="majorBidi"/>
      <w:bCs/>
      <w:color w:val="44546A" w:themeColor="text2"/>
      <w:sz w:val="30"/>
      <w:szCs w:val="26"/>
    </w:rPr>
  </w:style>
  <w:style w:type="paragraph" w:customStyle="1" w:styleId="TableHeaderRow">
    <w:name w:val="Table Header Row"/>
    <w:basedOn w:val="Normal"/>
    <w:qFormat/>
    <w:rsid w:val="0099143B"/>
    <w:pPr>
      <w:spacing w:before="60"/>
    </w:pPr>
    <w:rPr>
      <w:rFonts w:ascii="Calibri" w:hAnsi="Calibri"/>
      <w:b/>
      <w:color w:val="FFFFFF" w:themeColor="background1"/>
      <w:szCs w:val="21"/>
    </w:rPr>
  </w:style>
  <w:style w:type="table" w:customStyle="1" w:styleId="DFATTable1">
    <w:name w:val="DFAT Table 1"/>
    <w:basedOn w:val="TableNormal"/>
    <w:uiPriority w:val="99"/>
    <w:rsid w:val="0099143B"/>
    <w:pPr>
      <w:spacing w:before="60" w:after="60" w:line="260" w:lineRule="atLeast"/>
    </w:pPr>
    <w:rPr>
      <w:rFonts w:ascii="Calibri" w:hAnsi="Calibri"/>
      <w:color w:val="44546A" w:themeColor="text2"/>
    </w:rPr>
    <w:tblPr>
      <w:tblStyleRowBandSize w:val="1"/>
      <w:tblStyleColBandSize w:val="1"/>
      <w:tblBorders>
        <w:top w:val="single" w:sz="4" w:space="0" w:color="44546A" w:themeColor="text2"/>
        <w:bottom w:val="single" w:sz="4" w:space="0" w:color="44546A" w:themeColor="text2"/>
        <w:insideH w:val="single" w:sz="4" w:space="0" w:color="44546A" w:themeColor="text2"/>
      </w:tblBorders>
      <w:tblCellMar>
        <w:top w:w="57" w:type="dxa"/>
        <w:bottom w:w="57" w:type="dxa"/>
      </w:tblCellMar>
    </w:tblPr>
    <w:tblStylePr w:type="firstRow">
      <w:rPr>
        <w:b w:val="0"/>
      </w:rPr>
      <w:tblPr/>
      <w:trPr>
        <w:tblHeader/>
      </w:trPr>
      <w:tcPr>
        <w:tcBorders>
          <w:top w:val="single" w:sz="4" w:space="0" w:color="5B9BD5" w:themeColor="accent1"/>
          <w:bottom w:val="single" w:sz="4" w:space="0" w:color="5B9BD5" w:themeColor="accent1"/>
          <w:insideH w:val="single" w:sz="4" w:space="0" w:color="5B9BD5" w:themeColor="accent1"/>
        </w:tcBorders>
        <w:shd w:val="clear" w:color="auto" w:fill="5B9BD5" w:themeFill="accent1"/>
      </w:tcPr>
    </w:tblStylePr>
    <w:tblStylePr w:type="lastRow">
      <w:rPr>
        <w:b/>
        <w:color w:val="FFFFFF" w:themeColor="background1"/>
      </w:rPr>
      <w:tblPr/>
      <w:tcPr>
        <w:shd w:val="clear" w:color="auto" w:fill="44546A" w:themeFill="text2"/>
      </w:tcPr>
    </w:tblStylePr>
    <w:tblStylePr w:type="firstCol">
      <w:tblPr/>
      <w:tcPr>
        <w:shd w:val="clear" w:color="auto" w:fill="E7E6E6" w:themeFill="background2"/>
      </w:tcPr>
    </w:tblStylePr>
    <w:tblStylePr w:type="lastCol">
      <w:tblPr/>
      <w:tcPr>
        <w:shd w:val="clear" w:color="auto" w:fill="E7E6E6" w:themeFill="background2"/>
      </w:tcPr>
    </w:tblStylePr>
    <w:tblStylePr w:type="band1Vert">
      <w:tblPr/>
      <w:tcPr>
        <w:shd w:val="clear" w:color="auto" w:fill="DEEAF6" w:themeFill="accent1" w:themeFillTint="33"/>
      </w:tcPr>
    </w:tblStylePr>
    <w:tblStylePr w:type="band2Vert">
      <w:tblPr/>
      <w:tcPr>
        <w:shd w:val="clear" w:color="auto" w:fill="BDD6EE" w:themeFill="accent1" w:themeFillTint="66"/>
      </w:tcPr>
    </w:tblStylePr>
    <w:tblStylePr w:type="band1Horz">
      <w:tblPr/>
      <w:tcPr>
        <w:shd w:val="clear" w:color="auto" w:fill="DEEAF6" w:themeFill="accent1" w:themeFillTint="33"/>
      </w:tcPr>
    </w:tblStylePr>
    <w:tblStylePr w:type="band2Horz">
      <w:tblPr/>
      <w:tcPr>
        <w:shd w:val="clear" w:color="auto" w:fill="BDD6EE" w:themeFill="accent1" w:themeFillTint="66"/>
      </w:tcPr>
    </w:tblStylePr>
  </w:style>
  <w:style w:type="paragraph" w:styleId="BodyText">
    <w:name w:val="Body Text"/>
    <w:basedOn w:val="Normal"/>
    <w:link w:val="BodyTextChar"/>
    <w:uiPriority w:val="99"/>
    <w:unhideWhenUsed/>
    <w:qFormat/>
    <w:rsid w:val="0099143B"/>
  </w:style>
  <w:style w:type="character" w:customStyle="1" w:styleId="BodyTextChar">
    <w:name w:val="Body Text Char"/>
    <w:basedOn w:val="DefaultParagraphFont"/>
    <w:link w:val="BodyText"/>
    <w:uiPriority w:val="99"/>
    <w:rsid w:val="0099143B"/>
    <w:rPr>
      <w:color w:val="44546A" w:themeColor="text2"/>
      <w:lang w:val="en-GB"/>
    </w:rPr>
  </w:style>
  <w:style w:type="character" w:customStyle="1" w:styleId="Heading2Char">
    <w:name w:val="Heading 2 Char"/>
    <w:basedOn w:val="DefaultParagraphFont"/>
    <w:link w:val="Heading2"/>
    <w:uiPriority w:val="9"/>
    <w:rsid w:val="0099143B"/>
    <w:rPr>
      <w:rFonts w:asciiTheme="majorHAnsi" w:eastAsiaTheme="majorEastAsia" w:hAnsiTheme="majorHAnsi" w:cstheme="majorBidi"/>
      <w:color w:val="2E74B5" w:themeColor="accent1" w:themeShade="BF"/>
      <w:sz w:val="26"/>
      <w:szCs w:val="26"/>
      <w:lang w:val="en-GB"/>
    </w:rPr>
  </w:style>
  <w:style w:type="table" w:styleId="ListTable3-Accent2">
    <w:name w:val="List Table 3 Accent 2"/>
    <w:basedOn w:val="TableNormal"/>
    <w:uiPriority w:val="48"/>
    <w:rsid w:val="0099143B"/>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character" w:styleId="CommentReference">
    <w:name w:val="annotation reference"/>
    <w:basedOn w:val="DefaultParagraphFont"/>
    <w:uiPriority w:val="99"/>
    <w:semiHidden/>
    <w:unhideWhenUsed/>
    <w:rsid w:val="00A4701D"/>
    <w:rPr>
      <w:sz w:val="16"/>
      <w:szCs w:val="16"/>
    </w:rPr>
  </w:style>
  <w:style w:type="paragraph" w:styleId="CommentText">
    <w:name w:val="annotation text"/>
    <w:basedOn w:val="Normal"/>
    <w:link w:val="CommentTextChar"/>
    <w:uiPriority w:val="99"/>
    <w:unhideWhenUsed/>
    <w:rsid w:val="00A4701D"/>
    <w:pPr>
      <w:spacing w:line="240" w:lineRule="auto"/>
    </w:pPr>
    <w:rPr>
      <w:sz w:val="20"/>
      <w:szCs w:val="20"/>
    </w:rPr>
  </w:style>
  <w:style w:type="character" w:customStyle="1" w:styleId="CommentTextChar">
    <w:name w:val="Comment Text Char"/>
    <w:basedOn w:val="DefaultParagraphFont"/>
    <w:link w:val="CommentText"/>
    <w:uiPriority w:val="99"/>
    <w:rsid w:val="00A4701D"/>
    <w:rPr>
      <w:color w:val="44546A" w:themeColor="text2"/>
      <w:sz w:val="20"/>
      <w:szCs w:val="20"/>
      <w:lang w:val="en-GB"/>
    </w:rPr>
  </w:style>
  <w:style w:type="paragraph" w:styleId="CommentSubject">
    <w:name w:val="annotation subject"/>
    <w:basedOn w:val="CommentText"/>
    <w:next w:val="CommentText"/>
    <w:link w:val="CommentSubjectChar"/>
    <w:uiPriority w:val="99"/>
    <w:semiHidden/>
    <w:unhideWhenUsed/>
    <w:rsid w:val="00A4701D"/>
    <w:rPr>
      <w:b/>
      <w:bCs/>
    </w:rPr>
  </w:style>
  <w:style w:type="character" w:customStyle="1" w:styleId="CommentSubjectChar">
    <w:name w:val="Comment Subject Char"/>
    <w:basedOn w:val="CommentTextChar"/>
    <w:link w:val="CommentSubject"/>
    <w:uiPriority w:val="99"/>
    <w:semiHidden/>
    <w:rsid w:val="00A4701D"/>
    <w:rPr>
      <w:b/>
      <w:bCs/>
      <w:color w:val="44546A" w:themeColor="text2"/>
      <w:sz w:val="20"/>
      <w:szCs w:val="20"/>
      <w:lang w:val="en-GB"/>
    </w:rPr>
  </w:style>
  <w:style w:type="paragraph" w:styleId="BalloonText">
    <w:name w:val="Balloon Text"/>
    <w:basedOn w:val="Normal"/>
    <w:link w:val="BalloonTextChar"/>
    <w:uiPriority w:val="99"/>
    <w:semiHidden/>
    <w:unhideWhenUsed/>
    <w:rsid w:val="00A4701D"/>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701D"/>
    <w:rPr>
      <w:rFonts w:ascii="Segoe UI" w:hAnsi="Segoe UI" w:cs="Segoe UI"/>
      <w:color w:val="44546A" w:themeColor="text2"/>
      <w:sz w:val="18"/>
      <w:szCs w:val="18"/>
      <w:lang w:val="en-GB"/>
    </w:rPr>
  </w:style>
  <w:style w:type="paragraph" w:styleId="Header">
    <w:name w:val="header"/>
    <w:basedOn w:val="Normal"/>
    <w:link w:val="HeaderChar"/>
    <w:uiPriority w:val="99"/>
    <w:unhideWhenUsed/>
    <w:rsid w:val="00BF1D6E"/>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BF1D6E"/>
    <w:rPr>
      <w:color w:val="44546A" w:themeColor="text2"/>
      <w:lang w:val="en-GB"/>
    </w:rPr>
  </w:style>
  <w:style w:type="paragraph" w:styleId="Footer">
    <w:name w:val="footer"/>
    <w:basedOn w:val="Normal"/>
    <w:link w:val="FooterChar"/>
    <w:uiPriority w:val="99"/>
    <w:unhideWhenUsed/>
    <w:rsid w:val="00BF1D6E"/>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BF1D6E"/>
    <w:rPr>
      <w:color w:val="44546A" w:themeColor="text2"/>
      <w:lang w:val="en-GB"/>
    </w:rPr>
  </w:style>
  <w:style w:type="paragraph" w:styleId="Title">
    <w:name w:val="Title"/>
    <w:basedOn w:val="Normal"/>
    <w:next w:val="Normal"/>
    <w:link w:val="TitleChar"/>
    <w:uiPriority w:val="10"/>
    <w:qFormat/>
    <w:rsid w:val="002A7492"/>
    <w:pPr>
      <w:spacing w:before="0"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2A7492"/>
    <w:rPr>
      <w:rFonts w:asciiTheme="majorHAnsi" w:eastAsiaTheme="majorEastAsia" w:hAnsiTheme="majorHAnsi" w:cstheme="majorBidi"/>
      <w:spacing w:val="-10"/>
      <w:kern w:val="28"/>
      <w:sz w:val="56"/>
      <w:szCs w:val="56"/>
      <w:lang w:val="en-GB"/>
    </w:rPr>
  </w:style>
  <w:style w:type="character" w:customStyle="1" w:styleId="Heading4Char">
    <w:name w:val="Heading 4 Char"/>
    <w:basedOn w:val="DefaultParagraphFont"/>
    <w:link w:val="Heading4"/>
    <w:uiPriority w:val="9"/>
    <w:rsid w:val="002A7492"/>
    <w:rPr>
      <w:rFonts w:asciiTheme="majorHAnsi" w:eastAsiaTheme="majorEastAsia" w:hAnsiTheme="majorHAnsi" w:cstheme="majorBidi"/>
      <w:i/>
      <w:iCs/>
      <w:color w:val="2E74B5" w:themeColor="accent1" w:themeShade="BF"/>
      <w:lang w:val="en-GB"/>
    </w:rPr>
  </w:style>
  <w:style w:type="character" w:customStyle="1" w:styleId="Heading5Char">
    <w:name w:val="Heading 5 Char"/>
    <w:basedOn w:val="DefaultParagraphFont"/>
    <w:link w:val="Heading5"/>
    <w:uiPriority w:val="9"/>
    <w:rsid w:val="00EA6889"/>
    <w:rPr>
      <w:rFonts w:asciiTheme="majorHAnsi" w:eastAsiaTheme="majorEastAsia" w:hAnsiTheme="majorHAnsi" w:cstheme="majorBidi"/>
      <w:color w:val="2E74B5" w:themeColor="accent1" w:themeShade="BF"/>
      <w:lang w:val="en-GB"/>
    </w:rPr>
  </w:style>
  <w:style w:type="character" w:customStyle="1" w:styleId="Heading1Char">
    <w:name w:val="Heading 1 Char"/>
    <w:basedOn w:val="DefaultParagraphFont"/>
    <w:link w:val="Heading1"/>
    <w:uiPriority w:val="9"/>
    <w:rsid w:val="00DC5D6C"/>
    <w:rPr>
      <w:rFonts w:asciiTheme="majorHAnsi" w:eastAsiaTheme="majorEastAsia" w:hAnsiTheme="majorHAnsi" w:cstheme="majorBidi"/>
      <w:color w:val="2E74B5" w:themeColor="accent1" w:themeShade="BF"/>
      <w:sz w:val="32"/>
      <w:szCs w:val="32"/>
      <w:lang w:val="en-GB"/>
    </w:rPr>
  </w:style>
  <w:style w:type="paragraph" w:styleId="NoSpacing">
    <w:name w:val="No Spacing"/>
    <w:link w:val="NoSpacingChar"/>
    <w:uiPriority w:val="1"/>
    <w:qFormat/>
    <w:rsid w:val="00531566"/>
    <w:pPr>
      <w:suppressAutoHyphens/>
      <w:spacing w:after="0" w:line="240" w:lineRule="auto"/>
    </w:pPr>
    <w:rPr>
      <w:color w:val="44546A" w:themeColor="text2"/>
      <w:lang w:val="en-GB"/>
    </w:rPr>
  </w:style>
  <w:style w:type="table" w:styleId="ListTable3-Accent5">
    <w:name w:val="List Table 3 Accent 5"/>
    <w:basedOn w:val="TableNormal"/>
    <w:uiPriority w:val="48"/>
    <w:rsid w:val="009F17F7"/>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styleId="FootnoteText">
    <w:name w:val="footnote text"/>
    <w:basedOn w:val="Normal"/>
    <w:link w:val="FootnoteTextChar"/>
    <w:uiPriority w:val="99"/>
    <w:semiHidden/>
    <w:unhideWhenUsed/>
    <w:rsid w:val="00FD5917"/>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FD5917"/>
    <w:rPr>
      <w:color w:val="44546A" w:themeColor="text2"/>
      <w:sz w:val="20"/>
      <w:szCs w:val="20"/>
      <w:lang w:val="en-GB"/>
    </w:rPr>
  </w:style>
  <w:style w:type="character" w:styleId="FootnoteReference">
    <w:name w:val="footnote reference"/>
    <w:basedOn w:val="DefaultParagraphFont"/>
    <w:uiPriority w:val="99"/>
    <w:semiHidden/>
    <w:unhideWhenUsed/>
    <w:rsid w:val="00FD5917"/>
    <w:rPr>
      <w:vertAlign w:val="superscript"/>
    </w:rPr>
  </w:style>
  <w:style w:type="table" w:styleId="GridTable4-Accent1">
    <w:name w:val="Grid Table 4 Accent 1"/>
    <w:basedOn w:val="TableNormal"/>
    <w:uiPriority w:val="49"/>
    <w:rsid w:val="00196F15"/>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ListParagraph">
    <w:name w:val="List Paragraph"/>
    <w:basedOn w:val="Normal"/>
    <w:uiPriority w:val="34"/>
    <w:qFormat/>
    <w:rsid w:val="007168AC"/>
    <w:pPr>
      <w:suppressAutoHyphens w:val="0"/>
      <w:spacing w:before="0" w:after="160" w:line="259" w:lineRule="auto"/>
      <w:ind w:left="720"/>
      <w:contextualSpacing/>
    </w:pPr>
    <w:rPr>
      <w:color w:val="auto"/>
      <w:lang w:val="en-AU" w:eastAsia="en-AU"/>
    </w:rPr>
  </w:style>
  <w:style w:type="paragraph" w:customStyle="1" w:styleId="Bodytext11">
    <w:name w:val="Body text 11"/>
    <w:basedOn w:val="Normal"/>
    <w:qFormat/>
    <w:rsid w:val="00E617CF"/>
    <w:pPr>
      <w:suppressAutoHyphens w:val="0"/>
      <w:spacing w:before="0" w:after="200" w:line="240" w:lineRule="auto"/>
      <w:jc w:val="both"/>
    </w:pPr>
    <w:rPr>
      <w:rFonts w:eastAsiaTheme="majorEastAsia" w:cstheme="majorBidi"/>
      <w:color w:val="auto"/>
      <w:lang w:val="en-US"/>
    </w:rPr>
  </w:style>
  <w:style w:type="character" w:customStyle="1" w:styleId="NoSpacingChar">
    <w:name w:val="No Spacing Char"/>
    <w:basedOn w:val="DefaultParagraphFont"/>
    <w:link w:val="NoSpacing"/>
    <w:uiPriority w:val="1"/>
    <w:rsid w:val="00E21AC4"/>
    <w:rPr>
      <w:color w:val="44546A" w:themeColor="text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B058D4-2D2C-4643-B2A6-1507123A9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853</Words>
  <Characters>4862</Characters>
  <Application>Microsoft Office Word</Application>
  <DocSecurity>0</DocSecurity>
  <Lines>148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2021-12-14T22:45:00Z</dcterms:created>
  <dcterms:modified xsi:type="dcterms:W3CDTF">2021-12-14T22:45:00Z</dcterms:modified>
  <cp:category/>
</cp:coreProperties>
</file>