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36329" w14:textId="5CBF2CD4" w:rsidR="00BB5302" w:rsidRDefault="001E451A">
      <w:r>
        <w:rPr>
          <w:noProof/>
          <w:lang w:val="en-AU" w:eastAsia="en-AU"/>
        </w:rPr>
        <mc:AlternateContent>
          <mc:Choice Requires="wpg">
            <w:drawing>
              <wp:anchor distT="0" distB="0" distL="114300" distR="114300" simplePos="0" relativeHeight="251664383" behindDoc="0" locked="0" layoutInCell="1" allowOverlap="1" wp14:anchorId="2D27A499" wp14:editId="17D3E8A9">
                <wp:simplePos x="0" y="0"/>
                <wp:positionH relativeFrom="margin">
                  <wp:align>center</wp:align>
                </wp:positionH>
                <wp:positionV relativeFrom="paragraph">
                  <wp:posOffset>-668654</wp:posOffset>
                </wp:positionV>
                <wp:extent cx="7114540" cy="1612312"/>
                <wp:effectExtent l="0" t="0" r="0" b="6985"/>
                <wp:wrapNone/>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14540" cy="1612312"/>
                          <a:chOff x="0" y="0"/>
                          <a:chExt cx="7114540" cy="1612312"/>
                        </a:xfrm>
                      </wpg:grpSpPr>
                      <wpg:grpSp>
                        <wpg:cNvPr id="149" name="Group 149"/>
                        <wpg:cNvGrpSpPr/>
                        <wpg:grpSpPr>
                          <a:xfrm>
                            <a:off x="0" y="0"/>
                            <a:ext cx="7114540" cy="129159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 name="Group 10"/>
                        <wpg:cNvGrpSpPr/>
                        <wpg:grpSpPr>
                          <a:xfrm>
                            <a:off x="0" y="320722"/>
                            <a:ext cx="7114540" cy="1291590"/>
                            <a:chOff x="0" y="-1"/>
                            <a:chExt cx="7315200" cy="1216153"/>
                          </a:xfrm>
                        </wpg:grpSpPr>
                        <wps:wsp>
                          <wps:cNvPr id="11"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0"/>
                              <a:ext cx="7315200" cy="1216152"/>
                            </a:xfrm>
                            <a:prstGeom prst="rect">
                              <a:avLst/>
                            </a:prstGeom>
                            <a:blipFill>
                              <a:blip r:embed="rId9"/>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F6EB030" id="Group 13" o:spid="_x0000_s1026" alt="&quot;&quot;" style="position:absolute;margin-left:0;margin-top:-52.65pt;width:560.2pt;height:126.95pt;z-index:251664383;mso-position-horizontal:center;mso-position-horizontal-relative:margin" coordsize="71145,16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ob9NAcAABA1AAAOAAAAZHJzL2Uyb0RvYy54bWzsW9+PmzgQfj/p/gfE&#10;40ltAvnVRM1Wq91rValqq7anto8OMQkSYM52Nrv96++zjVmT3QWS6Cr1jpcEwozHnvk8tr8hL1/d&#10;Zql3Q7lIWL70g+dD36N5xNZJvln6f315/eyF7wlJ8jVJWU6X/h0V/quL3397uS8WNGRblq4p99BI&#10;Lhb7YulvpSwWg4GItjQj4jkraI6HMeMZkbjlm8Gakz1az9JBOBxOB3vG1wVnERUCv16bh/6Fbj+O&#10;aSQ/xLGg0kuXPvom9SfXnyv1Obh4SRYbToptEpXdICf0IiNJDqNVU9dEEm/HkwdNZUnEmWCxfB6x&#10;bMDiOImoHgNGEwwPRvOGs12hx7JZ7DdF5Sa49sBPJzcbvb/5yL1kjdiNfC8nGWKkzXq4h3P2xWYB&#10;mTe8+Fx85OUPG3Onxnsb80x9YyTerXbrXeVWeiu9CD/OgmA8GcP7EZ4F0yAcBaFxfLRFdB7oRds/&#10;WzQH1vBA9a/qTnVT9duObTw/GBx++FdGF86DybyE1cHongV20NXwRsEEIC4dE8I1E+30J4eHOSLu&#10;YSDOg8HnLSmoRpdQIbaumqA/BgefMHtIvkmpN9Fd3xdasAKCWAhg4kkU2PFWMKiNNhgNR7P6aMki&#10;2gn5hjKNKHLzTkgzPde40pNrXfYsYnkuEkm/oa9xlmLG/jHwht7emwFa06md1ofi3+viWy8I4XEb&#10;rs2h+LfAab1sud2GqzT0Wm2Ep9hwlcoxtFvC/D7GV654Zxvj42zUxVt9VQ9fH+0m7LrhG02nsyCc&#10;tGPXVQrC4Xw6m7Tjqh7E1qi44p1xNTkOV3XxHlePJs/vZ2eR0TSYT4Yd8q6Lq9loNAYWW4Pi4qSD&#10;CVe8h5XZaTxY0b7/9MUpCOfTaYdouwjpYdW4K3FXwfmkTOthGLyYPBV1V0NvSUxUnhA/2PbolvXS&#10;0WjjAbKabbi5ZzbqaMNVCu6R1WypjqxwPuziMVfpPmE1G3IzkElYjQ5zxYMhjg1mmjTbcBe2brF3&#10;NTrEvg6V1sW8Lo6c3tx9FySnb6ibbbgg6WzDVToRWWcthc1DcqFy7FJ4CrI62GiAFU6vG3tiI1t7&#10;iItu8/IUhysPx0pFE6h9ScGEYgDcIx1oAnuLIxvOgGgSWkq6RRkAc5X1sbWzMkDgKmuOorMyMoar&#10;bE+23bqNALvK46PGjFC4ynoVsN0236XjOc7zigdLNQ8mfQ88GPc98GArsxQURKp46ajg0tuDuykP&#10;1N4W1E2JUvU8Yzf0C9OS8oDAgc37p2nuSlWtocM2sFbCfhe6PVfS2jVAsHL228iXewbtCpOwSx9a&#10;MfttxJG30IUy7XaQPOxslDJBTX+U0zRCK+8ppztERqqBm7PXSZraIUBBsSmGP9FX8i6lyp1p/onG&#10;IOQwJUI9PzQVSq9S7t0QBI9EEc1lYB5tyZqan7ENB5Fkmq80dLd0g6rlGPartssGFM36sG3TTCmv&#10;VKlmUitlM3ErM/WOGeVKQ1tmuayUsyRn/LGRpRhVadnIWycZ1ygvrdj6DjwVZ4bHFUX0OuFCviNC&#10;fiQcNBDiCjJafsBHnDLgFzDVV763ZfzHY78reRBpeOp7exDBS1/8vSOc+l76NgfFNg/GiruU+mY8&#10;mYW44e6Tlfsk32VXDGFCIkLv9KWSl6m9jDnLvoKzvlRW8YjkEWwj4UlMRXNzJXGPR2C9I3p5qa/B&#10;FgNf7/LPRaQaV14tMPIvt18JLzx1ufQlmLb3zNJ6ZGEZNODxXlZp5uxyJ1mcKHpN49D4tbwBxaj4&#10;05/CNcJNh1xjcBLZqLEPoFriuMY1ambVpnPLWCuXKK6xdJ5KjtqtB16zdOQqTQo1g5X/1HVJxiNS&#10;B1T8IyULQ/Nfs2iXYe6augWnKZEomohtUgggZEGzFV0jIb9dlzyxkJzKCLnFTl1kb5h7NpvM7AJR&#10;iSDEbgf7lBP3KedXSzn3tRxTvtFlnQeVHOTFWpVKT/yTqlSjcDgLy0JUlTdqpapfv5jzSH49Kb32&#10;tRyUl1opS/cUedrR09Sj2i25/ESH05or3pkcPePU2cFXan/TV+5UBee4aPe1nOaabY8rW9U+Fldn&#10;EVjNQTkjlXROV3VGqpW5rIu3pvYeVpbb7WHV9IbJGbDqxufXgXgk496xzoJdo7M2t9qob3s62nCV&#10;TmTc+1pOc9mgDpXWjFgXb426C5LOm11XqUM1ygVJZxuu0onIOmspbA7KOUthX8tR1HqnQhBA4BZF&#10;LPnXTbmv5Tj1mb6W49RyBEuTtaWBBd+sqrrMeDwLrype1hVLc1VIC8KZftNXFRhiUL946TcrwPeK&#10;fAPeP93g7XlVAjD0vLIAbt7w9tdEbE2JRVtXNRJU2PD2K/fSJFv6L1Tpx9Z+DPNrqi+m9HpQaOpL&#10;KP+tEgoS3YMKis52qoKD17q7vq3dF1DqBZR+zv4fy55uDUJf4283uope/kVI/a/Hvdcl0/s/Ml38&#10;AwAA//8DAFBLAwQKAAAAAAAAACEAmxsUEWhkAABoZAAAFAAAAGRycy9tZWRpYS9pbWFnZTEucG5n&#10;iVBORw0KGgoAAAANSUhEUgAACWAAAAGPCAYAAADYsOteAAAACXBIWXMAAC4jAAAuIwF4pT92AAAA&#10;GXRFWHRTb2Z0d2FyZQBBZG9iZSBJbWFnZVJlYWR5ccllPAAAY/VJREFUeNrs3e1uG2l6LuoqkqKo&#10;L9qR7e1xz3gjwUJmgPVjAQtY+RkkJ7DzJ0AOYR3APqucQI5jY//dQSYTz7TbbUmWKFmiLX5sPmS9&#10;1ttsutuyVRI/rgt4UaWiu+muUtti8eb9lOPx+P8qAAAAAJbD9WT1JutssgaTdTRZV2VZXjo1AAAA&#10;AMAyKgWwAAAAgBVxPFkRxLoqZsGs67Ise04LAAAAAPCQBLAAAACAVRchrMvipjkrglnHTgsAAAAA&#10;cB8EsAAAAIB1ldqyUnPWpWAWAAAAAHDXBLAAAACATXNd3LRlXVXbXlmW104NAAAAAHBbAlgAAAAA&#10;N1JbVgSzjmJbluWl0wIAAAAAfI4AFgAAAMCvi2BW3pwV4wx7TgsAAAAAIIAFAAAA8PUihBXBrNSc&#10;FcGsY6cFAAAAADaHABYAAADA3UtjDFNzVrRm9cqyvHZqAAAAAGC9CGABAAAA3J98jOFgso4m66os&#10;y0unBgAAAABWkwAWAAAAwHJIYwyjOSuCWddlWfacFgAAAABYbgJYAAAAAMstQliXxU1zVgSzjp0W&#10;AAAAAHgQzclqVasxWVsCWAAAAACrKbVlpeasS8EsAAAAALgT02BVMQtbxdqerLI69jMCWAAAAADr&#10;5bq4acu6qra9siyvnRoAAAAA+Ik8WBUrglft2/5LBLAAAAAANkdqy4pg1lFsy7K8dFoAAAAAWGOp&#10;ySpt8/GBd0IACwAAAIAIZuXNWTHOsOe0AAAAALAi8vaq+fGBdRlN1iCWABYAAAAAnxMhrAhmpeas&#10;CGYdOy0AAAAAPID59qp8fGCdPhazsNV1tcaT9SH/BQJYAAAAANxWGmOYmrOiNatXluW1UwMAAADA&#10;N5hvr8qbreoU97WG2Tbtj77kHxbAAgAAAOCu5GMMo379aLKuyrK8dGoAAAAAyOTtVanZqu6QVQpW&#10;RXvVp/GB1bFvIoAFAAAAwH1IYwyjOSuCWddlWfacFgAAAIC1lbdXzY8PrMt8e1U+PrA2AlgAAAAA&#10;PKQIYV0WN81ZEcw6dloAAAAAVkLeXjU/PrAu8+1VEa4aF7NmqwchgAUAAADAMkptWak561IwCwAA&#10;AOBBpGBVaq/KxwfWKW+vyscHLh0BLAAAAABWSdxwS21ZV9W2V5bltVMDAAAA8NXm26vy8YF1ytur&#10;UrNVGh+4MgSwAAAAAFgXqS0rgllHsS3L8tJpAQAAAPgkb69K4wNTs1VdUntVBKsGxU/HB64FASwA&#10;AAAA1l0Es/LmrBhn2HNaAAAAgDWVt1fNjw+sy3x7VT4+cO0JYAEAAACwqSKEdZltI5h17LQAAAAA&#10;K2C+vWq7uBkfWJcUskrtVfn4wI0mgAUAAAAAP5XGGKbmrGjN6pVlee3UAAAAAPcotVelYFU+PrBO&#10;eXtVPj5w5JIsJoAFAAAAAF8mH2N4lbZlWV46NQAAAMA3yNur8vGBdcrbq+abrbglASwAAAAA+HbR&#10;lpWas44m67osy57TAgAAAFTy9qr58YF1mW+vimYrIasaCGABAAAAQH0ihHVZ3DRnXQpmAQAAwNrK&#10;26vmxwfWZb69Kh8fyD0RwAIAAACA+5faslJzVgSzjp0WAAAAWHrz7VV5s1Wd8mBVPj6QJdByCgAA&#10;AADg3u1W60k6MB7HfdPpDdTUlnVVbXtlWfrUKgAAANyf+faqrWxbp3j9P8y2+fhAHth4PI5ms+3q&#10;y51ilruK74sdDVgAAAAAsPxSMCs1Zx3FtizLS6cGAAAAvlreXpWPD6z7NX5qr5ofH8gDGI/HB9Xu&#10;fMAqjY48+LV/hwAWAAAAAKy2GF2YN2fFOMOe0wIAAABTebBqfnxgXebbq/LxgdyD8Xi8W/w8QNUu&#10;bgJ2+ePfTAALAAAAANZTasxK2whmHTstAAAArKEUrIpwzfz4wLrMt1flzVbUYDwex/Xcrb5MIwDD&#10;fvZ9sPsQvzcBLAAAAADYLGmMYWrOitasXlmWPoULAADAMptvr8rHB9Ypb69KzVZCVncoGwE4H7D6&#10;4hGAD00ACwAAAAAI+RjDq7Qty/LSqQEAAOCezLdX5eMD635NnNqr5scH8hXG43Fcs+3qyzxgtVPt&#10;3+kIwIcmgAUAAAAA/Jpoy0rNWUeTdV2WZc9pAQAA4Cvl7VX5+MA65e1V8+MD+QJzIwDzgNWDjwB8&#10;aAJYAAAAAMDXihDWZXHTnHUpmAUAAEAlb69KzVZpfGBdUrAqtVfl4wP5jPF4nNqo5gNWKRR34Cz9&#10;MgEsAAAAAOCupbas1JwVwaxjpwUAAGDtpPaqtPLxgXWZb6/KxwdSmRsBuFNdn3wEYDzWdqbuhgAW&#10;AAAAAHBf4qZ4asu6qra9six9EhkAAGB5zbdX5eMD65S3V6XxganZamONx+PURjUfsJpvsOIeCWAB&#10;AAAAAA8tBbNSc9ZRbMuyvHRqAAAA7k2EeVKIJx8fWPfrwdReNT8+cGNkIwBDHrBK5z9/nCUkgAUA&#10;AAAALLMYXZg3Z8U4w57TAgAA8FXy9qp8fGCjxuecb6+KZqs0PnBtfWYEYNjProURgGtCAAsAAAAA&#10;WEWpMSttI5h17LQAAAD8pL0qjQ9MzVZ1Se1VKViVjw9cK9kIwHzc307x8wYrNogAFgAAAACwTtIY&#10;w9ScFa1ZvbIsr50aAABgjcy3V+XjA+uUt1fl4wNX2mdGAMbXO9W+EYD8IgEsAAAAAGAT5GMMr9K2&#10;LMtLpwYAAFhS8+1V+fjAOuXtVfPjA1fGeDzOG6rycYBpBGD+OHwTASwAAAAAYNNFW1ZqzjqarOuy&#10;LHtOCwAAcE/yYFU+PrBOeXvV/PjApfaZEYDt7JwZAci9E8ACAAAAAFgsQliXxU1z1qVgFgAA8JVS&#10;k1Xa5uMD6zLfXpU3Wy2V8XicN1TtVOcmHwEYj7V9G7GsBLAAAAAAAG4ntWWl5qwIZh07LQAAsPHy&#10;9qr58YF1mW+vus62D+oXRgDuZOfFCEDWggAWAAAAAMDdiDc4UlvWVbXtlWV57dQAAMDamG+vyscH&#10;1ilvr8rHB9678Xi8W9yEytK4v3wEYP44bAQBLAAAAACAeqVgVmrOOoptWZaXTg0AACyl+faqvNmq&#10;7tcOKVg1Pz6wVp8ZARj2q60RgPALBLAAAAAAAB5OjC7Mm7NinGHPaQEAgHuRt1elZqu6Q0YpWBUh&#10;q/nxgXduPB7nDVXzIwDDgW8D+HYCWAAAAAAAyyc1ZqVtBLOOnRYAALi1vL1qfnxgXebbq/Lxgd/s&#10;MyMA4+udat8IQLhnAlgAAAAAAKsjjTFMzVnRmtUry/LaqQEAYIPl7VXz4wPrMt9elY8PvLXxeBy/&#10;193qy0UjAPPHgSUjgAUAAAAAsPryMYZXaVuW5aVTAwDAmkjBqtRelY8PrFPeXpWPD/wi2QjAPEDV&#10;Lm5GHRoBCGtAAAsAAAAAYL1FW1ZqzjqarOuyLHtOCwAAS2i+vSofH1invL0qNVul8YE/Mx6P4/ez&#10;XX25aATg9j38noElIoAFAAAAALCZIoR1Wdw0Z10KZgEAcE/y9qo0PjA1W9UltVdFsGpQ/HR84PwI&#10;wDxgtVPcBMKMAAQWEsACAAAAACCX2rJSc1YEs46dFgAAbilvr5ofH1iX+faqj//6r/+6/S//8i/R&#10;bvW5EYC71WMAX00ACwAAAACALxFvYqW2rKtq2yvL8tqpAQDYWPPtVdvFTVtUbf7hH/6h+J//8382&#10;u93u8O///u9bjx8/bvyv//W/osnKCEDgQQhgAQAAAADwLVIwKzVnHcW2LMtLpwYAYC2k9qoUrMrH&#10;B96pf/qnf9qP7W9+85utP/zhD+X29vbob//2b7cODw+LR48ejV6+fLnd6XTGLgmwbASwAAAAAACo&#10;S4wuzJuzYpxhz2kBAFhKeXtVPj7wm/zjP/7jTrfbnTZi/ff//t/3Yjv5ur23t9d+9OjR4K/+6q+2&#10;f/Ob34za7fboyZMng8ljo8nxocsBrBIBLAAAAAAA7ltqzErbCGYdOy0AALVLTVZpm48P/GIvXrxo&#10;/t3f/d103N/f/M3fdHZ2dprV8WmD1dbWVuPg4GD6eKfTGe7u7kaoajA5Pp78mo9CVsC6EcACAAAA&#10;AGBZpDGGqTkrWrN6ZVleOzUAAF8sb6+aHx/4i9IIwIODg8bLly+nAaqnT5/ubG1tTf/Zw8PDvUX/&#10;XKvVGne73cHOzs5wb29vFCGrdrs9fv78+cDlADaBABYAAAAAAMsuH2N4lbZlWV46NQDAhppvr4rx&#10;gWUxC1v9xP/4H/+j/dd//dfTUYJpBOD29nbz8PBwGrDa3d3d6nQ6XzRqcPLPXLdardHjx4+Hk/3B&#10;5N8zevnypbA8sPEEsAAAAAAAWGXRlpWas44KwSwAYH3Mt1d9Gh+YjwD8zW9+s3V4eDgNUC0aAXhb&#10;k39u2mQVIav9/f3h5Ovhs2fPBp1OZ+ySACwmgAUAAAAAwDqKxqzL4qY567Isy57TAgAsoU/tVf/8&#10;z//c3d/fbw0Gg500ArDb7bb39vamAavPjQC8rQhZbW1tjZ8+fXrdbrdHT548GUyeZ/To0aOhywFw&#10;ewJYAAAAAABsktSWlZqzIph17LQAAHUZj8ftf/u3f9s7OTkp+/3+o+vr63asra2t7mTbuM0IwNuY&#10;/DuHk393hKqmYasXL158bLfb4+fPnw9cFYC7JYAFAAAAAAA3wayzbNsry/LaqQEAFhmPxwfVboSn&#10;tl+9etW4uLjY/8tf/rIzGo2ixap7eXnZ6Pf7zbp+D61Wa9ztdqcjA/f29kaHh4eD7e3t0cuXL/0M&#10;A3CPBLAAAAAAAODz4s3LNM4wgllHsS3L8tKpAYD1Mx6PdyebFJjKA1bThqrT09P98/Pz9vHxcevj&#10;x4+No6Ojrevr63JyrFXn7+vw8PC61WqNHj9+PNzf3x8eHBwMhawAlocAFgAAAAAAfJ00xjA1ZsU4&#10;w57TAgDLZTweR6Bqt/pyZ7JSWGq/2m4XVcAq9Pv98u3bt63z8/PmxcVF8/T0tDkYDBonJydbdf4+&#10;Dw4OpqMCnz59ep1CVs+ePRt0Op2xqwiw3ASwAAAAAADgbqXGrLSNYNax0wIAdysbATgfsJpvsFro&#10;1atXWx8+fIhgVev9+/eNq6urZq/Xi9GBZV2/506nM9zd3R1FyKrdbo+ePHky6Ha7o0ePHg1dUYDV&#10;JYAFAAAAAAD3I7VlpeasaUirLEvjgwCgMh6Po4lqu/oyD1jtVPv5iMBf9ebNmxgVWL5+/bodowLP&#10;zs5adYesWq3WuNvtDh49ejRttHrx4sXHdrs9fv78+cAVBlhPAlgAAAAAAPCwIoAVbVkxxjCNM7wq&#10;y/LSqQFgHcyNAMwDVmkEYP74rZ2dnUVzVeP4+DiarJoRsrq8vGz0+/1mXf9NKWS1s7Mz3NvbGx0e&#10;Hg62t7dHL1++FKwG2EACWAAAAAAAsLxSW1YEs44KwSwAlshnRgC2qxUO7uq5+v1++fbt21aErD5+&#10;/Ng4Ojraikar8/PzVp3/jYeHh9etVmv0+PHj4f7+/vDg4GD47NmzQafTGfsOACARwAIAAAAAgNUT&#10;jVmXxU1z1mVZlj2nBYBvNTcCMMb+RcApHwEYj7Xrev5Xr15tnZ+fNy8uLpqnp6fNwWDQODk52arz&#10;v/ng4GA6KvDp06fX7XZ79OTJk4GQFQC3IYAFAAAAAADrI7VlpeasCGYdOy0Am+0XRgBGqKpZfOMI&#10;wNuKkNWHDx8iWBUjAxtXV1cxQrA1GAzKup6z0+kMd3d3R48ePZqGrV68ePGx2+3G10PfIQB8KwEs&#10;AAAAAABYfymYdZZte2VZXjs1AKtrPB5HaKpZfZnG/eUjAPPH79WbN29iVGD5+vXrdowKPDs7a11e&#10;Xjb6/X5tv59WqzXudruDnZ2d4d7e3ihCVu12e/z8+fOB7xYA6iSABQAAAAAAmysCWGmcYQSzjmJb&#10;luWlUwPwMD4zAjDsV9taRwDextnZWTRXNY6PjyNs1Tg6OtqqO2QVDg8Pr1PIarI/2N7eHr18+VKo&#10;GIAHI4AFAAAAAAAsksYYpsasGGfYc1oAvs54PE4NVfm4vzQCMBws4++73++Xb9++bZ2fnzcvLi6a&#10;p6enzRgZOPm6VefzRsiq1WqNHj9+PNzf3x8eHBwMnz17Nuh0OmPfTQAsGwEsAAAAAADgNlJjVtpG&#10;MOvYaQE20WdGAMbXO9X+g40AvK1Xr15tffjwoXFyctKKkNVgMIj9rTqf8+DgYLC1tTV++vTpdbvd&#10;Hj158mTQ7XZHjx49GvruAmCVCGABAAAAAAB3IbVlpeasaUirLEsjoYCVMh6P5xuq5kcA5o+vlDdv&#10;3kybrCJk9f79+0Y0WfV6vdZgMCjres5OpzPc3d2NUNU0bPXixYuP7XZ7/Pz584HvNgDWhQAWAAAA&#10;AABQpwhgRVtWjDFM4wyvyrK8dGqA+/SZEYDtaoWDdfjvjJDVx48fy9evX7evr6/Ls7Oz1uXlZaPf&#10;79fWxNVqtcbdbnews7Mz3NvbGx0eHg5iZKCQFQCbQgALAAAAAAB4KKktK4JZR4VgFnBL4/E4wlPb&#10;1ZeLRgDGY+11++8+OzuL5qrG8fFxhK0aR0dHWxG2Oj8/b9X5vIeHh9etVmv0+PHjYYSstre3Ry9f&#10;vtR0CMDGE8ACAAAAAACWTTRmXRY3zVmXZVn2nBbYDHMjAPOAVYSqmsUKjwC8jX6/X759+3Y6MvDi&#10;4qJ5enraHAwGjZOTk606n/fg4GA6KvDp06fX+/v7w2iyevbs2aDT6Yx9dwLAYgJYAAAAAADAqkht&#10;Wak5K4JZx04LrIbxeByhqfkAVT4CMD2+UV69erX14cOHCFa13r9/37i6umrWHbLqdDrD3d3dUYSs&#10;2u326MmTJ4Nutzt69OjR0HcqANyeABYAAAAAALDqUjDrLNv2yrI0FgtqNjcCMBqq0gi8/Wq7liMA&#10;b+vNmzcxKrB8/fp1O4Wser1eazAYlHU9ZwpZPXr0aNpo9eLFi4/tdnv8/Pnzge9cALhbAlgAAAAA&#10;AMC6igBWGmcYwayj2JZleenUwC8bj8cH1e6iEYDhwFn6qbOzswhVNY6Pj6PJqjn5unV5edno9/u1&#10;tXq1Wq1xt9sd7OzsDPf29kaHh4eD7e3t0cuXLwVQAeAeCWABAAAAAACbKI0xTI1ZMc6w57SwzrIR&#10;gCEPWG30CMDb6Pf75du3b1sRsvr48WPj6Oho6/r6ujw/P2/V+byHh4fXrVZr9Pjx4+H+/v7w4OBg&#10;+OzZs0Gn0xm7KgDw8ASwAAAAAAAAbqTGrLSNYNax08KyGo/HEZjarb5cNAIwf5wvkEJW5+fnzYuL&#10;i+bp6WlzMBg0Tk5Otup83oODg+mowKdPn1632+3RkydPBkJWALAaBLAAAAAAAAB+XWrLSs1Z05BW&#10;WZbGfFGLbATgfMDKCMA78urVq60PHz5EsCpGBjaurq5ihGBrMBiUdT1np9MZ7u7ujh49ejTY29sb&#10;Rsiq2+3G10NXBABWlwAWAAAAAADA14sAVrRlxRjDNM7wqizLS6eGeePxOEb9bVdf5gGrnWo/Hms7&#10;U3fnzZs3MSqwfP36dTtGBZ6dnbXqDlm1Wq1xt9sdRMgqGq1evHjxsd1uj58/fz5wRQBgPQlgAQAA&#10;AAAA1CO1ZUUw66gQzFpLcyMA84CVEYD35OzsLJqrGsfHxxG2ahwdHW1dXl42+v1+s87nPTw8vN7Z&#10;2Rnu7e2NJvuD7e3t0cuXL7XiAcAGEsACAAAAAAC4X9GYdVncNGddlmXZc1qWy3g8jtBUs/hpgKpd&#10;3DRUpce5B/1+v3z79m3r/Py8eXFx0YyQVTRaTb5u1fm8EbJqtVqjx48fD/f394cHBwfDZ8+eDTqd&#10;zthVAQASASwAAAAAAIDlkNqyUnNWBLOOnZa7MzcCMMb+RXjHCMAl8urVq60Usjo9PW0OBoPGycnJ&#10;Vp3PeXBwMB0V+PTp0+t2uz168uTJoNvtjh49ejR0RQCALyGABQAAAAAAsNxSMOss2/bKsjTqrDIe&#10;jw+q3fmAVWqoOnCWlsebN2+mTVYnJyet9+/fN66urmKEYGswGJR1PWen0xnu7u5GqGoatnrx4sVH&#10;ISsA4K4IYAEAAAAAAKymCGClMYaDyTqarKuyLC/X4T8uGwEY8oCVEYArIEJWHz9+LF+/ft2OUYFn&#10;Z2ety8vLRr/fr+2atVqtcbfbHezs7Az39vZGh4eHgxgZ+Pz584ErAgDUSQALAAAAAABg/aQxhqkx&#10;K8YZ9h76NzUejyN8s1t9mUYAhv1qmz/Okjs7O4vmqsbx8XGErRpHR0dbEbY6Pz9v1fm8h4eH161W&#10;a/T48eNhhKy2t7dHL1++1AgHADwYASwAAAAAAIDNESGsy+KmOeu6LMvjb/2XZiMA5wNWRgCuuH6/&#10;X759+3Y6MvDi4qJ5enrajJGBdYesDg4Opk1WEbLa398fRpPVs2fPBp1OZ+yqAADLRgALAAAAAACA&#10;1JaVmrNi9SerUT2eB6x2qn0jANfIq1evtj58+NA4OTlpvX//vhEhq8n+Vp3PGSGrra2t8dOnT6/b&#10;7fboyZMng263O3r06NHQFQEAVknLKQAAAAAAANgY25P1tNqPUFW32v8ue/zJZJ1XK0JY/zVZPxaz&#10;cNb7ybqYrIFTuXrevHkTowLL169ft1PIqtfrtQaDQVnXc3Y6neHu7m6EqqZhqxcvXnxst9vj58+f&#10;+x4CANaGBiwAAAAAAIDVF6GqCE+1J+tZdeyguGmu+u03/vuj6SpCOifFLJQVDVl/rr7+oZiNM+xX&#10;iwd0dnYWoapGhKyur6/Lydety8vLRr/fr62trNVqjbvd7nRk4N7e3ujw8HCwvb09evny5bUrAgBs&#10;AgEsAAAAAACA5ZQ3VOUBq9Rg1S1uAlYPpVGtaMuKEYa9yTqarHeT9cdi1pb1odpyR1LI6vj4OBqt&#10;GkdHR1sRtjo/P691+s3h4eF1q9UaPX78eLi/vz88ODgYClkBAAhgAQAAAAAA3LfURjUfsIpwVT4i&#10;cJVFW1Y0LkUjVgSzYnxhtGRFY9Z/FrPAVgSzTn07LNbv98u3b9+2zs/PmxcXF83T09PmYDBonJyc&#10;bNX5vAcHB9NRgU+fPr1OIatnz54NOp3O2FUBAPjMD78CWAAAAAAAAN8sNVSFPGB1sODxTRctTYNi&#10;1pYVQaxox/p+sn4sZkGt99WxwSacjFevXm19+PAhglWt9+/fN66urqLdqjUYDMq6nrPT6Qx3d3dH&#10;jx49Guzt7Q2fPHky6Ha78fXQtycAwO0JYAEAAAAAACy2aARg+K7aLsMIwHUSjVkROoqWrGjOioDW&#10;D8UsmBVjDc+q4/1V+w978+ZNjAosX79+3Y5RgWdnZ626Q1atVmvc7XYHEbKKRqsXL158bLfb4+fP&#10;nw98qwEA3C0BLAAAAAAAYNOkhqoY+fes2k8jAPPHWQ6NakVbVowzjGDWm2IW1HpVzNqyPlTbB3N2&#10;dhbNVY3j4+NosmpGyOry8rLR7/ebdT1nClnt7OwM9/b2RoeHh4Pt7e3Ry5cvr33bAADcHwEsAAAA&#10;AABgHSwaAdiujs8/znqI9qgIN0UjVgSzYnxhtGRFY9afJ+vdZMVIvdO7esJ+v1++ffu2dX5+3ry4&#10;uGgeHR1tRaPV5OtWnf+hh4eH161Wa/T48ePh/v7+8ODgYPjs2bNBp9MZ+zYAAFiCH0zH4/H/Xe2P&#10;Jiul4YfVKqpj6Ye3E6cMAAAAAAC4JxGYSgGqfBzgdwseh1wEomLUXrRlRXNWtGN9X60IaqXGrIXj&#10;+F69erWVQlanp6fNwWDQODk52arzN3xwcDAdFfj06dPrdrs9evLkyaDb7Y4ePXo0dDkBAJZbBLD+&#10;9y1+/U4x+yRBhLJG1bGP2eN5cKv3uR9aAQAAAACAjbZoBOBBtfLH4a7F+1zRnHVyeXn5cTAY9C4u&#10;Lt5O1vG7d++OT05OPpydnV1NjtcSeup0OsPd3d0IVU3DVi9evPgoZAUAsPpuG8C6jRTWCpfVfgSy&#10;FgW3rqoFAAAAAACspryhKo37y0cAdoubgBXciw8fPpSj0ai8urpqTLbFx48fyxgZOBgMyrlf2ign&#10;hsPh+/F43J9szye/9u1knZ2fn3///v373uTf9aHf73/4tedstVrjbrc72NnZGe7t7Y0iZNVut8fP&#10;nz9XXAAAsKbqDGDdRrtaIeZ0px96I5Q1H9wS1gIAAAAAgPvxuRGAcaxdGAHIEkiBqhS26vf7nwtZ&#10;fY3IZUV460MEsyb/zneTFeGso0aj8efJsZOtra3LnZ2ds+3t7dHLly+vXREAgM2zLAGs24hA1k61&#10;H8GsVMkanziYD27FD7nnLjMAAAAAAPxE3lC1aARgehyWQrRXffjwoRGhqghXpSar2Nb5vNFcFaMC&#10;0zbarSJo1Wg04uFWMXuvqlfM3o86nawfJ+v7yTouZu9dnbp6AADrbxUDWLe1X21j5OE420+icatR&#10;7Z/4lgAAAAAAYEUtGgEYvqu2RgCy9NKowAhbRbgq9uNYnc8Z4apmsznudDrjRqMRAatp0CoCV1/5&#10;r4ySgAiGxftO/Wp7VMzCWT9M1vvJuihm4S0AANbAJgSwbmOnuGnOSiMP87DWZTH7NEPo+cEYAAAA&#10;AIB78Ntqu2gEYP44rIQYFViNDIxGqyLtR9iqLilQFWGraK/a2dkZpbDVPf6nN6oVbVkxzSWCWdGU&#10;FcGs15N1VswCW33fJQAAq0UA6+u1sxe3EcyK4FYEstKrgzQGMQhrAQAAAACQyxuqUoCqXR2ffxxW&#10;TowHjGBVarRKIwPjWF3PGcGqGA8YYavJ+rR/zyGrrxHnJN5TiuBVvL90XNwEs6Ix610xG2d44TsL&#10;AGBJf6ATwLoX8UPzTrXfr36QLoqbkNZ8cOvKKQMAAAAAWDkRmFoUoPpuweOw8lKgKhqtRqNR2e/3&#10;y+FwWEbYqs7nrdqrpqMDo9UqQlZxbE1Pc0xmifeR4sP+0Zx1OlnfF7Nw1pvJGlbHAAB4QAJYy2m/&#10;2r4vbkYexicb5oNb19UP2wAAAAAA1CdvqHpW7R9UK38c1k60V1WjAqcNVhGuimPRbFXn80a4qtls&#10;jjudzqeQVTRaRfCKqXifKN43ijGG/Wp7VMzCWdGalRqzTGgBALgHAlirb6f6ITtCWelVR4xETMGt&#10;fnb8xOkCAAAAAJiK8FS32l80ArBb3ASsYO2lUYFV2KpI4wPrfM4IVUW4KkJWjUZjOiowHXNFvlqj&#10;WvEB/njvKN4bSmMMXxWzD/8LZgEA3DEBrM2SwlrX1UrBrWb1eB7c6vnhGwAAAABYMfmIvzxgFcfa&#10;hRGAbLg0KjCCVSlkFYGrCF7VJQWqotEq2quq8YHTsJUrcq+iLSveD4oP7sd7Q8fFbIRhCmgdVY/1&#10;nSoAgK/4YUsAi89oVyvEJyG2ilkga1FwS1gLAAAAAKhThKYiPPW5EYDpcdh4MSawClZNtzEyMB2r&#10;6zkjWBXjASNsNVlFGhUYYStXZCXEh/PjfZ54vyeasyKM9WO1IqSVxhkCAPAZAljchQhi7VT7KayV&#10;9tvFz4NbV04ZAAAAAGy8+YaqFLAyAhB+RRoVmBqt+v1+ORwOp2GrOp+3aq8qos0qWq0icJXCVqyl&#10;eF8nvqeiJSuasd4Ws1BWbKM1K4JZp04TAIAAFg9jv9rGnPE08vCs+GmIK260RGjr3OkCAAAAgJXy&#10;22q7aARg/jjwC1LIKpqrosEqwlVxLMYH1vm8Ea5qNpvjTqczTqMChayY06hWvIcTH7qPUFa0Zr2b&#10;rFfF7P2feK/H9BQAYGMIYLHsIpSVmrPSq7vLYnFw68TpAgAAAIBa5CP+8oCVEYDwjSJQlYWtimp8&#10;4PRYXaK5KhqsImxVtViN0zFXhG8QbVnxnk60ZcX7OjG+8Li4CWgdVY/1nSoAYO1+EBLAYo20i5vm&#10;rHzkYbN6PD6JkW4CCWsBAAAAsOniXlka95cHqL5b8DjwDdKowBS2ijaraLWKsFVdzxmNVdFcFcGq&#10;yUrjA6dhK1eEBxAfrI9GrF4xe78mRhhGMCver4mgVowzvHCaAIBVJYDFpopQVj7ycKv6wX9RcKtX&#10;qMkFAAAAYHWkhqr4sOKzat8IQKhZClSlsFW/3689ZBUiWJVCVmlUYBxzRVgR8V5M/D8SQaxoxno7&#10;Wd8Xs3GGf56s4WSdOk0AwLITwIIvs19tY+Rhp5gFsuKFQLv4eXDryukCAAAA4I7FqL9utZ8HrFJD&#10;Vbe4GQcI1CQbFTgNV0XIajgcltFoVefzVu1VRYwMjDGB1djA6TFYU41qRVtWvO+SxhhGQOtVcdOY&#10;5QP0AMBSEMCCGl4LF7MwVjRnpdr2s+p4Hty6rl44AAAAALCZ8hF/ecDKCEB4YDEqMIWsIlwVwas4&#10;VudzRriq2WyOO53OOI0KjKBVBK5cEfgkwo7xHky81xLBrBhfeFzMAlox1jDasgSzAID7/yFFAAse&#10;VAprxYuEcbUfoaz54JawFgAAAMDqiNBU3N/JRwAeFDcNVUYAwhKIUYHVyMAIWxVpP8JWdUmBqghb&#10;pVGBQlZwd/+LFbPgVXxAPt5TiUBWBLNivGGMNexXCwDgzglgwepoFzfNWVGtu1XcjDucD26dOF0A&#10;AAAAdypvqMoDVkYAwhKLkNVoNCqjvSqCVdFmFa1WEbaq6zkjWBXjASNYNVmf9qPRyhWBBxHvocT/&#10;8/HeSQSwYoxhBLLeTdafi5txhgAAX00AC9b3xURqzkphrXz8YR7c6hWqeAEAAIDNldqo5gNWcQ/F&#10;CEBYASlQlcJW/X6/HA6H09GBdT5vtFdF2CrarCJklRqtXBFYGY1qxQfc432TCGXFCMMIaL0qZu+v&#10;nDpNAMCXEMACwn61jZGHnWIWyHpfzEJc8aJjWNwEt66cLgAAAGDJpYaqkAesDhY8DqyAaK+qRgVO&#10;G6xSk1XdIasIV6WRgbGtmqymYStgbcWfK/EB9vhQe7wn8pdi9v5JjDOMsYYRyorGLB9uBwBufoAQ&#10;wAJuaae4ac5KNyrPquPzwS1hLQAAAOCu5G1UeYDqu2prBCCsgTQqsApbFRG4imN1PmeEqiJc1el0&#10;xo1GYzoqMB1zRYD5PzKK2Xsh8R5JjDA8KmbNWb1q268WALBhBLCAOrWLm+asuFkRwa2o8k03SGPe&#10;erRvXVfHAQAAgM2TGqriHsKzaj+NAMwfB9ZEGhUYwaoUsorAVQSv6pICVdFklUYFprCVKwLcgXj/&#10;I5qz4n2PCGC9LmaBrHjv40/FLLR14TQBwPoSwAKW6cVJPvJwq7hp0FoU3AIAAACW16IRgO1icYMV&#10;sIZiPGBqr4pgVRoZGMfqes4IVsV4wAhbTVaRRgVG2MoVAR5Io1rxHke85xGhrGjNivasPxaz90NO&#10;nSYAWH0CWMCqSs1Zl5PVKW6CW6lxK6RRieawAwAAwLfLRwDGqL9utf/dgseBDZACVanRqt/vl8Ph&#10;sIywVZ3PW7VXFdFmFa1WEbgSsgJWTPw5Ge9hRFtWvKfxl8k6K2YBrTfFLLAlmAUAq/SXuwAWsAF2&#10;qhcy0Zy1V8wCWe+LnzZupeDWldMFAADAhlk0AvCgWvnjwAaK9qoYDxhBqwhcRbgqjkWzVZ3PG+Gq&#10;ZrM57nQ6n0JWqdEKYM21itn7GPEB82jKisasCGb9UMxCWReFD54DwNIRwAL4qRTW6lUvcprVC5xF&#10;wS1hLQAAAJZV3lCVxv3lIwC7xU3ACqBIowKrsFVRNVtNj9UlQlURroqwVRWwGqdjrgjAz//YrLbx&#10;YfNoznpdzIJZJ9W2Xy0A4AEIYAF8vXa1IqwVH73bKma1wCm4FS960qjEc6cLAACAb/S5EYBPq9en&#10;RgACvyiNCkxhq2izqjtkFY1V0VwVIavYr8YHTsNWrgjAnYj3I2KkYbwPER8cf1XMPlj+42T9Of74&#10;L2atWQBAjQSwAO7vBVA+8jCFteJFUbv4eXALAACAzZEaqkIa95ePAMwfB/hFMSawaq+abiNklY7V&#10;9ZwpZBXtVZNVpFGBEbZyRQAeTKNa0YoV7038qZhN+Yi2rAhpRTDr1GkCgLshgAWwnFJz1uVkdaoX&#10;Rx+LWYgrD25F+5ZZ7wAAAMtn0QjA8F21NQIQ+GrZqMBpuKrf75fD4XAatqrzeav2qiLarGJMYDU2&#10;cHoMgJURf1fEh8HjvYV4j+GomDVm/Ve1H6Gsi8J7DwBwu79gBbAAVt5OcdOctVe9KHpf3DRupeCW&#10;sBYAAMC3yxuq5kcA5o8DfLMYFZhCVhGuiuBVHKvzOSNc1Ww2x51OZ5xGBUbQKgJXrgjA2mtV23i/&#10;IUJYb4tZMCveX4jmrH61AIA5AlgAm6Vd3DRnpZGH8cmWFNyK49G+dVUtAACATbBoBGC7Oj7/OMCd&#10;ikBV1mhVVOMDp8fqkgJVEbZKowKFrAD4BfFeQjRnxYSOeO8gRhhGOCuCWjHaMN5fuHCaANhkAlgA&#10;/NILqtScFZ+s3CpmYa1OcdO4lUYlnjtdAADAkonA1KIA1XcLHgeo1YcPH6K9qkxhq2izilarCFvV&#10;9ZwRrIrxgBGsmqw0PnDaaOWKAHBXf91UK1qxIpgVYayzyfpxsv44WcNiNtIQANaeABYAdyU1Z8XI&#10;wwhpRSgrbiLGp8YjrJWPSgQAAPhaeUPVs2r/oFr54wD3KgWqUtiq3++Xw+FwOjqwzudN7VURsorA&#10;VWq0ckUAeEDxd1+8H5AmbxwVsw94xzjDN8Xs/QPBLADW6y8/ASwAHkCEsUbVi6wYf5iCWzvFz4Nb&#10;AADA+ovwVLfaXzQCsFvcBKwAHkw2KnDaYJWarOoOWcWowDQyMLYRuEphKwBYMa1qG/f/Y2xhjDL8&#10;r+rrH6tjA6cJgFUjgAXAssubs6JZK2ryFwW3el6UAQDAUslH/OUBqzjWLowABJZYGhUYYasIV8V+&#10;HKvzOSNc1Ww2x51OZ5xGBUbQKgJXrggAGyDeB4hAc9z/j3v/r4pZOCveG4jRhv1qAcBSEsACYJ20&#10;i5vmrNhuFbNa4xTcipBWGpV45XQBAMBXidDUdvH5EYDpcYClFqMCq5GB0WhVpP0IW9UlBaoibJVG&#10;BaawlSsCAAs1qhXhq7iv/x/FrCUr2rL+GH+lV18DwIMSwAJgU8WnaVJzVrx4S2GtrerrXvHTUYkA&#10;ALDO5huqUoDqu2prBCCwkmI8YASrUqNVGhkYx+p6zghWxXjACFtN1qd9ISsAuFPxd3nc54/JGHE/&#10;/4didi8/xhm+qfZPnSYA7u0vJgEsAPgiqTkrRh52qhdvEc6KkFZq3Er1yAAAsCx+W20XjQDMHwdY&#10;WSlQFY1Wo9Go7Pf75XA4LCNsVefzVu1V09GB0WoVIas45ooAwINrVdu4dx8hrPjwdTRnRVArmrOi&#10;MWvgNAFwlwSwAODu5c1Ze8VNcGun+HlwCwAAbitvqMoDVkYAAmsr2quqUYHTBqsIV8WxaLaq83kj&#10;XNVsNsedTudTyCoarSJ4BQCsnGjMSh+kjvW6WhHM+lMxG3PYd5oA+BoCWADwsPLmrGjWGhc/DW7F&#10;2q9eAPpEDgDA+orA1NNqf9EIwPxxgLWVRgVWYasijQ+s8zkjVBXhqghZNRqN6ajAdMwVAYCN0KhW&#10;hK/inny0ZUVzVnyI+t+L2b35C6cJgF8igAUAqyM+nbNo5GEKbkVIK41KvHK6AACWQmqoip/fnlX7&#10;RgACGy2NCkxhq2izisBV7NclBaqi0Sraq6rxgdOwlSsCAHxG3IOP+/IRwIr77z8Us3GG30/WX4rZ&#10;ffhTpwmA6V8aAlgAsLZSc1bcTO5ULwy3itkneeJ4PioRAIAvF6P+utV+HrBKDVXd4mYcIMBGijGB&#10;0V4VYavYRsgqHavrOSNYFeMBI2w1WUUaFRhhK1cEALhjrWobH5iOEFbcf/+P6ut0DIANIoAFAIQI&#10;Y30sZp/YifGHEcoaFYsbtwAA1lE+4i8PWBkBCPAZaVRgarTq9/vlcDichq1qfQE7a68qos0qWq0i&#10;cJXCVgAADywas9K99FivqxX32aM1K0YZDpwmgPUjgAUA3FYe1upU+/1icXALAOChRWgqwlP5CMCD&#10;4qahKj0OwAIpZBXNVdFgFeGqOBbjA+t83ghXNZvNcafTGadRgUJWAMAKa1Qr7qFHACvasqIlK+6j&#10;/3sxu8fed5oAVpcAFgBQp7w5q129sIwXkSm4FSGuNCrRp34AgC+VN1TlASsjAAG+UgSqsrBVUY0P&#10;nB6rSzRXRYNVhK2qFqtxOuaKAAAbIu6fR2tW3De/nKw/F7P76d8Xs8as2L9wmgBW4A90ASwAYEnE&#10;i8xFIw+3JmtYzMJaefsWALB+fltt5wNW8bOBEYAA3yiNCkxhq2izilarCFvV9ZzRWBXNVRGsmqw0&#10;PnAatnJFAAB+UauYfXA5PsB8VMzul0dz1km1Tp0igOUhgAUArKrUnBU37aNR610xq3Deqo7HG7Up&#10;uAUAPJx8xF8esDICEKAGKVCVwlb9fr/2kFWIYFUKWaVRgXHMFQEAuHPxYeb42S5CWNGO9baYNWed&#10;FbPWrDhm4gTAPRPAAgA2Qd6ctVfMPik0Km4at+IFa6s6DgD8uryNKg9QfVdtjQAEqFE2KnAaroqQ&#10;1XA4LKPRqtYXVrP2qiJGBsaYwGps4PQYAAAPrlGtuM8dIw3/q5g1Z8UHlv+9OtZ3mgDqIYAFAPBT&#10;eXNWNGtdFrNPC6Xg1nUxa986caoAWEO/zf4+fFbtpxGA+eMA3IM0KjDCVhGuiv04VusLonZ73Gw2&#10;x51OZ5xGBUbQKgJXrggAwEqKkH58CDnCV3G/O9qyYqLEj5P1p2J2L/zCaQL4xj9sBbAAAL5a3pwV&#10;b0wPqhexKbiVwlq9QuUzAA8nmqi61X4esFrUYAXAPYtRgdXIwGi0KtJ+hK3qkgJVEbZKowKFrAAA&#10;NlLc345713EPO9qyTotZKOvH6tipUwTwZQSwAADuT2rOyoNbW8VN41aMRHxfCGsB8OvyEYB5wOq7&#10;BY8D8MAiZDUajcrUaBVtVjE6MMJWdT1nBKtiPGAEqybr0340WrkiAAD8iriHHT+rxv3saMd6W8ya&#10;s44n600hmAXwMwJYAADLKQ9jxfjDqISOUSMR2IpPHuWjEgFYH4tGAB5UK38cgCWTAlUpbNXv98vh&#10;cFhG2KrWFw47O6MIW0WbVYSsUqOVKwIAQA0a1YoPF8c0iP8qZs1ZEdT6z2IW1vIBY2AjCWABAKy+&#10;PKyVxh+m4NZ84xYA9y9vqErj/vIRgN3iJmAFwBKL9qpqVOC0wSo1WdUdsopwVRoZGNuqyWoatgIA&#10;gCUQPw/HfegIZcX96WjLig8VxyjDGGmYAlsA6/sHoQAWAMBGyZuz2tWL3hTcOqt+TRqVCMDnfW4E&#10;4NPqz1cjAAFWWBoVWIWtighcxbE6nzNCVRGu6nQ640ajMR0VmI65IgAArLD4cHDcg47JDj8Us5as&#10;CGVFOCuNOARYeQJYAAB8Tt6c1a5eJEdgK8Ygfpis62LWvnXmVAFrJDVUhTTuLx8BmD8OwApLowIj&#10;WJVCVhG4iuBVXVKgKpqs0qjAFLZyRQAA2DBx/zmasyKEdVZtoznreLLeTNapUwSsEgEsAADuSmrO&#10;yoNbqSVgvnEL4D4tGgEYvqu2RgACrKkYD5jaqyJYlUYGxrG6njOCVTEeMMJWk1WkUYERtnJFAADg&#10;13+krlbcX452rO+LWXNWNGj9Z3XMPWZg6QhgAQDwEPLmrL3Jele9qN6qXkg3q8eunCrgF6SGqgh4&#10;Pqv20wjA/HEA1lgaFZgarfr9fjkcDssIW9X6A+2svaqINqtotYrAlZAVAADUJn6+j/vG8SHfNM7w&#10;bTH7UHCMNDyvHgN4mD+kBLAAAFhyeXNWp3pxHfaqF9dhu3qBDay+RSMA29Xx+ccB2BApZBXNVdFg&#10;FeGqOBbNVrX+INpuj5vN5rjT6YzTqMDUaAUAACyNmMgQ949TMCvGF/6lmLVnxbELpwiomwAWAADr&#10;JG/Omg9upcatNCoRuD8RmFoUoPpuweMAbLA0KrAKWxURuIr9OFaXaK6KBqsIW8V+hKzSMVcEAABW&#10;WtwvjuasuB8c94d/LGYBrTfVEswC7owAFgAAmyw1Z8UL8XiDLQJbMQbxw2RdFz8dlQj83KIRgAfV&#10;yh8HgE/SqMAUtoo2q7pDVtFYFc1VEbKK/Wp84DRs5YoAAMDGaVQr7g1HCCuasiKY9W6yXhWzBi2A&#10;WxHAAgCALxM11pfVfgpupdkz841bsMoiPNWt9heNAOwWNwErAFgoxgRW7VXTbYSs0rG6njOFrKK9&#10;arKKNCowwlauCAAA8AXi9Up8WDfu86Zxhm+LWXNWjDSMgJb7v8DiP0AEsAAA4M7lzVnzwa1e8dNR&#10;iXAf8hF/ecAqjrULIwAB+ArZqMBpuKrf75fD4XAatqr1B61Ze1URbVYxJrAaGzg9BgAAUJO4zxvh&#10;qxhnGMGsaM6KUNb31bG+UwSbTQALAAAeVt6c1a5euKcX9O+r/dS4BfOeVt8fnxsBmB4HgK8WowJT&#10;yCrCVRG8imO1/oDUbo+bzea40+mM06jACFpF4MoVAQAAlkh82DY+hJKCWefV9k21Lpwi2AwCWAAA&#10;sFov5sP8yMOt4qfBrUunaqXNN1SlANV31dYIQADuXASqskarohofOD1WlxSoirBVGhUoZAUAAKyJ&#10;RrUikHVUzMYYxjbGGL6arFOnCNaLABYAAKyv1JwVwa14I7NfveiP0NZ18dPGLer322q7aARg/jgA&#10;1OLDhw/RXlWmsFW0WUWrVYSt6nrOCFbFeMAIVk1WGh84bbRyRQAAgA0Ur7/ifm3cq40wVowwjGBW&#10;NGj9pTo2cJpgBf/nFsACAACKnzZnNYqbsFa4qm4KXHvx/zN5Q1UKULWr4/OPA0DtUqAqha36/X45&#10;HA6nowPrfN4qWDUdHRiBq9Ro5YoAAAB8sbhHG/df0zjDaMmKUNaP1bG+UwTLSwALAAC4rbw5az64&#10;dVXtN7P9VROBqUUBqu8WPA4A9y4bFThtsEpNVnWHrCJclUYGxjZarVLYCgAAgNrEvdZ4vZeCWdGS&#10;Fa1ZEc46Lkw5gKUggAUAANR9cyA1Z80Ht95nv+Y+wlp5Q9Wzat8IQACWVhoVGGGrCFfFfhyr8zkj&#10;XNVsNsedTmecRgVG0CoCV64IAADAUmlU67yYBbJ+rLZvJ+tVIZgF90oACwAAWCYpjJUHt7aKxY1b&#10;4WCyutX+ohGA3erXAMBSilGB1cjAaLQq0n6EreqSAlURtkqjAlPYyhUBAABYedGWFfdXY2RhtGV9&#10;X9wEs36otsBd/48ngAUAACyZ3cn6XbX/pLgJU/2+2u5M1stq/6TaRlDrvNq/Km4atfJ9AHgQMR4w&#10;glWp0SqNDIxjdT1nBKtiPGCErSbr076QFQAAwEaLD7jGvdQ0zvC0mI0y/LFaA6cIvo4AFgAAcF8i&#10;NBXhqd3iJkD1pFrhd9VjdYmA1nW1/67aXhc3wa18HwBuJQWqotFqNBqV/X6/HA6HZYSt6nzeqr1q&#10;OjowWq0iZBXHXBEAAABuIRqz4vVrGmP4rtpGOOtNMWvTAn6BABYAAPAt8gBVhKoiQJU3VOWPr5K8&#10;OStCWemTXyfZrzlx+QE2S7RXVaMCpw1WEa6KY9FsVefzRriq2WyOO53Op5BVNFpF8AoAAABq1KhW&#10;3CONxqy4J5rGGb6arAunCGYEsAAAgEXSuL98BGDeUPV7p+iTCGf1qv0IbaVPg/WKxcEtAJZcGhVY&#10;ha2KND6wzueMUFWEqyJk1Wg0pqMC0zFXBAAAgCUTbVnRmhX3QiOM9X0xG2cY+z9UW9is/ykEsAAA&#10;YGOkEYDhD9X2PkcAMpPCWBHOSiMP88atPLgFQE3SqMAUtoo2qwhcxX5dorEqmqui0Sr2q/GB07CV&#10;KwIAAMCaaBWz+5tpnGGsN9XXPxbufbKmBLAAAGC1RWDqd9V+GgEY8garJ07TyoqA1nW1/67aXheL&#10;g1sAzIkxgdFeFWGr2EbIKh2r6zlTyCraqyarSKMCI2zligAAALDBojErXo+nYNbb4iacFavvFLHK&#10;BLAAAGA5pQBVBKpeVvtGAPJL8jBWBLTmxx/mwS2AtZFGBaZGq36/Xw6Hw2nYqs7nrdqrimizijGB&#10;EbhKYSsAAADgizWqFfcuY3xhBLRinOHral04RawCASwAALg/eRtVGgEYIwEXBaygThHO6lX7EdpK&#10;ny7Lxx+eOE3Askghq2iuigarCFfFsRgfWOfzRriq2WyOO53OOI0KFLICAACAexEfrIrWrLh3GW1Z&#10;3xc3wawIar1ziliqb1gBLAAA+Cb5CMAIVz2t9lNDVR6wglWVwlgRzlo0/jAPbgF8tQhUZWGrohof&#10;OD1Wl2iuigarCFtVLVbjdMwVAQAAgKXUKmb3I9M4w1gR0DqutnDvBLAAAGCxCE1FeCofAZg3WBkB&#10;CIvlzVnpU2j5+MM8uAVsoDQqMIWtos0qWq0ibFXXc0ZjVTRXRbBqstL4wGnYyhUBAACAtRGNWXF/&#10;IQ9m/aWY3aeMrQ+RUhsBLAAANkkeoIpQVYSr8oaq/HGgfhHKus7258cf5sEtYIWkQFUKW/X7/dpD&#10;ViGCVSlklUYFxjFXBAAAADZao1oRxIpQVgS00jjDV8VszCF8EwEsAABW3edGAP6u+HnAClhdeXNW&#10;bNNNkXz84YnTBPcnGxU4DVdFyGo4HJbRaFXn81btVUWMDIwxgdXYwOkxAAAAgFuIexjRmhX3GiOM&#10;lQezfihuGv7h17+ZBLAAAFhSaQRg+EO1zRuqUsAKYF4EsnrZ/qLxh3lwC/gFMSowhawiXBXBqzhW&#10;53NGuKrZbI47nc44jQqMoFUErlwRAAAA4B60itn9w++LWWvW22odV8fgJwSwAAC4T4tGAIbfL3gc&#10;4L7kzVnpU235+MM8uAVrKUYFViMDI2xVpP0IW9UlBaoibJVGBQpZAQAAAEsuGrOiOStCWNGWFU1Z&#10;b4rZfcW/FD70ubEEsAAAuAspQBWBqjTuL2+o+r1TBKyJCGVdZ/vz4w/z4BYslQhZjUajMtqrIlgV&#10;bVbRahVhq7qeM4JVMR4wglWT9Wk/Gq1cEQAAAGCNNKoVQaxozErNWfH1q2I25pA1JoAFAMDnLBoB&#10;uFMsDlgB8HN5c1Zs002WfPzhidPEXUqBqhS26vf75XA4nI4OrPN5o70qwlbRZhUhq9Ro5YoAAAAA&#10;Gy7uyURrVtwbfF3cNGfFfgposQ4XWgALAGCjRGDqd9V+jPp7Wu2nhqo8YAXA/YlAVq/az8NaeYgr&#10;D26xwaK9qhoVOG2wSk1WdYesIlyVRgbGtmqymoatAAAAALi1VjG735fast4Ws2DW8WT96PSsFgEs&#10;AID1sGgE4JNq5Y8DsB5Sc1bcoEkjD/Pxh3lwixWVRgVWYasiAldxrM7njFBVhKs6nc640WhMRwWm&#10;Y64IAAAAwL2Ixqz4oF1qy/qh2o8PaP7J6VlOAlgAAMsrD1AtGgGYPw4AnxOhrOtqP680TyGuPLjF&#10;PUujAiNYlUJWEbiK4FVdUqAqmqzSqMAUtnJFAAAAAJZWo1pxjy8as1JzVnz9x0J7/oMSwAIAuF+f&#10;GwH4u+oxIwABeEh5c1aEstJNm3z84YnTdDsxHjC1V0WwKo0MjGN1PWcEq2I8YIStJqtIowIjbOWK&#10;AAAAAKyVuMcUrVkXxWyMYWrOinGG0Z7lw5f3cREEsAAA7kSEpiI89bkRgClgBQDrIgJZvWo/Qlv9&#10;bD+FuPLg1lpLowJTo1W/3y+Hw2EZYas6n7dqryqizSparSJwJWQFAAAAQKVVzO7P/VcxC2VFQCuC&#10;WceT9aPTc3cEsAAAPi8PUEWoKgWofr/gcQDgl6XmrLjhkz51l4e18v2llEJW0VwVDVYRropj0WxV&#10;5/NGuKrZbI47nc6nkFVqtAIAAACArxCNWfHBwRTMSiMN4wOVf3J6bk8ACwDYRHmAan4EYP44APAw&#10;IqB1Xe2/q7bXxU1wK9+/c+/evTscDoet9+/fdz9+/Ni5vLzc6Xa7/2+EreoSoaoIV0XYqgpYjdMx&#10;3w4AAAAA3JNGtaIpK4JZKaAV9+j+WGxI2/3XEMACANZFGgEY/lBtd4qbcYBGAALAesqbsyKUlW4C&#10;nWS/5mT+Hzo/Pz8YDAZbvV5vGra6uro66Pf73dFo1Jr/tePxuNje3v5/9vf3T7/lNxqNVdFcFSGr&#10;2K/GB07DVi4jAAAAAEss2rKiNeuimIWz8pGGPxQ1flhyVbR8jwAASywCU7+r9heNAMwDVgDAZtop&#10;bkLYh9nx//bhw4fi48ePxeXlZYwOjO2g3+9fT+zc5gnKsiwipPUlvzaFrKK9arKKNCowwlYuFQAA&#10;AAArKj5AGB987BSz9+by9+da1WMRyopRhtGW9Wqyzibrx005QQJYAMBDSAGq3WJxQ5URgADAFxkO&#10;h58CVhG26vV6n44t0Cq+8l5Io9H43dbW1v54PO7H6nQ6Ecy6mhy7jDGB1djAadgKAAAAADZIaqT/&#10;P6uVRGNWNGeltqyjaj/asv68bifBCEIA4K48qVZYNAIwfxwA4FbOz8+LvNFqMBhMj9Vpd3e3aDab&#10;RbfbLba2topHjx5Nv4616Lc4WdfV/rtqe13c1K/noxIBAAAAYFM1qhXjCyOYlZqz4j7a/7eq/1EC&#10;WADAL8lHAEZ46mm1bwQgAHDnIlAVwaqrq6tp2KoaGzhttKrL9vZ20W63p2GrGBl4cHAw/TqO1ygP&#10;Y8WNpfQpwZNqmwe3AAAAAGATRFtWfPLxopiFs1JzVuxHY9ZSf7hRAAsANlOEpiI8lY8AzBuq8nGA&#10;AAB3JgWqUtgqvo5Wqwhb1SUaqyJgFaGqWBGySsdWQISzetV+3GTqV/u94ufBLQAAAABYR61idl/s&#10;+2LWlhUN9K8m67hYkntjAlgAsD7yAFWEquIdRSMAAYB7l48KjLBVr9ebbuPrOkWwKoWsdnZ2PjVa&#10;bZh0wynCWYvGH+bBLQAAAABYZdGYFc1Z/1HMmrMinBXNWRHM+vE+fyMCWACw/NK4v3wEYN5Q9Xun&#10;CAC4bylQlYet0sjAOqUmq9imUYGxH41W3FoEtK6r/XfVNh9/mAe3AAAAAGBVpGDW62I2xjA1Z0Uw&#10;6091PKEAFgA8jDQCMPyh2hoBCAAsnTQq8Orqahquiv04VqcUqOp2u59GBaawFQ8mD2PFN8D8+MM8&#10;uAUAAAAAy6hRrQhlxQcSU3PW28n6Y/ENzfECWABwdyIw9btqP40ADKmhKh8HCACwNFJ7VYSsYpua&#10;rKLlqi4RpopQVYSr0qjAFLZi5eVhrdj2q/18/OGJ0wQAAADAkoi2rGjNivtY0Zb1Q3HTnBX7v/rB&#10;QwEsAPh1KUAV7wamAJURgADASkmjAlOjVQSs4us4XpcUqIqwVaydnZ1PIwOhEoGsXra/aPxhHtwC&#10;AAAAgPvUqrbRlnVW3DRnxf6P6RcJYAGwqfJxf2kEYN5QZQQgALByUsgqtVf1er3pNr6uU7RXRYtV&#10;PiowjkEN8uasd9U2H3+YB7cAAAAAoC7RmBXNWa8n61QAC4B1ko8AjHDV02rfCEAAYG2kQFUetopG&#10;q2i2qvUHrd3daaNVt9v9FLJKx2BJxf8U19n+/PjDPLgFAAAAAF9NAAuAVRChqQhP5SMA8wYrIwAB&#10;gLWTRgVeXV1Nw1ax6g5ZRagqwlURskrjA1PYCtZc3pwV2361n48/PHGaAAAAAFik5RQA8EDyAFWE&#10;qiJclTdU5Y8DAKylNCowglUpZJWO1SWFrCJcFWMDY1RgClvBBtup1peIQFav2s/DWnmIKw9uAQAA&#10;ALDmBLAAuGupjSofARhjAecDVgAAGyEfFZgCVvF17NclBaoibBVrZ2fnU9gK+GZxP+3wFr8+NWdF&#10;ICvV2OXjD/PgFgAAAAArSAALgC+RRgCGP1TbvKEqBawAADZSNFZFsCq1V/V6vU/H6hSBqghW5aMC&#10;Yz8CWMDSyMNa/8ev/NoIZV1X+++y4ynElQe3AAAAAFgS5Xg8/t9OA8BGWjQCMPx+weMAABsvBary&#10;RqvBYDAdH1inFKjqdrufmq2ErIDip81Z8QdRGnmYjz88+f/Zu5vdyNEjDaMqoDb0gou2Uatet++s&#10;L92ANxJALyggG9D4zWFkRVenLClLn5Q/5wAEP1LCYJAbl6SnI3xMAAAAAOOZgAVwfSqgSlBV6/76&#10;hKrffEQAAM9LUJWwal3XfWxVawMTYI2SyVWZYFVrA/tEK4BnTHffJxW/tBIxQdaynRNtPbZzRVw9&#10;3AIAAADgDQRYAJfh2ArA6e54YAUAwAsqqKrYKs+ZapXYapSaXpWoKlfWB9Y7gMHyO8Bf3vD9NTkr&#10;QVaN+euxVj8DAAAA3DwBFsDnyV/aft3OWfX3j+1cE6p6YAUAwBv1VYGJrZZlGR5ZRcKqiqymabr7&#10;+vXr/h3ABemx1rcXvjeB1m47P2z33d33cKufAQAAAK6SAAvg/R1bAfj37epfBwDgJyWsSmBVsVUi&#10;q3o3UoKqhFV9VWDOmWgFcGN6YfrSlK0+OStRVq08vG/fc+8jBQAAAC7Nl6enp999DAAv6gFVoqrE&#10;VX1CVf86AADvLKsC+0SrrA3Mu5EqqJrn+bAqsGIrAIZLnLVs50Rbj9t5ufsebvUzAAAAwKcxAQu4&#10;Zc+tAPz17q+BFQAAg9Ukq3Vd9/dctT5wlMRUiaoSV9WqQJEVwFnI7y1/ecP31+SsBFlV6PaJW/0M&#10;AAAA8K4EWMA1SjQ1bed/bvc+oaoCKwAAPlgFVZlelSlWec5Uq8RWo9T0qkRVuaZpOqwMBOBq9Fjr&#10;2wvfm0Brt50ftvvu7ni4BQAAAPAiARZwKY6tAIzfjnwdAIBP1FcFJrZalmV/z/NImV6VKVYJqxJZ&#10;1UQrAPjxfzLa+aUpWz3GSqBVKw9r4lYPtwAAAIAb9eXp6el3HwPwiXpA9eMKwP51AADOSAVVPbaq&#10;lYEj1SSr3GtVYM6ZcgUAnyxx1rKdE209bufl7q/hFgAAAHBFTMACRji2AnDa3ocVgAAAF6JWBa7r&#10;ug+scuXdSImqElfN83xYH1ixFQCcsfyu9Zc3fH/FWImzjq0/7OEWAAAAcOa/FAB4jQRTv27nYysA&#10;e2AFAMAFqVWBCasqsqp3o1RklbiqVgVWbAUAN6LHWt9e+N4EWrvt/LDd+/rDHm4BAAAAH0yABVRA&#10;lb90VUD19+3qXwcA4ILVqsCaaJXAKs95P0oFVYmtck3TdIitAIA36f/j+dKUrR5jJdD6cf1hD7cA&#10;AACAd/Dl6enpdx8DXJ0eUB1bAdi/DgDAlajIqqZXLcuyv+d5pARVCav6qkCRFQBchB5r5f64nfv6&#10;w3sfEwAAAPxvJmDB5egrABNP/WM7/7p9zQpAAIAbUEFVj60y0SqTrYb+Y/Rvf9tPtJrn+RBZ1TsA&#10;4GJN2/UaCbKWdj62/rCHWwAAAHAzBFjw+RJN5Rddz60ArMAKAIAbUqsC13Xdx1a5arLVKImqElfV&#10;2sA+0QoAuHn5XXJff/jthe/vk7Metntff9jDLQAAALj4H5qB99cDqkRVP06osgIQAIBDUFWxVZ5H&#10;R1aZWJWwKlfWBmZVYL0DAHhHvzxzPiZR1q6df1x/2MMtAAAAODtfnp6efvcxwKv9tt2PrQDsXwcA&#10;gL2+KrCmWOU551EqqMrkqlzTNB1iKwCAC9cnZ+X+uJ37+sN7HxMAAAAfyQQs+L4CMP653a0ABADg&#10;1TKxqgKrxFXLshzejZSgKmFVXxWYcwIsAIArNd19/13eSxJkLdu5x1o94urhFgAAAJxEgMW1SjD1&#10;63auFYBRE6r6OkAAAHiVrArsE62yNjDvhv7Ddguq5nk+TLaq2AoAgP8pv//+5Q3fX5OzEmTVP/L6&#10;+sMebgEAAMCffgCFS1IBVYKqCqisAAQA4N0kqEpYta7rPraqtYGZaDVKYqpEVYmralWgyAoA4MP1&#10;WOvbS/9svPv/OCse2vuKuHq4BQAAwJX78vT09LuPgU/W1/3VCsA+oap/HQAAfloFVRVb5TlTrRJb&#10;jVLTqxJV5UpkVe8AALhqfXJWoqxaedjXH977mAAAAC6XCViM0lcAJp76x3a2AhAAgA/RVwUmtlqW&#10;ZXhkFQmrKrKapukw0QoAgJs1bVe8tBIxQdaynRNtPbZzRVw93AIAAOAMCLB4q0RT+WVBXwHYJ1T1&#10;dYAAADBUwqoEVj22qpWBI9Ukq9xrVWDOmWgFAAA/Ib+z/+UN31+TsxJk1crDHmv1MwAAAAN/mIMe&#10;UCWqSkBlBSAAAGejVgWu67qPq3LOu5EqqJrn+bAqsGIrAAA4Ez3W+vbSP6v/e+2288N23919D7f6&#10;GQAAgDcQYF23WvfXVwDWhCorAAEAOCs1vSqRVe41ySpTrkZJTJWoKnFVrQqs2AoAAK5M34v90pSt&#10;PjkrUVatPLxv33PvIwUAAPh/X56enn73MVyUWgEY/9zuVgACAHARalVgTbRKYJXnvB+lgqrEVrmm&#10;aTqsDAQAAH5a4qxlOyfaetzOy933cKufAQAAro4JWOchf/n5dTvXCsDoE6ysAAQA4CJUZFXTq5Zl&#10;2d/zPFKmV2WKVV8VmHcAAMBQ+TvDL2/4/pqclSCrVh72iVv9DAAAcDE/GDFOBVQJqmrdX59Q9ZuP&#10;CACAS1RBVY+tMtEqk61GSlyViVbzPB8iq3oHAABchB5rfXvhe/MDxm47P2z33d3xcAsAAODTCLDe&#10;rk+jqhWAWQl4LLACAICLVqsC13Xdx1a5RkdWiaoSVyWyqvWBFVsBAAA3pY+0fWnKVo+x8kNLrTys&#10;iVs93AIAAHhXX56enn73MfxpBWDiqn9s55pQ1QMrAAC4KrUqMGFVRVb1bpSKrBJXZW1gVgVWbAUA&#10;ADBY4qxlOyfaetzOy91fwy0AAIAXXfsErGMrAPsEKysAAQC4CX1VYAVWec55lAqqElvlmqbpEFsB&#10;AAB8ovxt5Jc3fH/FWImzjq0/7OEWAABwoz9kXJoeUCWqSlzVJ1T1rwMAwM3IxKqEVTW9almWw7uR&#10;ElQlrOqrAnNOgAUAAHAFeqz17YXvTaC1284P272vP+zhFgAAcCXOJcB6bgXgr3d/DawAAOBmVVDV&#10;J1r98ccf+/WBQ//BvgVV8zwfJluJrAAAAP6ij/x9acpWj7HyQ92P6w97uAUAAJyxL09PT78P/L+f&#10;aGrazv/c7n1CVQVWAABAk6AqYdW6rvvYqtYGJsAaJZOrMsGq1gb2iVYAAAB8qh5r5f64nfv6w3sf&#10;EwAAfI5TJmAdWwEYvx35OgAA8IwKqiq2ynOmWiW2GqWmVyWqypX1gfUOAACAszXdff8P3l+SIGtp&#10;52PrD3u4BQAA/KQeYFVAlb+81Lq/PqHqNx8XAAC8TV8VmNhqWZbhkVUkrKrIapqmu69fv+7fAQAA&#10;cPXyt5++/vDbC9/fJ2c9bPe+/rCHWwAAwBFZQfjkYwAAgNMlrEpgVbFVIqt6N1KCqoRVfVVgzplo&#10;BQAAAAMkytq184/rD3u4BQAAN0OABQAAr5RVgX2iVdYG5t1IFVTN83xYFVixFQAAAJyxPjkr98ft&#10;3Ncf3vuYAAC4BgIsAABoapLVuq77e65aHzhKYqpEVYmralWgyAoAAIAbkiBr2c491uoRVw+3AADg&#10;rAiwAAC4ORVUZXpVpljlOVOtEluNUtOrElXlmqbpsDIQAAAAeJOanJUgq0ZT9/WHPdwCAIDhBFgA&#10;AFylviowsdWyLPt7nkfK9KpMsUpYlciqJloBAAAAnyJR1m47P7T3FXH1cAsAAE4iwAIA4GJVUNVj&#10;q1oZOFJNssq9VgXmnClXAAAAwMXqk7MSZdXKw77+8N7HBADAjwRYAACcvVoVuK7rPrDKlXcjVVA1&#10;z/NhfWDFVgAAAMDNS5C1bOdEW4/tXBFXD7cAALhiAiwAAM5CrQpMWFWRVb0bJTFVoqrEVbUqsGIr&#10;AAAAgHdUk7MSZNV/VdZjrX4GAODCCLAAAPgwtSqwJlolsMpz3o9SQVViq1zTNB1iKwAAAIAzlEBr&#10;t50ftvvu7nu41c8AAJwBARYAAO+qIquaXrUsy/6e55ESVCWs6qsCRVYAAADAleuTsxJl1crD+/Y9&#10;9z4mAICxBFgAALxZBVU9tspEq0y2GilxVSZazfN8iKzqHQAAAAD/U+KsZTsn2nrczsvd93CrnwEA&#10;eCUBFgAAz6pVgeu67mOrXDXZapREVYmram1gn2gFAAAAwIepyVkJsuq/uusTt/oZAOCmCbAAAG5c&#10;BVUVW+V5dGSViVUJq3JlbWBWBdY7AAAAAC5OAq3ddn7Y7ru74+EWAMDVEWABANyAviqwpljlOedR&#10;KqjK5Kpc0zQdYisAAAAAblaPsRJo1crDmrjVwy0AgIsgwAIAuBKZWFWBVeKqZVkO70ZKUJWwqq8K&#10;zDkBFgAAAAD8hMRZy3ZOtPW4nZe7v4ZbAACfRoAFAHBhsiqwT7TK2sC8G6mCqnme/7Q+UGQFAAAA&#10;wBmpGCtx1rH1hz3cAgB4NwIsAIAzlKAqYdW6rvvYqtYGZqLVKJlclQlWCatqVWBNtAIAAACAK5NA&#10;a7edH7Z7X3/Ywy0AgP9JgAUA8EkqqKrYKs+ZapXYapSaXpWoKlciq3oHAAAAABzVY6wEWj+uP+zh&#10;FgBwgwRYAAAD9VWBia2WZRkeWUXCqoqspmk6TLQCAAAAAIbqsVbuj9u5rz+89zEBwHURYAEA/KSE&#10;VQmsemxVKwNHqklWudeqwJwz0QoAAAAAOHsJspZ2Prb+sIdbAMCZEmABALxSrQpc13UfV+WcdyNV&#10;UDXP82FVYMVWAAAAAMBN6ZOzHrZ7X3/Ywy0A4AMJsAAAmppelcgq95pklSlXoySmSlSVuKpWBVZs&#10;BQAAAABwgkRZu3b+cf1hD7cAgJ8kwAIAbk4FVTXRKs9ZHZjYapQKqhJb5Zqm6bAyEAAAAADgE/XJ&#10;Wbk/bue+/vDexwQAzxNgAQBXKTFVoqqKrZZl2d/zPFKmV2WKVcKqRFY10QoAAAAA4AokyFra+dj6&#10;wx5uAcBNEGABABergqoeW2WiVSZbjZS4KhOt5nnerw6sSVZ5BwAAAADAQU3O6rFWX3/Ywy0AuFgC&#10;LADg7NWqwHVd97FVrtGRVaKqxFWJrGp9YMVWAAAAAAC8u/zSd7edH9r7irh6uAUAZ0WABQCchVoV&#10;mLCqIqt6N0pFVomralVgxVYAAAAAAJytPjkrUVatPOzrD+99TAB8FAEWAPBh+qrACqzynPMoFVQl&#10;tso1TdMhtgIAAAAA4OolyFq2c6Ktx3auiKuHWwDwZgIsAOBdZWJVwqqaXrUsy+HdSAmqElb1VYEi&#10;KwAAAAAA3qgmZyXIqpWHff1hD7cAYE+ABQC8WQVVfaLVH3/8sV8fOFLiqky0muf5MNmq3gEAAAAA&#10;wAfLL8V32/mhva+Iq4dbAFwxARYA8PxPjv/5zz6sWtd1H1vV2sAEWKNkclUmWNXawD7RCgAAAAAA&#10;LlSfnJUoq1Ye3rfvufcxAVwmARYA3LgKqiq26usDR+nTq7I2MKsC6x0AAAAAANy4xFnLdk609bid&#10;l7vv4VY/A/DJBFgAcAP6qsCEVcuy7J/zfqSEVZlclWuapkNsBQAAAAAAvJuanJUgq1Ye9olb/QzA&#10;AAIsALgSCasSWFVslciq3o2UoCphVV8VmHMmWgEAAAAAAGclgdZuOz9s993d93CrnwF4JQEWAFza&#10;T0b/+c+fJlplbWDejVRB1TzPh1WBFVsBAAAAAABXqU/Oyh8iauXhffueex8TgAALAM5SgqqEVeu6&#10;7mOrXLU+cJTEVImqElfVqkCRFQAAAAAA8AqJs5btnGjrcTsvd8fDLYCrIsACgE9SQVXFVnnOVKvE&#10;VqPU9KpEVbkSWdU7AAAAAACAD1IxVuKsWvPRJ271cAvg7AmwAGCgviowsdWyLPt7nkdKWJUpVgmr&#10;pmk6TLQCAAAAAAC4MAm0dtv5Ybvv7o6HWwCfQoAFAD+pgqoeW9XKwJFqklXutSow50y0AgAAAAAA&#10;uEE9xkqg9eP6wx5uAbwbARYAvFKtClzXdR9X5Zx3I1VQNc/zYVVgxVYAAAAAAACcLHHWsp0TbT1u&#10;577+8N7HBLyGAAsAmloVmLAqU6xqklXejZKYKlFV4qpaFVixFQAAAAAAAGehYqzEWcfWH/ZwC7gx&#10;AiwAbk6tCqyJVgms8pz3o1RQldgq1zRNh9gKAAAAAACAq9InZz1s977+sIdbwBUQYAFwlSqyqulV&#10;y7Ls73keKUFVwqq+KlBkBQAAAAAAwDMSZe3a+cf1hz3cAs6UAAuAi1VBVY+tMtEqk61GSlyViVbz&#10;PB8iq3oHAAAAAAAAg/TJWbk/bue+/vDexwQfT4AFwNmrVYHruu5jq1yjI6tEVYmrElnV+sCKrQAA&#10;AAAAAODMJcha2vnY+sMebgE/QYAFwFmoVYEVW+W53o1SYVWurA3MqsB6BwAAAAAAADekT8562O59&#10;/WEPt4AfCLAA+DB9VWDOuec551EqqMrkqlzTNB1iKwAAAAAAAODNEmXttvNDe18RVw+34CYIsAB4&#10;V5lY1adXLctyeDdSgqqEVX1VYM4JsAAAAAAAAIBP0SdnJcqqlYd9/eG9j4lLJ8AC4CRZFdgnWmVt&#10;YN6NVEHVPM9/Wh8osgIAAAAAAICLlyBr2c6Jth7buSKuHm7B2RBgAfCsBFUJq9Z13cdWtTYwE61G&#10;yeSqTLBKWFWrAmuiFQAAAAAAAMCmJmclyKpJEX39YQ+3YCgBFsCNq6CqYqs8Z6pVYqtRanpVoqpc&#10;iazqHQAAAAAAAMA7S5S1284P7X1FXD3cgjcTYAHcgL4qMLHVsizDI6tIWFWR1TRNh4lWAAAAAAAA&#10;AGeqT85KlFUrD+/b99z7mOgEWABXImFVAquKrRJZ1buRElQlrMr0qloVmHMmWgEAAAAAAABcscRZ&#10;y3ZOtPW4nZe77+FWP3OlBFgAF6ZWBa7ruo+rcs67kSqomuf5sCqwYisAAAAAAAAAXqUmZyXIqj/y&#10;9olb/cwFEWABnKGaZJXIKvdctT5wlMRUiaoSV9WqwIqtAAAAAAAAAPhQCbR22/lhu+/uvodb/cwn&#10;E2ABfJIKqmqiVZ6zOjCx1SgVVCW2yjVN02FlIAAAAAAAAAAXqU/OSpRVKw/v2/fc+5jGEWABDJSY&#10;KlFVxVbLsuzveR4p06syxSphVSKrmmgFAAAAAAAAwE1LnLVs50Rbj9t5uTsebvEKAiyAn1RBVY+t&#10;MtEqk61GSlyViVbzPO9XB9Ykq7wDAAAAAAAAgHdQMVbirPojeJ+41cOtmyXAAnilWhW4rus+tso1&#10;OrJKVJW4KpFVrQ+s2AoAAAAAAAAAzkj+gL7bzg/bfXd3PNy6KgIsgKZWBSasqsiq3o1SkVXiqloV&#10;WLEVAAAAAAAAAFyhHmMl0Ppx/WEPt86eAAu4ObUqsCZaJbDKc96PUkFVYqtc0zQdYisAAAAAAAAA&#10;4FmJs5btnGjrcTv39Yf3n/n/oAALuEqZWJWwqqZXLctyeDdSgqqEVX1VoMgKAAAAAAAAAD5MxViJ&#10;s46tP+zh1rsQYAEXq4KqmmiVcyZaZbLVSImrMtFqnufDZKt6BwAAAAAAAABcjD4562G79/WHPdx6&#10;lgALOHu1KnBd131slasmW42SyVWZYFVrA/tEKwAAAAAAAADg5iTK2rXzYf2hAAs4CxVUVWzV1weO&#10;0qdXZW1gVgXWOwAAAAAAAACA1xBgAR+mrwpMWLUsy/4570epoCqTq3JN03SIrQAAAAAAAAAAfpYA&#10;C3hXCasSWFVslciq3o2UoCphVV8VmHMCLAAAAAAAAACAUQRYwEmyKrBPtMrawLwbqYKqeZ4Pk60q&#10;tgIAAAAAAAAA+AwCLOBZCaoSVq3ruo+tctX6wFESUyWqSlxVqwJFVgAAAAAAAADAuRJgwY2roKpi&#10;qzxnqlViq1FqelWiqlyJrOodAAAAAAAAAMAlEWDBDeirAhNbLcuyv+d5pIRVmWKVsGqapsNEKwAA&#10;AAAAAACAayHAgitRQVWPrWpl4Eg1ySr3WhWYcyZaAQAAAAAAAABcOwEWXJhaFbiu6z6uyjnvRqqg&#10;ap7nw6rAiq0AAAAAAAAAAG6ZAAvOUK0KTFiVKVY1ySrvRklMlagqcVWtCqzYCgAAAAAAAACA4wRY&#10;8ElqVWBNtEpglee8H6WCqsRWuaZpOqwMBAAAAAAAAADg7QRYMFBFVjW9almW/T3PI2V6VaZY9VWB&#10;eQcAAAAAAAAAwPsSYMFPqqCqx1aZaJXJViMlrspEq3meD5FVvQMAAAAAAAAA4GMIsOCValXguq77&#10;2CrX6MgqUVXiqkRWtT6wYisAAAAAAAAAAD6fAAuaWhVYsVWe690oFVblytrArAqsdwAAAAAAAAAA&#10;nDcBFjenrwrMOfc85zxKBVWZXJVrmqZDbAUAAAAAAAAAwOUSYHGVMrGqT69aluXwbqQEVQmr+qrA&#10;nBNgAQAAAAAAAABwfQRYXKwKqvpEq6wNzPrAkSqomuf5T+sDRVYAAAAAAAAAALdHgMXZS1CVsGpd&#10;131sVWsDE2CNkslVmWBVawP7RCsAAAAAAAAAACgCLM5CBVUVW+U5U60SW41S06sSVeXK+sB6BwAA&#10;AAAAAAAAryHA4sP0VYGJrZZlGR5ZRcKqiqymabr7+vXr/h0AAAAAAAAAAPwsARbvKmFVAquKrRJZ&#10;1buRElQlrOqrAnPORCsAAAAAAAAAABhFgMVJalXguq77uCrnvBupgqp5ng+rAiu2AgAAAAAAAACA&#10;zyDA4lk1ySqRVe65an3gKImpElUlrqpVgRVbAQAAAAAAAADAuRFg3bgKqmqiVZ6zOjCx1SgVVCW2&#10;yjVN02FlIAAAAAAAAAAAXBIB1g1ITJWoqmKrZVn29zyPlOlVmWKVsCqRVU20AgAAAAAAAACAayHA&#10;uhIVVPXYqlYGjlSTrHLP6sA6Z8oVAAAAAAAAAABcOwHWhalVgeu67gOrXHk3UqKqxFXzPB/WB1Zs&#10;BQAAAAAAAAAAt0yAdYZqVWDCqoqs6t0oFVklrqpVgRVbAQAAAAAAAAAAxwmwPkmtCqyJVgms8pz3&#10;o1RQldgq1zRNh9gKAAAAAAAAAAB4OwHWQJlYlbCqplcty3J4N1KCqoRVfVWgyAoAAAAAAAAAAN6f&#10;AOsnVVBVE61yzkSrTLYaKXFVJlrN83yYbFXvAAAAAAAAAACAjyHAeqVaFbiu6z62ylWTrUbJ5KpM&#10;sKq1gX2iFQAAAAAAAAAA8PkEWE0FVRVb9fWBo/TpVVkbmFWB9Q4AAAAAAAAAADhvNxdg9VWBNcUq&#10;zzmPUkFVJlflmqbpEFsBAAAAAAAAAACX6yoDrEysqsAqcdWyLId3IyWoSljVVwXmnAALAAAAAAAA&#10;AAC4PhcdYGVVYJ9olbWBeTdSBVXzPB8mW1VsBQAAAAAAAAAA3JazD7ASVCWsWtd1H1vV2sBMtBol&#10;MVWiqsRVtSpQZAUAAAAAAAAAAPzoLAKsCqoqtspzplolthqlplclqsqVyKreAQAAAAAAAAAAvMaH&#10;BVh9VWBiq2VZ9vc8j5SwKlOsElZN03SYaAUAAAAAAAAAAPCz3jXAqqCqx1a1MnCkmmSVe60KzDkT&#10;rQAAAAAAAAAAAEY5KcCqVYHruu7jqpzzbqQKquZ5PqwKrNgKAAAAAAAAAADgMzwbYNX0qkRWudck&#10;q0y5GiUxVaKqxFW1KrBiKwAAAAAAAAAAgHNzCLAeHh7u/v3vf+9XBya2GqWCqsRWuaZpOqwMBAAA&#10;AAAAAAAAuCRf+8N7rhHM9KpMseqrAvMOAAAAAAAAAADgWhwCrMRSb5W4KhOt5nk+RFb1DgAAAAAA&#10;AAAA4NodqqvnplMlqkpclciq1gdWbAUAAAAAAAAAAHDLvjz9Vz3861//2t8TY1VsBQAAAAAAAAAA&#10;wHF/CrAAAAAAAAAAAAB4PQ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n+T4ABAE35+RB1xcKhAAAAAElFTkSuQmCCUEsD&#10;BBQABgAIAAAAIQBJtcji4AAAAAoBAAAPAAAAZHJzL2Rvd25yZXYueG1sTI/NasMwEITvhb6D2EJv&#10;ieT8EVzLIYS2p1BoUii9bayNbWKtjKXYzttXObW3WWaZ+SbbjLYRPXW+dqwhmSoQxIUzNZcavo5v&#10;kzUIH5ANNo5Jw408bPLHhwxT4wb+pP4QShFD2KeooQqhTaX0RUUW/dS1xNE7u85iiGdXStPhEMNt&#10;I2dKraTFmmNDhS3tKiouh6vV8D7gsJ0nr/3+ct7dfo7Lj+99Qlo/P43bFxCBxvD3DHf8iA55ZDq5&#10;KxsvGg1xSNAwSdRyDuLuJzO1AHGKarFegcwz+X9C/g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oKob9NAcAABA1AAAOAAAAAAAAAAAAAAAAADoCAABkcnMvZTJv&#10;RG9jLnhtbFBLAQItAAoAAAAAAAAAIQCbGxQRaGQAAGhkAAAUAAAAAAAAAAAAAAAAAJoJAABkcnMv&#10;bWVkaWEvaW1hZ2UxLnBuZ1BLAQItABQABgAIAAAAIQBJtcji4AAAAAoBAAAPAAAAAAAAAAAAAAAA&#10;ADRuAABkcnMvZG93bnJldi54bWxQSwECLQAUAAYACAAAACEAqiYOvrwAAAAhAQAAGQAAAAAAAAAA&#10;AAAAAABBbwAAZHJzL19yZWxzL2Uyb0RvYy54bWwucmVsc1BLBQYAAAAABgAGAHwBAAA0cAAAAAA=&#10;">
                <v:group id="Group 149" o:spid="_x0000_s1027" style="position:absolute;width:71145;height:12915" coordorigin=""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Rectangle 51" o:spid="_x0000_s1028"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9"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v:group>
                <v:group id="Group 10" o:spid="_x0000_s1030" style="position:absolute;top:3207;width:71145;height:12916" coordorigin=""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Rectangle 51" o:spid="_x0000_s1031"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7KuvQAAANsAAAAPAAAAZHJzL2Rvd25yZXYueG1sRE9LCsIw&#10;EN0L3iGM4EY0VaFoNYqIguBC/BxgaMa22kxKE7Xe3giCu3m878yXjSnFk2pXWFYwHEQgiFOrC84U&#10;XM7b/gSE88gaS8uk4E0Olot2a46Jti8+0vPkMxFC2CWoIPe+SqR0aU4G3cBWxIG72tqgD7DOpK7x&#10;FcJNKUdRFEuDBYeGHCta55TeTw+jIDa9Teqj8bGIK3SH0dTtb+VEqW6nWc1AeGr8X/xz73SYP4Tv&#10;L+EAufgAAAD//wMAUEsBAi0AFAAGAAgAAAAhANvh9svuAAAAhQEAABMAAAAAAAAAAAAAAAAAAAAA&#10;AFtDb250ZW50X1R5cGVzXS54bWxQSwECLQAUAAYACAAAACEAWvQsW78AAAAVAQAACwAAAAAAAAAA&#10;AAAAAAAfAQAAX3JlbHMvLnJlbHNQSwECLQAUAAYACAAAACEAy1eyrr0AAADbAAAADwAAAAAAAAAA&#10;AAAAAAAHAgAAZHJzL2Rvd25yZXYueG1sUEsFBgAAAAADAAMAtwAAAPECAAAAAA==&#10;" path="m,l7312660,r,1129665l3619500,733425,,1091565,,xe" fillcolor="#4472c4" stroked="f" strokeweight="1pt">
                    <v:stroke joinstyle="miter"/>
                    <v:path arrowok="t" o:connecttype="custom" o:connectlocs="0,0;7315200,0;7315200,1130373;3620757,733885;0,1092249;0,0" o:connectangles="0,0,0,0,0,0"/>
                  </v:shape>
                  <v:rect id="Rectangle 12" o:spid="_x0000_s1032"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P/RwwAAANsAAAAPAAAAZHJzL2Rvd25yZXYueG1sRE9La8JA&#10;EL4X/A/LCL3VjSkESd2IioGeamsLxduQnTwwOxuz25j8+26h4G0+vuesN6NpxUC9aywrWC4iEMSF&#10;1Q1XCr4+86cVCOeRNbaWScFEDjbZ7GGNqbY3/qDh5CsRQtilqKD2vkuldEVNBt3CdsSBK21v0AfY&#10;V1L3eAvhppVxFCXSYMOhocaO9jUVl9OPUfB22MsymXJzfV6dj7tDO3y/m6NSj/Nx+wLC0+jv4n/3&#10;qw7zY/j7JRwgs18AAAD//wMAUEsBAi0AFAAGAAgAAAAhANvh9svuAAAAhQEAABMAAAAAAAAAAAAA&#10;AAAAAAAAAFtDb250ZW50X1R5cGVzXS54bWxQSwECLQAUAAYACAAAACEAWvQsW78AAAAVAQAACwAA&#10;AAAAAAAAAAAAAAAfAQAAX3JlbHMvLnJlbHNQSwECLQAUAAYACAAAACEAPbj/0cMAAADbAAAADwAA&#10;AAAAAAAAAAAAAAAHAgAAZHJzL2Rvd25yZXYueG1sUEsFBgAAAAADAAMAtwAAAPcCAAAAAA==&#10;" stroked="f" strokeweight="1pt">
                    <v:fill r:id="rId10" o:title="" recolor="t" rotate="t" type="frame"/>
                  </v:rect>
                </v:group>
                <w10:wrap anchorx="margin"/>
              </v:group>
            </w:pict>
          </mc:Fallback>
        </mc:AlternateContent>
      </w:r>
    </w:p>
    <w:sdt>
      <w:sdtPr>
        <w:id w:val="-318659252"/>
        <w:docPartObj>
          <w:docPartGallery w:val="Cover Pages"/>
          <w:docPartUnique/>
        </w:docPartObj>
      </w:sdtPr>
      <w:sdtEndPr>
        <w:rPr>
          <w:rFonts w:asciiTheme="minorHAnsi" w:hAnsiTheme="minorHAnsi" w:cstheme="minorHAnsi"/>
          <w:b/>
          <w:bCs/>
          <w:color w:val="4472C4" w:themeColor="accent1"/>
        </w:rPr>
      </w:sdtEndPr>
      <w:sdtContent>
        <w:p w14:paraId="417DA49C" w14:textId="61DC7162" w:rsidR="00413324" w:rsidRDefault="002E2D74">
          <w:r w:rsidRPr="00BB5302">
            <w:rPr>
              <w:noProof/>
              <w:lang w:val="en-AU" w:eastAsia="en-AU"/>
            </w:rPr>
            <mc:AlternateContent>
              <mc:Choice Requires="wps">
                <w:drawing>
                  <wp:inline distT="0" distB="0" distL="0" distR="0" wp14:anchorId="60F6AF04" wp14:editId="546E5FD6">
                    <wp:extent cx="5745707" cy="7822157"/>
                    <wp:effectExtent l="0" t="0" r="0" b="7620"/>
                    <wp:docPr id="4" name="Text Box 4"/>
                    <wp:cNvGraphicFramePr/>
                    <a:graphic xmlns:a="http://schemas.openxmlformats.org/drawingml/2006/main">
                      <a:graphicData uri="http://schemas.microsoft.com/office/word/2010/wordprocessingShape">
                        <wps:wsp>
                          <wps:cNvSpPr txBox="1"/>
                          <wps:spPr>
                            <a:xfrm>
                              <a:off x="0" y="0"/>
                              <a:ext cx="5745707" cy="7822157"/>
                            </a:xfrm>
                            <a:prstGeom prst="rect">
                              <a:avLst/>
                            </a:prstGeom>
                            <a:noFill/>
                            <a:ln w="6350">
                              <a:noFill/>
                            </a:ln>
                            <a:effectLst/>
                          </wps:spPr>
                          <wps:txbx>
                            <w:txbxContent>
                              <w:p w14:paraId="7CC5ADB2" w14:textId="77777777" w:rsidR="002E2D74" w:rsidRPr="002E2D74" w:rsidRDefault="002E2D74" w:rsidP="002E2D74">
                                <w:pPr>
                                  <w:pStyle w:val="NoSpacing"/>
                                  <w:pBdr>
                                    <w:top w:val="thickThinSmallGap" w:sz="24" w:space="1" w:color="2F5496" w:themeColor="accent1" w:themeShade="BF"/>
                                    <w:left w:val="thickThinSmallGap" w:sz="24" w:space="31" w:color="2F5496" w:themeColor="accent1" w:themeShade="BF"/>
                                    <w:bottom w:val="thinThickSmallGap" w:sz="24" w:space="1" w:color="2F5496" w:themeColor="accent1" w:themeShade="BF"/>
                                    <w:right w:val="thinThickSmallGap" w:sz="24" w:space="31" w:color="2F5496" w:themeColor="accent1" w:themeShade="BF"/>
                                  </w:pBdr>
                                  <w:ind w:left="-284" w:right="-372"/>
                                  <w:jc w:val="center"/>
                                  <w:rPr>
                                    <w:color w:val="595959" w:themeColor="text1" w:themeTint="A6"/>
                                    <w:sz w:val="16"/>
                                    <w:szCs w:val="16"/>
                                  </w:rPr>
                                </w:pPr>
                                <w:r w:rsidRPr="002E2D74">
                                  <w:rPr>
                                    <w:b/>
                                    <w:bCs/>
                                    <w:color w:val="2F5496" w:themeColor="accent1" w:themeShade="BF"/>
                                    <w:sz w:val="36"/>
                                    <w:szCs w:val="36"/>
                                  </w:rPr>
                                  <w:t xml:space="preserve">SOLOMON ISLANDS EDUCATION SECTOR SUPPORT PROGRAM </w:t>
                                </w:r>
                              </w:p>
                              <w:p w14:paraId="46A58A5D" w14:textId="77777777" w:rsidR="002E2D74" w:rsidRDefault="002E2D74" w:rsidP="002E2D74">
                                <w:pPr>
                                  <w:ind w:left="-426" w:right="-372"/>
                                </w:pPr>
                              </w:p>
                              <w:p w14:paraId="4584D09A" w14:textId="77777777" w:rsidR="002E2D74" w:rsidRDefault="002E2D74" w:rsidP="002E2D74">
                                <w:pPr>
                                  <w:ind w:left="-426" w:right="-372"/>
                                  <w:jc w:val="center"/>
                                  <w:rPr>
                                    <w:rFonts w:ascii="Calibri" w:hAnsi="Calibri" w:cs="Calibri"/>
                                    <w:b/>
                                    <w:bCs/>
                                    <w:color w:val="2F5496" w:themeColor="accent1" w:themeShade="BF"/>
                                    <w:sz w:val="44"/>
                                    <w:szCs w:val="44"/>
                                  </w:rPr>
                                </w:pPr>
                                <w:r w:rsidRPr="00F823C7">
                                  <w:rPr>
                                    <w:rFonts w:ascii="Calibri" w:hAnsi="Calibri" w:cs="Calibri"/>
                                    <w:b/>
                                    <w:bCs/>
                                    <w:color w:val="2F5496" w:themeColor="accent1" w:themeShade="BF"/>
                                    <w:sz w:val="44"/>
                                    <w:szCs w:val="44"/>
                                  </w:rPr>
                                  <w:t>PERFORMANCE LINKED AID</w:t>
                                </w:r>
                              </w:p>
                              <w:p w14:paraId="57B9DFA2" w14:textId="13437399" w:rsidR="002E2D74" w:rsidRPr="00F823C7" w:rsidRDefault="002E2D74" w:rsidP="002E2D74">
                                <w:pPr>
                                  <w:ind w:left="-426" w:right="-372"/>
                                  <w:jc w:val="center"/>
                                  <w:rPr>
                                    <w:rFonts w:ascii="Calibri" w:hAnsi="Calibri" w:cs="Calibri"/>
                                    <w:b/>
                                    <w:bCs/>
                                    <w:color w:val="2F5496" w:themeColor="accent1" w:themeShade="BF"/>
                                    <w:sz w:val="44"/>
                                    <w:szCs w:val="44"/>
                                  </w:rPr>
                                </w:pPr>
                                <w:r w:rsidRPr="00F823C7">
                                  <w:rPr>
                                    <w:rFonts w:ascii="Calibri" w:hAnsi="Calibri" w:cs="Calibri"/>
                                    <w:b/>
                                    <w:bCs/>
                                    <w:color w:val="2F5496" w:themeColor="accent1" w:themeShade="BF"/>
                                    <w:sz w:val="44"/>
                                    <w:szCs w:val="44"/>
                                  </w:rPr>
                                  <w:t>ASSESSMENT REPORT</w:t>
                                </w:r>
                              </w:p>
                              <w:p w14:paraId="10C53F7E" w14:textId="77777777" w:rsidR="002E2D74" w:rsidRPr="00F823C7" w:rsidRDefault="002E2D74" w:rsidP="002E2D74">
                                <w:pPr>
                                  <w:ind w:left="-426" w:right="-372"/>
                                  <w:jc w:val="center"/>
                                  <w:rPr>
                                    <w:rFonts w:ascii="Calibri" w:hAnsi="Calibri" w:cs="Calibri"/>
                                    <w:b/>
                                    <w:bCs/>
                                    <w:color w:val="2F5496" w:themeColor="accent1" w:themeShade="BF"/>
                                    <w:sz w:val="44"/>
                                    <w:szCs w:val="44"/>
                                  </w:rPr>
                                </w:pPr>
                                <w:r w:rsidRPr="00F823C7">
                                  <w:rPr>
                                    <w:rFonts w:ascii="Calibri" w:hAnsi="Calibri" w:cs="Calibri"/>
                                    <w:b/>
                                    <w:bCs/>
                                    <w:color w:val="2F5496" w:themeColor="accent1" w:themeShade="BF"/>
                                    <w:sz w:val="44"/>
                                    <w:szCs w:val="44"/>
                                  </w:rPr>
                                  <w:t>2019</w:t>
                                </w:r>
                              </w:p>
                              <w:p w14:paraId="7A217EFD" w14:textId="77777777" w:rsidR="002E2D74" w:rsidRPr="00F823C7" w:rsidRDefault="002E2D74" w:rsidP="002E2D74">
                                <w:pPr>
                                  <w:ind w:left="-426" w:right="-372"/>
                                  <w:rPr>
                                    <w:rFonts w:ascii="Calibri" w:hAnsi="Calibri" w:cs="Calibri"/>
                                    <w:b/>
                                    <w:bCs/>
                                    <w:color w:val="2F5496" w:themeColor="accent1" w:themeShade="BF"/>
                                    <w:sz w:val="44"/>
                                    <w:szCs w:val="44"/>
                                  </w:rPr>
                                </w:pPr>
                              </w:p>
                              <w:p w14:paraId="7211B548" w14:textId="77777777" w:rsidR="002E2D74" w:rsidRPr="00F823C7" w:rsidRDefault="002E2D74" w:rsidP="002E2D74">
                                <w:pPr>
                                  <w:ind w:left="-426" w:right="-372"/>
                                  <w:rPr>
                                    <w:rFonts w:ascii="Calibri" w:hAnsi="Calibri" w:cs="Calibri"/>
                                    <w:b/>
                                    <w:bCs/>
                                    <w:color w:val="2F5496" w:themeColor="accent1" w:themeShade="BF"/>
                                    <w:sz w:val="44"/>
                                    <w:szCs w:val="44"/>
                                  </w:rPr>
                                </w:pPr>
                              </w:p>
                              <w:p w14:paraId="2C647149" w14:textId="77777777" w:rsidR="002E2D74" w:rsidRDefault="002E2D74" w:rsidP="002E2D74">
                                <w:pPr>
                                  <w:ind w:left="-426" w:right="-372"/>
                                  <w:rPr>
                                    <w:rFonts w:ascii="Calibri" w:hAnsi="Calibri" w:cs="Calibri"/>
                                    <w:b/>
                                    <w:bCs/>
                                    <w:color w:val="2F5496" w:themeColor="accent1" w:themeShade="BF"/>
                                    <w:sz w:val="44"/>
                                    <w:szCs w:val="44"/>
                                  </w:rPr>
                                </w:pPr>
                              </w:p>
                              <w:p w14:paraId="245AC72D" w14:textId="77777777" w:rsidR="002E2D74" w:rsidRDefault="002E2D74" w:rsidP="002E2D74">
                                <w:pPr>
                                  <w:ind w:left="-426" w:right="-372"/>
                                  <w:rPr>
                                    <w:rFonts w:ascii="Calibri" w:hAnsi="Calibri" w:cs="Calibri"/>
                                    <w:b/>
                                    <w:bCs/>
                                    <w:color w:val="2F5496" w:themeColor="accent1" w:themeShade="BF"/>
                                    <w:sz w:val="44"/>
                                    <w:szCs w:val="44"/>
                                  </w:rPr>
                                </w:pPr>
                              </w:p>
                              <w:p w14:paraId="4997D207" w14:textId="77777777" w:rsidR="002E2D74" w:rsidRDefault="002E2D74" w:rsidP="002E2D74">
                                <w:pPr>
                                  <w:ind w:left="-426" w:right="-372"/>
                                  <w:rPr>
                                    <w:rFonts w:ascii="Calibri" w:hAnsi="Calibri" w:cs="Calibri"/>
                                    <w:b/>
                                    <w:bCs/>
                                    <w:color w:val="2F5496" w:themeColor="accent1" w:themeShade="BF"/>
                                    <w:sz w:val="32"/>
                                    <w:szCs w:val="32"/>
                                  </w:rPr>
                                </w:pPr>
                              </w:p>
                              <w:p w14:paraId="606137B9" w14:textId="77777777" w:rsidR="002E2D74" w:rsidRDefault="002E2D74" w:rsidP="002E2D74">
                                <w:pPr>
                                  <w:ind w:left="-426" w:right="-372"/>
                                  <w:rPr>
                                    <w:rFonts w:ascii="Calibri" w:hAnsi="Calibri" w:cs="Calibri"/>
                                    <w:b/>
                                    <w:bCs/>
                                    <w:color w:val="2F5496" w:themeColor="accent1" w:themeShade="BF"/>
                                    <w:sz w:val="32"/>
                                    <w:szCs w:val="32"/>
                                  </w:rPr>
                                </w:pPr>
                              </w:p>
                              <w:p w14:paraId="0CA3A49A" w14:textId="77777777" w:rsidR="002E2D74" w:rsidRDefault="002E2D74" w:rsidP="002E2D74">
                                <w:pPr>
                                  <w:ind w:left="-426" w:right="-372"/>
                                  <w:rPr>
                                    <w:rFonts w:ascii="Calibri" w:hAnsi="Calibri" w:cs="Calibri"/>
                                    <w:b/>
                                    <w:bCs/>
                                    <w:color w:val="2F5496" w:themeColor="accent1" w:themeShade="BF"/>
                                    <w:sz w:val="32"/>
                                    <w:szCs w:val="32"/>
                                  </w:rPr>
                                </w:pPr>
                              </w:p>
                              <w:p w14:paraId="7CEE6D1A" w14:textId="77777777" w:rsidR="002E2D74" w:rsidRPr="00F823C7" w:rsidRDefault="002E2D74" w:rsidP="002E2D74">
                                <w:pPr>
                                  <w:ind w:left="-426" w:right="-372"/>
                                  <w:rPr>
                                    <w:rFonts w:ascii="Calibri" w:hAnsi="Calibri" w:cs="Calibri"/>
                                    <w:b/>
                                    <w:bCs/>
                                    <w:color w:val="2F5496" w:themeColor="accent1" w:themeShade="BF"/>
                                    <w:sz w:val="32"/>
                                    <w:szCs w:val="32"/>
                                  </w:rPr>
                                </w:pPr>
                                <w:r w:rsidRPr="00F823C7">
                                  <w:rPr>
                                    <w:rFonts w:ascii="Calibri" w:hAnsi="Calibri" w:cs="Calibri"/>
                                    <w:b/>
                                    <w:bCs/>
                                    <w:color w:val="2F5496" w:themeColor="accent1" w:themeShade="BF"/>
                                    <w:sz w:val="32"/>
                                    <w:szCs w:val="32"/>
                                  </w:rPr>
                                  <w:t>August 2020</w:t>
                                </w:r>
                              </w:p>
                            </w:txbxContent>
                          </wps:txbx>
                          <wps:bodyPr rot="0" spcFirstLastPara="0" vertOverflow="overflow" horzOverflow="overflow" vert="horz" wrap="square" lIns="1600200" tIns="0" rIns="685800" bIns="0" numCol="1" spcCol="0" rtlCol="0" fromWordArt="0" anchor="ctr" anchorCtr="0" forceAA="0" compatLnSpc="1">
                            <a:prstTxWarp prst="textNoShape">
                              <a:avLst/>
                            </a:prstTxWarp>
                            <a:noAutofit/>
                          </wps:bodyPr>
                        </wps:wsp>
                      </a:graphicData>
                    </a:graphic>
                  </wp:inline>
                </w:drawing>
              </mc:Choice>
              <mc:Fallback>
                <w:pict>
                  <v:shapetype w14:anchorId="60F6AF04" id="_x0000_t202" coordsize="21600,21600" o:spt="202" path="m,l,21600r21600,l21600,xe">
                    <v:stroke joinstyle="miter"/>
                    <v:path gradientshapeok="t" o:connecttype="rect"/>
                  </v:shapetype>
                  <v:shape id="Text Box 4" o:spid="_x0000_s1026" type="#_x0000_t202" style="width:452.4pt;height:61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j54NwIAAF0EAAAOAAAAZHJzL2Uyb0RvYy54bWysVE2P2jAQvVfqf7B8LwmUL0WEFd0VVaXV&#10;7kpQ7dk4Nolke1zbkNBf37FD2GrbU9WLGc9M3ny8Z1Z3nVbkLJxvwJR0PMopEYZD1ZhjSb/vt5+W&#10;lPjATMUUGFHSi/D0bv3xw6q1hZhADaoSjiCI8UVrS1qHYIss87wWmvkRWGEwKMFpFvDqjlnlWIvo&#10;WmWTPJ9nLbjKOuDCe/Q+9EG6TvhSCh6epfQiEFVS7C2k06XzEM9svWLF0TFbN/zaBvuHLjRrDBa9&#10;QT2wwMjJNX9A6YY78CDDiIPOQMqGizQDTjPO302zq5kVaRZcjre3Nfn/B8ufzi+ONFVJp5QYppGi&#10;vegC+QIdmcbttNYXmLSzmBY6dCPLg9+jMw7dSafjL45DMI57vtx2G8E4OmeL6WyRLyjhGFssJ5Px&#10;bBFxsrfPrfPhqwBNolFSh+SlnbLzow996pASqxnYNkolApUhbUnnn2d5+uAWQXBlYq5IUrjCxJH6&#10;1qMVukN3nfMA1QXHdNDLxFu+bbCVR+bDC3OoC5wMtR6e8ZAKsCRcLUpqcD//5o/5SBdGKWlRZyX1&#10;P07MCUrUN4NEjud5jkJGaaYrGi4Z8+VsGd2HwW1O+h5QxWN8UJYnMyYHNZjSgX7F17CJBTHEDMey&#10;JeXBDZf70Esf3xMXm01KQx1aFh7NzvIIHrcVt7zvXpmzVyoCsvgEgxxZ8Y6RPrfnZHMKIJtEV9xu&#10;v1KkOV5Qw4nw63uLj+T3e8p6+1dY/wIAAP//AwBQSwMEFAAGAAgAAAAhACXIcJHcAAAABgEAAA8A&#10;AABkcnMvZG93bnJldi54bWxMj8FOwzAQRO9I/IO1SL1RJ22FSohTVUjcWiEKHLi58TZJa6+D7Tbh&#10;71m4wGWl0Yxm35Sr0VlxwRA7TwryaQYCqfamo0bB2+vT7RJETJqMtp5QwRdGWFXXV6UujB/oBS+7&#10;1AguoVhoBW1KfSFlrFt0Ok59j8TewQenE8vQSBP0wOXOylmW3UmnO+IPre7xscX6tDs7Bc/bxWDk&#10;+uP9VOdH644hHsbPjVKTm3H9ACLhmP7C8IPP6FAx096fyURhFfCQ9HvZu88WPGPPodk8X4KsSvkf&#10;v/oGAAD//wMAUEsBAi0AFAAGAAgAAAAhALaDOJL+AAAA4QEAABMAAAAAAAAAAAAAAAAAAAAAAFtD&#10;b250ZW50X1R5cGVzXS54bWxQSwECLQAUAAYACAAAACEAOP0h/9YAAACUAQAACwAAAAAAAAAAAAAA&#10;AAAvAQAAX3JlbHMvLnJlbHNQSwECLQAUAAYACAAAACEAtiI+eDcCAABdBAAADgAAAAAAAAAAAAAA&#10;AAAuAgAAZHJzL2Uyb0RvYy54bWxQSwECLQAUAAYACAAAACEAJchwkdwAAAAGAQAADwAAAAAAAAAA&#10;AAAAAACRBAAAZHJzL2Rvd25yZXYueG1sUEsFBgAAAAAEAAQA8wAAAJoFAAAAAA==&#10;" filled="f" stroked="f" strokeweight=".5pt">
                    <v:textbox inset="126pt,0,54pt,0">
                      <w:txbxContent>
                        <w:p w14:paraId="7CC5ADB2" w14:textId="77777777" w:rsidR="002E2D74" w:rsidRPr="002E2D74" w:rsidRDefault="002E2D74" w:rsidP="002E2D74">
                          <w:pPr>
                            <w:pStyle w:val="NoSpacing"/>
                            <w:pBdr>
                              <w:top w:val="thickThinSmallGap" w:sz="24" w:space="1" w:color="2F5496" w:themeColor="accent1" w:themeShade="BF"/>
                              <w:left w:val="thickThinSmallGap" w:sz="24" w:space="31" w:color="2F5496" w:themeColor="accent1" w:themeShade="BF"/>
                              <w:bottom w:val="thinThickSmallGap" w:sz="24" w:space="1" w:color="2F5496" w:themeColor="accent1" w:themeShade="BF"/>
                              <w:right w:val="thinThickSmallGap" w:sz="24" w:space="31" w:color="2F5496" w:themeColor="accent1" w:themeShade="BF"/>
                            </w:pBdr>
                            <w:ind w:left="-284" w:right="-372"/>
                            <w:jc w:val="center"/>
                            <w:rPr>
                              <w:color w:val="595959" w:themeColor="text1" w:themeTint="A6"/>
                              <w:sz w:val="16"/>
                              <w:szCs w:val="16"/>
                            </w:rPr>
                          </w:pPr>
                          <w:r w:rsidRPr="002E2D74">
                            <w:rPr>
                              <w:b/>
                              <w:bCs/>
                              <w:color w:val="2F5496" w:themeColor="accent1" w:themeShade="BF"/>
                              <w:sz w:val="36"/>
                              <w:szCs w:val="36"/>
                            </w:rPr>
                            <w:t xml:space="preserve">SOLOMON ISLANDS EDUCATION SECTOR SUPPORT PROGRAM </w:t>
                          </w:r>
                        </w:p>
                        <w:p w14:paraId="46A58A5D" w14:textId="77777777" w:rsidR="002E2D74" w:rsidRDefault="002E2D74" w:rsidP="002E2D74">
                          <w:pPr>
                            <w:ind w:left="-426" w:right="-372"/>
                          </w:pPr>
                        </w:p>
                        <w:p w14:paraId="4584D09A" w14:textId="77777777" w:rsidR="002E2D74" w:rsidRDefault="002E2D74" w:rsidP="002E2D74">
                          <w:pPr>
                            <w:ind w:left="-426" w:right="-372"/>
                            <w:jc w:val="center"/>
                            <w:rPr>
                              <w:rFonts w:ascii="Calibri" w:hAnsi="Calibri" w:cs="Calibri"/>
                              <w:b/>
                              <w:bCs/>
                              <w:color w:val="2F5496" w:themeColor="accent1" w:themeShade="BF"/>
                              <w:sz w:val="44"/>
                              <w:szCs w:val="44"/>
                            </w:rPr>
                          </w:pPr>
                          <w:r w:rsidRPr="00F823C7">
                            <w:rPr>
                              <w:rFonts w:ascii="Calibri" w:hAnsi="Calibri" w:cs="Calibri"/>
                              <w:b/>
                              <w:bCs/>
                              <w:color w:val="2F5496" w:themeColor="accent1" w:themeShade="BF"/>
                              <w:sz w:val="44"/>
                              <w:szCs w:val="44"/>
                            </w:rPr>
                            <w:t>PERFORMANCE LINKED AID</w:t>
                          </w:r>
                        </w:p>
                        <w:p w14:paraId="57B9DFA2" w14:textId="13437399" w:rsidR="002E2D74" w:rsidRPr="00F823C7" w:rsidRDefault="002E2D74" w:rsidP="002E2D74">
                          <w:pPr>
                            <w:ind w:left="-426" w:right="-372"/>
                            <w:jc w:val="center"/>
                            <w:rPr>
                              <w:rFonts w:ascii="Calibri" w:hAnsi="Calibri" w:cs="Calibri"/>
                              <w:b/>
                              <w:bCs/>
                              <w:color w:val="2F5496" w:themeColor="accent1" w:themeShade="BF"/>
                              <w:sz w:val="44"/>
                              <w:szCs w:val="44"/>
                            </w:rPr>
                          </w:pPr>
                          <w:r w:rsidRPr="00F823C7">
                            <w:rPr>
                              <w:rFonts w:ascii="Calibri" w:hAnsi="Calibri" w:cs="Calibri"/>
                              <w:b/>
                              <w:bCs/>
                              <w:color w:val="2F5496" w:themeColor="accent1" w:themeShade="BF"/>
                              <w:sz w:val="44"/>
                              <w:szCs w:val="44"/>
                            </w:rPr>
                            <w:t>ASSESSMENT REPORT</w:t>
                          </w:r>
                        </w:p>
                        <w:p w14:paraId="10C53F7E" w14:textId="77777777" w:rsidR="002E2D74" w:rsidRPr="00F823C7" w:rsidRDefault="002E2D74" w:rsidP="002E2D74">
                          <w:pPr>
                            <w:ind w:left="-426" w:right="-372"/>
                            <w:jc w:val="center"/>
                            <w:rPr>
                              <w:rFonts w:ascii="Calibri" w:hAnsi="Calibri" w:cs="Calibri"/>
                              <w:b/>
                              <w:bCs/>
                              <w:color w:val="2F5496" w:themeColor="accent1" w:themeShade="BF"/>
                              <w:sz w:val="44"/>
                              <w:szCs w:val="44"/>
                            </w:rPr>
                          </w:pPr>
                          <w:r w:rsidRPr="00F823C7">
                            <w:rPr>
                              <w:rFonts w:ascii="Calibri" w:hAnsi="Calibri" w:cs="Calibri"/>
                              <w:b/>
                              <w:bCs/>
                              <w:color w:val="2F5496" w:themeColor="accent1" w:themeShade="BF"/>
                              <w:sz w:val="44"/>
                              <w:szCs w:val="44"/>
                            </w:rPr>
                            <w:t>2019</w:t>
                          </w:r>
                        </w:p>
                        <w:p w14:paraId="7A217EFD" w14:textId="77777777" w:rsidR="002E2D74" w:rsidRPr="00F823C7" w:rsidRDefault="002E2D74" w:rsidP="002E2D74">
                          <w:pPr>
                            <w:ind w:left="-426" w:right="-372"/>
                            <w:rPr>
                              <w:rFonts w:ascii="Calibri" w:hAnsi="Calibri" w:cs="Calibri"/>
                              <w:b/>
                              <w:bCs/>
                              <w:color w:val="2F5496" w:themeColor="accent1" w:themeShade="BF"/>
                              <w:sz w:val="44"/>
                              <w:szCs w:val="44"/>
                            </w:rPr>
                          </w:pPr>
                        </w:p>
                        <w:p w14:paraId="7211B548" w14:textId="77777777" w:rsidR="002E2D74" w:rsidRPr="00F823C7" w:rsidRDefault="002E2D74" w:rsidP="002E2D74">
                          <w:pPr>
                            <w:ind w:left="-426" w:right="-372"/>
                            <w:rPr>
                              <w:rFonts w:ascii="Calibri" w:hAnsi="Calibri" w:cs="Calibri"/>
                              <w:b/>
                              <w:bCs/>
                              <w:color w:val="2F5496" w:themeColor="accent1" w:themeShade="BF"/>
                              <w:sz w:val="44"/>
                              <w:szCs w:val="44"/>
                            </w:rPr>
                          </w:pPr>
                        </w:p>
                        <w:p w14:paraId="2C647149" w14:textId="77777777" w:rsidR="002E2D74" w:rsidRDefault="002E2D74" w:rsidP="002E2D74">
                          <w:pPr>
                            <w:ind w:left="-426" w:right="-372"/>
                            <w:rPr>
                              <w:rFonts w:ascii="Calibri" w:hAnsi="Calibri" w:cs="Calibri"/>
                              <w:b/>
                              <w:bCs/>
                              <w:color w:val="2F5496" w:themeColor="accent1" w:themeShade="BF"/>
                              <w:sz w:val="44"/>
                              <w:szCs w:val="44"/>
                            </w:rPr>
                          </w:pPr>
                        </w:p>
                        <w:p w14:paraId="245AC72D" w14:textId="77777777" w:rsidR="002E2D74" w:rsidRDefault="002E2D74" w:rsidP="002E2D74">
                          <w:pPr>
                            <w:ind w:left="-426" w:right="-372"/>
                            <w:rPr>
                              <w:rFonts w:ascii="Calibri" w:hAnsi="Calibri" w:cs="Calibri"/>
                              <w:b/>
                              <w:bCs/>
                              <w:color w:val="2F5496" w:themeColor="accent1" w:themeShade="BF"/>
                              <w:sz w:val="44"/>
                              <w:szCs w:val="44"/>
                            </w:rPr>
                          </w:pPr>
                        </w:p>
                        <w:p w14:paraId="4997D207" w14:textId="77777777" w:rsidR="002E2D74" w:rsidRDefault="002E2D74" w:rsidP="002E2D74">
                          <w:pPr>
                            <w:ind w:left="-426" w:right="-372"/>
                            <w:rPr>
                              <w:rFonts w:ascii="Calibri" w:hAnsi="Calibri" w:cs="Calibri"/>
                              <w:b/>
                              <w:bCs/>
                              <w:color w:val="2F5496" w:themeColor="accent1" w:themeShade="BF"/>
                              <w:sz w:val="32"/>
                              <w:szCs w:val="32"/>
                            </w:rPr>
                          </w:pPr>
                        </w:p>
                        <w:p w14:paraId="606137B9" w14:textId="77777777" w:rsidR="002E2D74" w:rsidRDefault="002E2D74" w:rsidP="002E2D74">
                          <w:pPr>
                            <w:ind w:left="-426" w:right="-372"/>
                            <w:rPr>
                              <w:rFonts w:ascii="Calibri" w:hAnsi="Calibri" w:cs="Calibri"/>
                              <w:b/>
                              <w:bCs/>
                              <w:color w:val="2F5496" w:themeColor="accent1" w:themeShade="BF"/>
                              <w:sz w:val="32"/>
                              <w:szCs w:val="32"/>
                            </w:rPr>
                          </w:pPr>
                        </w:p>
                        <w:p w14:paraId="0CA3A49A" w14:textId="77777777" w:rsidR="002E2D74" w:rsidRDefault="002E2D74" w:rsidP="002E2D74">
                          <w:pPr>
                            <w:ind w:left="-426" w:right="-372"/>
                            <w:rPr>
                              <w:rFonts w:ascii="Calibri" w:hAnsi="Calibri" w:cs="Calibri"/>
                              <w:b/>
                              <w:bCs/>
                              <w:color w:val="2F5496" w:themeColor="accent1" w:themeShade="BF"/>
                              <w:sz w:val="32"/>
                              <w:szCs w:val="32"/>
                            </w:rPr>
                          </w:pPr>
                        </w:p>
                        <w:p w14:paraId="7CEE6D1A" w14:textId="77777777" w:rsidR="002E2D74" w:rsidRPr="00F823C7" w:rsidRDefault="002E2D74" w:rsidP="002E2D74">
                          <w:pPr>
                            <w:ind w:left="-426" w:right="-372"/>
                            <w:rPr>
                              <w:rFonts w:ascii="Calibri" w:hAnsi="Calibri" w:cs="Calibri"/>
                              <w:b/>
                              <w:bCs/>
                              <w:color w:val="2F5496" w:themeColor="accent1" w:themeShade="BF"/>
                              <w:sz w:val="32"/>
                              <w:szCs w:val="32"/>
                            </w:rPr>
                          </w:pPr>
                          <w:r w:rsidRPr="00F823C7">
                            <w:rPr>
                              <w:rFonts w:ascii="Calibri" w:hAnsi="Calibri" w:cs="Calibri"/>
                              <w:b/>
                              <w:bCs/>
                              <w:color w:val="2F5496" w:themeColor="accent1" w:themeShade="BF"/>
                              <w:sz w:val="32"/>
                              <w:szCs w:val="32"/>
                            </w:rPr>
                            <w:t>August 2020</w:t>
                          </w:r>
                        </w:p>
                      </w:txbxContent>
                    </v:textbox>
                    <w10:anchorlock/>
                  </v:shape>
                </w:pict>
              </mc:Fallback>
            </mc:AlternateContent>
          </w:r>
        </w:p>
        <w:p w14:paraId="70207960" w14:textId="1252922B" w:rsidR="001E451A" w:rsidRDefault="001E451A">
          <w:pPr>
            <w:spacing w:after="160" w:line="259" w:lineRule="auto"/>
            <w:rPr>
              <w:rFonts w:asciiTheme="minorHAnsi" w:hAnsiTheme="minorHAnsi" w:cstheme="minorHAnsi"/>
              <w:b/>
              <w:bCs/>
              <w:color w:val="4472C4" w:themeColor="accent1"/>
            </w:rPr>
          </w:pPr>
          <w:r>
            <w:rPr>
              <w:noProof/>
              <w:lang w:val="en-AU" w:eastAsia="en-AU"/>
            </w:rPr>
            <mc:AlternateContent>
              <mc:Choice Requires="wpg">
                <w:drawing>
                  <wp:anchor distT="0" distB="0" distL="114300" distR="114300" simplePos="0" relativeHeight="251665408" behindDoc="0" locked="0" layoutInCell="1" allowOverlap="1" wp14:anchorId="38A1408E" wp14:editId="0D92EA96">
                    <wp:simplePos x="0" y="0"/>
                    <wp:positionH relativeFrom="margin">
                      <wp:posOffset>-832162</wp:posOffset>
                    </wp:positionH>
                    <wp:positionV relativeFrom="page">
                      <wp:posOffset>8584299</wp:posOffset>
                    </wp:positionV>
                    <wp:extent cx="7315200" cy="1747653"/>
                    <wp:effectExtent l="0" t="0" r="0" b="508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0800000">
                              <a:off x="0" y="0"/>
                              <a:ext cx="7315200" cy="1747653"/>
                              <a:chOff x="0" y="-1"/>
                              <a:chExt cx="7315200" cy="1216153"/>
                            </a:xfrm>
                          </wpg:grpSpPr>
                          <wps:wsp>
                            <wps:cNvPr id="8"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0"/>
                                <a:ext cx="7315200" cy="1216152"/>
                              </a:xfrm>
                              <a:prstGeom prst="rect">
                                <a:avLst/>
                              </a:prstGeom>
                              <a:blipFill>
                                <a:blip r:embed="rId9"/>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6AEEEB" id="Group 7" o:spid="_x0000_s1026" alt="&quot;&quot;" style="position:absolute;margin-left:-65.5pt;margin-top:675.95pt;width:8in;height:137.6pt;rotation:180;z-index:251665408;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Z1tfiAUAAGMaAAAOAAAAZHJzL2Uyb0RvYy54bWzsWU1v2zgQvS+w/4HQ&#10;cYHGkvyh2ohTBMm2KBC0xTaLNkdapmQBkqgl6djdX7+PpGjTTmLLLtDLxgeLEmc4wzfDofh0+W5d&#10;leSRCVnwehpEF2FAWJ3yeVHn0+Dv+/dv3gZEKlrPaclrNg1+MBm8u/r9t8tVM2ExX/ByzgTBILWc&#10;rJppsFCqmfR6Ml2wisoL3rAanRkXFVW4FXlvLugKo1dlLw7DUW/FxbwRPGVS4umt7QyuzPhZxlL1&#10;OcskU6ScBvBNmX9h/mf6v3d1SSe5oM2iSFs36BleVLSoYXQz1C1VlCxF8WSoqkgFlzxTFymvejzL&#10;ipSZOWA2Ubg3mw+CLxszl3yyypsNTIB2D6ezh00/PX4RpJhPgyQgNa0QImOVJBqaVZNPIPFBNF+b&#10;L6J9kNs7Pdt1JioiOFCNwreh/hkQMC2yNhj/2GDM1oqkeJj0oyECF5AUfVEySEbDvo1CukCotnpv&#10;Ivf4z2dV42gUWdWedeTqsqf93bi3apBScoua/DnUvi5ow0wwpMakRQ3pbVH7C6lG67xkZGgc19Yh&#10;tsFNTiQgdKDp6w5KbrbPwxT1w35iYNrMlU7SpVQfGK/0WPTxTiqby3O09KN83nqW8rqWhWLfAXpW&#10;lUjvP3okJCuCUMSjkVsD++IPu+ILEsXAe/yS+PfIG70d+bgNXykkR23E59jwldo5HLfU9yx1wMoX&#10;72xjcJqNXfGjWO2G7zXah3LXD19/NEqieHg8d32lKA7Ho2R4PK92g3g0Kr5457wanpZXu+KvefVs&#10;8Xz46SrSH0XjYXhiLUn6/QFy8WhQ/DzpYMIXf00r+57xZL98+OWbUxSPR6MO0fYrz2taHXwr8XfB&#10;8bAt63EcvR2+FHVfw7yS2Ki8IL732mNGNlvHQRtPMuuwDb/2JP2ONnylaJtZhy3tZlY8Drsg5itt&#10;C9ZhQ34FsgXrIGC+eBSOo6FdJodt+Btbt9j7Gh1iv5sqRzfzXXHU9MPu+0ly/gv1YRt+knS24Sud&#10;mVk/tRUenpKfKqduhedkVgcbB9IK57ncndjowh3i0nXdnuLQIjhW6mO0fi9puNQnZP9Ih2O0u8WR&#10;DWdADAktLX1EGQnmK5tja2dlJIGvHJ9kGRXDV3Yn225uI8C+8uAkywiFr2x2ATdne22BFzjPa9Ko&#10;NKSRCghIIxEQkEYzuxU0VOl4maigSVaG2zAHarIAtdFmqe6v+CO750ZSbQkOF6xtb1n7Uu54rh12&#10;sk7CXRszni/p7NpEcHLuauXbdwYDhS3YLYZOzF2tOOoWXGjLbgfJfWfTkktm/dGgmQzdoKdB94gM&#10;ycti/r4oS42WFPnsphTkkSIQg0ES37hg74iVtQY/ihNDK1GwiFlJEbG0asBryToPCC1z0JOpEmYV&#10;1VxbgEdYUEKqWyoX1oYZ1oa3AmMiSFlU06BlthyiWo0ZatEuV7BOjtzRrRmf/wA5ZFgxICeb9H0B&#10;I3dUqi9UgH3BQxCm6jP+spLDc2SHaQVkwcW/zz3X8mCv0BuQFchKzOqfJRUsIOXHGrzWOBoMMKwy&#10;N4NhEuNG+D0zv6deVjcciGL9wzvT1PKqdM1M8OobeNVrbRVdtE5h2+LX3two3KMLzGzKrq9NG4wm&#10;wnpXf21SPbiD9379jYqGaKSngQLB9Yk7Lm1LXCENtICV1Zo1v14qnhWa1TIIW1zbG/B6mp38BQTf&#10;+CnBN9YZciK/Z9YE8uZlKtNVUM2pOug0vdcCp+uRgdRRfS1ijgGclUXj1o1ut2QxorRHFT9DqVsa&#10;+pany4rVyvLqgmENgdSXi6KRyI4Jq2YMy0l8nLfErFSCqRTLmU4yLCdNgOoi+SYZJptl6kTgrO/g&#10;64r9f65YQ9DjS4bZAtqvLvpTiX9vVvj229DVfwAAAP//AwBQSwMECgAAAAAAAAAhAJsbFBFoZAAA&#10;aGQAABQAAABkcnMvbWVkaWEvaW1hZ2UxLnBuZ4lQTkcNChoKAAAADUlIRFIAAAlgAAABjwgGAAAA&#10;2LDrXgAAAAlwSFlzAAAuIwAALiMBeKU/dgAAABl0RVh0U29mdHdhcmUAQWRvYmUgSW1hZ2VSZWFk&#10;eXHJZTwAAGP1SURBVHja7N3tbhtpei7qKpKiqC/ake3tcc94I8FCZoD1YwELWPkZJCew8ydADmEd&#10;wD6rnECOY2P/3UEmE8+0221JlihZoi1+bD5kvdbbbLrbslUSP64LeFGlorvprlLbYvHm/ZTj8fj/&#10;KgAAAACWw/Vk9SbrbLIGk3U0WVdlWV46NQAAAADAMioFsAAAAIAVcTxZEcS6KmbBrOuyLHtOCwAA&#10;AADwkASwAAAAgFUXIazL4qY5K4JZx04LAAAAAHAfBLAAAACAdZXaslJz1qVgFgAAAABw1wSwAAAA&#10;gE1zXdy0ZV1V215ZltdODQAAAABwWwJYAAAAADdSW1YEs45iW5blpdMCAAAAAHyOABYAAADAr4tg&#10;Vt6cFeMMe04LAAAAACCABQAAAPD1IoQVwazUnBXBrGOnBQAAAAA2hwAWAAAAwN1LYwxTc1a0ZvXK&#10;srx2agAAAABgvQhgAQAAANyffIzhYLKOJuuqLMtLpwYAAAAAVpMAFgAAAMBySGMMozkrglnXZVn2&#10;nBYAAAAAWG4CWAAAAADLLUJYl8VNc1YEs46dFgAAAAB4EM3JalWrMVlbAlgAAAAAqym1ZaXmrEvB&#10;LAAAAAC4E9NgVTELW8XanqyyOvYzAlgAAAAA6+W6uGnLuqq2vbIsr50aAAAAAPiJPFgVK4JX7dv+&#10;SwSwAAAAADZHasuKYNZRbMuyvHRaAAAAAFhjqckqbfPxgXdCAAsAAACACGblzVkxzrDntAAAAACw&#10;IvL2qvnxgXUZTdYglgAWAAAAAJ8TIawIZqXmrAhmHTstAAAAADyA+faqfHxgnT4Ws7DVdbXGk/Uh&#10;/wUCWAAAAADcVhpjmJqzojWrV5bltVMDAAAAwDeYb6/Km63qFPe1htk27Y++5B8WwAIAAADgruRj&#10;DKN+/WiyrsqyvHRqAAAAAMjk7VWp2arukFUKVkV71afxgdWxbyKABQAAAMB9SGMMozkrglnXZVn2&#10;nBYAAACAtZW3V82PD6zLfHtVPj6wNgJYAAAAADykCGFdFjfNWRHMOnZaAAAAAFZC3l41Pz6wLvPt&#10;VRGuGhezZqsHIYAFAAAAwDJKbVmpOetSMAsAAADgQaRgVWqvyscH1ilvr8rHBy4dASwAAAAAVknc&#10;cEttWVfVtleW5bVTAwAAAPDV5tur8vGBdcrbq1KzVRofuDIEsAAAAABYF6ktK4JZR7Ety/LSaQEA&#10;AAD4JG+vSuMDU7NVXVJ7VQSrBsVPxweuBQEsAAAAANZdBLPy5qwYZ9hzWgAAAIA1lbdXzY8PrMt8&#10;e1U+PnDtCWABAAAAsKkihHWZbSOYdey0AAAAACtgvr1qu7gZH1iXFLJK7VX5+MCNJoAFAAAAAD+V&#10;xhim5qxozeqVZXnt1AAAAAD3KLVXpWBVPj6wTnl7VT4+cOSSLCaABQAAAABfJh9jeJW2ZVleOjUA&#10;AADAN8jbq/LxgXXK26vmm624JQEsAAAAAPh20ZaVmrOOJuu6LMue0wIAAABU8vaq+fGBdZlvr4pm&#10;KyGrGghgAQAAAEB9IoR1Wdw0Z10KZgEAAMDaytur5scH1mW+vSofH8g9EcACAAAAgPuX2rJSc1YE&#10;s46dFgAAAFh68+1VebNVnfJgVT4+kCXQcgoAAAAA4N7tVutJOjAex33T6Q3U1JZ1VW17ZVn61CoA&#10;AADcn/n2qq1sW6d4/T/Mtvn4QB7YeDyOZrPt6sudYpa7iu+LHQ1YAAAAALD8UjArNWcdxbYsy0un&#10;BgAAAL5a3l6Vjw+s+zV+aq+aHx/IAxiPxwfV7nzAKo2OPPi1f4cAFgAAAACsthhdmDdnxTjDntMC&#10;AAAAU3mwan58YF3m26vy8YHcg/F4vFv8PEDVLm4Cdvnj30wACwAAAADWU2rMStsIZh07LQAAAKyh&#10;FKyKcM38+MC6zLdX5c1W1GA8Hsf13K2+TCMAw372fbD7EL83ASwAAAAA2CxpjGFqzorWrF5Zlj6F&#10;CwAAwDKbb6/KxwfWKW+vSs1WQlZ3KBsBOB+w+uIRgA9NAAsAAAAACPkYw6u0Lcvy0qkBAADgnsy3&#10;V+XjA+t+TZzaq+bHB/IVxuNxXLPt6ss8YLVT7d/pCMCHJoAFAAAAAPyaaMtKzVlHk3VdlmXPaQEA&#10;AOAr5e1V+fjAOuXtVfPjA/kCcyMA84DVg48AfGgCWAAAAADA14oQ1mVx05x1KZgFAABAJW+vSs1W&#10;aXxgXVKwKrVX5eMD+YzxeJzaqOYDVikUd+As/TIBLAAAAADgrqW2rNScFcGsY6cFAABg7aT2qrTy&#10;8YF1mW+vyscHUpkbAbhTXZ98BGA81nam7oYAFgAAAABwX+KmeGrLuqq2vbIsfRIZAABgec23V+Xj&#10;A+uUt1el8YGp2Wpjjcfj1EY1H7Cab7DiHglgAQAAAAAPLQWzUnPWUWzLsrx0agAAAO5NhHlSiCcf&#10;H1j368HUXjU/PnBjZCMAQx6wSuc/f5wlJIAFAAAAACyzGF2YN2fFOMOe0wIAAPBV8vaqfHxgo8bn&#10;nG+vimarND5wbX1mBGDYz66FEYBrQgALAAAAAFhFqTErbSOYdey0AAAA/KS9Ko0PTM1WdUntVSlY&#10;lY8PXCvZCMB83N9O8fMGKzaIABYAAAAAsE7SGMPUnBWtWb2yLK+dGgAAYI3Mt1fl4wPrlLdX5eMD&#10;V9pnRgDG1zvVvhGA/CIBLAAAAABgE+RjDK/StizLS6cGAABYUvPtVfn4wDrl7VXz4wNXxng8zhuq&#10;8nGAaQRg/jh8EwEsAAAAAGDTRVtWas46mqzrsix7TgsAAHBP8mBVPj6wTnl71fz4wKX2mRGA7eyc&#10;GQHIvRPAAgAAAABYLEJYl8VNc9alYBYAAPCVUpNV2ubjA+sy316VN1stlfF4nDdU7VTnJh8BGI+1&#10;fRuxrASwAAAAAABuJ7VlpeasCGYdOy0AALDx8vaq+fGBdZlvr7rOtg/qF0YA7mTnxQhA1oIAFgAA&#10;AADA3Yg3OFJb1lW17ZVlee3UAADA2phvr8rHB9Ypb6/Kxwfeu/F4vFvchMrSuL98BGD+OGwEASwA&#10;AAAAgHqlYFZqzjqKbVmWl04NAAAspfn2qrzZqu7XDilYNT8+sFafGQEY9qutEYDwCwSwAAAAAAAe&#10;TowuzJuzYpxhz2kBAIB7kbdXpWarukNGKVgVIav58YF3bjwe5w1V8yMAw4FvA/h2AlgAAAAAAMsn&#10;NWalbQSzjp0WAAC4tby9an58YF3m26vy8YHf7DMjAOPrnWrfCEC4ZwJYAAAAAACrI40xTM1Z0ZrV&#10;K8vy2qkBAGCD5e1V8+MD6zLfXpWPD7y18Xgcv9fd6stFIwDzx4ElI4AFAAAAALD68jGGV2lbluWl&#10;UwMAwJpIwarUXpWPD6xT3l6Vjw/8ItkIwDxA1S5uRh0aAQhrQAALAAAAAGC9RVtWas46mqzrsix7&#10;TgsAAEtovr0qHx9Yp7y9KjVbpfGBPzMej+P3s119uWgE4PY9/J6BJSKABQAAAACwmSKEdVncNGdd&#10;CmYBAHBP8vaqND4wNVvVJbVXRbBqUPx0fOD8CMA8YLVT3ATCjAAEFhLAAgAAAAAgl9qyUnNWBLOO&#10;nRYAAG4pb6+aHx9Yl/n2qo//+q//uv0v//Iv0W71uRGAu9VjAF9NAAsAAAAAgC8Rb2Kltqyratsr&#10;y/LaqQEA2Fjz7VXbxU1bVG3+4R/+ofif//N/Nrvd7vDv//7vW48fP278r//1v6LJyghA4EEIYAEA&#10;AAAA8C1SMCs1Zx3FtizLS6cGAGAtpPaqFKzKxwfeqX/6p3/aj+1vfvObrT/84Q/l9vb26G//9m+3&#10;Dg8Pi0ePHo1evny53el0xi4JsGwEsAAAAAAAqEuMLsybs2KcYc9pAQBYSnl7VT4+8Jv84z/+4063&#10;2502Yv33//7f92I7+bq9t7fXfvTo0eCv/uqvtn/zm9+M2u326MmTJ4PJY6PJ8aHLAawSASwAAAAA&#10;AO5basxK2whmHTstAAC1S01WaZuPD/xiL168aP7d3/3ddNzf3/zN33R2dnaa1fFpg9XW1lbj4OBg&#10;+nin0xnu7u5GqGowOT6e/JqPQlbAuhHAAgAAAABgWaQxhqk5K1qzemVZXjs1AABfLG+vmh8f+IvS&#10;CMCDg4PGy5cvpwGqp0+f7mxtbU3/2cPDw71F/1yr1Rp3u93Bzs7OcG9vbxQhq3a7PX7+/PnA5QA2&#10;gQAWAAAAAADLLh9jeJW2ZVleOjUAwIaab6+K8YFlMQtb/cT/+B//o/3Xf/3X01GCaQTg9vZ28/Dw&#10;cBqw2t3d3ep0Ol80anDyz1y3Wq3R48ePh5P9weTfM3r58qWwPLDxBLAAAAAAAFhl0ZaVmrOOCsEs&#10;AGB9zLdXfRofmI8A/M1vfrN1eHg4DVAtGgF4W5N/btpkFSGr/f394eTr4bNnzwadTmfskgAsJoAF&#10;AAAAAMA6isasy+KmOeuyLMue0wIALKFP7VX//M//3N3f328NBoOdNAKw2+229/b2pgGrz40AvK0I&#10;WW1tbY2fPn163W63R0+ePBlMnmf06NGjocsBcHsCWAAAAAAAbJLUlpWasyKYdey0AAB1GY/H7X/7&#10;t3/bOzk5Kfv9/qPr6+t2rK2tre5k27jNCMDbmPw7h5N/d4SqpmGrFy9efGy32+Pnz58PXBWAuyWA&#10;BQAAAAAAN8Gss2zbK8vy2qkBABYZj8cH1W6Ep7ZfvXrVuLi42P/LX/6yMxqNosWqe3l52ej3+826&#10;fg+tVmvc7XanIwP39vZGh4eHg+3t7dHLly/9DANwjwSwAAAAAADg8+LNyzTOMIJZR7Ety/LSqQGA&#10;9TMej3cnmxSYygNW04aq09PT/fPz8/bx8XHr48ePjaOjo63r6+tycqxV5+/r8PDwutVqjR4/fjzc&#10;398fHhwcDIWsAJaHABYAAAAAAHydNMYwNWbFOMOe0wIAy2U8Hkegarf6cmeyUlhqv9puF1XAKvT7&#10;/fLt27et8/Pz5sXFRfP09LQ5GAwaJycnW3X+Pg8ODqajAp8+fXqdQlbPnj0bdDqdsasIsNwEsAAA&#10;AAAA4G6lxqy0jWDWsdMCAHcrGwE4H7Cab7Ba6NWrV1sfPnyIYFXr/fv3jaurq2av14vRgWVdv+dO&#10;pzPc3d0dRciq3W6Pnjx5Muh2u6NHjx4NXVGA1SWABQAAAAAA9yO1ZaXmrGlIqyxL44MAoDIej6OJ&#10;arv6Mg9Y7VT7+YjAX/XmzZsYFVi+fv26HaMCz87OWnWHrFqt1rjb7Q4ePXo0bbR68eLFx3a7PX7+&#10;/PnAFQZYTwJYAAAAAADwsCKAFW1ZMcYwjTO8Ksvy0qkBYB3MjQDMA1ZpBGD++K2dnZ1Fc1Xj+Pg4&#10;mqyaEbK6vLxs9Pv9Zl3/TSlktbOzM9zb2xsdHh4Otre3Ry9fvhSsBthAAlgAAAAAALC8UltWBLOO&#10;CsEsAJbIZ0YAtqsVDu7qufr9fvn27dtWhKw+fvzYODo62opGq/Pz81ad/42Hh4fXrVZr9Pjx4+H+&#10;/v7w4OBg+OzZs0Gn0xn7DgAgEcACAAAAAIDVE41Zl8VNc9ZlWZY9pwWAbzU3AjDG/kXAKR8BGI+1&#10;63r+V69ebZ2fnzcvLi6ap6enzcFg0Dg5Odmq87/54OBgOirw6dOn1+12e/TkyZOBkBUAtyGABQAA&#10;AAAA6yO1ZaXmrAhmHTstAJvtF0YARqiqWXzjCMDbipDVhw8fIlgVIwMbV1dXMUKwNRgMyrqes9Pp&#10;DHd3d0ePHj2ahq1evHjxsdvtxtdD3yEAfCsBLAAAAAAAWH8pmHWWbXtlWV47NQCrazweR2iqWX2Z&#10;xv3lIwDzx+/VmzdvYlRg+fr163aMCjw7O2tdXl42+v1+bb+fVqs17na7g52dneHe3t4oQlbtdnv8&#10;/Pnzge8WAOokgAUAAAAAAJsrAlhpnGEEs45iW5blpVMD8DA+MwIw7FfbWkcA3sbZ2Vk0VzWOj48j&#10;bNU4OjraqjtkFQ4PD69TyGqyP9je3h69fPlSqBiAByOABQAAAAAALJLGGKbGrBhn2HNaAL7OeDxO&#10;DVX5uL80AjAcLOPvu9/vl2/fvm2dn583Ly4umqenp80YGTj5ulXn80bIqtVqjR4/fjzc398fHhwc&#10;DJ89ezbodDpj300ALBsBLAAAAAAA4DZSY1baRjDr2GkBNtFnRgDG1zvV/oONALytV69ebX348KFx&#10;cnLSipDVYDCI/a06n/Pg4GCwtbU1fvr06XW73R49efJk0O12R48ePRr67gJglQhgAQAAAAAAdyG1&#10;ZaXmrGlIqyxLI6GAlTIej+cbquZHAOaPr5Q3b95Mm6wiZPX+/ftGNFn1er3WYDAo63rOTqcz3N3d&#10;jVDVNGz14sWLj+12e/z8+fOB7zYA1oUAFgAAAAAAUKcIYEVbVowxTOMMr8qyvHRqgPv0mRGA7WqF&#10;g3X474yQ1cePH8vXr1+3r6+vy7Ozs9bl5WWj3+/X1sTVarXG3W53sLOzM9zb2xsdHh4OYmSgkBUA&#10;m0IACwAAAAAAeCipLSuCWUeFYBZwS+PxOMJT29WXi0YAxmPtdfvvPjs7i+aqxvHxcYStGkdHR1sR&#10;tjo/P2/V+byHh4fXrVZr9Pjx42GErLa3t0cvX77UdAjAxhPAAgAAAAAAlk00Zl0WN81Zl2VZ9pwW&#10;2AxzIwDzgFWEqprFCo8AvI1+v1++fft2OjLw4uKieXp62hwMBo2Tk5OtOp/34OBgOirw6dOn1/v7&#10;+8Nosnr27Nmg0+mMfXcCwGICWAAAAAAAwKpIbVmpOSuCWcdOC6yG8Xgcoan5AFU+AjA9vlFevXq1&#10;9eHDhwhWtd6/f9+4urpq1h2y6nQ6w93d3VGErNrt9ujJkyeDbrc7evTo0dB3KgDcngAWAAAAAACw&#10;6lIw6yzb9sqyNBYLajY3AjAaqtIIvP1qu5YjAG/rzZs3MSqwfP36dTuFrHq9XmswGJR1PWcKWT16&#10;9GjaaPXixYuP7XZ7/Pz584HvXAC4WwJYAAAAAADAuooAVhpnGMGso9iWZXnp1MAvG4/HB9XuohGA&#10;4cBZ+qmzs7MIVTWOj4+jyao5+bp1eXnZ6Pf7tbV6tVqtcbfbHezs7Az39vZGh4eHg+3t7dHLly8F&#10;UAHgHglgAQAAAAAAmyiNMUyNWTHOsOe0sM6yEYAhD1ht9AjA2+j3++Xbt29bEbL6+PFj4+joaOv6&#10;+ro8Pz9v1fm8h4eH161Wa/T48ePh/v7+8ODgYPjs2bNBp9MZuyoA8PAEsAAAAAAAAG6kxqy0jWDW&#10;sdPCshqPxxGY2q2+XDQCMH+cL5BCVufn582Li4vm6elpczAYNE5OTrbqfN6Dg4PpqMCnT59et9vt&#10;0ZMnTwZCVgCwGgSwAAAAAAAAfl1qy0rNWdOQVlmWxnxRi2wE4HzAygjAO/Lq1autDx8+RLAqRgY2&#10;rq6uYoRgazAYlHU9Z6fTGe7u7o4ePXo02NvbG0bIqtvtxtdDVwQAVpcAFgAAAAAAwNeLAFa0ZcUY&#10;wzTO8Kosy0unhnnj8ThG/W1XX+YBq51qPx5rO1N3582bNzEqsHz9+nU7RgWenZ216g5ZtVqtcbfb&#10;HUTIKhqtXrx48bHdbo+fP38+cEUAYD0JYAEAAAAAANQjtWVFMOuoEMxaS3MjAPOAlRGA9+Ts7Cya&#10;qxrHx8cRtmocHR1tXV5eNvr9frPO5z08PLze2dkZ7u3tjSb7g+3t7dHLly+14gHABhLAAgAAAAAA&#10;uF/RmHVZ3DRnXZZl2XNalst4PI7QVLP4aYCqXdw0VKXHuQf9fr98+/Zt6/z8vHlxcdGMkFU0Wk2+&#10;btX5vBGyarVao8ePHw/39/eHBwcHw2fPng06nc7YVQEAEgEsAAAAAACA5ZDaslJzVgSzjp2WuzM3&#10;AjDG/kV4xwjAJfLq1autFLI6PT1tDgaDxsnJyVadz3lwcDAdFfj06dPrdrs9evLkyaDb7Y4ePXo0&#10;dEUAgC8hgAUAAAAAALDcUjDrLNv2yrI06qwyHo8Pqt35gFVqqDpwlpbHmzdvpk1WJycnrffv3zeu&#10;rq5ihGBrMBiUdT1np9MZ7u7uRqhqGrZ68eLFRyErAOCuCGABAAAAAACspghgpTGGg8k6mqyrsiwv&#10;1+E/LhsBGPKAlRGAKyBCVh8/fixfv37djlGBZ2dnrcvLy0a/36/tmrVarXG32x3s7OwM9/b2RoeH&#10;h4MYGfj8+fOBKwIA1EkACwAAAAAAYP2kMYapMSvGGfYe+jc1Ho8jfLNbfZlGAIb9aps/zpI7OzuL&#10;5qrG8fFxhK0aR0dHWxG2Oj8/b9X5vIeHh9etVmv0+PHjYYSstre3Ry9fvtQIBwA8GAEsAAAAAACA&#10;zREhrMvipjnruizL42/9l2YjAOcDVkYArrh+v1++fft2OjLw4uKieXp62oyRgXWHrA4ODqZNVhGy&#10;2t/fH0aT1bNnzwadTmfsqgAAy0YACwAAAAAAgNSWlZqzYvUnq1E9ngesdqp9IwDXyKtXr7Y+fPjQ&#10;ODk5ab1//74RIavJ/ladzxkhq62trfHTp0+v2+326MmTJ4Nutzt69OjR0BUBAFZJyykAAAAAAADY&#10;GNuT9bTaj1BVt9r/Lnv8yWSdVytCWP81WT8Ws3DW+8m6mKyBU7l63rx5E6MCy9evX7dTyKrX67UG&#10;g0FZ13N2Op3h7u5uhKqmYasXL158bLfb4+fPn/seAgDWhgYsAAAAAACA1RehqghPtSfrWXXsoLhp&#10;rvrtN/77o+kqQjonxSyUFQ1Zf66+/qGYjTPsV4sHdHZ2FqGqRoSsrq+vy8nXrcvLy0a/36+trazV&#10;ao273e50ZODe3t7o8PBwsL29PXr58uW1KwIAbAIBLAAAAAAAgOWUN1TlAavUYNUtbgJWD6VRrWjL&#10;ihGGvck6mqx3k/XHYtaW9aHackdSyOr4+DgarRpHR0dbEbY6Pz+vdfrN4eHhdavVGj1+/Hi4v78/&#10;PDg4GApZAQAIYAEAAAAAANy31EY1H7CKcFU+InCVRVtWNC5FI1YEs2J8YbRkRWPWfxazwFYEs059&#10;OyzW7/fLt2/fts7Pz5sXFxfN09PT5mAwaJycnGzV+bwHBwfTUYFPnz69TiGrZ8+eDTqdzthVAQD4&#10;zA+/AlgAAAAAAADfLDVUhTxgdbDg8U0XLU2DYtaWFUGsaMf6frJ+LGZBrffVscEmnIxXr15tffjw&#10;IYJVrffv3zeurq6i3ao1GAzKup6z0+kMd3d3R48ePRrs7e0Nnzx5Muh2u/H10LcnAMDtCWABAAAA&#10;AAAstmgEYPiu2i7DCMB1Eo1ZETqKlqxozoqA1g/FLJgVYw3PquP9VfsPe/PmTYwKLF+/ft2OUYFn&#10;Z2etukNWrVZr3O12BxGyikarFy9efGy32+Pnz58PfKsBANwtASwAAAAAAGDTpIaqGPn3rNpPIwDz&#10;x1kOjWpFW1aMM4xg1ptiFtR6Vczasj5U2wdzdnYWzVWN4+PjaLJqRsjq8vKy0e/3m3U9ZwpZ7ezs&#10;DPf29kaHh4eD7e3t0cuXL6992wAA3B8BLAAAAAAAYB0sGgHYro7PP856iPaoCDdFI1YEs2J8YbRk&#10;RWPWnyfr3WTFSL3Tu3rCfr9fvn37tnV+ft68uLhoHh0dbUWj1eTrVp3/oYeHh9etVmv0+PHj4f7+&#10;/vDg4GD47NmzQafTGfs2AABYgh9Mx+Px/13tjyYrpeGH1SqqY+mHtxOnDAAAAAAAuCcRmEoBqnwc&#10;4HcLHodcBKJi1F60ZUVzVrRjfV+tCGqlxqyF4/hevXq1lUJWp6enzcFg0Dg5Odmq8zd8cHAwHRX4&#10;9OnT63a7PXry5Mmg2+2OHj16NHQ5AQCWWwSw/vctfv1OMfskQYSyRtWxj9njeXCr97kfWgEAAAAA&#10;gI22aATgQbXyx+Guxftc0Zx1cnl5+XEwGPQuLi7eTtbxu3fvjk9OTj6cnZ1dTY7XEnrqdDrD3d3d&#10;CFVNw1YvXrz4KGQFALD6bhvAuo0U1gqX1X4EshYFt66qBQAAAAAArKa8oSqN+8tHAHaLm4AV3IsP&#10;Hz6Uo9GovLq6aky2xcePH8sYGTgYDMq5X9ooJ4bD4fvxeNyfbM8nv/btZJ2dn59///79+97k3/Wh&#10;3+9/+LXnbLVa4263O9jZ2Rnu7e2NImTVbrfHz58/V1wAALCm6gxg3Ua7WiHmdKcfeiOUNR/cEtYC&#10;AAAAAID78bkRgHGsXRgByBJIgaoUtur3+58LWX2NyGVFeOtDBLMm/853kxXhrKNGo/HnybGTra2t&#10;y52dnbPt7e3Ry5cvr10RAIDNsywBrNuIQNZOtR/BrFTJGp84mA9uxQ+55y4zAAAAAAD8RN5QtWgE&#10;YHoclkK0V3348KERoaoIV6Umq9jW+bzRXBWjAtM22q0iaNVoNOLhVjF7r6pXzN6POp2sHyfr+8k6&#10;LmbvXZ26egAA628VA1i3tV9tY+ThONtPonGrUe2f+JYAAAAAAGBFLRoBGL6rtkYAsvTSqMAIW0W4&#10;KvbjWJ3PGeGqZrM57nQ640ajEQGradAqAldf+a+MkoAIhsX7Tv1qe1TMwlk/TNb7ybooZuEtAADW&#10;wCYEsG5jp7hpzkojD/Ow1mUx+zRD6PnBGAAAAACAe/DbartoBGD+OKyEGBVYjQyMRqsi7UfYqi4p&#10;UBVhq2iv2tnZGaWw1T3+pzeqFW1ZMc0lglnRlBXBrNeTdVbMAlt93yUAAKtFAOvrtbMXtxHMiuBW&#10;BLLSq4M0BjEIawEAAAAAkMsbqlKAql0dn38cVk6MB4xgVWq0SiMD41hdzxnBqhgPGGGryfq0f88h&#10;q68R5yTeU4rgVby/dFzcBLOiMetdMRtneOE7CwBgSX+gE8C6F/FD8061369+kC6Km5DWfHDryikD&#10;AAAAAFg5EZhaFKD6bsHjsPJSoCoarUajUdnv98vhcFhG2KrO563aq6ajA6PVKkJWcWxNT3NMZon3&#10;keLD/tGcdTpZ3xezcNabyRpWxwAAeEACWMtpv9q+L25GHsYnG+aDW9fVD9sAAAAAANQnb6h6Vu0f&#10;VCt/HNZOtFdVowKnDVYRropj0WxV5/NGuKrZbI47nc6nkFU0WkXwiql4nyjeN4oxhv1qe1TMwlnR&#10;mpUas0xoAQC4BwJYq2+n+iE7QlnpVUeMREzBrX52/MTpAgAAAACYivBUt9pfNAKwW9wErGDtpVGB&#10;VdiqSOMD63zOCFVFuCpCVo1GYzoqMB1zRb5ao1rxAf547yjeG0pjDF8Vsw//C2YBANwxAazNksJa&#10;19VKwa1m9Xge3Or54RsAAAAAWDH5iL88YBXH2oURgGy4NCowglUpZBWBqwhe1SUFqqLRKtqrqvGB&#10;07CVK3Kvoi0r3g+KD+7He0PHxWyEYQpoHVWP9Z0qAICv+GFLAIvPaFcrxCchtopZIGtRcEtYCwAA&#10;AACoU4SmIjz1uRGA6XHYeDEmsApWTbcxMjAdq+s5I1gV4wEjbDVZRRoVGGErV2QlxIfz432eeL8n&#10;mrMijPVjtSKklcYZAgDwGQJY3IUIYu1U+ymslfbbxc+DW1dOGQAAAABsvPmGqhSwMgIQfkUaFZga&#10;rfr9fjkcDqdhqzqft2qvKqLNKlqtInCVwlaspXhfJ76noiUrmrHeFrNQVmyjNSuCWadOEwCAABYP&#10;Y7/axpzxNPLwrPhpiCtutERo69zpAgAAAICV8ttqu2gEYP448AtSyCqaq6LBKsJVcSzGB9b5vBGu&#10;ajab406nM06jAoWsmNOoVryHEx+6j1BWtGa9m6xXxez9n3ivx/QUAGBjCGCx7CKUlZqz0qu7y2Jx&#10;cOvE6QIAAACAWuQj/vKAlRGA8I0iUJWFrYpqfOD0WF2iuSoarCJsVbVYjdMxV4RvEG1Z8Z5OtGXF&#10;+zoxvvC4uAloHVWP9Z0qAGDtfhASwGKNtIub5qx85GGzejw+iZFuAglrAQAAALDp4l5ZGveXB6i+&#10;W/A48A3SqMAUtoo2q2i1irBVXc8ZjVXRXBXBqslK4wOnYStXhAcQH6yPRqxeMXu/JkYYRjAr3q+J&#10;oFaMM7xwmgCAVSWAxaaKUFY+8nCr+sF/UXCrV6jJBQAAAGB1pIaq+LDis2rfCECoWQpUpbBVv9+v&#10;PWQVIliVQlZpVGAcc0VYEfFeTPw/EkGsaMZ6O1nfF7Nxhn+erOFknTpNAMCyE8CCL7NfbWPkYaeY&#10;BbLihUC7+Hlw68rpAgAAAOCOxai/brWfB6xSQ1W3uBkHCNQkGxU4DVdFyGo4HJbRaFXn81btVUWM&#10;DIwxgdXYwOkxWFONakVbVrzvksYYRkDrVXHTmOUD9ADAUhDAghpeCxezMFY0Z6Xa9rPqeB7cuq5e&#10;OAAAAACwmfIRf3nAyghAeGAxKjCFrCJcFcGrOFbnc0a4qtlsjjudzjiNCoygVQSuXBH4JMKO8R5M&#10;vNcSwawYX3hczAJaMdYw2rIEswCA+/8hRQALHlQKa8WLhHG1H6Gs+eCWsBYAAADA6ojQVNzfyUcA&#10;HhQ3DVVGAMISiFGB1cjACFsVaT/CVnVJgaoIW6VRgUJWcHf/ixWz4FV8QD7eU4lAVgSzYrxhjDXs&#10;VwsA4M4JYMHqaBc3zVlRrbtV3Iw7nA9unThdAAAAAHcqb6jKA1ZGAMISi5DVaDQqo70qglXRZhWt&#10;VhG2qus5I1gV4wEjWDVZn/aj0coVgQcR76HE//Px3kkEsGKMYQSy3k3Wn4ubcYYAAF9NAAvW98VE&#10;as5KYa18/GEe3OoVqngBAACAzZXaqOYDVnEPxQhAWAEpUJXCVv1+vxwOh9PRgXU+b7RXRdgq2qwi&#10;ZJUarVwRWBmNasUH3ON9kwhlxQjDCGi9Kmbvr5w6TQDAlxDAAsJ+tY2Rh51iFsh6X8xCXPGiY1jc&#10;BLeunC4AAABgyaWGqpAHrA4WPA6sgGivqkYFThusUpNV3SGrCFelkYGxrZqspmErYG3FnyvxAfb4&#10;UHu8J/KXYvb+SYwzjLGGEcqKxiwfbgcAbn6AEMACbmmnuGnOSjcqz6rj88EtYS0AAADgruRtVHmA&#10;6rtqawQgrIE0KrAKWxURuIpjdT5nhKoiXNXpdMaNRmM6KjAdc0WA+T8yitl7IfEeSYwwPCpmzVm9&#10;atuvFgCwYQSwgDq1i5vmrLhZEcGtqPJNN0hj3nq0b11XxwEAAIDNkxqq4h7Cs2o/jQDMHwfWRBoV&#10;GMGqFLKKwFUEr+qSAlXRZJVGBaawlSsC3IF4/yOas+J9jwhgvS5mgax47+NPxSy0deE0AcD6EsAC&#10;lunFST7ycKu4adBaFNwCAAAAlteiEYDtYnGDFbCGYjxgaq+KYFUaGRjH6nrOCFbFeMAIW01WkUYF&#10;RtjKFQEeSKNa8R5HvOcRoaxozYr2rD8Ws/dDTp0mAFh9AljAqkrNWZeT1SluglupcSukUYnmsAMA&#10;AMC3y0cAxqi/brX/3YLHgQ2QAlWp0arf75fD4bCMsFWdz1u1VxXRZhWtVhG4ErICVkz8ORnvYURb&#10;Vryn8ZfJOitmAa03xSywJZgFAKv0l7sAFrABdqoXMtGctVfMAlnvi582bqXg1pXTBQAAwIZZNALw&#10;oFr548AGivaqGA8YQasIXEW4Ko5Fs1WdzxvhqmazOe50Op9CVqnRCmDNtYrZ+xjxAfNoyorGrAhm&#10;/VDMQlkXhQ+eA8DSEcAC+KkU1upVL3Ka1QucRcEtYS0AAACWVd5Qlcb95SMAu8VNwAqgSKMCq7BV&#10;UTVbTY/VJUJVEa6KsFUVsBqnY64IwM//2Ky28WHzaM56XcyCWSfVtl8tAOABCGABfL12tSKsFR+9&#10;2ypmtcApuBUvetKoxHOnCwAAgG/0uRGAT6vXp0YAAr8ojQpMYatos6o7ZBWNVdFcFSGr2K/GB07D&#10;Vq4IwJ2I9yNipGG8DxEfHH9VzD5Y/uNk/Tn++C9mrVkAQI0EsADu7wVQPvIwhbXiRVG7+HlwCwAA&#10;gM2RGqpCGveXjwDMHwf4RTEmsGqvmm4jZJWO1fWcKWQV7VWTVaRRgRG2ckUAHkyjWtGKFe9N/KmY&#10;TfmItqwIaUUw69RpAoC7IYAFsJxSc9blZHWqF0cfi1mIKw9uRfuWWe8AAADLZ9EIwPBdtTUCEPhq&#10;2ajAabiq3++Xw+FwGraq83mr9qoi2qxiTGA1NnB6DICVEX9XxIfB472FeI/hqJg1Zv1XtR+hrIvC&#10;ew8AcLu/YAWwAFbeTnHTnLVXvSh6X9w0bqXglrAWAADAt8sbquZHAOaPA3yzGBWYQlYRrorgVRyr&#10;8zkjXNVsNsedTmecRgVG0CoCV64IwNprVdt4vyFCWG+LWTAr3l+I5qx+tQCAOQJYAJulXdw0Z6WR&#10;h/HJlhTciuPRvnVVLQAAgE2waARguzo+/zjAnYpAVdZoVVTjA6fH6pICVRG2SqMChawA+AXxXkI0&#10;Z8WEjnjvIEYYRjgrglox2jDeX7hwmgDYZAJYAPzSC6rUnBWfrNwqZmGtTnHTuJVGJZ47XQAAwJKJ&#10;wNSiANV3Cx4HqNWHDx+ivapMYatos4pWqwhb1fWcEayK8YARrJqsND5w2mjligBwV3/dVCtasSKY&#10;FWGss8n6cbL+OFnDYjbSEADWngAWAHclNWfFyMMIaUUoK24ixqfGI6yVj0oEAAD4WnlD1bNq/6Ba&#10;+eMA9yoFqlLYqt/vl8PhcDo6sM7nTe1VEbKKwFVqtHJFAHhA8XdfvB+QJm8cFbMPeMc4wzfF7P0D&#10;wSwA1usvPwEsAB5AhLFG1YusGH+Ygls7xc+DWwAAwPqL8FS32l80ArBb3ASsAB5MNipw2mCVmqzq&#10;DlnFqMA0MjC2EbhKYSsAWDGtahv3/2NsYYwy/K/q6x+rYwOnCYBVI4AFwLLLm7OiWStq8hcFt3pe&#10;lAEAwFLJR/zlAas41i6MAASWWBoVGGGrCFfFfhyr8zkjXNVsNsedTmecRgVG0CoCV64IABsg3geI&#10;QHPc/497/6+KWTgr3huI0Yb9agHAUhLAAmCdtIub5qzYbhWzWuMU3IqQVhqVeOV0AQDAV4nQ1Hbx&#10;+RGA6XGApRajAquRgdFoVaT9CFvVJQWqImyVRgWmsJUrAgALNaoV4au4r/8fxawlK9qy/hh/pVdf&#10;A8CDEsACYFPFp2lSc1a8eEthra3q617x01GJAACwzuYbqlKA6rtqawQgsJJiPGAEq1KjVRoZGMfq&#10;es4IVsV4wAhbTdanfSErALhT8Xd53OePyRhxP/+HYnYvP8YZvqn2T50mAO7tLyYBLAD4Iqk5K0Ye&#10;dqoXbxHOipBWatxK9cgAALAsflttF40AzB8HWFkpUBWNVqPRqOz3++VwOCwjbFXn81btVdPRgdFq&#10;FSGrOOaKAMCDa1XbuHcfIaz48HU0Z0VQK5qzojFr4DQBcJcEsADg7uXNWXvFTXBrp/h5cAsAAG4r&#10;b6jKA1ZGAAJrK9qrqlGB0warCFfFsWi2qvN5I1zVbDbHnU7nU8gqGq0ieAUArJxozEofpI71uloR&#10;zPpTMRtz2HeaAPgaAlgA8LDy5qxo1hoXPw1uxdqvXgD6RA4AwPqKwNTTan/RCMD8cYC1lUYFVmGr&#10;Io0PrPM5I1QV4aoIWTUajemowHTMFQGAjdCoVoSv4p58tGVFc1Z8iPrfi9m9+QunCYBfIoAFAKsj&#10;Pp2zaORhCm5FSCuNSrxyugAAlkJqqIqf355V+0YAAhstjQpMYatos4rAVezXJQWqotEq2quq8YHT&#10;sJUrAgB8RtyDj/vyEcCK++8/FLNxht9P1l+K2X34U6cJgOlfGgJYALC2UnNW3EzuVC8Mt4rZJ3ni&#10;eD4qEQCALxej/rrVfh6wSg1V3eJmHCDARooxgdFeFWGr2EbIKh2r6zkjWBXjASNsNVlFGhUYYStX&#10;BAC4Y61qGx+YjhBW3H//j+rrdAyADSKABQCECGN9LGaf2InxhxHKGhWLG7cAANZRPuIvD1gZAQjw&#10;GWlUYGq06vf75XA4nIatan0BO2uvKqLNKlqtInCVwlYAAA8sGrPSvfRYr6sV99mjNStGGQ6cJoD1&#10;I4AFANxWHtbqVPv9YnFwCwDgoUVoKsJT+QjAg+KmoSo9DsACKWQVzVXRYBXhqjgW4wPrfN4IVzWb&#10;zXGn0xmnUYFCVgDACmtUK+6hRwAr2rKiJSvuo/97MbvH3neaAFaXABYAUKe8OatdvbCMF5EpuBUh&#10;rjQq0ad+AIAvlTdU5QErIwABvlIEqrKwVVGND5weq0s0V0WDVYStqharcTrmigAAGyLun0drVtw3&#10;v5ysPxez++nfF7PGrNi/cJoAVuAPdAEsAGBJxIvMRSMPtyZrWMzCWnn7FgCwfn5bbecDVvGzgRGA&#10;AN8ojQpMYatos4pWqwhb1fWc0VgVzVURrJqsND5wGrZyRQAAflGrmH1wOT7AfFTM7pdHc9ZJtU6d&#10;IoDlIYAFAKyq1JwVN+2jUetdMatw3qqOxxu1KbgFADycfMRfHrAyAhCgBilQlcJW/X6/9pBViGBV&#10;ClmlUYFxzBUBALhz8WHm+NkuQljRjvW2mDVnnRWz1qw4ZuIEwD0TwAIANkHenLVXzD4pNCpuGrfi&#10;BWurOg4A/Lq8jSoPUH1XbY0ABKhRNipwGq6KkNVwOCyj0arWF1az9qoiRgbGmMBqbOD0GAAAD65R&#10;rbjPHSMN/6uYNWfFB5b/vTrWd5oA6iGABQDwU3lzVjRrXRazTwul4NZ1MWvfOnGqAFhDv83+PnxW&#10;7acRgPnjANyDNCowwlYRror9OFbrC6J2e9xsNsedTmecRgVG0CoCV64IAMBKipB+fAg5wldxvzva&#10;smKixI+T9adidi/8wmkC+MY/bAWwAAC+Wt6cFW9MD6oXsSm4lcJavULlMwAPJ5qoutV+HrBa1GAF&#10;wD2LUYHVyMBotCrSfoSt6pICVRG2SqMChawAADZS3N+Oe9dxDzvask6LWSjrx+rYqVME8GUEsAAA&#10;7k9qzsqDW1vFTeNWjER8XwhrAfDr8hGAecDquwWPA/DAImQ1Go3K1GgVbVYxOjDCVnU9ZwSrYjxg&#10;BKsm69N+NFq5IgAA/Iq4hx0/q8b97GjHelvMmrOOJ+tNIZgF8DMCWAAAyykPY8X4w6iEjlEjEdiK&#10;Tx7loxIBWB+LRgAeVCt/HIAlkwJVKWzV7/fL4XBYRtiq1hcOOzujCFtFm1WErFKjlSsCAEANGtWK&#10;DxfHNIj/KmbNWRHU+s9iFtbyAWNgIwlgAQCsvjyslcYfpuDWfOMWAPcvb6hK4/7yEYDd4iZgBcAS&#10;i/aqalTgtMEqNVnVHbKKcFUaGRjbqslqGrYCAIAlED8Px33oCGXF/eloy4oPFccowxhpmAJbAOv7&#10;B6EAFgDARsmbs9rVi94U3Dqrfk0alQjA531uBODT6s9XIwABVlgaFViFrYoIXMWxOp8zQlURrup0&#10;OuNGozEdFZiOuSIAAKyw+HBw3IOOyQ4/FLOWrAhlRTgrjTgEWHkCWAAAfE7enNWuXiRHYCvGIH6Y&#10;rOti1r515lQBayQ1VIU07i8fAZg/DsAKS6MCI1iVQlYRuIrgVV1SoCqarNKowBS2ckUAANgwcf85&#10;mrMihHVWbaM563iy3kzWqVMErBIBLAAA7kpqzsqDW6klYL5xC+A+LRoBGL6rtkYAAqypGA+Y2qsi&#10;WJVGBsaxup4zglUxHjDCVpNVpFGBEbZyRQAA4Nd/pK5W3F+Odqzvi1lzVjRo/Wd1zD1mYOkIYAEA&#10;8BDy5qy9yXpXvajeql5IN6vHrpwq4BekhqoIeD6r9tMIwPxxANZYGhWYGq36/X45HA7LCFvV+gPt&#10;rL2qiDaraLWKwJWQFQAA1CZ+vo/7xvEh3zTO8G0x+1BwjDQ8rx4DeJg/pASwAABYcnlzVqd6cR32&#10;qhfXYbt6gQ2svkUjANvV8fnHAdgQKWQVzVXRYBXhqjgWzVa1/iDabo+bzea40+mM06jA1GgFAAAs&#10;jZjIEPePUzArxhf+pZi1Z8WxC6cIqJsAFgAA6yRvzpoPbqXGrTQqEbg/EZhaFKD6bsHjAGywNCqw&#10;ClsVEbiK/ThWl2iuigarCFvFfoSs0jFXBAAAVlrcL47mrLgfHPeHfyxmAa031RLMAu6MABYAAJss&#10;NWfFC/F4gy0CWzEG8cNkXRc/HZUI/NyiEYAH1cofB4BP0qjAFLaKNqu6Q1bRWBXNVRGyiv1qfOA0&#10;bOWKAADAxmlUK+4NRwgrmrIimPVusl4VswYtgFsRwAIAgC8TNdaX1X4KbqXZM/ONW7DKIjzVrfYX&#10;jQDsFjcBKwBYKMYEVu1V022ErNKxup4zhayivWqyijQqMMJWrggAAPAF4vVKfFg37vOmcYZvi1lz&#10;Vow0jICW+7/A4j9ABLAAAODO5c1Z88GtXvHTUYlwH/IRf3nAKo61CyMAAfgK2ajAabiq3++Xw+Fw&#10;Graq9QetWXtVEW1WMSawGhs4PQYAAFCTuM8b4asYZxjBrGjOilDW99WxvlMEm00ACwAAHlbenNWu&#10;XrinF/Tvq/3UuAXznlbfH58bAZgeB4CvFqMCU8gqwlURvIpjtf6A1G6Pm83muNPpjNOowAhaReDK&#10;FQEAAJZIfNg2PoSSglnn1fZNtS6cItgMAlgAALBaL+bD/MjDreKnwa1Lp2qlzTdUpQDVd9XWCEAA&#10;7lwEqrJGq6IaHzg9VpcUqIqwVRoVKGQFAACsiUa1IpB1VMzGGMY2xhi+mqxTpwjWiwAWAACsr9Sc&#10;FcGteCOzX73oj9DWdfHTxi3q99tqu2gEYP44ANTiw4cP0V5VprBVtFlFq1WErep6zghWxXjACFZN&#10;VhofOG20ckUAAIANFK+/4n5t3KuNMFaMMIxgVjRo/aU6NnCaYAX/5xbAAgAAip82ZzWKm7BWuKpu&#10;Clx78f8zeUNVClC1q+PzjwNA7VKgKoWt+v1+ORwOp6MD63zeKlg1HR0YgavUaOWKAAAAfLG4Rxv3&#10;X9M4w2jJilDWj9WxvlMEy0sACwAAuK28OWs+uHVV7Tez/VUTgalFAarvFjwOAPcuGxU4bbBKTVZ1&#10;h6wiXJVGBsY2Wq1S2AoAAIDaxL3WeL2XglnRkhWtWRHOOi5MOYClIIAFAADUfXMgNWfNB7feZ7/m&#10;PsJaeUPVs2rfCEAAllYaFRhhqwhXxX4cq/M5I1zVbDbHnU5nnEYFRtAqAleuCAAAwFJpVOu8mAWy&#10;fqy2byfrVSGYBfdKAAsAAFgmKYyVB7e2isWNW+FgsrrV/qIRgN3q1wDAUopRgdXIwGi0KtJ+hK3q&#10;kgJVEbZKowJT2MoVAQAAWHnRlhX3V2NkYbRlfV/cBLN+qLbAXf+PJ4AFAAAsmd3J+l21/6S4CVP9&#10;vtruTNbLav+k2kZQ67zavypuGrXyfQB4EDEeMIJVqdEqjQyMY3U9ZwSrYjxghK0m69O+kBUAAMBG&#10;iw+4xr3UNM7wtJiNMvyxWgOnCL6OABYAAHBfIjQV4and4iZA9aRa4XfVY3WJgNZ1tf+u2l4XN8Gt&#10;fB8AbiUFqqLRajQalf1+vxwOh2WErep83qq9ajo6MFqtImQVx1wRAAAAbiEas+L1axpj+K7aRjjr&#10;TTFr0wJ+gQAWAADwLfIAVYSqIkCVN1Tlj6+SvDkrQlnpk18n2a85cfkBNku0V1WjAqcNVhGuimPR&#10;bFXn80a4qtlsjjudzqeQVTRaRfAKAAAAatSoVtwjjcasuCeaxhm+mqwLpwhmBLAAAIBF0ri/fARg&#10;3lD1e6fokwhn9ar9CG2lT4P1isXBLQCWXBoVWIWtijQ+sM7njFBVhKsiZNVoNKajAtMxVwQAAIAl&#10;E21Z0ZoV90IjjPV9MRtnGPs/VFvYrP8pBLAAAGBjpBGA4Q/V9j5HADKTwlgRzkojD/PGrTy4BUBN&#10;0qjAFLaKNqsIXMV+XaKxKpqrotEq9qvxgdOwlSsCAADAmmgVs/ubaZxhrDfV1z8W7n2ypgSwAABg&#10;tUVg6nfVfhoBGPIGqydO08qKgNZ1tf+u2l4Xi4NbAMyJMYHRXhVhq9hGyCodq+s5U8gq2qsmq0ij&#10;AiNs5YoAAACwwaIxK16Pp2DW2+ImnBWr7xSxygSwAABgOaUAVQSqXlb7RgDyS/IwVgS05scf5sEt&#10;gLWRRgWmRqt+v18Oh8Np2KrO563aq4pos4oxgRG4SmErAAAA4Is1qhX3LmN8YQS0Ypzh62pdOEWs&#10;AgEsAAC4P3kbVRoBGCMBFwWsoE4RzupV+xHaSp8uy8cfnjhNwLJIIatorooGqwhXxbEYH1jn80a4&#10;qtlsjjudzjiNChSyAgAAgHsRH6yK1qy4dxltWd8XN8GsCGq9c4pYqm9YASwAAPgm+QjACFc9rfZT&#10;Q1UesIJVlcJYEc5aNP4wD24BfLUIVGVhq6IaHzg9VpdorooGqwhbVS1W43TMFQEAAICl1Cpm9yPT&#10;OMNYEdA6rrZw7wSwAABgsQhNRXgqHwGYN1gZAQiL5c1Z6VNo+fjDPLgFbKA0KjCFraLNKlqtImxV&#10;13NGY1U0V0WwarLS+MBp2MoVAQAAgLURjVlxfyEPZv2lmN2njK0PkVIbASwAADZJHqCKUFWEq/KG&#10;qvxxoH4RyrrO9ufHH+bBLWCFpEBVClv1+/3aQ1YhglUpZJVGBcYxVwQAAAA2WqNaEcSKUFYEtNI4&#10;w1fFbMwhfBMBLAAAVt3nRgD+rvh5wApYXXlzVmzTTZF8/OGJ0wT3JxsVOA1XRchqOByW0WhV5/NW&#10;7VVFjAyMMYHV2MDpMQAAAIBbiHsY0ZoV9xojjJUHs34obhr+4de/mQSwAABYUmkEYPhDtc0bqlLA&#10;CmBeBLJ62f6i8Yd5cAv4BTEqMIWsIlwVwas4VudzRriq2WyOO53OOI0KjKBVBK5cEQAAAOAetIrZ&#10;/cPvi1lr1ttqHVfH4CcEsAAAuE+LRgCG3y94HOC+5M1Z6VNt+fjDPLgFaylGBVYjAyNsVaT9CFvV&#10;JQWqImyVRgUKWQEAAABLLhqzojkrQljRlhVNWW+K2X3FvxQ+9LmxBLAAALgLKUAVgao07i9vqPq9&#10;UwSsiQhlXWf78+MP8+AWLJUIWY1GozLaqyJYFW1W0WoVYau6njOCVTEeMIJVk/VpPxqtXBEAAABg&#10;jTSqFUGsaMxKzVnx9atiNuaQNSaABQDA5ywaAbhTLA5YAfBzeXNWbNNNlnz84YnTxF1KgaoUtur3&#10;++VwOJyODqzzeaO9KsJW0WYVIavUaOWKAAAAABsu7slEa1bcG3xd3DRnxX4KaLEOF1oACwBgo0Rg&#10;6nfVfoz6e1rtp4aqPGAFwP2JQFav2s/DWnmIKw9uscGivaoaFThtsEpNVnWHrCJclUYGxrZqspqG&#10;rQAAAAC4tVYxu9+X2rLeFrNg1vFk/ej0rBYBLACA9bBoBOCTauWPA7AeUnNW3KBJIw/z8Yd5cIsV&#10;lUYFVmGrIgJXcazO54xQVYSrOp3OuNFoTEcFpmOuCAAAAMC9iMas+KBdasv6odqPD2j+yelZTgJY&#10;AADLKw9QLRoBmD8OAJ8Toazraj+vNE8hrjy4xT1LowIjWJVCVhG4iuBVXVKgKpqs0qjAFLZyRQAA&#10;AACWVqNacY8vGrNSc1Z8/cdCe/6DEsACALhfnxsB+LvqMSMAAXhIeXNWhLLSTZt8/OGJ03Q7MR4w&#10;tVdFsCqNDIxjdT1nBKtiPGCErSarSKMCI2zligAAAACslbjHFK1ZF8VsjGFqzopxhtGe5cOX93ER&#10;BLAAAO5EhKYiPPW5EYApYAUA6yICWb1qP0Jb/Ww/hbjy4NZaS6MCU6NVv98vh8NhGWGrOp+3aq8q&#10;os0qWq0icCVkBQAAAEClVczuz/1XMQtlRUArglnHk/Wj03N3BLAAAD4vD1BFqCoFqH6/4HEA4Jel&#10;5qy44ZM+dZeHtfL9pZRCVtFcFQ1WEa6KY9FsVefzRriq2WyOO53Op5BVarQCAAAAgK8QjVnxwcEU&#10;zEojDeMDlX9yem5PAAsA2ER5gGp+BGD+OADwMCKgdV3tv6u218VNcCvfv3Pv3r07HA6Hrffv33c/&#10;fvzYuby83Ol2u/9vhK3qEqGqCFdF2KoKWI3TMd8OAAAAANyTRrWiKSuCWSmgFffo/lhsSNv91xDA&#10;AgDWRRoBGP5QbXeKm3GARgACwHrKm7MilJVuAp1kv+Zk/h86Pz8/GAwGW71ebxq2urq6Ouj3+93R&#10;aNSa/7Xj8bjY3t7+f/b390+/5TcajVXRXBUhq9ivxgdOw1YuIwAAAABLLNqyojXropiFs/KRhj8U&#10;NX5YclW0fI8AAEssAlO/q/YXjQDMA1YAwGbaKW5C2IfZ8f/24cOH4uPHj8Xl5WWMDoztoN/vX0/s&#10;3OYJyrIsIqT1Jb82hayivWqyijQqMMJWLhUAAAAAKyo+QBgffOwUs/fm8vfnWtVjEcqKUYbRlvVq&#10;ss4m68dNOUECWADAQ0gBqt1icUOVEYAAwBcZDoefAlYRtur1ep+OLdAqvvJeSKPR+N3W1tb+eDzu&#10;x+p0OhHMupocu4wxgdXYwGnYCgAAAAA2SGqk/z+rlURjVjRnpbaso2o/2rL+vG4nwQhCAOCuPKlW&#10;WDQCMH8cAOBWzs/Pi7zRajAYTI/VaXd3t2g2m0W32y22traKR48eTb+Otei3OFnX1f67antd3NSv&#10;56MSAQAAAGBTNaoV4wsjmJWas+I+2v+3qv9RAlgAwC/JRwBGeOpptW8EIABw5yJQFcGqq6uradiq&#10;Ghs4bbSqy/b2dtFut6dhqxgZeHBwMP06jtcoD2PFjaX0KcGTapsHtwAAAABgE0RbVnzy8aKYhbNS&#10;c1bsR2PWUn+4UQALADZThKYiPJWPAMwbqvJxgAAAdyYFqlLYKr6OVqsIW9UlGqsiYBWhqlgRskrH&#10;VkCEs3rVftxk6lf7veLnwS0AAAAAWEetYnZf7Pti1pYVDfSvJuu4WJJ7YwJYALA+8gBVhKriHUUj&#10;AAGAe5ePCoywVa/Xm27j6zpFsCqFrHZ2dj41Wm2YdMMpwlmLxh/mwS0AAAAAWGXRmBXNWf9RzJqz&#10;IpwVzVkRzPrxPn8jAlgAsPzSuL98BGDeUPV7pwgAuG8pUJWHrdLIwDqlJqvYplGBsR+NVtxaBLSu&#10;q/131TYff5gHtwAAAABgVaRg1utiNsYwNWdFMOtPdTyhABYAPIw0AjD8odoaAQgALJ00KvDq6moa&#10;ror9OFanFKjqdrufRgWmsBUPJg9jxTfA/PjDPLgFAAAAAMuoUa0IZcUHElNz1tvJ+mPxDc3xAlgA&#10;cHciMPW7aj+NAAypoSofBwgAsDRSe1WErGKbmqyi5aouEaaKUFWEq9KowBS2YuXlYa3Y9qv9fPzh&#10;idMEAAAAwJKItqxozYr7WNGW9UNx05wV+7/6wUMBLAD4dSlAFe8GpgCVEYAAwEpJowJTo1UErOLr&#10;OF6XFKiKsFWsnZ2dTyMDoRKBrF62v2j8YR7cAgAAAID71Kq20ZZ1Vtw0Z8X+j+kXCWABsKnycX9p&#10;BGDeUGUEIACwclLIKrVX9Xq96Ta+rlO0V0WLVT4qMI5BDfLmrHfVNh9/mAe3AAAAAKAu0ZgVzVmv&#10;J+tUAAuAdZKPAIxw1dNq3whAAGBtpEBVHraKRqtotqr1B63d3WmjVbfb/RSySsdgScX/FNfZ/vz4&#10;wzy4BQAAAABfTQALgFUQoakIT+UjAPMGKyMAAYC1k0YFXl1dTcNWseoOWUWoKsJVEbJK4wNT2ArW&#10;XN6cFdt+tZ+PPzxxmgAAAABYpOUUAPBA8gBVhKoiXJU3VOWPAwCspTQqMIJVKWSVjtUlhawiXBVj&#10;A2NUYApbwQbbqdaXiEBWr9rPw1p5iCsPbgEAAACw5gSwALhrqY0qHwEYYwHnA1YAABshHxWYAlbx&#10;dezXJQWqImwVa2dn51PYCvhmcT/t8Ba/PjVnRSAr1djl4w/z4BYAAAAAK0gAC4AvkUYAhj9U27yh&#10;KgWsAAA2UjRWRbAqtVf1er1Px+oUgaoIVuWjAmM/AljA0sjDWv/Hr/zaCGVdV/vvsuMpxJUHtwAA&#10;AABYEuV4PP7fTgPARlo0AjD8fsHjAAAbLwWq8karwWAwHR9YpxSo6na7n5qthKyA4qfNWfEHURp5&#10;mI8/PPn/2bub3cjRIw2jKqA29IKLtlGrXrfvrC/dgDcSQC8oIBvQ+M1hZEVXpywpS5+UP+cABD9S&#10;wmCQG5ekpyN8TAAAAADjmYAFcH0qoEpQVev++oSq33xEAADPS1CVsGpd131sVWsDE2CNkslVmWBV&#10;awP7RCuAZ0x33ycVv7QSMUHWsp0TbT22c0VcPdwCAAAA4A0EWACX4dgKwOnueGAFAMALKqiq2CrP&#10;mWqV2GqUml6VqCpX1gfWO4DB8jvAX97w/TU5K0FWjfnrsVY/AwAAANw8ARbA58lf2n7dzln194/t&#10;XBOqemAFAMAb9VWBia2WZRkeWUXCqoqspmm6+/r16/4dwAXpsda3F743gdZuOz9s993d93CrnwEA&#10;AACukgAL4P0dWwH49+3qXwcA4CclrEpgVbFVIqt6N1KCqoRVfVVgzploBXBjemH60pStPjkrUVat&#10;PLxv33PvIwUAAAAuzZenp6fffQwAL+oBVaKqxFV9QlX/OgAA7yyrAvtEq6wNzLuRKqia5/mwKrBi&#10;KwCGS5y1bOdEW4/bebn7Hm71MwAAAMCnMQELuGXPrQD89e6vgRUAAIPVJKt1Xff3XLU+cJTEVImq&#10;ElfVqkCRFcBZyO8tf3nD99fkrARZVej2iVv9DAAAAPCuBFjANUo0NW3nf273PqGqAisAAD5YBVWZ&#10;XpUpVnnOVKvEVqPU9KpEVbmmaTqsDATgavRY69sL35tAa7edH7b77u54uAUAAADwIgEWcCmOrQCM&#10;3458HQCAT9RXBSa2WpZlf8/zSJlelSlWCasSWdVEKwD48X8y2vmlKVs9xkqgVSsPa+JWD7cAAACA&#10;G/Xl6enpdx8D8Il6QPXjCsD+dQAAzkgFVT22qpWBI9Ukq9xrVWDOmXIFAJ8scdaynRNtPW7n5e6v&#10;4RYAAABwRUzAAkY4tgJw2t6HFYAAABeiVgWu67oPrHLl3UiJqhJXzfN8WB9YsRUAnLH8rvWXN3x/&#10;xViJs46tP+zhFgAAAHDmvxQAeI0EU79u52MrAHtgBQDABalVgQmrKrKqd6NUZJW4qlYFVmwFADei&#10;x1rfXvjeBFq77fyw3fv6wx5uAQAAAB9MgAVUQJW/dFVA9fft6l8HAOCC1arAmmiVwCrPeT9KBVWJ&#10;rXJN03SIrQCAN+n/4/nSlK0eYyXQ+nH9YQ+3AAAAgHfw5enp6XcfA1ydHlAdWwHYvw4AwJWoyKqm&#10;Vy3Lsr/neaQEVQmr+qpAkRUAXIQea+X+uJ37+sN7HxMAAAD8byZgweXoKwATT/1jO/+6fc0KQACA&#10;G1BBVY+tMtEqk62G/mP0b3/bT7Sa5/kQWdU7AOBiTdv1GgmylnY+tv6wh1sAAABwMwRY8PkSTeUX&#10;Xc+tAKzACgCAG1KrAtd13cdWuWqy1SiJqhJX1drAPtEKALh5+V1yX3/47YXv75OzHrZ7X3/Ywy0A&#10;AAC4+B+agffXA6pEVT9OqLICEACAQ1BVsVWeR0dWmViVsCpX1gZmVWC9AwB4R788cz4mUdaunX9c&#10;f9jDLQAAADg7X56enn73McCr/bbdj60A7F8HAIC9viqwpljlOedRKqjK5Kpc0zQdYisAgAvXJ2fl&#10;/rid+/rDex8TAAAAH8kELPi+AjD+ud2tAAQA4NUysaoCq8RVy7Ic3o2UoCphVV8VmHMCLACAKzXd&#10;ff9d3ksSZC3bucdaPeLq4RYAAACcRIDFtUow9et2rhWAUROq+jpAAAB4lawK7BOtsjYw74b+w3YL&#10;quZ5Pky2qtgKAID/Kb///uUN31+TsxJk1T/y+vrDHm4BAADAn34AhUtSAVWCqgqorAAEAODdJKhK&#10;WLWu6z62qrWBmWg1SmKqRFWJq2pVoMgKAODD9Vjr20v/bLz7/zgrHtr7irh6uAUAAMCV+/L09PS7&#10;j4FP1tf91QrAPqGqfx0AAH5aBVUVW+U5U60SW41S06sSVeVKZFXvAAC4an1yVqKsWnnY1x/e+5gA&#10;AAAulwlYjNJXACae+sd2tgIQAIAP0VcFJrZalmV4ZBUJqyqymqbpMNEKAICbNW1XvLQSMUHWsp0T&#10;bT22c0VcPdwCAADgDAiweKtEU/llQV8B2CdU9XWAAAAwVMKqBFY9tqqVgSPVJKvca1VgzploBQAA&#10;PyG/s//lDd9fk7MSZNXKwx5r9TMAAAADf5iDHlAlqkpAZQUgAABno1YFruu6j6tyzruRKqia5/mw&#10;KrBiKwAAOBM91vr20j+r/3vttvPDdt/dfQ+3+hkAAIA3EGBdt1r311cA1oQqKwABADgrNb0qkVXu&#10;NckqU65GSUyVqCpxVa0KrNgKAACuTN+L/dKUrT45K1FWrTy8b99z7yMFAAD4f1+enp5+9zFclFoB&#10;GP/c7lYAAgBwEWpVYE20SmCV57wfpYKqxFa5pmk6rAwEAAB+WuKsZTsn2nrczsvd93CrnwEAAK6O&#10;CVjnIX/5+XU71wrA6BOsrAAEAOAiVGRV06uWZdnf8zxSpldlilVfFZh3AADAUPk7wy9v+P6anJUg&#10;q1Ye9olb/QwAAHAxPxgxTgVUCapq3V+fUPWbjwgAgEtUQVWPrTLRKpOtRkpclYlW8zwfIqt6BwAA&#10;XIQea3174XvzA8ZuOz9s993d8XALAADg0wiw3q5Po6oVgFkJeCywAgCAi1arAtd13cdWuUZHVomq&#10;Elclsqr1gRVbAQAAN6WPtH1pylaPsfJDS608rIlbPdwCAAB4V1+enp5+9zH8aQVg4qp/bOeaUNUD&#10;KwAAuCq1KjBhVUVW9W6UiqwSV2VtYFYFVmwFAAAwWOKsZTsn2nrczsvdX8MtAACAF137BKxjKwD7&#10;BCsrAAEAuAl9VWAFVnnOeZQKqhJb5Zqm6RBbAQAAfKL8beSXN3x/xViJs46tP+zhFgAAcKM/ZFya&#10;HlAlqkpc1SdU9a8DAMDNyMSqhFU1vWpZlsO7kRJUJazqqwJzToAFAABwBXqs9e2F702gtdvOD9u9&#10;rz/s4RYAAHAlziXAem4F4K93fw2sAADgZlVQ1Sda/fHHH/v1gUP/wb4FVfM8HyZbiawAAAD+oo/8&#10;fWnKVo+x8kPdj+sPe7gFAACcsS9PT0+/D/y/n2hq2s7/3O59QlUFVgAAQJOgKmHVuq772KrWBibA&#10;GiWTqzLBqtYG9olWAAAAfKoea+X+uJ37+sN7HxMAAHyOUyZgHVsBGL8d+ToAAPCMCqoqtspzplol&#10;thqlplclqsqV9YH1DgAAgLM13X3/D95fkiBraedj6w97uAUAAPykHmBVQJW/vNS6vz6h6jcfFwAA&#10;vE1fFZjYalmW4ZFVJKyqyGqapruvX7/u3wEAAHD18refvv7w2wvf3ydnPWz3vv6wh1sAAMARWUH4&#10;5GMAAIDTJaxKYFWxVSKrejdSgqqEVX1VYM6ZaAUAAAADJMratfOP6w97uAUAADdDgAUAAK+UVYF9&#10;olXWBubdSBVUzfN8WBVYsRUAAACcsT45K/fH7dzXH977mAAAuAYCLAAAaGqS1bqu+3uuWh84SmKq&#10;RFWJq2pVoMgKAACAG5Iga9nOPdbqEVcPtwAA4KwIsAAAuDkVVGV6VaZY5TlTrRJbjVLTqxJV5Zqm&#10;6bAyEAAAAHiTmpyVIKtGU/f1hz3cAgCA4QRYAABcpb4qMLHVsiz7e55HyvSqTLFKWJXIqiZaAQAA&#10;AJ8iUdZuOz+09xVx9XALAABOIsACAOBiVVDVY6taGThSTbLKvVYF5pwpVwAAAMDF6pOzEmXVysO+&#10;/vDexwQAwI8EWAAAnL1aFbiu6z6wypV3I1VQNc/zYX1gxVYAAADAzUuQtWznRFuP7VwRVw+3AAC4&#10;YgIsAADOQq0KTFhVkVW9GyUxVaKqxFW1KrBiKwAAAIB3VJOzEmTVf1XWY61+BgDgwgiwAAD4MLUq&#10;sCZaJbDKc96PUkFVYqtc0zQdYisAAACAM5RAa7edH7b77u57uNXPAACcAQEWAADvqiKrml61LMv+&#10;nueRElQlrOqrAkVWAAAAwJXrk7MSZdXKw/v2Pfc+JgCAsQRYAAC8WQVVPbbKRKtMthopcVUmWs3z&#10;fIis6h0AAAAA/1PirGU7J9p63M7L3fdwq58BAHglARYAAM+qVYHruu5jq1w12WqURFWJq2ptYJ9o&#10;BQAAAMCHqclZCbLqv7rrE7f6GQDgpgmwAABuXAVVFVvleXRklYlVCatyZW1gVgXWOwAAAAAuTgKt&#10;3XZ+2O67u+PhFgDA1RFgAQDcgL4qsKZY5TnnUSqoyuSqXNM0HWIrAAAAAG5Wj7ESaNXKw5q41cMt&#10;AICLIMACALgSmVhVgVXiqmVZDu9GSlCVsKqvCsw5ARYAAAAA/ITEWct2TrT1uJ2Xu7+GWwAAn0aA&#10;BQBwYbIqsE+0ytrAvBupgqp5nv+0PlBkBQAAAMAZqRgrcdax9Yc93AIAeDcCLACAM5SgKmHVuq77&#10;2KrWBmai1SiZXJUJVgmralVgTbQCAAAAgCuTQGu3nR+2e19/2MMtAID/SYAFAPBJKqiq2CrPmWqV&#10;2GqUml6VqCpXIqt6BwAAAAAc1WOsBFo/rj/s4RYAcIMEWAAAA/VVgYmtlmUZHllFwqqKrKZpOky0&#10;AgAAAACG6rFW7o/bua8/vPcxAcB1EWABAPykhFUJrHpsVSsDR6pJVrnXqsCcM9EKAAAAADh7CbKW&#10;dj62/rCHWwDAmRJgAQC8Uq0KXNd1H1flnHcjVVA1z/NhVWDFVgAAAADATemTsx62e19/2MMtAOAD&#10;CbAAAJqaXpXIKveaZJUpV6MkpkpUlbiqVgVWbAUAAAAAcIJEWbt2/nH9YQ+3AICfJMACAG5OBVU1&#10;0SrPWR2Y2GqUCqoSW+WapumwMhAAAAAA4BP1yVm5P27nvv7w3scEAM8TYAEAVykxVaKqiq2WZdnf&#10;8zxSpldlilXCqkRWNdEKAAAAAOAKJMha2vnY+sMebgHATRBgAQAXq4KqHltlolUmW42UuCoTreZ5&#10;3q8OrElWeQcAAAAAwEFNzuqxVl9/2MMtALhYAiwA4OzVqsB1XfexVa7RkVWiqsRViaxqfWDFVgAA&#10;AAAAvLv80ne3nR/a+4q4ergFAGdFgAUAnIVaFZiwqiKrejdKRVaJq2pVYMVWAAAAAACcrT45K1FW&#10;rTzs6w/vfUwAfBQBFgDwYfqqwAqs8pzzKBVUJbbKNU3TIbYCAAAAAODqJchatnOircd2roirh1sA&#10;8GYCLADgXWViVcKqml61LMvh3UgJqhJW9VWBIisAAAAAAN6oJmclyKqVh339YQ+3AGBPgAUAvFkF&#10;VX2i1R9//LFfHzhS4qpMtJrn+TDZqt4BAAAAAMAHyy/Fd9v5ob2viKuHWwBcMQEWAPD8T47/+c8+&#10;rFrXdR9b1drABFijZHJVJljV2sA+0QoAAAAAAC5Un5yVKKtWHt6377n3MQFcJgEWANy4Cqoqturr&#10;A0fp06uyNjCrAusdAAAAAADcuMRZy3ZOtPW4nZe77+FWPwPwyQRYAHAD+qrAhFXLsuyf836khFWZ&#10;XJVrmqZDbAUAAAAAALybmpyVIKtWHvaJW/0MwAACLAC4EgmrElhVbJXIqt6NlKAqYVVfFZhzJloB&#10;AAAAAABnJYHWbjs/bPfd3fdwq58BeCUBFgBc2k9G//nPnyZaZW1g3o1UQdU8z4dVgRVbAQAAAAAA&#10;V6lPzsofImrl4X37nnsfE4AACwDOUoKqhFXruu5jq1y1PnCUxFSJqhJX1apAkRUAAAAAAPAKibOW&#10;7Zxo63E7L3fHwy2AqyLAAoBPUkFVxVZ5zlSrxFaj1PSqRFW5ElnVOwAAAAAAgA9SMVbirFrz0Sdu&#10;9XAL4OwJsABgoL4qMLHVsiz7e55HSliVKVYJq6ZpOky0AgAAAAAAuDAJtHbb+WG77+6Oh1sAn0KA&#10;BQA/qYKqHlvVysCRapJV7rUqMOdMtAIAAAAAALhBPcZKoPXj+sMebgG8GwEWALxSrQpc13UfV+Wc&#10;dyNVUDXP82FVYMVWAAAAAAAAnCxx1rKdE209bue+/vDexwS8hgALAJpaFZiwKlOsapJV3o2SmCpR&#10;VeKqWhVYsRUAAAAAAABnoWKsxFnH1h/2cAu4MQIsAG5OrQqsiVYJrPKc96NUUJXYKtc0TYfYCgAA&#10;AAAAgKvSJ2c9bPe+/rCHW8AVEGABcJUqsqrpVcuy7O95HilBVcKqvipQZAUAAAAAAMAzEmXt2vnH&#10;9Yc93ALOlAALgItVQVWPrTLRKpOtRkpclYlW8zwfIqt6BwAAAAAAAIP0yVm5P27nvv7w3scEH0+A&#10;BcDZq1WB67ruY6tcoyOrRFWJqxJZ1frAiq0AAAAAAADgzCXIWtr52PrDHm4BP0GABcBZqFWBFVvl&#10;ud6NUmFVrqwNzKrAegcAAAAAAAA3pE/Oetjuff1hD7eAHwiwAPgwfVVgzrnnOedRKqjK5Kpc0zQd&#10;YisAAAAAAADgzRJl7bbzQ3tfEVcPt+AmCLAAeFeZWNWnVy3Lcng3UoKqhFV9VWDOCbAAAAAAAACA&#10;T9EnZyXKqpWHff3hvY+JSyfAAuAkWRXYJ1plbWDejVRB1TzPf1ofKLICAAAAAACAi5cga9nOibYe&#10;27kirh5uwdkQYAHwrARVCavWdd3HVrU2MBOtRsnkqkywSlhVqwJrohUAAAAAAADApiZnJciqSRF9&#10;/WEPt2AoARbAjaugqmKrPGeqVWKrUWp6VaKqXIms6h0AAAAAAADAO0uUtdvOD+19RVw93II3E2AB&#10;3IC+KjCx1bIswyOrSFhVkdU0TYeJVgAAAAAAAABnqk/OSpRVKw/v2/fc+5joBFgAVyJhVQKriq0S&#10;WdW7kRJUJazK9KpaFZhzJloBAAAAAAAAXLHEWct2TrT1uJ2Xu+/hVj9zpQRYABemVgWu67qPq3LO&#10;u5EqqJrn+bAqsGIrAAAAAAAAAF6lJmclyKo/8vaJW/3MBRFgAZyhmmSVyCr3XLU+cJTEVImqElfV&#10;qsCKrQAAAAAAAAD4UAm0dtv5Ybvv7r6HW/3MJxNgAXySCqpqolWeszowsdUoFVQltso1TdNhZSAA&#10;AAAAAAAAF6lPzkqUVSsP79v33PuYxhFgAQyUmCpRVcVWy7Ls73keKdOrMsUqYVUiq5poBQAAAAAA&#10;AMBNS5y1bOdEW4/bebk7Hm7xCgIsgJ9UQVWPrTLRKpOtRkpclYlW8zzvVwfWJKu8AwAAAAAAAIB3&#10;UDFW4qz6I3ifuNXDrZslwAJ4pVoVuK7rPrbKNTqySlSVuCqRVa0PrNgKAAAAAAAAAM5I/oC+284P&#10;2313dzzcuioCLICmVgUmrKrIqt6NUpFV4qpaFVixFQAAAAAAAABcoR5jJdD6cf1hD7fOngALuDm1&#10;KrAmWiWwynPej1JBVWKrXNM0HWIrAAAAAAAAAOBZibOW7Zxo63E79/WH95/5/6AAC7hKmViVsKqm&#10;Vy3Lcng3UoKqhFV9VaDICgAAAAAAAAA+TMVYibOOrT/s4da7EGABF6uCqppolXMmWmWy1UiJqzLR&#10;ap7nw2SregcAAAAAAAAAXIw+Oethu/f1hz3cepYACzh7tSpwXdd9bJWrJluNkslVmWBVawP7RCsA&#10;AAAAAAAA4OYkytq182H9oQALOAsVVFVs1dcHjtKnV2VtYFYF1jsAAAAAAAAAgNcQYAEfpq8KTFi1&#10;LMv+Oe9HqaAqk6tyTdN0iK0AAAAAAAAAAH6WAAt4VwmrElhVbJXIqt6NlKAqYVVfFZhzAiwAAAAA&#10;AAAAgFEEWMBJsiqwT7TK2sC8G6mCqnmeD5OtKrYCAAAAAAAAAPgMAizgWQmqElat67qPrXLV+sBR&#10;ElMlqkpcVasCRVYAAAAAAAAAwLkSYMGNq6CqYqs8Z6pVYqtRanpVoqpciazqHQAAAAAAAADAJRFg&#10;wQ3oqwITWy3Lsr/neaSEVZlilbBqmqbDRCsAAAAAAAAAgGshwIIrUUFVj61qZeBINckq91oVmHMm&#10;WgEAAAAAAAAAXDsBFlyYWhW4rus+rso570aqoGqe58OqwIqtAAAAAAAAAABumQALzlCtCkxYlSlW&#10;Nckq70ZJTJWoKnFVrQqs2AoAAAAAAAAAgOMEWPBJalVgTbRKYJXnvB+lgqrEVrmmaTqsDAQAAAAA&#10;AAAA4O0EWDBQRVY1vWpZlv09zyNlelWmWPVVgXkHAAAAAAAAAMD7EmDBT6qgqsdWmWiVyVYjJa7K&#10;RKt5ng+RVb0DAAAAAAAAAOBjCLDglWpV4Lqu+9gq1+jIKlFV4qpEVrU+sGIrAAAAAAAAAAA+nwAL&#10;mloVWLFVnuvdKBVW5crawKwKrHcAAAAAAAAAAJw3ARY3p68KzDn3POc8SgVVmVyVa5qmQ2wFAAAA&#10;AAAAAMDlEmBxlTKxqk+vWpbl8G6kBFUJq/qqwJwTYAEAAAAAAAAAcH0EWFysCqr6RKusDcz6wJEq&#10;qJrn+U/rA0VWAAAAAAAAAAC3R4DF2UtQlbBqXdd9bFVrAxNgjZLJVZlgVWsD+0QrAAAAAAAAAAAo&#10;AizOQgVVFVvlOVOtEluNUtOrElXlyvrAegcAAAAAAAAAAK8hwOLD9FWBia2WZRkeWUXCqoqspmm6&#10;+/r16/4dAAAAAAAAAAD8LAEW7yphVQKriq0SWdW7kRJUJazqqwJzzkQrAAAAAAAAAAAYRYDFSWpV&#10;4Lqu+7gq57wbqYKqeZ4PqwIrtgIAAAAAAAAAgM8gwOJZNckqkVXuuWp94CiJqRJVJa6qVYEVWwEA&#10;AAAAAAAAwLkRYN24CqpqolWeszowsdUoFVQltso1TdNhZSAAAAAAAAAAAFwSAdYNSEyVqKpiq2VZ&#10;9vc8j5TpVZlilbAqkVVNtAIAAAAAAAAAgGshwLoSFVT12KpWBo5Uk6xyz+rAOmfKFQAAAAAAAAAA&#10;XDsB1oWpVYHruu4Dq1x5N1KiqsRV8zwf1gdWbAUAAAAAAAAAALdMgHWGalVgwqqKrOrdKBVZJa6q&#10;VYEVWwEAAAAAAAAAAMcJsD5JrQqsiVYJrPKc96NUUJXYKtc0TYfYCgAAAAAAAAAAeDsB1kCZWJWw&#10;qqZXLctyeDdSgqqEVX1VoMgKAAAAAAAAAADenwDrJ1VQVROtcs5Eq0y2GilxVSZazfN8mGxV7wAA&#10;AAAAAAAAgI8hwHqlWhW4rus+tspVk61GyeSqTLCqtYF9ohUAAAAAAAAAAPD5BFhNBVUVW/X1gaP0&#10;6VVZG5hVgfUOAAAAAAAAAAA4bzcXYPVVgTXFKs85j1JBVSZX5Zqm6RBbAQAAAAAAAAAAl+sqA6xM&#10;rKrAKnHVsiyHdyMlqEpY1VcF5pwACwAAAAAAAAAAuD4XHWBlVWCfaJW1gXk3UgVV8zwfJltVbAUA&#10;AAAAAAAAANyWsw+wElQlrFrXdR9b1drATLQaJTFVoqrEVbUqUGQFAAAAAAAAAAD86CwCrAqqKrbK&#10;c6ZaJbYapaZXJarKlciq3gEAAAAAAAAAALzGhwVYfVVgYqtlWfb3PI+UsCpTrBJWTdN0mGgFAAAA&#10;AAAAAADws941wKqgqsdWtTJwpJpklXutCsw5E60AAAAAAAAAAABGOSnAqlWB67ru46qc826kCqrm&#10;eT6sCqzYCgAAAAAAAAAA4DM8G2DV9KpEVrnXJKtMuRolMVWiqsRVtSqwYisAAAAAAAAAAIBzcwiw&#10;Hh4e7v7973/vVwcmthqlgqrEVrmmaTqsDAQAAAAAAAAAALgkX/vDe64RzPSqTLHqqwLzDgAAAAAA&#10;AAAA4FocAqzEUm+VuCoTreZ5PkRW9Q4AAAAAAAAAAODaHaqr56ZTJapKXJXIqtYHVmwFAAAAAAAA&#10;AABwy748/Vc9/Otf/9rfE2NVbAUAAAAAAAAAAMBxfwqwAAAAAAAAAAAAeD0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k+AAQBN+fkQdcXCoQAAAABJRU5ErkJgglBLAwQUAAYACAAAACEA1SD7WuMAAAAPAQAADwAAAGRy&#10;cy9kb3ducmV2LnhtbEyPwU7DMBBE70j8g7VI3FrHCSk0jVNVSIiekGgrcXXjbRyI11HstuHvcU70&#10;trszmn1TrkfbsQsOvnUkQcwTYEi10y01Eg77t9kLMB8UadU5Qgm/6GFd3d+VqtDuSp942YWGxRDy&#10;hZJgQugLzn1t0Co/dz1S1E5usCrEdWi4HtQ1htuOp0my4Fa1FD8Y1eOrwfpnd7YS9JPPDrjdbob0&#10;43uft/m7aU5fUj4+jJsVsIBj+DfDhB/RoYpMR3cm7VknYSYyEcuEqGS5WAKbPEk63Y5xWqTPAnhV&#10;8tse1R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O2dbX4gF&#10;AABjGgAADgAAAAAAAAAAAAAAAAA6AgAAZHJzL2Uyb0RvYy54bWxQSwECLQAKAAAAAAAAACEAmxsU&#10;EWhkAABoZAAAFAAAAAAAAAAAAAAAAADuBwAAZHJzL21lZGlhL2ltYWdlMS5wbmdQSwECLQAUAAYA&#10;CAAAACEA1SD7WuMAAAAPAQAADwAAAAAAAAAAAAAAAACIbAAAZHJzL2Rvd25yZXYueG1sUEsBAi0A&#10;FAAGAAgAAAAhAKomDr68AAAAIQEAABkAAAAAAAAAAAAAAAAAmG0AAGRycy9fcmVscy9lMm9Eb2Mu&#10;eG1sLnJlbHNQSwUGAAAAAAYABgB8AQAAi2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nYMvAAAANoAAAAPAAAAZHJzL2Rvd25yZXYueG1sRE9LCsIw&#10;EN0L3iGM4EY0VaFoNYqIguBCrB5gaMa22kxKE7Xe3iwEl4/3X65bU4kXNa60rGA8ikAQZ1aXnCu4&#10;XvbDGQjnkTVWlknBhxysV93OEhNt33ymV+pzEULYJaig8L5OpHRZQQbdyNbEgbvZxqAPsMmlbvAd&#10;wk0lJ1EUS4Mlh4YCa9oWlD3Sp1EQm8Eu89H0XMY1utNk7o73aqZUv9duFiA8tf4v/rkPWkHYGq6E&#10;GyBXXwAAAP//AwBQSwECLQAUAAYACAAAACEA2+H2y+4AAACFAQAAEwAAAAAAAAAAAAAAAAAAAAAA&#10;W0NvbnRlbnRfVHlwZXNdLnhtbFBLAQItABQABgAIAAAAIQBa9CxbvwAAABUBAAALAAAAAAAAAAAA&#10;AAAAAB8BAABfcmVscy8ucmVsc1BLAQItABQABgAIAAAAIQDvFnYMvAAAANoAAAAPAAAAAAAAAAAA&#10;AAAAAAcCAABkcnMvZG93bnJldi54bWxQSwUGAAAAAAMAAwC3AAAA8AIAAAAA&#10;" path="m,l7312660,r,1129665l3619500,733425,,1091565,,xe" fillcolor="#4472c4" stroked="f" strokeweight="1pt">
                      <v:stroke joinstyle="miter"/>
                      <v:path arrowok="t" o:connecttype="custom" o:connectlocs="0,0;7315200,0;7315200,1130373;3620757,733885;0,1092249;0,0" o:connectangles="0,0,0,0,0,0"/>
                    </v:shape>
                    <v:rect id="Rectangle 9"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dMpxAAAANoAAAAPAAAAZHJzL2Rvd25yZXYueG1sRI9Ba8JA&#10;FITvBf/D8gRvzcYKQdOsoqLQk1YtlN4e2WcSzL5Ns9sk/nu3UOhxmJlvmGw1mFp01LrKsoJpFIMg&#10;zq2uuFDwcdk/z0E4j6yxtkwK7uRgtRw9ZZhq2/OJurMvRICwS1FB6X2TSunykgy6yDbEwbva1qAP&#10;si2kbrEPcFPLlzhOpMGKw0KJDW1Lym/nH6PgsNvKa3Lfm+/Z/Ou42dXd57s5KjUZD+tXEJ4G/x/+&#10;a79pBQv4vRJugFw+AAAA//8DAFBLAQItABQABgAIAAAAIQDb4fbL7gAAAIUBAAATAAAAAAAAAAAA&#10;AAAAAAAAAABbQ29udGVudF9UeXBlc10ueG1sUEsBAi0AFAAGAAgAAAAhAFr0LFu/AAAAFQEAAAsA&#10;AAAAAAAAAAAAAAAAHwEAAF9yZWxzLy5yZWxzUEsBAi0AFAAGAAgAAAAhAM1x0ynEAAAA2gAAAA8A&#10;AAAAAAAAAAAAAAAABwIAAGRycy9kb3ducmV2LnhtbFBLBQYAAAAAAwADALcAAAD4AgAAAAA=&#10;" stroked="f" strokeweight="1pt">
                      <v:fill r:id="rId10" o:title="" recolor="t" rotate="t" type="frame"/>
                    </v:rect>
                    <w10:wrap anchorx="margin" anchory="page"/>
                  </v:group>
                </w:pict>
              </mc:Fallback>
            </mc:AlternateContent>
          </w:r>
          <w:r w:rsidR="00413324">
            <w:rPr>
              <w:rFonts w:asciiTheme="minorHAnsi" w:hAnsiTheme="minorHAnsi" w:cstheme="minorHAnsi"/>
              <w:b/>
              <w:bCs/>
              <w:color w:val="4472C4" w:themeColor="accent1"/>
            </w:rPr>
            <w:br w:type="page"/>
          </w:r>
        </w:p>
        <w:p w14:paraId="0567627C" w14:textId="0E305B05" w:rsidR="00413324" w:rsidRDefault="00DF5EE1">
          <w:pPr>
            <w:spacing w:after="160" w:line="259" w:lineRule="auto"/>
            <w:rPr>
              <w:rFonts w:asciiTheme="minorHAnsi" w:hAnsiTheme="minorHAnsi" w:cstheme="minorHAnsi"/>
              <w:b/>
              <w:bCs/>
              <w:color w:val="4472C4" w:themeColor="accent1"/>
            </w:rPr>
          </w:pPr>
        </w:p>
      </w:sdtContent>
    </w:sdt>
    <w:sdt>
      <w:sdtPr>
        <w:rPr>
          <w:color w:val="auto"/>
          <w:sz w:val="22"/>
          <w:szCs w:val="22"/>
        </w:rPr>
        <w:id w:val="146865513"/>
        <w:docPartObj>
          <w:docPartGallery w:val="Table of Contents"/>
          <w:docPartUnique/>
        </w:docPartObj>
      </w:sdtPr>
      <w:sdtEndPr>
        <w:rPr>
          <w:b/>
          <w:bCs/>
          <w:noProof/>
        </w:rPr>
      </w:sdtEndPr>
      <w:sdtContent>
        <w:p w14:paraId="00C2B939" w14:textId="221E747B" w:rsidR="0003257A" w:rsidRDefault="0003257A">
          <w:pPr>
            <w:pStyle w:val="TOCHeading"/>
          </w:pPr>
          <w:r>
            <w:t>Table of Contents</w:t>
          </w:r>
        </w:p>
        <w:p w14:paraId="2546710B" w14:textId="20AAA0EA" w:rsidR="00D91076" w:rsidRDefault="0003257A">
          <w:pPr>
            <w:pStyle w:val="TOC1"/>
            <w:tabs>
              <w:tab w:val="right" w:leader="dot" w:pos="9016"/>
            </w:tabs>
            <w:rPr>
              <w:rFonts w:asciiTheme="minorHAnsi" w:eastAsiaTheme="minorEastAsia" w:hAnsiTheme="minorHAnsi" w:cstheme="minorBidi"/>
              <w:noProof/>
              <w:lang w:val="en-AU" w:eastAsia="en-AU"/>
            </w:rPr>
          </w:pPr>
          <w:r w:rsidRPr="00D91F90">
            <w:rPr>
              <w:rFonts w:asciiTheme="minorHAnsi" w:hAnsiTheme="minorHAnsi"/>
              <w:iCs/>
            </w:rPr>
            <w:fldChar w:fldCharType="begin"/>
          </w:r>
          <w:r w:rsidRPr="00D91F90">
            <w:instrText xml:space="preserve"> TOC \o "1-3" \h \z \u </w:instrText>
          </w:r>
          <w:r w:rsidRPr="00D91F90">
            <w:rPr>
              <w:rFonts w:asciiTheme="minorHAnsi" w:hAnsiTheme="minorHAnsi"/>
              <w:iCs/>
            </w:rPr>
            <w:fldChar w:fldCharType="separate"/>
          </w:r>
          <w:hyperlink w:anchor="_Toc49858082" w:history="1">
            <w:r w:rsidR="00D91076" w:rsidRPr="000F452C">
              <w:rPr>
                <w:rStyle w:val="Hyperlink"/>
                <w:rFonts w:cstheme="minorHAnsi"/>
                <w:noProof/>
              </w:rPr>
              <w:t>List of Tables</w:t>
            </w:r>
            <w:r w:rsidR="00D91076">
              <w:rPr>
                <w:noProof/>
                <w:webHidden/>
              </w:rPr>
              <w:tab/>
            </w:r>
            <w:r w:rsidR="00D91076">
              <w:rPr>
                <w:noProof/>
                <w:webHidden/>
              </w:rPr>
              <w:fldChar w:fldCharType="begin"/>
            </w:r>
            <w:r w:rsidR="00D91076">
              <w:rPr>
                <w:noProof/>
                <w:webHidden/>
              </w:rPr>
              <w:instrText xml:space="preserve"> PAGEREF _Toc49858082 \h </w:instrText>
            </w:r>
            <w:r w:rsidR="00D91076">
              <w:rPr>
                <w:noProof/>
                <w:webHidden/>
              </w:rPr>
            </w:r>
            <w:r w:rsidR="00D91076">
              <w:rPr>
                <w:noProof/>
                <w:webHidden/>
              </w:rPr>
              <w:fldChar w:fldCharType="separate"/>
            </w:r>
            <w:r w:rsidR="00D91076">
              <w:rPr>
                <w:noProof/>
                <w:webHidden/>
              </w:rPr>
              <w:t>2</w:t>
            </w:r>
            <w:r w:rsidR="00D91076">
              <w:rPr>
                <w:noProof/>
                <w:webHidden/>
              </w:rPr>
              <w:fldChar w:fldCharType="end"/>
            </w:r>
          </w:hyperlink>
        </w:p>
        <w:p w14:paraId="1A6B8498" w14:textId="66FCC02A" w:rsidR="00D91076" w:rsidRDefault="00DF5EE1">
          <w:pPr>
            <w:pStyle w:val="TOC1"/>
            <w:tabs>
              <w:tab w:val="right" w:leader="dot" w:pos="9016"/>
            </w:tabs>
            <w:rPr>
              <w:rFonts w:asciiTheme="minorHAnsi" w:eastAsiaTheme="minorEastAsia" w:hAnsiTheme="minorHAnsi" w:cstheme="minorBidi"/>
              <w:noProof/>
              <w:lang w:val="en-AU" w:eastAsia="en-AU"/>
            </w:rPr>
          </w:pPr>
          <w:hyperlink w:anchor="_Toc49858083" w:history="1">
            <w:r w:rsidR="00D91076" w:rsidRPr="000F452C">
              <w:rPr>
                <w:rStyle w:val="Hyperlink"/>
                <w:rFonts w:cstheme="minorHAnsi"/>
                <w:noProof/>
              </w:rPr>
              <w:t>List of Figures</w:t>
            </w:r>
            <w:r w:rsidR="00D91076">
              <w:rPr>
                <w:noProof/>
                <w:webHidden/>
              </w:rPr>
              <w:tab/>
            </w:r>
            <w:r w:rsidR="00D91076">
              <w:rPr>
                <w:noProof/>
                <w:webHidden/>
              </w:rPr>
              <w:fldChar w:fldCharType="begin"/>
            </w:r>
            <w:r w:rsidR="00D91076">
              <w:rPr>
                <w:noProof/>
                <w:webHidden/>
              </w:rPr>
              <w:instrText xml:space="preserve"> PAGEREF _Toc49858083 \h </w:instrText>
            </w:r>
            <w:r w:rsidR="00D91076">
              <w:rPr>
                <w:noProof/>
                <w:webHidden/>
              </w:rPr>
            </w:r>
            <w:r w:rsidR="00D91076">
              <w:rPr>
                <w:noProof/>
                <w:webHidden/>
              </w:rPr>
              <w:fldChar w:fldCharType="separate"/>
            </w:r>
            <w:r w:rsidR="00D91076">
              <w:rPr>
                <w:noProof/>
                <w:webHidden/>
              </w:rPr>
              <w:t>2</w:t>
            </w:r>
            <w:r w:rsidR="00D91076">
              <w:rPr>
                <w:noProof/>
                <w:webHidden/>
              </w:rPr>
              <w:fldChar w:fldCharType="end"/>
            </w:r>
          </w:hyperlink>
        </w:p>
        <w:p w14:paraId="29CA8DA4" w14:textId="4111AA37" w:rsidR="00D91076" w:rsidRDefault="00DF5EE1">
          <w:pPr>
            <w:pStyle w:val="TOC1"/>
            <w:tabs>
              <w:tab w:val="right" w:leader="dot" w:pos="9016"/>
            </w:tabs>
            <w:rPr>
              <w:rFonts w:asciiTheme="minorHAnsi" w:eastAsiaTheme="minorEastAsia" w:hAnsiTheme="minorHAnsi" w:cstheme="minorBidi"/>
              <w:noProof/>
              <w:lang w:val="en-AU" w:eastAsia="en-AU"/>
            </w:rPr>
          </w:pPr>
          <w:hyperlink w:anchor="_Toc49858084" w:history="1">
            <w:r w:rsidR="00D91076" w:rsidRPr="000F452C">
              <w:rPr>
                <w:rStyle w:val="Hyperlink"/>
                <w:rFonts w:cstheme="minorHAnsi"/>
                <w:noProof/>
              </w:rPr>
              <w:t>Acronyms and Abbreviations</w:t>
            </w:r>
            <w:r w:rsidR="00D91076">
              <w:rPr>
                <w:noProof/>
                <w:webHidden/>
              </w:rPr>
              <w:tab/>
            </w:r>
            <w:r w:rsidR="00D91076">
              <w:rPr>
                <w:noProof/>
                <w:webHidden/>
              </w:rPr>
              <w:fldChar w:fldCharType="begin"/>
            </w:r>
            <w:r w:rsidR="00D91076">
              <w:rPr>
                <w:noProof/>
                <w:webHidden/>
              </w:rPr>
              <w:instrText xml:space="preserve"> PAGEREF _Toc49858084 \h </w:instrText>
            </w:r>
            <w:r w:rsidR="00D91076">
              <w:rPr>
                <w:noProof/>
                <w:webHidden/>
              </w:rPr>
            </w:r>
            <w:r w:rsidR="00D91076">
              <w:rPr>
                <w:noProof/>
                <w:webHidden/>
              </w:rPr>
              <w:fldChar w:fldCharType="separate"/>
            </w:r>
            <w:r w:rsidR="00D91076">
              <w:rPr>
                <w:noProof/>
                <w:webHidden/>
              </w:rPr>
              <w:t>3</w:t>
            </w:r>
            <w:r w:rsidR="00D91076">
              <w:rPr>
                <w:noProof/>
                <w:webHidden/>
              </w:rPr>
              <w:fldChar w:fldCharType="end"/>
            </w:r>
          </w:hyperlink>
        </w:p>
        <w:p w14:paraId="5AA89EEC" w14:textId="5A6F7CFE" w:rsidR="00D91076" w:rsidRDefault="00DF5EE1">
          <w:pPr>
            <w:pStyle w:val="TOC2"/>
            <w:rPr>
              <w:rFonts w:eastAsiaTheme="minorEastAsia" w:cstheme="minorBidi"/>
              <w:b w:val="0"/>
              <w:iCs w:val="0"/>
              <w:sz w:val="22"/>
              <w:szCs w:val="22"/>
              <w:lang w:val="en-AU" w:eastAsia="en-AU"/>
            </w:rPr>
          </w:pPr>
          <w:hyperlink w:anchor="_Toc49858085" w:history="1">
            <w:r w:rsidR="00D91076" w:rsidRPr="000F452C">
              <w:rPr>
                <w:rStyle w:val="Hyperlink"/>
                <w:rFonts w:cstheme="minorHAnsi"/>
                <w:bCs/>
              </w:rPr>
              <w:t>1.</w:t>
            </w:r>
            <w:r w:rsidR="00D91076">
              <w:rPr>
                <w:rFonts w:eastAsiaTheme="minorEastAsia" w:cstheme="minorBidi"/>
                <w:b w:val="0"/>
                <w:iCs w:val="0"/>
                <w:sz w:val="22"/>
                <w:szCs w:val="22"/>
                <w:lang w:val="en-AU" w:eastAsia="en-AU"/>
              </w:rPr>
              <w:tab/>
            </w:r>
            <w:r w:rsidR="00D91076" w:rsidRPr="000F452C">
              <w:rPr>
                <w:rStyle w:val="Hyperlink"/>
                <w:rFonts w:cstheme="minorHAnsi"/>
                <w:bCs/>
              </w:rPr>
              <w:t>Executive Summary</w:t>
            </w:r>
            <w:r w:rsidR="00D91076">
              <w:rPr>
                <w:webHidden/>
              </w:rPr>
              <w:tab/>
            </w:r>
            <w:r w:rsidR="00D91076">
              <w:rPr>
                <w:webHidden/>
              </w:rPr>
              <w:fldChar w:fldCharType="begin"/>
            </w:r>
            <w:r w:rsidR="00D91076">
              <w:rPr>
                <w:webHidden/>
              </w:rPr>
              <w:instrText xml:space="preserve"> PAGEREF _Toc49858085 \h </w:instrText>
            </w:r>
            <w:r w:rsidR="00D91076">
              <w:rPr>
                <w:webHidden/>
              </w:rPr>
            </w:r>
            <w:r w:rsidR="00D91076">
              <w:rPr>
                <w:webHidden/>
              </w:rPr>
              <w:fldChar w:fldCharType="separate"/>
            </w:r>
            <w:r w:rsidR="00D91076">
              <w:rPr>
                <w:webHidden/>
              </w:rPr>
              <w:t>5</w:t>
            </w:r>
            <w:r w:rsidR="00D91076">
              <w:rPr>
                <w:webHidden/>
              </w:rPr>
              <w:fldChar w:fldCharType="end"/>
            </w:r>
          </w:hyperlink>
        </w:p>
        <w:p w14:paraId="11E5B57B" w14:textId="1BDF1BDC" w:rsidR="00D91076" w:rsidRDefault="00DF5EE1">
          <w:pPr>
            <w:pStyle w:val="TOC2"/>
            <w:rPr>
              <w:rFonts w:eastAsiaTheme="minorEastAsia" w:cstheme="minorBidi"/>
              <w:b w:val="0"/>
              <w:iCs w:val="0"/>
              <w:sz w:val="22"/>
              <w:szCs w:val="22"/>
              <w:lang w:val="en-AU" w:eastAsia="en-AU"/>
            </w:rPr>
          </w:pPr>
          <w:hyperlink w:anchor="_Toc49858086" w:history="1">
            <w:r w:rsidR="00D91076" w:rsidRPr="000F452C">
              <w:rPr>
                <w:rStyle w:val="Hyperlink"/>
                <w:rFonts w:cstheme="minorHAnsi"/>
                <w:bCs/>
              </w:rPr>
              <w:t>2.</w:t>
            </w:r>
            <w:r w:rsidR="00D91076">
              <w:rPr>
                <w:rFonts w:eastAsiaTheme="minorEastAsia" w:cstheme="minorBidi"/>
                <w:b w:val="0"/>
                <w:iCs w:val="0"/>
                <w:sz w:val="22"/>
                <w:szCs w:val="22"/>
                <w:lang w:val="en-AU" w:eastAsia="en-AU"/>
              </w:rPr>
              <w:tab/>
            </w:r>
            <w:r w:rsidR="00D91076" w:rsidRPr="000F452C">
              <w:rPr>
                <w:rStyle w:val="Hyperlink"/>
                <w:rFonts w:cstheme="minorHAnsi"/>
                <w:bCs/>
              </w:rPr>
              <w:t>Background</w:t>
            </w:r>
            <w:r w:rsidR="00D91076">
              <w:rPr>
                <w:webHidden/>
              </w:rPr>
              <w:tab/>
            </w:r>
            <w:r w:rsidR="00D91076">
              <w:rPr>
                <w:webHidden/>
              </w:rPr>
              <w:fldChar w:fldCharType="begin"/>
            </w:r>
            <w:r w:rsidR="00D91076">
              <w:rPr>
                <w:webHidden/>
              </w:rPr>
              <w:instrText xml:space="preserve"> PAGEREF _Toc49858086 \h </w:instrText>
            </w:r>
            <w:r w:rsidR="00D91076">
              <w:rPr>
                <w:webHidden/>
              </w:rPr>
            </w:r>
            <w:r w:rsidR="00D91076">
              <w:rPr>
                <w:webHidden/>
              </w:rPr>
              <w:fldChar w:fldCharType="separate"/>
            </w:r>
            <w:r w:rsidR="00D91076">
              <w:rPr>
                <w:webHidden/>
              </w:rPr>
              <w:t>7</w:t>
            </w:r>
            <w:r w:rsidR="00D91076">
              <w:rPr>
                <w:webHidden/>
              </w:rPr>
              <w:fldChar w:fldCharType="end"/>
            </w:r>
          </w:hyperlink>
        </w:p>
        <w:p w14:paraId="346FD8D2" w14:textId="2D9E3151" w:rsidR="00D91076" w:rsidRDefault="00DF5EE1">
          <w:pPr>
            <w:pStyle w:val="TOC2"/>
            <w:rPr>
              <w:rFonts w:eastAsiaTheme="minorEastAsia" w:cstheme="minorBidi"/>
              <w:b w:val="0"/>
              <w:iCs w:val="0"/>
              <w:sz w:val="22"/>
              <w:szCs w:val="22"/>
              <w:lang w:val="en-AU" w:eastAsia="en-AU"/>
            </w:rPr>
          </w:pPr>
          <w:hyperlink w:anchor="_Toc49858087" w:history="1">
            <w:r w:rsidR="00D91076" w:rsidRPr="000F452C">
              <w:rPr>
                <w:rStyle w:val="Hyperlink"/>
                <w:rFonts w:cstheme="minorHAnsi"/>
                <w:bCs/>
              </w:rPr>
              <w:t>3.</w:t>
            </w:r>
            <w:r w:rsidR="00D91076">
              <w:rPr>
                <w:rFonts w:eastAsiaTheme="minorEastAsia" w:cstheme="minorBidi"/>
                <w:b w:val="0"/>
                <w:iCs w:val="0"/>
                <w:sz w:val="22"/>
                <w:szCs w:val="22"/>
                <w:lang w:val="en-AU" w:eastAsia="en-AU"/>
              </w:rPr>
              <w:tab/>
            </w:r>
            <w:r w:rsidR="00D91076" w:rsidRPr="000F452C">
              <w:rPr>
                <w:rStyle w:val="Hyperlink"/>
                <w:rFonts w:cstheme="minorHAnsi"/>
                <w:bCs/>
              </w:rPr>
              <w:t>Assessment Methodology</w:t>
            </w:r>
            <w:r w:rsidR="00D91076">
              <w:rPr>
                <w:webHidden/>
              </w:rPr>
              <w:tab/>
            </w:r>
            <w:r w:rsidR="00D91076">
              <w:rPr>
                <w:webHidden/>
              </w:rPr>
              <w:fldChar w:fldCharType="begin"/>
            </w:r>
            <w:r w:rsidR="00D91076">
              <w:rPr>
                <w:webHidden/>
              </w:rPr>
              <w:instrText xml:space="preserve"> PAGEREF _Toc49858087 \h </w:instrText>
            </w:r>
            <w:r w:rsidR="00D91076">
              <w:rPr>
                <w:webHidden/>
              </w:rPr>
            </w:r>
            <w:r w:rsidR="00D91076">
              <w:rPr>
                <w:webHidden/>
              </w:rPr>
              <w:fldChar w:fldCharType="separate"/>
            </w:r>
            <w:r w:rsidR="00D91076">
              <w:rPr>
                <w:webHidden/>
              </w:rPr>
              <w:t>7</w:t>
            </w:r>
            <w:r w:rsidR="00D91076">
              <w:rPr>
                <w:webHidden/>
              </w:rPr>
              <w:fldChar w:fldCharType="end"/>
            </w:r>
          </w:hyperlink>
        </w:p>
        <w:p w14:paraId="41DDBF6A" w14:textId="4EF14CDE" w:rsidR="00D91076" w:rsidRDefault="00DF5EE1">
          <w:pPr>
            <w:pStyle w:val="TOC2"/>
            <w:rPr>
              <w:rFonts w:eastAsiaTheme="minorEastAsia" w:cstheme="minorBidi"/>
              <w:b w:val="0"/>
              <w:iCs w:val="0"/>
              <w:sz w:val="22"/>
              <w:szCs w:val="22"/>
              <w:lang w:val="en-AU" w:eastAsia="en-AU"/>
            </w:rPr>
          </w:pPr>
          <w:hyperlink w:anchor="_Toc49858088" w:history="1">
            <w:r w:rsidR="00D91076" w:rsidRPr="000F452C">
              <w:rPr>
                <w:rStyle w:val="Hyperlink"/>
                <w:rFonts w:cstheme="minorHAnsi"/>
                <w:bCs/>
              </w:rPr>
              <w:t>4.</w:t>
            </w:r>
            <w:r w:rsidR="00D91076">
              <w:rPr>
                <w:rFonts w:eastAsiaTheme="minorEastAsia" w:cstheme="minorBidi"/>
                <w:b w:val="0"/>
                <w:iCs w:val="0"/>
                <w:sz w:val="22"/>
                <w:szCs w:val="22"/>
                <w:lang w:val="en-AU" w:eastAsia="en-AU"/>
              </w:rPr>
              <w:tab/>
            </w:r>
            <w:r w:rsidR="00D91076" w:rsidRPr="000F452C">
              <w:rPr>
                <w:rStyle w:val="Hyperlink"/>
                <w:rFonts w:cstheme="minorHAnsi"/>
                <w:bCs/>
              </w:rPr>
              <w:t>Access General Findings</w:t>
            </w:r>
            <w:r w:rsidR="00D91076">
              <w:rPr>
                <w:webHidden/>
              </w:rPr>
              <w:tab/>
            </w:r>
            <w:r w:rsidR="00D91076">
              <w:rPr>
                <w:webHidden/>
              </w:rPr>
              <w:fldChar w:fldCharType="begin"/>
            </w:r>
            <w:r w:rsidR="00D91076">
              <w:rPr>
                <w:webHidden/>
              </w:rPr>
              <w:instrText xml:space="preserve"> PAGEREF _Toc49858088 \h </w:instrText>
            </w:r>
            <w:r w:rsidR="00D91076">
              <w:rPr>
                <w:webHidden/>
              </w:rPr>
            </w:r>
            <w:r w:rsidR="00D91076">
              <w:rPr>
                <w:webHidden/>
              </w:rPr>
              <w:fldChar w:fldCharType="separate"/>
            </w:r>
            <w:r w:rsidR="00D91076">
              <w:rPr>
                <w:webHidden/>
              </w:rPr>
              <w:t>8</w:t>
            </w:r>
            <w:r w:rsidR="00D91076">
              <w:rPr>
                <w:webHidden/>
              </w:rPr>
              <w:fldChar w:fldCharType="end"/>
            </w:r>
          </w:hyperlink>
        </w:p>
        <w:p w14:paraId="73051827" w14:textId="19D14AED" w:rsidR="00D91076" w:rsidRDefault="00DF5EE1">
          <w:pPr>
            <w:pStyle w:val="TOC2"/>
            <w:rPr>
              <w:rFonts w:eastAsiaTheme="minorEastAsia" w:cstheme="minorBidi"/>
              <w:b w:val="0"/>
              <w:iCs w:val="0"/>
              <w:sz w:val="22"/>
              <w:szCs w:val="22"/>
              <w:lang w:val="en-AU" w:eastAsia="en-AU"/>
            </w:rPr>
          </w:pPr>
          <w:hyperlink w:anchor="_Toc49858089" w:history="1">
            <w:r w:rsidR="00D91076" w:rsidRPr="000F452C">
              <w:rPr>
                <w:rStyle w:val="Hyperlink"/>
                <w:rFonts w:cstheme="minorHAnsi"/>
                <w:bCs/>
              </w:rPr>
              <w:t>5.</w:t>
            </w:r>
            <w:r w:rsidR="00D91076">
              <w:rPr>
                <w:rFonts w:eastAsiaTheme="minorEastAsia" w:cstheme="minorBidi"/>
                <w:b w:val="0"/>
                <w:iCs w:val="0"/>
                <w:sz w:val="22"/>
                <w:szCs w:val="22"/>
                <w:lang w:val="en-AU" w:eastAsia="en-AU"/>
              </w:rPr>
              <w:tab/>
            </w:r>
            <w:r w:rsidR="00D91076" w:rsidRPr="000F452C">
              <w:rPr>
                <w:rStyle w:val="Hyperlink"/>
                <w:rFonts w:cstheme="minorHAnsi"/>
                <w:bCs/>
              </w:rPr>
              <w:t>Access Indicator Assessment</w:t>
            </w:r>
            <w:r w:rsidR="00D91076">
              <w:rPr>
                <w:webHidden/>
              </w:rPr>
              <w:tab/>
            </w:r>
            <w:r w:rsidR="00D91076">
              <w:rPr>
                <w:webHidden/>
              </w:rPr>
              <w:fldChar w:fldCharType="begin"/>
            </w:r>
            <w:r w:rsidR="00D91076">
              <w:rPr>
                <w:webHidden/>
              </w:rPr>
              <w:instrText xml:space="preserve"> PAGEREF _Toc49858089 \h </w:instrText>
            </w:r>
            <w:r w:rsidR="00D91076">
              <w:rPr>
                <w:webHidden/>
              </w:rPr>
            </w:r>
            <w:r w:rsidR="00D91076">
              <w:rPr>
                <w:webHidden/>
              </w:rPr>
              <w:fldChar w:fldCharType="separate"/>
            </w:r>
            <w:r w:rsidR="00D91076">
              <w:rPr>
                <w:webHidden/>
              </w:rPr>
              <w:t>9</w:t>
            </w:r>
            <w:r w:rsidR="00D91076">
              <w:rPr>
                <w:webHidden/>
              </w:rPr>
              <w:fldChar w:fldCharType="end"/>
            </w:r>
          </w:hyperlink>
        </w:p>
        <w:p w14:paraId="257C776C" w14:textId="586071DE" w:rsidR="00D91076" w:rsidRDefault="00DF5EE1">
          <w:pPr>
            <w:pStyle w:val="TOC2"/>
            <w:rPr>
              <w:rFonts w:eastAsiaTheme="minorEastAsia" w:cstheme="minorBidi"/>
              <w:b w:val="0"/>
              <w:iCs w:val="0"/>
              <w:sz w:val="22"/>
              <w:szCs w:val="22"/>
              <w:lang w:val="en-AU" w:eastAsia="en-AU"/>
            </w:rPr>
          </w:pPr>
          <w:hyperlink w:anchor="_Toc49858090" w:history="1">
            <w:r w:rsidR="00D91076" w:rsidRPr="000F452C">
              <w:rPr>
                <w:rStyle w:val="Hyperlink"/>
                <w:rFonts w:cstheme="minorHAnsi"/>
                <w:bCs/>
              </w:rPr>
              <w:t>6.</w:t>
            </w:r>
            <w:r w:rsidR="00D91076">
              <w:rPr>
                <w:rFonts w:eastAsiaTheme="minorEastAsia" w:cstheme="minorBidi"/>
                <w:b w:val="0"/>
                <w:iCs w:val="0"/>
                <w:sz w:val="22"/>
                <w:szCs w:val="22"/>
                <w:lang w:val="en-AU" w:eastAsia="en-AU"/>
              </w:rPr>
              <w:tab/>
            </w:r>
            <w:r w:rsidR="00D91076" w:rsidRPr="000F452C">
              <w:rPr>
                <w:rStyle w:val="Hyperlink"/>
                <w:rFonts w:cstheme="minorHAnsi"/>
                <w:bCs/>
              </w:rPr>
              <w:t>Quality General Findings</w:t>
            </w:r>
            <w:r w:rsidR="00D91076">
              <w:rPr>
                <w:webHidden/>
              </w:rPr>
              <w:tab/>
            </w:r>
            <w:r w:rsidR="00D91076">
              <w:rPr>
                <w:webHidden/>
              </w:rPr>
              <w:fldChar w:fldCharType="begin"/>
            </w:r>
            <w:r w:rsidR="00D91076">
              <w:rPr>
                <w:webHidden/>
              </w:rPr>
              <w:instrText xml:space="preserve"> PAGEREF _Toc49858090 \h </w:instrText>
            </w:r>
            <w:r w:rsidR="00D91076">
              <w:rPr>
                <w:webHidden/>
              </w:rPr>
            </w:r>
            <w:r w:rsidR="00D91076">
              <w:rPr>
                <w:webHidden/>
              </w:rPr>
              <w:fldChar w:fldCharType="separate"/>
            </w:r>
            <w:r w:rsidR="00D91076">
              <w:rPr>
                <w:webHidden/>
              </w:rPr>
              <w:t>10</w:t>
            </w:r>
            <w:r w:rsidR="00D91076">
              <w:rPr>
                <w:webHidden/>
              </w:rPr>
              <w:fldChar w:fldCharType="end"/>
            </w:r>
          </w:hyperlink>
        </w:p>
        <w:p w14:paraId="32FE2966" w14:textId="109277FB" w:rsidR="00D91076" w:rsidRDefault="00DF5EE1">
          <w:pPr>
            <w:pStyle w:val="TOC2"/>
            <w:rPr>
              <w:rFonts w:eastAsiaTheme="minorEastAsia" w:cstheme="minorBidi"/>
              <w:b w:val="0"/>
              <w:iCs w:val="0"/>
              <w:sz w:val="22"/>
              <w:szCs w:val="22"/>
              <w:lang w:val="en-AU" w:eastAsia="en-AU"/>
            </w:rPr>
          </w:pPr>
          <w:hyperlink w:anchor="_Toc49858091" w:history="1">
            <w:r w:rsidR="00D91076" w:rsidRPr="000F452C">
              <w:rPr>
                <w:rStyle w:val="Hyperlink"/>
                <w:rFonts w:cstheme="minorHAnsi"/>
                <w:bCs/>
              </w:rPr>
              <w:t>7.</w:t>
            </w:r>
            <w:r w:rsidR="00D91076">
              <w:rPr>
                <w:rFonts w:eastAsiaTheme="minorEastAsia" w:cstheme="minorBidi"/>
                <w:b w:val="0"/>
                <w:iCs w:val="0"/>
                <w:sz w:val="22"/>
                <w:szCs w:val="22"/>
                <w:lang w:val="en-AU" w:eastAsia="en-AU"/>
              </w:rPr>
              <w:tab/>
            </w:r>
            <w:r w:rsidR="00D91076" w:rsidRPr="000F452C">
              <w:rPr>
                <w:rStyle w:val="Hyperlink"/>
                <w:rFonts w:cstheme="minorHAnsi"/>
                <w:bCs/>
              </w:rPr>
              <w:t>Quality Indicator Assessment</w:t>
            </w:r>
            <w:r w:rsidR="00D91076">
              <w:rPr>
                <w:webHidden/>
              </w:rPr>
              <w:tab/>
            </w:r>
            <w:r w:rsidR="00D91076">
              <w:rPr>
                <w:webHidden/>
              </w:rPr>
              <w:fldChar w:fldCharType="begin"/>
            </w:r>
            <w:r w:rsidR="00D91076">
              <w:rPr>
                <w:webHidden/>
              </w:rPr>
              <w:instrText xml:space="preserve"> PAGEREF _Toc49858091 \h </w:instrText>
            </w:r>
            <w:r w:rsidR="00D91076">
              <w:rPr>
                <w:webHidden/>
              </w:rPr>
            </w:r>
            <w:r w:rsidR="00D91076">
              <w:rPr>
                <w:webHidden/>
              </w:rPr>
              <w:fldChar w:fldCharType="separate"/>
            </w:r>
            <w:r w:rsidR="00D91076">
              <w:rPr>
                <w:webHidden/>
              </w:rPr>
              <w:t>12</w:t>
            </w:r>
            <w:r w:rsidR="00D91076">
              <w:rPr>
                <w:webHidden/>
              </w:rPr>
              <w:fldChar w:fldCharType="end"/>
            </w:r>
          </w:hyperlink>
        </w:p>
        <w:p w14:paraId="5B870C9D" w14:textId="7705A8A9" w:rsidR="00D91076" w:rsidRDefault="00DF5EE1">
          <w:pPr>
            <w:pStyle w:val="TOC2"/>
            <w:rPr>
              <w:rFonts w:eastAsiaTheme="minorEastAsia" w:cstheme="minorBidi"/>
              <w:b w:val="0"/>
              <w:iCs w:val="0"/>
              <w:sz w:val="22"/>
              <w:szCs w:val="22"/>
              <w:lang w:val="en-AU" w:eastAsia="en-AU"/>
            </w:rPr>
          </w:pPr>
          <w:hyperlink w:anchor="_Toc49858092" w:history="1">
            <w:r w:rsidR="00D91076" w:rsidRPr="000F452C">
              <w:rPr>
                <w:rStyle w:val="Hyperlink"/>
                <w:rFonts w:cstheme="minorHAnsi"/>
                <w:bCs/>
              </w:rPr>
              <w:t>8.</w:t>
            </w:r>
            <w:r w:rsidR="00D91076">
              <w:rPr>
                <w:rFonts w:eastAsiaTheme="minorEastAsia" w:cstheme="minorBidi"/>
                <w:b w:val="0"/>
                <w:iCs w:val="0"/>
                <w:sz w:val="22"/>
                <w:szCs w:val="22"/>
                <w:lang w:val="en-AU" w:eastAsia="en-AU"/>
              </w:rPr>
              <w:tab/>
            </w:r>
            <w:r w:rsidR="00D91076" w:rsidRPr="000F452C">
              <w:rPr>
                <w:rStyle w:val="Hyperlink"/>
                <w:rFonts w:cstheme="minorHAnsi"/>
                <w:bCs/>
              </w:rPr>
              <w:t>Management Systems General Findings</w:t>
            </w:r>
            <w:r w:rsidR="00D91076">
              <w:rPr>
                <w:webHidden/>
              </w:rPr>
              <w:tab/>
            </w:r>
            <w:r w:rsidR="00D91076">
              <w:rPr>
                <w:webHidden/>
              </w:rPr>
              <w:fldChar w:fldCharType="begin"/>
            </w:r>
            <w:r w:rsidR="00D91076">
              <w:rPr>
                <w:webHidden/>
              </w:rPr>
              <w:instrText xml:space="preserve"> PAGEREF _Toc49858092 \h </w:instrText>
            </w:r>
            <w:r w:rsidR="00D91076">
              <w:rPr>
                <w:webHidden/>
              </w:rPr>
            </w:r>
            <w:r w:rsidR="00D91076">
              <w:rPr>
                <w:webHidden/>
              </w:rPr>
              <w:fldChar w:fldCharType="separate"/>
            </w:r>
            <w:r w:rsidR="00D91076">
              <w:rPr>
                <w:webHidden/>
              </w:rPr>
              <w:t>14</w:t>
            </w:r>
            <w:r w:rsidR="00D91076">
              <w:rPr>
                <w:webHidden/>
              </w:rPr>
              <w:fldChar w:fldCharType="end"/>
            </w:r>
          </w:hyperlink>
        </w:p>
        <w:p w14:paraId="66FBC5B7" w14:textId="7675AE78" w:rsidR="00D91076" w:rsidRDefault="00DF5EE1">
          <w:pPr>
            <w:pStyle w:val="TOC2"/>
            <w:rPr>
              <w:rFonts w:eastAsiaTheme="minorEastAsia" w:cstheme="minorBidi"/>
              <w:b w:val="0"/>
              <w:iCs w:val="0"/>
              <w:sz w:val="22"/>
              <w:szCs w:val="22"/>
              <w:lang w:val="en-AU" w:eastAsia="en-AU"/>
            </w:rPr>
          </w:pPr>
          <w:hyperlink w:anchor="_Toc49858093" w:history="1">
            <w:r w:rsidR="00D91076" w:rsidRPr="000F452C">
              <w:rPr>
                <w:rStyle w:val="Hyperlink"/>
                <w:rFonts w:cstheme="minorHAnsi"/>
                <w:bCs/>
              </w:rPr>
              <w:t>9.</w:t>
            </w:r>
            <w:r w:rsidR="00D91076">
              <w:rPr>
                <w:rFonts w:eastAsiaTheme="minorEastAsia" w:cstheme="minorBidi"/>
                <w:b w:val="0"/>
                <w:iCs w:val="0"/>
                <w:sz w:val="22"/>
                <w:szCs w:val="22"/>
                <w:lang w:val="en-AU" w:eastAsia="en-AU"/>
              </w:rPr>
              <w:tab/>
            </w:r>
            <w:r w:rsidR="00D91076" w:rsidRPr="000F452C">
              <w:rPr>
                <w:rStyle w:val="Hyperlink"/>
                <w:rFonts w:cstheme="minorHAnsi"/>
                <w:bCs/>
              </w:rPr>
              <w:t>Management Systems Indicator Assessment</w:t>
            </w:r>
            <w:r w:rsidR="00D91076">
              <w:rPr>
                <w:webHidden/>
              </w:rPr>
              <w:tab/>
            </w:r>
            <w:r w:rsidR="00D91076">
              <w:rPr>
                <w:webHidden/>
              </w:rPr>
              <w:fldChar w:fldCharType="begin"/>
            </w:r>
            <w:r w:rsidR="00D91076">
              <w:rPr>
                <w:webHidden/>
              </w:rPr>
              <w:instrText xml:space="preserve"> PAGEREF _Toc49858093 \h </w:instrText>
            </w:r>
            <w:r w:rsidR="00D91076">
              <w:rPr>
                <w:webHidden/>
              </w:rPr>
            </w:r>
            <w:r w:rsidR="00D91076">
              <w:rPr>
                <w:webHidden/>
              </w:rPr>
              <w:fldChar w:fldCharType="separate"/>
            </w:r>
            <w:r w:rsidR="00D91076">
              <w:rPr>
                <w:webHidden/>
              </w:rPr>
              <w:t>15</w:t>
            </w:r>
            <w:r w:rsidR="00D91076">
              <w:rPr>
                <w:webHidden/>
              </w:rPr>
              <w:fldChar w:fldCharType="end"/>
            </w:r>
          </w:hyperlink>
        </w:p>
        <w:p w14:paraId="63DCDFC9" w14:textId="77BC652E" w:rsidR="00D91076" w:rsidRDefault="00DF5EE1">
          <w:pPr>
            <w:pStyle w:val="TOC2"/>
            <w:rPr>
              <w:rFonts w:eastAsiaTheme="minorEastAsia" w:cstheme="minorBidi"/>
              <w:b w:val="0"/>
              <w:iCs w:val="0"/>
              <w:sz w:val="22"/>
              <w:szCs w:val="22"/>
              <w:lang w:val="en-AU" w:eastAsia="en-AU"/>
            </w:rPr>
          </w:pPr>
          <w:hyperlink w:anchor="_Toc49858094" w:history="1">
            <w:r w:rsidR="00D91076" w:rsidRPr="000F452C">
              <w:rPr>
                <w:rStyle w:val="Hyperlink"/>
                <w:rFonts w:cstheme="minorHAnsi"/>
                <w:bCs/>
              </w:rPr>
              <w:t>10.</w:t>
            </w:r>
            <w:r w:rsidR="00D91076">
              <w:rPr>
                <w:rFonts w:eastAsiaTheme="minorEastAsia" w:cstheme="minorBidi"/>
                <w:b w:val="0"/>
                <w:iCs w:val="0"/>
                <w:sz w:val="22"/>
                <w:szCs w:val="22"/>
                <w:lang w:val="en-AU" w:eastAsia="en-AU"/>
              </w:rPr>
              <w:tab/>
            </w:r>
            <w:r w:rsidR="00D91076" w:rsidRPr="000F452C">
              <w:rPr>
                <w:rStyle w:val="Hyperlink"/>
                <w:rFonts w:cstheme="minorHAnsi"/>
                <w:bCs/>
              </w:rPr>
              <w:t>Payment Recommendation</w:t>
            </w:r>
            <w:r w:rsidR="00D91076">
              <w:rPr>
                <w:webHidden/>
              </w:rPr>
              <w:tab/>
            </w:r>
            <w:r w:rsidR="00D91076">
              <w:rPr>
                <w:webHidden/>
              </w:rPr>
              <w:fldChar w:fldCharType="begin"/>
            </w:r>
            <w:r w:rsidR="00D91076">
              <w:rPr>
                <w:webHidden/>
              </w:rPr>
              <w:instrText xml:space="preserve"> PAGEREF _Toc49858094 \h </w:instrText>
            </w:r>
            <w:r w:rsidR="00D91076">
              <w:rPr>
                <w:webHidden/>
              </w:rPr>
            </w:r>
            <w:r w:rsidR="00D91076">
              <w:rPr>
                <w:webHidden/>
              </w:rPr>
              <w:fldChar w:fldCharType="separate"/>
            </w:r>
            <w:r w:rsidR="00D91076">
              <w:rPr>
                <w:webHidden/>
              </w:rPr>
              <w:t>20</w:t>
            </w:r>
            <w:r w:rsidR="00D91076">
              <w:rPr>
                <w:webHidden/>
              </w:rPr>
              <w:fldChar w:fldCharType="end"/>
            </w:r>
          </w:hyperlink>
        </w:p>
        <w:p w14:paraId="2B8207D9" w14:textId="0336DA70" w:rsidR="00D91076" w:rsidRDefault="00DF5EE1">
          <w:pPr>
            <w:pStyle w:val="TOC2"/>
            <w:rPr>
              <w:rFonts w:eastAsiaTheme="minorEastAsia" w:cstheme="minorBidi"/>
              <w:b w:val="0"/>
              <w:iCs w:val="0"/>
              <w:sz w:val="22"/>
              <w:szCs w:val="22"/>
              <w:lang w:val="en-AU" w:eastAsia="en-AU"/>
            </w:rPr>
          </w:pPr>
          <w:hyperlink w:anchor="_Toc49858095" w:history="1">
            <w:r w:rsidR="00D91076" w:rsidRPr="000F452C">
              <w:rPr>
                <w:rStyle w:val="Hyperlink"/>
                <w:rFonts w:cstheme="minorHAnsi"/>
                <w:bCs/>
              </w:rPr>
              <w:t>11.</w:t>
            </w:r>
            <w:r w:rsidR="00D91076">
              <w:rPr>
                <w:rFonts w:eastAsiaTheme="minorEastAsia" w:cstheme="minorBidi"/>
                <w:b w:val="0"/>
                <w:iCs w:val="0"/>
                <w:sz w:val="22"/>
                <w:szCs w:val="22"/>
                <w:lang w:val="en-AU" w:eastAsia="en-AU"/>
              </w:rPr>
              <w:tab/>
            </w:r>
            <w:r w:rsidR="00D91076" w:rsidRPr="000F452C">
              <w:rPr>
                <w:rStyle w:val="Hyperlink"/>
                <w:rFonts w:cstheme="minorHAnsi"/>
                <w:bCs/>
              </w:rPr>
              <w:t>Strengths and Weaknesses of 2019 Performance Indicators and Targets</w:t>
            </w:r>
            <w:r w:rsidR="00D91076">
              <w:rPr>
                <w:webHidden/>
              </w:rPr>
              <w:tab/>
            </w:r>
            <w:r w:rsidR="00D91076">
              <w:rPr>
                <w:webHidden/>
              </w:rPr>
              <w:fldChar w:fldCharType="begin"/>
            </w:r>
            <w:r w:rsidR="00D91076">
              <w:rPr>
                <w:webHidden/>
              </w:rPr>
              <w:instrText xml:space="preserve"> PAGEREF _Toc49858095 \h </w:instrText>
            </w:r>
            <w:r w:rsidR="00D91076">
              <w:rPr>
                <w:webHidden/>
              </w:rPr>
            </w:r>
            <w:r w:rsidR="00D91076">
              <w:rPr>
                <w:webHidden/>
              </w:rPr>
              <w:fldChar w:fldCharType="separate"/>
            </w:r>
            <w:r w:rsidR="00D91076">
              <w:rPr>
                <w:webHidden/>
              </w:rPr>
              <w:t>20</w:t>
            </w:r>
            <w:r w:rsidR="00D91076">
              <w:rPr>
                <w:webHidden/>
              </w:rPr>
              <w:fldChar w:fldCharType="end"/>
            </w:r>
          </w:hyperlink>
        </w:p>
        <w:p w14:paraId="3673E3E7" w14:textId="14332C55" w:rsidR="00D91076" w:rsidRDefault="00DF5EE1">
          <w:pPr>
            <w:pStyle w:val="TOC2"/>
            <w:rPr>
              <w:rFonts w:eastAsiaTheme="minorEastAsia" w:cstheme="minorBidi"/>
              <w:b w:val="0"/>
              <w:iCs w:val="0"/>
              <w:sz w:val="22"/>
              <w:szCs w:val="22"/>
              <w:lang w:val="en-AU" w:eastAsia="en-AU"/>
            </w:rPr>
          </w:pPr>
          <w:hyperlink w:anchor="_Toc49858096" w:history="1">
            <w:r w:rsidR="00D91076" w:rsidRPr="000F452C">
              <w:rPr>
                <w:rStyle w:val="Hyperlink"/>
                <w:rFonts w:cstheme="minorHAnsi"/>
                <w:bCs/>
              </w:rPr>
              <w:t>12.</w:t>
            </w:r>
            <w:r w:rsidR="00D91076">
              <w:rPr>
                <w:rFonts w:eastAsiaTheme="minorEastAsia" w:cstheme="minorBidi"/>
                <w:b w:val="0"/>
                <w:iCs w:val="0"/>
                <w:sz w:val="22"/>
                <w:szCs w:val="22"/>
                <w:lang w:val="en-AU" w:eastAsia="en-AU"/>
              </w:rPr>
              <w:tab/>
            </w:r>
            <w:r w:rsidR="00D91076" w:rsidRPr="000F452C">
              <w:rPr>
                <w:rStyle w:val="Hyperlink"/>
                <w:rFonts w:cstheme="minorHAnsi"/>
                <w:bCs/>
              </w:rPr>
              <w:t>Future Performance Indicators</w:t>
            </w:r>
            <w:r w:rsidR="00D91076">
              <w:rPr>
                <w:webHidden/>
              </w:rPr>
              <w:tab/>
            </w:r>
            <w:r w:rsidR="00D91076">
              <w:rPr>
                <w:webHidden/>
              </w:rPr>
              <w:fldChar w:fldCharType="begin"/>
            </w:r>
            <w:r w:rsidR="00D91076">
              <w:rPr>
                <w:webHidden/>
              </w:rPr>
              <w:instrText xml:space="preserve"> PAGEREF _Toc49858096 \h </w:instrText>
            </w:r>
            <w:r w:rsidR="00D91076">
              <w:rPr>
                <w:webHidden/>
              </w:rPr>
            </w:r>
            <w:r w:rsidR="00D91076">
              <w:rPr>
                <w:webHidden/>
              </w:rPr>
              <w:fldChar w:fldCharType="separate"/>
            </w:r>
            <w:r w:rsidR="00D91076">
              <w:rPr>
                <w:webHidden/>
              </w:rPr>
              <w:t>21</w:t>
            </w:r>
            <w:r w:rsidR="00D91076">
              <w:rPr>
                <w:webHidden/>
              </w:rPr>
              <w:fldChar w:fldCharType="end"/>
            </w:r>
          </w:hyperlink>
        </w:p>
        <w:p w14:paraId="16FAE71E" w14:textId="0C625E67" w:rsidR="00D91076" w:rsidRDefault="00DF5EE1">
          <w:pPr>
            <w:pStyle w:val="TOC2"/>
            <w:rPr>
              <w:rFonts w:eastAsiaTheme="minorEastAsia" w:cstheme="minorBidi"/>
              <w:b w:val="0"/>
              <w:iCs w:val="0"/>
              <w:sz w:val="22"/>
              <w:szCs w:val="22"/>
              <w:lang w:val="en-AU" w:eastAsia="en-AU"/>
            </w:rPr>
          </w:pPr>
          <w:hyperlink w:anchor="_Toc49858097" w:history="1">
            <w:r w:rsidR="00D91076" w:rsidRPr="000F452C">
              <w:rPr>
                <w:rStyle w:val="Hyperlink"/>
                <w:rFonts w:cstheme="minorHAnsi"/>
                <w:bCs/>
              </w:rPr>
              <w:t>13.</w:t>
            </w:r>
            <w:r w:rsidR="00D91076">
              <w:rPr>
                <w:rFonts w:eastAsiaTheme="minorEastAsia" w:cstheme="minorBidi"/>
                <w:b w:val="0"/>
                <w:iCs w:val="0"/>
                <w:sz w:val="22"/>
                <w:szCs w:val="22"/>
                <w:lang w:val="en-AU" w:eastAsia="en-AU"/>
              </w:rPr>
              <w:tab/>
            </w:r>
            <w:r w:rsidR="00D91076" w:rsidRPr="000F452C">
              <w:rPr>
                <w:rStyle w:val="Hyperlink"/>
                <w:rFonts w:cstheme="minorHAnsi"/>
                <w:bCs/>
              </w:rPr>
              <w:t>PLA Approach – Suggestions for Future Directions</w:t>
            </w:r>
            <w:r w:rsidR="00D91076">
              <w:rPr>
                <w:webHidden/>
              </w:rPr>
              <w:tab/>
            </w:r>
            <w:r w:rsidR="00D91076">
              <w:rPr>
                <w:webHidden/>
              </w:rPr>
              <w:fldChar w:fldCharType="begin"/>
            </w:r>
            <w:r w:rsidR="00D91076">
              <w:rPr>
                <w:webHidden/>
              </w:rPr>
              <w:instrText xml:space="preserve"> PAGEREF _Toc49858097 \h </w:instrText>
            </w:r>
            <w:r w:rsidR="00D91076">
              <w:rPr>
                <w:webHidden/>
              </w:rPr>
            </w:r>
            <w:r w:rsidR="00D91076">
              <w:rPr>
                <w:webHidden/>
              </w:rPr>
              <w:fldChar w:fldCharType="separate"/>
            </w:r>
            <w:r w:rsidR="00D91076">
              <w:rPr>
                <w:webHidden/>
              </w:rPr>
              <w:t>23</w:t>
            </w:r>
            <w:r w:rsidR="00D91076">
              <w:rPr>
                <w:webHidden/>
              </w:rPr>
              <w:fldChar w:fldCharType="end"/>
            </w:r>
          </w:hyperlink>
        </w:p>
        <w:p w14:paraId="32812757" w14:textId="685E49FB" w:rsidR="00D91076" w:rsidRDefault="00DF5EE1">
          <w:pPr>
            <w:pStyle w:val="TOC2"/>
            <w:rPr>
              <w:rFonts w:eastAsiaTheme="minorEastAsia" w:cstheme="minorBidi"/>
              <w:b w:val="0"/>
              <w:iCs w:val="0"/>
              <w:sz w:val="22"/>
              <w:szCs w:val="22"/>
              <w:lang w:val="en-AU" w:eastAsia="en-AU"/>
            </w:rPr>
          </w:pPr>
          <w:hyperlink w:anchor="_Toc49858098" w:history="1">
            <w:r w:rsidR="00D91076" w:rsidRPr="000F452C">
              <w:rPr>
                <w:rStyle w:val="Hyperlink"/>
                <w:rFonts w:cstheme="minorHAnsi"/>
              </w:rPr>
              <w:t>Annex A: Assessment Table Compilation</w:t>
            </w:r>
            <w:r w:rsidR="00D91076">
              <w:rPr>
                <w:webHidden/>
              </w:rPr>
              <w:tab/>
            </w:r>
            <w:r w:rsidR="00D91076">
              <w:rPr>
                <w:webHidden/>
              </w:rPr>
              <w:fldChar w:fldCharType="begin"/>
            </w:r>
            <w:r w:rsidR="00D91076">
              <w:rPr>
                <w:webHidden/>
              </w:rPr>
              <w:instrText xml:space="preserve"> PAGEREF _Toc49858098 \h </w:instrText>
            </w:r>
            <w:r w:rsidR="00D91076">
              <w:rPr>
                <w:webHidden/>
              </w:rPr>
            </w:r>
            <w:r w:rsidR="00D91076">
              <w:rPr>
                <w:webHidden/>
              </w:rPr>
              <w:fldChar w:fldCharType="separate"/>
            </w:r>
            <w:r w:rsidR="00D91076">
              <w:rPr>
                <w:webHidden/>
              </w:rPr>
              <w:t>25</w:t>
            </w:r>
            <w:r w:rsidR="00D91076">
              <w:rPr>
                <w:webHidden/>
              </w:rPr>
              <w:fldChar w:fldCharType="end"/>
            </w:r>
          </w:hyperlink>
        </w:p>
        <w:p w14:paraId="1FCF0C59" w14:textId="57A26F89" w:rsidR="00D91076" w:rsidRDefault="00DF5EE1">
          <w:pPr>
            <w:pStyle w:val="TOC2"/>
            <w:rPr>
              <w:rFonts w:eastAsiaTheme="minorEastAsia" w:cstheme="minorBidi"/>
              <w:b w:val="0"/>
              <w:iCs w:val="0"/>
              <w:sz w:val="22"/>
              <w:szCs w:val="22"/>
              <w:lang w:val="en-AU" w:eastAsia="en-AU"/>
            </w:rPr>
          </w:pPr>
          <w:hyperlink w:anchor="_Toc49858099" w:history="1">
            <w:r w:rsidR="00D91076" w:rsidRPr="000F452C">
              <w:rPr>
                <w:rStyle w:val="Hyperlink"/>
                <w:rFonts w:cstheme="minorHAnsi"/>
              </w:rPr>
              <w:t>Annex B: Documents Reviewed</w:t>
            </w:r>
            <w:r w:rsidR="00D91076">
              <w:rPr>
                <w:webHidden/>
              </w:rPr>
              <w:tab/>
            </w:r>
            <w:r w:rsidR="00D91076">
              <w:rPr>
                <w:webHidden/>
              </w:rPr>
              <w:fldChar w:fldCharType="begin"/>
            </w:r>
            <w:r w:rsidR="00D91076">
              <w:rPr>
                <w:webHidden/>
              </w:rPr>
              <w:instrText xml:space="preserve"> PAGEREF _Toc49858099 \h </w:instrText>
            </w:r>
            <w:r w:rsidR="00D91076">
              <w:rPr>
                <w:webHidden/>
              </w:rPr>
            </w:r>
            <w:r w:rsidR="00D91076">
              <w:rPr>
                <w:webHidden/>
              </w:rPr>
              <w:fldChar w:fldCharType="separate"/>
            </w:r>
            <w:r w:rsidR="00D91076">
              <w:rPr>
                <w:webHidden/>
              </w:rPr>
              <w:t>27</w:t>
            </w:r>
            <w:r w:rsidR="00D91076">
              <w:rPr>
                <w:webHidden/>
              </w:rPr>
              <w:fldChar w:fldCharType="end"/>
            </w:r>
          </w:hyperlink>
        </w:p>
        <w:p w14:paraId="651980B5" w14:textId="216FE3D0" w:rsidR="00D91076" w:rsidRDefault="00DF5EE1">
          <w:pPr>
            <w:pStyle w:val="TOC2"/>
            <w:rPr>
              <w:rFonts w:eastAsiaTheme="minorEastAsia" w:cstheme="minorBidi"/>
              <w:b w:val="0"/>
              <w:iCs w:val="0"/>
              <w:sz w:val="22"/>
              <w:szCs w:val="22"/>
              <w:lang w:val="en-AU" w:eastAsia="en-AU"/>
            </w:rPr>
          </w:pPr>
          <w:hyperlink w:anchor="_Toc49858100" w:history="1">
            <w:r w:rsidR="00D91076" w:rsidRPr="000F452C">
              <w:rPr>
                <w:rStyle w:val="Hyperlink"/>
                <w:rFonts w:cstheme="minorHAnsi"/>
              </w:rPr>
              <w:t>Annex C: Assessor Terms of Reference</w:t>
            </w:r>
            <w:r w:rsidR="00D91076">
              <w:rPr>
                <w:webHidden/>
              </w:rPr>
              <w:tab/>
            </w:r>
            <w:r w:rsidR="00D91076">
              <w:rPr>
                <w:webHidden/>
              </w:rPr>
              <w:fldChar w:fldCharType="begin"/>
            </w:r>
            <w:r w:rsidR="00D91076">
              <w:rPr>
                <w:webHidden/>
              </w:rPr>
              <w:instrText xml:space="preserve"> PAGEREF _Toc49858100 \h </w:instrText>
            </w:r>
            <w:r w:rsidR="00D91076">
              <w:rPr>
                <w:webHidden/>
              </w:rPr>
            </w:r>
            <w:r w:rsidR="00D91076">
              <w:rPr>
                <w:webHidden/>
              </w:rPr>
              <w:fldChar w:fldCharType="separate"/>
            </w:r>
            <w:r w:rsidR="00D91076">
              <w:rPr>
                <w:webHidden/>
              </w:rPr>
              <w:t>28</w:t>
            </w:r>
            <w:r w:rsidR="00D91076">
              <w:rPr>
                <w:webHidden/>
              </w:rPr>
              <w:fldChar w:fldCharType="end"/>
            </w:r>
          </w:hyperlink>
        </w:p>
        <w:p w14:paraId="494864DF" w14:textId="1E6B7972" w:rsidR="0003257A" w:rsidRPr="00D91F90" w:rsidRDefault="0003257A">
          <w:r w:rsidRPr="00D91F90">
            <w:rPr>
              <w:b/>
              <w:bCs/>
              <w:noProof/>
            </w:rPr>
            <w:fldChar w:fldCharType="end"/>
          </w:r>
        </w:p>
      </w:sdtContent>
    </w:sdt>
    <w:p w14:paraId="1582E293" w14:textId="13DFDDEF" w:rsidR="00C30634" w:rsidRDefault="00C30634" w:rsidP="00C30634"/>
    <w:p w14:paraId="6BA4391F" w14:textId="564AED27" w:rsidR="00E957E3" w:rsidRPr="00E957E3" w:rsidRDefault="006D596D">
      <w:pPr>
        <w:spacing w:after="160" w:line="259" w:lineRule="auto"/>
      </w:pPr>
      <w:r>
        <w:br w:type="page"/>
      </w:r>
      <w:bookmarkStart w:id="0" w:name="_Toc517855403"/>
      <w:bookmarkStart w:id="1" w:name="_Toc12457159"/>
    </w:p>
    <w:p w14:paraId="0FD1188E" w14:textId="5031C928" w:rsidR="00E957E3" w:rsidRPr="00413324" w:rsidRDefault="00E957E3" w:rsidP="00413324">
      <w:pPr>
        <w:pStyle w:val="Heading1"/>
        <w:rPr>
          <w:rFonts w:asciiTheme="majorHAnsi" w:hAnsiTheme="majorHAnsi" w:cstheme="minorHAnsi"/>
          <w:b w:val="0"/>
        </w:rPr>
      </w:pPr>
      <w:bookmarkStart w:id="2" w:name="_Toc49858082"/>
      <w:r w:rsidRPr="00413324">
        <w:rPr>
          <w:rFonts w:asciiTheme="majorHAnsi" w:hAnsiTheme="majorHAnsi" w:cstheme="minorHAnsi"/>
          <w:b w:val="0"/>
        </w:rPr>
        <w:lastRenderedPageBreak/>
        <w:t>List of Tables</w:t>
      </w:r>
      <w:bookmarkEnd w:id="2"/>
    </w:p>
    <w:p w14:paraId="5AA75677" w14:textId="107DDC31" w:rsidR="0011107A" w:rsidRPr="00D91F90" w:rsidRDefault="00E957E3">
      <w:pPr>
        <w:pStyle w:val="TableofFigures"/>
        <w:tabs>
          <w:tab w:val="right" w:leader="dot" w:pos="9016"/>
        </w:tabs>
        <w:rPr>
          <w:rFonts w:asciiTheme="minorHAnsi" w:eastAsiaTheme="minorEastAsia" w:hAnsiTheme="minorHAnsi" w:cstheme="minorHAnsi"/>
          <w:noProof/>
          <w:lang w:val="en-GB" w:eastAsia="en-GB"/>
        </w:rPr>
      </w:pPr>
      <w:r w:rsidRPr="0011107A">
        <w:rPr>
          <w:rFonts w:asciiTheme="minorHAnsi" w:hAnsiTheme="minorHAnsi" w:cstheme="minorHAnsi"/>
          <w:b/>
        </w:rPr>
        <w:fldChar w:fldCharType="begin"/>
      </w:r>
      <w:r w:rsidRPr="0011107A">
        <w:rPr>
          <w:rFonts w:asciiTheme="minorHAnsi" w:hAnsiTheme="minorHAnsi" w:cstheme="minorHAnsi"/>
          <w:b/>
        </w:rPr>
        <w:instrText xml:space="preserve"> TOC \h \z \c "Table" </w:instrText>
      </w:r>
      <w:r w:rsidRPr="0011107A">
        <w:rPr>
          <w:rFonts w:asciiTheme="minorHAnsi" w:hAnsiTheme="minorHAnsi" w:cstheme="minorHAnsi"/>
          <w:b/>
        </w:rPr>
        <w:fldChar w:fldCharType="separate"/>
      </w:r>
      <w:hyperlink w:anchor="_Toc48750598" w:history="1">
        <w:r w:rsidR="0011107A" w:rsidRPr="00D91F90">
          <w:rPr>
            <w:rStyle w:val="Hyperlink"/>
            <w:rFonts w:asciiTheme="minorHAnsi" w:hAnsiTheme="minorHAnsi" w:cstheme="minorHAnsi"/>
            <w:noProof/>
          </w:rPr>
          <w:t>Table 1: Summary of Assessment</w:t>
        </w:r>
        <w:r w:rsidR="0011107A" w:rsidRPr="00D91F90">
          <w:rPr>
            <w:rFonts w:asciiTheme="minorHAnsi" w:hAnsiTheme="minorHAnsi" w:cstheme="minorHAnsi"/>
            <w:noProof/>
            <w:webHidden/>
          </w:rPr>
          <w:tab/>
        </w:r>
        <w:r w:rsidR="0011107A" w:rsidRPr="00D91F90">
          <w:rPr>
            <w:rFonts w:asciiTheme="minorHAnsi" w:hAnsiTheme="minorHAnsi" w:cstheme="minorHAnsi"/>
            <w:noProof/>
            <w:webHidden/>
          </w:rPr>
          <w:fldChar w:fldCharType="begin"/>
        </w:r>
        <w:r w:rsidR="0011107A" w:rsidRPr="00D91F90">
          <w:rPr>
            <w:rFonts w:asciiTheme="minorHAnsi" w:hAnsiTheme="minorHAnsi" w:cstheme="minorHAnsi"/>
            <w:noProof/>
            <w:webHidden/>
          </w:rPr>
          <w:instrText xml:space="preserve"> PAGEREF _Toc48750598 \h </w:instrText>
        </w:r>
        <w:r w:rsidR="0011107A" w:rsidRPr="00D91F90">
          <w:rPr>
            <w:rFonts w:asciiTheme="minorHAnsi" w:hAnsiTheme="minorHAnsi" w:cstheme="minorHAnsi"/>
            <w:noProof/>
            <w:webHidden/>
          </w:rPr>
        </w:r>
        <w:r w:rsidR="0011107A" w:rsidRPr="00D91F90">
          <w:rPr>
            <w:rFonts w:asciiTheme="minorHAnsi" w:hAnsiTheme="minorHAnsi" w:cstheme="minorHAnsi"/>
            <w:noProof/>
            <w:webHidden/>
          </w:rPr>
          <w:fldChar w:fldCharType="separate"/>
        </w:r>
        <w:r w:rsidR="00881D70">
          <w:rPr>
            <w:rFonts w:asciiTheme="minorHAnsi" w:hAnsiTheme="minorHAnsi" w:cstheme="minorHAnsi"/>
            <w:noProof/>
            <w:webHidden/>
          </w:rPr>
          <w:t>6</w:t>
        </w:r>
        <w:r w:rsidR="0011107A" w:rsidRPr="00D91F90">
          <w:rPr>
            <w:rFonts w:asciiTheme="minorHAnsi" w:hAnsiTheme="minorHAnsi" w:cstheme="minorHAnsi"/>
            <w:noProof/>
            <w:webHidden/>
          </w:rPr>
          <w:fldChar w:fldCharType="end"/>
        </w:r>
      </w:hyperlink>
    </w:p>
    <w:p w14:paraId="60AD0B0A" w14:textId="47500BF1" w:rsidR="0011107A" w:rsidRPr="00D91F90" w:rsidRDefault="00DF5EE1">
      <w:pPr>
        <w:pStyle w:val="TableofFigures"/>
        <w:tabs>
          <w:tab w:val="right" w:leader="dot" w:pos="9016"/>
        </w:tabs>
        <w:rPr>
          <w:rFonts w:asciiTheme="minorHAnsi" w:eastAsiaTheme="minorEastAsia" w:hAnsiTheme="minorHAnsi" w:cstheme="minorHAnsi"/>
          <w:noProof/>
          <w:lang w:val="en-GB" w:eastAsia="en-GB"/>
        </w:rPr>
      </w:pPr>
      <w:hyperlink w:anchor="_Toc48750599" w:history="1">
        <w:r w:rsidR="0011107A" w:rsidRPr="00D91F90">
          <w:rPr>
            <w:rStyle w:val="Hyperlink"/>
            <w:rFonts w:asciiTheme="minorHAnsi" w:hAnsiTheme="minorHAnsi" w:cstheme="minorHAnsi"/>
            <w:noProof/>
          </w:rPr>
          <w:t>Table 2: Transition Rates PPY to Year 12</w:t>
        </w:r>
        <w:r w:rsidR="0011107A" w:rsidRPr="00D91F90">
          <w:rPr>
            <w:rFonts w:asciiTheme="minorHAnsi" w:hAnsiTheme="minorHAnsi" w:cstheme="minorHAnsi"/>
            <w:noProof/>
            <w:webHidden/>
          </w:rPr>
          <w:tab/>
        </w:r>
        <w:r w:rsidR="0011107A" w:rsidRPr="00D91F90">
          <w:rPr>
            <w:rFonts w:asciiTheme="minorHAnsi" w:hAnsiTheme="minorHAnsi" w:cstheme="minorHAnsi"/>
            <w:noProof/>
            <w:webHidden/>
          </w:rPr>
          <w:fldChar w:fldCharType="begin"/>
        </w:r>
        <w:r w:rsidR="0011107A" w:rsidRPr="00D91F90">
          <w:rPr>
            <w:rFonts w:asciiTheme="minorHAnsi" w:hAnsiTheme="minorHAnsi" w:cstheme="minorHAnsi"/>
            <w:noProof/>
            <w:webHidden/>
          </w:rPr>
          <w:instrText xml:space="preserve"> PAGEREF _Toc48750599 \h </w:instrText>
        </w:r>
        <w:r w:rsidR="0011107A" w:rsidRPr="00D91F90">
          <w:rPr>
            <w:rFonts w:asciiTheme="minorHAnsi" w:hAnsiTheme="minorHAnsi" w:cstheme="minorHAnsi"/>
            <w:noProof/>
            <w:webHidden/>
          </w:rPr>
        </w:r>
        <w:r w:rsidR="0011107A" w:rsidRPr="00D91F90">
          <w:rPr>
            <w:rFonts w:asciiTheme="minorHAnsi" w:hAnsiTheme="minorHAnsi" w:cstheme="minorHAnsi"/>
            <w:noProof/>
            <w:webHidden/>
          </w:rPr>
          <w:fldChar w:fldCharType="separate"/>
        </w:r>
        <w:r w:rsidR="00881D70">
          <w:rPr>
            <w:rFonts w:asciiTheme="minorHAnsi" w:hAnsiTheme="minorHAnsi" w:cstheme="minorHAnsi"/>
            <w:noProof/>
            <w:webHidden/>
          </w:rPr>
          <w:t>9</w:t>
        </w:r>
        <w:r w:rsidR="0011107A" w:rsidRPr="00D91F90">
          <w:rPr>
            <w:rFonts w:asciiTheme="minorHAnsi" w:hAnsiTheme="minorHAnsi" w:cstheme="minorHAnsi"/>
            <w:noProof/>
            <w:webHidden/>
          </w:rPr>
          <w:fldChar w:fldCharType="end"/>
        </w:r>
      </w:hyperlink>
    </w:p>
    <w:p w14:paraId="698D697A" w14:textId="733D34CB" w:rsidR="0011107A" w:rsidRPr="00D91F90" w:rsidRDefault="00DF5EE1">
      <w:pPr>
        <w:pStyle w:val="TableofFigures"/>
        <w:tabs>
          <w:tab w:val="right" w:leader="dot" w:pos="9016"/>
        </w:tabs>
        <w:rPr>
          <w:rFonts w:asciiTheme="minorHAnsi" w:eastAsiaTheme="minorEastAsia" w:hAnsiTheme="minorHAnsi" w:cstheme="minorHAnsi"/>
          <w:noProof/>
          <w:lang w:val="en-GB" w:eastAsia="en-GB"/>
        </w:rPr>
      </w:pPr>
      <w:hyperlink w:anchor="_Toc48750600" w:history="1">
        <w:r w:rsidR="0011107A" w:rsidRPr="00D91F90">
          <w:rPr>
            <w:rStyle w:val="Hyperlink"/>
            <w:rFonts w:asciiTheme="minorHAnsi" w:hAnsiTheme="minorHAnsi" w:cstheme="minorHAnsi"/>
            <w:noProof/>
          </w:rPr>
          <w:t>Table 3: Comparative Results of PILNA Assessment</w:t>
        </w:r>
        <w:r w:rsidR="0011107A" w:rsidRPr="00D91F90">
          <w:rPr>
            <w:rFonts w:asciiTheme="minorHAnsi" w:hAnsiTheme="minorHAnsi" w:cstheme="minorHAnsi"/>
            <w:noProof/>
            <w:webHidden/>
          </w:rPr>
          <w:tab/>
        </w:r>
        <w:r w:rsidR="0011107A" w:rsidRPr="00D91F90">
          <w:rPr>
            <w:rFonts w:asciiTheme="minorHAnsi" w:hAnsiTheme="minorHAnsi" w:cstheme="minorHAnsi"/>
            <w:noProof/>
            <w:webHidden/>
          </w:rPr>
          <w:fldChar w:fldCharType="begin"/>
        </w:r>
        <w:r w:rsidR="0011107A" w:rsidRPr="00D91F90">
          <w:rPr>
            <w:rFonts w:asciiTheme="minorHAnsi" w:hAnsiTheme="minorHAnsi" w:cstheme="minorHAnsi"/>
            <w:noProof/>
            <w:webHidden/>
          </w:rPr>
          <w:instrText xml:space="preserve"> PAGEREF _Toc48750600 \h </w:instrText>
        </w:r>
        <w:r w:rsidR="0011107A" w:rsidRPr="00D91F90">
          <w:rPr>
            <w:rFonts w:asciiTheme="minorHAnsi" w:hAnsiTheme="minorHAnsi" w:cstheme="minorHAnsi"/>
            <w:noProof/>
            <w:webHidden/>
          </w:rPr>
        </w:r>
        <w:r w:rsidR="0011107A" w:rsidRPr="00D91F90">
          <w:rPr>
            <w:rFonts w:asciiTheme="minorHAnsi" w:hAnsiTheme="minorHAnsi" w:cstheme="minorHAnsi"/>
            <w:noProof/>
            <w:webHidden/>
          </w:rPr>
          <w:fldChar w:fldCharType="separate"/>
        </w:r>
        <w:r w:rsidR="00881D70">
          <w:rPr>
            <w:rFonts w:asciiTheme="minorHAnsi" w:hAnsiTheme="minorHAnsi" w:cstheme="minorHAnsi"/>
            <w:noProof/>
            <w:webHidden/>
          </w:rPr>
          <w:t>11</w:t>
        </w:r>
        <w:r w:rsidR="0011107A" w:rsidRPr="00D91F90">
          <w:rPr>
            <w:rFonts w:asciiTheme="minorHAnsi" w:hAnsiTheme="minorHAnsi" w:cstheme="minorHAnsi"/>
            <w:noProof/>
            <w:webHidden/>
          </w:rPr>
          <w:fldChar w:fldCharType="end"/>
        </w:r>
      </w:hyperlink>
    </w:p>
    <w:p w14:paraId="71146E45" w14:textId="20E43966" w:rsidR="0011107A" w:rsidRPr="00D91F90" w:rsidRDefault="00DF5EE1">
      <w:pPr>
        <w:pStyle w:val="TableofFigures"/>
        <w:tabs>
          <w:tab w:val="right" w:leader="dot" w:pos="9016"/>
        </w:tabs>
        <w:rPr>
          <w:rFonts w:asciiTheme="minorHAnsi" w:eastAsiaTheme="minorEastAsia" w:hAnsiTheme="minorHAnsi" w:cstheme="minorHAnsi"/>
          <w:noProof/>
          <w:lang w:val="en-GB" w:eastAsia="en-GB"/>
        </w:rPr>
      </w:pPr>
      <w:hyperlink w:anchor="_Toc48750601" w:history="1">
        <w:r w:rsidR="0011107A" w:rsidRPr="00D91F90">
          <w:rPr>
            <w:rStyle w:val="Hyperlink"/>
            <w:rFonts w:asciiTheme="minorHAnsi" w:hAnsiTheme="minorHAnsi" w:cstheme="minorHAnsi"/>
            <w:noProof/>
          </w:rPr>
          <w:t>Table 4: Regional Comparison Year 4 &amp; 6 Results 2018</w:t>
        </w:r>
        <w:r w:rsidR="0011107A" w:rsidRPr="00D91F90">
          <w:rPr>
            <w:rFonts w:asciiTheme="minorHAnsi" w:hAnsiTheme="minorHAnsi" w:cstheme="minorHAnsi"/>
            <w:noProof/>
            <w:webHidden/>
          </w:rPr>
          <w:tab/>
        </w:r>
        <w:r w:rsidR="0011107A" w:rsidRPr="00D91F90">
          <w:rPr>
            <w:rFonts w:asciiTheme="minorHAnsi" w:hAnsiTheme="minorHAnsi" w:cstheme="minorHAnsi"/>
            <w:noProof/>
            <w:webHidden/>
          </w:rPr>
          <w:fldChar w:fldCharType="begin"/>
        </w:r>
        <w:r w:rsidR="0011107A" w:rsidRPr="00D91F90">
          <w:rPr>
            <w:rFonts w:asciiTheme="minorHAnsi" w:hAnsiTheme="minorHAnsi" w:cstheme="minorHAnsi"/>
            <w:noProof/>
            <w:webHidden/>
          </w:rPr>
          <w:instrText xml:space="preserve"> PAGEREF _Toc48750601 \h </w:instrText>
        </w:r>
        <w:r w:rsidR="0011107A" w:rsidRPr="00D91F90">
          <w:rPr>
            <w:rFonts w:asciiTheme="minorHAnsi" w:hAnsiTheme="minorHAnsi" w:cstheme="minorHAnsi"/>
            <w:noProof/>
            <w:webHidden/>
          </w:rPr>
        </w:r>
        <w:r w:rsidR="0011107A" w:rsidRPr="00D91F90">
          <w:rPr>
            <w:rFonts w:asciiTheme="minorHAnsi" w:hAnsiTheme="minorHAnsi" w:cstheme="minorHAnsi"/>
            <w:noProof/>
            <w:webHidden/>
          </w:rPr>
          <w:fldChar w:fldCharType="separate"/>
        </w:r>
        <w:r w:rsidR="00881D70">
          <w:rPr>
            <w:rFonts w:asciiTheme="minorHAnsi" w:hAnsiTheme="minorHAnsi" w:cstheme="minorHAnsi"/>
            <w:noProof/>
            <w:webHidden/>
          </w:rPr>
          <w:t>12</w:t>
        </w:r>
        <w:r w:rsidR="0011107A" w:rsidRPr="00D91F90">
          <w:rPr>
            <w:rFonts w:asciiTheme="minorHAnsi" w:hAnsiTheme="minorHAnsi" w:cstheme="minorHAnsi"/>
            <w:noProof/>
            <w:webHidden/>
          </w:rPr>
          <w:fldChar w:fldCharType="end"/>
        </w:r>
      </w:hyperlink>
    </w:p>
    <w:p w14:paraId="37D73E0F" w14:textId="14737B91" w:rsidR="0011107A" w:rsidRPr="00D91F90" w:rsidRDefault="00DF5EE1">
      <w:pPr>
        <w:pStyle w:val="TableofFigures"/>
        <w:tabs>
          <w:tab w:val="right" w:leader="dot" w:pos="9016"/>
        </w:tabs>
        <w:rPr>
          <w:rFonts w:asciiTheme="minorHAnsi" w:eastAsiaTheme="minorEastAsia" w:hAnsiTheme="minorHAnsi" w:cstheme="minorHAnsi"/>
          <w:noProof/>
          <w:lang w:val="en-GB" w:eastAsia="en-GB"/>
        </w:rPr>
      </w:pPr>
      <w:hyperlink w:anchor="_Toc48750602" w:history="1">
        <w:r w:rsidR="0011107A" w:rsidRPr="00D91F90">
          <w:rPr>
            <w:rStyle w:val="Hyperlink"/>
            <w:rFonts w:asciiTheme="minorHAnsi" w:hAnsiTheme="minorHAnsi" w:cstheme="minorHAnsi"/>
            <w:noProof/>
          </w:rPr>
          <w:t>Table 5: PILNA Achievements Scores ECE Attend/Not Attend ECE</w:t>
        </w:r>
        <w:r w:rsidR="0011107A" w:rsidRPr="00D91F90">
          <w:rPr>
            <w:rFonts w:asciiTheme="minorHAnsi" w:hAnsiTheme="minorHAnsi" w:cstheme="minorHAnsi"/>
            <w:noProof/>
            <w:webHidden/>
          </w:rPr>
          <w:tab/>
        </w:r>
        <w:r w:rsidR="0011107A" w:rsidRPr="00D91F90">
          <w:rPr>
            <w:rFonts w:asciiTheme="minorHAnsi" w:hAnsiTheme="minorHAnsi" w:cstheme="minorHAnsi"/>
            <w:noProof/>
            <w:webHidden/>
          </w:rPr>
          <w:fldChar w:fldCharType="begin"/>
        </w:r>
        <w:r w:rsidR="0011107A" w:rsidRPr="00D91F90">
          <w:rPr>
            <w:rFonts w:asciiTheme="minorHAnsi" w:hAnsiTheme="minorHAnsi" w:cstheme="minorHAnsi"/>
            <w:noProof/>
            <w:webHidden/>
          </w:rPr>
          <w:instrText xml:space="preserve"> PAGEREF _Toc48750602 \h </w:instrText>
        </w:r>
        <w:r w:rsidR="0011107A" w:rsidRPr="00D91F90">
          <w:rPr>
            <w:rFonts w:asciiTheme="minorHAnsi" w:hAnsiTheme="minorHAnsi" w:cstheme="minorHAnsi"/>
            <w:noProof/>
            <w:webHidden/>
          </w:rPr>
        </w:r>
        <w:r w:rsidR="0011107A" w:rsidRPr="00D91F90">
          <w:rPr>
            <w:rFonts w:asciiTheme="minorHAnsi" w:hAnsiTheme="minorHAnsi" w:cstheme="minorHAnsi"/>
            <w:noProof/>
            <w:webHidden/>
          </w:rPr>
          <w:fldChar w:fldCharType="separate"/>
        </w:r>
        <w:r w:rsidR="00881D70">
          <w:rPr>
            <w:rFonts w:asciiTheme="minorHAnsi" w:hAnsiTheme="minorHAnsi" w:cstheme="minorHAnsi"/>
            <w:noProof/>
            <w:webHidden/>
          </w:rPr>
          <w:t>12</w:t>
        </w:r>
        <w:r w:rsidR="0011107A" w:rsidRPr="00D91F90">
          <w:rPr>
            <w:rFonts w:asciiTheme="minorHAnsi" w:hAnsiTheme="minorHAnsi" w:cstheme="minorHAnsi"/>
            <w:noProof/>
            <w:webHidden/>
          </w:rPr>
          <w:fldChar w:fldCharType="end"/>
        </w:r>
      </w:hyperlink>
    </w:p>
    <w:p w14:paraId="57749BFE" w14:textId="340736DE" w:rsidR="0011107A" w:rsidRPr="00D91F90" w:rsidRDefault="00DF5EE1">
      <w:pPr>
        <w:pStyle w:val="TableofFigures"/>
        <w:tabs>
          <w:tab w:val="right" w:leader="dot" w:pos="9016"/>
        </w:tabs>
        <w:rPr>
          <w:rFonts w:asciiTheme="minorHAnsi" w:eastAsiaTheme="minorEastAsia" w:hAnsiTheme="minorHAnsi" w:cstheme="minorHAnsi"/>
          <w:noProof/>
          <w:lang w:val="en-GB" w:eastAsia="en-GB"/>
        </w:rPr>
      </w:pPr>
      <w:hyperlink w:anchor="_Toc48750603" w:history="1">
        <w:r w:rsidR="0011107A" w:rsidRPr="00D91F90">
          <w:rPr>
            <w:rStyle w:val="Hyperlink"/>
            <w:rFonts w:asciiTheme="minorHAnsi" w:hAnsiTheme="minorHAnsi" w:cstheme="minorHAnsi"/>
            <w:noProof/>
          </w:rPr>
          <w:t>Table 6: Number of provincial PPY trainers and teachers trained in new PPY Curriculum</w:t>
        </w:r>
        <w:r w:rsidR="0011107A" w:rsidRPr="00D91F90">
          <w:rPr>
            <w:rFonts w:asciiTheme="minorHAnsi" w:hAnsiTheme="minorHAnsi" w:cstheme="minorHAnsi"/>
            <w:noProof/>
            <w:webHidden/>
          </w:rPr>
          <w:tab/>
        </w:r>
        <w:r w:rsidR="0011107A" w:rsidRPr="00D91F90">
          <w:rPr>
            <w:rFonts w:asciiTheme="minorHAnsi" w:hAnsiTheme="minorHAnsi" w:cstheme="minorHAnsi"/>
            <w:noProof/>
            <w:webHidden/>
          </w:rPr>
          <w:fldChar w:fldCharType="begin"/>
        </w:r>
        <w:r w:rsidR="0011107A" w:rsidRPr="00D91F90">
          <w:rPr>
            <w:rFonts w:asciiTheme="minorHAnsi" w:hAnsiTheme="minorHAnsi" w:cstheme="minorHAnsi"/>
            <w:noProof/>
            <w:webHidden/>
          </w:rPr>
          <w:instrText xml:space="preserve"> PAGEREF _Toc48750603 \h </w:instrText>
        </w:r>
        <w:r w:rsidR="0011107A" w:rsidRPr="00D91F90">
          <w:rPr>
            <w:rFonts w:asciiTheme="minorHAnsi" w:hAnsiTheme="minorHAnsi" w:cstheme="minorHAnsi"/>
            <w:noProof/>
            <w:webHidden/>
          </w:rPr>
        </w:r>
        <w:r w:rsidR="0011107A" w:rsidRPr="00D91F90">
          <w:rPr>
            <w:rFonts w:asciiTheme="minorHAnsi" w:hAnsiTheme="minorHAnsi" w:cstheme="minorHAnsi"/>
            <w:noProof/>
            <w:webHidden/>
          </w:rPr>
          <w:fldChar w:fldCharType="separate"/>
        </w:r>
        <w:r w:rsidR="00881D70">
          <w:rPr>
            <w:rFonts w:asciiTheme="minorHAnsi" w:hAnsiTheme="minorHAnsi" w:cstheme="minorHAnsi"/>
            <w:noProof/>
            <w:webHidden/>
          </w:rPr>
          <w:t>12</w:t>
        </w:r>
        <w:r w:rsidR="0011107A" w:rsidRPr="00D91F90">
          <w:rPr>
            <w:rFonts w:asciiTheme="minorHAnsi" w:hAnsiTheme="minorHAnsi" w:cstheme="minorHAnsi"/>
            <w:noProof/>
            <w:webHidden/>
          </w:rPr>
          <w:fldChar w:fldCharType="end"/>
        </w:r>
      </w:hyperlink>
    </w:p>
    <w:p w14:paraId="2F91313F" w14:textId="5B4E67D7" w:rsidR="0011107A" w:rsidRPr="00D91F90" w:rsidRDefault="00DF5EE1">
      <w:pPr>
        <w:pStyle w:val="TableofFigures"/>
        <w:tabs>
          <w:tab w:val="right" w:leader="dot" w:pos="9016"/>
        </w:tabs>
        <w:rPr>
          <w:rFonts w:asciiTheme="minorHAnsi" w:eastAsiaTheme="minorEastAsia" w:hAnsiTheme="minorHAnsi" w:cstheme="minorHAnsi"/>
          <w:noProof/>
          <w:lang w:val="en-GB" w:eastAsia="en-GB"/>
        </w:rPr>
      </w:pPr>
      <w:hyperlink w:anchor="_Toc48750604" w:history="1">
        <w:r w:rsidR="0011107A" w:rsidRPr="00D91F90">
          <w:rPr>
            <w:rStyle w:val="Hyperlink"/>
            <w:rFonts w:asciiTheme="minorHAnsi" w:hAnsiTheme="minorHAnsi" w:cstheme="minorHAnsi"/>
            <w:noProof/>
          </w:rPr>
          <w:t>Table 7: 2nd Bi-annual Retirements Received 31 March 2020</w:t>
        </w:r>
        <w:r w:rsidR="0011107A" w:rsidRPr="00D91F90">
          <w:rPr>
            <w:rFonts w:asciiTheme="minorHAnsi" w:hAnsiTheme="minorHAnsi" w:cstheme="minorHAnsi"/>
            <w:noProof/>
            <w:webHidden/>
          </w:rPr>
          <w:tab/>
        </w:r>
        <w:r w:rsidR="0011107A" w:rsidRPr="00D91F90">
          <w:rPr>
            <w:rFonts w:asciiTheme="minorHAnsi" w:hAnsiTheme="minorHAnsi" w:cstheme="minorHAnsi"/>
            <w:noProof/>
            <w:webHidden/>
          </w:rPr>
          <w:fldChar w:fldCharType="begin"/>
        </w:r>
        <w:r w:rsidR="0011107A" w:rsidRPr="00D91F90">
          <w:rPr>
            <w:rFonts w:asciiTheme="minorHAnsi" w:hAnsiTheme="minorHAnsi" w:cstheme="minorHAnsi"/>
            <w:noProof/>
            <w:webHidden/>
          </w:rPr>
          <w:instrText xml:space="preserve"> PAGEREF _Toc48750604 \h </w:instrText>
        </w:r>
        <w:r w:rsidR="0011107A" w:rsidRPr="00D91F90">
          <w:rPr>
            <w:rFonts w:asciiTheme="minorHAnsi" w:hAnsiTheme="minorHAnsi" w:cstheme="minorHAnsi"/>
            <w:noProof/>
            <w:webHidden/>
          </w:rPr>
        </w:r>
        <w:r w:rsidR="0011107A" w:rsidRPr="00D91F90">
          <w:rPr>
            <w:rFonts w:asciiTheme="minorHAnsi" w:hAnsiTheme="minorHAnsi" w:cstheme="minorHAnsi"/>
            <w:noProof/>
            <w:webHidden/>
          </w:rPr>
          <w:fldChar w:fldCharType="separate"/>
        </w:r>
        <w:r w:rsidR="00881D70">
          <w:rPr>
            <w:rFonts w:asciiTheme="minorHAnsi" w:hAnsiTheme="minorHAnsi" w:cstheme="minorHAnsi"/>
            <w:noProof/>
            <w:webHidden/>
          </w:rPr>
          <w:t>15</w:t>
        </w:r>
        <w:r w:rsidR="0011107A" w:rsidRPr="00D91F90">
          <w:rPr>
            <w:rFonts w:asciiTheme="minorHAnsi" w:hAnsiTheme="minorHAnsi" w:cstheme="minorHAnsi"/>
            <w:noProof/>
            <w:webHidden/>
          </w:rPr>
          <w:fldChar w:fldCharType="end"/>
        </w:r>
      </w:hyperlink>
    </w:p>
    <w:p w14:paraId="701B0CC9" w14:textId="40DFA6FA" w:rsidR="0011107A" w:rsidRPr="00D91F90" w:rsidRDefault="00DF5EE1">
      <w:pPr>
        <w:pStyle w:val="TableofFigures"/>
        <w:tabs>
          <w:tab w:val="right" w:leader="dot" w:pos="9016"/>
        </w:tabs>
        <w:rPr>
          <w:rFonts w:asciiTheme="minorHAnsi" w:eastAsiaTheme="minorEastAsia" w:hAnsiTheme="minorHAnsi" w:cstheme="minorHAnsi"/>
          <w:noProof/>
          <w:lang w:val="en-GB" w:eastAsia="en-GB"/>
        </w:rPr>
      </w:pPr>
      <w:hyperlink w:anchor="_Toc48750605" w:history="1">
        <w:r w:rsidR="0011107A" w:rsidRPr="00D91F90">
          <w:rPr>
            <w:rStyle w:val="Hyperlink"/>
            <w:rFonts w:asciiTheme="minorHAnsi" w:hAnsiTheme="minorHAnsi" w:cstheme="minorHAnsi"/>
            <w:noProof/>
          </w:rPr>
          <w:t>Table 8: School Grants Disbursements Rate 2019-2020</w:t>
        </w:r>
        <w:r w:rsidR="0011107A" w:rsidRPr="00D91F90">
          <w:rPr>
            <w:rFonts w:asciiTheme="minorHAnsi" w:hAnsiTheme="minorHAnsi" w:cstheme="minorHAnsi"/>
            <w:noProof/>
            <w:webHidden/>
          </w:rPr>
          <w:tab/>
        </w:r>
        <w:r w:rsidR="0011107A" w:rsidRPr="00D91F90">
          <w:rPr>
            <w:rFonts w:asciiTheme="minorHAnsi" w:hAnsiTheme="minorHAnsi" w:cstheme="minorHAnsi"/>
            <w:noProof/>
            <w:webHidden/>
          </w:rPr>
          <w:fldChar w:fldCharType="begin"/>
        </w:r>
        <w:r w:rsidR="0011107A" w:rsidRPr="00D91F90">
          <w:rPr>
            <w:rFonts w:asciiTheme="minorHAnsi" w:hAnsiTheme="minorHAnsi" w:cstheme="minorHAnsi"/>
            <w:noProof/>
            <w:webHidden/>
          </w:rPr>
          <w:instrText xml:space="preserve"> PAGEREF _Toc48750605 \h </w:instrText>
        </w:r>
        <w:r w:rsidR="0011107A" w:rsidRPr="00D91F90">
          <w:rPr>
            <w:rFonts w:asciiTheme="minorHAnsi" w:hAnsiTheme="minorHAnsi" w:cstheme="minorHAnsi"/>
            <w:noProof/>
            <w:webHidden/>
          </w:rPr>
        </w:r>
        <w:r w:rsidR="0011107A" w:rsidRPr="00D91F90">
          <w:rPr>
            <w:rFonts w:asciiTheme="minorHAnsi" w:hAnsiTheme="minorHAnsi" w:cstheme="minorHAnsi"/>
            <w:noProof/>
            <w:webHidden/>
          </w:rPr>
          <w:fldChar w:fldCharType="separate"/>
        </w:r>
        <w:r w:rsidR="00881D70">
          <w:rPr>
            <w:rFonts w:asciiTheme="minorHAnsi" w:hAnsiTheme="minorHAnsi" w:cstheme="minorHAnsi"/>
            <w:noProof/>
            <w:webHidden/>
          </w:rPr>
          <w:t>16</w:t>
        </w:r>
        <w:r w:rsidR="0011107A" w:rsidRPr="00D91F90">
          <w:rPr>
            <w:rFonts w:asciiTheme="minorHAnsi" w:hAnsiTheme="minorHAnsi" w:cstheme="minorHAnsi"/>
            <w:noProof/>
            <w:webHidden/>
          </w:rPr>
          <w:fldChar w:fldCharType="end"/>
        </w:r>
      </w:hyperlink>
    </w:p>
    <w:p w14:paraId="58C65F1F" w14:textId="2AA975FE" w:rsidR="0011107A" w:rsidRPr="00D91F90" w:rsidRDefault="00DF5EE1">
      <w:pPr>
        <w:pStyle w:val="TableofFigures"/>
        <w:tabs>
          <w:tab w:val="right" w:leader="dot" w:pos="9016"/>
        </w:tabs>
        <w:rPr>
          <w:rFonts w:asciiTheme="minorHAnsi" w:eastAsiaTheme="minorEastAsia" w:hAnsiTheme="minorHAnsi" w:cstheme="minorHAnsi"/>
          <w:noProof/>
          <w:lang w:val="en-GB" w:eastAsia="en-GB"/>
        </w:rPr>
      </w:pPr>
      <w:hyperlink w:anchor="_Toc48750606" w:history="1">
        <w:r w:rsidR="0011107A" w:rsidRPr="00D91F90">
          <w:rPr>
            <w:rStyle w:val="Hyperlink"/>
            <w:rFonts w:asciiTheme="minorHAnsi" w:hAnsiTheme="minorHAnsi" w:cstheme="minorHAnsi"/>
            <w:noProof/>
          </w:rPr>
          <w:t>Table 9: School Grants per Student Unit Cost-Primary (2017-2019)</w:t>
        </w:r>
        <w:r w:rsidR="0011107A" w:rsidRPr="00D91F90">
          <w:rPr>
            <w:rFonts w:asciiTheme="minorHAnsi" w:hAnsiTheme="minorHAnsi" w:cstheme="minorHAnsi"/>
            <w:noProof/>
            <w:webHidden/>
          </w:rPr>
          <w:tab/>
        </w:r>
        <w:r w:rsidR="0011107A" w:rsidRPr="00D91F90">
          <w:rPr>
            <w:rFonts w:asciiTheme="minorHAnsi" w:hAnsiTheme="minorHAnsi" w:cstheme="minorHAnsi"/>
            <w:noProof/>
            <w:webHidden/>
          </w:rPr>
          <w:fldChar w:fldCharType="begin"/>
        </w:r>
        <w:r w:rsidR="0011107A" w:rsidRPr="00D91F90">
          <w:rPr>
            <w:rFonts w:asciiTheme="minorHAnsi" w:hAnsiTheme="minorHAnsi" w:cstheme="minorHAnsi"/>
            <w:noProof/>
            <w:webHidden/>
          </w:rPr>
          <w:instrText xml:space="preserve"> PAGEREF _Toc48750606 \h </w:instrText>
        </w:r>
        <w:r w:rsidR="0011107A" w:rsidRPr="00D91F90">
          <w:rPr>
            <w:rFonts w:asciiTheme="minorHAnsi" w:hAnsiTheme="minorHAnsi" w:cstheme="minorHAnsi"/>
            <w:noProof/>
            <w:webHidden/>
          </w:rPr>
        </w:r>
        <w:r w:rsidR="0011107A" w:rsidRPr="00D91F90">
          <w:rPr>
            <w:rFonts w:asciiTheme="minorHAnsi" w:hAnsiTheme="minorHAnsi" w:cstheme="minorHAnsi"/>
            <w:noProof/>
            <w:webHidden/>
          </w:rPr>
          <w:fldChar w:fldCharType="separate"/>
        </w:r>
        <w:r w:rsidR="00881D70">
          <w:rPr>
            <w:rFonts w:asciiTheme="minorHAnsi" w:hAnsiTheme="minorHAnsi" w:cstheme="minorHAnsi"/>
            <w:noProof/>
            <w:webHidden/>
          </w:rPr>
          <w:t>17</w:t>
        </w:r>
        <w:r w:rsidR="0011107A" w:rsidRPr="00D91F90">
          <w:rPr>
            <w:rFonts w:asciiTheme="minorHAnsi" w:hAnsiTheme="minorHAnsi" w:cstheme="minorHAnsi"/>
            <w:noProof/>
            <w:webHidden/>
          </w:rPr>
          <w:fldChar w:fldCharType="end"/>
        </w:r>
      </w:hyperlink>
    </w:p>
    <w:p w14:paraId="4D3C1BE0" w14:textId="0AB201B5" w:rsidR="0011107A" w:rsidRPr="00D91F90" w:rsidRDefault="00DF5EE1">
      <w:pPr>
        <w:pStyle w:val="TableofFigures"/>
        <w:tabs>
          <w:tab w:val="right" w:leader="dot" w:pos="9016"/>
        </w:tabs>
        <w:rPr>
          <w:rFonts w:asciiTheme="minorHAnsi" w:eastAsiaTheme="minorEastAsia" w:hAnsiTheme="minorHAnsi" w:cstheme="minorHAnsi"/>
          <w:noProof/>
          <w:lang w:val="en-GB" w:eastAsia="en-GB"/>
        </w:rPr>
      </w:pPr>
      <w:hyperlink w:anchor="_Toc48750607" w:history="1">
        <w:r w:rsidR="0011107A" w:rsidRPr="00D91F90">
          <w:rPr>
            <w:rStyle w:val="Hyperlink"/>
            <w:rFonts w:asciiTheme="minorHAnsi" w:hAnsiTheme="minorHAnsi" w:cstheme="minorHAnsi"/>
            <w:noProof/>
          </w:rPr>
          <w:t>Table 10: School Grants per Student Cost-Secondary (2017-2019)</w:t>
        </w:r>
        <w:r w:rsidR="0011107A" w:rsidRPr="00D91F90">
          <w:rPr>
            <w:rFonts w:asciiTheme="minorHAnsi" w:hAnsiTheme="minorHAnsi" w:cstheme="minorHAnsi"/>
            <w:noProof/>
            <w:webHidden/>
          </w:rPr>
          <w:tab/>
        </w:r>
        <w:r w:rsidR="0011107A" w:rsidRPr="00D91F90">
          <w:rPr>
            <w:rFonts w:asciiTheme="minorHAnsi" w:hAnsiTheme="minorHAnsi" w:cstheme="minorHAnsi"/>
            <w:noProof/>
            <w:webHidden/>
          </w:rPr>
          <w:fldChar w:fldCharType="begin"/>
        </w:r>
        <w:r w:rsidR="0011107A" w:rsidRPr="00D91F90">
          <w:rPr>
            <w:rFonts w:asciiTheme="minorHAnsi" w:hAnsiTheme="minorHAnsi" w:cstheme="minorHAnsi"/>
            <w:noProof/>
            <w:webHidden/>
          </w:rPr>
          <w:instrText xml:space="preserve"> PAGEREF _Toc48750607 \h </w:instrText>
        </w:r>
        <w:r w:rsidR="0011107A" w:rsidRPr="00D91F90">
          <w:rPr>
            <w:rFonts w:asciiTheme="minorHAnsi" w:hAnsiTheme="minorHAnsi" w:cstheme="minorHAnsi"/>
            <w:noProof/>
            <w:webHidden/>
          </w:rPr>
        </w:r>
        <w:r w:rsidR="0011107A" w:rsidRPr="00D91F90">
          <w:rPr>
            <w:rFonts w:asciiTheme="minorHAnsi" w:hAnsiTheme="minorHAnsi" w:cstheme="minorHAnsi"/>
            <w:noProof/>
            <w:webHidden/>
          </w:rPr>
          <w:fldChar w:fldCharType="separate"/>
        </w:r>
        <w:r w:rsidR="00881D70">
          <w:rPr>
            <w:rFonts w:asciiTheme="minorHAnsi" w:hAnsiTheme="minorHAnsi" w:cstheme="minorHAnsi"/>
            <w:noProof/>
            <w:webHidden/>
          </w:rPr>
          <w:t>17</w:t>
        </w:r>
        <w:r w:rsidR="0011107A" w:rsidRPr="00D91F90">
          <w:rPr>
            <w:rFonts w:asciiTheme="minorHAnsi" w:hAnsiTheme="minorHAnsi" w:cstheme="minorHAnsi"/>
            <w:noProof/>
            <w:webHidden/>
          </w:rPr>
          <w:fldChar w:fldCharType="end"/>
        </w:r>
      </w:hyperlink>
    </w:p>
    <w:p w14:paraId="160644A2" w14:textId="7844C959" w:rsidR="0011107A" w:rsidRPr="00D91F90" w:rsidRDefault="00DF5EE1">
      <w:pPr>
        <w:pStyle w:val="TableofFigures"/>
        <w:tabs>
          <w:tab w:val="right" w:leader="dot" w:pos="9016"/>
        </w:tabs>
        <w:rPr>
          <w:rFonts w:asciiTheme="minorHAnsi" w:eastAsiaTheme="minorEastAsia" w:hAnsiTheme="minorHAnsi" w:cstheme="minorHAnsi"/>
          <w:noProof/>
          <w:lang w:val="en-GB" w:eastAsia="en-GB"/>
        </w:rPr>
      </w:pPr>
      <w:hyperlink w:anchor="_Toc48750608" w:history="1">
        <w:r w:rsidR="0011107A" w:rsidRPr="00D91F90">
          <w:rPr>
            <w:rStyle w:val="Hyperlink"/>
            <w:rFonts w:asciiTheme="minorHAnsi" w:hAnsiTheme="minorHAnsi" w:cstheme="minorHAnsi"/>
            <w:noProof/>
          </w:rPr>
          <w:t>Table 11: SIG Expenditure of Education by Sector and Per Student Unit Cost 2019</w:t>
        </w:r>
        <w:r w:rsidR="0011107A" w:rsidRPr="00D91F90">
          <w:rPr>
            <w:rFonts w:asciiTheme="minorHAnsi" w:hAnsiTheme="minorHAnsi" w:cstheme="minorHAnsi"/>
            <w:noProof/>
            <w:webHidden/>
          </w:rPr>
          <w:tab/>
        </w:r>
        <w:r w:rsidR="0011107A" w:rsidRPr="00D91F90">
          <w:rPr>
            <w:rFonts w:asciiTheme="minorHAnsi" w:hAnsiTheme="minorHAnsi" w:cstheme="minorHAnsi"/>
            <w:noProof/>
            <w:webHidden/>
          </w:rPr>
          <w:fldChar w:fldCharType="begin"/>
        </w:r>
        <w:r w:rsidR="0011107A" w:rsidRPr="00D91F90">
          <w:rPr>
            <w:rFonts w:asciiTheme="minorHAnsi" w:hAnsiTheme="minorHAnsi" w:cstheme="minorHAnsi"/>
            <w:noProof/>
            <w:webHidden/>
          </w:rPr>
          <w:instrText xml:space="preserve"> PAGEREF _Toc48750608 \h </w:instrText>
        </w:r>
        <w:r w:rsidR="0011107A" w:rsidRPr="00D91F90">
          <w:rPr>
            <w:rFonts w:asciiTheme="minorHAnsi" w:hAnsiTheme="minorHAnsi" w:cstheme="minorHAnsi"/>
            <w:noProof/>
            <w:webHidden/>
          </w:rPr>
        </w:r>
        <w:r w:rsidR="0011107A" w:rsidRPr="00D91F90">
          <w:rPr>
            <w:rFonts w:asciiTheme="minorHAnsi" w:hAnsiTheme="minorHAnsi" w:cstheme="minorHAnsi"/>
            <w:noProof/>
            <w:webHidden/>
          </w:rPr>
          <w:fldChar w:fldCharType="separate"/>
        </w:r>
        <w:r w:rsidR="00881D70">
          <w:rPr>
            <w:rFonts w:asciiTheme="minorHAnsi" w:hAnsiTheme="minorHAnsi" w:cstheme="minorHAnsi"/>
            <w:noProof/>
            <w:webHidden/>
          </w:rPr>
          <w:t>18</w:t>
        </w:r>
        <w:r w:rsidR="0011107A" w:rsidRPr="00D91F90">
          <w:rPr>
            <w:rFonts w:asciiTheme="minorHAnsi" w:hAnsiTheme="minorHAnsi" w:cstheme="minorHAnsi"/>
            <w:noProof/>
            <w:webHidden/>
          </w:rPr>
          <w:fldChar w:fldCharType="end"/>
        </w:r>
      </w:hyperlink>
    </w:p>
    <w:p w14:paraId="0983AFAE" w14:textId="143090EF" w:rsidR="0011107A" w:rsidRPr="00D91F90" w:rsidRDefault="00DF5EE1">
      <w:pPr>
        <w:pStyle w:val="TableofFigures"/>
        <w:tabs>
          <w:tab w:val="right" w:leader="dot" w:pos="9016"/>
        </w:tabs>
        <w:rPr>
          <w:rFonts w:asciiTheme="minorHAnsi" w:eastAsiaTheme="minorEastAsia" w:hAnsiTheme="minorHAnsi" w:cstheme="minorHAnsi"/>
          <w:noProof/>
          <w:lang w:val="en-GB" w:eastAsia="en-GB"/>
        </w:rPr>
      </w:pPr>
      <w:hyperlink w:anchor="_Toc48750609" w:history="1">
        <w:r w:rsidR="0011107A" w:rsidRPr="00D91F90">
          <w:rPr>
            <w:rStyle w:val="Hyperlink"/>
            <w:rFonts w:asciiTheme="minorHAnsi" w:hAnsiTheme="minorHAnsi" w:cstheme="minorHAnsi"/>
            <w:noProof/>
          </w:rPr>
          <w:t>Table 12: 2020 SIG Scholarships by Category</w:t>
        </w:r>
        <w:r w:rsidR="0011107A" w:rsidRPr="00D91F90">
          <w:rPr>
            <w:rFonts w:asciiTheme="minorHAnsi" w:hAnsiTheme="minorHAnsi" w:cstheme="minorHAnsi"/>
            <w:noProof/>
            <w:webHidden/>
          </w:rPr>
          <w:tab/>
        </w:r>
        <w:r w:rsidR="0011107A" w:rsidRPr="00D91F90">
          <w:rPr>
            <w:rFonts w:asciiTheme="minorHAnsi" w:hAnsiTheme="minorHAnsi" w:cstheme="minorHAnsi"/>
            <w:noProof/>
            <w:webHidden/>
          </w:rPr>
          <w:fldChar w:fldCharType="begin"/>
        </w:r>
        <w:r w:rsidR="0011107A" w:rsidRPr="00D91F90">
          <w:rPr>
            <w:rFonts w:asciiTheme="minorHAnsi" w:hAnsiTheme="minorHAnsi" w:cstheme="minorHAnsi"/>
            <w:noProof/>
            <w:webHidden/>
          </w:rPr>
          <w:instrText xml:space="preserve"> PAGEREF _Toc48750609 \h </w:instrText>
        </w:r>
        <w:r w:rsidR="0011107A" w:rsidRPr="00D91F90">
          <w:rPr>
            <w:rFonts w:asciiTheme="minorHAnsi" w:hAnsiTheme="minorHAnsi" w:cstheme="minorHAnsi"/>
            <w:noProof/>
            <w:webHidden/>
          </w:rPr>
        </w:r>
        <w:r w:rsidR="0011107A" w:rsidRPr="00D91F90">
          <w:rPr>
            <w:rFonts w:asciiTheme="minorHAnsi" w:hAnsiTheme="minorHAnsi" w:cstheme="minorHAnsi"/>
            <w:noProof/>
            <w:webHidden/>
          </w:rPr>
          <w:fldChar w:fldCharType="separate"/>
        </w:r>
        <w:r w:rsidR="00881D70">
          <w:rPr>
            <w:rFonts w:asciiTheme="minorHAnsi" w:hAnsiTheme="minorHAnsi" w:cstheme="minorHAnsi"/>
            <w:noProof/>
            <w:webHidden/>
          </w:rPr>
          <w:t>19</w:t>
        </w:r>
        <w:r w:rsidR="0011107A" w:rsidRPr="00D91F90">
          <w:rPr>
            <w:rFonts w:asciiTheme="minorHAnsi" w:hAnsiTheme="minorHAnsi" w:cstheme="minorHAnsi"/>
            <w:noProof/>
            <w:webHidden/>
          </w:rPr>
          <w:fldChar w:fldCharType="end"/>
        </w:r>
      </w:hyperlink>
    </w:p>
    <w:p w14:paraId="1BF75BDD" w14:textId="3001F79C" w:rsidR="0011107A" w:rsidRPr="00D91F90" w:rsidRDefault="00DF5EE1">
      <w:pPr>
        <w:pStyle w:val="TableofFigures"/>
        <w:tabs>
          <w:tab w:val="right" w:leader="dot" w:pos="9016"/>
        </w:tabs>
        <w:rPr>
          <w:rFonts w:asciiTheme="minorHAnsi" w:eastAsiaTheme="minorEastAsia" w:hAnsiTheme="minorHAnsi" w:cstheme="minorHAnsi"/>
          <w:noProof/>
          <w:lang w:val="en-GB" w:eastAsia="en-GB"/>
        </w:rPr>
      </w:pPr>
      <w:hyperlink w:anchor="_Toc48750610" w:history="1">
        <w:r w:rsidR="0011107A" w:rsidRPr="00D91F90">
          <w:rPr>
            <w:rStyle w:val="Hyperlink"/>
            <w:rFonts w:asciiTheme="minorHAnsi" w:hAnsiTheme="minorHAnsi" w:cstheme="minorHAnsi"/>
            <w:noProof/>
          </w:rPr>
          <w:t>Table 13: Scholarships by Level of Study 2020</w:t>
        </w:r>
        <w:r w:rsidR="0011107A" w:rsidRPr="00D91F90">
          <w:rPr>
            <w:rFonts w:asciiTheme="minorHAnsi" w:hAnsiTheme="minorHAnsi" w:cstheme="minorHAnsi"/>
            <w:noProof/>
            <w:webHidden/>
          </w:rPr>
          <w:tab/>
        </w:r>
        <w:r w:rsidR="0011107A" w:rsidRPr="00D91F90">
          <w:rPr>
            <w:rFonts w:asciiTheme="minorHAnsi" w:hAnsiTheme="minorHAnsi" w:cstheme="minorHAnsi"/>
            <w:noProof/>
            <w:webHidden/>
          </w:rPr>
          <w:fldChar w:fldCharType="begin"/>
        </w:r>
        <w:r w:rsidR="0011107A" w:rsidRPr="00D91F90">
          <w:rPr>
            <w:rFonts w:asciiTheme="minorHAnsi" w:hAnsiTheme="minorHAnsi" w:cstheme="minorHAnsi"/>
            <w:noProof/>
            <w:webHidden/>
          </w:rPr>
          <w:instrText xml:space="preserve"> PAGEREF _Toc48750610 \h </w:instrText>
        </w:r>
        <w:r w:rsidR="0011107A" w:rsidRPr="00D91F90">
          <w:rPr>
            <w:rFonts w:asciiTheme="minorHAnsi" w:hAnsiTheme="minorHAnsi" w:cstheme="minorHAnsi"/>
            <w:noProof/>
            <w:webHidden/>
          </w:rPr>
        </w:r>
        <w:r w:rsidR="0011107A" w:rsidRPr="00D91F90">
          <w:rPr>
            <w:rFonts w:asciiTheme="minorHAnsi" w:hAnsiTheme="minorHAnsi" w:cstheme="minorHAnsi"/>
            <w:noProof/>
            <w:webHidden/>
          </w:rPr>
          <w:fldChar w:fldCharType="separate"/>
        </w:r>
        <w:r w:rsidR="00881D70">
          <w:rPr>
            <w:rFonts w:asciiTheme="minorHAnsi" w:hAnsiTheme="minorHAnsi" w:cstheme="minorHAnsi"/>
            <w:noProof/>
            <w:webHidden/>
          </w:rPr>
          <w:t>19</w:t>
        </w:r>
        <w:r w:rsidR="0011107A" w:rsidRPr="00D91F90">
          <w:rPr>
            <w:rFonts w:asciiTheme="minorHAnsi" w:hAnsiTheme="minorHAnsi" w:cstheme="minorHAnsi"/>
            <w:noProof/>
            <w:webHidden/>
          </w:rPr>
          <w:fldChar w:fldCharType="end"/>
        </w:r>
      </w:hyperlink>
    </w:p>
    <w:p w14:paraId="7B8BE2DB" w14:textId="68A1ED04" w:rsidR="0011107A" w:rsidRPr="00D91F90" w:rsidRDefault="00DF5EE1">
      <w:pPr>
        <w:pStyle w:val="TableofFigures"/>
        <w:tabs>
          <w:tab w:val="right" w:leader="dot" w:pos="9016"/>
        </w:tabs>
        <w:rPr>
          <w:rFonts w:asciiTheme="minorHAnsi" w:eastAsiaTheme="minorEastAsia" w:hAnsiTheme="minorHAnsi" w:cstheme="minorHAnsi"/>
          <w:noProof/>
          <w:lang w:val="en-GB" w:eastAsia="en-GB"/>
        </w:rPr>
      </w:pPr>
      <w:hyperlink w:anchor="_Toc48750611" w:history="1">
        <w:r w:rsidR="0011107A" w:rsidRPr="00D91F90">
          <w:rPr>
            <w:rStyle w:val="Hyperlink"/>
            <w:rFonts w:asciiTheme="minorHAnsi" w:hAnsiTheme="minorHAnsi" w:cstheme="minorHAnsi"/>
            <w:noProof/>
          </w:rPr>
          <w:t>Table 14: Scholarships by Expected Employment 2020</w:t>
        </w:r>
        <w:r w:rsidR="0011107A" w:rsidRPr="00D91F90">
          <w:rPr>
            <w:rFonts w:asciiTheme="minorHAnsi" w:hAnsiTheme="minorHAnsi" w:cstheme="minorHAnsi"/>
            <w:noProof/>
            <w:webHidden/>
          </w:rPr>
          <w:tab/>
        </w:r>
        <w:r w:rsidR="0011107A" w:rsidRPr="00D91F90">
          <w:rPr>
            <w:rFonts w:asciiTheme="minorHAnsi" w:hAnsiTheme="minorHAnsi" w:cstheme="minorHAnsi"/>
            <w:noProof/>
            <w:webHidden/>
          </w:rPr>
          <w:fldChar w:fldCharType="begin"/>
        </w:r>
        <w:r w:rsidR="0011107A" w:rsidRPr="00D91F90">
          <w:rPr>
            <w:rFonts w:asciiTheme="minorHAnsi" w:hAnsiTheme="minorHAnsi" w:cstheme="minorHAnsi"/>
            <w:noProof/>
            <w:webHidden/>
          </w:rPr>
          <w:instrText xml:space="preserve"> PAGEREF _Toc48750611 \h </w:instrText>
        </w:r>
        <w:r w:rsidR="0011107A" w:rsidRPr="00D91F90">
          <w:rPr>
            <w:rFonts w:asciiTheme="minorHAnsi" w:hAnsiTheme="minorHAnsi" w:cstheme="minorHAnsi"/>
            <w:noProof/>
            <w:webHidden/>
          </w:rPr>
        </w:r>
        <w:r w:rsidR="0011107A" w:rsidRPr="00D91F90">
          <w:rPr>
            <w:rFonts w:asciiTheme="minorHAnsi" w:hAnsiTheme="minorHAnsi" w:cstheme="minorHAnsi"/>
            <w:noProof/>
            <w:webHidden/>
          </w:rPr>
          <w:fldChar w:fldCharType="separate"/>
        </w:r>
        <w:r w:rsidR="00881D70">
          <w:rPr>
            <w:rFonts w:asciiTheme="minorHAnsi" w:hAnsiTheme="minorHAnsi" w:cstheme="minorHAnsi"/>
            <w:noProof/>
            <w:webHidden/>
          </w:rPr>
          <w:t>19</w:t>
        </w:r>
        <w:r w:rsidR="0011107A" w:rsidRPr="00D91F90">
          <w:rPr>
            <w:rFonts w:asciiTheme="minorHAnsi" w:hAnsiTheme="minorHAnsi" w:cstheme="minorHAnsi"/>
            <w:noProof/>
            <w:webHidden/>
          </w:rPr>
          <w:fldChar w:fldCharType="end"/>
        </w:r>
      </w:hyperlink>
    </w:p>
    <w:p w14:paraId="6DA1AA1F" w14:textId="408AE6E4" w:rsidR="00E957E3" w:rsidRDefault="00E957E3">
      <w:pPr>
        <w:spacing w:after="160" w:line="259" w:lineRule="auto"/>
        <w:rPr>
          <w:rFonts w:cstheme="minorHAnsi"/>
          <w:b/>
        </w:rPr>
      </w:pPr>
      <w:r w:rsidRPr="0011107A">
        <w:rPr>
          <w:rFonts w:asciiTheme="minorHAnsi" w:hAnsiTheme="minorHAnsi" w:cstheme="minorHAnsi"/>
          <w:b/>
        </w:rPr>
        <w:fldChar w:fldCharType="end"/>
      </w:r>
    </w:p>
    <w:p w14:paraId="619B0A0F" w14:textId="13DDC016" w:rsidR="00E957E3" w:rsidRDefault="00E957E3">
      <w:pPr>
        <w:spacing w:after="160" w:line="259" w:lineRule="auto"/>
        <w:rPr>
          <w:rFonts w:cstheme="minorHAnsi"/>
          <w:b/>
        </w:rPr>
      </w:pPr>
    </w:p>
    <w:p w14:paraId="3D1ECF47" w14:textId="77777777" w:rsidR="00E957E3" w:rsidRDefault="00E957E3">
      <w:pPr>
        <w:spacing w:after="160" w:line="259" w:lineRule="auto"/>
        <w:rPr>
          <w:rFonts w:cstheme="minorHAnsi"/>
          <w:b/>
        </w:rPr>
      </w:pPr>
    </w:p>
    <w:p w14:paraId="6A0436DA" w14:textId="10C4F5E7" w:rsidR="00E957E3" w:rsidRPr="00413324" w:rsidRDefault="00E957E3" w:rsidP="00413324">
      <w:pPr>
        <w:pStyle w:val="Heading1"/>
        <w:rPr>
          <w:noProof/>
        </w:rPr>
      </w:pPr>
      <w:bookmarkStart w:id="3" w:name="_Toc49858083"/>
      <w:r w:rsidRPr="00413324">
        <w:rPr>
          <w:rFonts w:asciiTheme="majorHAnsi" w:hAnsiTheme="majorHAnsi" w:cstheme="minorHAnsi"/>
          <w:b w:val="0"/>
        </w:rPr>
        <w:t>List of Figures</w:t>
      </w:r>
      <w:bookmarkEnd w:id="3"/>
      <w:r w:rsidRPr="00413324">
        <w:rPr>
          <w:rFonts w:cstheme="minorHAnsi"/>
          <w:b w:val="0"/>
        </w:rPr>
        <w:fldChar w:fldCharType="begin"/>
      </w:r>
      <w:r w:rsidRPr="00413324">
        <w:rPr>
          <w:rFonts w:cstheme="minorHAnsi"/>
          <w:b w:val="0"/>
        </w:rPr>
        <w:instrText xml:space="preserve"> TOC \h \z \c "Figure" </w:instrText>
      </w:r>
      <w:r w:rsidRPr="00413324">
        <w:rPr>
          <w:rFonts w:cstheme="minorHAnsi"/>
          <w:b w:val="0"/>
        </w:rPr>
        <w:fldChar w:fldCharType="separate"/>
      </w:r>
    </w:p>
    <w:p w14:paraId="3EB9371E" w14:textId="7FB3C835" w:rsidR="00E957E3" w:rsidRPr="00413324" w:rsidRDefault="00DF5EE1">
      <w:pPr>
        <w:pStyle w:val="TableofFigures"/>
        <w:tabs>
          <w:tab w:val="right" w:leader="dot" w:pos="9016"/>
        </w:tabs>
        <w:rPr>
          <w:rFonts w:asciiTheme="minorHAnsi" w:eastAsiaTheme="minorEastAsia" w:hAnsiTheme="minorHAnsi" w:cstheme="minorBidi"/>
          <w:noProof/>
          <w:lang w:val="en-GB" w:eastAsia="en-GB"/>
        </w:rPr>
      </w:pPr>
      <w:hyperlink w:anchor="_Toc48740671" w:history="1">
        <w:r w:rsidR="00E957E3" w:rsidRPr="00413324">
          <w:rPr>
            <w:rStyle w:val="Hyperlink"/>
            <w:rFonts w:asciiTheme="minorHAnsi" w:hAnsiTheme="minorHAnsi"/>
            <w:noProof/>
          </w:rPr>
          <w:t>Figure 1: Per student primary and secondary recurrent 2017-2019</w:t>
        </w:r>
        <w:r w:rsidR="00E957E3" w:rsidRPr="00413324">
          <w:rPr>
            <w:rFonts w:asciiTheme="minorHAnsi" w:hAnsiTheme="minorHAnsi"/>
            <w:noProof/>
            <w:webHidden/>
          </w:rPr>
          <w:tab/>
        </w:r>
        <w:r w:rsidR="00E957E3" w:rsidRPr="00413324">
          <w:rPr>
            <w:rFonts w:asciiTheme="minorHAnsi" w:hAnsiTheme="minorHAnsi"/>
            <w:noProof/>
            <w:webHidden/>
          </w:rPr>
          <w:fldChar w:fldCharType="begin"/>
        </w:r>
        <w:r w:rsidR="00E957E3" w:rsidRPr="00413324">
          <w:rPr>
            <w:rFonts w:asciiTheme="minorHAnsi" w:hAnsiTheme="minorHAnsi"/>
            <w:noProof/>
            <w:webHidden/>
          </w:rPr>
          <w:instrText xml:space="preserve"> PAGEREF _Toc48740671 \h </w:instrText>
        </w:r>
        <w:r w:rsidR="00E957E3" w:rsidRPr="00413324">
          <w:rPr>
            <w:rFonts w:asciiTheme="minorHAnsi" w:hAnsiTheme="minorHAnsi"/>
            <w:noProof/>
            <w:webHidden/>
          </w:rPr>
        </w:r>
        <w:r w:rsidR="00E957E3" w:rsidRPr="00413324">
          <w:rPr>
            <w:rFonts w:asciiTheme="minorHAnsi" w:hAnsiTheme="minorHAnsi"/>
            <w:noProof/>
            <w:webHidden/>
          </w:rPr>
          <w:fldChar w:fldCharType="separate"/>
        </w:r>
        <w:r w:rsidR="00881D70">
          <w:rPr>
            <w:rFonts w:asciiTheme="minorHAnsi" w:hAnsiTheme="minorHAnsi"/>
            <w:noProof/>
            <w:webHidden/>
          </w:rPr>
          <w:t>17</w:t>
        </w:r>
        <w:r w:rsidR="00E957E3" w:rsidRPr="00413324">
          <w:rPr>
            <w:rFonts w:asciiTheme="minorHAnsi" w:hAnsiTheme="minorHAnsi"/>
            <w:noProof/>
            <w:webHidden/>
          </w:rPr>
          <w:fldChar w:fldCharType="end"/>
        </w:r>
      </w:hyperlink>
    </w:p>
    <w:p w14:paraId="62843F48" w14:textId="6758CAA2" w:rsidR="00E957E3" w:rsidRPr="00413324" w:rsidRDefault="00DF5EE1">
      <w:pPr>
        <w:pStyle w:val="TableofFigures"/>
        <w:tabs>
          <w:tab w:val="right" w:leader="dot" w:pos="9016"/>
        </w:tabs>
        <w:rPr>
          <w:rFonts w:asciiTheme="minorHAnsi" w:eastAsiaTheme="minorEastAsia" w:hAnsiTheme="minorHAnsi" w:cstheme="minorBidi"/>
          <w:noProof/>
          <w:lang w:val="en-GB" w:eastAsia="en-GB"/>
        </w:rPr>
      </w:pPr>
      <w:hyperlink w:anchor="_Toc48740672" w:history="1">
        <w:r w:rsidR="00E957E3" w:rsidRPr="00413324">
          <w:rPr>
            <w:rStyle w:val="Hyperlink"/>
            <w:rFonts w:asciiTheme="minorHAnsi" w:hAnsiTheme="minorHAnsi"/>
            <w:noProof/>
          </w:rPr>
          <w:t>Figure 2: SIG Scholarships Expenditure 2017-2019</w:t>
        </w:r>
        <w:r w:rsidR="00E957E3" w:rsidRPr="00413324">
          <w:rPr>
            <w:rFonts w:asciiTheme="minorHAnsi" w:hAnsiTheme="minorHAnsi"/>
            <w:noProof/>
            <w:webHidden/>
          </w:rPr>
          <w:tab/>
        </w:r>
        <w:r w:rsidR="00E957E3" w:rsidRPr="00413324">
          <w:rPr>
            <w:rFonts w:asciiTheme="minorHAnsi" w:hAnsiTheme="minorHAnsi"/>
            <w:noProof/>
            <w:webHidden/>
          </w:rPr>
          <w:fldChar w:fldCharType="begin"/>
        </w:r>
        <w:r w:rsidR="00E957E3" w:rsidRPr="00413324">
          <w:rPr>
            <w:rFonts w:asciiTheme="minorHAnsi" w:hAnsiTheme="minorHAnsi"/>
            <w:noProof/>
            <w:webHidden/>
          </w:rPr>
          <w:instrText xml:space="preserve"> PAGEREF _Toc48740672 \h </w:instrText>
        </w:r>
        <w:r w:rsidR="00E957E3" w:rsidRPr="00413324">
          <w:rPr>
            <w:rFonts w:asciiTheme="minorHAnsi" w:hAnsiTheme="minorHAnsi"/>
            <w:noProof/>
            <w:webHidden/>
          </w:rPr>
        </w:r>
        <w:r w:rsidR="00E957E3" w:rsidRPr="00413324">
          <w:rPr>
            <w:rFonts w:asciiTheme="minorHAnsi" w:hAnsiTheme="minorHAnsi"/>
            <w:noProof/>
            <w:webHidden/>
          </w:rPr>
          <w:fldChar w:fldCharType="separate"/>
        </w:r>
        <w:r w:rsidR="00881D70">
          <w:rPr>
            <w:rFonts w:asciiTheme="minorHAnsi" w:hAnsiTheme="minorHAnsi"/>
            <w:noProof/>
            <w:webHidden/>
          </w:rPr>
          <w:t>18</w:t>
        </w:r>
        <w:r w:rsidR="00E957E3" w:rsidRPr="00413324">
          <w:rPr>
            <w:rFonts w:asciiTheme="minorHAnsi" w:hAnsiTheme="minorHAnsi"/>
            <w:noProof/>
            <w:webHidden/>
          </w:rPr>
          <w:fldChar w:fldCharType="end"/>
        </w:r>
      </w:hyperlink>
    </w:p>
    <w:p w14:paraId="067C8EA4" w14:textId="015609FC" w:rsidR="00E957E3" w:rsidRPr="00413324" w:rsidRDefault="00DF5EE1">
      <w:pPr>
        <w:pStyle w:val="TableofFigures"/>
        <w:tabs>
          <w:tab w:val="right" w:leader="dot" w:pos="9016"/>
        </w:tabs>
        <w:rPr>
          <w:rFonts w:asciiTheme="minorHAnsi" w:eastAsiaTheme="minorEastAsia" w:hAnsiTheme="minorHAnsi" w:cstheme="minorBidi"/>
          <w:noProof/>
          <w:lang w:val="en-GB" w:eastAsia="en-GB"/>
        </w:rPr>
      </w:pPr>
      <w:hyperlink w:anchor="_Toc48740673" w:history="1">
        <w:r w:rsidR="00E957E3" w:rsidRPr="00413324">
          <w:rPr>
            <w:rStyle w:val="Hyperlink"/>
            <w:rFonts w:asciiTheme="minorHAnsi" w:hAnsiTheme="minorHAnsi"/>
            <w:noProof/>
          </w:rPr>
          <w:t>Figure 3: SIG Scholarships Awarded 2016-2020</w:t>
        </w:r>
        <w:r w:rsidR="00E957E3" w:rsidRPr="00413324">
          <w:rPr>
            <w:rFonts w:asciiTheme="minorHAnsi" w:hAnsiTheme="minorHAnsi"/>
            <w:noProof/>
            <w:webHidden/>
          </w:rPr>
          <w:tab/>
        </w:r>
        <w:r w:rsidR="00E957E3" w:rsidRPr="00413324">
          <w:rPr>
            <w:rFonts w:asciiTheme="minorHAnsi" w:hAnsiTheme="minorHAnsi"/>
            <w:noProof/>
            <w:webHidden/>
          </w:rPr>
          <w:fldChar w:fldCharType="begin"/>
        </w:r>
        <w:r w:rsidR="00E957E3" w:rsidRPr="00413324">
          <w:rPr>
            <w:rFonts w:asciiTheme="minorHAnsi" w:hAnsiTheme="minorHAnsi"/>
            <w:noProof/>
            <w:webHidden/>
          </w:rPr>
          <w:instrText xml:space="preserve"> PAGEREF _Toc48740673 \h </w:instrText>
        </w:r>
        <w:r w:rsidR="00E957E3" w:rsidRPr="00413324">
          <w:rPr>
            <w:rFonts w:asciiTheme="minorHAnsi" w:hAnsiTheme="minorHAnsi"/>
            <w:noProof/>
            <w:webHidden/>
          </w:rPr>
        </w:r>
        <w:r w:rsidR="00E957E3" w:rsidRPr="00413324">
          <w:rPr>
            <w:rFonts w:asciiTheme="minorHAnsi" w:hAnsiTheme="minorHAnsi"/>
            <w:noProof/>
            <w:webHidden/>
          </w:rPr>
          <w:fldChar w:fldCharType="separate"/>
        </w:r>
        <w:r w:rsidR="00881D70">
          <w:rPr>
            <w:rFonts w:asciiTheme="minorHAnsi" w:hAnsiTheme="minorHAnsi"/>
            <w:noProof/>
            <w:webHidden/>
          </w:rPr>
          <w:t>19</w:t>
        </w:r>
        <w:r w:rsidR="00E957E3" w:rsidRPr="00413324">
          <w:rPr>
            <w:rFonts w:asciiTheme="minorHAnsi" w:hAnsiTheme="minorHAnsi"/>
            <w:noProof/>
            <w:webHidden/>
          </w:rPr>
          <w:fldChar w:fldCharType="end"/>
        </w:r>
      </w:hyperlink>
    </w:p>
    <w:p w14:paraId="7378E91D" w14:textId="434BF9A2" w:rsidR="00E957E3" w:rsidRPr="00413324" w:rsidRDefault="00DF5EE1">
      <w:pPr>
        <w:pStyle w:val="TableofFigures"/>
        <w:tabs>
          <w:tab w:val="right" w:leader="dot" w:pos="9016"/>
        </w:tabs>
        <w:rPr>
          <w:rFonts w:asciiTheme="minorHAnsi" w:eastAsiaTheme="minorEastAsia" w:hAnsiTheme="minorHAnsi" w:cstheme="minorBidi"/>
          <w:noProof/>
          <w:lang w:val="en-GB" w:eastAsia="en-GB"/>
        </w:rPr>
      </w:pPr>
      <w:hyperlink w:anchor="_Toc48740674" w:history="1">
        <w:r w:rsidR="00E957E3" w:rsidRPr="00413324">
          <w:rPr>
            <w:rStyle w:val="Hyperlink"/>
            <w:rFonts w:asciiTheme="minorHAnsi" w:hAnsiTheme="minorHAnsi"/>
            <w:noProof/>
          </w:rPr>
          <w:t>Figure 4: Comparison of Performance Indicators by Year</w:t>
        </w:r>
        <w:r w:rsidR="00E957E3" w:rsidRPr="00413324">
          <w:rPr>
            <w:rFonts w:asciiTheme="minorHAnsi" w:hAnsiTheme="minorHAnsi"/>
            <w:noProof/>
            <w:webHidden/>
          </w:rPr>
          <w:tab/>
        </w:r>
        <w:r w:rsidR="00E957E3" w:rsidRPr="00413324">
          <w:rPr>
            <w:rFonts w:asciiTheme="minorHAnsi" w:hAnsiTheme="minorHAnsi"/>
            <w:noProof/>
            <w:webHidden/>
          </w:rPr>
          <w:fldChar w:fldCharType="begin"/>
        </w:r>
        <w:r w:rsidR="00E957E3" w:rsidRPr="00413324">
          <w:rPr>
            <w:rFonts w:asciiTheme="minorHAnsi" w:hAnsiTheme="minorHAnsi"/>
            <w:noProof/>
            <w:webHidden/>
          </w:rPr>
          <w:instrText xml:space="preserve"> PAGEREF _Toc48740674 \h </w:instrText>
        </w:r>
        <w:r w:rsidR="00E957E3" w:rsidRPr="00413324">
          <w:rPr>
            <w:rFonts w:asciiTheme="minorHAnsi" w:hAnsiTheme="minorHAnsi"/>
            <w:noProof/>
            <w:webHidden/>
          </w:rPr>
        </w:r>
        <w:r w:rsidR="00E957E3" w:rsidRPr="00413324">
          <w:rPr>
            <w:rFonts w:asciiTheme="minorHAnsi" w:hAnsiTheme="minorHAnsi"/>
            <w:noProof/>
            <w:webHidden/>
          </w:rPr>
          <w:fldChar w:fldCharType="separate"/>
        </w:r>
        <w:r w:rsidR="00881D70">
          <w:rPr>
            <w:rFonts w:asciiTheme="minorHAnsi" w:hAnsiTheme="minorHAnsi"/>
            <w:noProof/>
            <w:webHidden/>
          </w:rPr>
          <w:t>21</w:t>
        </w:r>
        <w:r w:rsidR="00E957E3" w:rsidRPr="00413324">
          <w:rPr>
            <w:rFonts w:asciiTheme="minorHAnsi" w:hAnsiTheme="minorHAnsi"/>
            <w:noProof/>
            <w:webHidden/>
          </w:rPr>
          <w:fldChar w:fldCharType="end"/>
        </w:r>
      </w:hyperlink>
    </w:p>
    <w:p w14:paraId="49D10AE5" w14:textId="57260AC6" w:rsidR="00E957E3" w:rsidRPr="00B62321" w:rsidRDefault="00E957E3">
      <w:pPr>
        <w:spacing w:after="160" w:line="259" w:lineRule="auto"/>
        <w:rPr>
          <w:rFonts w:cstheme="minorHAnsi"/>
          <w:b/>
        </w:rPr>
      </w:pPr>
      <w:r w:rsidRPr="00413324">
        <w:rPr>
          <w:rFonts w:asciiTheme="minorHAnsi" w:hAnsiTheme="minorHAnsi" w:cstheme="minorHAnsi"/>
          <w:b/>
        </w:rPr>
        <w:fldChar w:fldCharType="end"/>
      </w:r>
      <w:r>
        <w:rPr>
          <w:rFonts w:cstheme="minorHAnsi"/>
          <w:b/>
        </w:rPr>
        <w:br w:type="page"/>
      </w:r>
    </w:p>
    <w:p w14:paraId="0756CF5C" w14:textId="5E6C2AB2" w:rsidR="00473EF0" w:rsidRPr="007042EE" w:rsidRDefault="00473EF0" w:rsidP="00473EF0">
      <w:pPr>
        <w:pStyle w:val="Heading1"/>
        <w:rPr>
          <w:rFonts w:asciiTheme="majorHAnsi" w:hAnsiTheme="majorHAnsi"/>
          <w:b w:val="0"/>
        </w:rPr>
      </w:pPr>
      <w:bookmarkStart w:id="4" w:name="_Toc49858084"/>
      <w:r w:rsidRPr="007042EE">
        <w:rPr>
          <w:rFonts w:asciiTheme="majorHAnsi" w:hAnsiTheme="majorHAnsi" w:cstheme="minorHAnsi"/>
          <w:b w:val="0"/>
        </w:rPr>
        <w:lastRenderedPageBreak/>
        <w:t>Acronyms and Abbreviations</w:t>
      </w:r>
      <w:bookmarkEnd w:id="0"/>
      <w:bookmarkEnd w:id="1"/>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953"/>
      </w:tblGrid>
      <w:tr w:rsidR="00473EF0" w:rsidRPr="002F2555" w14:paraId="7124B303" w14:textId="77777777" w:rsidTr="00561D11">
        <w:tc>
          <w:tcPr>
            <w:tcW w:w="1418" w:type="dxa"/>
            <w:tcBorders>
              <w:bottom w:val="single" w:sz="4" w:space="0" w:color="FFFFFF" w:themeColor="background1"/>
            </w:tcBorders>
            <w:shd w:val="clear" w:color="auto" w:fill="4472C4" w:themeFill="accent1"/>
          </w:tcPr>
          <w:p w14:paraId="285DA1D0"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AHC</w:t>
            </w:r>
          </w:p>
        </w:tc>
        <w:tc>
          <w:tcPr>
            <w:tcW w:w="5953" w:type="dxa"/>
            <w:tcBorders>
              <w:top w:val="single" w:sz="4" w:space="0" w:color="4472C4" w:themeColor="accent1"/>
              <w:bottom w:val="single" w:sz="4" w:space="0" w:color="4472C4" w:themeColor="accent1"/>
            </w:tcBorders>
          </w:tcPr>
          <w:p w14:paraId="2B15748B" w14:textId="77777777" w:rsidR="00473EF0" w:rsidRPr="002F2555" w:rsidRDefault="00473EF0" w:rsidP="00561D11">
            <w:pPr>
              <w:spacing w:beforeLines="20" w:before="48" w:afterLines="20" w:after="48"/>
              <w:rPr>
                <w:rFonts w:ascii="Calibri" w:hAnsi="Calibri" w:cs="Calibri"/>
                <w:sz w:val="21"/>
                <w:szCs w:val="21"/>
                <w:lang w:val="en-AU"/>
              </w:rPr>
            </w:pPr>
            <w:r>
              <w:rPr>
                <w:rFonts w:ascii="Calibri" w:hAnsi="Calibri" w:cs="Calibri"/>
                <w:sz w:val="21"/>
                <w:szCs w:val="21"/>
                <w:lang w:val="en-AU"/>
              </w:rPr>
              <w:t>Australian High Commission</w:t>
            </w:r>
          </w:p>
        </w:tc>
      </w:tr>
      <w:tr w:rsidR="00473EF0" w:rsidRPr="002F2555" w14:paraId="527F9286" w14:textId="77777777" w:rsidTr="00561D11">
        <w:tc>
          <w:tcPr>
            <w:tcW w:w="1418" w:type="dxa"/>
            <w:tcBorders>
              <w:bottom w:val="single" w:sz="4" w:space="0" w:color="FFFFFF" w:themeColor="background1"/>
            </w:tcBorders>
            <w:shd w:val="clear" w:color="auto" w:fill="4472C4" w:themeFill="accent1"/>
          </w:tcPr>
          <w:p w14:paraId="27F474F9"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sidRPr="002F2555">
              <w:rPr>
                <w:rFonts w:ascii="Calibri" w:hAnsi="Calibri" w:cs="Calibri"/>
                <w:b/>
                <w:color w:val="FFFFFF" w:themeColor="background1"/>
                <w:sz w:val="21"/>
                <w:szCs w:val="21"/>
                <w:lang w:val="en-AU"/>
              </w:rPr>
              <w:t>AWP</w:t>
            </w:r>
          </w:p>
        </w:tc>
        <w:tc>
          <w:tcPr>
            <w:tcW w:w="5953" w:type="dxa"/>
            <w:tcBorders>
              <w:top w:val="single" w:sz="4" w:space="0" w:color="4472C4" w:themeColor="accent1"/>
              <w:bottom w:val="single" w:sz="4" w:space="0" w:color="4472C4" w:themeColor="accent1"/>
            </w:tcBorders>
          </w:tcPr>
          <w:p w14:paraId="68384A19" w14:textId="77777777" w:rsidR="00473EF0" w:rsidRPr="002F2555" w:rsidRDefault="00473EF0" w:rsidP="00561D11">
            <w:pPr>
              <w:spacing w:beforeLines="20" w:before="48" w:afterLines="20" w:after="48"/>
              <w:rPr>
                <w:rFonts w:ascii="Calibri" w:hAnsi="Calibri" w:cs="Calibri"/>
                <w:sz w:val="21"/>
                <w:szCs w:val="21"/>
                <w:lang w:val="en-AU"/>
              </w:rPr>
            </w:pPr>
            <w:r w:rsidRPr="002F2555">
              <w:rPr>
                <w:rFonts w:ascii="Calibri" w:hAnsi="Calibri" w:cs="Calibri"/>
                <w:sz w:val="21"/>
                <w:szCs w:val="21"/>
                <w:lang w:val="en-AU"/>
              </w:rPr>
              <w:t>Annual Work Pla</w:t>
            </w:r>
            <w:r>
              <w:rPr>
                <w:rFonts w:ascii="Calibri" w:hAnsi="Calibri" w:cs="Calibri"/>
                <w:sz w:val="21"/>
                <w:szCs w:val="21"/>
                <w:lang w:val="en-AU"/>
              </w:rPr>
              <w:t>n</w:t>
            </w:r>
          </w:p>
        </w:tc>
      </w:tr>
      <w:tr w:rsidR="00473EF0" w:rsidRPr="002F2555" w14:paraId="7A1DB214"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0324F8AC" w14:textId="77777777" w:rsidR="00473EF0" w:rsidRDefault="00473EF0"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DFA</w:t>
            </w:r>
          </w:p>
        </w:tc>
        <w:tc>
          <w:tcPr>
            <w:tcW w:w="5953" w:type="dxa"/>
            <w:tcBorders>
              <w:top w:val="single" w:sz="4" w:space="0" w:color="4472C4" w:themeColor="accent1"/>
              <w:bottom w:val="single" w:sz="4" w:space="0" w:color="4472C4" w:themeColor="accent1"/>
            </w:tcBorders>
          </w:tcPr>
          <w:p w14:paraId="3C6497BB" w14:textId="146758D9" w:rsidR="00473EF0" w:rsidRPr="002F2555" w:rsidRDefault="00473EF0" w:rsidP="00561D11">
            <w:pPr>
              <w:spacing w:beforeLines="20" w:before="48" w:afterLines="20" w:after="48"/>
              <w:rPr>
                <w:rFonts w:ascii="Calibri" w:hAnsi="Calibri" w:cs="Calibri"/>
                <w:sz w:val="21"/>
                <w:szCs w:val="21"/>
                <w:lang w:val="en-AU"/>
              </w:rPr>
            </w:pPr>
            <w:r>
              <w:rPr>
                <w:rFonts w:ascii="Calibri" w:hAnsi="Calibri" w:cs="Calibri"/>
                <w:sz w:val="21"/>
                <w:szCs w:val="21"/>
                <w:lang w:val="en-AU"/>
              </w:rPr>
              <w:t>Direct Funding A</w:t>
            </w:r>
            <w:r w:rsidR="002F32D6">
              <w:rPr>
                <w:rFonts w:ascii="Calibri" w:hAnsi="Calibri" w:cs="Calibri"/>
                <w:sz w:val="21"/>
                <w:szCs w:val="21"/>
                <w:lang w:val="en-AU"/>
              </w:rPr>
              <w:t>rrangement</w:t>
            </w:r>
          </w:p>
        </w:tc>
      </w:tr>
      <w:tr w:rsidR="00473EF0" w:rsidRPr="002F2555" w14:paraId="6BBE1640"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6045B59B"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DFAT</w:t>
            </w:r>
          </w:p>
        </w:tc>
        <w:tc>
          <w:tcPr>
            <w:tcW w:w="5953" w:type="dxa"/>
            <w:tcBorders>
              <w:top w:val="single" w:sz="4" w:space="0" w:color="4472C4" w:themeColor="accent1"/>
              <w:bottom w:val="single" w:sz="4" w:space="0" w:color="4472C4" w:themeColor="accent1"/>
            </w:tcBorders>
          </w:tcPr>
          <w:p w14:paraId="6D54DD63" w14:textId="77777777" w:rsidR="00473EF0" w:rsidRPr="002F2555" w:rsidRDefault="00473EF0" w:rsidP="00561D11">
            <w:pPr>
              <w:spacing w:beforeLines="20" w:before="48" w:afterLines="20" w:after="48"/>
              <w:rPr>
                <w:rFonts w:ascii="Calibri" w:hAnsi="Calibri" w:cs="Calibri"/>
                <w:sz w:val="21"/>
                <w:szCs w:val="21"/>
                <w:lang w:val="en-AU"/>
              </w:rPr>
            </w:pPr>
            <w:r w:rsidRPr="002F2555">
              <w:rPr>
                <w:rFonts w:ascii="Calibri" w:hAnsi="Calibri" w:cs="Calibri"/>
                <w:sz w:val="21"/>
                <w:szCs w:val="21"/>
                <w:lang w:val="en-AU"/>
              </w:rPr>
              <w:t>Department of Foreign Affairs and Trade (</w:t>
            </w:r>
            <w:proofErr w:type="spellStart"/>
            <w:r w:rsidRPr="002F2555">
              <w:rPr>
                <w:rFonts w:ascii="Calibri" w:hAnsi="Calibri" w:cs="Calibri"/>
                <w:sz w:val="21"/>
                <w:szCs w:val="21"/>
                <w:lang w:val="en-AU"/>
              </w:rPr>
              <w:t>GoA</w:t>
            </w:r>
            <w:proofErr w:type="spellEnd"/>
            <w:r w:rsidRPr="002F2555">
              <w:rPr>
                <w:rFonts w:ascii="Calibri" w:hAnsi="Calibri" w:cs="Calibri"/>
                <w:sz w:val="21"/>
                <w:szCs w:val="21"/>
                <w:lang w:val="en-AU"/>
              </w:rPr>
              <w:t>)</w:t>
            </w:r>
          </w:p>
        </w:tc>
      </w:tr>
      <w:tr w:rsidR="00473EF0" w:rsidRPr="002F2555" w14:paraId="25380742"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766875AE"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sidRPr="002F2555">
              <w:rPr>
                <w:rFonts w:ascii="Calibri" w:hAnsi="Calibri" w:cs="Calibri"/>
                <w:b/>
                <w:color w:val="FFFFFF" w:themeColor="background1"/>
                <w:sz w:val="21"/>
                <w:szCs w:val="21"/>
                <w:lang w:val="en-AU"/>
              </w:rPr>
              <w:t>EA</w:t>
            </w:r>
          </w:p>
        </w:tc>
        <w:tc>
          <w:tcPr>
            <w:tcW w:w="5953" w:type="dxa"/>
            <w:tcBorders>
              <w:top w:val="single" w:sz="4" w:space="0" w:color="4472C4" w:themeColor="accent1"/>
              <w:bottom w:val="single" w:sz="4" w:space="0" w:color="4472C4" w:themeColor="accent1"/>
            </w:tcBorders>
          </w:tcPr>
          <w:p w14:paraId="20778BB9" w14:textId="77777777" w:rsidR="00473EF0" w:rsidRPr="002F2555" w:rsidRDefault="00473EF0" w:rsidP="00561D11">
            <w:pPr>
              <w:spacing w:beforeLines="20" w:before="48" w:afterLines="20" w:after="48"/>
              <w:rPr>
                <w:rFonts w:ascii="Calibri" w:hAnsi="Calibri" w:cs="Calibri"/>
                <w:sz w:val="21"/>
                <w:szCs w:val="21"/>
                <w:lang w:val="en-AU"/>
              </w:rPr>
            </w:pPr>
            <w:r w:rsidRPr="002F2555">
              <w:rPr>
                <w:rFonts w:ascii="Calibri" w:hAnsi="Calibri" w:cs="Calibri"/>
                <w:sz w:val="21"/>
                <w:szCs w:val="21"/>
                <w:lang w:val="en-AU"/>
              </w:rPr>
              <w:t>Education Authority</w:t>
            </w:r>
          </w:p>
        </w:tc>
      </w:tr>
      <w:tr w:rsidR="00473EF0" w:rsidRPr="002F2555" w14:paraId="7355D8B5" w14:textId="77777777" w:rsidTr="00561D11">
        <w:trPr>
          <w:trHeight w:val="293"/>
        </w:trPr>
        <w:tc>
          <w:tcPr>
            <w:tcW w:w="1418" w:type="dxa"/>
            <w:tcBorders>
              <w:top w:val="single" w:sz="4" w:space="0" w:color="FFFFFF" w:themeColor="background1"/>
              <w:bottom w:val="single" w:sz="4" w:space="0" w:color="FFFFFF" w:themeColor="background1"/>
            </w:tcBorders>
            <w:shd w:val="clear" w:color="auto" w:fill="4472C4" w:themeFill="accent1"/>
          </w:tcPr>
          <w:p w14:paraId="717B3AA7"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EACI</w:t>
            </w:r>
          </w:p>
        </w:tc>
        <w:tc>
          <w:tcPr>
            <w:tcW w:w="5953" w:type="dxa"/>
            <w:tcBorders>
              <w:top w:val="single" w:sz="4" w:space="0" w:color="4472C4" w:themeColor="accent1"/>
              <w:bottom w:val="single" w:sz="4" w:space="0" w:color="4472C4" w:themeColor="accent1"/>
            </w:tcBorders>
          </w:tcPr>
          <w:p w14:paraId="1F86040B" w14:textId="77777777" w:rsidR="00473EF0" w:rsidRPr="002F2555" w:rsidRDefault="00473EF0" w:rsidP="00561D11">
            <w:pPr>
              <w:spacing w:beforeLines="20" w:before="48" w:afterLines="20" w:after="48"/>
              <w:rPr>
                <w:rFonts w:ascii="Calibri" w:hAnsi="Calibri" w:cs="Calibri"/>
                <w:sz w:val="21"/>
                <w:szCs w:val="21"/>
                <w:lang w:val="en-AU"/>
              </w:rPr>
            </w:pPr>
            <w:r>
              <w:rPr>
                <w:rFonts w:ascii="Calibri" w:hAnsi="Calibri" w:cs="Calibri"/>
                <w:sz w:val="21"/>
                <w:szCs w:val="21"/>
                <w:lang w:val="en-AU"/>
              </w:rPr>
              <w:t>Education Authority Coordination and Improvement</w:t>
            </w:r>
          </w:p>
        </w:tc>
      </w:tr>
      <w:tr w:rsidR="00473EF0" w:rsidRPr="002F2555" w14:paraId="14D2C562" w14:textId="77777777" w:rsidTr="00561D11">
        <w:trPr>
          <w:trHeight w:val="293"/>
        </w:trPr>
        <w:tc>
          <w:tcPr>
            <w:tcW w:w="1418" w:type="dxa"/>
            <w:tcBorders>
              <w:top w:val="single" w:sz="4" w:space="0" w:color="FFFFFF" w:themeColor="background1"/>
              <w:bottom w:val="single" w:sz="4" w:space="0" w:color="FFFFFF" w:themeColor="background1"/>
            </w:tcBorders>
            <w:shd w:val="clear" w:color="auto" w:fill="4472C4" w:themeFill="accent1"/>
          </w:tcPr>
          <w:p w14:paraId="3F67993B"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EO</w:t>
            </w:r>
          </w:p>
        </w:tc>
        <w:tc>
          <w:tcPr>
            <w:tcW w:w="5953" w:type="dxa"/>
            <w:tcBorders>
              <w:top w:val="single" w:sz="4" w:space="0" w:color="4472C4" w:themeColor="accent1"/>
              <w:bottom w:val="single" w:sz="4" w:space="0" w:color="4472C4" w:themeColor="accent1"/>
            </w:tcBorders>
          </w:tcPr>
          <w:p w14:paraId="046E417B" w14:textId="77777777" w:rsidR="00473EF0" w:rsidRPr="002F2555" w:rsidRDefault="00473EF0" w:rsidP="00561D11">
            <w:pPr>
              <w:spacing w:beforeLines="20" w:before="48" w:afterLines="20" w:after="48"/>
              <w:rPr>
                <w:rFonts w:ascii="Calibri" w:hAnsi="Calibri" w:cs="Calibri"/>
                <w:sz w:val="21"/>
                <w:szCs w:val="21"/>
                <w:lang w:val="en-AU"/>
              </w:rPr>
            </w:pPr>
            <w:r>
              <w:rPr>
                <w:rFonts w:ascii="Calibri" w:hAnsi="Calibri" w:cs="Calibri"/>
                <w:sz w:val="21"/>
                <w:szCs w:val="21"/>
                <w:lang w:val="en-AU"/>
              </w:rPr>
              <w:t>End Outcome</w:t>
            </w:r>
          </w:p>
        </w:tc>
      </w:tr>
      <w:tr w:rsidR="00473EF0" w:rsidRPr="002F2555" w14:paraId="702C003A" w14:textId="77777777" w:rsidTr="00561D11">
        <w:trPr>
          <w:trHeight w:val="293"/>
        </w:trPr>
        <w:tc>
          <w:tcPr>
            <w:tcW w:w="1418" w:type="dxa"/>
            <w:tcBorders>
              <w:top w:val="single" w:sz="4" w:space="0" w:color="FFFFFF" w:themeColor="background1"/>
              <w:bottom w:val="single" w:sz="4" w:space="0" w:color="FFFFFF" w:themeColor="background1"/>
            </w:tcBorders>
            <w:shd w:val="clear" w:color="auto" w:fill="4472C4" w:themeFill="accent1"/>
          </w:tcPr>
          <w:p w14:paraId="74EAEED4"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sidRPr="002F2555">
              <w:rPr>
                <w:rFonts w:ascii="Calibri" w:hAnsi="Calibri" w:cs="Calibri"/>
                <w:b/>
                <w:color w:val="FFFFFF" w:themeColor="background1"/>
                <w:sz w:val="21"/>
                <w:szCs w:val="21"/>
                <w:lang w:val="en-AU"/>
              </w:rPr>
              <w:t>EPM</w:t>
            </w:r>
          </w:p>
        </w:tc>
        <w:tc>
          <w:tcPr>
            <w:tcW w:w="5953" w:type="dxa"/>
            <w:tcBorders>
              <w:top w:val="single" w:sz="4" w:space="0" w:color="4472C4" w:themeColor="accent1"/>
              <w:bottom w:val="single" w:sz="4" w:space="0" w:color="4472C4" w:themeColor="accent1"/>
            </w:tcBorders>
          </w:tcPr>
          <w:p w14:paraId="73D93DFD" w14:textId="77777777" w:rsidR="00473EF0" w:rsidRPr="002F2555" w:rsidRDefault="00473EF0" w:rsidP="00561D11">
            <w:pPr>
              <w:spacing w:beforeLines="20" w:before="48" w:afterLines="20" w:after="48"/>
              <w:rPr>
                <w:rFonts w:ascii="Calibri" w:hAnsi="Calibri" w:cs="Calibri"/>
                <w:sz w:val="21"/>
                <w:szCs w:val="21"/>
                <w:lang w:val="en-AU"/>
              </w:rPr>
            </w:pPr>
            <w:r w:rsidRPr="002F2555">
              <w:rPr>
                <w:rFonts w:ascii="Calibri" w:hAnsi="Calibri" w:cs="Calibri"/>
                <w:sz w:val="21"/>
                <w:szCs w:val="21"/>
                <w:lang w:val="en-AU"/>
              </w:rPr>
              <w:t>Education Performance Matrix</w:t>
            </w:r>
          </w:p>
        </w:tc>
      </w:tr>
      <w:tr w:rsidR="00473EF0" w:rsidRPr="002F2555" w14:paraId="420999D5" w14:textId="77777777" w:rsidTr="00561D11">
        <w:trPr>
          <w:trHeight w:val="293"/>
        </w:trPr>
        <w:tc>
          <w:tcPr>
            <w:tcW w:w="1418" w:type="dxa"/>
            <w:tcBorders>
              <w:top w:val="single" w:sz="4" w:space="0" w:color="FFFFFF" w:themeColor="background1"/>
              <w:bottom w:val="single" w:sz="4" w:space="0" w:color="FFFFFF" w:themeColor="background1"/>
            </w:tcBorders>
            <w:shd w:val="clear" w:color="auto" w:fill="4472C4" w:themeFill="accent1"/>
          </w:tcPr>
          <w:p w14:paraId="6311B1DF" w14:textId="77777777" w:rsidR="00473EF0" w:rsidRDefault="00473EF0"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ESF</w:t>
            </w:r>
          </w:p>
        </w:tc>
        <w:tc>
          <w:tcPr>
            <w:tcW w:w="5953" w:type="dxa"/>
            <w:tcBorders>
              <w:top w:val="single" w:sz="4" w:space="0" w:color="4472C4" w:themeColor="accent1"/>
              <w:bottom w:val="single" w:sz="4" w:space="0" w:color="4472C4" w:themeColor="accent1"/>
            </w:tcBorders>
          </w:tcPr>
          <w:p w14:paraId="38E19B25" w14:textId="77777777" w:rsidR="00473EF0" w:rsidRDefault="00473EF0" w:rsidP="00561D11">
            <w:pPr>
              <w:spacing w:beforeLines="20" w:before="48" w:afterLines="20" w:after="48"/>
              <w:rPr>
                <w:rFonts w:ascii="Calibri" w:hAnsi="Calibri" w:cs="Calibri"/>
                <w:sz w:val="21"/>
                <w:szCs w:val="21"/>
                <w:lang w:val="en-AU"/>
              </w:rPr>
            </w:pPr>
            <w:r>
              <w:rPr>
                <w:rFonts w:ascii="Calibri" w:hAnsi="Calibri" w:cs="Calibri"/>
                <w:sz w:val="21"/>
                <w:szCs w:val="21"/>
                <w:lang w:val="en-AU"/>
              </w:rPr>
              <w:t>Education Sector Framework</w:t>
            </w:r>
          </w:p>
        </w:tc>
      </w:tr>
      <w:tr w:rsidR="00473EF0" w:rsidRPr="002F2555" w14:paraId="2053696F" w14:textId="77777777" w:rsidTr="00561D11">
        <w:trPr>
          <w:trHeight w:val="293"/>
        </w:trPr>
        <w:tc>
          <w:tcPr>
            <w:tcW w:w="1418" w:type="dxa"/>
            <w:tcBorders>
              <w:top w:val="single" w:sz="4" w:space="0" w:color="FFFFFF" w:themeColor="background1"/>
              <w:bottom w:val="single" w:sz="4" w:space="0" w:color="FFFFFF" w:themeColor="background1"/>
            </w:tcBorders>
            <w:shd w:val="clear" w:color="auto" w:fill="4472C4" w:themeFill="accent1"/>
          </w:tcPr>
          <w:p w14:paraId="055F4D7C" w14:textId="77777777" w:rsidR="00473EF0" w:rsidRDefault="00473EF0"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EQAP</w:t>
            </w:r>
          </w:p>
        </w:tc>
        <w:tc>
          <w:tcPr>
            <w:tcW w:w="5953" w:type="dxa"/>
            <w:tcBorders>
              <w:top w:val="single" w:sz="4" w:space="0" w:color="4472C4" w:themeColor="accent1"/>
              <w:bottom w:val="single" w:sz="4" w:space="0" w:color="4472C4" w:themeColor="accent1"/>
            </w:tcBorders>
          </w:tcPr>
          <w:p w14:paraId="342C3E01" w14:textId="77777777" w:rsidR="00473EF0" w:rsidRPr="002F2555" w:rsidRDefault="00473EF0" w:rsidP="00561D11">
            <w:pPr>
              <w:spacing w:beforeLines="20" w:before="48" w:afterLines="20" w:after="48"/>
              <w:rPr>
                <w:rFonts w:ascii="Calibri" w:hAnsi="Calibri" w:cs="Calibri"/>
                <w:sz w:val="21"/>
                <w:szCs w:val="21"/>
                <w:lang w:val="en-AU"/>
              </w:rPr>
            </w:pPr>
            <w:r>
              <w:rPr>
                <w:rFonts w:ascii="Calibri" w:hAnsi="Calibri" w:cs="Calibri"/>
                <w:sz w:val="21"/>
                <w:szCs w:val="21"/>
                <w:lang w:val="en-AU"/>
              </w:rPr>
              <w:t>Educational Quality and Assessment Programme</w:t>
            </w:r>
          </w:p>
        </w:tc>
      </w:tr>
      <w:tr w:rsidR="00473EF0" w:rsidRPr="002F2555" w14:paraId="530B2CC1" w14:textId="77777777" w:rsidTr="00561D11">
        <w:trPr>
          <w:trHeight w:val="293"/>
        </w:trPr>
        <w:tc>
          <w:tcPr>
            <w:tcW w:w="1418" w:type="dxa"/>
            <w:tcBorders>
              <w:top w:val="single" w:sz="4" w:space="0" w:color="FFFFFF" w:themeColor="background1"/>
              <w:bottom w:val="single" w:sz="4" w:space="0" w:color="FFFFFF" w:themeColor="background1"/>
            </w:tcBorders>
            <w:shd w:val="clear" w:color="auto" w:fill="4472C4" w:themeFill="accent1"/>
          </w:tcPr>
          <w:p w14:paraId="3B007C39"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EYP</w:t>
            </w:r>
          </w:p>
        </w:tc>
        <w:tc>
          <w:tcPr>
            <w:tcW w:w="5953" w:type="dxa"/>
            <w:tcBorders>
              <w:top w:val="single" w:sz="4" w:space="0" w:color="4472C4" w:themeColor="accent1"/>
              <w:bottom w:val="single" w:sz="4" w:space="0" w:color="4472C4" w:themeColor="accent1"/>
            </w:tcBorders>
          </w:tcPr>
          <w:p w14:paraId="1CAA79B1" w14:textId="77777777" w:rsidR="00473EF0" w:rsidRPr="002F2555" w:rsidRDefault="00473EF0" w:rsidP="00561D11">
            <w:pPr>
              <w:spacing w:beforeLines="20" w:before="48" w:afterLines="20" w:after="48"/>
              <w:rPr>
                <w:rFonts w:ascii="Calibri" w:hAnsi="Calibri" w:cs="Calibri"/>
                <w:sz w:val="21"/>
                <w:szCs w:val="21"/>
                <w:lang w:val="en-AU"/>
              </w:rPr>
            </w:pPr>
            <w:r w:rsidRPr="002F2555">
              <w:rPr>
                <w:rFonts w:ascii="Calibri" w:hAnsi="Calibri" w:cs="Calibri"/>
                <w:sz w:val="21"/>
                <w:szCs w:val="21"/>
                <w:lang w:val="en-AU"/>
              </w:rPr>
              <w:t>Early Years Program</w:t>
            </w:r>
          </w:p>
        </w:tc>
      </w:tr>
      <w:tr w:rsidR="00473EF0" w:rsidRPr="002F2555" w14:paraId="3AE9282A"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6EC0BD74"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proofErr w:type="spellStart"/>
            <w:r w:rsidRPr="002F2555">
              <w:rPr>
                <w:rFonts w:ascii="Calibri" w:hAnsi="Calibri" w:cs="Calibri"/>
                <w:b/>
                <w:color w:val="FFFFFF" w:themeColor="background1"/>
                <w:sz w:val="21"/>
                <w:szCs w:val="21"/>
                <w:lang w:val="en-AU"/>
              </w:rPr>
              <w:t>GoA</w:t>
            </w:r>
            <w:proofErr w:type="spellEnd"/>
          </w:p>
        </w:tc>
        <w:tc>
          <w:tcPr>
            <w:tcW w:w="5953" w:type="dxa"/>
            <w:tcBorders>
              <w:top w:val="single" w:sz="4" w:space="0" w:color="4472C4" w:themeColor="accent1"/>
              <w:bottom w:val="single" w:sz="4" w:space="0" w:color="4472C4" w:themeColor="accent1"/>
            </w:tcBorders>
          </w:tcPr>
          <w:p w14:paraId="73310712" w14:textId="77777777" w:rsidR="00473EF0" w:rsidRPr="002F2555" w:rsidRDefault="00473EF0" w:rsidP="00561D11">
            <w:pPr>
              <w:spacing w:beforeLines="20" w:before="48" w:afterLines="20" w:after="48"/>
              <w:rPr>
                <w:rFonts w:ascii="Calibri" w:hAnsi="Calibri" w:cs="Calibri"/>
                <w:sz w:val="21"/>
                <w:szCs w:val="21"/>
                <w:lang w:val="en-AU"/>
              </w:rPr>
            </w:pPr>
            <w:r w:rsidRPr="002F2555">
              <w:rPr>
                <w:rFonts w:ascii="Calibri" w:hAnsi="Calibri" w:cs="Calibri"/>
                <w:sz w:val="21"/>
                <w:szCs w:val="21"/>
                <w:lang w:val="en-AU"/>
              </w:rPr>
              <w:t>Government of Australia</w:t>
            </w:r>
          </w:p>
        </w:tc>
      </w:tr>
      <w:tr w:rsidR="00473EF0" w:rsidRPr="002F2555" w14:paraId="38FE0FCE"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1DB69905"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sidRPr="002F2555">
              <w:rPr>
                <w:rFonts w:ascii="Calibri" w:hAnsi="Calibri" w:cs="Calibri"/>
                <w:b/>
                <w:color w:val="FFFFFF" w:themeColor="background1"/>
                <w:sz w:val="21"/>
                <w:szCs w:val="21"/>
                <w:lang w:val="en-AU"/>
              </w:rPr>
              <w:t>GPI</w:t>
            </w:r>
          </w:p>
        </w:tc>
        <w:tc>
          <w:tcPr>
            <w:tcW w:w="5953" w:type="dxa"/>
            <w:tcBorders>
              <w:top w:val="single" w:sz="4" w:space="0" w:color="4472C4" w:themeColor="accent1"/>
              <w:bottom w:val="single" w:sz="4" w:space="0" w:color="4472C4" w:themeColor="accent1"/>
            </w:tcBorders>
          </w:tcPr>
          <w:p w14:paraId="01190C6B" w14:textId="77777777" w:rsidR="00473EF0" w:rsidRPr="002F2555" w:rsidRDefault="00473EF0" w:rsidP="00561D11">
            <w:pPr>
              <w:spacing w:beforeLines="20" w:before="48" w:afterLines="20" w:after="48"/>
              <w:rPr>
                <w:rFonts w:ascii="Calibri" w:hAnsi="Calibri" w:cs="Calibri"/>
                <w:sz w:val="21"/>
                <w:szCs w:val="21"/>
                <w:lang w:val="en-AU"/>
              </w:rPr>
            </w:pPr>
            <w:r w:rsidRPr="002F2555">
              <w:rPr>
                <w:rFonts w:ascii="Calibri" w:hAnsi="Calibri" w:cs="Calibri"/>
                <w:sz w:val="21"/>
                <w:szCs w:val="21"/>
                <w:lang w:val="en-AU"/>
              </w:rPr>
              <w:t>Gender Parity Index</w:t>
            </w:r>
          </w:p>
        </w:tc>
      </w:tr>
      <w:tr w:rsidR="00025CDF" w:rsidRPr="002F2555" w14:paraId="427D885E"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7D03E038" w14:textId="1A6FEF0F" w:rsidR="00025CDF" w:rsidRPr="002F2555" w:rsidRDefault="00025CDF"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IE</w:t>
            </w:r>
          </w:p>
        </w:tc>
        <w:tc>
          <w:tcPr>
            <w:tcW w:w="5953" w:type="dxa"/>
            <w:tcBorders>
              <w:top w:val="single" w:sz="4" w:space="0" w:color="4472C4" w:themeColor="accent1"/>
              <w:bottom w:val="single" w:sz="4" w:space="0" w:color="4472C4" w:themeColor="accent1"/>
            </w:tcBorders>
          </w:tcPr>
          <w:p w14:paraId="18BDC00E" w14:textId="792F5185" w:rsidR="00025CDF" w:rsidRPr="002F2555" w:rsidRDefault="00025CDF" w:rsidP="00561D11">
            <w:pPr>
              <w:spacing w:beforeLines="20" w:before="48" w:afterLines="20" w:after="48"/>
              <w:rPr>
                <w:rFonts w:ascii="Calibri" w:hAnsi="Calibri" w:cs="Calibri"/>
                <w:sz w:val="21"/>
                <w:szCs w:val="21"/>
                <w:lang w:val="en-AU"/>
              </w:rPr>
            </w:pPr>
            <w:r w:rsidRPr="00025CDF">
              <w:rPr>
                <w:rFonts w:ascii="Calibri" w:hAnsi="Calibri" w:cs="Calibri"/>
                <w:sz w:val="21"/>
                <w:szCs w:val="21"/>
                <w:lang w:val="en-AU"/>
              </w:rPr>
              <w:t>Inclusive Education</w:t>
            </w:r>
          </w:p>
        </w:tc>
      </w:tr>
      <w:tr w:rsidR="00473EF0" w:rsidRPr="002F2555" w14:paraId="57D248AD"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67A75FA3" w14:textId="77777777" w:rsidR="00473EF0" w:rsidRDefault="00473EF0"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KO</w:t>
            </w:r>
          </w:p>
        </w:tc>
        <w:tc>
          <w:tcPr>
            <w:tcW w:w="5953" w:type="dxa"/>
            <w:tcBorders>
              <w:top w:val="single" w:sz="4" w:space="0" w:color="4472C4" w:themeColor="accent1"/>
              <w:bottom w:val="single" w:sz="4" w:space="0" w:color="4472C4" w:themeColor="accent1"/>
            </w:tcBorders>
          </w:tcPr>
          <w:p w14:paraId="1B0CDEF6" w14:textId="77777777" w:rsidR="00473EF0" w:rsidRDefault="00473EF0" w:rsidP="00561D11">
            <w:pPr>
              <w:spacing w:beforeLines="20" w:before="48" w:afterLines="20" w:after="48"/>
              <w:rPr>
                <w:rFonts w:ascii="Calibri" w:hAnsi="Calibri" w:cs="Calibri"/>
                <w:sz w:val="21"/>
                <w:szCs w:val="21"/>
                <w:lang w:val="en-AU"/>
              </w:rPr>
            </w:pPr>
            <w:r>
              <w:rPr>
                <w:rFonts w:ascii="Calibri" w:hAnsi="Calibri" w:cs="Calibri"/>
                <w:sz w:val="21"/>
                <w:szCs w:val="21"/>
                <w:lang w:val="en-AU"/>
              </w:rPr>
              <w:t>Key Output</w:t>
            </w:r>
          </w:p>
        </w:tc>
      </w:tr>
      <w:tr w:rsidR="00473EF0" w:rsidRPr="002F2555" w14:paraId="176C881A"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178C36DE"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sidRPr="002F2555">
              <w:rPr>
                <w:rFonts w:ascii="Calibri" w:hAnsi="Calibri" w:cs="Calibri"/>
                <w:b/>
                <w:color w:val="FFFFFF" w:themeColor="background1"/>
                <w:sz w:val="21"/>
                <w:szCs w:val="21"/>
                <w:lang w:val="en-AU"/>
              </w:rPr>
              <w:t>LEAP</w:t>
            </w:r>
          </w:p>
        </w:tc>
        <w:tc>
          <w:tcPr>
            <w:tcW w:w="5953" w:type="dxa"/>
            <w:tcBorders>
              <w:top w:val="single" w:sz="4" w:space="0" w:color="4472C4" w:themeColor="accent1"/>
              <w:bottom w:val="single" w:sz="4" w:space="0" w:color="4472C4" w:themeColor="accent1"/>
            </w:tcBorders>
          </w:tcPr>
          <w:p w14:paraId="79218EB4" w14:textId="77777777" w:rsidR="00473EF0" w:rsidRPr="002F2555" w:rsidRDefault="00473EF0" w:rsidP="00561D11">
            <w:pPr>
              <w:spacing w:beforeLines="20" w:before="48" w:afterLines="20" w:after="48"/>
              <w:rPr>
                <w:rFonts w:ascii="Calibri" w:hAnsi="Calibri" w:cs="Calibri"/>
                <w:sz w:val="21"/>
                <w:szCs w:val="21"/>
                <w:lang w:val="en-AU"/>
              </w:rPr>
            </w:pPr>
            <w:r w:rsidRPr="002F2555">
              <w:rPr>
                <w:rFonts w:ascii="Calibri" w:hAnsi="Calibri" w:cs="Calibri"/>
                <w:sz w:val="21"/>
                <w:szCs w:val="21"/>
                <w:lang w:val="en-AU"/>
              </w:rPr>
              <w:t>Leadership for Education Authorities Program</w:t>
            </w:r>
          </w:p>
        </w:tc>
      </w:tr>
      <w:tr w:rsidR="00473EF0" w:rsidRPr="002F2555" w14:paraId="3A39DF2F" w14:textId="77777777" w:rsidTr="00561D11">
        <w:trPr>
          <w:trHeight w:val="278"/>
        </w:trPr>
        <w:tc>
          <w:tcPr>
            <w:tcW w:w="1418" w:type="dxa"/>
            <w:tcBorders>
              <w:top w:val="single" w:sz="4" w:space="0" w:color="FFFFFF" w:themeColor="background1"/>
              <w:bottom w:val="single" w:sz="4" w:space="0" w:color="FFFFFF" w:themeColor="background1"/>
            </w:tcBorders>
            <w:shd w:val="clear" w:color="auto" w:fill="4472C4" w:themeFill="accent1"/>
          </w:tcPr>
          <w:p w14:paraId="39AE18E6"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sidRPr="002F2555">
              <w:rPr>
                <w:rFonts w:ascii="Calibri" w:hAnsi="Calibri" w:cs="Calibri"/>
                <w:b/>
                <w:color w:val="FFFFFF" w:themeColor="background1"/>
                <w:sz w:val="21"/>
                <w:szCs w:val="21"/>
                <w:lang w:val="en-AU"/>
              </w:rPr>
              <w:t>M&amp;E</w:t>
            </w:r>
          </w:p>
        </w:tc>
        <w:tc>
          <w:tcPr>
            <w:tcW w:w="5953" w:type="dxa"/>
            <w:tcBorders>
              <w:top w:val="single" w:sz="4" w:space="0" w:color="4472C4" w:themeColor="accent1"/>
              <w:bottom w:val="single" w:sz="4" w:space="0" w:color="4472C4" w:themeColor="accent1"/>
            </w:tcBorders>
          </w:tcPr>
          <w:p w14:paraId="66FE0605" w14:textId="77777777" w:rsidR="00473EF0" w:rsidRPr="002F2555" w:rsidRDefault="00473EF0" w:rsidP="00561D11">
            <w:pPr>
              <w:spacing w:beforeLines="20" w:before="48" w:afterLines="20" w:after="48"/>
              <w:rPr>
                <w:rFonts w:ascii="Calibri" w:hAnsi="Calibri" w:cs="Calibri"/>
                <w:sz w:val="21"/>
                <w:szCs w:val="21"/>
                <w:lang w:val="en-AU"/>
              </w:rPr>
            </w:pPr>
            <w:r w:rsidRPr="002F2555">
              <w:rPr>
                <w:rFonts w:ascii="Calibri" w:hAnsi="Calibri" w:cs="Calibri"/>
                <w:sz w:val="21"/>
                <w:szCs w:val="21"/>
                <w:lang w:val="en-AU"/>
              </w:rPr>
              <w:t>Monitoring and Evaluation</w:t>
            </w:r>
          </w:p>
        </w:tc>
      </w:tr>
      <w:tr w:rsidR="00473EF0" w:rsidRPr="002F2555" w14:paraId="185BC18E" w14:textId="77777777" w:rsidTr="00561D11">
        <w:trPr>
          <w:trHeight w:val="278"/>
        </w:trPr>
        <w:tc>
          <w:tcPr>
            <w:tcW w:w="1418" w:type="dxa"/>
            <w:tcBorders>
              <w:top w:val="single" w:sz="4" w:space="0" w:color="FFFFFF" w:themeColor="background1"/>
              <w:bottom w:val="single" w:sz="4" w:space="0" w:color="FFFFFF" w:themeColor="background1"/>
            </w:tcBorders>
            <w:shd w:val="clear" w:color="auto" w:fill="4472C4" w:themeFill="accent1"/>
          </w:tcPr>
          <w:p w14:paraId="5933E118"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sidRPr="002F2555">
              <w:rPr>
                <w:rFonts w:ascii="Calibri" w:hAnsi="Calibri" w:cs="Calibri"/>
                <w:b/>
                <w:color w:val="FFFFFF" w:themeColor="background1"/>
                <w:sz w:val="21"/>
                <w:szCs w:val="21"/>
                <w:lang w:val="en-AU"/>
              </w:rPr>
              <w:t>MEHRD</w:t>
            </w:r>
          </w:p>
        </w:tc>
        <w:tc>
          <w:tcPr>
            <w:tcW w:w="5953" w:type="dxa"/>
            <w:tcBorders>
              <w:top w:val="single" w:sz="4" w:space="0" w:color="4472C4" w:themeColor="accent1"/>
              <w:bottom w:val="single" w:sz="4" w:space="0" w:color="4472C4" w:themeColor="accent1"/>
            </w:tcBorders>
          </w:tcPr>
          <w:p w14:paraId="364F3973" w14:textId="77777777" w:rsidR="00473EF0" w:rsidRPr="002F2555" w:rsidRDefault="00473EF0" w:rsidP="00561D11">
            <w:pPr>
              <w:spacing w:beforeLines="20" w:before="48" w:afterLines="20" w:after="48"/>
              <w:rPr>
                <w:rFonts w:ascii="Calibri" w:hAnsi="Calibri" w:cs="Calibri"/>
                <w:sz w:val="21"/>
                <w:szCs w:val="21"/>
                <w:lang w:val="en-AU"/>
              </w:rPr>
            </w:pPr>
            <w:r w:rsidRPr="002F2555">
              <w:rPr>
                <w:rFonts w:ascii="Calibri" w:hAnsi="Calibri" w:cs="Calibri"/>
                <w:sz w:val="21"/>
                <w:szCs w:val="21"/>
                <w:lang w:val="en-AU"/>
              </w:rPr>
              <w:t>Ministry of Education and Human Resource Development</w:t>
            </w:r>
          </w:p>
        </w:tc>
      </w:tr>
      <w:tr w:rsidR="00473EF0" w:rsidRPr="002F2555" w14:paraId="5F6BB826" w14:textId="77777777" w:rsidTr="00561D11">
        <w:trPr>
          <w:trHeight w:val="278"/>
        </w:trPr>
        <w:tc>
          <w:tcPr>
            <w:tcW w:w="1418" w:type="dxa"/>
            <w:tcBorders>
              <w:top w:val="single" w:sz="4" w:space="0" w:color="FFFFFF" w:themeColor="background1"/>
              <w:bottom w:val="single" w:sz="4" w:space="0" w:color="FFFFFF" w:themeColor="background1"/>
            </w:tcBorders>
            <w:shd w:val="clear" w:color="auto" w:fill="4472C4" w:themeFill="accent1"/>
          </w:tcPr>
          <w:p w14:paraId="131D10B9"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MEL</w:t>
            </w:r>
          </w:p>
        </w:tc>
        <w:tc>
          <w:tcPr>
            <w:tcW w:w="5953" w:type="dxa"/>
            <w:tcBorders>
              <w:top w:val="single" w:sz="4" w:space="0" w:color="4472C4" w:themeColor="accent1"/>
              <w:bottom w:val="single" w:sz="4" w:space="0" w:color="4472C4" w:themeColor="accent1"/>
            </w:tcBorders>
          </w:tcPr>
          <w:p w14:paraId="5D173C28" w14:textId="454ADAA0" w:rsidR="00473EF0" w:rsidRPr="002F2555" w:rsidRDefault="00473EF0" w:rsidP="00561D11">
            <w:pPr>
              <w:spacing w:beforeLines="20" w:before="48" w:afterLines="20" w:after="48"/>
              <w:rPr>
                <w:rFonts w:ascii="Calibri" w:hAnsi="Calibri" w:cs="Calibri"/>
                <w:sz w:val="21"/>
                <w:szCs w:val="21"/>
                <w:lang w:val="en-AU"/>
              </w:rPr>
            </w:pPr>
            <w:r w:rsidRPr="002F2555">
              <w:rPr>
                <w:rFonts w:ascii="Calibri" w:hAnsi="Calibri" w:cs="Calibri"/>
                <w:sz w:val="21"/>
                <w:szCs w:val="21"/>
                <w:lang w:val="en-AU"/>
              </w:rPr>
              <w:t>Monitoring, Evaluation and Learning</w:t>
            </w:r>
            <w:r w:rsidR="00FC0016">
              <w:rPr>
                <w:rFonts w:ascii="Calibri" w:hAnsi="Calibri" w:cs="Calibri"/>
                <w:sz w:val="21"/>
                <w:szCs w:val="21"/>
                <w:lang w:val="en-AU"/>
              </w:rPr>
              <w:t xml:space="preserve"> Plan</w:t>
            </w:r>
          </w:p>
        </w:tc>
      </w:tr>
      <w:tr w:rsidR="00473EF0" w:rsidRPr="002F2555" w14:paraId="20B15EFD" w14:textId="77777777" w:rsidTr="00561D11">
        <w:trPr>
          <w:trHeight w:val="278"/>
        </w:trPr>
        <w:tc>
          <w:tcPr>
            <w:tcW w:w="1418" w:type="dxa"/>
            <w:tcBorders>
              <w:top w:val="single" w:sz="4" w:space="0" w:color="FFFFFF" w:themeColor="background1"/>
              <w:bottom w:val="single" w:sz="4" w:space="0" w:color="FFFFFF" w:themeColor="background1"/>
            </w:tcBorders>
            <w:shd w:val="clear" w:color="auto" w:fill="4472C4" w:themeFill="accent1"/>
          </w:tcPr>
          <w:p w14:paraId="4284800B"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MOFT</w:t>
            </w:r>
          </w:p>
        </w:tc>
        <w:tc>
          <w:tcPr>
            <w:tcW w:w="5953" w:type="dxa"/>
            <w:tcBorders>
              <w:top w:val="single" w:sz="4" w:space="0" w:color="4472C4" w:themeColor="accent1"/>
              <w:bottom w:val="single" w:sz="4" w:space="0" w:color="4472C4" w:themeColor="accent1"/>
            </w:tcBorders>
          </w:tcPr>
          <w:p w14:paraId="7030F199" w14:textId="77777777" w:rsidR="00473EF0" w:rsidRPr="002F2555" w:rsidRDefault="00473EF0" w:rsidP="00561D11">
            <w:pPr>
              <w:spacing w:beforeLines="20" w:before="48" w:afterLines="20" w:after="48"/>
              <w:rPr>
                <w:rFonts w:ascii="Calibri" w:hAnsi="Calibri" w:cs="Calibri"/>
                <w:sz w:val="21"/>
                <w:szCs w:val="21"/>
                <w:lang w:val="en-AU"/>
              </w:rPr>
            </w:pPr>
            <w:r>
              <w:rPr>
                <w:rFonts w:ascii="Calibri" w:hAnsi="Calibri" w:cs="Calibri"/>
                <w:sz w:val="21"/>
                <w:szCs w:val="21"/>
                <w:lang w:val="en-AU"/>
              </w:rPr>
              <w:t>Ministry of Finance and Treasury</w:t>
            </w:r>
          </w:p>
        </w:tc>
      </w:tr>
      <w:tr w:rsidR="0037286A" w:rsidRPr="002F2555" w14:paraId="44234A5E" w14:textId="77777777" w:rsidTr="00561D11">
        <w:trPr>
          <w:trHeight w:val="278"/>
        </w:trPr>
        <w:tc>
          <w:tcPr>
            <w:tcW w:w="1418" w:type="dxa"/>
            <w:tcBorders>
              <w:top w:val="single" w:sz="4" w:space="0" w:color="FFFFFF" w:themeColor="background1"/>
              <w:bottom w:val="single" w:sz="4" w:space="0" w:color="FFFFFF" w:themeColor="background1"/>
            </w:tcBorders>
            <w:shd w:val="clear" w:color="auto" w:fill="4472C4" w:themeFill="accent1"/>
          </w:tcPr>
          <w:p w14:paraId="5DC239AD" w14:textId="74604B41" w:rsidR="0037286A" w:rsidRDefault="0037286A"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MSC</w:t>
            </w:r>
          </w:p>
        </w:tc>
        <w:tc>
          <w:tcPr>
            <w:tcW w:w="5953" w:type="dxa"/>
            <w:tcBorders>
              <w:top w:val="single" w:sz="4" w:space="0" w:color="4472C4" w:themeColor="accent1"/>
              <w:bottom w:val="single" w:sz="4" w:space="0" w:color="4472C4" w:themeColor="accent1"/>
            </w:tcBorders>
          </w:tcPr>
          <w:p w14:paraId="7F2B8892" w14:textId="36CCD6AE" w:rsidR="0037286A" w:rsidRDefault="0037286A" w:rsidP="00561D11">
            <w:pPr>
              <w:spacing w:beforeLines="20" w:before="48" w:afterLines="20" w:after="48"/>
              <w:rPr>
                <w:rFonts w:ascii="Calibri" w:hAnsi="Calibri" w:cs="Calibri"/>
                <w:sz w:val="21"/>
                <w:szCs w:val="21"/>
                <w:lang w:val="en-AU"/>
              </w:rPr>
            </w:pPr>
            <w:r w:rsidRPr="0037286A">
              <w:rPr>
                <w:rFonts w:ascii="Calibri" w:hAnsi="Calibri" w:cs="Calibri"/>
                <w:sz w:val="21"/>
                <w:szCs w:val="21"/>
                <w:lang w:val="en-AU"/>
              </w:rPr>
              <w:t>Most Significant Change</w:t>
            </w:r>
          </w:p>
        </w:tc>
      </w:tr>
      <w:tr w:rsidR="00473EF0" w:rsidRPr="002F2555" w14:paraId="79A46E4C"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4F95D2AC"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NDS</w:t>
            </w:r>
          </w:p>
        </w:tc>
        <w:tc>
          <w:tcPr>
            <w:tcW w:w="5953" w:type="dxa"/>
            <w:tcBorders>
              <w:top w:val="single" w:sz="4" w:space="0" w:color="4472C4" w:themeColor="accent1"/>
              <w:bottom w:val="single" w:sz="4" w:space="0" w:color="4472C4" w:themeColor="accent1"/>
            </w:tcBorders>
          </w:tcPr>
          <w:p w14:paraId="41BFE441" w14:textId="77777777" w:rsidR="00473EF0" w:rsidRPr="002F2555" w:rsidRDefault="00473EF0" w:rsidP="00561D11">
            <w:pPr>
              <w:spacing w:beforeLines="20" w:before="48" w:afterLines="20" w:after="48"/>
              <w:rPr>
                <w:rFonts w:ascii="Calibri" w:hAnsi="Calibri" w:cs="Calibri"/>
                <w:sz w:val="21"/>
                <w:szCs w:val="21"/>
                <w:lang w:val="en-AU"/>
              </w:rPr>
            </w:pPr>
            <w:r>
              <w:rPr>
                <w:rFonts w:ascii="Calibri" w:hAnsi="Calibri" w:cs="Calibri"/>
                <w:sz w:val="21"/>
                <w:szCs w:val="21"/>
                <w:lang w:val="en-AU"/>
              </w:rPr>
              <w:t>National Development Strategy</w:t>
            </w:r>
          </w:p>
        </w:tc>
      </w:tr>
      <w:tr w:rsidR="00473EF0" w:rsidRPr="002F2555" w14:paraId="2845DC93"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34284DE6"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sidRPr="002F2555">
              <w:rPr>
                <w:rFonts w:ascii="Calibri" w:hAnsi="Calibri" w:cs="Calibri"/>
                <w:b/>
                <w:color w:val="FFFFFF" w:themeColor="background1"/>
                <w:sz w:val="21"/>
                <w:szCs w:val="21"/>
                <w:lang w:val="en-AU"/>
              </w:rPr>
              <w:t>NEAP</w:t>
            </w:r>
          </w:p>
        </w:tc>
        <w:tc>
          <w:tcPr>
            <w:tcW w:w="5953" w:type="dxa"/>
            <w:tcBorders>
              <w:top w:val="single" w:sz="4" w:space="0" w:color="4472C4" w:themeColor="accent1"/>
              <w:bottom w:val="single" w:sz="4" w:space="0" w:color="4472C4" w:themeColor="accent1"/>
            </w:tcBorders>
          </w:tcPr>
          <w:p w14:paraId="094146CD" w14:textId="77777777" w:rsidR="00473EF0" w:rsidRPr="002F2555" w:rsidRDefault="00473EF0" w:rsidP="00561D11">
            <w:pPr>
              <w:spacing w:beforeLines="20" w:before="48" w:afterLines="20" w:after="48"/>
              <w:rPr>
                <w:rFonts w:ascii="Calibri" w:hAnsi="Calibri" w:cs="Calibri"/>
                <w:sz w:val="21"/>
                <w:szCs w:val="21"/>
                <w:lang w:val="en-AU"/>
              </w:rPr>
            </w:pPr>
            <w:r w:rsidRPr="002F2555">
              <w:rPr>
                <w:rFonts w:ascii="Calibri" w:hAnsi="Calibri" w:cs="Calibri"/>
                <w:sz w:val="21"/>
                <w:szCs w:val="21"/>
                <w:lang w:val="en-AU"/>
              </w:rPr>
              <w:t>National Education Action Plan</w:t>
            </w:r>
          </w:p>
        </w:tc>
      </w:tr>
      <w:tr w:rsidR="00473EF0" w:rsidRPr="002F2555" w14:paraId="2C884C72"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1B2BAC6D"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sidRPr="002F2555">
              <w:rPr>
                <w:rFonts w:ascii="Calibri" w:hAnsi="Calibri" w:cs="Calibri"/>
                <w:b/>
                <w:color w:val="FFFFFF" w:themeColor="background1"/>
                <w:sz w:val="21"/>
                <w:szCs w:val="21"/>
                <w:lang w:val="en-AU"/>
              </w:rPr>
              <w:t>NEAD</w:t>
            </w:r>
          </w:p>
        </w:tc>
        <w:tc>
          <w:tcPr>
            <w:tcW w:w="5953" w:type="dxa"/>
            <w:tcBorders>
              <w:top w:val="single" w:sz="4" w:space="0" w:color="4472C4" w:themeColor="accent1"/>
              <w:bottom w:val="single" w:sz="4" w:space="0" w:color="4472C4" w:themeColor="accent1"/>
            </w:tcBorders>
          </w:tcPr>
          <w:p w14:paraId="75828DD6" w14:textId="77777777" w:rsidR="00473EF0" w:rsidRPr="002F2555" w:rsidRDefault="00473EF0" w:rsidP="00561D11">
            <w:pPr>
              <w:spacing w:beforeLines="20" w:before="48" w:afterLines="20" w:after="48"/>
              <w:rPr>
                <w:rFonts w:ascii="Calibri" w:hAnsi="Calibri" w:cs="Calibri"/>
                <w:sz w:val="21"/>
                <w:szCs w:val="21"/>
                <w:lang w:val="en-AU"/>
              </w:rPr>
            </w:pPr>
            <w:r w:rsidRPr="002F2555">
              <w:rPr>
                <w:rFonts w:ascii="Calibri" w:hAnsi="Calibri" w:cs="Calibri"/>
                <w:sz w:val="21"/>
                <w:szCs w:val="21"/>
                <w:lang w:val="en-AU"/>
              </w:rPr>
              <w:t>National Examinations and Assessment Division</w:t>
            </w:r>
          </w:p>
        </w:tc>
      </w:tr>
      <w:tr w:rsidR="00473EF0" w:rsidRPr="002F2555" w14:paraId="7D167045"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03E97514"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NEB</w:t>
            </w:r>
          </w:p>
        </w:tc>
        <w:tc>
          <w:tcPr>
            <w:tcW w:w="5953" w:type="dxa"/>
            <w:tcBorders>
              <w:top w:val="single" w:sz="4" w:space="0" w:color="4472C4" w:themeColor="accent1"/>
              <w:bottom w:val="single" w:sz="4" w:space="0" w:color="4472C4" w:themeColor="accent1"/>
            </w:tcBorders>
          </w:tcPr>
          <w:p w14:paraId="2E3D3491" w14:textId="77777777" w:rsidR="00473EF0" w:rsidRPr="002F2555" w:rsidRDefault="00473EF0" w:rsidP="00561D11">
            <w:pPr>
              <w:spacing w:beforeLines="20" w:before="48" w:afterLines="20" w:after="48"/>
              <w:rPr>
                <w:rFonts w:ascii="Calibri" w:hAnsi="Calibri" w:cs="Calibri"/>
                <w:sz w:val="21"/>
                <w:szCs w:val="21"/>
                <w:lang w:val="en-AU"/>
              </w:rPr>
            </w:pPr>
            <w:r>
              <w:rPr>
                <w:rFonts w:ascii="Calibri" w:hAnsi="Calibri" w:cs="Calibri"/>
                <w:sz w:val="21"/>
                <w:szCs w:val="21"/>
                <w:lang w:val="en-AU"/>
              </w:rPr>
              <w:t>National Education Board</w:t>
            </w:r>
          </w:p>
        </w:tc>
      </w:tr>
      <w:tr w:rsidR="00473EF0" w:rsidRPr="002F2555" w14:paraId="6FC63FDF"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60DDFFD9"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sidRPr="002F2555">
              <w:rPr>
                <w:rFonts w:ascii="Calibri" w:hAnsi="Calibri" w:cs="Calibri"/>
                <w:b/>
                <w:color w:val="FFFFFF" w:themeColor="background1"/>
                <w:sz w:val="21"/>
                <w:szCs w:val="21"/>
                <w:lang w:val="en-AU"/>
              </w:rPr>
              <w:t>NER</w:t>
            </w:r>
          </w:p>
        </w:tc>
        <w:tc>
          <w:tcPr>
            <w:tcW w:w="5953" w:type="dxa"/>
            <w:tcBorders>
              <w:top w:val="single" w:sz="4" w:space="0" w:color="4472C4" w:themeColor="accent1"/>
              <w:bottom w:val="single" w:sz="4" w:space="0" w:color="4472C4" w:themeColor="accent1"/>
            </w:tcBorders>
          </w:tcPr>
          <w:p w14:paraId="3FAD208B" w14:textId="77777777" w:rsidR="00473EF0" w:rsidRPr="002F2555" w:rsidRDefault="00473EF0" w:rsidP="00561D11">
            <w:pPr>
              <w:spacing w:beforeLines="20" w:before="48" w:afterLines="20" w:after="48"/>
              <w:rPr>
                <w:rFonts w:ascii="Calibri" w:hAnsi="Calibri" w:cs="Calibri"/>
                <w:sz w:val="21"/>
                <w:szCs w:val="21"/>
                <w:lang w:val="en-AU"/>
              </w:rPr>
            </w:pPr>
            <w:r w:rsidRPr="002F2555">
              <w:rPr>
                <w:rFonts w:ascii="Calibri" w:hAnsi="Calibri" w:cs="Calibri"/>
                <w:sz w:val="21"/>
                <w:szCs w:val="21"/>
                <w:lang w:val="en-AU"/>
              </w:rPr>
              <w:t>Net Enrolment Rate</w:t>
            </w:r>
          </w:p>
        </w:tc>
      </w:tr>
      <w:tr w:rsidR="00473EF0" w:rsidRPr="002F2555" w14:paraId="754893BA"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59F60948"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sidRPr="002F2555">
              <w:rPr>
                <w:rFonts w:ascii="Calibri" w:hAnsi="Calibri" w:cs="Calibri"/>
                <w:b/>
                <w:color w:val="FFFFFF" w:themeColor="background1"/>
                <w:sz w:val="21"/>
                <w:szCs w:val="21"/>
                <w:lang w:val="en-AU"/>
              </w:rPr>
              <w:t>PAR</w:t>
            </w:r>
          </w:p>
        </w:tc>
        <w:tc>
          <w:tcPr>
            <w:tcW w:w="5953" w:type="dxa"/>
            <w:tcBorders>
              <w:top w:val="single" w:sz="4" w:space="0" w:color="4472C4" w:themeColor="accent1"/>
              <w:bottom w:val="single" w:sz="4" w:space="0" w:color="4472C4" w:themeColor="accent1"/>
            </w:tcBorders>
          </w:tcPr>
          <w:p w14:paraId="4ECEF98E" w14:textId="77777777" w:rsidR="00473EF0" w:rsidRPr="002F2555" w:rsidRDefault="00473EF0" w:rsidP="00561D11">
            <w:pPr>
              <w:spacing w:beforeLines="20" w:before="48" w:afterLines="20" w:after="48"/>
              <w:rPr>
                <w:rFonts w:ascii="Calibri" w:hAnsi="Calibri" w:cs="Calibri"/>
                <w:sz w:val="21"/>
                <w:szCs w:val="21"/>
                <w:lang w:val="en-AU"/>
              </w:rPr>
            </w:pPr>
            <w:r w:rsidRPr="002F2555">
              <w:rPr>
                <w:rFonts w:ascii="Calibri" w:hAnsi="Calibri" w:cs="Calibri"/>
                <w:sz w:val="21"/>
                <w:szCs w:val="21"/>
                <w:lang w:val="en-AU"/>
              </w:rPr>
              <w:t>Performance Assessment Report</w:t>
            </w:r>
          </w:p>
        </w:tc>
      </w:tr>
      <w:tr w:rsidR="00473EF0" w:rsidRPr="002F2555" w14:paraId="773ECC3E"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7C5829EC"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sidRPr="002F2555">
              <w:rPr>
                <w:rFonts w:ascii="Calibri" w:hAnsi="Calibri" w:cs="Calibri"/>
                <w:b/>
                <w:color w:val="FFFFFF" w:themeColor="background1"/>
                <w:sz w:val="21"/>
                <w:szCs w:val="21"/>
                <w:lang w:val="en-AU"/>
              </w:rPr>
              <w:t>PEA</w:t>
            </w:r>
          </w:p>
        </w:tc>
        <w:tc>
          <w:tcPr>
            <w:tcW w:w="5953" w:type="dxa"/>
            <w:tcBorders>
              <w:top w:val="single" w:sz="4" w:space="0" w:color="4472C4" w:themeColor="accent1"/>
              <w:bottom w:val="single" w:sz="4" w:space="0" w:color="4472C4" w:themeColor="accent1"/>
            </w:tcBorders>
          </w:tcPr>
          <w:p w14:paraId="5D4D3D8A" w14:textId="77777777" w:rsidR="00473EF0" w:rsidRPr="002F2555" w:rsidRDefault="00473EF0" w:rsidP="00561D11">
            <w:pPr>
              <w:spacing w:beforeLines="20" w:before="48" w:afterLines="20" w:after="48"/>
              <w:rPr>
                <w:rFonts w:ascii="Calibri" w:hAnsi="Calibri" w:cs="Calibri"/>
                <w:sz w:val="21"/>
                <w:szCs w:val="21"/>
                <w:lang w:val="en-AU"/>
              </w:rPr>
            </w:pPr>
            <w:r w:rsidRPr="002F2555">
              <w:rPr>
                <w:rFonts w:ascii="Calibri" w:hAnsi="Calibri" w:cs="Calibri"/>
                <w:sz w:val="21"/>
                <w:szCs w:val="21"/>
                <w:lang w:val="en-AU"/>
              </w:rPr>
              <w:t>Provincial Education Authority</w:t>
            </w:r>
          </w:p>
        </w:tc>
      </w:tr>
      <w:tr w:rsidR="00B62989" w:rsidRPr="002F2555" w14:paraId="47E0CDC4"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0D7D8341" w14:textId="1624AA02" w:rsidR="00B62989" w:rsidRPr="002F2555" w:rsidRDefault="00B62989" w:rsidP="00561D11">
            <w:pPr>
              <w:spacing w:beforeLines="20" w:before="48" w:afterLines="20" w:after="48"/>
              <w:rPr>
                <w:rFonts w:ascii="Calibri" w:hAnsi="Calibri" w:cs="Calibri"/>
                <w:b/>
                <w:color w:val="FFFFFF" w:themeColor="background1"/>
                <w:sz w:val="21"/>
                <w:szCs w:val="21"/>
                <w:lang w:val="en-AU"/>
              </w:rPr>
            </w:pPr>
            <w:r w:rsidRPr="00B62989">
              <w:rPr>
                <w:rFonts w:ascii="Calibri" w:hAnsi="Calibri" w:cs="Calibri"/>
                <w:b/>
                <w:color w:val="FFFFFF" w:themeColor="background1"/>
                <w:sz w:val="21"/>
                <w:szCs w:val="21"/>
                <w:lang w:val="en-AU"/>
              </w:rPr>
              <w:t>PEDF</w:t>
            </w:r>
          </w:p>
        </w:tc>
        <w:tc>
          <w:tcPr>
            <w:tcW w:w="5953" w:type="dxa"/>
            <w:tcBorders>
              <w:top w:val="single" w:sz="4" w:space="0" w:color="4472C4" w:themeColor="accent1"/>
              <w:bottom w:val="single" w:sz="4" w:space="0" w:color="4472C4" w:themeColor="accent1"/>
            </w:tcBorders>
          </w:tcPr>
          <w:p w14:paraId="232119A0" w14:textId="4E119E2A" w:rsidR="00B62989" w:rsidRPr="002F2555" w:rsidRDefault="00B62989" w:rsidP="00561D11">
            <w:pPr>
              <w:spacing w:beforeLines="20" w:before="48" w:afterLines="20" w:after="48"/>
              <w:rPr>
                <w:rFonts w:ascii="Calibri" w:hAnsi="Calibri" w:cs="Calibri"/>
                <w:sz w:val="21"/>
                <w:szCs w:val="21"/>
                <w:lang w:val="en-AU"/>
              </w:rPr>
            </w:pPr>
            <w:r w:rsidRPr="00B62989">
              <w:rPr>
                <w:rFonts w:ascii="Calibri" w:hAnsi="Calibri" w:cs="Calibri"/>
                <w:sz w:val="21"/>
                <w:szCs w:val="21"/>
                <w:lang w:val="en-AU"/>
              </w:rPr>
              <w:t>Pacific Education Development Framework</w:t>
            </w:r>
          </w:p>
        </w:tc>
      </w:tr>
      <w:tr w:rsidR="00473EF0" w:rsidRPr="002F2555" w14:paraId="5E6C0203"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3F2E630E"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PFM</w:t>
            </w:r>
          </w:p>
        </w:tc>
        <w:tc>
          <w:tcPr>
            <w:tcW w:w="5953" w:type="dxa"/>
            <w:tcBorders>
              <w:top w:val="single" w:sz="4" w:space="0" w:color="4472C4" w:themeColor="accent1"/>
              <w:bottom w:val="single" w:sz="4" w:space="0" w:color="4472C4" w:themeColor="accent1"/>
            </w:tcBorders>
          </w:tcPr>
          <w:p w14:paraId="719AE5BA" w14:textId="77777777" w:rsidR="00473EF0" w:rsidRPr="002F2555" w:rsidRDefault="00473EF0" w:rsidP="00561D11">
            <w:pPr>
              <w:spacing w:beforeLines="20" w:before="48" w:afterLines="20" w:after="48"/>
              <w:rPr>
                <w:rFonts w:ascii="Calibri" w:hAnsi="Calibri" w:cs="Calibri"/>
                <w:sz w:val="21"/>
                <w:szCs w:val="21"/>
                <w:lang w:val="en-AU"/>
              </w:rPr>
            </w:pPr>
            <w:r w:rsidRPr="002F2555">
              <w:rPr>
                <w:rFonts w:ascii="Calibri" w:hAnsi="Calibri" w:cs="Calibri"/>
                <w:sz w:val="21"/>
                <w:szCs w:val="21"/>
                <w:lang w:val="en-AU"/>
              </w:rPr>
              <w:t>Public Financ</w:t>
            </w:r>
            <w:r>
              <w:rPr>
                <w:rFonts w:ascii="Calibri" w:hAnsi="Calibri" w:cs="Calibri"/>
                <w:sz w:val="21"/>
                <w:szCs w:val="21"/>
                <w:lang w:val="en-AU"/>
              </w:rPr>
              <w:t>ial</w:t>
            </w:r>
            <w:r w:rsidRPr="002F2555">
              <w:rPr>
                <w:rFonts w:ascii="Calibri" w:hAnsi="Calibri" w:cs="Calibri"/>
                <w:sz w:val="21"/>
                <w:szCs w:val="21"/>
                <w:lang w:val="en-AU"/>
              </w:rPr>
              <w:t xml:space="preserve"> Management</w:t>
            </w:r>
          </w:p>
        </w:tc>
      </w:tr>
      <w:tr w:rsidR="00EB71B1" w:rsidRPr="002F2555" w14:paraId="45826B1F"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1A118E46" w14:textId="4F2E128F" w:rsidR="00EB71B1" w:rsidRDefault="00EB71B1"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PILNA</w:t>
            </w:r>
          </w:p>
        </w:tc>
        <w:tc>
          <w:tcPr>
            <w:tcW w:w="5953" w:type="dxa"/>
            <w:tcBorders>
              <w:top w:val="single" w:sz="4" w:space="0" w:color="4472C4" w:themeColor="accent1"/>
              <w:bottom w:val="single" w:sz="4" w:space="0" w:color="4472C4" w:themeColor="accent1"/>
            </w:tcBorders>
          </w:tcPr>
          <w:p w14:paraId="2E8BD54B" w14:textId="3F9B5DA3" w:rsidR="00EB71B1" w:rsidRPr="002F2555" w:rsidRDefault="00EB71B1" w:rsidP="00561D11">
            <w:pPr>
              <w:spacing w:beforeLines="20" w:before="48" w:afterLines="20" w:after="48"/>
              <w:rPr>
                <w:rFonts w:ascii="Calibri" w:hAnsi="Calibri" w:cs="Calibri"/>
                <w:sz w:val="21"/>
                <w:szCs w:val="21"/>
                <w:lang w:val="en-AU"/>
              </w:rPr>
            </w:pPr>
            <w:r>
              <w:rPr>
                <w:rFonts w:ascii="Calibri" w:hAnsi="Calibri" w:cs="Calibri"/>
                <w:sz w:val="21"/>
                <w:szCs w:val="21"/>
                <w:lang w:val="en-AU"/>
              </w:rPr>
              <w:t>Pacific Islands Literacy and Numeracy Assessment</w:t>
            </w:r>
          </w:p>
        </w:tc>
      </w:tr>
      <w:tr w:rsidR="00473EF0" w:rsidRPr="002F2555" w14:paraId="09695B75"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7096073A"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sidRPr="002F2555">
              <w:rPr>
                <w:rFonts w:ascii="Calibri" w:hAnsi="Calibri" w:cs="Calibri"/>
                <w:b/>
                <w:color w:val="FFFFFF" w:themeColor="background1"/>
                <w:sz w:val="21"/>
                <w:szCs w:val="21"/>
                <w:lang w:val="en-AU"/>
              </w:rPr>
              <w:t>PPY</w:t>
            </w:r>
          </w:p>
        </w:tc>
        <w:tc>
          <w:tcPr>
            <w:tcW w:w="5953" w:type="dxa"/>
            <w:tcBorders>
              <w:top w:val="single" w:sz="4" w:space="0" w:color="4472C4" w:themeColor="accent1"/>
              <w:bottom w:val="single" w:sz="4" w:space="0" w:color="4472C4" w:themeColor="accent1"/>
            </w:tcBorders>
          </w:tcPr>
          <w:p w14:paraId="46A0299E" w14:textId="77777777" w:rsidR="00473EF0" w:rsidRPr="002F2555" w:rsidRDefault="00473EF0" w:rsidP="00561D11">
            <w:pPr>
              <w:spacing w:beforeLines="20" w:before="48" w:afterLines="20" w:after="48"/>
              <w:rPr>
                <w:rFonts w:ascii="Calibri" w:hAnsi="Calibri" w:cs="Calibri"/>
                <w:sz w:val="21"/>
                <w:szCs w:val="21"/>
                <w:lang w:val="en-AU"/>
              </w:rPr>
            </w:pPr>
            <w:r>
              <w:rPr>
                <w:rFonts w:ascii="Calibri" w:hAnsi="Calibri" w:cs="Calibri"/>
                <w:sz w:val="21"/>
                <w:szCs w:val="21"/>
                <w:lang w:val="en-AU"/>
              </w:rPr>
              <w:t xml:space="preserve">Pre-Primary </w:t>
            </w:r>
            <w:r w:rsidRPr="002F2555">
              <w:rPr>
                <w:rFonts w:ascii="Calibri" w:hAnsi="Calibri" w:cs="Calibri"/>
                <w:sz w:val="21"/>
                <w:szCs w:val="21"/>
                <w:lang w:val="en-AU"/>
              </w:rPr>
              <w:t xml:space="preserve">Year </w:t>
            </w:r>
          </w:p>
        </w:tc>
      </w:tr>
      <w:tr w:rsidR="00184558" w:rsidRPr="002F2555" w14:paraId="291AA29A"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28FE2476" w14:textId="27228051" w:rsidR="00184558" w:rsidRPr="002F2555" w:rsidRDefault="00184558"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PLD</w:t>
            </w:r>
          </w:p>
        </w:tc>
        <w:tc>
          <w:tcPr>
            <w:tcW w:w="5953" w:type="dxa"/>
            <w:tcBorders>
              <w:top w:val="single" w:sz="4" w:space="0" w:color="4472C4" w:themeColor="accent1"/>
              <w:bottom w:val="single" w:sz="4" w:space="0" w:color="4472C4" w:themeColor="accent1"/>
            </w:tcBorders>
          </w:tcPr>
          <w:p w14:paraId="38C999B6" w14:textId="1602CEC3" w:rsidR="00184558" w:rsidRDefault="00184558" w:rsidP="00561D11">
            <w:pPr>
              <w:spacing w:beforeLines="20" w:before="48" w:afterLines="20" w:after="48"/>
              <w:rPr>
                <w:rFonts w:ascii="Calibri" w:hAnsi="Calibri" w:cs="Calibri"/>
                <w:sz w:val="21"/>
                <w:szCs w:val="21"/>
                <w:lang w:val="en-AU"/>
              </w:rPr>
            </w:pPr>
            <w:r w:rsidRPr="00184558">
              <w:rPr>
                <w:rFonts w:ascii="Calibri" w:hAnsi="Calibri" w:cs="Calibri"/>
                <w:sz w:val="21"/>
                <w:szCs w:val="21"/>
                <w:lang w:val="en-AU"/>
              </w:rPr>
              <w:t>Professional Learning and Development</w:t>
            </w:r>
          </w:p>
        </w:tc>
      </w:tr>
      <w:tr w:rsidR="009357B4" w:rsidRPr="002F2555" w14:paraId="7A05716C"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0503A4A4" w14:textId="0FA4EF2F" w:rsidR="009357B4" w:rsidRDefault="009357B4"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SSE</w:t>
            </w:r>
          </w:p>
        </w:tc>
        <w:tc>
          <w:tcPr>
            <w:tcW w:w="5953" w:type="dxa"/>
            <w:tcBorders>
              <w:top w:val="single" w:sz="4" w:space="0" w:color="4472C4" w:themeColor="accent1"/>
              <w:bottom w:val="single" w:sz="4" w:space="0" w:color="4472C4" w:themeColor="accent1"/>
            </w:tcBorders>
          </w:tcPr>
          <w:p w14:paraId="77CFCD57" w14:textId="0C0ECF6A" w:rsidR="009357B4" w:rsidRPr="00184558" w:rsidRDefault="009357B4" w:rsidP="00561D11">
            <w:pPr>
              <w:spacing w:beforeLines="20" w:before="48" w:afterLines="20" w:after="48"/>
              <w:rPr>
                <w:rFonts w:ascii="Calibri" w:hAnsi="Calibri" w:cs="Calibri"/>
                <w:sz w:val="21"/>
                <w:szCs w:val="21"/>
                <w:lang w:val="en-AU"/>
              </w:rPr>
            </w:pPr>
            <w:r w:rsidRPr="009357B4">
              <w:rPr>
                <w:rFonts w:ascii="Calibri" w:hAnsi="Calibri" w:cs="Calibri"/>
                <w:sz w:val="21"/>
                <w:szCs w:val="21"/>
                <w:lang w:val="en-AU"/>
              </w:rPr>
              <w:t>School Self-evaluation</w:t>
            </w:r>
          </w:p>
        </w:tc>
      </w:tr>
      <w:tr w:rsidR="00473EF0" w:rsidRPr="002F2555" w14:paraId="114CD360"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29E64ECD"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SIEMIS</w:t>
            </w:r>
          </w:p>
        </w:tc>
        <w:tc>
          <w:tcPr>
            <w:tcW w:w="5953" w:type="dxa"/>
            <w:tcBorders>
              <w:top w:val="single" w:sz="4" w:space="0" w:color="4472C4" w:themeColor="accent1"/>
              <w:bottom w:val="single" w:sz="4" w:space="0" w:color="4472C4" w:themeColor="accent1"/>
            </w:tcBorders>
          </w:tcPr>
          <w:p w14:paraId="0369EA44" w14:textId="77777777" w:rsidR="00473EF0" w:rsidRPr="002F2555" w:rsidRDefault="00473EF0" w:rsidP="00561D11">
            <w:pPr>
              <w:spacing w:beforeLines="20" w:before="48" w:afterLines="20" w:after="48"/>
              <w:rPr>
                <w:rFonts w:ascii="Calibri" w:hAnsi="Calibri" w:cs="Calibri"/>
                <w:sz w:val="21"/>
                <w:szCs w:val="21"/>
                <w:lang w:val="en-AU"/>
              </w:rPr>
            </w:pPr>
            <w:r>
              <w:rPr>
                <w:rFonts w:ascii="Calibri" w:hAnsi="Calibri" w:cs="Calibri"/>
                <w:sz w:val="21"/>
                <w:szCs w:val="21"/>
                <w:lang w:val="en-AU"/>
              </w:rPr>
              <w:t>Solomon Islands Education Management Information System</w:t>
            </w:r>
          </w:p>
        </w:tc>
      </w:tr>
      <w:tr w:rsidR="00473EF0" w:rsidRPr="002F2555" w14:paraId="6499079A"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4B55C4D8"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SIMS</w:t>
            </w:r>
          </w:p>
        </w:tc>
        <w:tc>
          <w:tcPr>
            <w:tcW w:w="5953" w:type="dxa"/>
            <w:tcBorders>
              <w:top w:val="single" w:sz="4" w:space="0" w:color="4472C4" w:themeColor="accent1"/>
              <w:bottom w:val="single" w:sz="4" w:space="0" w:color="4472C4" w:themeColor="accent1"/>
            </w:tcBorders>
          </w:tcPr>
          <w:p w14:paraId="346D6A70" w14:textId="77777777" w:rsidR="00473EF0" w:rsidRPr="002F2555" w:rsidRDefault="00473EF0" w:rsidP="00561D11">
            <w:pPr>
              <w:spacing w:beforeLines="20" w:before="48" w:afterLines="20" w:after="48"/>
              <w:rPr>
                <w:rFonts w:ascii="Calibri" w:hAnsi="Calibri" w:cs="Calibri"/>
                <w:sz w:val="21"/>
                <w:szCs w:val="21"/>
                <w:lang w:val="en-AU"/>
              </w:rPr>
            </w:pPr>
            <w:r>
              <w:rPr>
                <w:rFonts w:ascii="Calibri" w:hAnsi="Calibri" w:cs="Calibri"/>
                <w:sz w:val="21"/>
                <w:szCs w:val="21"/>
                <w:lang w:val="en-AU"/>
              </w:rPr>
              <w:t>Scholarship Information Management System</w:t>
            </w:r>
          </w:p>
        </w:tc>
      </w:tr>
      <w:tr w:rsidR="00473EF0" w:rsidRPr="002F2555" w14:paraId="67E87BF8"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5DC592A2" w14:textId="6CFEBC4B"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SISE</w:t>
            </w:r>
            <w:r w:rsidR="00EB71B1">
              <w:rPr>
                <w:rFonts w:ascii="Calibri" w:hAnsi="Calibri" w:cs="Calibri"/>
                <w:b/>
                <w:color w:val="FFFFFF" w:themeColor="background1"/>
                <w:sz w:val="21"/>
                <w:szCs w:val="21"/>
                <w:lang w:val="en-AU"/>
              </w:rPr>
              <w:t>E</w:t>
            </w:r>
          </w:p>
        </w:tc>
        <w:tc>
          <w:tcPr>
            <w:tcW w:w="5953" w:type="dxa"/>
            <w:tcBorders>
              <w:top w:val="single" w:sz="4" w:space="0" w:color="4472C4" w:themeColor="accent1"/>
              <w:bottom w:val="single" w:sz="4" w:space="0" w:color="4472C4" w:themeColor="accent1"/>
            </w:tcBorders>
          </w:tcPr>
          <w:p w14:paraId="7F973C12" w14:textId="77777777" w:rsidR="00473EF0" w:rsidRPr="002F2555" w:rsidRDefault="00473EF0" w:rsidP="00561D11">
            <w:pPr>
              <w:spacing w:beforeLines="20" w:before="48" w:afterLines="20" w:after="48"/>
              <w:rPr>
                <w:rFonts w:ascii="Calibri" w:hAnsi="Calibri" w:cs="Calibri"/>
                <w:sz w:val="21"/>
                <w:szCs w:val="21"/>
                <w:lang w:val="en-AU"/>
              </w:rPr>
            </w:pPr>
            <w:r>
              <w:rPr>
                <w:rFonts w:ascii="Calibri" w:hAnsi="Calibri" w:cs="Calibri"/>
                <w:sz w:val="21"/>
                <w:szCs w:val="21"/>
                <w:lang w:val="en-AU"/>
              </w:rPr>
              <w:t>Solomon Islands Secondary Entrance (Examination)</w:t>
            </w:r>
          </w:p>
        </w:tc>
      </w:tr>
      <w:tr w:rsidR="00473EF0" w:rsidRPr="002F2555" w14:paraId="41DB6197"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5CE8B5A1"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sidRPr="002F2555">
              <w:rPr>
                <w:rFonts w:ascii="Calibri" w:hAnsi="Calibri" w:cs="Calibri"/>
                <w:b/>
                <w:color w:val="FFFFFF" w:themeColor="background1"/>
                <w:sz w:val="21"/>
                <w:szCs w:val="21"/>
                <w:lang w:val="en-AU"/>
              </w:rPr>
              <w:t>SIG</w:t>
            </w:r>
          </w:p>
        </w:tc>
        <w:tc>
          <w:tcPr>
            <w:tcW w:w="5953" w:type="dxa"/>
            <w:tcBorders>
              <w:top w:val="single" w:sz="4" w:space="0" w:color="4472C4" w:themeColor="accent1"/>
              <w:bottom w:val="single" w:sz="4" w:space="0" w:color="4472C4" w:themeColor="accent1"/>
            </w:tcBorders>
          </w:tcPr>
          <w:p w14:paraId="668CC7D7" w14:textId="77777777" w:rsidR="00473EF0" w:rsidRPr="002F2555" w:rsidRDefault="00473EF0" w:rsidP="00561D11">
            <w:pPr>
              <w:spacing w:beforeLines="20" w:before="48" w:afterLines="20" w:after="48"/>
              <w:rPr>
                <w:rFonts w:ascii="Calibri" w:hAnsi="Calibri" w:cs="Calibri"/>
                <w:sz w:val="21"/>
                <w:szCs w:val="21"/>
                <w:lang w:val="en-AU"/>
              </w:rPr>
            </w:pPr>
            <w:r w:rsidRPr="002F2555">
              <w:rPr>
                <w:rFonts w:ascii="Calibri" w:hAnsi="Calibri" w:cs="Calibri"/>
                <w:sz w:val="21"/>
                <w:szCs w:val="21"/>
                <w:lang w:val="en-AU"/>
              </w:rPr>
              <w:t>Solomon Islands Government</w:t>
            </w:r>
          </w:p>
        </w:tc>
      </w:tr>
      <w:tr w:rsidR="00473EF0" w:rsidRPr="002F2555" w14:paraId="400488E6"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183BB992"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SINU</w:t>
            </w:r>
          </w:p>
        </w:tc>
        <w:tc>
          <w:tcPr>
            <w:tcW w:w="5953" w:type="dxa"/>
            <w:tcBorders>
              <w:top w:val="single" w:sz="4" w:space="0" w:color="4472C4" w:themeColor="accent1"/>
              <w:bottom w:val="single" w:sz="4" w:space="0" w:color="4472C4" w:themeColor="accent1"/>
            </w:tcBorders>
          </w:tcPr>
          <w:p w14:paraId="464AD61A" w14:textId="77777777" w:rsidR="00473EF0" w:rsidRPr="002F2555" w:rsidRDefault="00473EF0" w:rsidP="00561D11">
            <w:pPr>
              <w:spacing w:beforeLines="20" w:before="48" w:afterLines="20" w:after="48"/>
              <w:rPr>
                <w:rFonts w:ascii="Calibri" w:hAnsi="Calibri" w:cs="Calibri"/>
                <w:sz w:val="21"/>
                <w:szCs w:val="21"/>
                <w:lang w:val="en-AU"/>
              </w:rPr>
            </w:pPr>
            <w:r>
              <w:rPr>
                <w:rFonts w:ascii="Calibri" w:hAnsi="Calibri" w:cs="Calibri"/>
                <w:sz w:val="21"/>
                <w:szCs w:val="21"/>
                <w:lang w:val="en-AU"/>
              </w:rPr>
              <w:t>Solomon Islands National University</w:t>
            </w:r>
          </w:p>
        </w:tc>
      </w:tr>
      <w:tr w:rsidR="00E70B3A" w:rsidRPr="002F2555" w14:paraId="397D36AF"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69ACBFAC" w14:textId="7AC8FC24" w:rsidR="00E70B3A" w:rsidRDefault="00E70B3A"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SIRF</w:t>
            </w:r>
          </w:p>
        </w:tc>
        <w:tc>
          <w:tcPr>
            <w:tcW w:w="5953" w:type="dxa"/>
            <w:tcBorders>
              <w:top w:val="single" w:sz="4" w:space="0" w:color="4472C4" w:themeColor="accent1"/>
              <w:bottom w:val="single" w:sz="4" w:space="0" w:color="4472C4" w:themeColor="accent1"/>
            </w:tcBorders>
          </w:tcPr>
          <w:p w14:paraId="2342171B" w14:textId="5D26B686" w:rsidR="00E70B3A" w:rsidRPr="00700CE7" w:rsidRDefault="00E70B3A" w:rsidP="00561D11">
            <w:pPr>
              <w:spacing w:beforeLines="20" w:before="48" w:afterLines="20" w:after="48"/>
              <w:rPr>
                <w:rFonts w:ascii="Calibri" w:eastAsia="Times New Roman" w:hAnsi="Calibri"/>
                <w:sz w:val="21"/>
                <w:szCs w:val="21"/>
              </w:rPr>
            </w:pPr>
            <w:r>
              <w:rPr>
                <w:rFonts w:ascii="Calibri" w:eastAsia="Times New Roman" w:hAnsi="Calibri"/>
                <w:sz w:val="21"/>
                <w:szCs w:val="21"/>
              </w:rPr>
              <w:t>Solomon Islands Resource Facility</w:t>
            </w:r>
          </w:p>
        </w:tc>
      </w:tr>
      <w:tr w:rsidR="00473EF0" w:rsidRPr="002F2555" w14:paraId="46844574"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0904B726"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SISTA</w:t>
            </w:r>
          </w:p>
        </w:tc>
        <w:tc>
          <w:tcPr>
            <w:tcW w:w="5953" w:type="dxa"/>
            <w:tcBorders>
              <w:top w:val="single" w:sz="4" w:space="0" w:color="4472C4" w:themeColor="accent1"/>
              <w:bottom w:val="single" w:sz="4" w:space="0" w:color="4472C4" w:themeColor="accent1"/>
            </w:tcBorders>
          </w:tcPr>
          <w:p w14:paraId="14F2ED3F" w14:textId="77777777" w:rsidR="00473EF0" w:rsidRPr="001576AC" w:rsidRDefault="00473EF0" w:rsidP="00561D11">
            <w:pPr>
              <w:spacing w:beforeLines="20" w:before="48" w:afterLines="20" w:after="48"/>
              <w:rPr>
                <w:rFonts w:ascii="Calibri" w:hAnsi="Calibri" w:cs="Calibri"/>
                <w:sz w:val="21"/>
                <w:szCs w:val="21"/>
                <w:lang w:val="en-AU"/>
              </w:rPr>
            </w:pPr>
            <w:r w:rsidRPr="00700CE7">
              <w:rPr>
                <w:rFonts w:ascii="Calibri" w:eastAsia="Times New Roman" w:hAnsi="Calibri"/>
                <w:sz w:val="21"/>
                <w:szCs w:val="21"/>
              </w:rPr>
              <w:t xml:space="preserve">Solomon Islands </w:t>
            </w:r>
            <w:proofErr w:type="spellStart"/>
            <w:r w:rsidRPr="00700CE7">
              <w:rPr>
                <w:rFonts w:ascii="Calibri" w:eastAsia="Times New Roman" w:hAnsi="Calibri"/>
                <w:sz w:val="21"/>
                <w:szCs w:val="21"/>
              </w:rPr>
              <w:t>Standardi</w:t>
            </w:r>
            <w:r>
              <w:rPr>
                <w:rFonts w:ascii="Calibri" w:eastAsia="Times New Roman" w:hAnsi="Calibri"/>
                <w:sz w:val="21"/>
                <w:szCs w:val="21"/>
              </w:rPr>
              <w:t>s</w:t>
            </w:r>
            <w:r w:rsidRPr="00700CE7">
              <w:rPr>
                <w:rFonts w:ascii="Calibri" w:eastAsia="Times New Roman" w:hAnsi="Calibri"/>
                <w:sz w:val="21"/>
                <w:szCs w:val="21"/>
              </w:rPr>
              <w:t>ed</w:t>
            </w:r>
            <w:proofErr w:type="spellEnd"/>
            <w:r w:rsidRPr="00700CE7">
              <w:rPr>
                <w:rFonts w:ascii="Calibri" w:eastAsia="Times New Roman" w:hAnsi="Calibri"/>
                <w:sz w:val="21"/>
                <w:szCs w:val="21"/>
              </w:rPr>
              <w:t xml:space="preserve"> Tests of Achievement </w:t>
            </w:r>
          </w:p>
        </w:tc>
      </w:tr>
      <w:tr w:rsidR="00473EF0" w:rsidRPr="002F2555" w14:paraId="5A8BEC50"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5B695C7D"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sidRPr="002F2555">
              <w:rPr>
                <w:rFonts w:ascii="Calibri" w:hAnsi="Calibri" w:cs="Calibri"/>
                <w:b/>
                <w:color w:val="FFFFFF" w:themeColor="background1"/>
                <w:sz w:val="21"/>
                <w:szCs w:val="21"/>
                <w:lang w:val="en-AU"/>
              </w:rPr>
              <w:t>SITESA</w:t>
            </w:r>
          </w:p>
        </w:tc>
        <w:tc>
          <w:tcPr>
            <w:tcW w:w="5953" w:type="dxa"/>
            <w:tcBorders>
              <w:top w:val="single" w:sz="4" w:space="0" w:color="4472C4" w:themeColor="accent1"/>
              <w:bottom w:val="single" w:sz="4" w:space="0" w:color="4472C4" w:themeColor="accent1"/>
            </w:tcBorders>
          </w:tcPr>
          <w:p w14:paraId="740E1015" w14:textId="77777777" w:rsidR="00473EF0" w:rsidRPr="002F2555" w:rsidRDefault="00473EF0" w:rsidP="00561D11">
            <w:pPr>
              <w:spacing w:beforeLines="20" w:before="48" w:afterLines="20" w:after="48"/>
              <w:rPr>
                <w:rFonts w:ascii="Calibri" w:hAnsi="Calibri" w:cs="Calibri"/>
                <w:sz w:val="21"/>
                <w:szCs w:val="21"/>
                <w:lang w:val="en-AU"/>
              </w:rPr>
            </w:pPr>
            <w:r w:rsidRPr="002F2555">
              <w:rPr>
                <w:rFonts w:ascii="Calibri" w:hAnsi="Calibri" w:cs="Calibri"/>
                <w:sz w:val="21"/>
                <w:szCs w:val="21"/>
                <w:lang w:val="en-AU"/>
              </w:rPr>
              <w:t>Solomon Islands Tertiary Education and Skills Authority</w:t>
            </w:r>
          </w:p>
        </w:tc>
      </w:tr>
      <w:tr w:rsidR="00473EF0" w:rsidRPr="002F2555" w14:paraId="6AAAA702"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44F5AE7A"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sidRPr="002F2555">
              <w:rPr>
                <w:rFonts w:ascii="Calibri" w:hAnsi="Calibri" w:cs="Calibri"/>
                <w:b/>
                <w:color w:val="FFFFFF" w:themeColor="background1"/>
                <w:sz w:val="21"/>
                <w:szCs w:val="21"/>
                <w:lang w:val="en-AU"/>
              </w:rPr>
              <w:t>SMT</w:t>
            </w:r>
          </w:p>
        </w:tc>
        <w:tc>
          <w:tcPr>
            <w:tcW w:w="5953" w:type="dxa"/>
            <w:tcBorders>
              <w:top w:val="single" w:sz="4" w:space="0" w:color="4472C4" w:themeColor="accent1"/>
              <w:bottom w:val="single" w:sz="4" w:space="0" w:color="4472C4" w:themeColor="accent1"/>
            </w:tcBorders>
          </w:tcPr>
          <w:p w14:paraId="20334A00" w14:textId="77777777" w:rsidR="00473EF0" w:rsidRPr="002F2555" w:rsidRDefault="00473EF0" w:rsidP="00561D11">
            <w:pPr>
              <w:spacing w:beforeLines="20" w:before="48" w:afterLines="20" w:after="48"/>
              <w:rPr>
                <w:rFonts w:ascii="Calibri" w:hAnsi="Calibri" w:cs="Calibri"/>
                <w:sz w:val="21"/>
                <w:szCs w:val="21"/>
                <w:lang w:val="en-AU"/>
              </w:rPr>
            </w:pPr>
            <w:r w:rsidRPr="002F2555">
              <w:rPr>
                <w:rFonts w:ascii="Calibri" w:hAnsi="Calibri" w:cs="Calibri"/>
                <w:sz w:val="21"/>
                <w:szCs w:val="21"/>
                <w:lang w:val="en-AU"/>
              </w:rPr>
              <w:t>Senior Management Team</w:t>
            </w:r>
          </w:p>
        </w:tc>
      </w:tr>
      <w:tr w:rsidR="00473EF0" w:rsidRPr="002F2555" w14:paraId="1148654E"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430149A5"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sidRPr="002F2555">
              <w:rPr>
                <w:rFonts w:ascii="Calibri" w:hAnsi="Calibri" w:cs="Calibri"/>
                <w:b/>
                <w:color w:val="FFFFFF" w:themeColor="background1"/>
                <w:sz w:val="21"/>
                <w:szCs w:val="21"/>
                <w:lang w:val="en-AU"/>
              </w:rPr>
              <w:t>SSU</w:t>
            </w:r>
          </w:p>
        </w:tc>
        <w:tc>
          <w:tcPr>
            <w:tcW w:w="5953" w:type="dxa"/>
            <w:tcBorders>
              <w:top w:val="single" w:sz="4" w:space="0" w:color="4472C4" w:themeColor="accent1"/>
              <w:bottom w:val="single" w:sz="4" w:space="0" w:color="4472C4" w:themeColor="accent1"/>
            </w:tcBorders>
          </w:tcPr>
          <w:p w14:paraId="2373170F" w14:textId="77777777" w:rsidR="00473EF0" w:rsidRPr="002F2555" w:rsidRDefault="00473EF0" w:rsidP="00561D11">
            <w:pPr>
              <w:spacing w:beforeLines="20" w:before="48" w:afterLines="20" w:after="48"/>
              <w:rPr>
                <w:rFonts w:ascii="Calibri" w:hAnsi="Calibri" w:cs="Calibri"/>
                <w:sz w:val="21"/>
                <w:szCs w:val="21"/>
                <w:lang w:val="en-AU"/>
              </w:rPr>
            </w:pPr>
            <w:r w:rsidRPr="002F2555">
              <w:rPr>
                <w:rFonts w:ascii="Calibri" w:hAnsi="Calibri" w:cs="Calibri"/>
                <w:sz w:val="21"/>
                <w:szCs w:val="21"/>
                <w:lang w:val="en-AU"/>
              </w:rPr>
              <w:t>Strategic Support Unit – MEHRD</w:t>
            </w:r>
          </w:p>
        </w:tc>
      </w:tr>
      <w:tr w:rsidR="00473EF0" w:rsidRPr="002F2555" w14:paraId="04D0A87F"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2163266C" w14:textId="77777777" w:rsidR="00473EF0" w:rsidRPr="002F2555" w:rsidRDefault="00473EF0"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TG</w:t>
            </w:r>
          </w:p>
        </w:tc>
        <w:tc>
          <w:tcPr>
            <w:tcW w:w="5953" w:type="dxa"/>
            <w:tcBorders>
              <w:top w:val="single" w:sz="4" w:space="0" w:color="4472C4" w:themeColor="accent1"/>
              <w:bottom w:val="single" w:sz="4" w:space="0" w:color="4472C4" w:themeColor="accent1"/>
            </w:tcBorders>
          </w:tcPr>
          <w:p w14:paraId="73C5C2D7" w14:textId="77777777" w:rsidR="00473EF0" w:rsidRPr="002F2555" w:rsidRDefault="00473EF0" w:rsidP="00561D11">
            <w:pPr>
              <w:spacing w:beforeLines="20" w:before="48" w:afterLines="20" w:after="48"/>
              <w:rPr>
                <w:rFonts w:ascii="Calibri" w:hAnsi="Calibri" w:cs="Calibri"/>
                <w:sz w:val="21"/>
                <w:szCs w:val="21"/>
                <w:lang w:val="en-AU"/>
              </w:rPr>
            </w:pPr>
            <w:r>
              <w:rPr>
                <w:rFonts w:ascii="Calibri" w:hAnsi="Calibri" w:cs="Calibri"/>
                <w:sz w:val="21"/>
                <w:szCs w:val="21"/>
                <w:lang w:val="en-AU"/>
              </w:rPr>
              <w:t>Teacher Guide</w:t>
            </w:r>
          </w:p>
        </w:tc>
      </w:tr>
      <w:tr w:rsidR="00A747BF" w:rsidRPr="002F2555" w14:paraId="5326F0B0" w14:textId="77777777" w:rsidTr="00561D11">
        <w:tc>
          <w:tcPr>
            <w:tcW w:w="1418" w:type="dxa"/>
            <w:tcBorders>
              <w:top w:val="single" w:sz="4" w:space="0" w:color="FFFFFF" w:themeColor="background1"/>
              <w:bottom w:val="single" w:sz="4" w:space="0" w:color="FFFFFF" w:themeColor="background1"/>
            </w:tcBorders>
            <w:shd w:val="clear" w:color="auto" w:fill="4472C4" w:themeFill="accent1"/>
          </w:tcPr>
          <w:p w14:paraId="19138977" w14:textId="1BBD294D" w:rsidR="00A747BF" w:rsidRDefault="00A747BF"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TSOS</w:t>
            </w:r>
          </w:p>
        </w:tc>
        <w:tc>
          <w:tcPr>
            <w:tcW w:w="5953" w:type="dxa"/>
            <w:tcBorders>
              <w:top w:val="single" w:sz="4" w:space="0" w:color="4472C4" w:themeColor="accent1"/>
              <w:bottom w:val="single" w:sz="4" w:space="0" w:color="4472C4" w:themeColor="accent1"/>
            </w:tcBorders>
          </w:tcPr>
          <w:p w14:paraId="1D8D5C9F" w14:textId="6B57B7D1" w:rsidR="00A747BF" w:rsidRDefault="00A747BF" w:rsidP="00561D11">
            <w:pPr>
              <w:spacing w:beforeLines="20" w:before="48" w:afterLines="20" w:after="48"/>
              <w:rPr>
                <w:rFonts w:ascii="Calibri" w:hAnsi="Calibri" w:cs="Calibri"/>
                <w:sz w:val="21"/>
                <w:szCs w:val="21"/>
                <w:lang w:val="en-AU"/>
              </w:rPr>
            </w:pPr>
            <w:r w:rsidRPr="00A747BF">
              <w:rPr>
                <w:rFonts w:ascii="Calibri" w:hAnsi="Calibri" w:cs="Calibri"/>
                <w:sz w:val="21"/>
                <w:szCs w:val="21"/>
                <w:lang w:val="en-AU"/>
              </w:rPr>
              <w:t>Teachers Scheme of Service</w:t>
            </w:r>
          </w:p>
        </w:tc>
      </w:tr>
      <w:tr w:rsidR="00473EF0" w:rsidRPr="002F2555" w14:paraId="749E6494" w14:textId="77777777" w:rsidTr="007B0A74">
        <w:tc>
          <w:tcPr>
            <w:tcW w:w="1418" w:type="dxa"/>
            <w:tcBorders>
              <w:top w:val="single" w:sz="4" w:space="0" w:color="FFFFFF" w:themeColor="background1"/>
              <w:bottom w:val="single" w:sz="4" w:space="0" w:color="FFFFFF" w:themeColor="background1"/>
            </w:tcBorders>
            <w:shd w:val="clear" w:color="auto" w:fill="4472C4" w:themeFill="accent1"/>
          </w:tcPr>
          <w:p w14:paraId="53DCC350" w14:textId="77777777" w:rsidR="00473EF0" w:rsidRDefault="00473EF0"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TVET</w:t>
            </w:r>
          </w:p>
        </w:tc>
        <w:tc>
          <w:tcPr>
            <w:tcW w:w="5953" w:type="dxa"/>
            <w:tcBorders>
              <w:top w:val="single" w:sz="4" w:space="0" w:color="4472C4" w:themeColor="accent1"/>
              <w:bottom w:val="single" w:sz="4" w:space="0" w:color="4472C4" w:themeColor="accent1"/>
            </w:tcBorders>
          </w:tcPr>
          <w:p w14:paraId="573DB039" w14:textId="77777777" w:rsidR="00473EF0" w:rsidRDefault="00473EF0" w:rsidP="00561D11">
            <w:pPr>
              <w:spacing w:beforeLines="20" w:before="48" w:afterLines="20" w:after="48"/>
              <w:rPr>
                <w:rFonts w:ascii="Calibri" w:hAnsi="Calibri" w:cs="Calibri"/>
                <w:sz w:val="21"/>
                <w:szCs w:val="21"/>
                <w:lang w:val="en-AU"/>
              </w:rPr>
            </w:pPr>
            <w:r>
              <w:rPr>
                <w:rFonts w:ascii="Calibri" w:hAnsi="Calibri" w:cs="Calibri"/>
                <w:sz w:val="21"/>
                <w:szCs w:val="21"/>
                <w:lang w:val="en-AU"/>
              </w:rPr>
              <w:t>Technical, Vocational Education &amp; Training</w:t>
            </w:r>
          </w:p>
        </w:tc>
      </w:tr>
      <w:tr w:rsidR="007B0A74" w:rsidRPr="002F2555" w14:paraId="09F108D8" w14:textId="77777777" w:rsidTr="00561D11">
        <w:tc>
          <w:tcPr>
            <w:tcW w:w="1418" w:type="dxa"/>
            <w:tcBorders>
              <w:top w:val="single" w:sz="4" w:space="0" w:color="FFFFFF" w:themeColor="background1"/>
            </w:tcBorders>
            <w:shd w:val="clear" w:color="auto" w:fill="4472C4" w:themeFill="accent1"/>
          </w:tcPr>
          <w:p w14:paraId="107E124F" w14:textId="2CC57A9A" w:rsidR="007B0A74" w:rsidRDefault="007B0A74" w:rsidP="00561D11">
            <w:pPr>
              <w:spacing w:beforeLines="20" w:before="48" w:afterLines="20" w:after="48"/>
              <w:rPr>
                <w:rFonts w:ascii="Calibri" w:hAnsi="Calibri" w:cs="Calibri"/>
                <w:b/>
                <w:color w:val="FFFFFF" w:themeColor="background1"/>
                <w:sz w:val="21"/>
                <w:szCs w:val="21"/>
                <w:lang w:val="en-AU"/>
              </w:rPr>
            </w:pPr>
            <w:r>
              <w:rPr>
                <w:rFonts w:ascii="Calibri" w:hAnsi="Calibri" w:cs="Calibri"/>
                <w:b/>
                <w:color w:val="FFFFFF" w:themeColor="background1"/>
                <w:sz w:val="21"/>
                <w:szCs w:val="21"/>
                <w:lang w:val="en-AU"/>
              </w:rPr>
              <w:t>WSI</w:t>
            </w:r>
          </w:p>
        </w:tc>
        <w:tc>
          <w:tcPr>
            <w:tcW w:w="5953" w:type="dxa"/>
            <w:tcBorders>
              <w:top w:val="single" w:sz="4" w:space="0" w:color="4472C4" w:themeColor="accent1"/>
              <w:bottom w:val="single" w:sz="4" w:space="0" w:color="4472C4" w:themeColor="accent1"/>
            </w:tcBorders>
          </w:tcPr>
          <w:p w14:paraId="4F91081C" w14:textId="0BB08DC7" w:rsidR="007B0A74" w:rsidRDefault="007B0A74" w:rsidP="00561D11">
            <w:pPr>
              <w:spacing w:beforeLines="20" w:before="48" w:afterLines="20" w:after="48"/>
              <w:rPr>
                <w:rFonts w:ascii="Calibri" w:hAnsi="Calibri" w:cs="Calibri"/>
                <w:sz w:val="21"/>
                <w:szCs w:val="21"/>
                <w:lang w:val="en-AU"/>
              </w:rPr>
            </w:pPr>
            <w:r w:rsidRPr="007B0A74">
              <w:rPr>
                <w:rFonts w:ascii="Calibri" w:hAnsi="Calibri" w:cs="Calibri"/>
                <w:sz w:val="21"/>
                <w:szCs w:val="21"/>
                <w:lang w:val="en-AU"/>
              </w:rPr>
              <w:t>Whole School Inspection</w:t>
            </w:r>
          </w:p>
        </w:tc>
      </w:tr>
    </w:tbl>
    <w:p w14:paraId="517FAB20" w14:textId="25A80650" w:rsidR="006D596D" w:rsidRDefault="006D596D" w:rsidP="00C30634"/>
    <w:p w14:paraId="3A06FC23" w14:textId="77777777" w:rsidR="006D596D" w:rsidRDefault="006D596D">
      <w:pPr>
        <w:spacing w:after="160" w:line="259" w:lineRule="auto"/>
      </w:pPr>
      <w:r>
        <w:br w:type="page"/>
      </w:r>
    </w:p>
    <w:p w14:paraId="4BF4D13B" w14:textId="21C35867" w:rsidR="00413324" w:rsidRPr="00B62321" w:rsidRDefault="001435C6" w:rsidP="0015435E">
      <w:pPr>
        <w:pStyle w:val="Heading2"/>
        <w:numPr>
          <w:ilvl w:val="0"/>
          <w:numId w:val="19"/>
        </w:numPr>
        <w:shd w:val="clear" w:color="auto" w:fill="B4C6E7" w:themeFill="accent1" w:themeFillTint="66"/>
        <w:ind w:hanging="720"/>
        <w:rPr>
          <w:rFonts w:asciiTheme="minorHAnsi" w:hAnsiTheme="minorHAnsi" w:cstheme="minorHAnsi"/>
          <w:b/>
          <w:bCs/>
          <w:color w:val="1F4E79" w:themeColor="accent5" w:themeShade="80"/>
          <w:sz w:val="24"/>
          <w:szCs w:val="24"/>
        </w:rPr>
      </w:pPr>
      <w:bookmarkStart w:id="5" w:name="_Toc49858085"/>
      <w:r w:rsidRPr="00413324">
        <w:rPr>
          <w:rFonts w:asciiTheme="minorHAnsi" w:hAnsiTheme="minorHAnsi" w:cstheme="minorHAnsi"/>
          <w:b/>
          <w:bCs/>
          <w:color w:val="1F4E79" w:themeColor="accent5" w:themeShade="80"/>
          <w:sz w:val="24"/>
          <w:szCs w:val="24"/>
        </w:rPr>
        <w:t>Executive Summary</w:t>
      </w:r>
      <w:bookmarkEnd w:id="5"/>
    </w:p>
    <w:p w14:paraId="0DF8C26A" w14:textId="6955C777" w:rsidR="00A76720" w:rsidRDefault="001435C6" w:rsidP="0015435E">
      <w:pPr>
        <w:pStyle w:val="Bodytext11"/>
      </w:pPr>
      <w:r w:rsidRPr="001435C6">
        <w:t>Under the Solomon Islands Education Sector Support Program, Australia provides a performance linked aid</w:t>
      </w:r>
      <w:r w:rsidR="001A26AC">
        <w:t xml:space="preserve"> (PLA)</w:t>
      </w:r>
      <w:r w:rsidRPr="001435C6">
        <w:t xml:space="preserve"> payment yearly to the Ministry of Education and Human Resource Development (MEHRD) on the achievement of agreed targets</w:t>
      </w:r>
      <w:r w:rsidR="001A26AC">
        <w:rPr>
          <w:rStyle w:val="FootnoteReference"/>
        </w:rPr>
        <w:footnoteReference w:id="1"/>
      </w:r>
      <w:r w:rsidRPr="001435C6">
        <w:t xml:space="preserve"> set out in the Education Performance Matrix (EPM). This report details the findings </w:t>
      </w:r>
      <w:r w:rsidR="001A26AC">
        <w:t>from the assessment and suggestions for future PLA processes.</w:t>
      </w:r>
    </w:p>
    <w:p w14:paraId="235BBA42" w14:textId="77777777" w:rsidR="001435C6" w:rsidRDefault="001435C6" w:rsidP="0015435E">
      <w:pPr>
        <w:pStyle w:val="Bodytext11"/>
      </w:pPr>
      <w:r>
        <w:t>The findings, assessment and recommendations in this report are provided to AHC and MEHRD for consideration to assist with allocation of the PLA funding and to provide some guiding thoughts on how the PLA process can be further developed and applied as a performance improvement strategy.</w:t>
      </w:r>
    </w:p>
    <w:p w14:paraId="1CA62B2C" w14:textId="2B2A8845" w:rsidR="001435C6" w:rsidRDefault="001435C6" w:rsidP="0015435E">
      <w:pPr>
        <w:pStyle w:val="Bodytext11"/>
        <w:rPr>
          <w:rFonts w:cstheme="minorHAnsi"/>
          <w:lang w:val="en-AU"/>
        </w:rPr>
      </w:pPr>
      <w:r>
        <w:rPr>
          <w:rFonts w:cstheme="minorHAnsi"/>
          <w:lang w:val="en-AU"/>
        </w:rPr>
        <w:t xml:space="preserve">The 2019 EPM includes three priority areas: access, quality, and management systems. The current Direct Funding Arrangement (DFA) allocates a maximum payment of AUD$1,560,000.00 with equal weighting given to each </w:t>
      </w:r>
      <w:r w:rsidR="00C26E6E">
        <w:rPr>
          <w:rFonts w:cstheme="minorHAnsi"/>
          <w:lang w:val="en-AU"/>
        </w:rPr>
        <w:t xml:space="preserve">of 8 </w:t>
      </w:r>
      <w:r>
        <w:rPr>
          <w:rFonts w:cstheme="minorHAnsi"/>
          <w:lang w:val="en-AU"/>
        </w:rPr>
        <w:t>outcome</w:t>
      </w:r>
      <w:r w:rsidR="00C26E6E">
        <w:rPr>
          <w:rFonts w:cstheme="minorHAnsi"/>
          <w:lang w:val="en-AU"/>
        </w:rPr>
        <w:t>s</w:t>
      </w:r>
      <w:r>
        <w:rPr>
          <w:rFonts w:cstheme="minorHAnsi"/>
          <w:lang w:val="en-AU"/>
        </w:rPr>
        <w:t xml:space="preserve"> </w:t>
      </w:r>
      <w:proofErr w:type="gramStart"/>
      <w:r>
        <w:rPr>
          <w:rFonts w:cstheme="minorHAnsi"/>
          <w:lang w:val="en-AU"/>
        </w:rPr>
        <w:t>i.e.</w:t>
      </w:r>
      <w:proofErr w:type="gramEnd"/>
      <w:r>
        <w:rPr>
          <w:rFonts w:cstheme="minorHAnsi"/>
          <w:lang w:val="en-AU"/>
        </w:rPr>
        <w:t xml:space="preserve"> 1/8 = $195,000. A percentage of each allocation per outcome is then distributed to achievement towards 1</w:t>
      </w:r>
      <w:r w:rsidR="00E70B3A">
        <w:rPr>
          <w:rFonts w:cstheme="minorHAnsi"/>
          <w:lang w:val="en-AU"/>
        </w:rPr>
        <w:t>4</w:t>
      </w:r>
      <w:r>
        <w:rPr>
          <w:rFonts w:cstheme="minorHAnsi"/>
          <w:lang w:val="en-AU"/>
        </w:rPr>
        <w:t xml:space="preserve"> expected results statements.</w:t>
      </w:r>
      <w:r w:rsidRPr="008F1320">
        <w:rPr>
          <w:lang w:val="en-AU"/>
        </w:rPr>
        <w:t xml:space="preserve"> </w:t>
      </w:r>
      <w:r>
        <w:rPr>
          <w:lang w:val="en-AU"/>
        </w:rPr>
        <w:t>The payment recommendation was calculated by applying weighting to</w:t>
      </w:r>
      <w:r>
        <w:t xml:space="preserve"> the </w:t>
      </w:r>
      <w:r>
        <w:rPr>
          <w:rFonts w:cstheme="minorHAnsi"/>
          <w:lang w:val="en-AU"/>
        </w:rPr>
        <w:t xml:space="preserve">8 outcomes, 11 performance indicators and 14 expected results statements. </w:t>
      </w:r>
    </w:p>
    <w:p w14:paraId="68C236A1" w14:textId="19BA94DD" w:rsidR="00F03A21" w:rsidRPr="002704FB" w:rsidRDefault="00141AD2" w:rsidP="0015435E">
      <w:pPr>
        <w:spacing w:line="240" w:lineRule="auto"/>
        <w:jc w:val="both"/>
        <w:rPr>
          <w:rFonts w:asciiTheme="minorHAnsi" w:hAnsiTheme="minorHAnsi" w:cstheme="minorHAnsi"/>
          <w:lang w:val="en-AU"/>
        </w:rPr>
      </w:pPr>
      <w:r w:rsidRPr="00141AD2">
        <w:rPr>
          <w:rFonts w:asciiTheme="minorHAnsi" w:hAnsiTheme="minorHAnsi" w:cstheme="minorHAnsi"/>
          <w:lang w:val="en-AU"/>
        </w:rPr>
        <w:t xml:space="preserve">This year the assessment </w:t>
      </w:r>
      <w:r>
        <w:rPr>
          <w:rFonts w:asciiTheme="minorHAnsi" w:hAnsiTheme="minorHAnsi" w:cstheme="minorHAnsi"/>
          <w:lang w:val="en-AU"/>
        </w:rPr>
        <w:t>was</w:t>
      </w:r>
      <w:r w:rsidRPr="00141AD2">
        <w:rPr>
          <w:rFonts w:asciiTheme="minorHAnsi" w:hAnsiTheme="minorHAnsi" w:cstheme="minorHAnsi"/>
          <w:lang w:val="en-AU"/>
        </w:rPr>
        <w:t xml:space="preserve"> undertaken by the MEHRD M&amp;E Advis</w:t>
      </w:r>
      <w:r>
        <w:rPr>
          <w:rFonts w:asciiTheme="minorHAnsi" w:hAnsiTheme="minorHAnsi" w:cstheme="minorHAnsi"/>
          <w:lang w:val="en-AU"/>
        </w:rPr>
        <w:t>e</w:t>
      </w:r>
      <w:r w:rsidRPr="00141AD2">
        <w:rPr>
          <w:rFonts w:asciiTheme="minorHAnsi" w:hAnsiTheme="minorHAnsi" w:cstheme="minorHAnsi"/>
          <w:lang w:val="en-AU"/>
        </w:rPr>
        <w:t>r in collaboration with the MEHRD M&amp;E Manager and Monitoring Officer</w:t>
      </w:r>
      <w:r w:rsidR="00F03A21">
        <w:rPr>
          <w:rFonts w:asciiTheme="minorHAnsi" w:hAnsiTheme="minorHAnsi" w:cstheme="minorHAnsi"/>
          <w:lang w:val="en-AU"/>
        </w:rPr>
        <w:t xml:space="preserve"> to validate findings and where possible, supplement MEHRD’s existing data collection processes.</w:t>
      </w:r>
      <w:r w:rsidR="002704FB">
        <w:rPr>
          <w:rFonts w:asciiTheme="minorHAnsi" w:hAnsiTheme="minorHAnsi" w:cstheme="minorHAnsi"/>
          <w:lang w:val="en-AU"/>
        </w:rPr>
        <w:t xml:space="preserve"> </w:t>
      </w:r>
      <w:r w:rsidR="00F03A21" w:rsidRPr="002704FB">
        <w:rPr>
          <w:rFonts w:asciiTheme="minorHAnsi" w:hAnsiTheme="minorHAnsi" w:cstheme="minorHAnsi"/>
          <w:lang w:val="en-AU"/>
        </w:rPr>
        <w:t xml:space="preserve">An initial findings report was prepared in July and shared with DFAT, MFAT, MEHRD officers and technical advisers. A feedback and consultation process </w:t>
      </w:r>
      <w:proofErr w:type="gramStart"/>
      <w:r w:rsidR="00F03A21" w:rsidRPr="002704FB">
        <w:rPr>
          <w:rFonts w:asciiTheme="minorHAnsi" w:hAnsiTheme="minorHAnsi" w:cstheme="minorHAnsi"/>
          <w:lang w:val="en-AU"/>
        </w:rPr>
        <w:t>was</w:t>
      </w:r>
      <w:proofErr w:type="gramEnd"/>
      <w:r w:rsidR="00E0189D">
        <w:rPr>
          <w:rFonts w:asciiTheme="minorHAnsi" w:hAnsiTheme="minorHAnsi" w:cstheme="minorHAnsi"/>
          <w:lang w:val="en-AU"/>
        </w:rPr>
        <w:t xml:space="preserve"> then</w:t>
      </w:r>
      <w:r w:rsidR="00F03A21" w:rsidRPr="002704FB">
        <w:rPr>
          <w:rFonts w:asciiTheme="minorHAnsi" w:hAnsiTheme="minorHAnsi" w:cstheme="minorHAnsi"/>
          <w:lang w:val="en-AU"/>
        </w:rPr>
        <w:t xml:space="preserve"> undertaken to ensure the validity of the initial findings and gain some input on how the PLA process could be further enhanced. The results were then reviewed and consolidated within the initial findings report and supplemented </w:t>
      </w:r>
      <w:r w:rsidR="009D4B67">
        <w:rPr>
          <w:rFonts w:asciiTheme="minorHAnsi" w:hAnsiTheme="minorHAnsi" w:cstheme="minorHAnsi"/>
          <w:lang w:val="en-AU"/>
        </w:rPr>
        <w:t>with</w:t>
      </w:r>
      <w:r w:rsidR="00F03A21" w:rsidRPr="002704FB">
        <w:rPr>
          <w:rFonts w:asciiTheme="minorHAnsi" w:hAnsiTheme="minorHAnsi" w:cstheme="minorHAnsi"/>
          <w:lang w:val="en-AU"/>
        </w:rPr>
        <w:t xml:space="preserve"> data to make accurate assessments against each indicator and result statement.</w:t>
      </w:r>
      <w:r w:rsidR="00F03A21">
        <w:rPr>
          <w:rFonts w:cstheme="minorHAnsi"/>
        </w:rPr>
        <w:t xml:space="preserve"> </w:t>
      </w:r>
    </w:p>
    <w:p w14:paraId="792B9A0E" w14:textId="48ADF670" w:rsidR="00FD0ADE" w:rsidRDefault="001435C6" w:rsidP="0015435E">
      <w:pPr>
        <w:pStyle w:val="Bodytext11"/>
        <w:rPr>
          <w:rFonts w:cstheme="minorHAnsi"/>
          <w:b/>
          <w:lang w:val="en-AU"/>
        </w:rPr>
      </w:pPr>
      <w:r>
        <w:t>For 2019, b</w:t>
      </w:r>
      <w:proofErr w:type="spellStart"/>
      <w:r>
        <w:rPr>
          <w:rFonts w:cstheme="minorHAnsi"/>
          <w:lang w:val="en-AU"/>
        </w:rPr>
        <w:t>ased</w:t>
      </w:r>
      <w:proofErr w:type="spellEnd"/>
      <w:r>
        <w:rPr>
          <w:rFonts w:cstheme="minorHAnsi"/>
          <w:lang w:val="en-AU"/>
        </w:rPr>
        <w:t xml:space="preserve"> on the evidence received and consultations with relevant officers on the </w:t>
      </w:r>
      <w:r w:rsidRPr="00C26E6E">
        <w:rPr>
          <w:rFonts w:cstheme="minorHAnsi"/>
          <w:lang w:val="en-AU"/>
        </w:rPr>
        <w:t>EPM</w:t>
      </w:r>
      <w:r>
        <w:rPr>
          <w:rFonts w:cstheme="minorHAnsi"/>
          <w:lang w:val="en-AU"/>
        </w:rPr>
        <w:t xml:space="preserve">, </w:t>
      </w:r>
      <w:r w:rsidRPr="00237FBA">
        <w:rPr>
          <w:rFonts w:cstheme="minorHAnsi"/>
          <w:b/>
          <w:lang w:val="en-AU"/>
        </w:rPr>
        <w:t xml:space="preserve">the assessor has recommended </w:t>
      </w:r>
      <w:r>
        <w:rPr>
          <w:rFonts w:cstheme="minorHAnsi"/>
          <w:b/>
          <w:lang w:val="en-AU"/>
        </w:rPr>
        <w:t>82.3</w:t>
      </w:r>
      <w:r w:rsidRPr="00237FBA">
        <w:rPr>
          <w:rFonts w:cstheme="minorHAnsi"/>
          <w:b/>
          <w:lang w:val="en-AU"/>
        </w:rPr>
        <w:t xml:space="preserve"> per cent </w:t>
      </w:r>
      <w:r>
        <w:rPr>
          <w:rFonts w:cstheme="minorHAnsi"/>
          <w:b/>
          <w:lang w:val="en-AU"/>
        </w:rPr>
        <w:t>of the performance-linked aid payment</w:t>
      </w:r>
      <w:r w:rsidRPr="00237FBA">
        <w:rPr>
          <w:rFonts w:cstheme="minorHAnsi"/>
          <w:b/>
          <w:lang w:val="en-AU"/>
        </w:rPr>
        <w:t xml:space="preserve"> be </w:t>
      </w:r>
      <w:r>
        <w:rPr>
          <w:rFonts w:cstheme="minorHAnsi"/>
          <w:b/>
          <w:lang w:val="en-AU"/>
        </w:rPr>
        <w:t xml:space="preserve">disbursed </w:t>
      </w:r>
      <w:r w:rsidRPr="00237FBA">
        <w:rPr>
          <w:rFonts w:cstheme="minorHAnsi"/>
          <w:b/>
          <w:lang w:val="en-AU"/>
        </w:rPr>
        <w:t>to MEHRD</w:t>
      </w:r>
      <w:r w:rsidR="00C26E6E">
        <w:rPr>
          <w:rFonts w:cstheme="minorHAnsi"/>
          <w:b/>
          <w:lang w:val="en-AU"/>
        </w:rPr>
        <w:t>. This</w:t>
      </w:r>
      <w:r w:rsidRPr="00237FBA">
        <w:rPr>
          <w:rFonts w:cstheme="minorHAnsi"/>
          <w:b/>
          <w:lang w:val="en-AU"/>
        </w:rPr>
        <w:t xml:space="preserve"> equates to AUD</w:t>
      </w:r>
      <w:r>
        <w:rPr>
          <w:rFonts w:cstheme="minorHAnsi"/>
          <w:b/>
          <w:lang w:val="en-AU"/>
        </w:rPr>
        <w:t>$1,283,880.00</w:t>
      </w:r>
      <w:r w:rsidR="00F03A21">
        <w:rPr>
          <w:rFonts w:cstheme="minorHAnsi"/>
          <w:b/>
          <w:lang w:val="en-AU"/>
        </w:rPr>
        <w:t>.</w:t>
      </w:r>
    </w:p>
    <w:p w14:paraId="3A9571DC" w14:textId="2A9E47B7" w:rsidR="0011107A" w:rsidRDefault="006843FA" w:rsidP="00CA2618">
      <w:pPr>
        <w:spacing w:line="240" w:lineRule="auto"/>
        <w:ind w:left="3"/>
        <w:jc w:val="both"/>
        <w:rPr>
          <w:rFonts w:asciiTheme="minorHAnsi" w:eastAsiaTheme="minorHAnsi" w:hAnsiTheme="minorHAnsi" w:cstheme="minorBidi"/>
          <w:lang w:val="en-AU"/>
        </w:rPr>
      </w:pPr>
      <w:r w:rsidRPr="0060299F">
        <w:rPr>
          <w:rFonts w:asciiTheme="minorHAnsi" w:eastAsiaTheme="minorHAnsi" w:hAnsiTheme="minorHAnsi" w:cstheme="minorBidi"/>
          <w:lang w:val="en-AU"/>
        </w:rPr>
        <w:t>Th</w:t>
      </w:r>
      <w:r>
        <w:rPr>
          <w:rFonts w:asciiTheme="minorHAnsi" w:eastAsiaTheme="minorHAnsi" w:hAnsiTheme="minorHAnsi" w:cstheme="minorBidi"/>
          <w:lang w:val="en-AU"/>
        </w:rPr>
        <w:t>is report also provides</w:t>
      </w:r>
      <w:r w:rsidRPr="0060299F">
        <w:rPr>
          <w:rFonts w:asciiTheme="minorHAnsi" w:eastAsiaTheme="minorHAnsi" w:hAnsiTheme="minorHAnsi" w:cstheme="minorBidi"/>
          <w:lang w:val="en-AU"/>
        </w:rPr>
        <w:t xml:space="preserve"> suggestions to </w:t>
      </w:r>
      <w:r>
        <w:rPr>
          <w:rFonts w:asciiTheme="minorHAnsi" w:eastAsiaTheme="minorHAnsi" w:hAnsiTheme="minorHAnsi" w:cstheme="minorBidi"/>
          <w:lang w:val="en-AU"/>
        </w:rPr>
        <w:t xml:space="preserve">inform the development and agreement on EPM indicators and targets for 2020 and beyond. Obviously, eight months of the year have passed already, so the targets should be commensurate with the context in which MEHRD has operated this year. It should be noted that MEHRD and their many education partners have done a tremendous job in pivoting, </w:t>
      </w:r>
      <w:proofErr w:type="gramStart"/>
      <w:r>
        <w:rPr>
          <w:rFonts w:asciiTheme="minorHAnsi" w:eastAsiaTheme="minorHAnsi" w:hAnsiTheme="minorHAnsi" w:cstheme="minorBidi"/>
          <w:lang w:val="en-AU"/>
        </w:rPr>
        <w:t>realigning</w:t>
      </w:r>
      <w:proofErr w:type="gramEnd"/>
      <w:r>
        <w:rPr>
          <w:rFonts w:asciiTheme="minorHAnsi" w:eastAsiaTheme="minorHAnsi" w:hAnsiTheme="minorHAnsi" w:cstheme="minorBidi"/>
          <w:lang w:val="en-AU"/>
        </w:rPr>
        <w:t xml:space="preserve"> and responding to the many challenges associated with the </w:t>
      </w:r>
      <w:r w:rsidR="00FC0016">
        <w:rPr>
          <w:rFonts w:asciiTheme="minorHAnsi" w:eastAsiaTheme="minorHAnsi" w:hAnsiTheme="minorHAnsi" w:cstheme="minorBidi"/>
          <w:lang w:val="en-AU"/>
        </w:rPr>
        <w:t>COVID-19</w:t>
      </w:r>
      <w:r>
        <w:rPr>
          <w:rFonts w:asciiTheme="minorHAnsi" w:eastAsiaTheme="minorHAnsi" w:hAnsiTheme="minorHAnsi" w:cstheme="minorBidi"/>
          <w:lang w:val="en-AU"/>
        </w:rPr>
        <w:t xml:space="preserve"> pandemic. Their prime ambition is to keep schools (children, </w:t>
      </w:r>
      <w:proofErr w:type="gramStart"/>
      <w:r>
        <w:rPr>
          <w:rFonts w:asciiTheme="minorHAnsi" w:eastAsiaTheme="minorHAnsi" w:hAnsiTheme="minorHAnsi" w:cstheme="minorBidi"/>
          <w:lang w:val="en-AU"/>
        </w:rPr>
        <w:t>teachers</w:t>
      </w:r>
      <w:proofErr w:type="gramEnd"/>
      <w:r>
        <w:rPr>
          <w:rFonts w:asciiTheme="minorHAnsi" w:eastAsiaTheme="minorHAnsi" w:hAnsiTheme="minorHAnsi" w:cstheme="minorBidi"/>
          <w:lang w:val="en-AU"/>
        </w:rPr>
        <w:t xml:space="preserve"> and community) safe and to ensure student learning is continued. To this aim </w:t>
      </w:r>
      <w:r w:rsidR="00A519BB">
        <w:rPr>
          <w:rFonts w:asciiTheme="minorHAnsi" w:eastAsiaTheme="minorHAnsi" w:hAnsiTheme="minorHAnsi" w:cstheme="minorBidi"/>
          <w:lang w:val="en-AU"/>
        </w:rPr>
        <w:t>MEHRD and education partners</w:t>
      </w:r>
      <w:r>
        <w:rPr>
          <w:rFonts w:asciiTheme="minorHAnsi" w:eastAsiaTheme="minorHAnsi" w:hAnsiTheme="minorHAnsi" w:cstheme="minorBidi"/>
          <w:lang w:val="en-AU"/>
        </w:rPr>
        <w:t xml:space="preserve"> have been remarkably successful.</w:t>
      </w:r>
    </w:p>
    <w:p w14:paraId="1F4C9A55" w14:textId="77777777" w:rsidR="00FD7E33" w:rsidRDefault="00FD7E33" w:rsidP="00912E1E">
      <w:pPr>
        <w:pStyle w:val="Caption"/>
        <w:keepNext/>
      </w:pPr>
      <w:bookmarkStart w:id="6" w:name="_Toc48750598"/>
    </w:p>
    <w:p w14:paraId="44C5C114" w14:textId="13EF7885" w:rsidR="00FD7E33" w:rsidRDefault="00FD7E33" w:rsidP="00912E1E">
      <w:pPr>
        <w:pStyle w:val="Caption"/>
        <w:keepNext/>
      </w:pPr>
    </w:p>
    <w:p w14:paraId="64EF343F" w14:textId="47B43BFD" w:rsidR="00FD7E33" w:rsidRDefault="00FD7E33" w:rsidP="00FD7E33"/>
    <w:p w14:paraId="686E3059" w14:textId="2A79B076" w:rsidR="00FD7E33" w:rsidRDefault="00FD7E33" w:rsidP="00FD7E33"/>
    <w:p w14:paraId="19736A3F" w14:textId="77777777" w:rsidR="00FD7E33" w:rsidRPr="00FD7E33" w:rsidRDefault="00FD7E33" w:rsidP="00FD7E33"/>
    <w:p w14:paraId="10DE305C" w14:textId="58C97CCE" w:rsidR="00912E1E" w:rsidRDefault="00912E1E" w:rsidP="00912E1E">
      <w:pPr>
        <w:pStyle w:val="Caption"/>
        <w:keepNext/>
      </w:pPr>
      <w:r>
        <w:t xml:space="preserve">Table </w:t>
      </w:r>
      <w:r>
        <w:fldChar w:fldCharType="begin"/>
      </w:r>
      <w:r>
        <w:instrText xml:space="preserve"> SEQ Table \* ARABIC </w:instrText>
      </w:r>
      <w:r>
        <w:fldChar w:fldCharType="separate"/>
      </w:r>
      <w:r>
        <w:rPr>
          <w:noProof/>
        </w:rPr>
        <w:t>1</w:t>
      </w:r>
      <w:r>
        <w:fldChar w:fldCharType="end"/>
      </w:r>
      <w:r>
        <w:t>: Summary of Assessment</w:t>
      </w:r>
      <w:bookmarkEnd w:id="6"/>
      <w:r w:rsidR="00710694">
        <w:rPr>
          <w:rStyle w:val="FootnoteReference"/>
        </w:rPr>
        <w:footnoteReference w:id="2"/>
      </w:r>
    </w:p>
    <w:tbl>
      <w:tblPr>
        <w:tblW w:w="10484"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2122"/>
        <w:gridCol w:w="3543"/>
        <w:gridCol w:w="3118"/>
        <w:gridCol w:w="1701"/>
      </w:tblGrid>
      <w:tr w:rsidR="002B049D" w:rsidRPr="002B049D" w14:paraId="6793591F" w14:textId="77777777" w:rsidTr="00BB3352">
        <w:trPr>
          <w:cantSplit/>
          <w:tblHeader/>
          <w:jc w:val="center"/>
        </w:trPr>
        <w:tc>
          <w:tcPr>
            <w:tcW w:w="2122" w:type="dxa"/>
            <w:tcBorders>
              <w:top w:val="nil"/>
              <w:left w:val="single" w:sz="4" w:space="0" w:color="FFFFFF" w:themeColor="background1"/>
              <w:bottom w:val="single" w:sz="4" w:space="0" w:color="4472C4" w:themeColor="accent1"/>
              <w:right w:val="single" w:sz="4" w:space="0" w:color="FFFFFF" w:themeColor="background1"/>
            </w:tcBorders>
            <w:shd w:val="clear" w:color="auto" w:fill="4472C4" w:themeFill="accent1"/>
            <w:vAlign w:val="center"/>
            <w:hideMark/>
          </w:tcPr>
          <w:p w14:paraId="607AF3DC" w14:textId="77777777" w:rsidR="002B049D" w:rsidRPr="002B049D" w:rsidRDefault="002B049D" w:rsidP="00C7441F">
            <w:pPr>
              <w:spacing w:after="0" w:line="240" w:lineRule="auto"/>
              <w:jc w:val="center"/>
              <w:rPr>
                <w:rFonts w:ascii="Calibri" w:eastAsia="Times New Roman" w:hAnsi="Calibri" w:cs="Times New Roman"/>
                <w:b/>
                <w:bCs/>
                <w:color w:val="FFFFFF" w:themeColor="background1"/>
                <w:sz w:val="18"/>
                <w:szCs w:val="18"/>
                <w:lang w:val="en-AU"/>
              </w:rPr>
            </w:pPr>
            <w:r w:rsidRPr="002B049D">
              <w:rPr>
                <w:rFonts w:ascii="Calibri" w:eastAsia="Times New Roman" w:hAnsi="Calibri" w:cs="Times New Roman"/>
                <w:b/>
                <w:bCs/>
                <w:color w:val="FFFFFF" w:themeColor="background1"/>
                <w:sz w:val="18"/>
                <w:szCs w:val="18"/>
                <w:lang w:val="en-AU"/>
              </w:rPr>
              <w:t>RF/MELP Outcomes</w:t>
            </w:r>
          </w:p>
        </w:tc>
        <w:tc>
          <w:tcPr>
            <w:tcW w:w="3543" w:type="dxa"/>
            <w:tcBorders>
              <w:top w:val="nil"/>
              <w:left w:val="single" w:sz="4" w:space="0" w:color="FFFFFF" w:themeColor="background1"/>
              <w:right w:val="single" w:sz="4" w:space="0" w:color="FFFFFF" w:themeColor="background1"/>
            </w:tcBorders>
            <w:shd w:val="clear" w:color="auto" w:fill="4472C4" w:themeFill="accent1"/>
            <w:vAlign w:val="center"/>
            <w:hideMark/>
          </w:tcPr>
          <w:p w14:paraId="67EA1670" w14:textId="77777777" w:rsidR="002B049D" w:rsidRPr="002B049D" w:rsidRDefault="002B049D" w:rsidP="00C7441F">
            <w:pPr>
              <w:spacing w:after="0" w:line="240" w:lineRule="auto"/>
              <w:jc w:val="center"/>
              <w:rPr>
                <w:rFonts w:ascii="Calibri" w:eastAsia="Times New Roman" w:hAnsi="Calibri" w:cs="Times New Roman"/>
                <w:b/>
                <w:bCs/>
                <w:color w:val="FFFFFF" w:themeColor="background1"/>
                <w:sz w:val="18"/>
                <w:szCs w:val="18"/>
                <w:lang w:val="en-AU"/>
              </w:rPr>
            </w:pPr>
            <w:r w:rsidRPr="002B049D">
              <w:rPr>
                <w:rFonts w:ascii="Calibri" w:eastAsia="Times New Roman" w:hAnsi="Calibri" w:cs="Times New Roman"/>
                <w:b/>
                <w:bCs/>
                <w:color w:val="FFFFFF" w:themeColor="background1"/>
                <w:sz w:val="18"/>
                <w:szCs w:val="18"/>
                <w:lang w:val="en-AU"/>
              </w:rPr>
              <w:t>Proposed 2019 Performance Indicators &amp; AWP outputs for Performance Payment</w:t>
            </w:r>
          </w:p>
        </w:tc>
        <w:tc>
          <w:tcPr>
            <w:tcW w:w="3118" w:type="dxa"/>
            <w:tcBorders>
              <w:top w:val="nil"/>
              <w:left w:val="single" w:sz="4" w:space="0" w:color="FFFFFF" w:themeColor="background1"/>
              <w:bottom w:val="single" w:sz="4" w:space="0" w:color="4472C4" w:themeColor="accent1"/>
            </w:tcBorders>
            <w:shd w:val="clear" w:color="auto" w:fill="4472C4" w:themeFill="accent1"/>
            <w:vAlign w:val="center"/>
            <w:hideMark/>
          </w:tcPr>
          <w:p w14:paraId="1A6BA686" w14:textId="77777777" w:rsidR="002B049D" w:rsidRPr="002B049D" w:rsidRDefault="002B049D" w:rsidP="00C7441F">
            <w:pPr>
              <w:spacing w:after="0" w:line="240" w:lineRule="auto"/>
              <w:jc w:val="center"/>
              <w:rPr>
                <w:rFonts w:ascii="Calibri" w:eastAsia="Times New Roman" w:hAnsi="Calibri" w:cs="Times New Roman"/>
                <w:b/>
                <w:bCs/>
                <w:color w:val="FFFFFF" w:themeColor="background1"/>
                <w:sz w:val="18"/>
                <w:szCs w:val="18"/>
                <w:lang w:val="en-AU"/>
              </w:rPr>
            </w:pPr>
            <w:r w:rsidRPr="002B049D">
              <w:rPr>
                <w:rFonts w:ascii="Calibri" w:eastAsia="Times New Roman" w:hAnsi="Calibri" w:cs="Times New Roman"/>
                <w:b/>
                <w:bCs/>
                <w:color w:val="FFFFFF" w:themeColor="background1"/>
                <w:sz w:val="18"/>
                <w:szCs w:val="18"/>
                <w:lang w:val="en-AU"/>
              </w:rPr>
              <w:t>Expected Results Statements</w:t>
            </w:r>
          </w:p>
        </w:tc>
        <w:tc>
          <w:tcPr>
            <w:tcW w:w="1701" w:type="dxa"/>
            <w:tcBorders>
              <w:top w:val="nil"/>
              <w:left w:val="single" w:sz="4" w:space="0" w:color="FFFFFF" w:themeColor="background1"/>
              <w:bottom w:val="single" w:sz="4" w:space="0" w:color="4472C4" w:themeColor="accent1"/>
            </w:tcBorders>
            <w:shd w:val="clear" w:color="auto" w:fill="4472C4" w:themeFill="accent1"/>
            <w:vAlign w:val="center"/>
          </w:tcPr>
          <w:p w14:paraId="2EE0225F" w14:textId="77777777" w:rsidR="002B049D" w:rsidRPr="002B049D" w:rsidRDefault="002B049D" w:rsidP="00C7441F">
            <w:pPr>
              <w:spacing w:after="0" w:line="240" w:lineRule="auto"/>
              <w:jc w:val="center"/>
              <w:rPr>
                <w:rFonts w:ascii="Calibri" w:eastAsia="Times New Roman" w:hAnsi="Calibri" w:cs="Times New Roman"/>
                <w:b/>
                <w:bCs/>
                <w:color w:val="FFFFFF" w:themeColor="background1"/>
                <w:sz w:val="18"/>
                <w:szCs w:val="18"/>
                <w:lang w:val="en-AU"/>
              </w:rPr>
            </w:pPr>
            <w:r w:rsidRPr="002B049D">
              <w:rPr>
                <w:rFonts w:ascii="Calibri" w:eastAsia="Times New Roman" w:hAnsi="Calibri" w:cs="Times New Roman"/>
                <w:b/>
                <w:bCs/>
                <w:color w:val="FFFFFF" w:themeColor="background1"/>
                <w:sz w:val="18"/>
                <w:szCs w:val="18"/>
                <w:lang w:val="en-AU"/>
              </w:rPr>
              <w:t>Assessment</w:t>
            </w:r>
          </w:p>
        </w:tc>
      </w:tr>
      <w:tr w:rsidR="00FD7E33" w:rsidRPr="002B049D" w14:paraId="4EE9ED8C" w14:textId="77777777" w:rsidTr="00BB3352">
        <w:trPr>
          <w:cantSplit/>
          <w:trHeight w:val="269"/>
          <w:jc w:val="center"/>
        </w:trPr>
        <w:tc>
          <w:tcPr>
            <w:tcW w:w="2122" w:type="dxa"/>
            <w:vMerge w:val="restart"/>
            <w:shd w:val="clear" w:color="auto" w:fill="auto"/>
            <w:hideMark/>
          </w:tcPr>
          <w:p w14:paraId="1ACEE676" w14:textId="77777777" w:rsidR="00FD7E33" w:rsidRPr="002B049D" w:rsidRDefault="00FD7E33" w:rsidP="00C7441F">
            <w:pPr>
              <w:spacing w:after="0" w:line="240" w:lineRule="auto"/>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1.1 Transition rates by level and gender</w:t>
            </w:r>
          </w:p>
          <w:p w14:paraId="0E6BFB70" w14:textId="77777777" w:rsidR="00FD7E33" w:rsidRPr="002B049D" w:rsidRDefault="00FD7E33" w:rsidP="00C7441F">
            <w:pPr>
              <w:spacing w:after="0" w:line="240" w:lineRule="auto"/>
              <w:rPr>
                <w:rFonts w:ascii="Calibri" w:eastAsia="Times New Roman" w:hAnsi="Calibri" w:cs="Times New Roman"/>
                <w:color w:val="000000" w:themeColor="text1"/>
                <w:sz w:val="18"/>
                <w:szCs w:val="18"/>
                <w:lang w:val="en-AU"/>
              </w:rPr>
            </w:pPr>
          </w:p>
          <w:p w14:paraId="5F999E80" w14:textId="77777777" w:rsidR="00FD7E33" w:rsidRPr="002B049D" w:rsidRDefault="00FD7E33" w:rsidP="00C7441F">
            <w:pPr>
              <w:spacing w:after="0" w:line="240" w:lineRule="auto"/>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SIG Policy to end SISEE</w:t>
            </w:r>
          </w:p>
        </w:tc>
        <w:tc>
          <w:tcPr>
            <w:tcW w:w="3543" w:type="dxa"/>
            <w:vMerge w:val="restart"/>
            <w:shd w:val="clear" w:color="auto" w:fill="auto"/>
            <w:hideMark/>
          </w:tcPr>
          <w:p w14:paraId="236271CA" w14:textId="69B91FDD" w:rsidR="00FD7E33" w:rsidRPr="002B049D" w:rsidRDefault="00FD7E33" w:rsidP="00C7441F">
            <w:pPr>
              <w:spacing w:after="0" w:line="240" w:lineRule="auto"/>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 xml:space="preserve">By the end of 2019, the Solomon Islands Secondary Entrance Exam (SISEE) is terminated, and a plan to cater for increased Year 7 enrolments as of 2020 are developed, approved by </w:t>
            </w:r>
            <w:proofErr w:type="gramStart"/>
            <w:r w:rsidRPr="002B049D">
              <w:rPr>
                <w:rFonts w:ascii="Calibri" w:eastAsia="Times New Roman" w:hAnsi="Calibri" w:cs="Times New Roman"/>
                <w:color w:val="000000" w:themeColor="text1"/>
                <w:sz w:val="18"/>
                <w:szCs w:val="18"/>
                <w:lang w:val="en-AU"/>
              </w:rPr>
              <w:t>SMT</w:t>
            </w:r>
            <w:proofErr w:type="gramEnd"/>
            <w:r w:rsidRPr="002B049D">
              <w:rPr>
                <w:rFonts w:ascii="Calibri" w:eastAsia="Times New Roman" w:hAnsi="Calibri" w:cs="Times New Roman"/>
                <w:color w:val="000000" w:themeColor="text1"/>
                <w:sz w:val="18"/>
                <w:szCs w:val="18"/>
                <w:lang w:val="en-AU"/>
              </w:rPr>
              <w:t xml:space="preserve"> and socialised with EA</w:t>
            </w:r>
            <w:r>
              <w:rPr>
                <w:rFonts w:ascii="Calibri" w:eastAsia="Times New Roman" w:hAnsi="Calibri" w:cs="Times New Roman"/>
                <w:color w:val="000000" w:themeColor="text1"/>
                <w:sz w:val="18"/>
                <w:szCs w:val="18"/>
                <w:lang w:val="en-AU"/>
              </w:rPr>
              <w:t>s</w:t>
            </w:r>
          </w:p>
        </w:tc>
        <w:tc>
          <w:tcPr>
            <w:tcW w:w="3118" w:type="dxa"/>
            <w:tcBorders>
              <w:bottom w:val="single" w:sz="4" w:space="0" w:color="4472C4" w:themeColor="accent1"/>
            </w:tcBorders>
            <w:shd w:val="clear" w:color="auto" w:fill="auto"/>
            <w:hideMark/>
          </w:tcPr>
          <w:p w14:paraId="0AB8C4A1" w14:textId="241754F6" w:rsidR="00FD7E33" w:rsidRPr="00FD7E33" w:rsidRDefault="00FD7E33" w:rsidP="00FD7E33">
            <w:pPr>
              <w:numPr>
                <w:ilvl w:val="0"/>
                <w:numId w:val="9"/>
              </w:numPr>
              <w:spacing w:after="0" w:line="240" w:lineRule="auto"/>
              <w:ind w:left="180" w:hanging="18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 xml:space="preserve">SISEE does go ahead </w:t>
            </w:r>
            <w:r w:rsidR="00BB3352">
              <w:rPr>
                <w:rFonts w:ascii="Calibri" w:eastAsia="Times New Roman" w:hAnsi="Calibri" w:cs="Times New Roman"/>
                <w:color w:val="000000" w:themeColor="text1"/>
                <w:sz w:val="18"/>
                <w:szCs w:val="18"/>
                <w:lang w:val="en-AU"/>
              </w:rPr>
              <w:t xml:space="preserve">               </w:t>
            </w:r>
            <w:proofErr w:type="gramStart"/>
            <w:r w:rsidR="00BB3352">
              <w:rPr>
                <w:rFonts w:ascii="Calibri" w:eastAsia="Times New Roman" w:hAnsi="Calibri" w:cs="Times New Roman"/>
                <w:color w:val="000000" w:themeColor="text1"/>
                <w:sz w:val="18"/>
                <w:szCs w:val="18"/>
                <w:lang w:val="en-AU"/>
              </w:rPr>
              <w:t xml:space="preserve">   </w:t>
            </w:r>
            <w:r w:rsidRPr="002B049D">
              <w:rPr>
                <w:rFonts w:ascii="Calibri" w:eastAsia="Times New Roman" w:hAnsi="Calibri" w:cs="Times New Roman"/>
                <w:color w:val="000000" w:themeColor="text1"/>
                <w:sz w:val="18"/>
                <w:szCs w:val="18"/>
                <w:lang w:val="en-AU"/>
              </w:rPr>
              <w:t>(</w:t>
            </w:r>
            <w:proofErr w:type="gramEnd"/>
            <w:r w:rsidRPr="002B049D">
              <w:rPr>
                <w:rFonts w:ascii="Calibri" w:eastAsia="Times New Roman" w:hAnsi="Calibri" w:cs="Times New Roman"/>
                <w:color w:val="000000" w:themeColor="text1"/>
                <w:sz w:val="18"/>
                <w:szCs w:val="18"/>
                <w:lang w:val="en-AU"/>
              </w:rPr>
              <w:t>60%)</w:t>
            </w:r>
          </w:p>
        </w:tc>
        <w:tc>
          <w:tcPr>
            <w:tcW w:w="1701" w:type="dxa"/>
            <w:tcBorders>
              <w:bottom w:val="single" w:sz="4" w:space="0" w:color="4472C4" w:themeColor="accent1"/>
            </w:tcBorders>
            <w:shd w:val="clear" w:color="auto" w:fill="auto"/>
          </w:tcPr>
          <w:p w14:paraId="336E5581" w14:textId="7BBFC262" w:rsidR="00FD7E33" w:rsidRDefault="00FD7E33" w:rsidP="00FD7E33">
            <w:pPr>
              <w:spacing w:after="0" w:line="240" w:lineRule="auto"/>
              <w:ind w:left="3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100% (of 60%)</w:t>
            </w:r>
          </w:p>
          <w:p w14:paraId="76B66913" w14:textId="5315DBB4" w:rsidR="00FD7E33" w:rsidRPr="00FD7E33" w:rsidRDefault="00FD7E33" w:rsidP="00FD7E33">
            <w:pPr>
              <w:spacing w:after="0" w:line="240" w:lineRule="auto"/>
              <w:ind w:left="30"/>
              <w:rPr>
                <w:rFonts w:ascii="Calibri" w:eastAsia="Times New Roman" w:hAnsi="Calibri" w:cs="Times New Roman"/>
                <w:color w:val="000000" w:themeColor="text1"/>
                <w:sz w:val="18"/>
                <w:szCs w:val="18"/>
                <w:lang w:val="en-AU"/>
              </w:rPr>
            </w:pPr>
          </w:p>
        </w:tc>
      </w:tr>
      <w:tr w:rsidR="00FD7E33" w:rsidRPr="002B049D" w14:paraId="1723AADF" w14:textId="77777777" w:rsidTr="00BB3352">
        <w:trPr>
          <w:cantSplit/>
          <w:trHeight w:val="533"/>
          <w:jc w:val="center"/>
        </w:trPr>
        <w:tc>
          <w:tcPr>
            <w:tcW w:w="2122" w:type="dxa"/>
            <w:vMerge/>
            <w:shd w:val="clear" w:color="auto" w:fill="auto"/>
          </w:tcPr>
          <w:p w14:paraId="3ED6F78B" w14:textId="77777777" w:rsidR="00FD7E33" w:rsidRPr="002B049D" w:rsidRDefault="00FD7E33" w:rsidP="00C7441F">
            <w:pPr>
              <w:spacing w:after="0" w:line="240" w:lineRule="auto"/>
              <w:rPr>
                <w:rFonts w:ascii="Calibri" w:eastAsia="Times New Roman" w:hAnsi="Calibri" w:cs="Times New Roman"/>
                <w:color w:val="000000" w:themeColor="text1"/>
                <w:sz w:val="18"/>
                <w:szCs w:val="18"/>
                <w:lang w:val="en-AU"/>
              </w:rPr>
            </w:pPr>
          </w:p>
        </w:tc>
        <w:tc>
          <w:tcPr>
            <w:tcW w:w="3543" w:type="dxa"/>
            <w:vMerge/>
            <w:shd w:val="clear" w:color="auto" w:fill="auto"/>
          </w:tcPr>
          <w:p w14:paraId="57E363A4" w14:textId="77777777" w:rsidR="00FD7E33" w:rsidRPr="002B049D" w:rsidRDefault="00FD7E33" w:rsidP="00C7441F">
            <w:pPr>
              <w:spacing w:after="0" w:line="240" w:lineRule="auto"/>
              <w:rPr>
                <w:rFonts w:ascii="Calibri" w:eastAsia="Times New Roman" w:hAnsi="Calibri" w:cs="Times New Roman"/>
                <w:color w:val="000000" w:themeColor="text1"/>
                <w:sz w:val="18"/>
                <w:szCs w:val="18"/>
                <w:lang w:val="en-AU"/>
              </w:rPr>
            </w:pPr>
          </w:p>
        </w:tc>
        <w:tc>
          <w:tcPr>
            <w:tcW w:w="3118" w:type="dxa"/>
            <w:tcBorders>
              <w:top w:val="single" w:sz="4" w:space="0" w:color="4472C4" w:themeColor="accent1"/>
              <w:bottom w:val="single" w:sz="4" w:space="0" w:color="4472C4" w:themeColor="accent1"/>
            </w:tcBorders>
            <w:shd w:val="clear" w:color="auto" w:fill="auto"/>
          </w:tcPr>
          <w:p w14:paraId="497263BE" w14:textId="4E332692" w:rsidR="00FD7E33" w:rsidRPr="002B049D" w:rsidRDefault="00FD7E33" w:rsidP="00FD7E33">
            <w:pPr>
              <w:numPr>
                <w:ilvl w:val="0"/>
                <w:numId w:val="9"/>
              </w:numPr>
              <w:spacing w:after="0" w:line="240" w:lineRule="auto"/>
              <w:ind w:left="180" w:hanging="18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 xml:space="preserve">SMT Minute endorsing SISEE Implementation Framework </w:t>
            </w:r>
            <w:r w:rsidR="00BB3352">
              <w:rPr>
                <w:rFonts w:ascii="Calibri" w:eastAsia="Times New Roman" w:hAnsi="Calibri" w:cs="Times New Roman"/>
                <w:color w:val="000000" w:themeColor="text1"/>
                <w:sz w:val="18"/>
                <w:szCs w:val="18"/>
                <w:lang w:val="en-AU"/>
              </w:rPr>
              <w:t xml:space="preserve">  </w:t>
            </w:r>
            <w:proofErr w:type="gramStart"/>
            <w:r w:rsidR="00BB3352">
              <w:rPr>
                <w:rFonts w:ascii="Calibri" w:eastAsia="Times New Roman" w:hAnsi="Calibri" w:cs="Times New Roman"/>
                <w:color w:val="000000" w:themeColor="text1"/>
                <w:sz w:val="18"/>
                <w:szCs w:val="18"/>
                <w:lang w:val="en-AU"/>
              </w:rPr>
              <w:t xml:space="preserve">   </w:t>
            </w:r>
            <w:r w:rsidRPr="002B049D">
              <w:rPr>
                <w:rFonts w:ascii="Calibri" w:eastAsia="Times New Roman" w:hAnsi="Calibri" w:cs="Times New Roman"/>
                <w:color w:val="000000" w:themeColor="text1"/>
                <w:sz w:val="18"/>
                <w:szCs w:val="18"/>
                <w:lang w:val="en-AU"/>
              </w:rPr>
              <w:t>(</w:t>
            </w:r>
            <w:proofErr w:type="gramEnd"/>
            <w:r w:rsidRPr="002B049D">
              <w:rPr>
                <w:rFonts w:ascii="Calibri" w:eastAsia="Times New Roman" w:hAnsi="Calibri" w:cs="Times New Roman"/>
                <w:color w:val="000000" w:themeColor="text1"/>
                <w:sz w:val="18"/>
                <w:szCs w:val="18"/>
                <w:lang w:val="en-AU"/>
              </w:rPr>
              <w:t>20%)</w:t>
            </w:r>
          </w:p>
        </w:tc>
        <w:tc>
          <w:tcPr>
            <w:tcW w:w="1701" w:type="dxa"/>
            <w:tcBorders>
              <w:top w:val="single" w:sz="4" w:space="0" w:color="4472C4" w:themeColor="accent1"/>
              <w:bottom w:val="single" w:sz="4" w:space="0" w:color="4472C4" w:themeColor="accent1"/>
            </w:tcBorders>
            <w:shd w:val="clear" w:color="auto" w:fill="auto"/>
          </w:tcPr>
          <w:p w14:paraId="44694FB5" w14:textId="7E25C15B" w:rsidR="00FD7E33" w:rsidRPr="002B049D" w:rsidRDefault="00FD7E33" w:rsidP="00FD7E33">
            <w:pPr>
              <w:spacing w:after="0" w:line="240" w:lineRule="auto"/>
              <w:ind w:left="3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100% (of 20%)</w:t>
            </w:r>
          </w:p>
        </w:tc>
      </w:tr>
      <w:tr w:rsidR="00FD7E33" w:rsidRPr="002B049D" w14:paraId="1BE57B47" w14:textId="77777777" w:rsidTr="00BB3352">
        <w:trPr>
          <w:cantSplit/>
          <w:trHeight w:val="245"/>
          <w:jc w:val="center"/>
        </w:trPr>
        <w:tc>
          <w:tcPr>
            <w:tcW w:w="2122" w:type="dxa"/>
            <w:vMerge/>
            <w:shd w:val="clear" w:color="auto" w:fill="auto"/>
          </w:tcPr>
          <w:p w14:paraId="15A95691" w14:textId="77777777" w:rsidR="00FD7E33" w:rsidRPr="002B049D" w:rsidRDefault="00FD7E33" w:rsidP="00C7441F">
            <w:pPr>
              <w:spacing w:after="0" w:line="240" w:lineRule="auto"/>
              <w:rPr>
                <w:rFonts w:ascii="Calibri" w:eastAsia="Times New Roman" w:hAnsi="Calibri" w:cs="Times New Roman"/>
                <w:color w:val="000000" w:themeColor="text1"/>
                <w:sz w:val="18"/>
                <w:szCs w:val="18"/>
                <w:lang w:val="en-AU"/>
              </w:rPr>
            </w:pPr>
          </w:p>
        </w:tc>
        <w:tc>
          <w:tcPr>
            <w:tcW w:w="3543" w:type="dxa"/>
            <w:vMerge/>
            <w:shd w:val="clear" w:color="auto" w:fill="auto"/>
          </w:tcPr>
          <w:p w14:paraId="1C6AA45D" w14:textId="77777777" w:rsidR="00FD7E33" w:rsidRPr="002B049D" w:rsidRDefault="00FD7E33" w:rsidP="00C7441F">
            <w:pPr>
              <w:spacing w:after="0" w:line="240" w:lineRule="auto"/>
              <w:rPr>
                <w:rFonts w:ascii="Calibri" w:eastAsia="Times New Roman" w:hAnsi="Calibri" w:cs="Times New Roman"/>
                <w:color w:val="000000" w:themeColor="text1"/>
                <w:sz w:val="18"/>
                <w:szCs w:val="18"/>
                <w:lang w:val="en-AU"/>
              </w:rPr>
            </w:pPr>
          </w:p>
        </w:tc>
        <w:tc>
          <w:tcPr>
            <w:tcW w:w="3118" w:type="dxa"/>
            <w:tcBorders>
              <w:top w:val="single" w:sz="4" w:space="0" w:color="4472C4" w:themeColor="accent1"/>
            </w:tcBorders>
            <w:shd w:val="clear" w:color="auto" w:fill="auto"/>
          </w:tcPr>
          <w:p w14:paraId="4230334A" w14:textId="4E4EF554" w:rsidR="00FD7E33" w:rsidRPr="002B049D" w:rsidRDefault="00FD7E33" w:rsidP="00FD7E33">
            <w:pPr>
              <w:numPr>
                <w:ilvl w:val="0"/>
                <w:numId w:val="9"/>
              </w:numPr>
              <w:spacing w:after="0" w:line="240" w:lineRule="auto"/>
              <w:ind w:left="180" w:hanging="18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EAs socialisation completed</w:t>
            </w:r>
            <w:r w:rsidR="00BB3352">
              <w:rPr>
                <w:rFonts w:ascii="Calibri" w:eastAsia="Times New Roman" w:hAnsi="Calibri" w:cs="Times New Roman"/>
                <w:color w:val="000000" w:themeColor="text1"/>
                <w:sz w:val="18"/>
                <w:szCs w:val="18"/>
                <w:lang w:val="en-AU"/>
              </w:rPr>
              <w:t xml:space="preserve">   </w:t>
            </w:r>
            <w:proofErr w:type="gramStart"/>
            <w:r w:rsidR="00BB3352">
              <w:rPr>
                <w:rFonts w:ascii="Calibri" w:eastAsia="Times New Roman" w:hAnsi="Calibri" w:cs="Times New Roman"/>
                <w:color w:val="000000" w:themeColor="text1"/>
                <w:sz w:val="18"/>
                <w:szCs w:val="18"/>
                <w:lang w:val="en-AU"/>
              </w:rPr>
              <w:t xml:space="preserve">  </w:t>
            </w:r>
            <w:r w:rsidRPr="002B049D">
              <w:rPr>
                <w:rFonts w:ascii="Calibri" w:eastAsia="Times New Roman" w:hAnsi="Calibri" w:cs="Times New Roman"/>
                <w:color w:val="000000" w:themeColor="text1"/>
                <w:sz w:val="18"/>
                <w:szCs w:val="18"/>
                <w:lang w:val="en-AU"/>
              </w:rPr>
              <w:t xml:space="preserve"> (</w:t>
            </w:r>
            <w:proofErr w:type="gramEnd"/>
            <w:r w:rsidRPr="002B049D">
              <w:rPr>
                <w:rFonts w:ascii="Calibri" w:eastAsia="Times New Roman" w:hAnsi="Calibri" w:cs="Times New Roman"/>
                <w:color w:val="000000" w:themeColor="text1"/>
                <w:sz w:val="18"/>
                <w:szCs w:val="18"/>
                <w:lang w:val="en-AU"/>
              </w:rPr>
              <w:t>10%)</w:t>
            </w:r>
          </w:p>
        </w:tc>
        <w:tc>
          <w:tcPr>
            <w:tcW w:w="1701" w:type="dxa"/>
            <w:tcBorders>
              <w:top w:val="single" w:sz="4" w:space="0" w:color="4472C4" w:themeColor="accent1"/>
            </w:tcBorders>
          </w:tcPr>
          <w:p w14:paraId="4E2C7DDE" w14:textId="63B9343C" w:rsidR="00FD7E33" w:rsidRPr="002B049D" w:rsidRDefault="00FD7E33" w:rsidP="00FD7E33">
            <w:pPr>
              <w:spacing w:after="0" w:line="240" w:lineRule="auto"/>
              <w:ind w:left="3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100% (of 10%)</w:t>
            </w:r>
          </w:p>
        </w:tc>
      </w:tr>
      <w:tr w:rsidR="00FD7E33" w:rsidRPr="002B049D" w14:paraId="3D7BA811" w14:textId="77777777" w:rsidTr="00BB3352">
        <w:trPr>
          <w:cantSplit/>
          <w:jc w:val="center"/>
        </w:trPr>
        <w:tc>
          <w:tcPr>
            <w:tcW w:w="2122" w:type="dxa"/>
            <w:vMerge/>
            <w:shd w:val="clear" w:color="auto" w:fill="auto"/>
          </w:tcPr>
          <w:p w14:paraId="7F4AE035" w14:textId="77777777" w:rsidR="00FD7E33" w:rsidRPr="002B049D" w:rsidRDefault="00FD7E33" w:rsidP="00C7441F">
            <w:pPr>
              <w:spacing w:after="0" w:line="240" w:lineRule="auto"/>
              <w:rPr>
                <w:rFonts w:ascii="Calibri" w:eastAsia="Times New Roman" w:hAnsi="Calibri" w:cs="Times New Roman"/>
                <w:color w:val="000000" w:themeColor="text1"/>
                <w:sz w:val="18"/>
                <w:szCs w:val="18"/>
                <w:lang w:val="en-AU"/>
              </w:rPr>
            </w:pPr>
          </w:p>
        </w:tc>
        <w:tc>
          <w:tcPr>
            <w:tcW w:w="3543" w:type="dxa"/>
            <w:shd w:val="clear" w:color="auto" w:fill="auto"/>
          </w:tcPr>
          <w:p w14:paraId="768854FA" w14:textId="1CD58D37" w:rsidR="00FD7E33" w:rsidRPr="002B049D" w:rsidRDefault="00FD7E33" w:rsidP="00C7441F">
            <w:pPr>
              <w:spacing w:after="0" w:line="240" w:lineRule="auto"/>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Transition rates for year 6 to 7 from 2018 to 2019 show an increase over year 6 to 7 transition rates from 2017 to 2018</w:t>
            </w:r>
          </w:p>
        </w:tc>
        <w:tc>
          <w:tcPr>
            <w:tcW w:w="3118" w:type="dxa"/>
            <w:shd w:val="clear" w:color="auto" w:fill="auto"/>
          </w:tcPr>
          <w:p w14:paraId="6730E13F" w14:textId="33315BD7" w:rsidR="00FD7E33" w:rsidRPr="002B049D" w:rsidRDefault="00FD7E33" w:rsidP="00FD7E33">
            <w:pPr>
              <w:numPr>
                <w:ilvl w:val="0"/>
                <w:numId w:val="9"/>
              </w:numPr>
              <w:spacing w:after="0" w:line="240" w:lineRule="auto"/>
              <w:ind w:left="180" w:hanging="18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 xml:space="preserve">Transition Rates increase </w:t>
            </w:r>
            <w:r w:rsidR="00BB3352">
              <w:rPr>
                <w:rFonts w:ascii="Calibri" w:eastAsia="Times New Roman" w:hAnsi="Calibri" w:cs="Times New Roman"/>
                <w:color w:val="000000" w:themeColor="text1"/>
                <w:sz w:val="18"/>
                <w:szCs w:val="18"/>
                <w:lang w:val="en-AU"/>
              </w:rPr>
              <w:t xml:space="preserve">       </w:t>
            </w:r>
            <w:proofErr w:type="gramStart"/>
            <w:r w:rsidR="00BB3352">
              <w:rPr>
                <w:rFonts w:ascii="Calibri" w:eastAsia="Times New Roman" w:hAnsi="Calibri" w:cs="Times New Roman"/>
                <w:color w:val="000000" w:themeColor="text1"/>
                <w:sz w:val="18"/>
                <w:szCs w:val="18"/>
                <w:lang w:val="en-AU"/>
              </w:rPr>
              <w:t xml:space="preserve">   </w:t>
            </w:r>
            <w:r w:rsidRPr="002B049D">
              <w:rPr>
                <w:rFonts w:ascii="Calibri" w:eastAsia="Times New Roman" w:hAnsi="Calibri" w:cs="Times New Roman"/>
                <w:color w:val="000000" w:themeColor="text1"/>
                <w:sz w:val="18"/>
                <w:szCs w:val="18"/>
                <w:lang w:val="en-AU"/>
              </w:rPr>
              <w:t>(</w:t>
            </w:r>
            <w:proofErr w:type="gramEnd"/>
            <w:r w:rsidRPr="002B049D">
              <w:rPr>
                <w:rFonts w:ascii="Calibri" w:eastAsia="Times New Roman" w:hAnsi="Calibri" w:cs="Times New Roman"/>
                <w:color w:val="000000" w:themeColor="text1"/>
                <w:sz w:val="18"/>
                <w:szCs w:val="18"/>
                <w:lang w:val="en-AU"/>
              </w:rPr>
              <w:t>10%)</w:t>
            </w:r>
          </w:p>
        </w:tc>
        <w:tc>
          <w:tcPr>
            <w:tcW w:w="1701" w:type="dxa"/>
          </w:tcPr>
          <w:p w14:paraId="593E136A" w14:textId="77777777" w:rsidR="00FD7E33" w:rsidRPr="002B049D" w:rsidRDefault="00FD7E33" w:rsidP="00FD7E33">
            <w:pPr>
              <w:spacing w:after="0" w:line="240" w:lineRule="auto"/>
              <w:ind w:left="3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100% (of 10%)</w:t>
            </w:r>
          </w:p>
        </w:tc>
      </w:tr>
      <w:tr w:rsidR="002B049D" w:rsidRPr="002B049D" w14:paraId="34F695AB" w14:textId="77777777" w:rsidTr="00BB3352">
        <w:trPr>
          <w:cantSplit/>
          <w:jc w:val="center"/>
        </w:trPr>
        <w:tc>
          <w:tcPr>
            <w:tcW w:w="2122" w:type="dxa"/>
            <w:shd w:val="clear" w:color="auto" w:fill="auto"/>
            <w:hideMark/>
          </w:tcPr>
          <w:p w14:paraId="4BEB76DB" w14:textId="77777777" w:rsidR="002B049D" w:rsidRPr="002B049D" w:rsidRDefault="002B049D" w:rsidP="00C7441F">
            <w:pPr>
              <w:spacing w:after="0" w:line="240" w:lineRule="auto"/>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2.1 More teachers using new improved curriculum</w:t>
            </w:r>
          </w:p>
        </w:tc>
        <w:tc>
          <w:tcPr>
            <w:tcW w:w="3543" w:type="dxa"/>
            <w:shd w:val="clear" w:color="auto" w:fill="auto"/>
            <w:hideMark/>
          </w:tcPr>
          <w:p w14:paraId="233B91DE" w14:textId="47973B8A" w:rsidR="002B049D" w:rsidRPr="002B049D" w:rsidRDefault="002B049D" w:rsidP="00C7441F">
            <w:pPr>
              <w:spacing w:after="0" w:line="240" w:lineRule="auto"/>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By the end of 2019, roll out of the Pre-Primary Year (PPY) Curriculum and training to the 7 remaining provinces completed and evaluated (</w:t>
            </w:r>
            <w:proofErr w:type="gramStart"/>
            <w:r w:rsidRPr="002B049D">
              <w:rPr>
                <w:rFonts w:ascii="Calibri" w:eastAsia="Times New Roman" w:hAnsi="Calibri" w:cs="Times New Roman"/>
                <w:color w:val="000000" w:themeColor="text1"/>
                <w:sz w:val="18"/>
                <w:szCs w:val="18"/>
                <w:lang w:val="en-AU"/>
              </w:rPr>
              <w:t>i.e.</w:t>
            </w:r>
            <w:proofErr w:type="gramEnd"/>
            <w:r w:rsidRPr="002B049D">
              <w:rPr>
                <w:rFonts w:ascii="Calibri" w:eastAsia="Times New Roman" w:hAnsi="Calibri" w:cs="Times New Roman"/>
                <w:color w:val="000000" w:themeColor="text1"/>
                <w:sz w:val="18"/>
                <w:szCs w:val="18"/>
                <w:lang w:val="en-AU"/>
              </w:rPr>
              <w:t xml:space="preserve"> Temotu, Makira, Central, Choiseul, Western, and </w:t>
            </w:r>
            <w:proofErr w:type="spellStart"/>
            <w:r w:rsidRPr="002B049D">
              <w:rPr>
                <w:rFonts w:ascii="Calibri" w:eastAsia="Times New Roman" w:hAnsi="Calibri" w:cs="Times New Roman"/>
                <w:color w:val="000000" w:themeColor="text1"/>
                <w:sz w:val="18"/>
                <w:szCs w:val="18"/>
                <w:lang w:val="en-AU"/>
              </w:rPr>
              <w:t>Rennell</w:t>
            </w:r>
            <w:proofErr w:type="spellEnd"/>
            <w:r w:rsidRPr="002B049D">
              <w:rPr>
                <w:rFonts w:ascii="Calibri" w:eastAsia="Times New Roman" w:hAnsi="Calibri" w:cs="Times New Roman"/>
                <w:color w:val="000000" w:themeColor="text1"/>
                <w:sz w:val="18"/>
                <w:szCs w:val="18"/>
                <w:lang w:val="en-AU"/>
              </w:rPr>
              <w:t xml:space="preserve"> &amp; Bellona) </w:t>
            </w:r>
          </w:p>
        </w:tc>
        <w:tc>
          <w:tcPr>
            <w:tcW w:w="3118" w:type="dxa"/>
            <w:shd w:val="clear" w:color="auto" w:fill="auto"/>
            <w:noWrap/>
            <w:hideMark/>
          </w:tcPr>
          <w:p w14:paraId="3F57B11D" w14:textId="61E204E0" w:rsidR="002B049D" w:rsidRPr="002B049D" w:rsidRDefault="002B049D" w:rsidP="00FD7E33">
            <w:pPr>
              <w:numPr>
                <w:ilvl w:val="0"/>
                <w:numId w:val="9"/>
              </w:numPr>
              <w:spacing w:after="0" w:line="240" w:lineRule="auto"/>
              <w:ind w:left="180" w:hanging="18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PPY Monitoring Report received by MEHRD and UNICEF</w:t>
            </w:r>
            <w:r w:rsidR="00BB3352">
              <w:rPr>
                <w:rFonts w:ascii="Calibri" w:eastAsia="Times New Roman" w:hAnsi="Calibri" w:cs="Times New Roman"/>
                <w:color w:val="000000" w:themeColor="text1"/>
                <w:sz w:val="18"/>
                <w:szCs w:val="18"/>
                <w:lang w:val="en-AU"/>
              </w:rPr>
              <w:t xml:space="preserve">               </w:t>
            </w:r>
            <w:proofErr w:type="gramStart"/>
            <w:r w:rsidR="00BB3352">
              <w:rPr>
                <w:rFonts w:ascii="Calibri" w:eastAsia="Times New Roman" w:hAnsi="Calibri" w:cs="Times New Roman"/>
                <w:color w:val="000000" w:themeColor="text1"/>
                <w:sz w:val="18"/>
                <w:szCs w:val="18"/>
                <w:lang w:val="en-AU"/>
              </w:rPr>
              <w:t xml:space="preserve">  </w:t>
            </w:r>
            <w:r w:rsidRPr="002B049D">
              <w:rPr>
                <w:rFonts w:ascii="Calibri" w:eastAsia="Times New Roman" w:hAnsi="Calibri" w:cs="Times New Roman"/>
                <w:color w:val="000000" w:themeColor="text1"/>
                <w:sz w:val="18"/>
                <w:szCs w:val="18"/>
                <w:lang w:val="en-AU"/>
              </w:rPr>
              <w:t xml:space="preserve"> (</w:t>
            </w:r>
            <w:proofErr w:type="gramEnd"/>
            <w:r w:rsidRPr="002B049D">
              <w:rPr>
                <w:rFonts w:ascii="Calibri" w:eastAsia="Times New Roman" w:hAnsi="Calibri" w:cs="Times New Roman"/>
                <w:color w:val="000000" w:themeColor="text1"/>
                <w:sz w:val="18"/>
                <w:szCs w:val="18"/>
                <w:lang w:val="en-AU"/>
              </w:rPr>
              <w:t>100%)</w:t>
            </w:r>
          </w:p>
          <w:p w14:paraId="2232799B" w14:textId="6AC9BFB6" w:rsidR="002B049D" w:rsidRPr="002B049D" w:rsidRDefault="002B049D" w:rsidP="00FD7E33">
            <w:pPr>
              <w:spacing w:after="0" w:line="240" w:lineRule="auto"/>
              <w:ind w:left="180"/>
              <w:rPr>
                <w:rFonts w:ascii="Calibri" w:eastAsia="Times New Roman" w:hAnsi="Calibri" w:cs="Times New Roman"/>
                <w:color w:val="000000" w:themeColor="text1"/>
                <w:sz w:val="18"/>
                <w:szCs w:val="18"/>
                <w:lang w:val="en-AU"/>
              </w:rPr>
            </w:pPr>
          </w:p>
        </w:tc>
        <w:tc>
          <w:tcPr>
            <w:tcW w:w="1701" w:type="dxa"/>
          </w:tcPr>
          <w:p w14:paraId="05700182" w14:textId="77777777" w:rsidR="002B049D" w:rsidRPr="002B049D" w:rsidRDefault="002B049D" w:rsidP="00FD7E33">
            <w:pPr>
              <w:spacing w:after="0" w:line="240" w:lineRule="auto"/>
              <w:ind w:left="3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75% (of 100%)</w:t>
            </w:r>
          </w:p>
        </w:tc>
      </w:tr>
      <w:tr w:rsidR="00FD7E33" w:rsidRPr="002B049D" w14:paraId="1D7EB4C6" w14:textId="77777777" w:rsidTr="00BB3352">
        <w:trPr>
          <w:cantSplit/>
          <w:trHeight w:val="460"/>
          <w:jc w:val="center"/>
        </w:trPr>
        <w:tc>
          <w:tcPr>
            <w:tcW w:w="2122" w:type="dxa"/>
            <w:vMerge w:val="restart"/>
            <w:shd w:val="clear" w:color="auto" w:fill="auto"/>
            <w:hideMark/>
          </w:tcPr>
          <w:p w14:paraId="72D898DC" w14:textId="77777777" w:rsidR="00FD7E33" w:rsidRPr="002B049D" w:rsidRDefault="00FD7E33" w:rsidP="00C7441F">
            <w:pPr>
              <w:spacing w:after="0" w:line="240" w:lineRule="auto"/>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2.2 Number of students achieving at or above the expected literacy and numeracy level</w:t>
            </w:r>
          </w:p>
        </w:tc>
        <w:tc>
          <w:tcPr>
            <w:tcW w:w="3543" w:type="dxa"/>
            <w:vMerge w:val="restart"/>
            <w:shd w:val="clear" w:color="auto" w:fill="auto"/>
            <w:hideMark/>
          </w:tcPr>
          <w:p w14:paraId="7A6D24A8" w14:textId="0FD3FEB1" w:rsidR="00FD7E33" w:rsidRPr="002B049D" w:rsidRDefault="00FD7E33" w:rsidP="00C7441F">
            <w:pPr>
              <w:spacing w:after="0" w:line="240" w:lineRule="auto"/>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By the end of 2019, 2019 SISTA test review and main study conducted</w:t>
            </w:r>
          </w:p>
          <w:p w14:paraId="4824413C" w14:textId="77777777" w:rsidR="00FD7E33" w:rsidRPr="002B049D" w:rsidRDefault="00FD7E33" w:rsidP="00C7441F">
            <w:pPr>
              <w:spacing w:after="0" w:line="240" w:lineRule="auto"/>
              <w:rPr>
                <w:rFonts w:ascii="Calibri" w:eastAsia="Times New Roman" w:hAnsi="Calibri" w:cs="Times New Roman"/>
                <w:color w:val="000000" w:themeColor="text1"/>
                <w:sz w:val="18"/>
                <w:szCs w:val="18"/>
                <w:lang w:val="en-AU"/>
              </w:rPr>
            </w:pPr>
          </w:p>
          <w:p w14:paraId="4D32DB59" w14:textId="77777777" w:rsidR="00FD7E33" w:rsidRDefault="00FD7E33" w:rsidP="00C7441F">
            <w:pPr>
              <w:spacing w:after="0" w:line="240" w:lineRule="auto"/>
              <w:rPr>
                <w:rFonts w:ascii="Calibri" w:eastAsia="Times New Roman" w:hAnsi="Calibri" w:cs="Times New Roman"/>
                <w:color w:val="000000" w:themeColor="text1"/>
                <w:sz w:val="18"/>
                <w:szCs w:val="18"/>
                <w:lang w:val="en-AU"/>
              </w:rPr>
            </w:pPr>
          </w:p>
          <w:p w14:paraId="31E76C8B" w14:textId="3FB2E61E" w:rsidR="00FD7E33" w:rsidRPr="002B049D" w:rsidRDefault="00FD7E33" w:rsidP="00C7441F">
            <w:pPr>
              <w:spacing w:after="0" w:line="240" w:lineRule="auto"/>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By the end of 2019, PILNA 2018 test results disseminated through school visits, Education Authorities, and online</w:t>
            </w:r>
          </w:p>
        </w:tc>
        <w:tc>
          <w:tcPr>
            <w:tcW w:w="3118" w:type="dxa"/>
            <w:tcBorders>
              <w:bottom w:val="single" w:sz="4" w:space="0" w:color="4472C4" w:themeColor="accent1"/>
            </w:tcBorders>
            <w:shd w:val="clear" w:color="auto" w:fill="auto"/>
            <w:hideMark/>
          </w:tcPr>
          <w:p w14:paraId="04F904E4" w14:textId="62CF2349" w:rsidR="00FD7E33" w:rsidRPr="002B049D" w:rsidRDefault="00FD7E33" w:rsidP="00FD7E33">
            <w:pPr>
              <w:numPr>
                <w:ilvl w:val="0"/>
                <w:numId w:val="9"/>
              </w:numPr>
              <w:spacing w:after="0" w:line="240" w:lineRule="auto"/>
              <w:ind w:left="180" w:hanging="18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Evidence of 2019 SISTA test review and main study having been conducted</w:t>
            </w:r>
            <w:r w:rsidR="00BB3352">
              <w:rPr>
                <w:rFonts w:ascii="Calibri" w:eastAsia="Times New Roman" w:hAnsi="Calibri" w:cs="Times New Roman"/>
                <w:color w:val="000000" w:themeColor="text1"/>
                <w:sz w:val="18"/>
                <w:szCs w:val="18"/>
                <w:lang w:val="en-AU"/>
              </w:rPr>
              <w:t xml:space="preserve">                               </w:t>
            </w:r>
            <w:proofErr w:type="gramStart"/>
            <w:r w:rsidR="00BB3352">
              <w:rPr>
                <w:rFonts w:ascii="Calibri" w:eastAsia="Times New Roman" w:hAnsi="Calibri" w:cs="Times New Roman"/>
                <w:color w:val="000000" w:themeColor="text1"/>
                <w:sz w:val="18"/>
                <w:szCs w:val="18"/>
                <w:lang w:val="en-AU"/>
              </w:rPr>
              <w:t xml:space="preserve">  </w:t>
            </w:r>
            <w:r w:rsidRPr="002B049D">
              <w:rPr>
                <w:rFonts w:ascii="Calibri" w:eastAsia="Times New Roman" w:hAnsi="Calibri" w:cs="Times New Roman"/>
                <w:color w:val="000000" w:themeColor="text1"/>
                <w:sz w:val="18"/>
                <w:szCs w:val="18"/>
                <w:lang w:val="en-AU"/>
              </w:rPr>
              <w:t xml:space="preserve"> (</w:t>
            </w:r>
            <w:proofErr w:type="gramEnd"/>
            <w:r w:rsidRPr="002B049D">
              <w:rPr>
                <w:rFonts w:ascii="Calibri" w:eastAsia="Times New Roman" w:hAnsi="Calibri" w:cs="Times New Roman"/>
                <w:color w:val="000000" w:themeColor="text1"/>
                <w:sz w:val="18"/>
                <w:szCs w:val="18"/>
                <w:lang w:val="en-AU"/>
              </w:rPr>
              <w:t>50%</w:t>
            </w:r>
            <w:r>
              <w:rPr>
                <w:rFonts w:ascii="Calibri" w:eastAsia="Times New Roman" w:hAnsi="Calibri" w:cs="Times New Roman"/>
                <w:color w:val="000000" w:themeColor="text1"/>
                <w:sz w:val="18"/>
                <w:szCs w:val="18"/>
                <w:lang w:val="en-AU"/>
              </w:rPr>
              <w:t>)</w:t>
            </w:r>
          </w:p>
        </w:tc>
        <w:tc>
          <w:tcPr>
            <w:tcW w:w="1701" w:type="dxa"/>
            <w:tcBorders>
              <w:bottom w:val="single" w:sz="4" w:space="0" w:color="4472C4" w:themeColor="accent1"/>
            </w:tcBorders>
          </w:tcPr>
          <w:p w14:paraId="603D40EB" w14:textId="77777777" w:rsidR="00FD7E33" w:rsidRPr="002B049D" w:rsidRDefault="00FD7E33" w:rsidP="00FD7E33">
            <w:pPr>
              <w:spacing w:after="0" w:line="240" w:lineRule="auto"/>
              <w:ind w:left="3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100% (of 50%)</w:t>
            </w:r>
          </w:p>
          <w:p w14:paraId="28F06A03" w14:textId="77777777" w:rsidR="00FD7E33" w:rsidRPr="002B049D" w:rsidRDefault="00FD7E33" w:rsidP="00FD7E33">
            <w:pPr>
              <w:spacing w:after="0" w:line="240" w:lineRule="auto"/>
              <w:ind w:left="30"/>
              <w:rPr>
                <w:rFonts w:ascii="Calibri" w:eastAsia="Times New Roman" w:hAnsi="Calibri" w:cs="Times New Roman"/>
                <w:color w:val="000000" w:themeColor="text1"/>
                <w:sz w:val="18"/>
                <w:szCs w:val="18"/>
                <w:lang w:val="en-AU"/>
              </w:rPr>
            </w:pPr>
          </w:p>
          <w:p w14:paraId="20CE1816" w14:textId="2EAFA269" w:rsidR="00FD7E33" w:rsidRPr="002B049D" w:rsidRDefault="00FD7E33" w:rsidP="00FD7E33">
            <w:pPr>
              <w:spacing w:after="0" w:line="240" w:lineRule="auto"/>
              <w:ind w:left="30"/>
              <w:rPr>
                <w:rFonts w:ascii="Calibri" w:eastAsia="Times New Roman" w:hAnsi="Calibri" w:cs="Times New Roman"/>
                <w:color w:val="000000" w:themeColor="text1"/>
                <w:sz w:val="18"/>
                <w:szCs w:val="18"/>
                <w:lang w:val="en-AU"/>
              </w:rPr>
            </w:pPr>
          </w:p>
        </w:tc>
      </w:tr>
      <w:tr w:rsidR="00FD7E33" w:rsidRPr="002B049D" w14:paraId="3CE06EB2" w14:textId="77777777" w:rsidTr="00BB3352">
        <w:trPr>
          <w:cantSplit/>
          <w:trHeight w:val="1082"/>
          <w:jc w:val="center"/>
        </w:trPr>
        <w:tc>
          <w:tcPr>
            <w:tcW w:w="2122" w:type="dxa"/>
            <w:vMerge/>
            <w:shd w:val="clear" w:color="auto" w:fill="auto"/>
          </w:tcPr>
          <w:p w14:paraId="35207159" w14:textId="77777777" w:rsidR="00FD7E33" w:rsidRPr="002B049D" w:rsidRDefault="00FD7E33" w:rsidP="00C7441F">
            <w:pPr>
              <w:spacing w:after="0" w:line="240" w:lineRule="auto"/>
              <w:rPr>
                <w:rFonts w:ascii="Calibri" w:eastAsia="Times New Roman" w:hAnsi="Calibri" w:cs="Times New Roman"/>
                <w:color w:val="000000" w:themeColor="text1"/>
                <w:sz w:val="18"/>
                <w:szCs w:val="18"/>
                <w:lang w:val="en-AU"/>
              </w:rPr>
            </w:pPr>
          </w:p>
        </w:tc>
        <w:tc>
          <w:tcPr>
            <w:tcW w:w="3543" w:type="dxa"/>
            <w:vMerge/>
            <w:shd w:val="clear" w:color="auto" w:fill="auto"/>
          </w:tcPr>
          <w:p w14:paraId="38A9438A" w14:textId="77777777" w:rsidR="00FD7E33" w:rsidRPr="002B049D" w:rsidRDefault="00FD7E33" w:rsidP="00C7441F">
            <w:pPr>
              <w:spacing w:after="0" w:line="240" w:lineRule="auto"/>
              <w:rPr>
                <w:rFonts w:ascii="Calibri" w:eastAsia="Times New Roman" w:hAnsi="Calibri" w:cs="Times New Roman"/>
                <w:color w:val="000000" w:themeColor="text1"/>
                <w:sz w:val="18"/>
                <w:szCs w:val="18"/>
                <w:lang w:val="en-AU"/>
              </w:rPr>
            </w:pPr>
          </w:p>
        </w:tc>
        <w:tc>
          <w:tcPr>
            <w:tcW w:w="3118" w:type="dxa"/>
            <w:tcBorders>
              <w:top w:val="single" w:sz="4" w:space="0" w:color="4472C4" w:themeColor="accent1"/>
              <w:bottom w:val="single" w:sz="4" w:space="0" w:color="4472C4" w:themeColor="accent1"/>
            </w:tcBorders>
            <w:shd w:val="clear" w:color="auto" w:fill="auto"/>
          </w:tcPr>
          <w:p w14:paraId="0D27730C" w14:textId="77777777" w:rsidR="00BB3352" w:rsidRDefault="00FD7E33" w:rsidP="00BB3352">
            <w:pPr>
              <w:numPr>
                <w:ilvl w:val="0"/>
                <w:numId w:val="9"/>
              </w:numPr>
              <w:spacing w:after="0" w:line="240" w:lineRule="auto"/>
              <w:ind w:left="180" w:hanging="180"/>
              <w:rPr>
                <w:rFonts w:ascii="Calibri" w:eastAsia="Times New Roman" w:hAnsi="Calibri" w:cs="Times New Roman"/>
                <w:color w:val="000000" w:themeColor="text1"/>
                <w:sz w:val="18"/>
                <w:szCs w:val="18"/>
                <w:lang w:val="en-AU"/>
              </w:rPr>
            </w:pPr>
            <w:r w:rsidRPr="00FD7E33">
              <w:rPr>
                <w:rFonts w:ascii="Calibri" w:eastAsia="Times New Roman" w:hAnsi="Calibri" w:cs="Times New Roman"/>
                <w:color w:val="000000" w:themeColor="text1"/>
                <w:sz w:val="18"/>
                <w:szCs w:val="18"/>
                <w:lang w:val="en-AU"/>
              </w:rPr>
              <w:t>Evidence of PILNA 2018 dissemination to national, provincial and school level (</w:t>
            </w:r>
            <w:proofErr w:type="gramStart"/>
            <w:r w:rsidRPr="00FD7E33">
              <w:rPr>
                <w:rFonts w:ascii="Calibri" w:eastAsia="Times New Roman" w:hAnsi="Calibri" w:cs="Times New Roman"/>
                <w:color w:val="000000" w:themeColor="text1"/>
                <w:sz w:val="18"/>
                <w:szCs w:val="18"/>
                <w:lang w:val="en-AU"/>
              </w:rPr>
              <w:t>e.g.</w:t>
            </w:r>
            <w:proofErr w:type="gramEnd"/>
            <w:r w:rsidRPr="00FD7E33">
              <w:rPr>
                <w:rFonts w:ascii="Calibri" w:eastAsia="Times New Roman" w:hAnsi="Calibri" w:cs="Times New Roman"/>
                <w:color w:val="000000" w:themeColor="text1"/>
                <w:sz w:val="18"/>
                <w:szCs w:val="18"/>
                <w:lang w:val="en-AU"/>
              </w:rPr>
              <w:t xml:space="preserve"> meeting minutes, back to office reports) </w:t>
            </w:r>
            <w:r w:rsidR="00BB3352">
              <w:rPr>
                <w:rFonts w:ascii="Calibri" w:eastAsia="Times New Roman" w:hAnsi="Calibri" w:cs="Times New Roman"/>
                <w:color w:val="000000" w:themeColor="text1"/>
                <w:sz w:val="18"/>
                <w:szCs w:val="18"/>
                <w:lang w:val="en-AU"/>
              </w:rPr>
              <w:t xml:space="preserve">      </w:t>
            </w:r>
          </w:p>
          <w:p w14:paraId="5090E7AA" w14:textId="17D26B61" w:rsidR="00FD7E33" w:rsidRPr="00FD7E33" w:rsidRDefault="00BB3352" w:rsidP="00BB3352">
            <w:pPr>
              <w:spacing w:after="0" w:line="240" w:lineRule="auto"/>
              <w:ind w:left="180"/>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 xml:space="preserve">                                                        </w:t>
            </w:r>
            <w:r w:rsidR="00FD7E33" w:rsidRPr="00FD7E33">
              <w:rPr>
                <w:rFonts w:ascii="Calibri" w:eastAsia="Times New Roman" w:hAnsi="Calibri" w:cs="Times New Roman"/>
                <w:color w:val="000000" w:themeColor="text1"/>
                <w:sz w:val="18"/>
                <w:szCs w:val="18"/>
                <w:lang w:val="en-AU"/>
              </w:rPr>
              <w:t>(50%)</w:t>
            </w:r>
          </w:p>
        </w:tc>
        <w:tc>
          <w:tcPr>
            <w:tcW w:w="1701" w:type="dxa"/>
            <w:tcBorders>
              <w:top w:val="single" w:sz="4" w:space="0" w:color="4472C4" w:themeColor="accent1"/>
            </w:tcBorders>
          </w:tcPr>
          <w:p w14:paraId="62143920" w14:textId="39A94B04" w:rsidR="00FD7E33" w:rsidRPr="002B049D" w:rsidRDefault="00FD7E33" w:rsidP="00FD7E33">
            <w:pPr>
              <w:spacing w:after="0" w:line="240" w:lineRule="auto"/>
              <w:ind w:left="3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50% (of 50%)</w:t>
            </w:r>
          </w:p>
        </w:tc>
      </w:tr>
      <w:tr w:rsidR="00BB3352" w:rsidRPr="002B049D" w14:paraId="1139505A" w14:textId="77777777" w:rsidTr="00BB3352">
        <w:trPr>
          <w:cantSplit/>
          <w:trHeight w:val="698"/>
          <w:jc w:val="center"/>
        </w:trPr>
        <w:tc>
          <w:tcPr>
            <w:tcW w:w="2122" w:type="dxa"/>
            <w:vMerge w:val="restart"/>
            <w:shd w:val="clear" w:color="auto" w:fill="auto"/>
          </w:tcPr>
          <w:p w14:paraId="20E9CCEC" w14:textId="77777777" w:rsidR="00BB3352" w:rsidRPr="002B049D" w:rsidRDefault="00BB3352" w:rsidP="00C7441F">
            <w:pPr>
              <w:spacing w:after="0" w:line="240" w:lineRule="auto"/>
              <w:rPr>
                <w:rFonts w:ascii="Calibri" w:eastAsia="Times New Roman" w:hAnsi="Calibri" w:cs="Times New Roman"/>
                <w:color w:val="000000"/>
                <w:sz w:val="18"/>
                <w:szCs w:val="18"/>
                <w:lang w:val="en-AU"/>
              </w:rPr>
            </w:pPr>
            <w:r w:rsidRPr="002B049D">
              <w:rPr>
                <w:rFonts w:ascii="Calibri" w:eastAsia="Times New Roman" w:hAnsi="Calibri" w:cs="Times New Roman"/>
                <w:color w:val="000000" w:themeColor="text1"/>
                <w:sz w:val="18"/>
                <w:szCs w:val="18"/>
                <w:lang w:val="en-AU"/>
              </w:rPr>
              <w:t>2.3 Percentage of certified (trained) teachers by gender</w:t>
            </w:r>
          </w:p>
        </w:tc>
        <w:tc>
          <w:tcPr>
            <w:tcW w:w="3543" w:type="dxa"/>
            <w:vMerge w:val="restart"/>
            <w:shd w:val="clear" w:color="auto" w:fill="auto"/>
          </w:tcPr>
          <w:p w14:paraId="4A2949A5" w14:textId="339B47DA" w:rsidR="00BB3352" w:rsidRPr="002B049D" w:rsidRDefault="00BB3352" w:rsidP="00BB3352">
            <w:pPr>
              <w:spacing w:after="0" w:line="240" w:lineRule="auto"/>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By the end of 2019, delivery of USP Certificate in Teaching Primary (courses ED152 and ED100) to be rolled out in Choiseul and Western provinces, and completed in Makira Province</w:t>
            </w:r>
          </w:p>
        </w:tc>
        <w:tc>
          <w:tcPr>
            <w:tcW w:w="3118" w:type="dxa"/>
            <w:shd w:val="clear" w:color="auto" w:fill="auto"/>
          </w:tcPr>
          <w:p w14:paraId="37968678" w14:textId="17E2A130" w:rsidR="00BB3352" w:rsidRPr="00BB3352" w:rsidRDefault="00BB3352" w:rsidP="00BB3352">
            <w:pPr>
              <w:numPr>
                <w:ilvl w:val="0"/>
                <w:numId w:val="9"/>
              </w:numPr>
              <w:spacing w:after="0" w:line="240" w:lineRule="auto"/>
              <w:ind w:left="180" w:hanging="18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 xml:space="preserve">Untrained teachers in Choiseul and Western provinces complete both courses </w:t>
            </w:r>
            <w:r>
              <w:rPr>
                <w:rFonts w:ascii="Calibri" w:eastAsia="Times New Roman" w:hAnsi="Calibri" w:cs="Times New Roman"/>
                <w:color w:val="000000" w:themeColor="text1"/>
                <w:sz w:val="18"/>
                <w:szCs w:val="18"/>
                <w:lang w:val="en-AU"/>
              </w:rPr>
              <w:t xml:space="preserve">                                      </w:t>
            </w:r>
            <w:proofErr w:type="gramStart"/>
            <w:r>
              <w:rPr>
                <w:rFonts w:ascii="Calibri" w:eastAsia="Times New Roman" w:hAnsi="Calibri" w:cs="Times New Roman"/>
                <w:color w:val="000000" w:themeColor="text1"/>
                <w:sz w:val="18"/>
                <w:szCs w:val="18"/>
                <w:lang w:val="en-AU"/>
              </w:rPr>
              <w:t xml:space="preserve">   </w:t>
            </w:r>
            <w:r w:rsidRPr="002B049D">
              <w:rPr>
                <w:rFonts w:ascii="Calibri" w:eastAsia="Times New Roman" w:hAnsi="Calibri" w:cs="Times New Roman"/>
                <w:color w:val="000000" w:themeColor="text1"/>
                <w:sz w:val="18"/>
                <w:szCs w:val="18"/>
                <w:lang w:val="en-AU"/>
              </w:rPr>
              <w:t>(</w:t>
            </w:r>
            <w:proofErr w:type="gramEnd"/>
            <w:r w:rsidRPr="002B049D">
              <w:rPr>
                <w:rFonts w:ascii="Calibri" w:eastAsia="Times New Roman" w:hAnsi="Calibri" w:cs="Times New Roman"/>
                <w:color w:val="000000" w:themeColor="text1"/>
                <w:sz w:val="18"/>
                <w:szCs w:val="18"/>
                <w:lang w:val="en-AU"/>
              </w:rPr>
              <w:t xml:space="preserve">67%) </w:t>
            </w:r>
          </w:p>
        </w:tc>
        <w:tc>
          <w:tcPr>
            <w:tcW w:w="1701" w:type="dxa"/>
          </w:tcPr>
          <w:p w14:paraId="66CCF272" w14:textId="5E6068A4" w:rsidR="00BB3352" w:rsidRDefault="00BB3352" w:rsidP="00BB3352">
            <w:pPr>
              <w:spacing w:after="0" w:line="240" w:lineRule="auto"/>
              <w:ind w:left="3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75% (of 67%)</w:t>
            </w:r>
          </w:p>
          <w:p w14:paraId="71CAEED5" w14:textId="62109B4B" w:rsidR="00BB3352" w:rsidRPr="002B049D" w:rsidRDefault="00BB3352" w:rsidP="00FD7E33">
            <w:pPr>
              <w:spacing w:after="0" w:line="240" w:lineRule="auto"/>
              <w:ind w:left="30"/>
              <w:rPr>
                <w:rFonts w:ascii="Calibri" w:eastAsia="Times New Roman" w:hAnsi="Calibri" w:cs="Times New Roman"/>
                <w:color w:val="000000" w:themeColor="text1"/>
                <w:sz w:val="18"/>
                <w:szCs w:val="18"/>
                <w:lang w:val="en-AU"/>
              </w:rPr>
            </w:pPr>
          </w:p>
        </w:tc>
      </w:tr>
      <w:tr w:rsidR="00BB3352" w:rsidRPr="002B049D" w14:paraId="1A7DEC87" w14:textId="77777777" w:rsidTr="00BB3352">
        <w:trPr>
          <w:cantSplit/>
          <w:trHeight w:val="385"/>
          <w:jc w:val="center"/>
        </w:trPr>
        <w:tc>
          <w:tcPr>
            <w:tcW w:w="2122" w:type="dxa"/>
            <w:vMerge/>
            <w:shd w:val="clear" w:color="auto" w:fill="auto"/>
          </w:tcPr>
          <w:p w14:paraId="2B3BC836" w14:textId="77777777" w:rsidR="00BB3352" w:rsidRPr="002B049D" w:rsidRDefault="00BB3352" w:rsidP="00C7441F">
            <w:pPr>
              <w:spacing w:after="0" w:line="240" w:lineRule="auto"/>
              <w:rPr>
                <w:rFonts w:ascii="Calibri" w:eastAsia="Times New Roman" w:hAnsi="Calibri" w:cs="Times New Roman"/>
                <w:color w:val="000000" w:themeColor="text1"/>
                <w:sz w:val="18"/>
                <w:szCs w:val="18"/>
                <w:lang w:val="en-AU"/>
              </w:rPr>
            </w:pPr>
          </w:p>
        </w:tc>
        <w:tc>
          <w:tcPr>
            <w:tcW w:w="3543" w:type="dxa"/>
            <w:vMerge/>
            <w:shd w:val="clear" w:color="auto" w:fill="auto"/>
          </w:tcPr>
          <w:p w14:paraId="2F7C7F75" w14:textId="77777777" w:rsidR="00BB3352" w:rsidRPr="002B049D" w:rsidRDefault="00BB3352" w:rsidP="00C7441F">
            <w:pPr>
              <w:spacing w:after="0" w:line="240" w:lineRule="auto"/>
              <w:rPr>
                <w:rFonts w:ascii="Calibri" w:eastAsia="Times New Roman" w:hAnsi="Calibri" w:cs="Times New Roman"/>
                <w:color w:val="000000" w:themeColor="text1"/>
                <w:sz w:val="18"/>
                <w:szCs w:val="18"/>
                <w:lang w:val="en-AU"/>
              </w:rPr>
            </w:pPr>
          </w:p>
        </w:tc>
        <w:tc>
          <w:tcPr>
            <w:tcW w:w="3118" w:type="dxa"/>
            <w:shd w:val="clear" w:color="auto" w:fill="auto"/>
          </w:tcPr>
          <w:p w14:paraId="56327C0D" w14:textId="65BAD570" w:rsidR="00BB3352" w:rsidRPr="002B049D" w:rsidRDefault="00BB3352" w:rsidP="00BB3352">
            <w:pPr>
              <w:numPr>
                <w:ilvl w:val="0"/>
                <w:numId w:val="9"/>
              </w:numPr>
              <w:spacing w:after="0" w:line="240" w:lineRule="auto"/>
              <w:ind w:left="180" w:hanging="18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Cohort of untrained teachers in Makira Province complete their studies</w:t>
            </w:r>
            <w:r>
              <w:rPr>
                <w:rFonts w:ascii="Calibri" w:eastAsia="Times New Roman" w:hAnsi="Calibri" w:cs="Times New Roman"/>
                <w:color w:val="000000" w:themeColor="text1"/>
                <w:sz w:val="18"/>
                <w:szCs w:val="18"/>
                <w:lang w:val="en-AU"/>
              </w:rPr>
              <w:t xml:space="preserve">                                        </w:t>
            </w:r>
            <w:proofErr w:type="gramStart"/>
            <w:r>
              <w:rPr>
                <w:rFonts w:ascii="Calibri" w:eastAsia="Times New Roman" w:hAnsi="Calibri" w:cs="Times New Roman"/>
                <w:color w:val="000000" w:themeColor="text1"/>
                <w:sz w:val="18"/>
                <w:szCs w:val="18"/>
                <w:lang w:val="en-AU"/>
              </w:rPr>
              <w:t xml:space="preserve">  </w:t>
            </w:r>
            <w:r w:rsidRPr="002B049D">
              <w:rPr>
                <w:rFonts w:ascii="Calibri" w:eastAsia="Times New Roman" w:hAnsi="Calibri" w:cs="Times New Roman"/>
                <w:color w:val="000000" w:themeColor="text1"/>
                <w:sz w:val="18"/>
                <w:szCs w:val="18"/>
                <w:lang w:val="en-AU"/>
              </w:rPr>
              <w:t xml:space="preserve"> (</w:t>
            </w:r>
            <w:proofErr w:type="gramEnd"/>
            <w:r w:rsidRPr="002B049D">
              <w:rPr>
                <w:rFonts w:ascii="Calibri" w:eastAsia="Times New Roman" w:hAnsi="Calibri" w:cs="Times New Roman"/>
                <w:color w:val="000000" w:themeColor="text1"/>
                <w:sz w:val="18"/>
                <w:szCs w:val="18"/>
                <w:lang w:val="en-AU"/>
              </w:rPr>
              <w:t>33%)</w:t>
            </w:r>
          </w:p>
        </w:tc>
        <w:tc>
          <w:tcPr>
            <w:tcW w:w="1701" w:type="dxa"/>
          </w:tcPr>
          <w:p w14:paraId="69CDE2AD" w14:textId="4D26BC3F" w:rsidR="00BB3352" w:rsidRPr="002B049D" w:rsidRDefault="00BB3352" w:rsidP="00BB3352">
            <w:pPr>
              <w:spacing w:after="0" w:line="240" w:lineRule="auto"/>
              <w:ind w:left="3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100% (of 33%)</w:t>
            </w:r>
          </w:p>
        </w:tc>
      </w:tr>
      <w:tr w:rsidR="00FD7E33" w:rsidRPr="002B049D" w14:paraId="29114901" w14:textId="77777777" w:rsidTr="00BB3352">
        <w:trPr>
          <w:cantSplit/>
          <w:trHeight w:val="472"/>
          <w:jc w:val="center"/>
        </w:trPr>
        <w:tc>
          <w:tcPr>
            <w:tcW w:w="2122" w:type="dxa"/>
            <w:vMerge w:val="restart"/>
            <w:shd w:val="clear" w:color="auto" w:fill="auto"/>
          </w:tcPr>
          <w:p w14:paraId="5ECC409E" w14:textId="77777777" w:rsidR="00FD7E33" w:rsidRPr="002B049D" w:rsidRDefault="00FD7E33" w:rsidP="00C7441F">
            <w:pPr>
              <w:spacing w:after="0" w:line="240" w:lineRule="auto"/>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 xml:space="preserve">3.1 Retirement percentage of 2019 Second </w:t>
            </w:r>
            <w:proofErr w:type="gramStart"/>
            <w:r w:rsidRPr="002B049D">
              <w:rPr>
                <w:rFonts w:ascii="Calibri" w:eastAsia="Times New Roman" w:hAnsi="Calibri" w:cs="Times New Roman"/>
                <w:color w:val="000000" w:themeColor="text1"/>
                <w:sz w:val="18"/>
                <w:szCs w:val="18"/>
                <w:lang w:val="en-AU"/>
              </w:rPr>
              <w:t>Biannual  School</w:t>
            </w:r>
            <w:proofErr w:type="gramEnd"/>
            <w:r w:rsidRPr="002B049D">
              <w:rPr>
                <w:rFonts w:ascii="Calibri" w:eastAsia="Times New Roman" w:hAnsi="Calibri" w:cs="Times New Roman"/>
                <w:color w:val="000000" w:themeColor="text1"/>
                <w:sz w:val="18"/>
                <w:szCs w:val="18"/>
                <w:lang w:val="en-AU"/>
              </w:rPr>
              <w:t xml:space="preserve"> Grants improved and 2019 first tranche disbursement on time</w:t>
            </w:r>
          </w:p>
        </w:tc>
        <w:tc>
          <w:tcPr>
            <w:tcW w:w="3543" w:type="dxa"/>
            <w:vMerge w:val="restart"/>
            <w:shd w:val="clear" w:color="auto" w:fill="auto"/>
          </w:tcPr>
          <w:p w14:paraId="5CD7E8E1" w14:textId="655960E3" w:rsidR="00FD7E33" w:rsidRPr="002B049D" w:rsidRDefault="00FD7E33" w:rsidP="00C7441F">
            <w:pPr>
              <w:spacing w:after="0" w:line="240" w:lineRule="auto"/>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At least 65% of 2019 School grants are retired by 31 March 2020 (2019 Second Biannual)</w:t>
            </w:r>
          </w:p>
          <w:p w14:paraId="620DE6C3" w14:textId="77777777" w:rsidR="00FD7E33" w:rsidRPr="002B049D" w:rsidRDefault="00FD7E33" w:rsidP="00C7441F">
            <w:pPr>
              <w:spacing w:after="0" w:line="240" w:lineRule="auto"/>
              <w:rPr>
                <w:rFonts w:ascii="Calibri" w:eastAsia="Times New Roman" w:hAnsi="Calibri" w:cs="Times New Roman"/>
                <w:color w:val="000000" w:themeColor="text1"/>
                <w:sz w:val="18"/>
                <w:szCs w:val="18"/>
                <w:lang w:val="en-AU"/>
              </w:rPr>
            </w:pPr>
          </w:p>
          <w:p w14:paraId="1BE13F2E" w14:textId="581A25B7" w:rsidR="00FD7E33" w:rsidRPr="002B049D" w:rsidRDefault="00FD7E33" w:rsidP="00C7441F">
            <w:pPr>
              <w:spacing w:after="0" w:line="240" w:lineRule="auto"/>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At least 85% received the first tranche of their 2020 grant by 31 March 2020</w:t>
            </w:r>
          </w:p>
        </w:tc>
        <w:tc>
          <w:tcPr>
            <w:tcW w:w="3118" w:type="dxa"/>
            <w:tcBorders>
              <w:bottom w:val="single" w:sz="4" w:space="0" w:color="4472C4" w:themeColor="accent1"/>
            </w:tcBorders>
            <w:shd w:val="clear" w:color="auto" w:fill="auto"/>
          </w:tcPr>
          <w:p w14:paraId="0CDD128F" w14:textId="51783CF7" w:rsidR="00FD7E33" w:rsidRPr="00FD7E33" w:rsidRDefault="00FD7E33" w:rsidP="00FD7E33">
            <w:pPr>
              <w:numPr>
                <w:ilvl w:val="0"/>
                <w:numId w:val="9"/>
              </w:numPr>
              <w:spacing w:after="0" w:line="240" w:lineRule="auto"/>
              <w:ind w:left="180" w:hanging="180"/>
              <w:rPr>
                <w:rFonts w:ascii="Calibri" w:eastAsia="Times New Roman" w:hAnsi="Calibri" w:cs="Times New Roman"/>
                <w:color w:val="000000" w:themeColor="text1"/>
                <w:sz w:val="18"/>
                <w:szCs w:val="18"/>
                <w:lang w:val="en-AU"/>
              </w:rPr>
            </w:pPr>
            <w:r w:rsidRPr="00FD7E33">
              <w:rPr>
                <w:rFonts w:ascii="Calibri" w:eastAsia="Times New Roman" w:hAnsi="Calibri" w:cs="Times New Roman"/>
                <w:color w:val="000000" w:themeColor="text1"/>
                <w:sz w:val="18"/>
                <w:szCs w:val="18"/>
                <w:lang w:val="en-AU"/>
              </w:rPr>
              <w:t>MEHRD Acquittal report for Primary, Secondary, TVET as at 31 March 2020 – retirements</w:t>
            </w:r>
            <w:r w:rsidR="00BB3352">
              <w:rPr>
                <w:rFonts w:ascii="Calibri" w:eastAsia="Times New Roman" w:hAnsi="Calibri" w:cs="Times New Roman"/>
                <w:color w:val="000000" w:themeColor="text1"/>
                <w:sz w:val="18"/>
                <w:szCs w:val="18"/>
                <w:lang w:val="en-AU"/>
              </w:rPr>
              <w:t xml:space="preserve">                   </w:t>
            </w:r>
            <w:proofErr w:type="gramStart"/>
            <w:r w:rsidR="00BB3352">
              <w:rPr>
                <w:rFonts w:ascii="Calibri" w:eastAsia="Times New Roman" w:hAnsi="Calibri" w:cs="Times New Roman"/>
                <w:color w:val="000000" w:themeColor="text1"/>
                <w:sz w:val="18"/>
                <w:szCs w:val="18"/>
                <w:lang w:val="en-AU"/>
              </w:rPr>
              <w:t xml:space="preserve">  </w:t>
            </w:r>
            <w:r w:rsidRPr="00FD7E33">
              <w:rPr>
                <w:rFonts w:ascii="Calibri" w:eastAsia="Times New Roman" w:hAnsi="Calibri" w:cs="Times New Roman"/>
                <w:color w:val="000000" w:themeColor="text1"/>
                <w:sz w:val="18"/>
                <w:szCs w:val="18"/>
                <w:lang w:val="en-AU"/>
              </w:rPr>
              <w:t xml:space="preserve"> (</w:t>
            </w:r>
            <w:proofErr w:type="gramEnd"/>
            <w:r w:rsidRPr="00FD7E33">
              <w:rPr>
                <w:rFonts w:ascii="Calibri" w:eastAsia="Times New Roman" w:hAnsi="Calibri" w:cs="Times New Roman"/>
                <w:color w:val="000000" w:themeColor="text1"/>
                <w:sz w:val="18"/>
                <w:szCs w:val="18"/>
                <w:lang w:val="en-AU"/>
              </w:rPr>
              <w:t>50%)</w:t>
            </w:r>
          </w:p>
        </w:tc>
        <w:tc>
          <w:tcPr>
            <w:tcW w:w="1701" w:type="dxa"/>
            <w:tcBorders>
              <w:bottom w:val="single" w:sz="4" w:space="0" w:color="4472C4" w:themeColor="accent1"/>
            </w:tcBorders>
          </w:tcPr>
          <w:p w14:paraId="181DA2E3" w14:textId="77777777" w:rsidR="00FD7E33" w:rsidRPr="00FD7E33" w:rsidRDefault="00FD7E33" w:rsidP="00FD7E33">
            <w:pPr>
              <w:spacing w:after="0" w:line="240" w:lineRule="auto"/>
              <w:ind w:left="30"/>
              <w:rPr>
                <w:rFonts w:ascii="Calibri" w:eastAsia="Times New Roman" w:hAnsi="Calibri" w:cs="Times New Roman"/>
                <w:color w:val="000000" w:themeColor="text1"/>
                <w:sz w:val="18"/>
                <w:szCs w:val="18"/>
                <w:lang w:val="en-AU"/>
              </w:rPr>
            </w:pPr>
            <w:r w:rsidRPr="00FD7E33">
              <w:rPr>
                <w:rFonts w:ascii="Calibri" w:eastAsia="Times New Roman" w:hAnsi="Calibri" w:cs="Times New Roman"/>
                <w:color w:val="000000" w:themeColor="text1"/>
                <w:sz w:val="18"/>
                <w:szCs w:val="18"/>
                <w:lang w:val="en-AU"/>
              </w:rPr>
              <w:t>0% (of 50%)</w:t>
            </w:r>
          </w:p>
          <w:p w14:paraId="43FE9503" w14:textId="77777777" w:rsidR="00FD7E33" w:rsidRPr="00FD7E33" w:rsidRDefault="00FD7E33" w:rsidP="00FD7E33">
            <w:pPr>
              <w:spacing w:after="0" w:line="240" w:lineRule="auto"/>
              <w:ind w:left="30"/>
              <w:rPr>
                <w:rFonts w:ascii="Calibri" w:eastAsia="Times New Roman" w:hAnsi="Calibri" w:cs="Times New Roman"/>
                <w:color w:val="000000" w:themeColor="text1"/>
                <w:sz w:val="18"/>
                <w:szCs w:val="18"/>
                <w:lang w:val="en-AU"/>
              </w:rPr>
            </w:pPr>
          </w:p>
          <w:p w14:paraId="3E67A427" w14:textId="77777777" w:rsidR="00FD7E33" w:rsidRPr="00FD7E33" w:rsidRDefault="00FD7E33" w:rsidP="00FD7E33">
            <w:pPr>
              <w:spacing w:after="0" w:line="240" w:lineRule="auto"/>
              <w:ind w:left="30"/>
              <w:rPr>
                <w:rFonts w:ascii="Calibri" w:eastAsia="Times New Roman" w:hAnsi="Calibri" w:cs="Times New Roman"/>
                <w:color w:val="000000" w:themeColor="text1"/>
                <w:sz w:val="18"/>
                <w:szCs w:val="18"/>
                <w:lang w:val="en-AU"/>
              </w:rPr>
            </w:pPr>
          </w:p>
        </w:tc>
      </w:tr>
      <w:tr w:rsidR="00FD7E33" w:rsidRPr="002B049D" w14:paraId="25BDB141" w14:textId="77777777" w:rsidTr="00BB3352">
        <w:trPr>
          <w:cantSplit/>
          <w:trHeight w:val="1013"/>
          <w:jc w:val="center"/>
        </w:trPr>
        <w:tc>
          <w:tcPr>
            <w:tcW w:w="2122" w:type="dxa"/>
            <w:vMerge/>
            <w:shd w:val="clear" w:color="auto" w:fill="auto"/>
          </w:tcPr>
          <w:p w14:paraId="1AA79A01" w14:textId="77777777" w:rsidR="00FD7E33" w:rsidRPr="002B049D" w:rsidRDefault="00FD7E33" w:rsidP="00C7441F">
            <w:pPr>
              <w:spacing w:after="0" w:line="240" w:lineRule="auto"/>
              <w:rPr>
                <w:rFonts w:ascii="Calibri" w:eastAsia="Times New Roman" w:hAnsi="Calibri" w:cs="Times New Roman"/>
                <w:color w:val="000000" w:themeColor="text1"/>
                <w:sz w:val="18"/>
                <w:szCs w:val="18"/>
                <w:lang w:val="en-AU"/>
              </w:rPr>
            </w:pPr>
          </w:p>
        </w:tc>
        <w:tc>
          <w:tcPr>
            <w:tcW w:w="3543" w:type="dxa"/>
            <w:vMerge/>
            <w:shd w:val="clear" w:color="auto" w:fill="auto"/>
          </w:tcPr>
          <w:p w14:paraId="2ACBD2A9" w14:textId="77777777" w:rsidR="00FD7E33" w:rsidRPr="002B049D" w:rsidRDefault="00FD7E33" w:rsidP="00C7441F">
            <w:pPr>
              <w:spacing w:after="0" w:line="240" w:lineRule="auto"/>
              <w:rPr>
                <w:rFonts w:ascii="Calibri" w:eastAsia="Times New Roman" w:hAnsi="Calibri" w:cs="Times New Roman"/>
                <w:color w:val="000000" w:themeColor="text1"/>
                <w:sz w:val="18"/>
                <w:szCs w:val="18"/>
                <w:lang w:val="en-AU"/>
              </w:rPr>
            </w:pPr>
          </w:p>
        </w:tc>
        <w:tc>
          <w:tcPr>
            <w:tcW w:w="3118" w:type="dxa"/>
            <w:tcBorders>
              <w:top w:val="single" w:sz="4" w:space="0" w:color="4472C4" w:themeColor="accent1"/>
            </w:tcBorders>
            <w:shd w:val="clear" w:color="auto" w:fill="auto"/>
          </w:tcPr>
          <w:p w14:paraId="4FFF2672" w14:textId="27BE7AC2" w:rsidR="00BB3352" w:rsidRDefault="00FD7E33" w:rsidP="00FD7E33">
            <w:pPr>
              <w:numPr>
                <w:ilvl w:val="0"/>
                <w:numId w:val="9"/>
              </w:numPr>
              <w:spacing w:after="0" w:line="240" w:lineRule="auto"/>
              <w:ind w:left="180" w:hanging="180"/>
              <w:rPr>
                <w:rFonts w:ascii="Calibri" w:eastAsia="Times New Roman" w:hAnsi="Calibri" w:cs="Times New Roman"/>
                <w:color w:val="000000" w:themeColor="text1"/>
                <w:sz w:val="18"/>
                <w:szCs w:val="18"/>
                <w:lang w:val="en-AU"/>
              </w:rPr>
            </w:pPr>
            <w:r w:rsidRPr="00FD7E33">
              <w:rPr>
                <w:rFonts w:ascii="Calibri" w:eastAsia="Times New Roman" w:hAnsi="Calibri" w:cs="Times New Roman"/>
                <w:color w:val="000000" w:themeColor="text1"/>
                <w:sz w:val="18"/>
                <w:szCs w:val="18"/>
                <w:lang w:val="en-AU"/>
              </w:rPr>
              <w:t xml:space="preserve">MERHD Acquittal report for Primary, Secondary, TVET as at 31 March 2020 - disbursement of first tranche for 2020 </w:t>
            </w:r>
            <w:r w:rsidR="00BB3352">
              <w:rPr>
                <w:rFonts w:ascii="Calibri" w:eastAsia="Times New Roman" w:hAnsi="Calibri" w:cs="Times New Roman"/>
                <w:color w:val="000000" w:themeColor="text1"/>
                <w:sz w:val="18"/>
                <w:szCs w:val="18"/>
                <w:lang w:val="en-AU"/>
              </w:rPr>
              <w:t xml:space="preserve">                                     </w:t>
            </w:r>
            <w:proofErr w:type="gramStart"/>
            <w:r w:rsidR="00BB3352">
              <w:rPr>
                <w:rFonts w:ascii="Calibri" w:eastAsia="Times New Roman" w:hAnsi="Calibri" w:cs="Times New Roman"/>
                <w:color w:val="000000" w:themeColor="text1"/>
                <w:sz w:val="18"/>
                <w:szCs w:val="18"/>
                <w:lang w:val="en-AU"/>
              </w:rPr>
              <w:t xml:space="preserve">   </w:t>
            </w:r>
            <w:r w:rsidRPr="00FD7E33">
              <w:rPr>
                <w:rFonts w:ascii="Calibri" w:eastAsia="Times New Roman" w:hAnsi="Calibri" w:cs="Times New Roman"/>
                <w:color w:val="000000" w:themeColor="text1"/>
                <w:sz w:val="18"/>
                <w:szCs w:val="18"/>
                <w:lang w:val="en-AU"/>
              </w:rPr>
              <w:t>(</w:t>
            </w:r>
            <w:proofErr w:type="gramEnd"/>
            <w:r w:rsidRPr="00FD7E33">
              <w:rPr>
                <w:rFonts w:ascii="Calibri" w:eastAsia="Times New Roman" w:hAnsi="Calibri" w:cs="Times New Roman"/>
                <w:color w:val="000000" w:themeColor="text1"/>
                <w:sz w:val="18"/>
                <w:szCs w:val="18"/>
                <w:lang w:val="en-AU"/>
              </w:rPr>
              <w:t>50%)</w:t>
            </w:r>
          </w:p>
          <w:p w14:paraId="685D5D02" w14:textId="3A2C4927" w:rsidR="00FD7E33" w:rsidRPr="00FD7E33" w:rsidRDefault="00FD7E33" w:rsidP="00BB3352">
            <w:pPr>
              <w:spacing w:after="0" w:line="240" w:lineRule="auto"/>
              <w:ind w:left="180"/>
              <w:rPr>
                <w:rFonts w:ascii="Calibri" w:eastAsia="Times New Roman" w:hAnsi="Calibri" w:cs="Times New Roman"/>
                <w:color w:val="000000" w:themeColor="text1"/>
                <w:sz w:val="18"/>
                <w:szCs w:val="18"/>
                <w:lang w:val="en-AU"/>
              </w:rPr>
            </w:pPr>
            <w:r w:rsidRPr="00FD7E33">
              <w:rPr>
                <w:rFonts w:ascii="Calibri" w:eastAsia="Times New Roman" w:hAnsi="Calibri" w:cs="Times New Roman"/>
                <w:color w:val="000000" w:themeColor="text1"/>
                <w:sz w:val="18"/>
                <w:szCs w:val="18"/>
                <w:lang w:val="en-AU"/>
              </w:rPr>
              <w:t xml:space="preserve"> (NB: ECCE to be phased out)</w:t>
            </w:r>
          </w:p>
        </w:tc>
        <w:tc>
          <w:tcPr>
            <w:tcW w:w="1701" w:type="dxa"/>
            <w:tcBorders>
              <w:top w:val="single" w:sz="4" w:space="0" w:color="4472C4" w:themeColor="accent1"/>
            </w:tcBorders>
          </w:tcPr>
          <w:p w14:paraId="2A945120" w14:textId="77777777" w:rsidR="00FD7E33" w:rsidRPr="00FD7E33" w:rsidRDefault="00FD7E33" w:rsidP="00FD7E33">
            <w:pPr>
              <w:spacing w:after="0" w:line="240" w:lineRule="auto"/>
              <w:ind w:left="30"/>
              <w:rPr>
                <w:rFonts w:ascii="Calibri" w:eastAsia="Times New Roman" w:hAnsi="Calibri" w:cs="Times New Roman"/>
                <w:color w:val="000000" w:themeColor="text1"/>
                <w:sz w:val="18"/>
                <w:szCs w:val="18"/>
                <w:lang w:val="en-AU"/>
              </w:rPr>
            </w:pPr>
            <w:r w:rsidRPr="00FD7E33">
              <w:rPr>
                <w:rFonts w:ascii="Calibri" w:eastAsia="Times New Roman" w:hAnsi="Calibri" w:cs="Times New Roman"/>
                <w:color w:val="000000" w:themeColor="text1"/>
                <w:sz w:val="18"/>
                <w:szCs w:val="18"/>
                <w:lang w:val="en-AU"/>
              </w:rPr>
              <w:t>100% (of 50%)</w:t>
            </w:r>
          </w:p>
          <w:p w14:paraId="16F8FE50" w14:textId="77777777" w:rsidR="00FD7E33" w:rsidRPr="00FD7E33" w:rsidRDefault="00FD7E33" w:rsidP="00FD7E33">
            <w:pPr>
              <w:spacing w:after="0" w:line="240" w:lineRule="auto"/>
              <w:ind w:left="30"/>
              <w:rPr>
                <w:rFonts w:ascii="Calibri" w:eastAsia="Times New Roman" w:hAnsi="Calibri" w:cs="Times New Roman"/>
                <w:color w:val="000000" w:themeColor="text1"/>
                <w:sz w:val="18"/>
                <w:szCs w:val="18"/>
                <w:lang w:val="en-AU"/>
              </w:rPr>
            </w:pPr>
          </w:p>
          <w:p w14:paraId="60C5F7BB" w14:textId="77777777" w:rsidR="00FD7E33" w:rsidRPr="00FD7E33" w:rsidRDefault="00FD7E33" w:rsidP="00FD7E33">
            <w:pPr>
              <w:spacing w:after="0" w:line="240" w:lineRule="auto"/>
              <w:ind w:left="30"/>
              <w:rPr>
                <w:rFonts w:ascii="Calibri" w:eastAsia="Times New Roman" w:hAnsi="Calibri" w:cs="Times New Roman"/>
                <w:color w:val="000000" w:themeColor="text1"/>
                <w:sz w:val="18"/>
                <w:szCs w:val="18"/>
                <w:lang w:val="en-AU"/>
              </w:rPr>
            </w:pPr>
          </w:p>
        </w:tc>
      </w:tr>
      <w:tr w:rsidR="002B049D" w:rsidRPr="002B049D" w14:paraId="7919B130" w14:textId="77777777" w:rsidTr="00BB3352">
        <w:trPr>
          <w:cantSplit/>
          <w:jc w:val="center"/>
        </w:trPr>
        <w:tc>
          <w:tcPr>
            <w:tcW w:w="2122" w:type="dxa"/>
            <w:shd w:val="clear" w:color="auto" w:fill="auto"/>
            <w:hideMark/>
          </w:tcPr>
          <w:p w14:paraId="172A873A" w14:textId="77777777" w:rsidR="002B049D" w:rsidRPr="002B049D" w:rsidRDefault="002B049D" w:rsidP="00C7441F">
            <w:pPr>
              <w:spacing w:after="0" w:line="240" w:lineRule="auto"/>
              <w:rPr>
                <w:rFonts w:ascii="Calibri" w:eastAsia="Times New Roman" w:hAnsi="Calibri" w:cs="Times New Roman"/>
                <w:color w:val="000000" w:themeColor="text1"/>
                <w:sz w:val="18"/>
                <w:szCs w:val="18"/>
                <w:lang w:val="en-AU"/>
              </w:rPr>
            </w:pPr>
            <w:proofErr w:type="gramStart"/>
            <w:r w:rsidRPr="002B049D">
              <w:rPr>
                <w:rFonts w:ascii="Calibri" w:eastAsia="Times New Roman" w:hAnsi="Calibri" w:cs="Times New Roman"/>
                <w:color w:val="000000" w:themeColor="text1"/>
                <w:sz w:val="18"/>
                <w:szCs w:val="18"/>
                <w:lang w:val="en-AU"/>
              </w:rPr>
              <w:t>3.2  Education</w:t>
            </w:r>
            <w:proofErr w:type="gramEnd"/>
            <w:r w:rsidRPr="002B049D">
              <w:rPr>
                <w:rFonts w:ascii="Calibri" w:eastAsia="Times New Roman" w:hAnsi="Calibri" w:cs="Times New Roman"/>
                <w:color w:val="000000" w:themeColor="text1"/>
                <w:sz w:val="18"/>
                <w:szCs w:val="18"/>
                <w:lang w:val="en-AU"/>
              </w:rPr>
              <w:t xml:space="preserve"> Authorities operate to agreed standards</w:t>
            </w:r>
          </w:p>
        </w:tc>
        <w:tc>
          <w:tcPr>
            <w:tcW w:w="3543" w:type="dxa"/>
            <w:shd w:val="clear" w:color="auto" w:fill="auto"/>
            <w:hideMark/>
          </w:tcPr>
          <w:p w14:paraId="55928A12" w14:textId="2058D9EA" w:rsidR="002B049D" w:rsidRPr="002B049D" w:rsidRDefault="002B049D" w:rsidP="00C7441F">
            <w:pPr>
              <w:spacing w:after="0" w:line="240" w:lineRule="auto"/>
              <w:rPr>
                <w:rFonts w:ascii="Calibri" w:eastAsia="Times New Roman" w:hAnsi="Calibri" w:cs="Times New Roman"/>
                <w:color w:val="000000" w:themeColor="text1"/>
                <w:sz w:val="18"/>
                <w:szCs w:val="18"/>
                <w:lang w:val="en-AU"/>
              </w:rPr>
            </w:pPr>
            <w:r w:rsidRPr="002B049D">
              <w:rPr>
                <w:rFonts w:ascii="Calibri (Body)" w:eastAsia="Times New Roman" w:hAnsi="Calibri (Body)" w:cs="Times New Roman"/>
                <w:color w:val="000000" w:themeColor="text1"/>
                <w:sz w:val="18"/>
                <w:szCs w:val="18"/>
                <w:lang w:val="en-AU"/>
              </w:rPr>
              <w:t xml:space="preserve">By the end of 2019, </w:t>
            </w:r>
            <w:proofErr w:type="gramStart"/>
            <w:r w:rsidRPr="002B049D">
              <w:rPr>
                <w:rFonts w:ascii="Calibri" w:eastAsia="Times New Roman" w:hAnsi="Calibri" w:cs="Times New Roman"/>
                <w:color w:val="000000" w:themeColor="text1"/>
                <w:sz w:val="18"/>
                <w:szCs w:val="18"/>
                <w:lang w:val="en-AU"/>
              </w:rPr>
              <w:t>analysis</w:t>
            </w:r>
            <w:proofErr w:type="gramEnd"/>
            <w:r w:rsidRPr="002B049D">
              <w:rPr>
                <w:rFonts w:ascii="Calibri" w:eastAsia="Times New Roman" w:hAnsi="Calibri" w:cs="Times New Roman"/>
                <w:color w:val="000000" w:themeColor="text1"/>
                <w:sz w:val="18"/>
                <w:szCs w:val="18"/>
                <w:lang w:val="en-AU"/>
              </w:rPr>
              <w:t xml:space="preserve"> and peer review of initial EAs self-assessments completed, with results and feedback on usage shared at EA conference</w:t>
            </w:r>
          </w:p>
        </w:tc>
        <w:tc>
          <w:tcPr>
            <w:tcW w:w="3118" w:type="dxa"/>
            <w:shd w:val="clear" w:color="auto" w:fill="auto"/>
            <w:hideMark/>
          </w:tcPr>
          <w:p w14:paraId="71C7B1BF" w14:textId="7F8D5385" w:rsidR="002B049D" w:rsidRPr="002B049D" w:rsidRDefault="002B049D" w:rsidP="00FD7E33">
            <w:pPr>
              <w:numPr>
                <w:ilvl w:val="0"/>
                <w:numId w:val="9"/>
              </w:numPr>
              <w:spacing w:after="0" w:line="240" w:lineRule="auto"/>
              <w:ind w:left="180" w:hanging="18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 xml:space="preserve">Analysis and peer review of initial self-assessments completed and shared to EAs by EACI </w:t>
            </w:r>
            <w:r w:rsidR="00BB3352">
              <w:rPr>
                <w:rFonts w:ascii="Calibri" w:eastAsia="Times New Roman" w:hAnsi="Calibri" w:cs="Times New Roman"/>
                <w:color w:val="000000" w:themeColor="text1"/>
                <w:sz w:val="18"/>
                <w:szCs w:val="18"/>
                <w:lang w:val="en-AU"/>
              </w:rPr>
              <w:t xml:space="preserve">           </w:t>
            </w:r>
            <w:proofErr w:type="gramStart"/>
            <w:r w:rsidR="00BB3352">
              <w:rPr>
                <w:rFonts w:ascii="Calibri" w:eastAsia="Times New Roman" w:hAnsi="Calibri" w:cs="Times New Roman"/>
                <w:color w:val="000000" w:themeColor="text1"/>
                <w:sz w:val="18"/>
                <w:szCs w:val="18"/>
                <w:lang w:val="en-AU"/>
              </w:rPr>
              <w:t xml:space="preserve">   </w:t>
            </w:r>
            <w:r w:rsidRPr="002B049D">
              <w:rPr>
                <w:rFonts w:ascii="Calibri" w:eastAsia="Times New Roman" w:hAnsi="Calibri" w:cs="Times New Roman"/>
                <w:color w:val="000000" w:themeColor="text1"/>
                <w:sz w:val="18"/>
                <w:szCs w:val="18"/>
                <w:lang w:val="en-AU"/>
              </w:rPr>
              <w:t>(</w:t>
            </w:r>
            <w:proofErr w:type="gramEnd"/>
            <w:r w:rsidRPr="002B049D">
              <w:rPr>
                <w:rFonts w:ascii="Calibri" w:eastAsia="Times New Roman" w:hAnsi="Calibri" w:cs="Times New Roman"/>
                <w:color w:val="000000" w:themeColor="text1"/>
                <w:sz w:val="18"/>
                <w:szCs w:val="18"/>
                <w:lang w:val="en-AU"/>
              </w:rPr>
              <w:t>100%)</w:t>
            </w:r>
          </w:p>
        </w:tc>
        <w:tc>
          <w:tcPr>
            <w:tcW w:w="1701" w:type="dxa"/>
          </w:tcPr>
          <w:p w14:paraId="14FAEB18" w14:textId="77777777" w:rsidR="002B049D" w:rsidRPr="002B049D" w:rsidRDefault="002B049D" w:rsidP="00FD7E33">
            <w:pPr>
              <w:spacing w:after="0" w:line="240" w:lineRule="auto"/>
              <w:ind w:left="3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75% (of 100%)</w:t>
            </w:r>
          </w:p>
        </w:tc>
      </w:tr>
      <w:tr w:rsidR="002B049D" w:rsidRPr="002B049D" w14:paraId="27251B3A" w14:textId="77777777" w:rsidTr="00BB3352">
        <w:trPr>
          <w:cantSplit/>
          <w:jc w:val="center"/>
        </w:trPr>
        <w:tc>
          <w:tcPr>
            <w:tcW w:w="212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hideMark/>
          </w:tcPr>
          <w:p w14:paraId="69AF647D" w14:textId="77777777" w:rsidR="002B049D" w:rsidRPr="002B049D" w:rsidRDefault="002B049D" w:rsidP="00C7441F">
            <w:pPr>
              <w:spacing w:after="0" w:line="240" w:lineRule="auto"/>
              <w:rPr>
                <w:rFonts w:ascii="Calibri" w:eastAsia="Times New Roman" w:hAnsi="Calibri" w:cs="Times New Roman"/>
                <w:color w:val="000000" w:themeColor="text1"/>
                <w:sz w:val="18"/>
                <w:szCs w:val="18"/>
                <w:lang w:val="en-AU"/>
              </w:rPr>
            </w:pPr>
            <w:proofErr w:type="gramStart"/>
            <w:r w:rsidRPr="002B049D">
              <w:rPr>
                <w:rFonts w:ascii="Calibri" w:eastAsia="Times New Roman" w:hAnsi="Calibri" w:cs="Times New Roman"/>
                <w:color w:val="000000" w:themeColor="text1"/>
                <w:sz w:val="18"/>
                <w:szCs w:val="18"/>
                <w:lang w:val="en-AU"/>
              </w:rPr>
              <w:t>3.3  The</w:t>
            </w:r>
            <w:proofErr w:type="gramEnd"/>
            <w:r w:rsidRPr="002B049D">
              <w:rPr>
                <w:rFonts w:ascii="Calibri" w:eastAsia="Times New Roman" w:hAnsi="Calibri" w:cs="Times New Roman"/>
                <w:color w:val="000000" w:themeColor="text1"/>
                <w:sz w:val="18"/>
                <w:szCs w:val="18"/>
                <w:lang w:val="en-AU"/>
              </w:rPr>
              <w:t xml:space="preserve"> 2019 recurrent expenditure for Basic Education is maintained or improved</w:t>
            </w:r>
          </w:p>
        </w:tc>
        <w:tc>
          <w:tcPr>
            <w:tcW w:w="35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hideMark/>
          </w:tcPr>
          <w:p w14:paraId="08AEF88A" w14:textId="0BACA434" w:rsidR="002B049D" w:rsidRPr="002B049D" w:rsidRDefault="002B049D" w:rsidP="00C7441F">
            <w:pPr>
              <w:spacing w:after="0" w:line="240" w:lineRule="auto"/>
              <w:rPr>
                <w:rFonts w:ascii="Calibri (Body)" w:eastAsia="Times New Roman" w:hAnsi="Calibri (Body)" w:cs="Times New Roman"/>
                <w:color w:val="000000" w:themeColor="text1"/>
                <w:sz w:val="18"/>
                <w:szCs w:val="18"/>
                <w:lang w:val="en-AU"/>
              </w:rPr>
            </w:pPr>
            <w:r w:rsidRPr="002B049D">
              <w:rPr>
                <w:rFonts w:ascii="Calibri (Body)" w:eastAsia="Times New Roman" w:hAnsi="Calibri (Body)" w:cs="Times New Roman"/>
                <w:color w:val="000000" w:themeColor="text1"/>
                <w:sz w:val="18"/>
                <w:szCs w:val="18"/>
                <w:lang w:val="en-AU"/>
              </w:rPr>
              <w:t>Recurrent expenditure for per-unit cost per student at Primary and Secondary School in 2019 is equal or greater than 2018</w:t>
            </w:r>
          </w:p>
        </w:tc>
        <w:tc>
          <w:tcPr>
            <w:tcW w:w="311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hideMark/>
          </w:tcPr>
          <w:p w14:paraId="703A51D1" w14:textId="1D5D84DB" w:rsidR="002B049D" w:rsidRPr="00FD7E33" w:rsidRDefault="002B049D" w:rsidP="00FD7E33">
            <w:pPr>
              <w:numPr>
                <w:ilvl w:val="0"/>
                <w:numId w:val="9"/>
              </w:numPr>
              <w:spacing w:after="0" w:line="240" w:lineRule="auto"/>
              <w:ind w:left="180" w:hanging="18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 xml:space="preserve">Calculate using real prices, recurrent allocation includes primary </w:t>
            </w:r>
            <w:r w:rsidR="00BB3352">
              <w:rPr>
                <w:rFonts w:ascii="Calibri" w:eastAsia="Times New Roman" w:hAnsi="Calibri" w:cs="Times New Roman"/>
                <w:color w:val="000000" w:themeColor="text1"/>
                <w:sz w:val="18"/>
                <w:szCs w:val="18"/>
                <w:lang w:val="en-AU"/>
              </w:rPr>
              <w:t xml:space="preserve">    </w:t>
            </w:r>
            <w:proofErr w:type="gramStart"/>
            <w:r w:rsidR="00BB3352">
              <w:rPr>
                <w:rFonts w:ascii="Calibri" w:eastAsia="Times New Roman" w:hAnsi="Calibri" w:cs="Times New Roman"/>
                <w:color w:val="000000" w:themeColor="text1"/>
                <w:sz w:val="18"/>
                <w:szCs w:val="18"/>
                <w:lang w:val="en-AU"/>
              </w:rPr>
              <w:t xml:space="preserve">   </w:t>
            </w:r>
            <w:r w:rsidRPr="002B049D">
              <w:rPr>
                <w:rFonts w:ascii="Calibri" w:eastAsia="Times New Roman" w:hAnsi="Calibri" w:cs="Times New Roman"/>
                <w:color w:val="000000" w:themeColor="text1"/>
                <w:sz w:val="18"/>
                <w:szCs w:val="18"/>
                <w:lang w:val="en-AU"/>
              </w:rPr>
              <w:t>(</w:t>
            </w:r>
            <w:proofErr w:type="gramEnd"/>
            <w:r w:rsidRPr="002B049D">
              <w:rPr>
                <w:rFonts w:ascii="Calibri" w:eastAsia="Times New Roman" w:hAnsi="Calibri" w:cs="Times New Roman"/>
                <w:color w:val="000000" w:themeColor="text1"/>
                <w:sz w:val="18"/>
                <w:szCs w:val="18"/>
                <w:lang w:val="en-AU"/>
              </w:rPr>
              <w:t xml:space="preserve">50%) and secondary </w:t>
            </w:r>
            <w:r w:rsidR="00BB3352">
              <w:rPr>
                <w:rFonts w:ascii="Calibri" w:eastAsia="Times New Roman" w:hAnsi="Calibri" w:cs="Times New Roman"/>
                <w:color w:val="000000" w:themeColor="text1"/>
                <w:sz w:val="18"/>
                <w:szCs w:val="18"/>
                <w:lang w:val="en-AU"/>
              </w:rPr>
              <w:t xml:space="preserve">                             </w:t>
            </w:r>
            <w:r w:rsidRPr="002B049D">
              <w:rPr>
                <w:rFonts w:ascii="Calibri" w:eastAsia="Times New Roman" w:hAnsi="Calibri" w:cs="Times New Roman"/>
                <w:color w:val="000000" w:themeColor="text1"/>
                <w:sz w:val="18"/>
                <w:szCs w:val="18"/>
                <w:lang w:val="en-AU"/>
              </w:rPr>
              <w:t>(50%) grant component. (2019 Annual Report, expenditure report (actuals)</w:t>
            </w:r>
          </w:p>
        </w:tc>
        <w:tc>
          <w:tcPr>
            <w:tcW w:w="170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861B338" w14:textId="77777777" w:rsidR="002B049D" w:rsidRPr="002B049D" w:rsidRDefault="002B049D" w:rsidP="00FD7E33">
            <w:pPr>
              <w:spacing w:after="0" w:line="240" w:lineRule="auto"/>
              <w:ind w:left="3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100% (of 100%)</w:t>
            </w:r>
          </w:p>
        </w:tc>
      </w:tr>
      <w:tr w:rsidR="002B049D" w:rsidRPr="002B049D" w14:paraId="7C8E1652" w14:textId="77777777" w:rsidTr="00BB3352">
        <w:trPr>
          <w:cantSplit/>
          <w:jc w:val="center"/>
        </w:trPr>
        <w:tc>
          <w:tcPr>
            <w:tcW w:w="212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hideMark/>
          </w:tcPr>
          <w:p w14:paraId="5592362B" w14:textId="77777777" w:rsidR="002B049D" w:rsidRPr="002B049D" w:rsidRDefault="002B049D" w:rsidP="00C7441F">
            <w:pPr>
              <w:spacing w:after="0" w:line="240" w:lineRule="auto"/>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3.4 Solomon Islands Government scholarships budgeting and expenditure is sustainable</w:t>
            </w:r>
          </w:p>
        </w:tc>
        <w:tc>
          <w:tcPr>
            <w:tcW w:w="35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hideMark/>
          </w:tcPr>
          <w:p w14:paraId="6534EF01" w14:textId="48AC8555" w:rsidR="002B049D" w:rsidRPr="002B049D" w:rsidRDefault="002B049D" w:rsidP="00C7441F">
            <w:pPr>
              <w:spacing w:after="0" w:line="240" w:lineRule="auto"/>
              <w:rPr>
                <w:rFonts w:ascii="Calibri (Body)" w:eastAsia="Times New Roman" w:hAnsi="Calibri (Body)" w:cs="Times New Roman"/>
                <w:color w:val="000000" w:themeColor="text1"/>
                <w:sz w:val="18"/>
                <w:szCs w:val="18"/>
                <w:lang w:val="en-AU"/>
              </w:rPr>
            </w:pPr>
            <w:r w:rsidRPr="002B049D">
              <w:rPr>
                <w:rFonts w:ascii="Calibri (Body)" w:eastAsia="Times New Roman" w:hAnsi="Calibri (Body)" w:cs="Times New Roman"/>
                <w:color w:val="000000" w:themeColor="text1"/>
                <w:sz w:val="18"/>
                <w:szCs w:val="18"/>
                <w:lang w:val="en-AU"/>
              </w:rPr>
              <w:t>2019 MEHRD Scholarship expenditure is not higher than 2018 MEHRD Scholarship expenditure</w:t>
            </w:r>
          </w:p>
          <w:p w14:paraId="3AC1DBF8" w14:textId="77777777" w:rsidR="002B049D" w:rsidRPr="002B049D" w:rsidRDefault="002B049D" w:rsidP="00C7441F">
            <w:pPr>
              <w:spacing w:after="0" w:line="240" w:lineRule="auto"/>
              <w:rPr>
                <w:rFonts w:ascii="Calibri (Body)" w:eastAsia="Times New Roman" w:hAnsi="Calibri (Body)" w:cs="Times New Roman"/>
                <w:color w:val="000000" w:themeColor="text1"/>
                <w:sz w:val="18"/>
                <w:szCs w:val="18"/>
                <w:lang w:val="en-AU"/>
              </w:rPr>
            </w:pPr>
          </w:p>
          <w:p w14:paraId="3A20946F" w14:textId="77777777" w:rsidR="002B049D" w:rsidRPr="002B049D" w:rsidRDefault="002B049D" w:rsidP="00C7441F">
            <w:pPr>
              <w:spacing w:after="0" w:line="240" w:lineRule="auto"/>
              <w:rPr>
                <w:rFonts w:ascii="Calibri (Body)" w:eastAsia="Times New Roman" w:hAnsi="Calibri (Body)" w:cs="Times New Roman"/>
                <w:color w:val="000000" w:themeColor="text1"/>
                <w:sz w:val="18"/>
                <w:szCs w:val="18"/>
                <w:lang w:val="en-AU"/>
              </w:rPr>
            </w:pPr>
          </w:p>
        </w:tc>
        <w:tc>
          <w:tcPr>
            <w:tcW w:w="311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hideMark/>
          </w:tcPr>
          <w:p w14:paraId="0EEB29EA" w14:textId="41C42010" w:rsidR="002B049D" w:rsidRPr="002B049D" w:rsidRDefault="002B049D" w:rsidP="00FD7E33">
            <w:pPr>
              <w:numPr>
                <w:ilvl w:val="0"/>
                <w:numId w:val="9"/>
              </w:numPr>
              <w:spacing w:after="0" w:line="240" w:lineRule="auto"/>
              <w:ind w:left="180" w:hanging="18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 xml:space="preserve">SIEMIS Expenditure Report as per 2019 Annual Report </w:t>
            </w:r>
            <w:r w:rsidR="00BB3352">
              <w:rPr>
                <w:rFonts w:ascii="Calibri" w:eastAsia="Times New Roman" w:hAnsi="Calibri" w:cs="Times New Roman"/>
                <w:color w:val="000000" w:themeColor="text1"/>
                <w:sz w:val="18"/>
                <w:szCs w:val="18"/>
                <w:lang w:val="en-AU"/>
              </w:rPr>
              <w:t xml:space="preserve">              </w:t>
            </w:r>
            <w:proofErr w:type="gramStart"/>
            <w:r w:rsidR="00BB3352">
              <w:rPr>
                <w:rFonts w:ascii="Calibri" w:eastAsia="Times New Roman" w:hAnsi="Calibri" w:cs="Times New Roman"/>
                <w:color w:val="000000" w:themeColor="text1"/>
                <w:sz w:val="18"/>
                <w:szCs w:val="18"/>
                <w:lang w:val="en-AU"/>
              </w:rPr>
              <w:t xml:space="preserve">   </w:t>
            </w:r>
            <w:r w:rsidRPr="002B049D">
              <w:rPr>
                <w:rFonts w:ascii="Calibri" w:eastAsia="Times New Roman" w:hAnsi="Calibri" w:cs="Times New Roman"/>
                <w:color w:val="000000" w:themeColor="text1"/>
                <w:sz w:val="18"/>
                <w:szCs w:val="18"/>
                <w:lang w:val="en-AU"/>
              </w:rPr>
              <w:t>(</w:t>
            </w:r>
            <w:proofErr w:type="gramEnd"/>
            <w:r w:rsidRPr="002B049D">
              <w:rPr>
                <w:rFonts w:ascii="Calibri" w:eastAsia="Times New Roman" w:hAnsi="Calibri" w:cs="Times New Roman"/>
                <w:color w:val="000000" w:themeColor="text1"/>
                <w:sz w:val="18"/>
                <w:szCs w:val="18"/>
                <w:lang w:val="en-AU"/>
              </w:rPr>
              <w:t>100%)</w:t>
            </w:r>
          </w:p>
        </w:tc>
        <w:tc>
          <w:tcPr>
            <w:tcW w:w="170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EB3A356" w14:textId="77777777" w:rsidR="002B049D" w:rsidRPr="002B049D" w:rsidRDefault="002B049D" w:rsidP="00FD7E33">
            <w:pPr>
              <w:spacing w:after="0" w:line="240" w:lineRule="auto"/>
              <w:ind w:left="30"/>
              <w:rPr>
                <w:rFonts w:ascii="Calibri" w:eastAsia="Times New Roman" w:hAnsi="Calibri" w:cs="Times New Roman"/>
                <w:color w:val="000000" w:themeColor="text1"/>
                <w:sz w:val="18"/>
                <w:szCs w:val="18"/>
                <w:lang w:val="en-AU"/>
              </w:rPr>
            </w:pPr>
            <w:r w:rsidRPr="002B049D">
              <w:rPr>
                <w:rFonts w:ascii="Calibri" w:eastAsia="Times New Roman" w:hAnsi="Calibri" w:cs="Times New Roman"/>
                <w:color w:val="000000" w:themeColor="text1"/>
                <w:sz w:val="18"/>
                <w:szCs w:val="18"/>
                <w:lang w:val="en-AU"/>
              </w:rPr>
              <w:t>100% (of 100%)</w:t>
            </w:r>
          </w:p>
        </w:tc>
      </w:tr>
    </w:tbl>
    <w:p w14:paraId="632F1D80" w14:textId="1C3C0111" w:rsidR="006D596D" w:rsidRDefault="006D596D">
      <w:pPr>
        <w:spacing w:after="160" w:line="259" w:lineRule="auto"/>
        <w:rPr>
          <w:rFonts w:asciiTheme="minorHAnsi" w:hAnsiTheme="minorHAnsi" w:cstheme="minorHAnsi"/>
          <w:b/>
          <w:lang w:val="en-AU"/>
        </w:rPr>
      </w:pPr>
      <w:r>
        <w:rPr>
          <w:rFonts w:cstheme="minorHAnsi"/>
          <w:b/>
          <w:lang w:val="en-AU"/>
        </w:rPr>
        <w:br w:type="page"/>
      </w:r>
    </w:p>
    <w:p w14:paraId="69BDABBB" w14:textId="0BD2152C" w:rsidR="003973F8" w:rsidRPr="00413324" w:rsidRDefault="003973F8" w:rsidP="00413324">
      <w:pPr>
        <w:pStyle w:val="Heading2"/>
        <w:numPr>
          <w:ilvl w:val="0"/>
          <w:numId w:val="19"/>
        </w:numPr>
        <w:shd w:val="clear" w:color="auto" w:fill="B4C6E7" w:themeFill="accent1" w:themeFillTint="66"/>
        <w:ind w:hanging="720"/>
        <w:rPr>
          <w:rFonts w:asciiTheme="minorHAnsi" w:hAnsiTheme="minorHAnsi" w:cstheme="minorHAnsi"/>
          <w:b/>
          <w:bCs/>
          <w:color w:val="1F4E79" w:themeColor="accent5" w:themeShade="80"/>
          <w:sz w:val="24"/>
          <w:szCs w:val="24"/>
        </w:rPr>
      </w:pPr>
      <w:bookmarkStart w:id="7" w:name="_Toc49858086"/>
      <w:r w:rsidRPr="00413324">
        <w:rPr>
          <w:rFonts w:asciiTheme="minorHAnsi" w:hAnsiTheme="minorHAnsi" w:cstheme="minorHAnsi"/>
          <w:b/>
          <w:bCs/>
          <w:color w:val="1F4E79" w:themeColor="accent5" w:themeShade="80"/>
          <w:sz w:val="24"/>
          <w:szCs w:val="24"/>
        </w:rPr>
        <w:t>Background</w:t>
      </w:r>
      <w:bookmarkEnd w:id="7"/>
    </w:p>
    <w:p w14:paraId="46879EF3" w14:textId="38B8A0ED" w:rsidR="00DE6161" w:rsidRDefault="00A62FB3" w:rsidP="0015435E">
      <w:pPr>
        <w:pStyle w:val="Bodytext11"/>
      </w:pPr>
      <w:bookmarkStart w:id="8" w:name="_Hlk48723762"/>
      <w:r>
        <w:t xml:space="preserve">Under the Solomon Islands Education Sector </w:t>
      </w:r>
      <w:r w:rsidR="001E39CF">
        <w:t xml:space="preserve">Support </w:t>
      </w:r>
      <w:r>
        <w:t>Program,</w:t>
      </w:r>
      <w:r w:rsidR="001E39CF">
        <w:t xml:space="preserve"> Australia provides</w:t>
      </w:r>
      <w:r>
        <w:t xml:space="preserve"> a performance</w:t>
      </w:r>
      <w:r w:rsidRPr="006135D1">
        <w:t xml:space="preserve"> </w:t>
      </w:r>
      <w:r>
        <w:t xml:space="preserve">linked aid </w:t>
      </w:r>
      <w:r w:rsidRPr="006135D1">
        <w:t>payment</w:t>
      </w:r>
      <w:r w:rsidR="001E39CF">
        <w:t xml:space="preserve"> </w:t>
      </w:r>
      <w:r w:rsidRPr="006135D1">
        <w:t xml:space="preserve">yearly to the </w:t>
      </w:r>
      <w:r w:rsidRPr="006135D1">
        <w:rPr>
          <w:rStyle w:val="valuetext1"/>
          <w:rFonts w:cstheme="minorHAnsi"/>
          <w:color w:val="000000" w:themeColor="text1"/>
        </w:rPr>
        <w:t xml:space="preserve">Ministry of Education </w:t>
      </w:r>
      <w:r>
        <w:rPr>
          <w:rStyle w:val="valuetext1"/>
          <w:rFonts w:cstheme="minorHAnsi"/>
          <w:color w:val="000000" w:themeColor="text1"/>
        </w:rPr>
        <w:t>and Human Resource Development</w:t>
      </w:r>
      <w:r w:rsidRPr="006135D1">
        <w:rPr>
          <w:rStyle w:val="valuetext1"/>
          <w:rFonts w:cstheme="minorHAnsi"/>
          <w:color w:val="000000" w:themeColor="text1"/>
        </w:rPr>
        <w:t xml:space="preserve"> (MEHRD)</w:t>
      </w:r>
      <w:r w:rsidRPr="006135D1">
        <w:t xml:space="preserve"> on the achievement of agreed targets set out in the </w:t>
      </w:r>
      <w:r>
        <w:t>E</w:t>
      </w:r>
      <w:r w:rsidRPr="006135D1">
        <w:t xml:space="preserve">ducation </w:t>
      </w:r>
      <w:r>
        <w:t>P</w:t>
      </w:r>
      <w:r w:rsidRPr="006135D1">
        <w:t xml:space="preserve">erformance </w:t>
      </w:r>
      <w:r>
        <w:t>M</w:t>
      </w:r>
      <w:r w:rsidRPr="006135D1">
        <w:t>atrix</w:t>
      </w:r>
      <w:r>
        <w:t xml:space="preserve"> (EPM)</w:t>
      </w:r>
      <w:r w:rsidRPr="006135D1">
        <w:t xml:space="preserve">. </w:t>
      </w:r>
      <w:r w:rsidR="003973F8">
        <w:t>This report details the</w:t>
      </w:r>
      <w:r w:rsidR="00CD33DC">
        <w:t xml:space="preserve"> </w:t>
      </w:r>
      <w:r w:rsidR="003973F8">
        <w:t xml:space="preserve">findings </w:t>
      </w:r>
      <w:r w:rsidR="00CD33DC">
        <w:t xml:space="preserve">and assessment </w:t>
      </w:r>
      <w:r w:rsidR="003973F8">
        <w:t xml:space="preserve">relating to the </w:t>
      </w:r>
      <w:r w:rsidR="0053403A">
        <w:t xml:space="preserve">2019 </w:t>
      </w:r>
      <w:r w:rsidR="003973F8">
        <w:t xml:space="preserve">EPM indicators. </w:t>
      </w:r>
    </w:p>
    <w:bookmarkEnd w:id="8"/>
    <w:p w14:paraId="2DDF9631" w14:textId="77307F84" w:rsidR="00DE6161" w:rsidRDefault="00DE6161" w:rsidP="0015435E">
      <w:pPr>
        <w:pStyle w:val="Bodytext11"/>
      </w:pPr>
      <w:r>
        <w:t xml:space="preserve">In previous </w:t>
      </w:r>
      <w:r w:rsidR="00566482">
        <w:t>years,</w:t>
      </w:r>
      <w:r>
        <w:t xml:space="preserve"> the PLA assessment was conducted by independent assessors contracted through </w:t>
      </w:r>
      <w:r w:rsidR="00574703">
        <w:t>the Solomon</w:t>
      </w:r>
      <w:r w:rsidR="002E5667">
        <w:t xml:space="preserve"> Islands Resource Facility (</w:t>
      </w:r>
      <w:r>
        <w:t>SIRF</w:t>
      </w:r>
      <w:r w:rsidR="002E5667">
        <w:t>)</w:t>
      </w:r>
      <w:r>
        <w:t xml:space="preserve">. This year the assessment is being undertaken by the MEHRD M&amp;E Advisor in collaboration with the MEHRD M&amp;E Manager and </w:t>
      </w:r>
      <w:r w:rsidR="0021034B">
        <w:t xml:space="preserve">Monitoring Officer. </w:t>
      </w:r>
      <w:r w:rsidR="00120D39">
        <w:t xml:space="preserve">This approach was derived from previous independent assessment report recommendations to </w:t>
      </w:r>
      <w:r w:rsidR="00A74063">
        <w:t>build a more collaborative approach to PLA. This approach is also well aligned to the principles and approaches described in the new Australia and New Zealand Joint Solomon Islands Education Sector Support Program Design</w:t>
      </w:r>
      <w:r w:rsidR="00561D11">
        <w:t xml:space="preserve"> (2020 -2023)</w:t>
      </w:r>
      <w:r w:rsidR="00A74063">
        <w:t>.</w:t>
      </w:r>
      <w:r w:rsidR="0021034B">
        <w:t xml:space="preserve"> </w:t>
      </w:r>
    </w:p>
    <w:p w14:paraId="3FC6C97A" w14:textId="01959502" w:rsidR="006555EE" w:rsidRDefault="00A62FB3" w:rsidP="0015435E">
      <w:pPr>
        <w:pStyle w:val="Bodytext11"/>
      </w:pPr>
      <w:r>
        <w:t xml:space="preserve">The emergence of the </w:t>
      </w:r>
      <w:r w:rsidR="00FC0016">
        <w:t>COVID-19</w:t>
      </w:r>
      <w:r>
        <w:t xml:space="preserve"> pandemic in March 2020 has had a profound effect on MERHD’s operations and will continue to disrupt the ‘business as usual’ approach for at least the remainder of the year.</w:t>
      </w:r>
      <w:r w:rsidR="00566482">
        <w:t xml:space="preserve"> Consideration is given in the assessment process to the implications and impact on MEHRD’s operations, especially </w:t>
      </w:r>
      <w:proofErr w:type="spellStart"/>
      <w:r w:rsidR="00566482">
        <w:t>cognisant</w:t>
      </w:r>
      <w:proofErr w:type="spellEnd"/>
      <w:r w:rsidR="00566482">
        <w:t xml:space="preserve"> of the time</w:t>
      </w:r>
      <w:r w:rsidR="000E07E6">
        <w:t xml:space="preserve"> available for</w:t>
      </w:r>
      <w:r w:rsidR="00566482">
        <w:t xml:space="preserve"> MEHRD staff to contribute</w:t>
      </w:r>
      <w:r w:rsidR="000E07E6">
        <w:t xml:space="preserve"> to the consultation and validation processes</w:t>
      </w:r>
      <w:r w:rsidR="00566482">
        <w:t xml:space="preserve">. </w:t>
      </w:r>
      <w:r>
        <w:t xml:space="preserve"> Th</w:t>
      </w:r>
      <w:r w:rsidR="000E07E6">
        <w:t>e current</w:t>
      </w:r>
      <w:r>
        <w:t xml:space="preserve"> situation has also required the assessors to rethink and adjust the proposed assessment methodology.</w:t>
      </w:r>
      <w:r w:rsidR="00E965E0">
        <w:t xml:space="preserve"> </w:t>
      </w:r>
      <w:r w:rsidR="00CD33DC">
        <w:t>I</w:t>
      </w:r>
      <w:r w:rsidR="00E965E0">
        <w:t>nitial findings w</w:t>
      </w:r>
      <w:r w:rsidR="00CD33DC">
        <w:t>ere</w:t>
      </w:r>
      <w:r w:rsidR="00E965E0">
        <w:t xml:space="preserve"> shared with key stakeholders for consultation</w:t>
      </w:r>
      <w:r w:rsidR="00ED03A6">
        <w:t xml:space="preserve">, </w:t>
      </w:r>
      <w:proofErr w:type="gramStart"/>
      <w:r w:rsidR="00ED03A6">
        <w:t>verification</w:t>
      </w:r>
      <w:proofErr w:type="gramEnd"/>
      <w:r w:rsidR="00E965E0">
        <w:t xml:space="preserve"> and feedback. The feedback w</w:t>
      </w:r>
      <w:r w:rsidR="00CD33DC">
        <w:t>as</w:t>
      </w:r>
      <w:r w:rsidR="00E965E0">
        <w:t xml:space="preserve"> consolidated </w:t>
      </w:r>
      <w:r w:rsidR="00C57DC8">
        <w:t>to</w:t>
      </w:r>
      <w:r w:rsidR="00E965E0">
        <w:t xml:space="preserve"> support the assessment process and preparation of th</w:t>
      </w:r>
      <w:r w:rsidR="00CD33DC">
        <w:t xml:space="preserve">is </w:t>
      </w:r>
      <w:r w:rsidR="00E965E0">
        <w:t>report.</w:t>
      </w:r>
      <w:r w:rsidR="00F66FBC">
        <w:t xml:space="preserve"> </w:t>
      </w:r>
    </w:p>
    <w:p w14:paraId="5CC057D3" w14:textId="26A007A0" w:rsidR="00F146C3" w:rsidRDefault="00F66FBC" w:rsidP="0000708D">
      <w:pPr>
        <w:pStyle w:val="Bodytext11"/>
        <w:spacing w:after="240"/>
      </w:pPr>
      <w:bookmarkStart w:id="9" w:name="_Hlk48723801"/>
      <w:r>
        <w:t xml:space="preserve">The findings, assessment and recommendations in this report are provided </w:t>
      </w:r>
      <w:r w:rsidR="006555EE">
        <w:t xml:space="preserve">to </w:t>
      </w:r>
      <w:r w:rsidR="001435C6">
        <w:t>AHC</w:t>
      </w:r>
      <w:r w:rsidR="006555EE">
        <w:t xml:space="preserve"> and MEHRD </w:t>
      </w:r>
      <w:r>
        <w:t>for consideration to assist with allocation of the PLA funding and to provide some guiding thoughts on how the PLA process can be further developed</w:t>
      </w:r>
      <w:r w:rsidR="002953A4">
        <w:t xml:space="preserve"> and </w:t>
      </w:r>
      <w:r w:rsidR="00AD4948">
        <w:t>applied</w:t>
      </w:r>
      <w:r w:rsidR="002953A4">
        <w:t xml:space="preserve"> as a performance improvement strategy</w:t>
      </w:r>
      <w:r>
        <w:t>.</w:t>
      </w:r>
    </w:p>
    <w:p w14:paraId="43387A77" w14:textId="1F70DE72" w:rsidR="00413324" w:rsidRPr="00B62321" w:rsidRDefault="00270665" w:rsidP="00B62321">
      <w:pPr>
        <w:pStyle w:val="Heading2"/>
        <w:numPr>
          <w:ilvl w:val="0"/>
          <w:numId w:val="19"/>
        </w:numPr>
        <w:shd w:val="clear" w:color="auto" w:fill="B4C6E7" w:themeFill="accent1" w:themeFillTint="66"/>
        <w:ind w:hanging="720"/>
        <w:rPr>
          <w:rFonts w:asciiTheme="minorHAnsi" w:hAnsiTheme="minorHAnsi" w:cstheme="minorHAnsi"/>
          <w:b/>
          <w:bCs/>
          <w:color w:val="1F4E79" w:themeColor="accent5" w:themeShade="80"/>
          <w:sz w:val="24"/>
          <w:szCs w:val="24"/>
        </w:rPr>
      </w:pPr>
      <w:bookmarkStart w:id="10" w:name="_Toc49858087"/>
      <w:bookmarkEnd w:id="9"/>
      <w:r w:rsidRPr="00413324">
        <w:rPr>
          <w:rFonts w:asciiTheme="minorHAnsi" w:hAnsiTheme="minorHAnsi" w:cstheme="minorHAnsi"/>
          <w:b/>
          <w:bCs/>
          <w:color w:val="1F4E79" w:themeColor="accent5" w:themeShade="80"/>
          <w:sz w:val="24"/>
          <w:szCs w:val="24"/>
        </w:rPr>
        <w:t>Assessment Methodology</w:t>
      </w:r>
      <w:bookmarkEnd w:id="10"/>
    </w:p>
    <w:p w14:paraId="5354C799" w14:textId="253D7EDC" w:rsidR="00270665" w:rsidRPr="00F20E05" w:rsidRDefault="00270665" w:rsidP="0015435E">
      <w:pPr>
        <w:spacing w:after="0" w:line="240" w:lineRule="auto"/>
        <w:rPr>
          <w:rFonts w:asciiTheme="minorHAnsi" w:hAnsiTheme="minorHAnsi" w:cstheme="minorHAnsi"/>
          <w:b/>
          <w:bCs/>
          <w:i/>
          <w:iCs/>
          <w:lang w:val="en-AU"/>
        </w:rPr>
      </w:pPr>
      <w:r w:rsidRPr="00F20E05">
        <w:rPr>
          <w:rFonts w:asciiTheme="minorHAnsi" w:hAnsiTheme="minorHAnsi" w:cstheme="minorHAnsi"/>
          <w:b/>
          <w:bCs/>
          <w:i/>
          <w:iCs/>
          <w:lang w:val="en-AU"/>
        </w:rPr>
        <w:t xml:space="preserve">Data Collection </w:t>
      </w:r>
    </w:p>
    <w:p w14:paraId="767A2826" w14:textId="5BA6FA4F" w:rsidR="00270665" w:rsidRDefault="00270665" w:rsidP="0015435E">
      <w:pPr>
        <w:pStyle w:val="Bodytext11"/>
        <w:rPr>
          <w:rFonts w:cstheme="minorHAnsi"/>
          <w:lang w:val="en-AU"/>
        </w:rPr>
      </w:pPr>
      <w:r w:rsidRPr="009E4264">
        <w:rPr>
          <w:rFonts w:cstheme="minorHAnsi"/>
          <w:lang w:val="en-AU"/>
        </w:rPr>
        <w:t xml:space="preserve">Background and contextual information </w:t>
      </w:r>
      <w:proofErr w:type="gramStart"/>
      <w:r w:rsidRPr="009E4264">
        <w:rPr>
          <w:rFonts w:cstheme="minorHAnsi"/>
          <w:lang w:val="en-AU"/>
        </w:rPr>
        <w:t>was</w:t>
      </w:r>
      <w:proofErr w:type="gramEnd"/>
      <w:r w:rsidRPr="009E4264">
        <w:rPr>
          <w:rFonts w:cstheme="minorHAnsi"/>
          <w:lang w:val="en-AU"/>
        </w:rPr>
        <w:t xml:space="preserve"> collected through the review of key documents</w:t>
      </w:r>
      <w:r>
        <w:rPr>
          <w:rFonts w:cstheme="minorHAnsi"/>
          <w:lang w:val="en-AU"/>
        </w:rPr>
        <w:t xml:space="preserve"> and interviews with key informants at MEHRD</w:t>
      </w:r>
      <w:r w:rsidR="00635255">
        <w:rPr>
          <w:rFonts w:cstheme="minorHAnsi"/>
          <w:lang w:val="en-AU"/>
        </w:rPr>
        <w:t xml:space="preserve"> </w:t>
      </w:r>
      <w:r>
        <w:rPr>
          <w:rFonts w:cstheme="minorHAnsi"/>
          <w:lang w:val="en-AU"/>
        </w:rPr>
        <w:t>and AHC including relevant technical advisers</w:t>
      </w:r>
      <w:r w:rsidRPr="009E4264">
        <w:rPr>
          <w:rFonts w:cstheme="minorHAnsi"/>
          <w:lang w:val="en-AU"/>
        </w:rPr>
        <w:t>.</w:t>
      </w:r>
      <w:r>
        <w:rPr>
          <w:rFonts w:cstheme="minorHAnsi"/>
          <w:lang w:val="en-AU"/>
        </w:rPr>
        <w:t xml:space="preserve"> </w:t>
      </w:r>
      <w:r w:rsidR="00635255">
        <w:rPr>
          <w:rFonts w:cstheme="minorHAnsi"/>
          <w:lang w:val="en-AU"/>
        </w:rPr>
        <w:t>MEHRD developed a</w:t>
      </w:r>
      <w:r>
        <w:rPr>
          <w:rFonts w:cstheme="minorHAnsi"/>
          <w:lang w:val="en-AU"/>
        </w:rPr>
        <w:t xml:space="preserve"> Monitoring, Evaluation and Learning Plan (MEL Plan) in 2017 to</w:t>
      </w:r>
      <w:r w:rsidR="00E56E79">
        <w:rPr>
          <w:rFonts w:cstheme="minorHAnsi"/>
          <w:lang w:val="en-AU"/>
        </w:rPr>
        <w:t xml:space="preserve"> collect data and</w:t>
      </w:r>
      <w:r>
        <w:rPr>
          <w:rFonts w:cstheme="minorHAnsi"/>
          <w:lang w:val="en-AU"/>
        </w:rPr>
        <w:t xml:space="preserve"> report against the</w:t>
      </w:r>
      <w:r w:rsidR="00635255">
        <w:rPr>
          <w:rFonts w:cstheme="minorHAnsi"/>
          <w:lang w:val="en-AU"/>
        </w:rPr>
        <w:t>ir Annual Work Plan</w:t>
      </w:r>
      <w:r w:rsidR="007722DE">
        <w:rPr>
          <w:rFonts w:cstheme="minorHAnsi"/>
          <w:lang w:val="en-AU"/>
        </w:rPr>
        <w:t>s</w:t>
      </w:r>
      <w:r w:rsidR="00635255">
        <w:rPr>
          <w:rFonts w:cstheme="minorHAnsi"/>
          <w:lang w:val="en-AU"/>
        </w:rPr>
        <w:t>,</w:t>
      </w:r>
      <w:r>
        <w:rPr>
          <w:rFonts w:cstheme="minorHAnsi"/>
          <w:lang w:val="en-AU"/>
        </w:rPr>
        <w:t xml:space="preserve"> NEAP 2016–2020 and the Education Strategic Framework 2016–2030, as well as international goals such as the Pacific Education Development Framework (PEDF) 20</w:t>
      </w:r>
      <w:r w:rsidR="00FC0016">
        <w:rPr>
          <w:rFonts w:cstheme="minorHAnsi"/>
          <w:lang w:val="en-AU"/>
        </w:rPr>
        <w:t>1</w:t>
      </w:r>
      <w:r>
        <w:rPr>
          <w:rFonts w:cstheme="minorHAnsi"/>
          <w:lang w:val="en-AU"/>
        </w:rPr>
        <w:t>9-20</w:t>
      </w:r>
      <w:r w:rsidR="00FC0016">
        <w:rPr>
          <w:rFonts w:cstheme="minorHAnsi"/>
          <w:lang w:val="en-AU"/>
        </w:rPr>
        <w:t>2</w:t>
      </w:r>
      <w:r>
        <w:rPr>
          <w:rFonts w:cstheme="minorHAnsi"/>
          <w:lang w:val="en-AU"/>
        </w:rPr>
        <w:t xml:space="preserve">5 and the Sustainable Development Goals (SDGs). </w:t>
      </w:r>
      <w:r w:rsidR="00E56E79">
        <w:rPr>
          <w:rFonts w:cstheme="minorHAnsi"/>
          <w:lang w:val="en-AU"/>
        </w:rPr>
        <w:t xml:space="preserve">The </w:t>
      </w:r>
      <w:r w:rsidR="00F66FBC">
        <w:rPr>
          <w:rFonts w:cstheme="minorHAnsi"/>
          <w:lang w:val="en-AU"/>
        </w:rPr>
        <w:t>EPM</w:t>
      </w:r>
      <w:r w:rsidR="00E56E79">
        <w:rPr>
          <w:rFonts w:cstheme="minorHAnsi"/>
          <w:lang w:val="en-AU"/>
        </w:rPr>
        <w:t xml:space="preserve"> is aligned to the NEAP Results Framework outcomes and most performance indicators.</w:t>
      </w:r>
    </w:p>
    <w:p w14:paraId="47632567" w14:textId="102883AD" w:rsidR="00270665" w:rsidRDefault="00270665" w:rsidP="0015435E">
      <w:pPr>
        <w:pStyle w:val="Bodytext11"/>
        <w:rPr>
          <w:rFonts w:cstheme="minorHAnsi"/>
          <w:lang w:val="en-AU"/>
        </w:rPr>
      </w:pPr>
      <w:r>
        <w:rPr>
          <w:rFonts w:cstheme="minorHAnsi"/>
          <w:lang w:val="en-AU"/>
        </w:rPr>
        <w:t>The 201</w:t>
      </w:r>
      <w:r w:rsidR="00635255">
        <w:rPr>
          <w:rFonts w:cstheme="minorHAnsi"/>
          <w:lang w:val="en-AU"/>
        </w:rPr>
        <w:t>9</w:t>
      </w:r>
      <w:r>
        <w:rPr>
          <w:rFonts w:cstheme="minorHAnsi"/>
          <w:lang w:val="en-AU"/>
        </w:rPr>
        <w:t xml:space="preserve"> Performance Assessment Report (PAR) </w:t>
      </w:r>
      <w:r w:rsidR="00AF6258">
        <w:rPr>
          <w:rFonts w:cstheme="minorHAnsi"/>
          <w:lang w:val="en-AU"/>
        </w:rPr>
        <w:t xml:space="preserve">is </w:t>
      </w:r>
      <w:r>
        <w:rPr>
          <w:rFonts w:cstheme="minorHAnsi"/>
          <w:lang w:val="en-AU"/>
        </w:rPr>
        <w:t>produced according to the</w:t>
      </w:r>
      <w:r w:rsidR="00FC0016">
        <w:rPr>
          <w:rFonts w:cstheme="minorHAnsi"/>
          <w:lang w:val="en-AU"/>
        </w:rPr>
        <w:t xml:space="preserve"> MEHRD </w:t>
      </w:r>
      <w:r>
        <w:rPr>
          <w:rFonts w:cstheme="minorHAnsi"/>
          <w:lang w:val="en-AU"/>
        </w:rPr>
        <w:t xml:space="preserve">MEL Plan </w:t>
      </w:r>
      <w:r w:rsidR="00FC0016">
        <w:rPr>
          <w:rFonts w:cstheme="minorHAnsi"/>
          <w:lang w:val="en-AU"/>
        </w:rPr>
        <w:t>providing quantitative data to assist in</w:t>
      </w:r>
      <w:r>
        <w:rPr>
          <w:rFonts w:cstheme="minorHAnsi"/>
          <w:lang w:val="en-AU"/>
        </w:rPr>
        <w:t xml:space="preserve"> report</w:t>
      </w:r>
      <w:r w:rsidR="00FC0016">
        <w:rPr>
          <w:rFonts w:cstheme="minorHAnsi"/>
          <w:lang w:val="en-AU"/>
        </w:rPr>
        <w:t>ing</w:t>
      </w:r>
      <w:r>
        <w:rPr>
          <w:rFonts w:cstheme="minorHAnsi"/>
          <w:lang w:val="en-AU"/>
        </w:rPr>
        <w:t xml:space="preserve"> on </w:t>
      </w:r>
      <w:r w:rsidR="00FC0016">
        <w:rPr>
          <w:rFonts w:cstheme="minorHAnsi"/>
          <w:lang w:val="en-AU"/>
        </w:rPr>
        <w:t>NEAP 2016-2020</w:t>
      </w:r>
      <w:r>
        <w:rPr>
          <w:rFonts w:cstheme="minorHAnsi"/>
          <w:lang w:val="en-AU"/>
        </w:rPr>
        <w:t xml:space="preserve"> intermediate and end-of-program outcomes. The Annual Report for 201</w:t>
      </w:r>
      <w:r w:rsidR="00635255">
        <w:rPr>
          <w:rFonts w:cstheme="minorHAnsi"/>
          <w:lang w:val="en-AU"/>
        </w:rPr>
        <w:t>9</w:t>
      </w:r>
      <w:r>
        <w:rPr>
          <w:rFonts w:cstheme="minorHAnsi"/>
          <w:lang w:val="en-AU"/>
        </w:rPr>
        <w:t xml:space="preserve"> also report</w:t>
      </w:r>
      <w:r w:rsidR="00AF6258">
        <w:rPr>
          <w:rFonts w:cstheme="minorHAnsi"/>
          <w:lang w:val="en-AU"/>
        </w:rPr>
        <w:t>s</w:t>
      </w:r>
      <w:r>
        <w:rPr>
          <w:rFonts w:cstheme="minorHAnsi"/>
          <w:lang w:val="en-AU"/>
        </w:rPr>
        <w:t xml:space="preserve"> on outputs. </w:t>
      </w:r>
      <w:r w:rsidR="009E3B31">
        <w:rPr>
          <w:rFonts w:cstheme="minorHAnsi"/>
          <w:lang w:val="en-AU"/>
        </w:rPr>
        <w:t xml:space="preserve">These two draft documents provided the key data required for assessment. A range of other documents were also reviewed including policies, plans, meeting records and MEHRD Quarterly Progress Reports. </w:t>
      </w:r>
    </w:p>
    <w:p w14:paraId="419EB3F7" w14:textId="2C71A2B6" w:rsidR="00270665" w:rsidRDefault="00270665" w:rsidP="0015435E">
      <w:pPr>
        <w:spacing w:line="240" w:lineRule="auto"/>
        <w:rPr>
          <w:rFonts w:asciiTheme="minorHAnsi" w:hAnsiTheme="minorHAnsi" w:cstheme="minorHAnsi"/>
          <w:lang w:val="en-AU"/>
        </w:rPr>
      </w:pPr>
      <w:r>
        <w:rPr>
          <w:rFonts w:asciiTheme="minorHAnsi" w:hAnsiTheme="minorHAnsi" w:cstheme="minorHAnsi"/>
          <w:lang w:val="en-AU"/>
        </w:rPr>
        <w:t xml:space="preserve">The assessor worked closely with the Strategic Support Unit (SSU) </w:t>
      </w:r>
      <w:r w:rsidR="009E3B31">
        <w:rPr>
          <w:rFonts w:asciiTheme="minorHAnsi" w:hAnsiTheme="minorHAnsi" w:cstheme="minorHAnsi"/>
          <w:lang w:val="en-AU"/>
        </w:rPr>
        <w:t xml:space="preserve">M&amp;E Team </w:t>
      </w:r>
      <w:r>
        <w:rPr>
          <w:rFonts w:asciiTheme="minorHAnsi" w:hAnsiTheme="minorHAnsi" w:cstheme="minorHAnsi"/>
          <w:lang w:val="en-AU"/>
        </w:rPr>
        <w:t>to validate findings and where possible, supplement MEHRD’s existing data collection processes.</w:t>
      </w:r>
    </w:p>
    <w:p w14:paraId="0F7ADAEB" w14:textId="5EDC74F7" w:rsidR="00E460B2" w:rsidRPr="00B62321" w:rsidRDefault="006555EE" w:rsidP="00B62321">
      <w:pPr>
        <w:pStyle w:val="Bodytext11"/>
        <w:rPr>
          <w:rFonts w:cstheme="minorHAnsi"/>
          <w:lang w:val="en-AU"/>
        </w:rPr>
      </w:pPr>
      <w:r>
        <w:rPr>
          <w:rFonts w:cstheme="minorHAnsi"/>
        </w:rPr>
        <w:t xml:space="preserve">An initial findings report was prepared in July and shared with DFAT, MFAT, MEHRD officers and technical advisers. </w:t>
      </w:r>
      <w:r w:rsidR="007722DE">
        <w:rPr>
          <w:rFonts w:cstheme="minorHAnsi"/>
        </w:rPr>
        <w:t>F</w:t>
      </w:r>
      <w:r>
        <w:rPr>
          <w:rFonts w:cstheme="minorHAnsi"/>
        </w:rPr>
        <w:t>eedback and consultation process</w:t>
      </w:r>
      <w:r w:rsidR="00A402E5">
        <w:rPr>
          <w:rFonts w:cstheme="minorHAnsi"/>
        </w:rPr>
        <w:t>es</w:t>
      </w:r>
      <w:r>
        <w:rPr>
          <w:rFonts w:cstheme="minorHAnsi"/>
        </w:rPr>
        <w:t xml:space="preserve"> </w:t>
      </w:r>
      <w:r w:rsidR="00A402E5">
        <w:rPr>
          <w:rFonts w:cstheme="minorHAnsi"/>
        </w:rPr>
        <w:t>were</w:t>
      </w:r>
      <w:r>
        <w:rPr>
          <w:rFonts w:cstheme="minorHAnsi"/>
        </w:rPr>
        <w:t xml:space="preserve"> undertaken to ensure the validity of the initial findings and gain some </w:t>
      </w:r>
      <w:r w:rsidR="00AF6258">
        <w:rPr>
          <w:rFonts w:cstheme="minorHAnsi"/>
        </w:rPr>
        <w:t>input</w:t>
      </w:r>
      <w:r>
        <w:rPr>
          <w:rFonts w:cstheme="minorHAnsi"/>
        </w:rPr>
        <w:t xml:space="preserve"> on how the PLA process could be further enhanced. The results</w:t>
      </w:r>
      <w:r w:rsidR="00607864">
        <w:rPr>
          <w:rFonts w:cstheme="minorHAnsi"/>
        </w:rPr>
        <w:t xml:space="preserve"> of the consultation</w:t>
      </w:r>
      <w:r>
        <w:rPr>
          <w:rFonts w:cstheme="minorHAnsi"/>
        </w:rPr>
        <w:t xml:space="preserve"> were then reviewed and consolidated within the initial findings report</w:t>
      </w:r>
      <w:r w:rsidR="00607864">
        <w:rPr>
          <w:rFonts w:cstheme="minorHAnsi"/>
        </w:rPr>
        <w:t>.</w:t>
      </w:r>
    </w:p>
    <w:p w14:paraId="2E1921E6" w14:textId="77777777" w:rsidR="00881D70" w:rsidRDefault="00881D70" w:rsidP="0015435E">
      <w:pPr>
        <w:spacing w:after="120" w:line="240" w:lineRule="auto"/>
        <w:rPr>
          <w:rFonts w:asciiTheme="minorHAnsi" w:hAnsiTheme="minorHAnsi" w:cstheme="minorHAnsi"/>
          <w:b/>
          <w:bCs/>
          <w:i/>
          <w:iCs/>
          <w:lang w:val="en-AU"/>
        </w:rPr>
      </w:pPr>
    </w:p>
    <w:p w14:paraId="1D1AC5E2" w14:textId="54B49085" w:rsidR="00270665" w:rsidRPr="00F20E05" w:rsidRDefault="00270665" w:rsidP="0015435E">
      <w:pPr>
        <w:spacing w:after="120" w:line="240" w:lineRule="auto"/>
        <w:rPr>
          <w:rFonts w:asciiTheme="minorHAnsi" w:hAnsiTheme="minorHAnsi" w:cstheme="minorHAnsi"/>
          <w:b/>
          <w:bCs/>
          <w:i/>
          <w:iCs/>
          <w:lang w:val="en-AU"/>
        </w:rPr>
      </w:pPr>
      <w:r w:rsidRPr="00F20E05">
        <w:rPr>
          <w:rFonts w:asciiTheme="minorHAnsi" w:hAnsiTheme="minorHAnsi" w:cstheme="minorHAnsi"/>
          <w:b/>
          <w:bCs/>
          <w:i/>
          <w:iCs/>
          <w:lang w:val="en-AU"/>
        </w:rPr>
        <w:t>Measuring Performance</w:t>
      </w:r>
    </w:p>
    <w:p w14:paraId="70CE70A9" w14:textId="26ECC483" w:rsidR="009E3B31" w:rsidRDefault="009E3B31" w:rsidP="0015435E">
      <w:pPr>
        <w:pStyle w:val="Bodytext11"/>
        <w:rPr>
          <w:rFonts w:cstheme="minorHAnsi"/>
          <w:lang w:val="en-AU"/>
        </w:rPr>
      </w:pPr>
      <w:bookmarkStart w:id="11" w:name="_Hlk12265667"/>
      <w:r>
        <w:rPr>
          <w:rFonts w:cstheme="minorHAnsi"/>
          <w:lang w:val="en-AU"/>
        </w:rPr>
        <w:t xml:space="preserve">The 2019 EPM includes 8 outcomes, 11 performance indicators </w:t>
      </w:r>
      <w:proofErr w:type="gramStart"/>
      <w:r>
        <w:rPr>
          <w:rFonts w:cstheme="minorHAnsi"/>
          <w:lang w:val="en-AU"/>
        </w:rPr>
        <w:t>and  expected</w:t>
      </w:r>
      <w:proofErr w:type="gramEnd"/>
      <w:r>
        <w:rPr>
          <w:rFonts w:cstheme="minorHAnsi"/>
          <w:lang w:val="en-AU"/>
        </w:rPr>
        <w:t xml:space="preserve"> results statements across three priority areas: access, quality, and management systems. The current Direct Funding Arrangement (DFA) allocates a maximum payment of AUD$1,560,000.00 with equal weighting given to each outcome </w:t>
      </w:r>
      <w:proofErr w:type="gramStart"/>
      <w:r>
        <w:rPr>
          <w:rFonts w:cstheme="minorHAnsi"/>
          <w:lang w:val="en-AU"/>
        </w:rPr>
        <w:t>i.e.</w:t>
      </w:r>
      <w:proofErr w:type="gramEnd"/>
      <w:r>
        <w:rPr>
          <w:rFonts w:cstheme="minorHAnsi"/>
          <w:lang w:val="en-AU"/>
        </w:rPr>
        <w:t xml:space="preserve"> 1/8</w:t>
      </w:r>
      <w:r w:rsidR="00AF6258">
        <w:rPr>
          <w:rFonts w:cstheme="minorHAnsi"/>
          <w:lang w:val="en-AU"/>
        </w:rPr>
        <w:t xml:space="preserve"> of $1,560,000</w:t>
      </w:r>
      <w:r>
        <w:rPr>
          <w:rFonts w:cstheme="minorHAnsi"/>
          <w:lang w:val="en-AU"/>
        </w:rPr>
        <w:t xml:space="preserve"> = $195,000. A percentage of each allocation per outcome is then distributed to achievement towards</w:t>
      </w:r>
      <w:r w:rsidR="007143A9">
        <w:rPr>
          <w:rFonts w:cstheme="minorHAnsi"/>
          <w:lang w:val="en-AU"/>
        </w:rPr>
        <w:t xml:space="preserve"> </w:t>
      </w:r>
      <w:r w:rsidR="00C73F32">
        <w:rPr>
          <w:rFonts w:cstheme="minorHAnsi"/>
          <w:lang w:val="en-AU"/>
        </w:rPr>
        <w:t>14</w:t>
      </w:r>
      <w:r>
        <w:rPr>
          <w:rFonts w:cstheme="minorHAnsi"/>
          <w:lang w:val="en-AU"/>
        </w:rPr>
        <w:t xml:space="preserve"> expected results statements</w:t>
      </w:r>
      <w:r w:rsidR="007143A9">
        <w:rPr>
          <w:rFonts w:cstheme="minorHAnsi"/>
          <w:lang w:val="en-AU"/>
        </w:rPr>
        <w:t>.</w:t>
      </w:r>
    </w:p>
    <w:bookmarkEnd w:id="11"/>
    <w:p w14:paraId="4C5C2290" w14:textId="03364022" w:rsidR="00B62321" w:rsidRPr="00F03A21" w:rsidRDefault="006555EE" w:rsidP="0015435E">
      <w:pPr>
        <w:spacing w:line="240" w:lineRule="auto"/>
        <w:jc w:val="both"/>
        <w:rPr>
          <w:rFonts w:asciiTheme="minorHAnsi" w:hAnsiTheme="minorHAnsi" w:cstheme="minorHAnsi"/>
          <w:lang w:val="en-AU"/>
        </w:rPr>
      </w:pPr>
      <w:r>
        <w:rPr>
          <w:rFonts w:asciiTheme="minorHAnsi" w:hAnsiTheme="minorHAnsi" w:cstheme="minorHAnsi"/>
        </w:rPr>
        <w:t>W</w:t>
      </w:r>
      <w:r w:rsidR="00270665">
        <w:rPr>
          <w:rFonts w:asciiTheme="minorHAnsi" w:hAnsiTheme="minorHAnsi" w:cstheme="minorHAnsi"/>
        </w:rPr>
        <w:t xml:space="preserve">here Expected Results Statements are only partly achieved, a pro-rata performance-linked aid </w:t>
      </w:r>
      <w:r w:rsidR="00270665" w:rsidRPr="00F03A21">
        <w:rPr>
          <w:rFonts w:asciiTheme="minorHAnsi" w:hAnsiTheme="minorHAnsi" w:cstheme="minorHAnsi"/>
          <w:lang w:val="en-AU"/>
        </w:rPr>
        <w:t>payment is made based on verification of progress. The 201</w:t>
      </w:r>
      <w:r w:rsidR="00877110">
        <w:rPr>
          <w:rFonts w:asciiTheme="minorHAnsi" w:hAnsiTheme="minorHAnsi" w:cstheme="minorHAnsi"/>
          <w:lang w:val="en-AU"/>
        </w:rPr>
        <w:t xml:space="preserve">9 </w:t>
      </w:r>
      <w:r w:rsidR="00270665" w:rsidRPr="00F03A21">
        <w:rPr>
          <w:rFonts w:asciiTheme="minorHAnsi" w:hAnsiTheme="minorHAnsi" w:cstheme="minorHAnsi"/>
          <w:lang w:val="en-AU"/>
        </w:rPr>
        <w:t xml:space="preserve">EPM provided guidance on what kind of source documents support the indicators, and the assessor weighted the evidence or the stage at which the evidence was at, to show partial achievement of an indicator.  </w:t>
      </w:r>
    </w:p>
    <w:p w14:paraId="0F8E1FC6" w14:textId="686203DA" w:rsidR="00DE096E" w:rsidRPr="00413324" w:rsidRDefault="003973F8" w:rsidP="00413324">
      <w:pPr>
        <w:pStyle w:val="Heading2"/>
        <w:numPr>
          <w:ilvl w:val="0"/>
          <w:numId w:val="19"/>
        </w:numPr>
        <w:shd w:val="clear" w:color="auto" w:fill="B4C6E7" w:themeFill="accent1" w:themeFillTint="66"/>
        <w:ind w:hanging="720"/>
        <w:rPr>
          <w:rFonts w:asciiTheme="minorHAnsi" w:hAnsiTheme="minorHAnsi" w:cstheme="minorHAnsi"/>
          <w:b/>
          <w:bCs/>
          <w:color w:val="1F4E79" w:themeColor="accent5" w:themeShade="80"/>
          <w:sz w:val="24"/>
          <w:szCs w:val="24"/>
        </w:rPr>
      </w:pPr>
      <w:bookmarkStart w:id="12" w:name="_Toc49858088"/>
      <w:r w:rsidRPr="00413324">
        <w:rPr>
          <w:rFonts w:asciiTheme="minorHAnsi" w:hAnsiTheme="minorHAnsi" w:cstheme="minorHAnsi"/>
          <w:b/>
          <w:bCs/>
          <w:color w:val="1F4E79" w:themeColor="accent5" w:themeShade="80"/>
          <w:sz w:val="24"/>
          <w:szCs w:val="24"/>
        </w:rPr>
        <w:t xml:space="preserve">Access </w:t>
      </w:r>
      <w:r w:rsidR="00191B36" w:rsidRPr="00413324">
        <w:rPr>
          <w:rFonts w:asciiTheme="minorHAnsi" w:hAnsiTheme="minorHAnsi" w:cstheme="minorHAnsi"/>
          <w:b/>
          <w:bCs/>
          <w:color w:val="1F4E79" w:themeColor="accent5" w:themeShade="80"/>
          <w:sz w:val="24"/>
          <w:szCs w:val="24"/>
        </w:rPr>
        <w:t>General</w:t>
      </w:r>
      <w:r w:rsidR="00E965E0" w:rsidRPr="00413324">
        <w:rPr>
          <w:rFonts w:asciiTheme="minorHAnsi" w:hAnsiTheme="minorHAnsi" w:cstheme="minorHAnsi"/>
          <w:b/>
          <w:bCs/>
          <w:color w:val="1F4E79" w:themeColor="accent5" w:themeShade="80"/>
          <w:sz w:val="24"/>
          <w:szCs w:val="24"/>
        </w:rPr>
        <w:t xml:space="preserve"> Findings</w:t>
      </w:r>
      <w:bookmarkEnd w:id="12"/>
    </w:p>
    <w:p w14:paraId="01ABF876" w14:textId="78B838BF" w:rsidR="00EA489C" w:rsidRDefault="003973F8" w:rsidP="0015435E">
      <w:pPr>
        <w:pStyle w:val="Bodytext11"/>
        <w:numPr>
          <w:ilvl w:val="0"/>
          <w:numId w:val="7"/>
        </w:numPr>
        <w:ind w:left="426"/>
        <w:rPr>
          <w:rFonts w:cstheme="minorHAnsi"/>
          <w:lang w:val="en-AU"/>
        </w:rPr>
      </w:pPr>
      <w:r w:rsidRPr="00197AF3">
        <w:rPr>
          <w:rFonts w:cstheme="minorHAnsi"/>
          <w:lang w:val="en-AU"/>
        </w:rPr>
        <w:t>MEHRD has a sound understanding of the barriers to students completing their full education</w:t>
      </w:r>
      <w:r w:rsidR="005F50AA">
        <w:rPr>
          <w:rFonts w:cstheme="minorHAnsi"/>
          <w:lang w:val="en-AU"/>
        </w:rPr>
        <w:t xml:space="preserve"> (primary, secondary</w:t>
      </w:r>
      <w:proofErr w:type="gramStart"/>
      <w:r w:rsidR="008C0E2D">
        <w:rPr>
          <w:rFonts w:cstheme="minorHAnsi"/>
          <w:lang w:val="en-AU"/>
        </w:rPr>
        <w:t>).</w:t>
      </w:r>
      <w:r w:rsidRPr="00197AF3">
        <w:rPr>
          <w:rFonts w:cstheme="minorHAnsi"/>
          <w:lang w:val="en-AU"/>
        </w:rPr>
        <w:t>The</w:t>
      </w:r>
      <w:proofErr w:type="gramEnd"/>
      <w:r w:rsidRPr="00197AF3">
        <w:rPr>
          <w:rFonts w:cstheme="minorHAnsi"/>
          <w:lang w:val="en-AU"/>
        </w:rPr>
        <w:t xml:space="preserve"> contextual analysis provided within the current NEAP and other review</w:t>
      </w:r>
      <w:r w:rsidR="005C4DE4">
        <w:rPr>
          <w:rFonts w:cstheme="minorHAnsi"/>
          <w:lang w:val="en-AU"/>
        </w:rPr>
        <w:t>s</w:t>
      </w:r>
      <w:r w:rsidRPr="00197AF3">
        <w:rPr>
          <w:rFonts w:cstheme="minorHAnsi"/>
          <w:lang w:val="en-AU"/>
        </w:rPr>
        <w:t xml:space="preserve"> and planning reports provides the basis for strategies to tackle the challenges. </w:t>
      </w:r>
    </w:p>
    <w:p w14:paraId="675E4363" w14:textId="04A93C6D" w:rsidR="005701FD" w:rsidRPr="00EA489C" w:rsidRDefault="003973F8" w:rsidP="0015435E">
      <w:pPr>
        <w:pStyle w:val="Bodytext11"/>
        <w:numPr>
          <w:ilvl w:val="0"/>
          <w:numId w:val="7"/>
        </w:numPr>
        <w:ind w:left="426"/>
        <w:rPr>
          <w:rFonts w:cstheme="minorHAnsi"/>
          <w:lang w:val="en-AU"/>
        </w:rPr>
      </w:pPr>
      <w:r>
        <w:rPr>
          <w:rFonts w:cstheme="minorHAnsi"/>
          <w:lang w:val="en-AU"/>
        </w:rPr>
        <w:t>The development of new policies including Gender Equality and Child Protection continue to be socialised and integrated into MEHRD, EA and school procedures and practices. For example, a</w:t>
      </w:r>
      <w:r w:rsidRPr="00D75311">
        <w:rPr>
          <w:rFonts w:cstheme="minorHAnsi"/>
          <w:lang w:val="en-AU"/>
        </w:rPr>
        <w:t xml:space="preserve">n Inclusive Education (IE) Taskforce was established with the aim of coordinating, </w:t>
      </w:r>
      <w:proofErr w:type="gramStart"/>
      <w:r w:rsidRPr="00D75311">
        <w:rPr>
          <w:rFonts w:cstheme="minorHAnsi"/>
          <w:lang w:val="en-AU"/>
        </w:rPr>
        <w:t>advocating</w:t>
      </w:r>
      <w:proofErr w:type="gramEnd"/>
      <w:r w:rsidRPr="00D75311">
        <w:rPr>
          <w:rFonts w:cstheme="minorHAnsi"/>
          <w:lang w:val="en-AU"/>
        </w:rPr>
        <w:t xml:space="preserve"> and championing the proposed changes. This group led </w:t>
      </w:r>
      <w:r w:rsidR="002937F9">
        <w:rPr>
          <w:rFonts w:cstheme="minorHAnsi"/>
          <w:lang w:val="en-AU"/>
        </w:rPr>
        <w:t xml:space="preserve">to </w:t>
      </w:r>
      <w:r w:rsidRPr="00D75311">
        <w:rPr>
          <w:rFonts w:cstheme="minorHAnsi"/>
          <w:lang w:val="en-AU"/>
        </w:rPr>
        <w:t xml:space="preserve">the completion of IE Implementation Plan, </w:t>
      </w:r>
      <w:r>
        <w:rPr>
          <w:rFonts w:cstheme="minorHAnsi"/>
          <w:lang w:val="en-AU"/>
        </w:rPr>
        <w:t>developing</w:t>
      </w:r>
      <w:r w:rsidRPr="00D75311">
        <w:rPr>
          <w:rFonts w:cstheme="minorHAnsi"/>
          <w:lang w:val="en-AU"/>
        </w:rPr>
        <w:t xml:space="preserve"> </w:t>
      </w:r>
      <w:proofErr w:type="gramStart"/>
      <w:r w:rsidRPr="00D75311">
        <w:rPr>
          <w:rFonts w:cstheme="minorHAnsi"/>
          <w:lang w:val="en-AU"/>
        </w:rPr>
        <w:t>actions</w:t>
      </w:r>
      <w:proofErr w:type="gramEnd"/>
      <w:r w:rsidR="004707BB">
        <w:rPr>
          <w:rFonts w:cstheme="minorHAnsi"/>
          <w:lang w:val="en-AU"/>
        </w:rPr>
        <w:t xml:space="preserve"> and directing MEHRD officers and </w:t>
      </w:r>
      <w:r w:rsidR="00677B48">
        <w:rPr>
          <w:rFonts w:cstheme="minorHAnsi"/>
          <w:lang w:val="en-AU"/>
        </w:rPr>
        <w:t xml:space="preserve">those providing </w:t>
      </w:r>
      <w:r w:rsidR="00AF6258">
        <w:rPr>
          <w:rFonts w:cstheme="minorHAnsi"/>
          <w:lang w:val="en-AU"/>
        </w:rPr>
        <w:t xml:space="preserve">technical assistance </w:t>
      </w:r>
      <w:r w:rsidRPr="00D75311">
        <w:rPr>
          <w:rFonts w:cstheme="minorHAnsi"/>
          <w:lang w:val="en-AU"/>
        </w:rPr>
        <w:t xml:space="preserve">to ensure the policy is fully implemented. </w:t>
      </w:r>
      <w:r>
        <w:rPr>
          <w:rFonts w:cstheme="minorHAnsi"/>
          <w:lang w:val="en-AU"/>
        </w:rPr>
        <w:t xml:space="preserve">The draft of the new Education Bill </w:t>
      </w:r>
      <w:r w:rsidR="00677B48">
        <w:rPr>
          <w:rFonts w:cstheme="minorHAnsi"/>
          <w:lang w:val="en-AU"/>
        </w:rPr>
        <w:t xml:space="preserve">contains </w:t>
      </w:r>
      <w:r>
        <w:rPr>
          <w:rFonts w:cstheme="minorHAnsi"/>
          <w:lang w:val="en-AU"/>
        </w:rPr>
        <w:t>inclusiv</w:t>
      </w:r>
      <w:r w:rsidR="00677B48">
        <w:rPr>
          <w:rFonts w:cstheme="minorHAnsi"/>
          <w:lang w:val="en-AU"/>
        </w:rPr>
        <w:t xml:space="preserve">ity as one of its guiding </w:t>
      </w:r>
      <w:r>
        <w:rPr>
          <w:rFonts w:cstheme="minorHAnsi"/>
          <w:lang w:val="en-AU"/>
        </w:rPr>
        <w:t xml:space="preserve">principles </w:t>
      </w:r>
      <w:r w:rsidR="00677B48">
        <w:rPr>
          <w:rFonts w:cstheme="minorHAnsi"/>
          <w:lang w:val="en-AU"/>
        </w:rPr>
        <w:t xml:space="preserve">with </w:t>
      </w:r>
      <w:r>
        <w:rPr>
          <w:rFonts w:cstheme="minorHAnsi"/>
          <w:lang w:val="en-AU"/>
        </w:rPr>
        <w:t xml:space="preserve">practical implementation </w:t>
      </w:r>
      <w:r w:rsidR="00677B48">
        <w:rPr>
          <w:rFonts w:cstheme="minorHAnsi"/>
          <w:lang w:val="en-AU"/>
        </w:rPr>
        <w:t xml:space="preserve">directed </w:t>
      </w:r>
      <w:r>
        <w:rPr>
          <w:rFonts w:cstheme="minorHAnsi"/>
          <w:lang w:val="en-AU"/>
        </w:rPr>
        <w:t>through the related Administrative Instructions.</w:t>
      </w:r>
    </w:p>
    <w:p w14:paraId="4D9627F7" w14:textId="753F83F3" w:rsidR="0092214D" w:rsidRPr="0092214D" w:rsidRDefault="003973F8" w:rsidP="0015435E">
      <w:pPr>
        <w:pStyle w:val="Bodytext11"/>
        <w:numPr>
          <w:ilvl w:val="0"/>
          <w:numId w:val="7"/>
        </w:numPr>
        <w:ind w:left="426"/>
        <w:rPr>
          <w:rFonts w:cstheme="minorHAnsi"/>
          <w:lang w:val="en-AU"/>
        </w:rPr>
      </w:pPr>
      <w:r w:rsidRPr="00197AF3">
        <w:rPr>
          <w:rFonts w:cstheme="minorHAnsi"/>
          <w:lang w:val="en-AU"/>
        </w:rPr>
        <w:t xml:space="preserve">MEHRD collects a range of </w:t>
      </w:r>
      <w:r>
        <w:rPr>
          <w:rFonts w:cstheme="minorHAnsi"/>
          <w:lang w:val="en-AU"/>
        </w:rPr>
        <w:t xml:space="preserve">quantitative </w:t>
      </w:r>
      <w:r w:rsidRPr="00197AF3">
        <w:rPr>
          <w:rFonts w:cstheme="minorHAnsi"/>
          <w:lang w:val="en-AU"/>
        </w:rPr>
        <w:t>data about schools and students. A key source of the data is the annual school survey</w:t>
      </w:r>
      <w:r>
        <w:rPr>
          <w:rFonts w:cstheme="minorHAnsi"/>
          <w:lang w:val="en-AU"/>
        </w:rPr>
        <w:t xml:space="preserve">. The survey is completed in June each year and once collected, is then </w:t>
      </w:r>
      <w:proofErr w:type="gramStart"/>
      <w:r>
        <w:rPr>
          <w:rFonts w:cstheme="minorHAnsi"/>
          <w:lang w:val="en-AU"/>
        </w:rPr>
        <w:t>collated</w:t>
      </w:r>
      <w:proofErr w:type="gramEnd"/>
      <w:r>
        <w:rPr>
          <w:rFonts w:cstheme="minorHAnsi"/>
          <w:lang w:val="en-AU"/>
        </w:rPr>
        <w:t xml:space="preserve"> and stored</w:t>
      </w:r>
      <w:r w:rsidRPr="00197AF3">
        <w:rPr>
          <w:rFonts w:cstheme="minorHAnsi"/>
          <w:lang w:val="en-AU"/>
        </w:rPr>
        <w:t xml:space="preserve"> in SIEMIS. Analysis of SIEMIS data is proving to be </w:t>
      </w:r>
      <w:r w:rsidR="008D34AA">
        <w:rPr>
          <w:rFonts w:cstheme="minorHAnsi"/>
          <w:lang w:val="en-AU"/>
        </w:rPr>
        <w:t xml:space="preserve">a </w:t>
      </w:r>
      <w:r w:rsidRPr="00197AF3">
        <w:rPr>
          <w:rFonts w:cstheme="minorHAnsi"/>
          <w:lang w:val="en-AU"/>
        </w:rPr>
        <w:t>useful tool in better understanding the points in the school system when children fall out of education</w:t>
      </w:r>
      <w:r>
        <w:rPr>
          <w:rFonts w:cstheme="minorHAnsi"/>
          <w:lang w:val="en-AU"/>
        </w:rPr>
        <w:t xml:space="preserve"> </w:t>
      </w:r>
      <w:r w:rsidR="00677B48">
        <w:rPr>
          <w:rFonts w:cstheme="minorHAnsi"/>
          <w:lang w:val="en-AU"/>
        </w:rPr>
        <w:t>however the SIEMIS</w:t>
      </w:r>
      <w:r>
        <w:rPr>
          <w:rFonts w:cstheme="minorHAnsi"/>
          <w:lang w:val="en-AU"/>
        </w:rPr>
        <w:t xml:space="preserve"> has limitations. Access to </w:t>
      </w:r>
      <w:r w:rsidR="00677B48">
        <w:rPr>
          <w:rFonts w:cstheme="minorHAnsi"/>
          <w:lang w:val="en-AU"/>
        </w:rPr>
        <w:t xml:space="preserve">annual </w:t>
      </w:r>
      <w:r>
        <w:rPr>
          <w:rFonts w:cstheme="minorHAnsi"/>
          <w:lang w:val="en-AU"/>
        </w:rPr>
        <w:t>data is not generally available until 12 months after the survey is completed and the accuracy of the data is not regularly or routinely verified. A change in the survey completion process</w:t>
      </w:r>
      <w:r>
        <w:rPr>
          <w:rStyle w:val="FootnoteReference"/>
          <w:rFonts w:cstheme="minorHAnsi"/>
          <w:lang w:val="en-AU"/>
        </w:rPr>
        <w:footnoteReference w:id="3"/>
      </w:r>
      <w:r>
        <w:rPr>
          <w:rFonts w:cstheme="minorHAnsi"/>
          <w:lang w:val="en-AU"/>
        </w:rPr>
        <w:t xml:space="preserve"> has improved the efficacy of the data this year but makes data comparability with previous years tenuous. </w:t>
      </w:r>
    </w:p>
    <w:p w14:paraId="23434C42" w14:textId="30AB21E6" w:rsidR="005701FD" w:rsidRPr="00EA489C" w:rsidRDefault="003973F8" w:rsidP="0015435E">
      <w:pPr>
        <w:pStyle w:val="Bodytext11"/>
        <w:numPr>
          <w:ilvl w:val="0"/>
          <w:numId w:val="7"/>
        </w:numPr>
        <w:ind w:left="426"/>
        <w:rPr>
          <w:rFonts w:cstheme="minorHAnsi"/>
          <w:lang w:val="en-AU"/>
        </w:rPr>
      </w:pPr>
      <w:r>
        <w:rPr>
          <w:rFonts w:cstheme="minorHAnsi"/>
          <w:lang w:val="en-AU"/>
        </w:rPr>
        <w:t xml:space="preserve">The collection and use of qualitative data </w:t>
      </w:r>
      <w:proofErr w:type="gramStart"/>
      <w:r>
        <w:rPr>
          <w:rFonts w:cstheme="minorHAnsi"/>
          <w:lang w:val="en-AU"/>
        </w:rPr>
        <w:t>remains</w:t>
      </w:r>
      <w:proofErr w:type="gramEnd"/>
      <w:r>
        <w:rPr>
          <w:rFonts w:cstheme="minorHAnsi"/>
          <w:lang w:val="en-AU"/>
        </w:rPr>
        <w:t xml:space="preserve"> limited</w:t>
      </w:r>
      <w:r w:rsidR="004707BB">
        <w:rPr>
          <w:rFonts w:cstheme="minorHAnsi"/>
          <w:lang w:val="en-AU"/>
        </w:rPr>
        <w:t xml:space="preserve"> with most access related data predominantly gained from the annual school survey ret</w:t>
      </w:r>
      <w:r w:rsidR="006507BD">
        <w:rPr>
          <w:rFonts w:cstheme="minorHAnsi"/>
          <w:lang w:val="en-AU"/>
        </w:rPr>
        <w:t>urns</w:t>
      </w:r>
      <w:r>
        <w:rPr>
          <w:rFonts w:cstheme="minorHAnsi"/>
          <w:lang w:val="en-AU"/>
        </w:rPr>
        <w:t>.</w:t>
      </w:r>
      <w:r w:rsidR="00566482">
        <w:rPr>
          <w:rFonts w:cstheme="minorHAnsi"/>
          <w:lang w:val="en-AU"/>
        </w:rPr>
        <w:t xml:space="preserve"> </w:t>
      </w:r>
      <w:r w:rsidR="006507BD">
        <w:rPr>
          <w:rFonts w:cstheme="minorHAnsi"/>
          <w:lang w:val="en-AU"/>
        </w:rPr>
        <w:t xml:space="preserve">There is no regular or systematic data collected on teacher and student attendance. </w:t>
      </w:r>
      <w:r w:rsidR="00566482">
        <w:rPr>
          <w:rFonts w:cstheme="minorHAnsi"/>
          <w:lang w:val="en-AU"/>
        </w:rPr>
        <w:t>There remains a lack of qualitative data to draw on</w:t>
      </w:r>
      <w:r w:rsidR="00DE096E">
        <w:rPr>
          <w:rFonts w:cstheme="minorHAnsi"/>
          <w:lang w:val="en-AU"/>
        </w:rPr>
        <w:t xml:space="preserve"> to demonstrate the encouraging improvements being noted anecdotally, especially at the school level.</w:t>
      </w:r>
      <w:r w:rsidR="00566482">
        <w:rPr>
          <w:rFonts w:cstheme="minorHAnsi"/>
          <w:lang w:val="en-AU"/>
        </w:rPr>
        <w:t xml:space="preserve"> MEHRD is aware of this and commencing to integrate some qualitative M&amp;E tools into their activities. For example, the Innovation Unit is trialling the use of </w:t>
      </w:r>
      <w:r w:rsidR="008D34AA">
        <w:rPr>
          <w:rFonts w:cstheme="minorHAnsi"/>
          <w:lang w:val="en-AU"/>
        </w:rPr>
        <w:t xml:space="preserve">the </w:t>
      </w:r>
      <w:r w:rsidR="00566482">
        <w:rPr>
          <w:rFonts w:cstheme="minorHAnsi"/>
          <w:lang w:val="en-AU"/>
        </w:rPr>
        <w:t>Most Significant Change</w:t>
      </w:r>
      <w:r w:rsidR="0037286A">
        <w:rPr>
          <w:rFonts w:cstheme="minorHAnsi"/>
          <w:lang w:val="en-AU"/>
        </w:rPr>
        <w:t xml:space="preserve"> (MSC)</w:t>
      </w:r>
      <w:r w:rsidR="00566482">
        <w:rPr>
          <w:rFonts w:cstheme="minorHAnsi"/>
          <w:lang w:val="en-AU"/>
        </w:rPr>
        <w:t xml:space="preserve"> technique this year and learning from the qualitative approaches undertaken in the LEAP program.</w:t>
      </w:r>
    </w:p>
    <w:p w14:paraId="1CA6802A" w14:textId="58842CB8" w:rsidR="003973F8" w:rsidRDefault="00677B48" w:rsidP="0015435E">
      <w:pPr>
        <w:pStyle w:val="Bodytext11"/>
        <w:numPr>
          <w:ilvl w:val="0"/>
          <w:numId w:val="7"/>
        </w:numPr>
        <w:ind w:left="426"/>
        <w:rPr>
          <w:rFonts w:cstheme="minorHAnsi"/>
          <w:lang w:val="en-AU"/>
        </w:rPr>
      </w:pPr>
      <w:r>
        <w:rPr>
          <w:rFonts w:cstheme="minorHAnsi"/>
          <w:lang w:val="en-AU"/>
        </w:rPr>
        <w:t>The goal</w:t>
      </w:r>
      <w:r w:rsidR="00566482">
        <w:rPr>
          <w:rFonts w:cstheme="minorHAnsi"/>
          <w:lang w:val="en-AU"/>
        </w:rPr>
        <w:t xml:space="preserve"> </w:t>
      </w:r>
      <w:r>
        <w:rPr>
          <w:rFonts w:cstheme="minorHAnsi"/>
          <w:lang w:val="en-AU"/>
        </w:rPr>
        <w:t xml:space="preserve">of the ESF and NEAP is that </w:t>
      </w:r>
      <w:r w:rsidR="00566482">
        <w:rPr>
          <w:rFonts w:cstheme="minorHAnsi"/>
          <w:lang w:val="en-AU"/>
        </w:rPr>
        <w:t xml:space="preserve">once students start school, they continue </w:t>
      </w:r>
      <w:r w:rsidR="006B15AD">
        <w:rPr>
          <w:rFonts w:cstheme="minorHAnsi"/>
          <w:lang w:val="en-AU"/>
        </w:rPr>
        <w:t xml:space="preserve">to </w:t>
      </w:r>
      <w:r w:rsidR="00566482">
        <w:rPr>
          <w:rFonts w:cstheme="minorHAnsi"/>
          <w:lang w:val="en-AU"/>
        </w:rPr>
        <w:t xml:space="preserve">complete </w:t>
      </w:r>
      <w:r>
        <w:rPr>
          <w:rFonts w:cstheme="minorHAnsi"/>
          <w:lang w:val="en-AU"/>
        </w:rPr>
        <w:t xml:space="preserve">their education, at least </w:t>
      </w:r>
      <w:r w:rsidR="00D20F32">
        <w:rPr>
          <w:rFonts w:cstheme="minorHAnsi"/>
          <w:lang w:val="en-AU"/>
        </w:rPr>
        <w:t>j</w:t>
      </w:r>
      <w:r>
        <w:rPr>
          <w:rFonts w:cstheme="minorHAnsi"/>
          <w:lang w:val="en-AU"/>
        </w:rPr>
        <w:t xml:space="preserve">unior </w:t>
      </w:r>
      <w:r w:rsidR="00D20F32">
        <w:rPr>
          <w:rFonts w:cstheme="minorHAnsi"/>
          <w:lang w:val="en-AU"/>
        </w:rPr>
        <w:t>s</w:t>
      </w:r>
      <w:r>
        <w:rPr>
          <w:rFonts w:cstheme="minorHAnsi"/>
          <w:lang w:val="en-AU"/>
        </w:rPr>
        <w:t>econdary education (year 9)</w:t>
      </w:r>
      <w:r w:rsidR="00566482">
        <w:rPr>
          <w:rFonts w:cstheme="minorHAnsi"/>
          <w:lang w:val="en-AU"/>
        </w:rPr>
        <w:t xml:space="preserve">. </w:t>
      </w:r>
      <w:r w:rsidR="003973F8">
        <w:rPr>
          <w:rFonts w:cstheme="minorHAnsi"/>
          <w:lang w:val="en-AU"/>
        </w:rPr>
        <w:t>The survival rate indicator is</w:t>
      </w:r>
      <w:r w:rsidR="006B15AD">
        <w:rPr>
          <w:rFonts w:cstheme="minorHAnsi"/>
          <w:lang w:val="en-AU"/>
        </w:rPr>
        <w:t xml:space="preserve"> an</w:t>
      </w:r>
      <w:r w:rsidR="003973F8">
        <w:rPr>
          <w:rFonts w:cstheme="minorHAnsi"/>
          <w:lang w:val="en-AU"/>
        </w:rPr>
        <w:t xml:space="preserve"> important tool for measuring retention and completion because it tracks </w:t>
      </w:r>
      <w:r w:rsidR="003973F8" w:rsidRPr="00282DF6">
        <w:rPr>
          <w:rFonts w:cstheme="minorHAnsi"/>
          <w:lang w:val="en-AU"/>
        </w:rPr>
        <w:t xml:space="preserve">a cohort of students enrolled in the first </w:t>
      </w:r>
      <w:r w:rsidR="003973F8">
        <w:rPr>
          <w:rFonts w:cstheme="minorHAnsi"/>
          <w:lang w:val="en-AU"/>
        </w:rPr>
        <w:t>year of school through to their completion of school. SIEMIS data</w:t>
      </w:r>
      <w:r w:rsidR="003973F8">
        <w:rPr>
          <w:rStyle w:val="FootnoteReference"/>
          <w:rFonts w:cstheme="minorHAnsi"/>
          <w:lang w:val="en-AU"/>
        </w:rPr>
        <w:footnoteReference w:id="4"/>
      </w:r>
      <w:r w:rsidR="003973F8">
        <w:rPr>
          <w:rFonts w:cstheme="minorHAnsi"/>
          <w:lang w:val="en-AU"/>
        </w:rPr>
        <w:t xml:space="preserve"> on </w:t>
      </w:r>
      <w:r w:rsidR="003973F8" w:rsidRPr="00197AF3">
        <w:rPr>
          <w:rFonts w:cstheme="minorHAnsi"/>
          <w:lang w:val="en-AU"/>
        </w:rPr>
        <w:t>students who started their schooling in 2009 and 2010, shows that</w:t>
      </w:r>
      <w:r w:rsidR="003973F8">
        <w:rPr>
          <w:rFonts w:cstheme="minorHAnsi"/>
          <w:lang w:val="en-AU"/>
        </w:rPr>
        <w:t xml:space="preserve"> o</w:t>
      </w:r>
      <w:r w:rsidR="003973F8" w:rsidRPr="00197AF3">
        <w:rPr>
          <w:rFonts w:cstheme="minorHAnsi"/>
          <w:lang w:val="en-AU"/>
        </w:rPr>
        <w:t>ver 40% of the total cohort</w:t>
      </w:r>
      <w:r w:rsidR="003973F8">
        <w:rPr>
          <w:rFonts w:cstheme="minorHAnsi"/>
          <w:lang w:val="en-AU"/>
        </w:rPr>
        <w:t>s</w:t>
      </w:r>
      <w:r w:rsidR="003973F8" w:rsidRPr="00197AF3">
        <w:rPr>
          <w:rFonts w:cstheme="minorHAnsi"/>
          <w:lang w:val="en-AU"/>
        </w:rPr>
        <w:t xml:space="preserve"> of students had left school before they finished primary school.</w:t>
      </w:r>
      <w:r w:rsidR="003973F8">
        <w:rPr>
          <w:rFonts w:cstheme="minorHAnsi"/>
          <w:lang w:val="en-AU"/>
        </w:rPr>
        <w:t xml:space="preserve"> </w:t>
      </w:r>
      <w:r w:rsidR="003973F8" w:rsidRPr="00197AF3">
        <w:rPr>
          <w:rFonts w:cstheme="minorHAnsi"/>
          <w:lang w:val="en-AU"/>
        </w:rPr>
        <w:t xml:space="preserve">53% of the students who </w:t>
      </w:r>
      <w:r w:rsidR="003973F8">
        <w:rPr>
          <w:rFonts w:cstheme="minorHAnsi"/>
          <w:lang w:val="en-AU"/>
        </w:rPr>
        <w:t>began their schooling</w:t>
      </w:r>
      <w:r w:rsidR="003973F8" w:rsidRPr="00197AF3">
        <w:rPr>
          <w:rFonts w:cstheme="minorHAnsi"/>
          <w:lang w:val="en-AU"/>
        </w:rPr>
        <w:t xml:space="preserve"> in 2009 and 2010 dropped out before they completed a basic education</w:t>
      </w:r>
      <w:r>
        <w:rPr>
          <w:rFonts w:cstheme="minorHAnsi"/>
          <w:lang w:val="en-AU"/>
        </w:rPr>
        <w:t xml:space="preserve"> (year 9)</w:t>
      </w:r>
      <w:r w:rsidR="003973F8" w:rsidRPr="00197AF3">
        <w:rPr>
          <w:rFonts w:cstheme="minorHAnsi"/>
          <w:lang w:val="en-AU"/>
        </w:rPr>
        <w:t>.</w:t>
      </w:r>
      <w:r w:rsidR="003973F8">
        <w:rPr>
          <w:rFonts w:cstheme="minorHAnsi"/>
          <w:lang w:val="en-AU"/>
        </w:rPr>
        <w:t xml:space="preserve"> </w:t>
      </w:r>
      <w:r w:rsidR="003973F8" w:rsidRPr="00197AF3">
        <w:rPr>
          <w:rFonts w:cstheme="minorHAnsi"/>
          <w:lang w:val="en-AU"/>
        </w:rPr>
        <w:t xml:space="preserve">By year 12 </w:t>
      </w:r>
      <w:r w:rsidR="00D20F32">
        <w:rPr>
          <w:rFonts w:cstheme="minorHAnsi"/>
          <w:lang w:val="en-AU"/>
        </w:rPr>
        <w:t xml:space="preserve">(the last year in senior secondary) </w:t>
      </w:r>
      <w:r w:rsidR="003973F8" w:rsidRPr="00197AF3">
        <w:rPr>
          <w:rFonts w:cstheme="minorHAnsi"/>
          <w:lang w:val="en-AU"/>
        </w:rPr>
        <w:t>more than 80% have drop</w:t>
      </w:r>
      <w:r w:rsidR="003973F8">
        <w:rPr>
          <w:rFonts w:cstheme="minorHAnsi"/>
          <w:lang w:val="en-AU"/>
        </w:rPr>
        <w:t xml:space="preserve">ped </w:t>
      </w:r>
      <w:r w:rsidR="003973F8" w:rsidRPr="00197AF3">
        <w:rPr>
          <w:rFonts w:cstheme="minorHAnsi"/>
          <w:lang w:val="en-AU"/>
        </w:rPr>
        <w:t>out</w:t>
      </w:r>
      <w:r w:rsidR="003973F8">
        <w:rPr>
          <w:rStyle w:val="FootnoteReference"/>
          <w:rFonts w:cstheme="minorHAnsi"/>
          <w:lang w:val="en-AU"/>
        </w:rPr>
        <w:footnoteReference w:id="5"/>
      </w:r>
      <w:r w:rsidR="003973F8" w:rsidRPr="00197AF3">
        <w:rPr>
          <w:rFonts w:cstheme="minorHAnsi"/>
          <w:lang w:val="en-AU"/>
        </w:rPr>
        <w:t>.</w:t>
      </w:r>
      <w:r w:rsidR="003973F8" w:rsidRPr="00282DF6">
        <w:rPr>
          <w:rFonts w:cstheme="minorHAnsi"/>
          <w:lang w:val="en-AU"/>
        </w:rPr>
        <w:t xml:space="preserve"> </w:t>
      </w:r>
      <w:r w:rsidR="003973F8">
        <w:rPr>
          <w:rFonts w:cstheme="minorHAnsi"/>
          <w:lang w:val="en-AU"/>
        </w:rPr>
        <w:t xml:space="preserve"> This data highlights a persistent concern in students not completing their full schooling and is remaining on trend with no significant improvement during the current NEAP period.</w:t>
      </w:r>
      <w:r w:rsidR="00877110">
        <w:rPr>
          <w:rStyle w:val="FootnoteReference"/>
          <w:rFonts w:cstheme="minorHAnsi"/>
          <w:lang w:val="en-AU"/>
        </w:rPr>
        <w:footnoteReference w:id="6"/>
      </w:r>
    </w:p>
    <w:p w14:paraId="562658A6" w14:textId="538335A6" w:rsidR="008C0E2D" w:rsidRDefault="008C0E2D" w:rsidP="0015435E">
      <w:pPr>
        <w:pStyle w:val="Bodytext11"/>
        <w:numPr>
          <w:ilvl w:val="0"/>
          <w:numId w:val="7"/>
        </w:numPr>
        <w:spacing w:before="240" w:after="120"/>
        <w:rPr>
          <w:rFonts w:cstheme="minorHAnsi"/>
          <w:bCs/>
          <w:lang w:val="en-AU"/>
        </w:rPr>
      </w:pPr>
      <w:r>
        <w:rPr>
          <w:rFonts w:cstheme="minorHAnsi"/>
          <w:bCs/>
          <w:lang w:val="en-AU"/>
        </w:rPr>
        <w:t>T</w:t>
      </w:r>
      <w:r w:rsidRPr="00EE32EF">
        <w:rPr>
          <w:rFonts w:cstheme="minorHAnsi"/>
          <w:bCs/>
          <w:lang w:val="en-AU"/>
        </w:rPr>
        <w:t xml:space="preserve">he percentage of students transitioning from </w:t>
      </w:r>
      <w:r>
        <w:rPr>
          <w:rFonts w:cstheme="minorHAnsi"/>
          <w:bCs/>
          <w:lang w:val="en-AU"/>
        </w:rPr>
        <w:t>PPY</w:t>
      </w:r>
      <w:r w:rsidRPr="00EE32EF">
        <w:rPr>
          <w:rFonts w:cstheme="minorHAnsi"/>
          <w:bCs/>
          <w:lang w:val="en-AU"/>
        </w:rPr>
        <w:t xml:space="preserve"> to Year 1 has decreased by 5.7%</w:t>
      </w:r>
      <w:r>
        <w:rPr>
          <w:rFonts w:cstheme="minorHAnsi"/>
          <w:bCs/>
          <w:lang w:val="en-AU"/>
        </w:rPr>
        <w:t>. This significant drop may be due to how the student data was collected and the transition to PPY being the first year of formal schooling. This discrepancy is being investigated by SSU M&amp;E team.</w:t>
      </w:r>
      <w:r w:rsidRPr="00EE32EF">
        <w:rPr>
          <w:rFonts w:cstheme="minorHAnsi"/>
          <w:bCs/>
          <w:lang w:val="en-AU"/>
        </w:rPr>
        <w:t xml:space="preserve"> </w:t>
      </w:r>
      <w:r>
        <w:rPr>
          <w:rFonts w:cstheme="minorHAnsi"/>
          <w:bCs/>
          <w:lang w:val="en-AU"/>
        </w:rPr>
        <w:t>P</w:t>
      </w:r>
      <w:r w:rsidRPr="00EE32EF">
        <w:rPr>
          <w:rFonts w:cstheme="minorHAnsi"/>
          <w:bCs/>
          <w:lang w:val="en-AU"/>
        </w:rPr>
        <w:t xml:space="preserve">rimary Year 6 to </w:t>
      </w:r>
      <w:r>
        <w:rPr>
          <w:rFonts w:cstheme="minorHAnsi"/>
          <w:bCs/>
          <w:lang w:val="en-AU"/>
        </w:rPr>
        <w:t>Y</w:t>
      </w:r>
      <w:r w:rsidRPr="00EE32EF">
        <w:rPr>
          <w:rFonts w:cstheme="minorHAnsi"/>
          <w:bCs/>
          <w:lang w:val="en-AU"/>
        </w:rPr>
        <w:t>ear 7 slight</w:t>
      </w:r>
      <w:r>
        <w:rPr>
          <w:rFonts w:cstheme="minorHAnsi"/>
          <w:bCs/>
          <w:lang w:val="en-AU"/>
        </w:rPr>
        <w:t>ly</w:t>
      </w:r>
      <w:r w:rsidRPr="00EE32EF">
        <w:rPr>
          <w:rFonts w:cstheme="minorHAnsi"/>
          <w:bCs/>
          <w:lang w:val="en-AU"/>
        </w:rPr>
        <w:t xml:space="preserve"> increased by 0.9</w:t>
      </w:r>
      <w:proofErr w:type="gramStart"/>
      <w:r w:rsidRPr="00EE32EF">
        <w:rPr>
          <w:rFonts w:cstheme="minorHAnsi"/>
          <w:bCs/>
          <w:lang w:val="en-AU"/>
        </w:rPr>
        <w:t xml:space="preserve">%,  </w:t>
      </w:r>
      <w:r>
        <w:rPr>
          <w:rFonts w:cstheme="minorHAnsi"/>
          <w:bCs/>
          <w:lang w:val="en-AU"/>
        </w:rPr>
        <w:t>J</w:t>
      </w:r>
      <w:r w:rsidRPr="00EE32EF">
        <w:rPr>
          <w:rFonts w:cstheme="minorHAnsi"/>
          <w:bCs/>
          <w:lang w:val="en-AU"/>
        </w:rPr>
        <w:t>unior</w:t>
      </w:r>
      <w:proofErr w:type="gramEnd"/>
      <w:r>
        <w:rPr>
          <w:rFonts w:cstheme="minorHAnsi"/>
          <w:bCs/>
          <w:lang w:val="en-AU"/>
        </w:rPr>
        <w:t xml:space="preserve"> S</w:t>
      </w:r>
      <w:r w:rsidRPr="00EE32EF">
        <w:rPr>
          <w:rFonts w:cstheme="minorHAnsi"/>
          <w:bCs/>
          <w:lang w:val="en-AU"/>
        </w:rPr>
        <w:t xml:space="preserve">econdary from year 9 to year 10 decreased by 0.6% and </w:t>
      </w:r>
      <w:r>
        <w:rPr>
          <w:rFonts w:cstheme="minorHAnsi"/>
          <w:bCs/>
          <w:lang w:val="en-AU"/>
        </w:rPr>
        <w:t>S</w:t>
      </w:r>
      <w:r w:rsidRPr="00EE32EF">
        <w:rPr>
          <w:rFonts w:cstheme="minorHAnsi"/>
          <w:bCs/>
          <w:lang w:val="en-AU"/>
        </w:rPr>
        <w:t xml:space="preserve">enior </w:t>
      </w:r>
      <w:r>
        <w:rPr>
          <w:rFonts w:cstheme="minorHAnsi"/>
          <w:bCs/>
          <w:lang w:val="en-AU"/>
        </w:rPr>
        <w:t>S</w:t>
      </w:r>
      <w:r w:rsidRPr="00EE32EF">
        <w:rPr>
          <w:rFonts w:cstheme="minorHAnsi"/>
          <w:bCs/>
          <w:lang w:val="en-AU"/>
        </w:rPr>
        <w:t>econdary from year 11 to 12 decreased by 1.2%</w:t>
      </w:r>
      <w:r w:rsidR="00877110">
        <w:rPr>
          <w:rFonts w:cstheme="minorHAnsi"/>
          <w:bCs/>
          <w:lang w:val="en-AU"/>
        </w:rPr>
        <w:t>.</w:t>
      </w:r>
    </w:p>
    <w:p w14:paraId="1823C34E" w14:textId="06C91BC4" w:rsidR="008C0E2D" w:rsidRPr="009165DB" w:rsidRDefault="008C0E2D" w:rsidP="009165DB">
      <w:pPr>
        <w:pStyle w:val="Tablecontent"/>
        <w:rPr>
          <w:i/>
          <w:iCs/>
          <w:sz w:val="18"/>
          <w:szCs w:val="20"/>
        </w:rPr>
      </w:pPr>
      <w:bookmarkStart w:id="13" w:name="_Toc48725636"/>
      <w:bookmarkStart w:id="14" w:name="_Toc48750599"/>
      <w:r w:rsidRPr="009165DB">
        <w:rPr>
          <w:i/>
          <w:iCs/>
          <w:sz w:val="18"/>
          <w:szCs w:val="20"/>
        </w:rPr>
        <w:t xml:space="preserve">Table </w:t>
      </w:r>
      <w:r w:rsidRPr="009165DB">
        <w:rPr>
          <w:i/>
          <w:iCs/>
          <w:sz w:val="18"/>
          <w:szCs w:val="20"/>
        </w:rPr>
        <w:fldChar w:fldCharType="begin"/>
      </w:r>
      <w:r w:rsidRPr="009165DB">
        <w:rPr>
          <w:i/>
          <w:iCs/>
          <w:sz w:val="18"/>
          <w:szCs w:val="20"/>
        </w:rPr>
        <w:instrText xml:space="preserve"> SEQ Table \* ARABIC </w:instrText>
      </w:r>
      <w:r w:rsidRPr="009165DB">
        <w:rPr>
          <w:i/>
          <w:iCs/>
          <w:sz w:val="18"/>
          <w:szCs w:val="20"/>
        </w:rPr>
        <w:fldChar w:fldCharType="separate"/>
      </w:r>
      <w:r w:rsidR="00912E1E">
        <w:rPr>
          <w:i/>
          <w:iCs/>
          <w:noProof/>
          <w:sz w:val="18"/>
          <w:szCs w:val="20"/>
        </w:rPr>
        <w:t>2</w:t>
      </w:r>
      <w:r w:rsidRPr="009165DB">
        <w:rPr>
          <w:i/>
          <w:iCs/>
          <w:sz w:val="18"/>
          <w:szCs w:val="20"/>
        </w:rPr>
        <w:fldChar w:fldCharType="end"/>
      </w:r>
      <w:r w:rsidRPr="009165DB">
        <w:rPr>
          <w:i/>
          <w:iCs/>
          <w:sz w:val="18"/>
          <w:szCs w:val="20"/>
        </w:rPr>
        <w:t>: Transition Rates PPY to Year 12</w:t>
      </w:r>
      <w:bookmarkEnd w:id="13"/>
      <w:bookmarkEnd w:id="14"/>
    </w:p>
    <w:tbl>
      <w:tblPr>
        <w:tblW w:w="5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62"/>
        <w:gridCol w:w="793"/>
        <w:gridCol w:w="861"/>
        <w:gridCol w:w="769"/>
        <w:gridCol w:w="769"/>
        <w:gridCol w:w="769"/>
        <w:gridCol w:w="769"/>
      </w:tblGrid>
      <w:tr w:rsidR="008C0E2D" w:rsidRPr="007C3795" w14:paraId="76646CC3" w14:textId="77777777" w:rsidTr="002C41F0">
        <w:trPr>
          <w:trHeight w:val="587"/>
        </w:trPr>
        <w:tc>
          <w:tcPr>
            <w:tcW w:w="762" w:type="dxa"/>
            <w:shd w:val="clear" w:color="auto" w:fill="8EAADB" w:themeFill="accent1" w:themeFillTint="99"/>
            <w:noWrap/>
            <w:vAlign w:val="center"/>
            <w:hideMark/>
          </w:tcPr>
          <w:p w14:paraId="2F084980" w14:textId="77777777" w:rsidR="008C0E2D" w:rsidRPr="002C41F0" w:rsidRDefault="008C0E2D" w:rsidP="0015435E">
            <w:pPr>
              <w:spacing w:after="0" w:line="240" w:lineRule="auto"/>
              <w:jc w:val="center"/>
              <w:rPr>
                <w:rFonts w:asciiTheme="minorHAnsi" w:eastAsia="Times New Roman" w:hAnsiTheme="minorHAnsi" w:cstheme="minorHAnsi"/>
                <w:b/>
                <w:bCs/>
                <w:color w:val="000000" w:themeColor="text1"/>
                <w:sz w:val="20"/>
                <w:szCs w:val="20"/>
                <w:lang w:val="en-AU" w:eastAsia="en-AU"/>
              </w:rPr>
            </w:pPr>
            <w:r w:rsidRPr="002C41F0">
              <w:rPr>
                <w:rFonts w:asciiTheme="minorHAnsi" w:eastAsia="Times New Roman" w:hAnsiTheme="minorHAnsi" w:cstheme="minorHAnsi"/>
                <w:b/>
                <w:bCs/>
                <w:color w:val="000000" w:themeColor="text1"/>
                <w:sz w:val="20"/>
                <w:szCs w:val="20"/>
                <w:lang w:val="en-AU" w:eastAsia="en-AU"/>
              </w:rPr>
              <w:t>Year</w:t>
            </w:r>
          </w:p>
        </w:tc>
        <w:tc>
          <w:tcPr>
            <w:tcW w:w="793" w:type="dxa"/>
            <w:shd w:val="clear" w:color="auto" w:fill="8EAADB" w:themeFill="accent1" w:themeFillTint="99"/>
            <w:noWrap/>
            <w:vAlign w:val="center"/>
            <w:hideMark/>
          </w:tcPr>
          <w:p w14:paraId="6BF875E2" w14:textId="77777777" w:rsidR="008C0E2D" w:rsidRPr="002C41F0" w:rsidRDefault="008C0E2D" w:rsidP="0015435E">
            <w:pPr>
              <w:spacing w:after="0" w:line="240" w:lineRule="auto"/>
              <w:jc w:val="center"/>
              <w:rPr>
                <w:rFonts w:asciiTheme="minorHAnsi" w:eastAsia="Times New Roman" w:hAnsiTheme="minorHAnsi" w:cstheme="minorHAnsi"/>
                <w:b/>
                <w:bCs/>
                <w:color w:val="000000" w:themeColor="text1"/>
                <w:sz w:val="20"/>
                <w:szCs w:val="20"/>
                <w:lang w:val="en-AU" w:eastAsia="en-AU"/>
              </w:rPr>
            </w:pPr>
            <w:r w:rsidRPr="002C41F0">
              <w:rPr>
                <w:rFonts w:asciiTheme="minorHAnsi" w:eastAsia="Times New Roman" w:hAnsiTheme="minorHAnsi" w:cstheme="minorHAnsi"/>
                <w:b/>
                <w:bCs/>
                <w:color w:val="000000" w:themeColor="text1"/>
                <w:sz w:val="20"/>
                <w:szCs w:val="20"/>
                <w:lang w:val="en-AU" w:eastAsia="en-AU"/>
              </w:rPr>
              <w:t>Gender</w:t>
            </w:r>
          </w:p>
        </w:tc>
        <w:tc>
          <w:tcPr>
            <w:tcW w:w="861" w:type="dxa"/>
            <w:shd w:val="clear" w:color="auto" w:fill="8EAADB" w:themeFill="accent1" w:themeFillTint="99"/>
            <w:noWrap/>
            <w:vAlign w:val="center"/>
            <w:hideMark/>
          </w:tcPr>
          <w:p w14:paraId="35CF5CC2" w14:textId="77777777" w:rsidR="008C0E2D" w:rsidRPr="002C41F0" w:rsidRDefault="008C0E2D" w:rsidP="0015435E">
            <w:pPr>
              <w:spacing w:after="0" w:line="240" w:lineRule="auto"/>
              <w:jc w:val="center"/>
              <w:rPr>
                <w:rFonts w:asciiTheme="minorHAnsi" w:eastAsia="Times New Roman" w:hAnsiTheme="minorHAnsi" w:cstheme="minorHAnsi"/>
                <w:b/>
                <w:bCs/>
                <w:color w:val="000000" w:themeColor="text1"/>
                <w:sz w:val="20"/>
                <w:szCs w:val="20"/>
                <w:lang w:val="en-AU" w:eastAsia="en-AU"/>
              </w:rPr>
            </w:pPr>
            <w:r w:rsidRPr="002C41F0">
              <w:rPr>
                <w:rFonts w:asciiTheme="minorHAnsi" w:eastAsia="Times New Roman" w:hAnsiTheme="minorHAnsi" w:cstheme="minorHAnsi"/>
                <w:b/>
                <w:bCs/>
                <w:color w:val="000000" w:themeColor="text1"/>
                <w:sz w:val="20"/>
                <w:szCs w:val="20"/>
                <w:lang w:val="en-AU" w:eastAsia="en-AU"/>
              </w:rPr>
              <w:t>Prep</w:t>
            </w:r>
          </w:p>
        </w:tc>
        <w:tc>
          <w:tcPr>
            <w:tcW w:w="769" w:type="dxa"/>
            <w:shd w:val="clear" w:color="auto" w:fill="8EAADB" w:themeFill="accent1" w:themeFillTint="99"/>
            <w:noWrap/>
            <w:vAlign w:val="center"/>
            <w:hideMark/>
          </w:tcPr>
          <w:p w14:paraId="6F26497A" w14:textId="77777777" w:rsidR="008C0E2D" w:rsidRPr="002C41F0" w:rsidRDefault="008C0E2D" w:rsidP="0015435E">
            <w:pPr>
              <w:spacing w:after="0" w:line="240" w:lineRule="auto"/>
              <w:jc w:val="center"/>
              <w:rPr>
                <w:rFonts w:asciiTheme="minorHAnsi" w:eastAsia="Times New Roman" w:hAnsiTheme="minorHAnsi" w:cstheme="minorHAnsi"/>
                <w:b/>
                <w:bCs/>
                <w:color w:val="000000" w:themeColor="text1"/>
                <w:sz w:val="20"/>
                <w:szCs w:val="20"/>
                <w:lang w:val="en-AU" w:eastAsia="en-AU"/>
              </w:rPr>
            </w:pPr>
            <w:r w:rsidRPr="002C41F0">
              <w:rPr>
                <w:rFonts w:asciiTheme="minorHAnsi" w:eastAsia="Times New Roman" w:hAnsiTheme="minorHAnsi" w:cstheme="minorHAnsi"/>
                <w:b/>
                <w:bCs/>
                <w:color w:val="000000" w:themeColor="text1"/>
                <w:sz w:val="20"/>
                <w:szCs w:val="20"/>
                <w:lang w:val="en-AU" w:eastAsia="en-AU"/>
              </w:rPr>
              <w:t>Year 6</w:t>
            </w:r>
          </w:p>
        </w:tc>
        <w:tc>
          <w:tcPr>
            <w:tcW w:w="769" w:type="dxa"/>
            <w:shd w:val="clear" w:color="auto" w:fill="8EAADB" w:themeFill="accent1" w:themeFillTint="99"/>
            <w:noWrap/>
            <w:vAlign w:val="center"/>
            <w:hideMark/>
          </w:tcPr>
          <w:p w14:paraId="2ADDC6B5" w14:textId="77777777" w:rsidR="008C0E2D" w:rsidRPr="002C41F0" w:rsidRDefault="008C0E2D" w:rsidP="0015435E">
            <w:pPr>
              <w:spacing w:after="0" w:line="240" w:lineRule="auto"/>
              <w:jc w:val="center"/>
              <w:rPr>
                <w:rFonts w:asciiTheme="minorHAnsi" w:eastAsia="Times New Roman" w:hAnsiTheme="minorHAnsi" w:cstheme="minorHAnsi"/>
                <w:b/>
                <w:bCs/>
                <w:color w:val="000000" w:themeColor="text1"/>
                <w:sz w:val="20"/>
                <w:szCs w:val="20"/>
                <w:lang w:val="en-AU" w:eastAsia="en-AU"/>
              </w:rPr>
            </w:pPr>
            <w:r w:rsidRPr="002C41F0">
              <w:rPr>
                <w:rFonts w:asciiTheme="minorHAnsi" w:eastAsia="Times New Roman" w:hAnsiTheme="minorHAnsi" w:cstheme="minorHAnsi"/>
                <w:b/>
                <w:bCs/>
                <w:color w:val="000000" w:themeColor="text1"/>
                <w:sz w:val="20"/>
                <w:szCs w:val="20"/>
                <w:lang w:val="en-AU" w:eastAsia="en-AU"/>
              </w:rPr>
              <w:t>Year 9</w:t>
            </w:r>
          </w:p>
        </w:tc>
        <w:tc>
          <w:tcPr>
            <w:tcW w:w="769" w:type="dxa"/>
            <w:shd w:val="clear" w:color="auto" w:fill="8EAADB" w:themeFill="accent1" w:themeFillTint="99"/>
            <w:noWrap/>
            <w:vAlign w:val="center"/>
            <w:hideMark/>
          </w:tcPr>
          <w:p w14:paraId="191CCB1F" w14:textId="77777777" w:rsidR="008C0E2D" w:rsidRPr="002C41F0" w:rsidRDefault="008C0E2D" w:rsidP="0015435E">
            <w:pPr>
              <w:spacing w:after="0" w:line="240" w:lineRule="auto"/>
              <w:jc w:val="center"/>
              <w:rPr>
                <w:rFonts w:asciiTheme="minorHAnsi" w:eastAsia="Times New Roman" w:hAnsiTheme="minorHAnsi" w:cstheme="minorHAnsi"/>
                <w:b/>
                <w:bCs/>
                <w:color w:val="000000" w:themeColor="text1"/>
                <w:sz w:val="20"/>
                <w:szCs w:val="20"/>
                <w:lang w:val="en-AU" w:eastAsia="en-AU"/>
              </w:rPr>
            </w:pPr>
            <w:r w:rsidRPr="002C41F0">
              <w:rPr>
                <w:rFonts w:asciiTheme="minorHAnsi" w:eastAsia="Times New Roman" w:hAnsiTheme="minorHAnsi" w:cstheme="minorHAnsi"/>
                <w:b/>
                <w:bCs/>
                <w:color w:val="000000" w:themeColor="text1"/>
                <w:sz w:val="20"/>
                <w:szCs w:val="20"/>
                <w:lang w:val="en-AU" w:eastAsia="en-AU"/>
              </w:rPr>
              <w:t>Year 11</w:t>
            </w:r>
          </w:p>
        </w:tc>
        <w:tc>
          <w:tcPr>
            <w:tcW w:w="769" w:type="dxa"/>
            <w:shd w:val="clear" w:color="auto" w:fill="8EAADB" w:themeFill="accent1" w:themeFillTint="99"/>
            <w:noWrap/>
            <w:vAlign w:val="center"/>
            <w:hideMark/>
          </w:tcPr>
          <w:p w14:paraId="00A9350A" w14:textId="77777777" w:rsidR="008C0E2D" w:rsidRPr="002C41F0" w:rsidRDefault="008C0E2D" w:rsidP="0015435E">
            <w:pPr>
              <w:spacing w:after="0" w:line="240" w:lineRule="auto"/>
              <w:jc w:val="center"/>
              <w:rPr>
                <w:rFonts w:asciiTheme="minorHAnsi" w:eastAsia="Times New Roman" w:hAnsiTheme="minorHAnsi" w:cstheme="minorHAnsi"/>
                <w:b/>
                <w:bCs/>
                <w:color w:val="000000" w:themeColor="text1"/>
                <w:sz w:val="20"/>
                <w:szCs w:val="20"/>
                <w:lang w:val="en-AU" w:eastAsia="en-AU"/>
              </w:rPr>
            </w:pPr>
            <w:r w:rsidRPr="002C41F0">
              <w:rPr>
                <w:rFonts w:asciiTheme="minorHAnsi" w:eastAsia="Times New Roman" w:hAnsiTheme="minorHAnsi" w:cstheme="minorHAnsi"/>
                <w:b/>
                <w:bCs/>
                <w:color w:val="000000" w:themeColor="text1"/>
                <w:sz w:val="20"/>
                <w:szCs w:val="20"/>
                <w:lang w:val="en-AU" w:eastAsia="en-AU"/>
              </w:rPr>
              <w:t>Year 12</w:t>
            </w:r>
          </w:p>
        </w:tc>
      </w:tr>
      <w:tr w:rsidR="008C0E2D" w:rsidRPr="007C3795" w14:paraId="1DD709A3" w14:textId="77777777" w:rsidTr="008C0E2D">
        <w:trPr>
          <w:trHeight w:val="283"/>
        </w:trPr>
        <w:tc>
          <w:tcPr>
            <w:tcW w:w="762" w:type="dxa"/>
            <w:shd w:val="clear" w:color="auto" w:fill="auto"/>
            <w:noWrap/>
            <w:vAlign w:val="center"/>
            <w:hideMark/>
          </w:tcPr>
          <w:p w14:paraId="05AD7486" w14:textId="77777777" w:rsidR="008C0E2D" w:rsidRPr="007C3795" w:rsidRDefault="008C0E2D" w:rsidP="0015435E">
            <w:pPr>
              <w:spacing w:after="0" w:line="240" w:lineRule="auto"/>
              <w:jc w:val="center"/>
              <w:rPr>
                <w:rFonts w:asciiTheme="minorHAnsi" w:eastAsia="Times New Roman" w:hAnsiTheme="minorHAnsi" w:cstheme="minorHAnsi"/>
                <w:b/>
                <w:bCs/>
                <w:color w:val="666699"/>
                <w:sz w:val="20"/>
                <w:szCs w:val="20"/>
                <w:lang w:val="en-AU" w:eastAsia="en-AU"/>
              </w:rPr>
            </w:pPr>
            <w:r w:rsidRPr="007C3795">
              <w:rPr>
                <w:rFonts w:asciiTheme="minorHAnsi" w:eastAsia="Times New Roman" w:hAnsiTheme="minorHAnsi" w:cstheme="minorHAnsi"/>
                <w:b/>
                <w:bCs/>
                <w:color w:val="666699"/>
                <w:sz w:val="20"/>
                <w:szCs w:val="20"/>
                <w:lang w:val="en-AU" w:eastAsia="en-AU"/>
              </w:rPr>
              <w:t>2019</w:t>
            </w:r>
          </w:p>
        </w:tc>
        <w:tc>
          <w:tcPr>
            <w:tcW w:w="793" w:type="dxa"/>
            <w:shd w:val="clear" w:color="auto" w:fill="auto"/>
            <w:noWrap/>
            <w:vAlign w:val="center"/>
            <w:hideMark/>
          </w:tcPr>
          <w:p w14:paraId="6A5BE51C"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M</w:t>
            </w:r>
          </w:p>
        </w:tc>
        <w:tc>
          <w:tcPr>
            <w:tcW w:w="861" w:type="dxa"/>
            <w:shd w:val="clear" w:color="auto" w:fill="auto"/>
            <w:noWrap/>
            <w:vAlign w:val="center"/>
            <w:hideMark/>
          </w:tcPr>
          <w:p w14:paraId="6271585C"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79.9%</w:t>
            </w:r>
          </w:p>
        </w:tc>
        <w:tc>
          <w:tcPr>
            <w:tcW w:w="769" w:type="dxa"/>
            <w:shd w:val="clear" w:color="auto" w:fill="auto"/>
            <w:noWrap/>
            <w:vAlign w:val="center"/>
            <w:hideMark/>
          </w:tcPr>
          <w:p w14:paraId="31579E8F"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88.6%</w:t>
            </w:r>
          </w:p>
        </w:tc>
        <w:tc>
          <w:tcPr>
            <w:tcW w:w="769" w:type="dxa"/>
            <w:shd w:val="clear" w:color="auto" w:fill="auto"/>
            <w:noWrap/>
            <w:vAlign w:val="center"/>
            <w:hideMark/>
          </w:tcPr>
          <w:p w14:paraId="096AA553"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74.9%</w:t>
            </w:r>
          </w:p>
        </w:tc>
        <w:tc>
          <w:tcPr>
            <w:tcW w:w="769" w:type="dxa"/>
            <w:shd w:val="clear" w:color="auto" w:fill="auto"/>
            <w:noWrap/>
            <w:vAlign w:val="center"/>
            <w:hideMark/>
          </w:tcPr>
          <w:p w14:paraId="5B551EAB"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61.0%</w:t>
            </w:r>
          </w:p>
        </w:tc>
        <w:tc>
          <w:tcPr>
            <w:tcW w:w="769" w:type="dxa"/>
            <w:shd w:val="clear" w:color="auto" w:fill="auto"/>
            <w:noWrap/>
            <w:vAlign w:val="center"/>
            <w:hideMark/>
          </w:tcPr>
          <w:p w14:paraId="6B8664D4"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13.4%</w:t>
            </w:r>
          </w:p>
        </w:tc>
      </w:tr>
      <w:tr w:rsidR="008C0E2D" w:rsidRPr="007C3795" w14:paraId="3BA5D79E" w14:textId="77777777" w:rsidTr="002C41F0">
        <w:trPr>
          <w:trHeight w:val="283"/>
        </w:trPr>
        <w:tc>
          <w:tcPr>
            <w:tcW w:w="762" w:type="dxa"/>
            <w:shd w:val="clear" w:color="auto" w:fill="auto"/>
            <w:noWrap/>
            <w:vAlign w:val="center"/>
          </w:tcPr>
          <w:p w14:paraId="5D9965FD" w14:textId="55996EC7" w:rsidR="008C0E2D" w:rsidRPr="007C3795" w:rsidRDefault="008C0E2D" w:rsidP="0015435E">
            <w:pPr>
              <w:spacing w:after="0" w:line="240" w:lineRule="auto"/>
              <w:jc w:val="center"/>
              <w:rPr>
                <w:rFonts w:asciiTheme="minorHAnsi" w:eastAsia="Times New Roman" w:hAnsiTheme="minorHAnsi" w:cstheme="minorHAnsi"/>
                <w:b/>
                <w:bCs/>
                <w:color w:val="FFFFFF"/>
                <w:sz w:val="20"/>
                <w:szCs w:val="20"/>
                <w:lang w:val="en-AU" w:eastAsia="en-AU"/>
              </w:rPr>
            </w:pPr>
          </w:p>
        </w:tc>
        <w:tc>
          <w:tcPr>
            <w:tcW w:w="793" w:type="dxa"/>
            <w:shd w:val="clear" w:color="auto" w:fill="auto"/>
            <w:noWrap/>
            <w:vAlign w:val="center"/>
            <w:hideMark/>
          </w:tcPr>
          <w:p w14:paraId="60EA8874"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F</w:t>
            </w:r>
          </w:p>
        </w:tc>
        <w:tc>
          <w:tcPr>
            <w:tcW w:w="861" w:type="dxa"/>
            <w:shd w:val="clear" w:color="auto" w:fill="auto"/>
            <w:noWrap/>
            <w:vAlign w:val="center"/>
            <w:hideMark/>
          </w:tcPr>
          <w:p w14:paraId="2081B969"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75.5%</w:t>
            </w:r>
          </w:p>
        </w:tc>
        <w:tc>
          <w:tcPr>
            <w:tcW w:w="769" w:type="dxa"/>
            <w:shd w:val="clear" w:color="auto" w:fill="auto"/>
            <w:noWrap/>
            <w:vAlign w:val="center"/>
            <w:hideMark/>
          </w:tcPr>
          <w:p w14:paraId="2BB2C0DF"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90.3%</w:t>
            </w:r>
          </w:p>
        </w:tc>
        <w:tc>
          <w:tcPr>
            <w:tcW w:w="769" w:type="dxa"/>
            <w:shd w:val="clear" w:color="auto" w:fill="auto"/>
            <w:noWrap/>
            <w:vAlign w:val="center"/>
            <w:hideMark/>
          </w:tcPr>
          <w:p w14:paraId="039DE8AF"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76.2%</w:t>
            </w:r>
          </w:p>
        </w:tc>
        <w:tc>
          <w:tcPr>
            <w:tcW w:w="769" w:type="dxa"/>
            <w:shd w:val="clear" w:color="auto" w:fill="auto"/>
            <w:noWrap/>
            <w:vAlign w:val="center"/>
            <w:hideMark/>
          </w:tcPr>
          <w:p w14:paraId="5BF4217E"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58.0%</w:t>
            </w:r>
          </w:p>
        </w:tc>
        <w:tc>
          <w:tcPr>
            <w:tcW w:w="769" w:type="dxa"/>
            <w:shd w:val="clear" w:color="auto" w:fill="auto"/>
            <w:noWrap/>
            <w:vAlign w:val="center"/>
            <w:hideMark/>
          </w:tcPr>
          <w:p w14:paraId="3FB5C726"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11.2%</w:t>
            </w:r>
          </w:p>
        </w:tc>
      </w:tr>
      <w:tr w:rsidR="008C0E2D" w:rsidRPr="007C3795" w14:paraId="373E71EE" w14:textId="77777777" w:rsidTr="002C41F0">
        <w:trPr>
          <w:trHeight w:val="283"/>
        </w:trPr>
        <w:tc>
          <w:tcPr>
            <w:tcW w:w="762" w:type="dxa"/>
            <w:shd w:val="clear" w:color="auto" w:fill="auto"/>
            <w:noWrap/>
            <w:vAlign w:val="center"/>
          </w:tcPr>
          <w:p w14:paraId="644DA7EE" w14:textId="7A3BB10A" w:rsidR="008C0E2D" w:rsidRPr="007C3795" w:rsidRDefault="008C0E2D" w:rsidP="0015435E">
            <w:pPr>
              <w:spacing w:after="0" w:line="240" w:lineRule="auto"/>
              <w:jc w:val="center"/>
              <w:rPr>
                <w:rFonts w:asciiTheme="minorHAnsi" w:eastAsia="Times New Roman" w:hAnsiTheme="minorHAnsi" w:cstheme="minorHAnsi"/>
                <w:b/>
                <w:bCs/>
                <w:color w:val="FFFFFF"/>
                <w:sz w:val="20"/>
                <w:szCs w:val="20"/>
                <w:lang w:val="en-AU" w:eastAsia="en-AU"/>
              </w:rPr>
            </w:pPr>
          </w:p>
        </w:tc>
        <w:tc>
          <w:tcPr>
            <w:tcW w:w="793" w:type="dxa"/>
            <w:shd w:val="clear" w:color="auto" w:fill="B4C6E7" w:themeFill="accent1" w:themeFillTint="66"/>
            <w:noWrap/>
            <w:vAlign w:val="center"/>
            <w:hideMark/>
          </w:tcPr>
          <w:p w14:paraId="12304602" w14:textId="3AEFB6CB"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Tot</w:t>
            </w:r>
            <w:r w:rsidR="00B62321" w:rsidRPr="00B62321">
              <w:rPr>
                <w:rFonts w:asciiTheme="minorHAnsi" w:eastAsia="Times New Roman" w:hAnsiTheme="minorHAnsi" w:cstheme="minorHAnsi"/>
                <w:b/>
                <w:bCs/>
                <w:sz w:val="20"/>
                <w:szCs w:val="20"/>
                <w:lang w:val="en-AU" w:eastAsia="en-AU"/>
              </w:rPr>
              <w:t>al</w:t>
            </w:r>
          </w:p>
        </w:tc>
        <w:tc>
          <w:tcPr>
            <w:tcW w:w="861" w:type="dxa"/>
            <w:shd w:val="clear" w:color="auto" w:fill="B4C6E7" w:themeFill="accent1" w:themeFillTint="66"/>
            <w:noWrap/>
            <w:vAlign w:val="center"/>
            <w:hideMark/>
          </w:tcPr>
          <w:p w14:paraId="60FA6775" w14:textId="77777777"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77.8%</w:t>
            </w:r>
          </w:p>
        </w:tc>
        <w:tc>
          <w:tcPr>
            <w:tcW w:w="769" w:type="dxa"/>
            <w:shd w:val="clear" w:color="auto" w:fill="B4C6E7" w:themeFill="accent1" w:themeFillTint="66"/>
            <w:noWrap/>
            <w:vAlign w:val="center"/>
            <w:hideMark/>
          </w:tcPr>
          <w:p w14:paraId="015FDE35" w14:textId="77777777"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89.4%</w:t>
            </w:r>
          </w:p>
        </w:tc>
        <w:tc>
          <w:tcPr>
            <w:tcW w:w="769" w:type="dxa"/>
            <w:shd w:val="clear" w:color="auto" w:fill="B4C6E7" w:themeFill="accent1" w:themeFillTint="66"/>
            <w:noWrap/>
            <w:vAlign w:val="center"/>
            <w:hideMark/>
          </w:tcPr>
          <w:p w14:paraId="55DC3D8B" w14:textId="77777777"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75.6%</w:t>
            </w:r>
          </w:p>
        </w:tc>
        <w:tc>
          <w:tcPr>
            <w:tcW w:w="769" w:type="dxa"/>
            <w:shd w:val="clear" w:color="auto" w:fill="B4C6E7" w:themeFill="accent1" w:themeFillTint="66"/>
            <w:noWrap/>
            <w:vAlign w:val="center"/>
            <w:hideMark/>
          </w:tcPr>
          <w:p w14:paraId="7D31D05D" w14:textId="77777777"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59.5%</w:t>
            </w:r>
          </w:p>
        </w:tc>
        <w:tc>
          <w:tcPr>
            <w:tcW w:w="769" w:type="dxa"/>
            <w:shd w:val="clear" w:color="auto" w:fill="B4C6E7" w:themeFill="accent1" w:themeFillTint="66"/>
            <w:noWrap/>
            <w:vAlign w:val="center"/>
            <w:hideMark/>
          </w:tcPr>
          <w:p w14:paraId="7B138767" w14:textId="77777777"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12.4%</w:t>
            </w:r>
          </w:p>
        </w:tc>
      </w:tr>
      <w:tr w:rsidR="008C0E2D" w:rsidRPr="007C3795" w14:paraId="7B04C7C1" w14:textId="77777777" w:rsidTr="008C0E2D">
        <w:trPr>
          <w:trHeight w:val="283"/>
        </w:trPr>
        <w:tc>
          <w:tcPr>
            <w:tcW w:w="762" w:type="dxa"/>
            <w:shd w:val="clear" w:color="auto" w:fill="auto"/>
            <w:noWrap/>
            <w:vAlign w:val="center"/>
            <w:hideMark/>
          </w:tcPr>
          <w:p w14:paraId="71A58682" w14:textId="77777777" w:rsidR="008C0E2D" w:rsidRPr="007C3795" w:rsidRDefault="008C0E2D" w:rsidP="0015435E">
            <w:pPr>
              <w:spacing w:after="0" w:line="240" w:lineRule="auto"/>
              <w:jc w:val="center"/>
              <w:rPr>
                <w:rFonts w:asciiTheme="minorHAnsi" w:eastAsia="Times New Roman" w:hAnsiTheme="minorHAnsi" w:cstheme="minorHAnsi"/>
                <w:b/>
                <w:bCs/>
                <w:color w:val="666699"/>
                <w:sz w:val="20"/>
                <w:szCs w:val="20"/>
                <w:lang w:val="en-AU" w:eastAsia="en-AU"/>
              </w:rPr>
            </w:pPr>
            <w:r w:rsidRPr="007C3795">
              <w:rPr>
                <w:rFonts w:asciiTheme="minorHAnsi" w:eastAsia="Times New Roman" w:hAnsiTheme="minorHAnsi" w:cstheme="minorHAnsi"/>
                <w:b/>
                <w:bCs/>
                <w:color w:val="666699"/>
                <w:sz w:val="20"/>
                <w:szCs w:val="20"/>
                <w:lang w:val="en-AU" w:eastAsia="en-AU"/>
              </w:rPr>
              <w:t>2018</w:t>
            </w:r>
          </w:p>
        </w:tc>
        <w:tc>
          <w:tcPr>
            <w:tcW w:w="793" w:type="dxa"/>
            <w:shd w:val="clear" w:color="auto" w:fill="auto"/>
            <w:noWrap/>
            <w:vAlign w:val="center"/>
            <w:hideMark/>
          </w:tcPr>
          <w:p w14:paraId="76261B44"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M</w:t>
            </w:r>
          </w:p>
        </w:tc>
        <w:tc>
          <w:tcPr>
            <w:tcW w:w="861" w:type="dxa"/>
            <w:shd w:val="clear" w:color="auto" w:fill="auto"/>
            <w:noWrap/>
            <w:vAlign w:val="center"/>
            <w:hideMark/>
          </w:tcPr>
          <w:p w14:paraId="2EF0EB3A" w14:textId="77777777" w:rsidR="008C0E2D" w:rsidRPr="007C3795" w:rsidRDefault="008C0E2D" w:rsidP="0015435E">
            <w:pPr>
              <w:spacing w:after="0" w:line="240" w:lineRule="auto"/>
              <w:jc w:val="center"/>
              <w:rPr>
                <w:rFonts w:asciiTheme="minorHAnsi" w:eastAsia="Times New Roman" w:hAnsiTheme="minorHAnsi" w:cstheme="minorHAnsi"/>
                <w:color w:val="000000"/>
                <w:sz w:val="20"/>
                <w:szCs w:val="20"/>
                <w:lang w:val="en-AU" w:eastAsia="en-AU"/>
              </w:rPr>
            </w:pPr>
            <w:r w:rsidRPr="007C3795">
              <w:rPr>
                <w:rFonts w:asciiTheme="minorHAnsi" w:eastAsia="Times New Roman" w:hAnsiTheme="minorHAnsi" w:cstheme="minorHAnsi"/>
                <w:color w:val="000000"/>
                <w:sz w:val="20"/>
                <w:szCs w:val="20"/>
                <w:lang w:val="en-AU" w:eastAsia="en-AU"/>
              </w:rPr>
              <w:t>83.9</w:t>
            </w:r>
          </w:p>
        </w:tc>
        <w:tc>
          <w:tcPr>
            <w:tcW w:w="769" w:type="dxa"/>
            <w:shd w:val="clear" w:color="auto" w:fill="auto"/>
            <w:noWrap/>
            <w:vAlign w:val="center"/>
            <w:hideMark/>
          </w:tcPr>
          <w:p w14:paraId="6B7CDCB8"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89.5%</w:t>
            </w:r>
          </w:p>
        </w:tc>
        <w:tc>
          <w:tcPr>
            <w:tcW w:w="769" w:type="dxa"/>
            <w:shd w:val="clear" w:color="auto" w:fill="auto"/>
            <w:noWrap/>
            <w:vAlign w:val="center"/>
            <w:hideMark/>
          </w:tcPr>
          <w:p w14:paraId="302C7814"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76.3%</w:t>
            </w:r>
          </w:p>
        </w:tc>
        <w:tc>
          <w:tcPr>
            <w:tcW w:w="769" w:type="dxa"/>
            <w:shd w:val="clear" w:color="auto" w:fill="auto"/>
            <w:noWrap/>
            <w:vAlign w:val="center"/>
            <w:hideMark/>
          </w:tcPr>
          <w:p w14:paraId="35076D36"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61.8%</w:t>
            </w:r>
          </w:p>
        </w:tc>
        <w:tc>
          <w:tcPr>
            <w:tcW w:w="769" w:type="dxa"/>
            <w:shd w:val="clear" w:color="auto" w:fill="auto"/>
            <w:noWrap/>
            <w:vAlign w:val="center"/>
            <w:hideMark/>
          </w:tcPr>
          <w:p w14:paraId="78F57134"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20.8%</w:t>
            </w:r>
          </w:p>
        </w:tc>
      </w:tr>
      <w:tr w:rsidR="008C0E2D" w:rsidRPr="007C3795" w14:paraId="67EC6033" w14:textId="77777777" w:rsidTr="002C41F0">
        <w:trPr>
          <w:trHeight w:val="283"/>
        </w:trPr>
        <w:tc>
          <w:tcPr>
            <w:tcW w:w="762" w:type="dxa"/>
            <w:shd w:val="clear" w:color="auto" w:fill="auto"/>
            <w:noWrap/>
            <w:vAlign w:val="center"/>
          </w:tcPr>
          <w:p w14:paraId="01703EAA" w14:textId="5F03CA49" w:rsidR="008C0E2D" w:rsidRPr="007C3795" w:rsidRDefault="008C0E2D" w:rsidP="0015435E">
            <w:pPr>
              <w:spacing w:after="0" w:line="240" w:lineRule="auto"/>
              <w:jc w:val="center"/>
              <w:rPr>
                <w:rFonts w:asciiTheme="minorHAnsi" w:eastAsia="Times New Roman" w:hAnsiTheme="minorHAnsi" w:cstheme="minorHAnsi"/>
                <w:b/>
                <w:bCs/>
                <w:color w:val="FFFFFF"/>
                <w:sz w:val="20"/>
                <w:szCs w:val="20"/>
                <w:lang w:val="en-AU" w:eastAsia="en-AU"/>
              </w:rPr>
            </w:pPr>
          </w:p>
        </w:tc>
        <w:tc>
          <w:tcPr>
            <w:tcW w:w="793" w:type="dxa"/>
            <w:shd w:val="clear" w:color="auto" w:fill="auto"/>
            <w:noWrap/>
            <w:vAlign w:val="center"/>
            <w:hideMark/>
          </w:tcPr>
          <w:p w14:paraId="4A20A380"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F</w:t>
            </w:r>
          </w:p>
        </w:tc>
        <w:tc>
          <w:tcPr>
            <w:tcW w:w="861" w:type="dxa"/>
            <w:shd w:val="clear" w:color="auto" w:fill="auto"/>
            <w:noWrap/>
            <w:vAlign w:val="center"/>
            <w:hideMark/>
          </w:tcPr>
          <w:p w14:paraId="612D31A0" w14:textId="77777777" w:rsidR="008C0E2D" w:rsidRPr="007C3795" w:rsidRDefault="008C0E2D" w:rsidP="0015435E">
            <w:pPr>
              <w:spacing w:after="0" w:line="240" w:lineRule="auto"/>
              <w:jc w:val="center"/>
              <w:rPr>
                <w:rFonts w:asciiTheme="minorHAnsi" w:eastAsia="Times New Roman" w:hAnsiTheme="minorHAnsi" w:cstheme="minorHAnsi"/>
                <w:color w:val="000000"/>
                <w:sz w:val="20"/>
                <w:szCs w:val="20"/>
                <w:lang w:val="en-AU" w:eastAsia="en-AU"/>
              </w:rPr>
            </w:pPr>
            <w:r w:rsidRPr="007C3795">
              <w:rPr>
                <w:rFonts w:asciiTheme="minorHAnsi" w:eastAsia="Times New Roman" w:hAnsiTheme="minorHAnsi" w:cstheme="minorHAnsi"/>
                <w:color w:val="000000"/>
                <w:sz w:val="20"/>
                <w:szCs w:val="20"/>
                <w:lang w:val="en-AU" w:eastAsia="en-AU"/>
              </w:rPr>
              <w:t>83.1</w:t>
            </w:r>
          </w:p>
        </w:tc>
        <w:tc>
          <w:tcPr>
            <w:tcW w:w="769" w:type="dxa"/>
            <w:shd w:val="clear" w:color="auto" w:fill="auto"/>
            <w:noWrap/>
            <w:vAlign w:val="center"/>
            <w:hideMark/>
          </w:tcPr>
          <w:p w14:paraId="1DD5C169"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87.5%</w:t>
            </w:r>
          </w:p>
        </w:tc>
        <w:tc>
          <w:tcPr>
            <w:tcW w:w="769" w:type="dxa"/>
            <w:shd w:val="clear" w:color="auto" w:fill="auto"/>
            <w:noWrap/>
            <w:vAlign w:val="center"/>
            <w:hideMark/>
          </w:tcPr>
          <w:p w14:paraId="2C699D68"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76.1%</w:t>
            </w:r>
          </w:p>
        </w:tc>
        <w:tc>
          <w:tcPr>
            <w:tcW w:w="769" w:type="dxa"/>
            <w:shd w:val="clear" w:color="auto" w:fill="auto"/>
            <w:noWrap/>
            <w:vAlign w:val="center"/>
            <w:hideMark/>
          </w:tcPr>
          <w:p w14:paraId="6AC86476"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59.4%</w:t>
            </w:r>
          </w:p>
        </w:tc>
        <w:tc>
          <w:tcPr>
            <w:tcW w:w="769" w:type="dxa"/>
            <w:shd w:val="clear" w:color="auto" w:fill="auto"/>
            <w:noWrap/>
            <w:vAlign w:val="center"/>
            <w:hideMark/>
          </w:tcPr>
          <w:p w14:paraId="24C30039"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17.0%</w:t>
            </w:r>
          </w:p>
        </w:tc>
      </w:tr>
      <w:tr w:rsidR="008C0E2D" w:rsidRPr="007C3795" w14:paraId="6A92531A" w14:textId="77777777" w:rsidTr="002C41F0">
        <w:trPr>
          <w:trHeight w:val="283"/>
        </w:trPr>
        <w:tc>
          <w:tcPr>
            <w:tcW w:w="762" w:type="dxa"/>
            <w:shd w:val="clear" w:color="auto" w:fill="auto"/>
            <w:noWrap/>
            <w:vAlign w:val="center"/>
          </w:tcPr>
          <w:p w14:paraId="72336808" w14:textId="2F7443E3" w:rsidR="008C0E2D" w:rsidRPr="007C3795" w:rsidRDefault="008C0E2D" w:rsidP="0015435E">
            <w:pPr>
              <w:spacing w:after="0" w:line="240" w:lineRule="auto"/>
              <w:jc w:val="center"/>
              <w:rPr>
                <w:rFonts w:asciiTheme="minorHAnsi" w:eastAsia="Times New Roman" w:hAnsiTheme="minorHAnsi" w:cstheme="minorHAnsi"/>
                <w:b/>
                <w:bCs/>
                <w:color w:val="FFFFFF"/>
                <w:sz w:val="20"/>
                <w:szCs w:val="20"/>
                <w:lang w:val="en-AU" w:eastAsia="en-AU"/>
              </w:rPr>
            </w:pPr>
          </w:p>
        </w:tc>
        <w:tc>
          <w:tcPr>
            <w:tcW w:w="793" w:type="dxa"/>
            <w:shd w:val="clear" w:color="auto" w:fill="B4C6E7" w:themeFill="accent1" w:themeFillTint="66"/>
            <w:noWrap/>
            <w:vAlign w:val="center"/>
            <w:hideMark/>
          </w:tcPr>
          <w:p w14:paraId="392ADD23" w14:textId="6C578992"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Tot</w:t>
            </w:r>
            <w:r w:rsidR="00B62321" w:rsidRPr="00B62321">
              <w:rPr>
                <w:rFonts w:asciiTheme="minorHAnsi" w:eastAsia="Times New Roman" w:hAnsiTheme="minorHAnsi" w:cstheme="minorHAnsi"/>
                <w:b/>
                <w:bCs/>
                <w:sz w:val="20"/>
                <w:szCs w:val="20"/>
                <w:lang w:val="en-AU" w:eastAsia="en-AU"/>
              </w:rPr>
              <w:t>al</w:t>
            </w:r>
          </w:p>
        </w:tc>
        <w:tc>
          <w:tcPr>
            <w:tcW w:w="861" w:type="dxa"/>
            <w:shd w:val="clear" w:color="auto" w:fill="B4C6E7" w:themeFill="accent1" w:themeFillTint="66"/>
            <w:noWrap/>
            <w:vAlign w:val="center"/>
            <w:hideMark/>
          </w:tcPr>
          <w:p w14:paraId="3C7266A6" w14:textId="77777777"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83.5%</w:t>
            </w:r>
          </w:p>
        </w:tc>
        <w:tc>
          <w:tcPr>
            <w:tcW w:w="769" w:type="dxa"/>
            <w:shd w:val="clear" w:color="auto" w:fill="B4C6E7" w:themeFill="accent1" w:themeFillTint="66"/>
            <w:noWrap/>
            <w:vAlign w:val="center"/>
            <w:hideMark/>
          </w:tcPr>
          <w:p w14:paraId="0BD8CD78" w14:textId="77777777"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88.5%</w:t>
            </w:r>
          </w:p>
        </w:tc>
        <w:tc>
          <w:tcPr>
            <w:tcW w:w="769" w:type="dxa"/>
            <w:shd w:val="clear" w:color="auto" w:fill="B4C6E7" w:themeFill="accent1" w:themeFillTint="66"/>
            <w:noWrap/>
            <w:vAlign w:val="center"/>
            <w:hideMark/>
          </w:tcPr>
          <w:p w14:paraId="174F1BEF" w14:textId="77777777"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76.2%</w:t>
            </w:r>
          </w:p>
        </w:tc>
        <w:tc>
          <w:tcPr>
            <w:tcW w:w="769" w:type="dxa"/>
            <w:shd w:val="clear" w:color="auto" w:fill="B4C6E7" w:themeFill="accent1" w:themeFillTint="66"/>
            <w:noWrap/>
            <w:vAlign w:val="center"/>
            <w:hideMark/>
          </w:tcPr>
          <w:p w14:paraId="50EF6129" w14:textId="77777777"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60.7%</w:t>
            </w:r>
          </w:p>
        </w:tc>
        <w:tc>
          <w:tcPr>
            <w:tcW w:w="769" w:type="dxa"/>
            <w:shd w:val="clear" w:color="auto" w:fill="B4C6E7" w:themeFill="accent1" w:themeFillTint="66"/>
            <w:noWrap/>
            <w:vAlign w:val="center"/>
            <w:hideMark/>
          </w:tcPr>
          <w:p w14:paraId="0A6F4AB9" w14:textId="77777777"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19.0%</w:t>
            </w:r>
          </w:p>
        </w:tc>
      </w:tr>
      <w:tr w:rsidR="008C0E2D" w:rsidRPr="007C3795" w14:paraId="0FB1DE8F" w14:textId="77777777" w:rsidTr="008C0E2D">
        <w:trPr>
          <w:trHeight w:val="283"/>
        </w:trPr>
        <w:tc>
          <w:tcPr>
            <w:tcW w:w="762" w:type="dxa"/>
            <w:shd w:val="clear" w:color="auto" w:fill="auto"/>
            <w:noWrap/>
            <w:vAlign w:val="center"/>
            <w:hideMark/>
          </w:tcPr>
          <w:p w14:paraId="0A8AF99F" w14:textId="77777777" w:rsidR="008C0E2D" w:rsidRPr="007C3795" w:rsidRDefault="008C0E2D" w:rsidP="0015435E">
            <w:pPr>
              <w:spacing w:after="0" w:line="240" w:lineRule="auto"/>
              <w:jc w:val="center"/>
              <w:rPr>
                <w:rFonts w:asciiTheme="minorHAnsi" w:eastAsia="Times New Roman" w:hAnsiTheme="minorHAnsi" w:cstheme="minorHAnsi"/>
                <w:b/>
                <w:bCs/>
                <w:color w:val="666699"/>
                <w:sz w:val="20"/>
                <w:szCs w:val="20"/>
                <w:lang w:val="en-AU" w:eastAsia="en-AU"/>
              </w:rPr>
            </w:pPr>
            <w:r w:rsidRPr="007C3795">
              <w:rPr>
                <w:rFonts w:asciiTheme="minorHAnsi" w:eastAsia="Times New Roman" w:hAnsiTheme="minorHAnsi" w:cstheme="minorHAnsi"/>
                <w:b/>
                <w:bCs/>
                <w:color w:val="666699"/>
                <w:sz w:val="20"/>
                <w:szCs w:val="20"/>
                <w:lang w:val="en-AU" w:eastAsia="en-AU"/>
              </w:rPr>
              <w:t>2017</w:t>
            </w:r>
          </w:p>
        </w:tc>
        <w:tc>
          <w:tcPr>
            <w:tcW w:w="793" w:type="dxa"/>
            <w:shd w:val="clear" w:color="auto" w:fill="auto"/>
            <w:noWrap/>
            <w:vAlign w:val="center"/>
            <w:hideMark/>
          </w:tcPr>
          <w:p w14:paraId="1096EED4"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M</w:t>
            </w:r>
          </w:p>
        </w:tc>
        <w:tc>
          <w:tcPr>
            <w:tcW w:w="861" w:type="dxa"/>
            <w:shd w:val="clear" w:color="auto" w:fill="auto"/>
            <w:noWrap/>
            <w:vAlign w:val="center"/>
            <w:hideMark/>
          </w:tcPr>
          <w:p w14:paraId="0954F8FC"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86.4%</w:t>
            </w:r>
          </w:p>
        </w:tc>
        <w:tc>
          <w:tcPr>
            <w:tcW w:w="769" w:type="dxa"/>
            <w:shd w:val="clear" w:color="auto" w:fill="auto"/>
            <w:noWrap/>
            <w:vAlign w:val="center"/>
            <w:hideMark/>
          </w:tcPr>
          <w:p w14:paraId="1BE09758"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88.1%</w:t>
            </w:r>
          </w:p>
        </w:tc>
        <w:tc>
          <w:tcPr>
            <w:tcW w:w="769" w:type="dxa"/>
            <w:shd w:val="clear" w:color="auto" w:fill="auto"/>
            <w:noWrap/>
            <w:vAlign w:val="center"/>
            <w:hideMark/>
          </w:tcPr>
          <w:p w14:paraId="121ABC80"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78.1%</w:t>
            </w:r>
          </w:p>
        </w:tc>
        <w:tc>
          <w:tcPr>
            <w:tcW w:w="769" w:type="dxa"/>
            <w:shd w:val="clear" w:color="auto" w:fill="auto"/>
            <w:noWrap/>
            <w:vAlign w:val="center"/>
            <w:hideMark/>
          </w:tcPr>
          <w:p w14:paraId="26BE3073"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59.4%</w:t>
            </w:r>
          </w:p>
        </w:tc>
        <w:tc>
          <w:tcPr>
            <w:tcW w:w="769" w:type="dxa"/>
            <w:shd w:val="clear" w:color="auto" w:fill="auto"/>
            <w:noWrap/>
            <w:vAlign w:val="center"/>
            <w:hideMark/>
          </w:tcPr>
          <w:p w14:paraId="69557D39"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21.8%</w:t>
            </w:r>
          </w:p>
        </w:tc>
      </w:tr>
      <w:tr w:rsidR="008C0E2D" w:rsidRPr="007C3795" w14:paraId="4B38D7BF" w14:textId="77777777" w:rsidTr="002C41F0">
        <w:trPr>
          <w:trHeight w:val="283"/>
        </w:trPr>
        <w:tc>
          <w:tcPr>
            <w:tcW w:w="762" w:type="dxa"/>
            <w:shd w:val="clear" w:color="auto" w:fill="auto"/>
            <w:noWrap/>
            <w:vAlign w:val="center"/>
          </w:tcPr>
          <w:p w14:paraId="35B3C82D" w14:textId="1A5D2E7D" w:rsidR="008C0E2D" w:rsidRPr="007C3795" w:rsidRDefault="008C0E2D" w:rsidP="0015435E">
            <w:pPr>
              <w:spacing w:after="0" w:line="240" w:lineRule="auto"/>
              <w:jc w:val="center"/>
              <w:rPr>
                <w:rFonts w:asciiTheme="minorHAnsi" w:eastAsia="Times New Roman" w:hAnsiTheme="minorHAnsi" w:cstheme="minorHAnsi"/>
                <w:b/>
                <w:bCs/>
                <w:color w:val="FFFFFF"/>
                <w:sz w:val="20"/>
                <w:szCs w:val="20"/>
                <w:lang w:val="en-AU" w:eastAsia="en-AU"/>
              </w:rPr>
            </w:pPr>
          </w:p>
        </w:tc>
        <w:tc>
          <w:tcPr>
            <w:tcW w:w="793" w:type="dxa"/>
            <w:shd w:val="clear" w:color="auto" w:fill="auto"/>
            <w:noWrap/>
            <w:vAlign w:val="center"/>
            <w:hideMark/>
          </w:tcPr>
          <w:p w14:paraId="4D1330FA"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F</w:t>
            </w:r>
          </w:p>
        </w:tc>
        <w:tc>
          <w:tcPr>
            <w:tcW w:w="861" w:type="dxa"/>
            <w:shd w:val="clear" w:color="auto" w:fill="auto"/>
            <w:noWrap/>
            <w:vAlign w:val="center"/>
            <w:hideMark/>
          </w:tcPr>
          <w:p w14:paraId="744ABD5C"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86.1%</w:t>
            </w:r>
          </w:p>
        </w:tc>
        <w:tc>
          <w:tcPr>
            <w:tcW w:w="769" w:type="dxa"/>
            <w:shd w:val="clear" w:color="auto" w:fill="auto"/>
            <w:noWrap/>
            <w:vAlign w:val="center"/>
            <w:hideMark/>
          </w:tcPr>
          <w:p w14:paraId="724F6AC1"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90.2%</w:t>
            </w:r>
          </w:p>
        </w:tc>
        <w:tc>
          <w:tcPr>
            <w:tcW w:w="769" w:type="dxa"/>
            <w:shd w:val="clear" w:color="auto" w:fill="auto"/>
            <w:noWrap/>
            <w:vAlign w:val="center"/>
            <w:hideMark/>
          </w:tcPr>
          <w:p w14:paraId="6BBF6386"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76.5%</w:t>
            </w:r>
          </w:p>
        </w:tc>
        <w:tc>
          <w:tcPr>
            <w:tcW w:w="769" w:type="dxa"/>
            <w:shd w:val="clear" w:color="auto" w:fill="auto"/>
            <w:noWrap/>
            <w:vAlign w:val="center"/>
            <w:hideMark/>
          </w:tcPr>
          <w:p w14:paraId="2859FDCC"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57.0%</w:t>
            </w:r>
          </w:p>
        </w:tc>
        <w:tc>
          <w:tcPr>
            <w:tcW w:w="769" w:type="dxa"/>
            <w:shd w:val="clear" w:color="auto" w:fill="auto"/>
            <w:noWrap/>
            <w:vAlign w:val="center"/>
            <w:hideMark/>
          </w:tcPr>
          <w:p w14:paraId="1F6A472A"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15.5%</w:t>
            </w:r>
          </w:p>
        </w:tc>
      </w:tr>
      <w:tr w:rsidR="008C0E2D" w:rsidRPr="007C3795" w14:paraId="4779699D" w14:textId="77777777" w:rsidTr="002C41F0">
        <w:trPr>
          <w:trHeight w:val="283"/>
        </w:trPr>
        <w:tc>
          <w:tcPr>
            <w:tcW w:w="762" w:type="dxa"/>
            <w:shd w:val="clear" w:color="auto" w:fill="auto"/>
            <w:noWrap/>
            <w:vAlign w:val="center"/>
          </w:tcPr>
          <w:p w14:paraId="5EB98AC9" w14:textId="03CD2EC8" w:rsidR="008C0E2D" w:rsidRPr="007C3795" w:rsidRDefault="008C0E2D" w:rsidP="0015435E">
            <w:pPr>
              <w:spacing w:after="0" w:line="240" w:lineRule="auto"/>
              <w:jc w:val="center"/>
              <w:rPr>
                <w:rFonts w:asciiTheme="minorHAnsi" w:eastAsia="Times New Roman" w:hAnsiTheme="minorHAnsi" w:cstheme="minorHAnsi"/>
                <w:b/>
                <w:bCs/>
                <w:color w:val="FFFFFF"/>
                <w:sz w:val="20"/>
                <w:szCs w:val="20"/>
                <w:lang w:val="en-AU" w:eastAsia="en-AU"/>
              </w:rPr>
            </w:pPr>
          </w:p>
        </w:tc>
        <w:tc>
          <w:tcPr>
            <w:tcW w:w="793" w:type="dxa"/>
            <w:shd w:val="clear" w:color="auto" w:fill="B4C6E7" w:themeFill="accent1" w:themeFillTint="66"/>
            <w:noWrap/>
            <w:vAlign w:val="center"/>
            <w:hideMark/>
          </w:tcPr>
          <w:p w14:paraId="0F0E170A" w14:textId="110945A4"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Tot</w:t>
            </w:r>
            <w:r w:rsidR="00B62321">
              <w:rPr>
                <w:rFonts w:asciiTheme="minorHAnsi" w:eastAsia="Times New Roman" w:hAnsiTheme="minorHAnsi" w:cstheme="minorHAnsi"/>
                <w:b/>
                <w:bCs/>
                <w:sz w:val="20"/>
                <w:szCs w:val="20"/>
                <w:lang w:val="en-AU" w:eastAsia="en-AU"/>
              </w:rPr>
              <w:t>al</w:t>
            </w:r>
          </w:p>
        </w:tc>
        <w:tc>
          <w:tcPr>
            <w:tcW w:w="861" w:type="dxa"/>
            <w:shd w:val="clear" w:color="auto" w:fill="B4C6E7" w:themeFill="accent1" w:themeFillTint="66"/>
            <w:noWrap/>
            <w:vAlign w:val="center"/>
            <w:hideMark/>
          </w:tcPr>
          <w:p w14:paraId="2A96A231" w14:textId="77777777"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86.2%</w:t>
            </w:r>
          </w:p>
        </w:tc>
        <w:tc>
          <w:tcPr>
            <w:tcW w:w="769" w:type="dxa"/>
            <w:shd w:val="clear" w:color="auto" w:fill="B4C6E7" w:themeFill="accent1" w:themeFillTint="66"/>
            <w:noWrap/>
            <w:vAlign w:val="center"/>
            <w:hideMark/>
          </w:tcPr>
          <w:p w14:paraId="6FD8F72F" w14:textId="77777777"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89.1%</w:t>
            </w:r>
          </w:p>
        </w:tc>
        <w:tc>
          <w:tcPr>
            <w:tcW w:w="769" w:type="dxa"/>
            <w:shd w:val="clear" w:color="auto" w:fill="B4C6E7" w:themeFill="accent1" w:themeFillTint="66"/>
            <w:noWrap/>
            <w:vAlign w:val="center"/>
            <w:hideMark/>
          </w:tcPr>
          <w:p w14:paraId="718FA78E" w14:textId="77777777"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77.3%</w:t>
            </w:r>
          </w:p>
        </w:tc>
        <w:tc>
          <w:tcPr>
            <w:tcW w:w="769" w:type="dxa"/>
            <w:shd w:val="clear" w:color="auto" w:fill="B4C6E7" w:themeFill="accent1" w:themeFillTint="66"/>
            <w:noWrap/>
            <w:vAlign w:val="center"/>
            <w:hideMark/>
          </w:tcPr>
          <w:p w14:paraId="2F1BD891" w14:textId="77777777"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58.3%</w:t>
            </w:r>
          </w:p>
        </w:tc>
        <w:tc>
          <w:tcPr>
            <w:tcW w:w="769" w:type="dxa"/>
            <w:shd w:val="clear" w:color="auto" w:fill="B4C6E7" w:themeFill="accent1" w:themeFillTint="66"/>
            <w:noWrap/>
            <w:vAlign w:val="center"/>
            <w:hideMark/>
          </w:tcPr>
          <w:p w14:paraId="5A4FEE64" w14:textId="77777777"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18.0%</w:t>
            </w:r>
          </w:p>
        </w:tc>
      </w:tr>
      <w:tr w:rsidR="008C0E2D" w:rsidRPr="007C3795" w14:paraId="56CB7154" w14:textId="77777777" w:rsidTr="008C0E2D">
        <w:trPr>
          <w:trHeight w:val="283"/>
        </w:trPr>
        <w:tc>
          <w:tcPr>
            <w:tcW w:w="762" w:type="dxa"/>
            <w:shd w:val="clear" w:color="auto" w:fill="auto"/>
            <w:noWrap/>
            <w:vAlign w:val="center"/>
            <w:hideMark/>
          </w:tcPr>
          <w:p w14:paraId="17D58C78" w14:textId="77777777" w:rsidR="008C0E2D" w:rsidRPr="007C3795" w:rsidRDefault="008C0E2D" w:rsidP="0015435E">
            <w:pPr>
              <w:spacing w:after="0" w:line="240" w:lineRule="auto"/>
              <w:jc w:val="center"/>
              <w:rPr>
                <w:rFonts w:asciiTheme="minorHAnsi" w:eastAsia="Times New Roman" w:hAnsiTheme="minorHAnsi" w:cstheme="minorHAnsi"/>
                <w:b/>
                <w:bCs/>
                <w:color w:val="666699"/>
                <w:sz w:val="20"/>
                <w:szCs w:val="20"/>
                <w:lang w:val="en-AU" w:eastAsia="en-AU"/>
              </w:rPr>
            </w:pPr>
            <w:r w:rsidRPr="007C3795">
              <w:rPr>
                <w:rFonts w:asciiTheme="minorHAnsi" w:eastAsia="Times New Roman" w:hAnsiTheme="minorHAnsi" w:cstheme="minorHAnsi"/>
                <w:b/>
                <w:bCs/>
                <w:color w:val="666699"/>
                <w:sz w:val="20"/>
                <w:szCs w:val="20"/>
                <w:lang w:val="en-AU" w:eastAsia="en-AU"/>
              </w:rPr>
              <w:t>2016</w:t>
            </w:r>
          </w:p>
        </w:tc>
        <w:tc>
          <w:tcPr>
            <w:tcW w:w="793" w:type="dxa"/>
            <w:shd w:val="clear" w:color="auto" w:fill="auto"/>
            <w:noWrap/>
            <w:vAlign w:val="center"/>
            <w:hideMark/>
          </w:tcPr>
          <w:p w14:paraId="767AA8AA"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M</w:t>
            </w:r>
          </w:p>
        </w:tc>
        <w:tc>
          <w:tcPr>
            <w:tcW w:w="861" w:type="dxa"/>
            <w:shd w:val="clear" w:color="auto" w:fill="auto"/>
            <w:noWrap/>
            <w:vAlign w:val="center"/>
            <w:hideMark/>
          </w:tcPr>
          <w:p w14:paraId="5AA57020"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90.0%</w:t>
            </w:r>
          </w:p>
        </w:tc>
        <w:tc>
          <w:tcPr>
            <w:tcW w:w="769" w:type="dxa"/>
            <w:shd w:val="clear" w:color="auto" w:fill="auto"/>
            <w:noWrap/>
            <w:vAlign w:val="center"/>
            <w:hideMark/>
          </w:tcPr>
          <w:p w14:paraId="17CB6AE5"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88.9%</w:t>
            </w:r>
          </w:p>
        </w:tc>
        <w:tc>
          <w:tcPr>
            <w:tcW w:w="769" w:type="dxa"/>
            <w:shd w:val="clear" w:color="auto" w:fill="auto"/>
            <w:noWrap/>
            <w:vAlign w:val="center"/>
            <w:hideMark/>
          </w:tcPr>
          <w:p w14:paraId="71D0A2EA"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77.9%</w:t>
            </w:r>
          </w:p>
        </w:tc>
        <w:tc>
          <w:tcPr>
            <w:tcW w:w="769" w:type="dxa"/>
            <w:shd w:val="clear" w:color="auto" w:fill="auto"/>
            <w:noWrap/>
            <w:vAlign w:val="center"/>
            <w:hideMark/>
          </w:tcPr>
          <w:p w14:paraId="6C06CF09"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59.1%</w:t>
            </w:r>
          </w:p>
        </w:tc>
        <w:tc>
          <w:tcPr>
            <w:tcW w:w="769" w:type="dxa"/>
            <w:shd w:val="clear" w:color="auto" w:fill="auto"/>
            <w:noWrap/>
            <w:vAlign w:val="center"/>
            <w:hideMark/>
          </w:tcPr>
          <w:p w14:paraId="5C4178FD"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22.7%</w:t>
            </w:r>
          </w:p>
        </w:tc>
      </w:tr>
      <w:tr w:rsidR="008C0E2D" w:rsidRPr="007C3795" w14:paraId="279BFDF4" w14:textId="77777777" w:rsidTr="002C41F0">
        <w:trPr>
          <w:trHeight w:val="283"/>
        </w:trPr>
        <w:tc>
          <w:tcPr>
            <w:tcW w:w="762" w:type="dxa"/>
            <w:shd w:val="clear" w:color="auto" w:fill="auto"/>
            <w:noWrap/>
            <w:vAlign w:val="center"/>
          </w:tcPr>
          <w:p w14:paraId="55C7812D" w14:textId="71885910" w:rsidR="008C0E2D" w:rsidRPr="007C3795" w:rsidRDefault="008C0E2D" w:rsidP="0015435E">
            <w:pPr>
              <w:spacing w:after="0" w:line="240" w:lineRule="auto"/>
              <w:jc w:val="center"/>
              <w:rPr>
                <w:rFonts w:asciiTheme="minorHAnsi" w:eastAsia="Times New Roman" w:hAnsiTheme="minorHAnsi" w:cstheme="minorHAnsi"/>
                <w:b/>
                <w:bCs/>
                <w:color w:val="FFFFFF"/>
                <w:sz w:val="20"/>
                <w:szCs w:val="20"/>
                <w:lang w:val="en-AU" w:eastAsia="en-AU"/>
              </w:rPr>
            </w:pPr>
          </w:p>
        </w:tc>
        <w:tc>
          <w:tcPr>
            <w:tcW w:w="793" w:type="dxa"/>
            <w:shd w:val="clear" w:color="auto" w:fill="auto"/>
            <w:noWrap/>
            <w:vAlign w:val="center"/>
            <w:hideMark/>
          </w:tcPr>
          <w:p w14:paraId="61B37722"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F</w:t>
            </w:r>
          </w:p>
        </w:tc>
        <w:tc>
          <w:tcPr>
            <w:tcW w:w="861" w:type="dxa"/>
            <w:shd w:val="clear" w:color="auto" w:fill="auto"/>
            <w:noWrap/>
            <w:vAlign w:val="center"/>
            <w:hideMark/>
          </w:tcPr>
          <w:p w14:paraId="3CEE40BF"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90.1%</w:t>
            </w:r>
          </w:p>
        </w:tc>
        <w:tc>
          <w:tcPr>
            <w:tcW w:w="769" w:type="dxa"/>
            <w:shd w:val="clear" w:color="auto" w:fill="auto"/>
            <w:noWrap/>
            <w:vAlign w:val="center"/>
            <w:hideMark/>
          </w:tcPr>
          <w:p w14:paraId="1B36C0B9"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93.2%</w:t>
            </w:r>
          </w:p>
        </w:tc>
        <w:tc>
          <w:tcPr>
            <w:tcW w:w="769" w:type="dxa"/>
            <w:shd w:val="clear" w:color="auto" w:fill="auto"/>
            <w:noWrap/>
            <w:vAlign w:val="center"/>
            <w:hideMark/>
          </w:tcPr>
          <w:p w14:paraId="1E8C2AD0"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78.4%</w:t>
            </w:r>
          </w:p>
        </w:tc>
        <w:tc>
          <w:tcPr>
            <w:tcW w:w="769" w:type="dxa"/>
            <w:shd w:val="clear" w:color="auto" w:fill="auto"/>
            <w:noWrap/>
            <w:vAlign w:val="center"/>
            <w:hideMark/>
          </w:tcPr>
          <w:p w14:paraId="02532A7C"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61.0%</w:t>
            </w:r>
          </w:p>
        </w:tc>
        <w:tc>
          <w:tcPr>
            <w:tcW w:w="769" w:type="dxa"/>
            <w:shd w:val="clear" w:color="auto" w:fill="auto"/>
            <w:noWrap/>
            <w:vAlign w:val="center"/>
            <w:hideMark/>
          </w:tcPr>
          <w:p w14:paraId="4B917E02" w14:textId="77777777" w:rsidR="008C0E2D" w:rsidRPr="007C3795" w:rsidRDefault="008C0E2D" w:rsidP="0015435E">
            <w:pPr>
              <w:spacing w:after="0" w:line="240" w:lineRule="auto"/>
              <w:jc w:val="center"/>
              <w:rPr>
                <w:rFonts w:asciiTheme="minorHAnsi" w:eastAsia="Times New Roman" w:hAnsiTheme="minorHAnsi" w:cstheme="minorHAnsi"/>
                <w:sz w:val="20"/>
                <w:szCs w:val="20"/>
                <w:lang w:val="en-AU" w:eastAsia="en-AU"/>
              </w:rPr>
            </w:pPr>
            <w:r w:rsidRPr="007C3795">
              <w:rPr>
                <w:rFonts w:asciiTheme="minorHAnsi" w:eastAsia="Times New Roman" w:hAnsiTheme="minorHAnsi" w:cstheme="minorHAnsi"/>
                <w:sz w:val="20"/>
                <w:szCs w:val="20"/>
                <w:lang w:val="en-AU" w:eastAsia="en-AU"/>
              </w:rPr>
              <w:t>17.3%</w:t>
            </w:r>
          </w:p>
        </w:tc>
      </w:tr>
      <w:tr w:rsidR="008C0E2D" w:rsidRPr="007C3795" w14:paraId="52B32482" w14:textId="77777777" w:rsidTr="002C41F0">
        <w:trPr>
          <w:trHeight w:val="283"/>
        </w:trPr>
        <w:tc>
          <w:tcPr>
            <w:tcW w:w="762" w:type="dxa"/>
            <w:shd w:val="clear" w:color="auto" w:fill="auto"/>
            <w:noWrap/>
            <w:vAlign w:val="center"/>
          </w:tcPr>
          <w:p w14:paraId="266A4159" w14:textId="16CDB3AD" w:rsidR="008C0E2D" w:rsidRPr="007C3795" w:rsidRDefault="008C0E2D" w:rsidP="0015435E">
            <w:pPr>
              <w:spacing w:after="0" w:line="240" w:lineRule="auto"/>
              <w:jc w:val="center"/>
              <w:rPr>
                <w:rFonts w:asciiTheme="minorHAnsi" w:eastAsia="Times New Roman" w:hAnsiTheme="minorHAnsi" w:cstheme="minorHAnsi"/>
                <w:b/>
                <w:bCs/>
                <w:color w:val="FFFFFF"/>
                <w:sz w:val="20"/>
                <w:szCs w:val="20"/>
                <w:lang w:val="en-AU" w:eastAsia="en-AU"/>
              </w:rPr>
            </w:pPr>
          </w:p>
        </w:tc>
        <w:tc>
          <w:tcPr>
            <w:tcW w:w="793" w:type="dxa"/>
            <w:shd w:val="clear" w:color="auto" w:fill="B4C6E7" w:themeFill="accent1" w:themeFillTint="66"/>
            <w:noWrap/>
            <w:vAlign w:val="center"/>
            <w:hideMark/>
          </w:tcPr>
          <w:p w14:paraId="5559C6A7" w14:textId="0B695150"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Tot</w:t>
            </w:r>
            <w:r w:rsidR="00B62321" w:rsidRPr="00B62321">
              <w:rPr>
                <w:rFonts w:asciiTheme="minorHAnsi" w:eastAsia="Times New Roman" w:hAnsiTheme="minorHAnsi" w:cstheme="minorHAnsi"/>
                <w:b/>
                <w:bCs/>
                <w:sz w:val="20"/>
                <w:szCs w:val="20"/>
                <w:lang w:val="en-AU" w:eastAsia="en-AU"/>
              </w:rPr>
              <w:t>al</w:t>
            </w:r>
          </w:p>
        </w:tc>
        <w:tc>
          <w:tcPr>
            <w:tcW w:w="861" w:type="dxa"/>
            <w:shd w:val="clear" w:color="auto" w:fill="B4C6E7" w:themeFill="accent1" w:themeFillTint="66"/>
            <w:noWrap/>
            <w:vAlign w:val="center"/>
            <w:hideMark/>
          </w:tcPr>
          <w:p w14:paraId="7026CDE8" w14:textId="77777777"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90.1%</w:t>
            </w:r>
          </w:p>
        </w:tc>
        <w:tc>
          <w:tcPr>
            <w:tcW w:w="769" w:type="dxa"/>
            <w:shd w:val="clear" w:color="auto" w:fill="B4C6E7" w:themeFill="accent1" w:themeFillTint="66"/>
            <w:noWrap/>
            <w:vAlign w:val="center"/>
            <w:hideMark/>
          </w:tcPr>
          <w:p w14:paraId="1BB623F0" w14:textId="77777777"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91.1%</w:t>
            </w:r>
          </w:p>
        </w:tc>
        <w:tc>
          <w:tcPr>
            <w:tcW w:w="769" w:type="dxa"/>
            <w:shd w:val="clear" w:color="auto" w:fill="B4C6E7" w:themeFill="accent1" w:themeFillTint="66"/>
            <w:noWrap/>
            <w:vAlign w:val="center"/>
            <w:hideMark/>
          </w:tcPr>
          <w:p w14:paraId="358D5BF8" w14:textId="77777777"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78.2%</w:t>
            </w:r>
          </w:p>
        </w:tc>
        <w:tc>
          <w:tcPr>
            <w:tcW w:w="769" w:type="dxa"/>
            <w:shd w:val="clear" w:color="auto" w:fill="B4C6E7" w:themeFill="accent1" w:themeFillTint="66"/>
            <w:noWrap/>
            <w:vAlign w:val="center"/>
            <w:hideMark/>
          </w:tcPr>
          <w:p w14:paraId="0B0E1243" w14:textId="77777777"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60.0%</w:t>
            </w:r>
          </w:p>
        </w:tc>
        <w:tc>
          <w:tcPr>
            <w:tcW w:w="769" w:type="dxa"/>
            <w:shd w:val="clear" w:color="auto" w:fill="B4C6E7" w:themeFill="accent1" w:themeFillTint="66"/>
            <w:noWrap/>
            <w:vAlign w:val="center"/>
            <w:hideMark/>
          </w:tcPr>
          <w:p w14:paraId="35DF4DA9" w14:textId="77777777" w:rsidR="008C0E2D" w:rsidRPr="00B62321" w:rsidRDefault="008C0E2D" w:rsidP="0015435E">
            <w:pPr>
              <w:spacing w:after="0" w:line="240" w:lineRule="auto"/>
              <w:jc w:val="center"/>
              <w:rPr>
                <w:rFonts w:asciiTheme="minorHAnsi" w:eastAsia="Times New Roman" w:hAnsiTheme="minorHAnsi" w:cstheme="minorHAnsi"/>
                <w:b/>
                <w:bCs/>
                <w:sz w:val="20"/>
                <w:szCs w:val="20"/>
                <w:lang w:val="en-AU" w:eastAsia="en-AU"/>
              </w:rPr>
            </w:pPr>
            <w:r w:rsidRPr="00B62321">
              <w:rPr>
                <w:rFonts w:asciiTheme="minorHAnsi" w:eastAsia="Times New Roman" w:hAnsiTheme="minorHAnsi" w:cstheme="minorHAnsi"/>
                <w:b/>
                <w:bCs/>
                <w:sz w:val="20"/>
                <w:szCs w:val="20"/>
                <w:lang w:val="en-AU" w:eastAsia="en-AU"/>
              </w:rPr>
              <w:t>20.2%</w:t>
            </w:r>
          </w:p>
        </w:tc>
      </w:tr>
    </w:tbl>
    <w:p w14:paraId="0517E289" w14:textId="77777777" w:rsidR="008C0E2D" w:rsidRDefault="008C0E2D" w:rsidP="00583E19">
      <w:pPr>
        <w:pStyle w:val="Bodytext11"/>
        <w:rPr>
          <w:rFonts w:cstheme="minorHAnsi"/>
          <w:lang w:val="en-AU"/>
        </w:rPr>
      </w:pPr>
    </w:p>
    <w:p w14:paraId="4C863FAA" w14:textId="3ECFC6CF" w:rsidR="00191B36" w:rsidRPr="00413324" w:rsidRDefault="00191B36" w:rsidP="00413324">
      <w:pPr>
        <w:pStyle w:val="Heading2"/>
        <w:numPr>
          <w:ilvl w:val="0"/>
          <w:numId w:val="19"/>
        </w:numPr>
        <w:shd w:val="clear" w:color="auto" w:fill="B4C6E7" w:themeFill="accent1" w:themeFillTint="66"/>
        <w:ind w:hanging="720"/>
        <w:rPr>
          <w:rFonts w:asciiTheme="minorHAnsi" w:hAnsiTheme="minorHAnsi" w:cstheme="minorHAnsi"/>
          <w:b/>
          <w:bCs/>
          <w:color w:val="1F4E79" w:themeColor="accent5" w:themeShade="80"/>
          <w:sz w:val="24"/>
          <w:szCs w:val="24"/>
        </w:rPr>
      </w:pPr>
      <w:bookmarkStart w:id="15" w:name="_Toc49858089"/>
      <w:r w:rsidRPr="00413324">
        <w:rPr>
          <w:rFonts w:asciiTheme="minorHAnsi" w:hAnsiTheme="minorHAnsi" w:cstheme="minorHAnsi"/>
          <w:b/>
          <w:bCs/>
          <w:color w:val="1F4E79" w:themeColor="accent5" w:themeShade="80"/>
          <w:sz w:val="24"/>
          <w:szCs w:val="24"/>
        </w:rPr>
        <w:t>Access Indicator Assessment</w:t>
      </w:r>
      <w:bookmarkEnd w:id="15"/>
    </w:p>
    <w:p w14:paraId="730DD097" w14:textId="6BAE0841" w:rsidR="00191B36" w:rsidRDefault="003973F8" w:rsidP="0015435E">
      <w:pPr>
        <w:pStyle w:val="Bodytext11"/>
        <w:spacing w:after="0"/>
        <w:rPr>
          <w:rFonts w:cstheme="minorHAnsi"/>
          <w:b/>
          <w:i/>
          <w:iCs/>
          <w:lang w:val="en-AU"/>
        </w:rPr>
      </w:pPr>
      <w:r w:rsidRPr="00D6537D">
        <w:rPr>
          <w:rFonts w:cstheme="minorHAnsi"/>
          <w:b/>
          <w:i/>
          <w:iCs/>
          <w:lang w:val="en-AU"/>
        </w:rPr>
        <w:t xml:space="preserve">1.1.1 By the end of 2019, the Solomon Islands Secondary Entrance Exam (SISEE) is terminated, and a plan to cater for increased Year 7 enrolments as of 2020 </w:t>
      </w:r>
      <w:r w:rsidR="002245F8">
        <w:rPr>
          <w:rFonts w:cstheme="minorHAnsi"/>
          <w:b/>
          <w:i/>
          <w:iCs/>
          <w:lang w:val="en-AU"/>
        </w:rPr>
        <w:t>is</w:t>
      </w:r>
      <w:r w:rsidRPr="00D6537D">
        <w:rPr>
          <w:rFonts w:cstheme="minorHAnsi"/>
          <w:b/>
          <w:i/>
          <w:iCs/>
          <w:lang w:val="en-AU"/>
        </w:rPr>
        <w:t xml:space="preserve"> developed, approved by </w:t>
      </w:r>
      <w:proofErr w:type="gramStart"/>
      <w:r w:rsidRPr="00D6537D">
        <w:rPr>
          <w:rFonts w:cstheme="minorHAnsi"/>
          <w:b/>
          <w:i/>
          <w:iCs/>
          <w:lang w:val="en-AU"/>
        </w:rPr>
        <w:t>SMT</w:t>
      </w:r>
      <w:proofErr w:type="gramEnd"/>
      <w:r w:rsidRPr="00D6537D">
        <w:rPr>
          <w:rFonts w:cstheme="minorHAnsi"/>
          <w:b/>
          <w:i/>
          <w:iCs/>
          <w:lang w:val="en-AU"/>
        </w:rPr>
        <w:t xml:space="preserve"> and socialised with EAs.</w:t>
      </w:r>
    </w:p>
    <w:p w14:paraId="10E8580D" w14:textId="77777777" w:rsidR="00F35801" w:rsidRDefault="00F35801" w:rsidP="0015435E">
      <w:pPr>
        <w:pStyle w:val="Bodytext11"/>
        <w:spacing w:after="0"/>
        <w:rPr>
          <w:rFonts w:cstheme="minorHAnsi"/>
          <w:b/>
          <w:i/>
          <w:iCs/>
          <w:lang w:val="en-AU"/>
        </w:rPr>
      </w:pPr>
    </w:p>
    <w:tbl>
      <w:tblPr>
        <w:tblW w:w="7461" w:type="dxa"/>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85"/>
        <w:gridCol w:w="2476"/>
      </w:tblGrid>
      <w:tr w:rsidR="00C76A86" w:rsidRPr="00CE1F20" w14:paraId="0CA03001" w14:textId="77777777" w:rsidTr="00C26E6E">
        <w:trPr>
          <w:trHeight w:val="358"/>
        </w:trPr>
        <w:tc>
          <w:tcPr>
            <w:tcW w:w="4985" w:type="dxa"/>
            <w:tcBorders>
              <w:top w:val="single" w:sz="12" w:space="0" w:color="auto"/>
              <w:bottom w:val="single" w:sz="12" w:space="0" w:color="auto"/>
            </w:tcBorders>
            <w:shd w:val="clear" w:color="000000" w:fill="B4C6E7"/>
            <w:vAlign w:val="center"/>
            <w:hideMark/>
          </w:tcPr>
          <w:p w14:paraId="7F6F9455" w14:textId="77777777" w:rsidR="00C76A86" w:rsidRPr="00CE1F20" w:rsidRDefault="00C76A86" w:rsidP="0015435E">
            <w:pPr>
              <w:spacing w:after="0" w:line="240" w:lineRule="auto"/>
              <w:jc w:val="center"/>
              <w:rPr>
                <w:rFonts w:asciiTheme="minorHAnsi" w:eastAsia="Times New Roman" w:hAnsiTheme="minorHAnsi" w:cstheme="minorHAnsi"/>
                <w:b/>
                <w:bCs/>
                <w:sz w:val="18"/>
                <w:szCs w:val="18"/>
                <w:lang w:val="en-AU" w:eastAsia="en-AU"/>
              </w:rPr>
            </w:pPr>
            <w:r w:rsidRPr="00CE1F20">
              <w:rPr>
                <w:rFonts w:asciiTheme="minorHAnsi" w:eastAsia="Times New Roman" w:hAnsiTheme="minorHAnsi" w:cstheme="minorHAnsi"/>
                <w:b/>
                <w:bCs/>
                <w:sz w:val="18"/>
                <w:szCs w:val="18"/>
                <w:lang w:val="en-AU" w:eastAsia="en-AU"/>
              </w:rPr>
              <w:t>Expected Results Statements</w:t>
            </w:r>
          </w:p>
        </w:tc>
        <w:tc>
          <w:tcPr>
            <w:tcW w:w="2476" w:type="dxa"/>
            <w:tcBorders>
              <w:top w:val="single" w:sz="12" w:space="0" w:color="auto"/>
              <w:bottom w:val="single" w:sz="12" w:space="0" w:color="auto"/>
            </w:tcBorders>
            <w:shd w:val="clear" w:color="000000" w:fill="B4C6E7"/>
            <w:noWrap/>
            <w:vAlign w:val="center"/>
            <w:hideMark/>
          </w:tcPr>
          <w:p w14:paraId="769A8B91" w14:textId="77777777" w:rsidR="00C76A86" w:rsidRPr="00CE1F20" w:rsidRDefault="00C76A86" w:rsidP="0015435E">
            <w:pPr>
              <w:spacing w:after="0" w:line="240" w:lineRule="auto"/>
              <w:jc w:val="center"/>
              <w:rPr>
                <w:rFonts w:asciiTheme="minorHAnsi" w:eastAsia="Times New Roman" w:hAnsiTheme="minorHAnsi" w:cstheme="minorHAnsi"/>
                <w:b/>
                <w:bCs/>
                <w:sz w:val="18"/>
                <w:szCs w:val="18"/>
                <w:lang w:val="en-AU" w:eastAsia="en-AU"/>
              </w:rPr>
            </w:pPr>
            <w:r w:rsidRPr="00CE1F20">
              <w:rPr>
                <w:rFonts w:asciiTheme="minorHAnsi" w:eastAsia="Times New Roman" w:hAnsiTheme="minorHAnsi" w:cstheme="minorHAnsi"/>
                <w:b/>
                <w:bCs/>
                <w:sz w:val="18"/>
                <w:szCs w:val="18"/>
                <w:lang w:val="en-AU" w:eastAsia="en-AU"/>
              </w:rPr>
              <w:t>Assessment</w:t>
            </w:r>
          </w:p>
        </w:tc>
      </w:tr>
      <w:tr w:rsidR="00C76A86" w:rsidRPr="00CE1F20" w14:paraId="266FCF2F" w14:textId="77777777" w:rsidTr="00C26E6E">
        <w:trPr>
          <w:trHeight w:val="223"/>
        </w:trPr>
        <w:tc>
          <w:tcPr>
            <w:tcW w:w="4985" w:type="dxa"/>
            <w:tcBorders>
              <w:top w:val="single" w:sz="12" w:space="0" w:color="auto"/>
            </w:tcBorders>
            <w:shd w:val="clear" w:color="auto" w:fill="auto"/>
            <w:hideMark/>
          </w:tcPr>
          <w:p w14:paraId="550FA598" w14:textId="77777777" w:rsidR="00C76A86" w:rsidRPr="00CE1F20" w:rsidRDefault="00C76A86" w:rsidP="0015435E">
            <w:pPr>
              <w:spacing w:after="0" w:line="240" w:lineRule="auto"/>
              <w:rPr>
                <w:rFonts w:asciiTheme="minorHAnsi" w:eastAsia="Times New Roman" w:hAnsiTheme="minorHAnsi" w:cstheme="minorHAnsi"/>
                <w:color w:val="000000"/>
                <w:sz w:val="18"/>
                <w:szCs w:val="18"/>
                <w:lang w:val="en-AU" w:eastAsia="en-AU"/>
              </w:rPr>
            </w:pPr>
            <w:r w:rsidRPr="00CE1F20">
              <w:rPr>
                <w:rFonts w:asciiTheme="minorHAnsi" w:eastAsia="Times New Roman" w:hAnsiTheme="minorHAnsi" w:cstheme="minorHAnsi"/>
                <w:color w:val="000000"/>
                <w:sz w:val="18"/>
                <w:szCs w:val="18"/>
                <w:lang w:val="en-AU" w:eastAsia="en-AU"/>
              </w:rPr>
              <w:t>SISEE does</w:t>
            </w:r>
            <w:r>
              <w:rPr>
                <w:rFonts w:asciiTheme="minorHAnsi" w:eastAsia="Times New Roman" w:hAnsiTheme="minorHAnsi" w:cstheme="minorHAnsi"/>
                <w:color w:val="000000"/>
                <w:sz w:val="18"/>
                <w:szCs w:val="18"/>
                <w:lang w:val="en-AU" w:eastAsia="en-AU"/>
              </w:rPr>
              <w:t xml:space="preserve"> </w:t>
            </w:r>
            <w:r w:rsidRPr="00CE1F20">
              <w:rPr>
                <w:rFonts w:asciiTheme="minorHAnsi" w:eastAsia="Times New Roman" w:hAnsiTheme="minorHAnsi" w:cstheme="minorHAnsi"/>
                <w:color w:val="000000"/>
                <w:sz w:val="18"/>
                <w:szCs w:val="18"/>
                <w:lang w:val="en-AU" w:eastAsia="en-AU"/>
              </w:rPr>
              <w:t>go ahead (60%)</w:t>
            </w:r>
          </w:p>
          <w:p w14:paraId="54509FFE" w14:textId="0BA76B5B" w:rsidR="00C76A86" w:rsidRDefault="00C76A86" w:rsidP="0015435E">
            <w:pPr>
              <w:spacing w:after="0" w:line="240" w:lineRule="auto"/>
              <w:rPr>
                <w:rFonts w:asciiTheme="minorHAnsi" w:eastAsia="Times New Roman" w:hAnsiTheme="minorHAnsi" w:cstheme="minorHAnsi"/>
                <w:color w:val="000000"/>
                <w:sz w:val="18"/>
                <w:szCs w:val="18"/>
                <w:lang w:val="en-AU" w:eastAsia="en-AU"/>
              </w:rPr>
            </w:pPr>
          </w:p>
          <w:p w14:paraId="69AB139B" w14:textId="226807A4" w:rsidR="00C76A86" w:rsidRPr="00CE1F20" w:rsidRDefault="00C76A86" w:rsidP="0015435E">
            <w:pPr>
              <w:spacing w:after="0" w:line="240" w:lineRule="auto"/>
              <w:rPr>
                <w:rFonts w:asciiTheme="minorHAnsi" w:eastAsia="Times New Roman" w:hAnsiTheme="minorHAnsi" w:cstheme="minorHAnsi"/>
                <w:color w:val="000000"/>
                <w:sz w:val="18"/>
                <w:szCs w:val="18"/>
                <w:lang w:val="en-AU" w:eastAsia="en-AU"/>
              </w:rPr>
            </w:pPr>
          </w:p>
        </w:tc>
        <w:tc>
          <w:tcPr>
            <w:tcW w:w="2476" w:type="dxa"/>
            <w:tcBorders>
              <w:top w:val="single" w:sz="12" w:space="0" w:color="auto"/>
            </w:tcBorders>
            <w:shd w:val="clear" w:color="auto" w:fill="FFFFFF" w:themeFill="background1"/>
            <w:noWrap/>
            <w:hideMark/>
          </w:tcPr>
          <w:p w14:paraId="631C1093" w14:textId="77777777" w:rsidR="00C76A86" w:rsidRDefault="00C76A86" w:rsidP="0015435E">
            <w:pPr>
              <w:spacing w:after="0" w:line="240" w:lineRule="auto"/>
              <w:jc w:val="center"/>
              <w:rPr>
                <w:rFonts w:asciiTheme="minorHAnsi" w:eastAsia="Times New Roman" w:hAnsiTheme="minorHAnsi" w:cstheme="minorHAnsi"/>
                <w:color w:val="000000"/>
                <w:sz w:val="18"/>
                <w:szCs w:val="18"/>
                <w:lang w:val="en-AU" w:eastAsia="en-AU"/>
              </w:rPr>
            </w:pPr>
            <w:r>
              <w:rPr>
                <w:rFonts w:asciiTheme="minorHAnsi" w:eastAsia="Times New Roman" w:hAnsiTheme="minorHAnsi" w:cstheme="minorHAnsi"/>
                <w:color w:val="000000"/>
                <w:sz w:val="18"/>
                <w:szCs w:val="18"/>
                <w:lang w:val="en-AU" w:eastAsia="en-AU"/>
              </w:rPr>
              <w:t>100% (of 60%)</w:t>
            </w:r>
          </w:p>
          <w:p w14:paraId="46B4CD7D" w14:textId="77777777" w:rsidR="00C76A86" w:rsidRDefault="00C76A86" w:rsidP="0015435E">
            <w:pPr>
              <w:spacing w:after="0" w:line="240" w:lineRule="auto"/>
              <w:jc w:val="center"/>
              <w:rPr>
                <w:rFonts w:asciiTheme="minorHAnsi" w:eastAsia="Times New Roman" w:hAnsiTheme="minorHAnsi" w:cstheme="minorHAnsi"/>
                <w:color w:val="000000"/>
                <w:sz w:val="18"/>
                <w:szCs w:val="18"/>
                <w:lang w:val="en-AU" w:eastAsia="en-AU"/>
              </w:rPr>
            </w:pPr>
          </w:p>
          <w:p w14:paraId="008A8182" w14:textId="3C342158" w:rsidR="00C76A86" w:rsidRPr="00CE1F20" w:rsidRDefault="00C76A86" w:rsidP="0015435E">
            <w:pPr>
              <w:spacing w:after="0" w:line="240" w:lineRule="auto"/>
              <w:jc w:val="center"/>
              <w:rPr>
                <w:rFonts w:asciiTheme="minorHAnsi" w:eastAsia="Times New Roman" w:hAnsiTheme="minorHAnsi" w:cstheme="minorHAnsi"/>
                <w:color w:val="000000"/>
                <w:sz w:val="18"/>
                <w:szCs w:val="18"/>
                <w:lang w:val="en-AU" w:eastAsia="en-AU"/>
              </w:rPr>
            </w:pPr>
          </w:p>
        </w:tc>
      </w:tr>
      <w:tr w:rsidR="00C76A86" w:rsidRPr="00CE1F20" w14:paraId="6B30CD35" w14:textId="77777777" w:rsidTr="00C26E6E">
        <w:trPr>
          <w:trHeight w:val="219"/>
        </w:trPr>
        <w:tc>
          <w:tcPr>
            <w:tcW w:w="4985" w:type="dxa"/>
            <w:shd w:val="clear" w:color="auto" w:fill="auto"/>
          </w:tcPr>
          <w:p w14:paraId="0017A3DD" w14:textId="7A196E53" w:rsidR="00C76A86" w:rsidRPr="00CE1F20" w:rsidRDefault="00C76A86" w:rsidP="0015435E">
            <w:pPr>
              <w:spacing w:after="0" w:line="240" w:lineRule="auto"/>
              <w:rPr>
                <w:rFonts w:asciiTheme="minorHAnsi" w:eastAsia="Times New Roman" w:hAnsiTheme="minorHAnsi" w:cstheme="minorHAnsi"/>
                <w:color w:val="000000"/>
                <w:sz w:val="18"/>
                <w:szCs w:val="18"/>
                <w:lang w:val="en-AU" w:eastAsia="en-AU"/>
              </w:rPr>
            </w:pPr>
            <w:r w:rsidRPr="00CE1F20">
              <w:rPr>
                <w:rFonts w:asciiTheme="minorHAnsi" w:eastAsia="Times New Roman" w:hAnsiTheme="minorHAnsi" w:cstheme="minorHAnsi"/>
                <w:color w:val="000000"/>
                <w:sz w:val="18"/>
                <w:szCs w:val="18"/>
                <w:lang w:val="en-AU" w:eastAsia="en-AU"/>
              </w:rPr>
              <w:t>SMT Minute endorsing SISEE Implementation Framework (20%)</w:t>
            </w:r>
          </w:p>
        </w:tc>
        <w:tc>
          <w:tcPr>
            <w:tcW w:w="2476" w:type="dxa"/>
            <w:shd w:val="clear" w:color="auto" w:fill="FFFFFF" w:themeFill="background1"/>
            <w:noWrap/>
          </w:tcPr>
          <w:p w14:paraId="11BC4EBE" w14:textId="4E1D20BD" w:rsidR="00C76A86" w:rsidRDefault="00C76A86" w:rsidP="00C26E6E">
            <w:pPr>
              <w:spacing w:after="0" w:line="240" w:lineRule="auto"/>
              <w:jc w:val="center"/>
              <w:rPr>
                <w:rFonts w:asciiTheme="minorHAnsi" w:eastAsia="Times New Roman" w:hAnsiTheme="minorHAnsi" w:cstheme="minorHAnsi"/>
                <w:color w:val="000000"/>
                <w:sz w:val="18"/>
                <w:szCs w:val="18"/>
                <w:lang w:val="en-AU" w:eastAsia="en-AU"/>
              </w:rPr>
            </w:pPr>
            <w:r>
              <w:rPr>
                <w:rFonts w:asciiTheme="minorHAnsi" w:eastAsia="Times New Roman" w:hAnsiTheme="minorHAnsi" w:cstheme="minorHAnsi"/>
                <w:color w:val="000000"/>
                <w:sz w:val="18"/>
                <w:szCs w:val="18"/>
                <w:lang w:val="en-AU" w:eastAsia="en-AU"/>
              </w:rPr>
              <w:t>100% (of 20%)</w:t>
            </w:r>
          </w:p>
          <w:p w14:paraId="25F60BD6" w14:textId="52F3ED84" w:rsidR="00C76A86" w:rsidRDefault="00C76A86" w:rsidP="0015435E">
            <w:pPr>
              <w:spacing w:after="0" w:line="240" w:lineRule="auto"/>
              <w:jc w:val="center"/>
              <w:rPr>
                <w:rFonts w:asciiTheme="minorHAnsi" w:eastAsia="Times New Roman" w:hAnsiTheme="minorHAnsi" w:cstheme="minorHAnsi"/>
                <w:color w:val="000000"/>
                <w:sz w:val="18"/>
                <w:szCs w:val="18"/>
                <w:lang w:val="en-AU" w:eastAsia="en-AU"/>
              </w:rPr>
            </w:pPr>
          </w:p>
        </w:tc>
      </w:tr>
      <w:tr w:rsidR="00C76A86" w:rsidRPr="00CE1F20" w14:paraId="02F7FA34" w14:textId="77777777" w:rsidTr="00C26E6E">
        <w:trPr>
          <w:trHeight w:val="366"/>
        </w:trPr>
        <w:tc>
          <w:tcPr>
            <w:tcW w:w="4985" w:type="dxa"/>
            <w:shd w:val="clear" w:color="auto" w:fill="auto"/>
          </w:tcPr>
          <w:p w14:paraId="4BACEF0C" w14:textId="374079FC" w:rsidR="00C76A86" w:rsidRPr="00CE1F20" w:rsidRDefault="00C76A86" w:rsidP="0015435E">
            <w:pPr>
              <w:spacing w:after="0" w:line="240" w:lineRule="auto"/>
              <w:rPr>
                <w:rFonts w:asciiTheme="minorHAnsi" w:eastAsia="Times New Roman" w:hAnsiTheme="minorHAnsi" w:cstheme="minorHAnsi"/>
                <w:color w:val="000000"/>
                <w:sz w:val="18"/>
                <w:szCs w:val="18"/>
                <w:lang w:val="en-AU" w:eastAsia="en-AU"/>
              </w:rPr>
            </w:pPr>
            <w:r w:rsidRPr="00CE1F20">
              <w:rPr>
                <w:rFonts w:asciiTheme="minorHAnsi" w:eastAsia="Times New Roman" w:hAnsiTheme="minorHAnsi" w:cstheme="minorHAnsi"/>
                <w:color w:val="000000"/>
                <w:sz w:val="18"/>
                <w:szCs w:val="18"/>
                <w:lang w:val="en-AU" w:eastAsia="en-AU"/>
              </w:rPr>
              <w:t>EAs socialisation completed (10%)</w:t>
            </w:r>
          </w:p>
        </w:tc>
        <w:tc>
          <w:tcPr>
            <w:tcW w:w="2476" w:type="dxa"/>
            <w:shd w:val="clear" w:color="auto" w:fill="FFFFFF" w:themeFill="background1"/>
            <w:noWrap/>
          </w:tcPr>
          <w:p w14:paraId="445B7082" w14:textId="75C64938" w:rsidR="00C76A86" w:rsidRDefault="00C76A86" w:rsidP="0015435E">
            <w:pPr>
              <w:spacing w:after="0" w:line="240" w:lineRule="auto"/>
              <w:jc w:val="center"/>
              <w:rPr>
                <w:rFonts w:asciiTheme="minorHAnsi" w:eastAsia="Times New Roman" w:hAnsiTheme="minorHAnsi" w:cstheme="minorHAnsi"/>
                <w:color w:val="000000"/>
                <w:sz w:val="18"/>
                <w:szCs w:val="18"/>
                <w:lang w:val="en-AU" w:eastAsia="en-AU"/>
              </w:rPr>
            </w:pPr>
            <w:r>
              <w:rPr>
                <w:rFonts w:asciiTheme="minorHAnsi" w:eastAsia="Times New Roman" w:hAnsiTheme="minorHAnsi" w:cstheme="minorHAnsi"/>
                <w:color w:val="000000"/>
                <w:sz w:val="18"/>
                <w:szCs w:val="18"/>
                <w:lang w:val="en-AU" w:eastAsia="en-AU"/>
              </w:rPr>
              <w:t>100% (of 10%)</w:t>
            </w:r>
          </w:p>
        </w:tc>
      </w:tr>
    </w:tbl>
    <w:p w14:paraId="2BDB5206" w14:textId="77777777" w:rsidR="00C76A86" w:rsidRPr="00C76A86" w:rsidRDefault="00C76A86" w:rsidP="0015435E">
      <w:pPr>
        <w:pStyle w:val="Bodytext11"/>
        <w:spacing w:after="0"/>
        <w:rPr>
          <w:rFonts w:cstheme="minorHAnsi"/>
          <w:bCs/>
          <w:lang w:val="en-AU"/>
        </w:rPr>
      </w:pPr>
    </w:p>
    <w:p w14:paraId="2E5F7F93" w14:textId="0E7F957C" w:rsidR="003973F8" w:rsidRPr="00814914" w:rsidRDefault="003973F8" w:rsidP="00583E19">
      <w:pPr>
        <w:pStyle w:val="Bodytext11"/>
        <w:spacing w:after="120"/>
        <w:rPr>
          <w:rFonts w:cstheme="minorHAnsi"/>
          <w:lang w:val="en-AU"/>
        </w:rPr>
      </w:pPr>
      <w:r w:rsidRPr="001A5343">
        <w:rPr>
          <w:rFonts w:cstheme="minorHAnsi"/>
          <w:lang w:val="en-AU"/>
        </w:rPr>
        <w:t xml:space="preserve">One of the major barriers to </w:t>
      </w:r>
      <w:r w:rsidR="0012193F">
        <w:rPr>
          <w:rFonts w:cstheme="minorHAnsi"/>
          <w:lang w:val="en-AU"/>
        </w:rPr>
        <w:t>J</w:t>
      </w:r>
      <w:r w:rsidRPr="001A5343">
        <w:rPr>
          <w:rFonts w:cstheme="minorHAnsi"/>
          <w:lang w:val="en-AU"/>
        </w:rPr>
        <w:t xml:space="preserve">unior </w:t>
      </w:r>
      <w:r w:rsidR="0012193F">
        <w:rPr>
          <w:rFonts w:cstheme="minorHAnsi"/>
          <w:lang w:val="en-AU"/>
        </w:rPr>
        <w:t>S</w:t>
      </w:r>
      <w:r w:rsidRPr="001A5343">
        <w:rPr>
          <w:rFonts w:cstheme="minorHAnsi"/>
          <w:lang w:val="en-AU"/>
        </w:rPr>
        <w:t xml:space="preserve">econdary </w:t>
      </w:r>
      <w:r w:rsidR="0012193F">
        <w:rPr>
          <w:rFonts w:cstheme="minorHAnsi"/>
          <w:lang w:val="en-AU"/>
        </w:rPr>
        <w:t>S</w:t>
      </w:r>
      <w:r w:rsidRPr="001A5343">
        <w:rPr>
          <w:rFonts w:cstheme="minorHAnsi"/>
          <w:lang w:val="en-AU"/>
        </w:rPr>
        <w:t xml:space="preserve">chool (JSS) entrance is the </w:t>
      </w:r>
      <w:r>
        <w:rPr>
          <w:rFonts w:cstheme="minorHAnsi"/>
          <w:lang w:val="en-AU"/>
        </w:rPr>
        <w:t>Year 6 exam (SISEE), as only students who pass the exam can progress to Year 7. The remain</w:t>
      </w:r>
      <w:r w:rsidR="00B82940">
        <w:rPr>
          <w:rFonts w:cstheme="minorHAnsi"/>
          <w:lang w:val="en-AU"/>
        </w:rPr>
        <w:t>ing students</w:t>
      </w:r>
      <w:r>
        <w:rPr>
          <w:rFonts w:cstheme="minorHAnsi"/>
          <w:lang w:val="en-AU"/>
        </w:rPr>
        <w:t xml:space="preserve"> either repeat Year 6 or drop out of school. The successful phasing out of the exams in 2019 provided the prospect for 100% placement of students from Year 6 into Year 7 for the commencement of the 2020 school year.</w:t>
      </w:r>
    </w:p>
    <w:p w14:paraId="20ADEAC5" w14:textId="16E59963" w:rsidR="003973F8" w:rsidRPr="001A5343" w:rsidRDefault="003973F8" w:rsidP="0015435E">
      <w:pPr>
        <w:spacing w:before="120" w:after="120" w:line="240" w:lineRule="auto"/>
        <w:contextualSpacing/>
        <w:jc w:val="both"/>
        <w:rPr>
          <w:rFonts w:asciiTheme="minorHAnsi" w:hAnsiTheme="minorHAnsi" w:cstheme="minorHAnsi"/>
          <w:lang w:val="en-AU"/>
        </w:rPr>
      </w:pPr>
      <w:r w:rsidRPr="001A5343">
        <w:rPr>
          <w:rFonts w:asciiTheme="minorHAnsi" w:hAnsiTheme="minorHAnsi" w:cstheme="minorHAnsi"/>
          <w:lang w:val="en-AU"/>
        </w:rPr>
        <w:t>The SISEE Taskforce established in 2019 was a cross-divisional team that used the analysis of school/student data to develop a SISEE Implementation Framework</w:t>
      </w:r>
      <w:r w:rsidRPr="008C0E2D">
        <w:rPr>
          <w:rFonts w:asciiTheme="minorHAnsi" w:hAnsiTheme="minorHAnsi" w:cstheme="minorHAnsi"/>
          <w:vertAlign w:val="superscript"/>
          <w:lang w:val="en-AU"/>
        </w:rPr>
        <w:footnoteReference w:id="7"/>
      </w:r>
      <w:r w:rsidRPr="001A5343">
        <w:rPr>
          <w:rFonts w:asciiTheme="minorHAnsi" w:hAnsiTheme="minorHAnsi" w:cstheme="minorHAnsi"/>
          <w:lang w:val="en-AU"/>
        </w:rPr>
        <w:t>. The framework is a 5-year plan providing the pathway and key strategies to ensure a smooth transition and identified all the key elements required in the immediate and mid-term future.  The first phase of the 5-year framework was successfully implemented in 2019</w:t>
      </w:r>
      <w:r w:rsidR="00D20F32">
        <w:rPr>
          <w:rFonts w:asciiTheme="minorHAnsi" w:hAnsiTheme="minorHAnsi" w:cstheme="minorHAnsi"/>
          <w:lang w:val="en-AU"/>
        </w:rPr>
        <w:t>, resulting in every year 6 student in 2019 having a place in a year 7 classroom in 2020</w:t>
      </w:r>
      <w:r w:rsidRPr="001A5343">
        <w:rPr>
          <w:rFonts w:asciiTheme="minorHAnsi" w:hAnsiTheme="minorHAnsi" w:cstheme="minorHAnsi"/>
          <w:lang w:val="en-AU"/>
        </w:rPr>
        <w:t>.</w:t>
      </w:r>
    </w:p>
    <w:p w14:paraId="4B143C2A" w14:textId="00965472" w:rsidR="003973F8" w:rsidRPr="00814914" w:rsidRDefault="003973F8" w:rsidP="0015435E">
      <w:pPr>
        <w:pStyle w:val="Bodytext11"/>
        <w:spacing w:after="0"/>
        <w:rPr>
          <w:rFonts w:cstheme="minorHAnsi"/>
          <w:lang w:val="en-AU"/>
        </w:rPr>
      </w:pPr>
      <w:r w:rsidRPr="00814914">
        <w:rPr>
          <w:rFonts w:cstheme="minorHAnsi"/>
          <w:lang w:val="en-AU"/>
        </w:rPr>
        <w:t>A project-based approach to planning and implementation was used with representatives from all MEHRD divisions</w:t>
      </w:r>
      <w:r w:rsidR="00D20F32">
        <w:rPr>
          <w:rFonts w:cstheme="minorHAnsi"/>
          <w:lang w:val="en-AU"/>
        </w:rPr>
        <w:t xml:space="preserve">, with every Education Authority </w:t>
      </w:r>
      <w:r w:rsidRPr="00814914">
        <w:rPr>
          <w:rFonts w:cstheme="minorHAnsi"/>
          <w:lang w:val="en-AU"/>
        </w:rPr>
        <w:t>participat</w:t>
      </w:r>
      <w:r w:rsidR="00D20F32">
        <w:rPr>
          <w:rFonts w:cstheme="minorHAnsi"/>
          <w:lang w:val="en-AU"/>
        </w:rPr>
        <w:t>ing</w:t>
      </w:r>
      <w:r w:rsidRPr="00814914">
        <w:rPr>
          <w:rFonts w:cstheme="minorHAnsi"/>
          <w:lang w:val="en-AU"/>
        </w:rPr>
        <w:t>. This led to a high level of coordination and collaboration including:</w:t>
      </w:r>
    </w:p>
    <w:p w14:paraId="625504BA" w14:textId="77777777" w:rsidR="003973F8" w:rsidRPr="00814914" w:rsidRDefault="003973F8" w:rsidP="0015435E">
      <w:pPr>
        <w:pStyle w:val="ListParagraph"/>
        <w:numPr>
          <w:ilvl w:val="0"/>
          <w:numId w:val="1"/>
        </w:numPr>
        <w:spacing w:after="0" w:line="240" w:lineRule="auto"/>
        <w:rPr>
          <w:rFonts w:asciiTheme="minorHAnsi" w:eastAsiaTheme="minorEastAsia" w:hAnsiTheme="minorHAnsi" w:cstheme="minorHAnsi"/>
          <w:szCs w:val="24"/>
        </w:rPr>
      </w:pPr>
      <w:r w:rsidRPr="00814914">
        <w:rPr>
          <w:rFonts w:asciiTheme="minorHAnsi" w:eastAsiaTheme="minorEastAsia" w:hAnsiTheme="minorHAnsi" w:cstheme="minorHAnsi"/>
          <w:szCs w:val="24"/>
        </w:rPr>
        <w:t>Developing a student assessment and application process</w:t>
      </w:r>
    </w:p>
    <w:p w14:paraId="72A33BDE" w14:textId="77777777" w:rsidR="003973F8" w:rsidRPr="00814914" w:rsidRDefault="003973F8" w:rsidP="0015435E">
      <w:pPr>
        <w:pStyle w:val="ListParagraph"/>
        <w:numPr>
          <w:ilvl w:val="0"/>
          <w:numId w:val="1"/>
        </w:numPr>
        <w:spacing w:after="0" w:line="240" w:lineRule="auto"/>
        <w:rPr>
          <w:rFonts w:asciiTheme="minorHAnsi" w:eastAsiaTheme="minorEastAsia" w:hAnsiTheme="minorHAnsi" w:cstheme="minorHAnsi"/>
          <w:szCs w:val="24"/>
        </w:rPr>
      </w:pPr>
      <w:r w:rsidRPr="00814914">
        <w:rPr>
          <w:rFonts w:asciiTheme="minorHAnsi" w:eastAsiaTheme="minorEastAsia" w:hAnsiTheme="minorHAnsi" w:cstheme="minorHAnsi"/>
          <w:szCs w:val="24"/>
        </w:rPr>
        <w:t xml:space="preserve">Developing placement guidelines </w:t>
      </w:r>
    </w:p>
    <w:p w14:paraId="7B3CADDA" w14:textId="77777777" w:rsidR="003973F8" w:rsidRPr="00814914" w:rsidRDefault="003973F8" w:rsidP="0015435E">
      <w:pPr>
        <w:pStyle w:val="ListParagraph"/>
        <w:numPr>
          <w:ilvl w:val="0"/>
          <w:numId w:val="1"/>
        </w:numPr>
        <w:spacing w:after="0" w:line="240" w:lineRule="auto"/>
        <w:rPr>
          <w:rFonts w:asciiTheme="minorHAnsi" w:eastAsiaTheme="minorEastAsia" w:hAnsiTheme="minorHAnsi" w:cstheme="minorHAnsi"/>
          <w:szCs w:val="24"/>
        </w:rPr>
      </w:pPr>
      <w:r w:rsidRPr="00814914">
        <w:rPr>
          <w:rFonts w:asciiTheme="minorHAnsi" w:eastAsiaTheme="minorEastAsia" w:hAnsiTheme="minorHAnsi" w:cstheme="minorHAnsi"/>
          <w:szCs w:val="24"/>
        </w:rPr>
        <w:t>Fast tracking School Registration</w:t>
      </w:r>
    </w:p>
    <w:p w14:paraId="61E68E49" w14:textId="77777777" w:rsidR="003973F8" w:rsidRPr="00814914" w:rsidRDefault="003973F8" w:rsidP="0015435E">
      <w:pPr>
        <w:pStyle w:val="ListParagraph"/>
        <w:numPr>
          <w:ilvl w:val="0"/>
          <w:numId w:val="1"/>
        </w:numPr>
        <w:spacing w:after="0" w:line="240" w:lineRule="auto"/>
        <w:rPr>
          <w:rFonts w:asciiTheme="minorHAnsi" w:eastAsiaTheme="minorEastAsia" w:hAnsiTheme="minorHAnsi" w:cstheme="minorHAnsi"/>
          <w:szCs w:val="24"/>
        </w:rPr>
      </w:pPr>
      <w:r w:rsidRPr="00814914">
        <w:rPr>
          <w:rFonts w:asciiTheme="minorHAnsi" w:eastAsiaTheme="minorEastAsia" w:hAnsiTheme="minorHAnsi" w:cstheme="minorHAnsi"/>
          <w:szCs w:val="24"/>
        </w:rPr>
        <w:t>School Teacher establishment revision</w:t>
      </w:r>
    </w:p>
    <w:p w14:paraId="64ED7DBA" w14:textId="77777777" w:rsidR="003973F8" w:rsidRPr="00814914" w:rsidRDefault="003973F8" w:rsidP="0015435E">
      <w:pPr>
        <w:pStyle w:val="ListParagraph"/>
        <w:numPr>
          <w:ilvl w:val="0"/>
          <w:numId w:val="1"/>
        </w:numPr>
        <w:spacing w:after="0" w:line="240" w:lineRule="auto"/>
        <w:rPr>
          <w:rFonts w:asciiTheme="minorHAnsi" w:eastAsiaTheme="minorEastAsia" w:hAnsiTheme="minorHAnsi" w:cstheme="minorHAnsi"/>
          <w:szCs w:val="24"/>
        </w:rPr>
      </w:pPr>
      <w:r w:rsidRPr="00814914">
        <w:rPr>
          <w:rFonts w:asciiTheme="minorHAnsi" w:eastAsiaTheme="minorEastAsia" w:hAnsiTheme="minorHAnsi" w:cstheme="minorHAnsi"/>
          <w:szCs w:val="24"/>
        </w:rPr>
        <w:t>Infrastructure support</w:t>
      </w:r>
    </w:p>
    <w:p w14:paraId="05FD4867" w14:textId="77777777" w:rsidR="003973F8" w:rsidRPr="00814914" w:rsidRDefault="003973F8" w:rsidP="0015435E">
      <w:pPr>
        <w:pStyle w:val="ListParagraph"/>
        <w:numPr>
          <w:ilvl w:val="0"/>
          <w:numId w:val="1"/>
        </w:numPr>
        <w:spacing w:after="0" w:line="240" w:lineRule="auto"/>
        <w:rPr>
          <w:rFonts w:asciiTheme="minorHAnsi" w:eastAsiaTheme="minorEastAsia" w:hAnsiTheme="minorHAnsi" w:cstheme="minorHAnsi"/>
          <w:szCs w:val="24"/>
        </w:rPr>
      </w:pPr>
      <w:r w:rsidRPr="00814914">
        <w:rPr>
          <w:rFonts w:asciiTheme="minorHAnsi" w:eastAsiaTheme="minorEastAsia" w:hAnsiTheme="minorHAnsi" w:cstheme="minorHAnsi"/>
          <w:szCs w:val="24"/>
        </w:rPr>
        <w:t>Learning Resources support</w:t>
      </w:r>
    </w:p>
    <w:p w14:paraId="60CF463F" w14:textId="77777777" w:rsidR="003973F8" w:rsidRPr="00814914" w:rsidRDefault="003973F8" w:rsidP="0015435E">
      <w:pPr>
        <w:pStyle w:val="ListParagraph"/>
        <w:numPr>
          <w:ilvl w:val="0"/>
          <w:numId w:val="1"/>
        </w:numPr>
        <w:spacing w:after="0" w:line="240" w:lineRule="auto"/>
        <w:rPr>
          <w:rFonts w:asciiTheme="minorHAnsi" w:eastAsiaTheme="minorEastAsia" w:hAnsiTheme="minorHAnsi" w:cstheme="minorHAnsi"/>
          <w:szCs w:val="24"/>
        </w:rPr>
      </w:pPr>
      <w:r w:rsidRPr="00814914">
        <w:rPr>
          <w:rFonts w:asciiTheme="minorHAnsi" w:eastAsiaTheme="minorEastAsia" w:hAnsiTheme="minorHAnsi" w:cstheme="minorHAnsi"/>
          <w:szCs w:val="24"/>
        </w:rPr>
        <w:t>Grants/Funding support</w:t>
      </w:r>
    </w:p>
    <w:p w14:paraId="0AC6CCE3" w14:textId="77777777" w:rsidR="003973F8" w:rsidRPr="00814914" w:rsidRDefault="003973F8" w:rsidP="0015435E">
      <w:pPr>
        <w:pStyle w:val="ListParagraph"/>
        <w:numPr>
          <w:ilvl w:val="0"/>
          <w:numId w:val="1"/>
        </w:numPr>
        <w:spacing w:after="160" w:line="240" w:lineRule="auto"/>
        <w:rPr>
          <w:rFonts w:asciiTheme="minorHAnsi" w:eastAsiaTheme="minorEastAsia" w:hAnsiTheme="minorHAnsi" w:cstheme="minorHAnsi"/>
          <w:szCs w:val="24"/>
        </w:rPr>
      </w:pPr>
      <w:r w:rsidRPr="00814914">
        <w:rPr>
          <w:rFonts w:asciiTheme="minorHAnsi" w:eastAsiaTheme="minorEastAsia" w:hAnsiTheme="minorHAnsi" w:cstheme="minorHAnsi"/>
          <w:szCs w:val="24"/>
        </w:rPr>
        <w:t>Coordination of the SISEE implementation</w:t>
      </w:r>
    </w:p>
    <w:p w14:paraId="07AEC675" w14:textId="4F9670DD" w:rsidR="003973F8" w:rsidRPr="00104F32" w:rsidRDefault="003973F8" w:rsidP="0015435E">
      <w:pPr>
        <w:spacing w:after="120" w:line="240" w:lineRule="auto"/>
        <w:rPr>
          <w:rFonts w:asciiTheme="minorHAnsi" w:hAnsiTheme="minorHAnsi" w:cstheme="minorHAnsi"/>
          <w:bCs/>
          <w:lang w:val="en-AU"/>
        </w:rPr>
      </w:pPr>
      <w:r w:rsidRPr="00104F32">
        <w:rPr>
          <w:rFonts w:asciiTheme="minorHAnsi" w:hAnsiTheme="minorHAnsi" w:cstheme="minorHAnsi"/>
          <w:bCs/>
          <w:lang w:val="en-AU"/>
        </w:rPr>
        <w:t>A total of 11,806</w:t>
      </w:r>
      <w:r>
        <w:rPr>
          <w:rStyle w:val="FootnoteReference"/>
          <w:rFonts w:asciiTheme="minorHAnsi" w:hAnsiTheme="minorHAnsi" w:cstheme="minorHAnsi"/>
          <w:bCs/>
          <w:lang w:val="en-AU"/>
        </w:rPr>
        <w:footnoteReference w:id="8"/>
      </w:r>
      <w:r w:rsidRPr="00104F32">
        <w:rPr>
          <w:rFonts w:asciiTheme="minorHAnsi" w:hAnsiTheme="minorHAnsi" w:cstheme="minorHAnsi"/>
          <w:bCs/>
          <w:lang w:val="en-AU"/>
        </w:rPr>
        <w:t xml:space="preserve"> year 6 students in 2019 </w:t>
      </w:r>
      <w:r>
        <w:rPr>
          <w:rFonts w:asciiTheme="minorHAnsi" w:hAnsiTheme="minorHAnsi" w:cstheme="minorHAnsi"/>
          <w:bCs/>
          <w:lang w:val="en-AU"/>
        </w:rPr>
        <w:t>were</w:t>
      </w:r>
      <w:r w:rsidRPr="00104F32">
        <w:rPr>
          <w:rFonts w:asciiTheme="minorHAnsi" w:hAnsiTheme="minorHAnsi" w:cstheme="minorHAnsi"/>
          <w:bCs/>
          <w:lang w:val="en-AU"/>
        </w:rPr>
        <w:t xml:space="preserve"> placed </w:t>
      </w:r>
      <w:r>
        <w:rPr>
          <w:rFonts w:asciiTheme="minorHAnsi" w:hAnsiTheme="minorHAnsi" w:cstheme="minorHAnsi"/>
          <w:bCs/>
          <w:lang w:val="en-AU"/>
        </w:rPr>
        <w:t>in</w:t>
      </w:r>
      <w:r w:rsidRPr="00104F32">
        <w:rPr>
          <w:rFonts w:asciiTheme="minorHAnsi" w:hAnsiTheme="minorHAnsi" w:cstheme="minorHAnsi"/>
          <w:bCs/>
          <w:lang w:val="en-AU"/>
        </w:rPr>
        <w:t xml:space="preserve"> year 7 </w:t>
      </w:r>
      <w:r>
        <w:rPr>
          <w:rFonts w:asciiTheme="minorHAnsi" w:hAnsiTheme="minorHAnsi" w:cstheme="minorHAnsi"/>
          <w:bCs/>
          <w:lang w:val="en-AU"/>
        </w:rPr>
        <w:t>for the commencement of the</w:t>
      </w:r>
      <w:r w:rsidRPr="00104F32">
        <w:rPr>
          <w:rFonts w:asciiTheme="minorHAnsi" w:hAnsiTheme="minorHAnsi" w:cstheme="minorHAnsi"/>
          <w:bCs/>
          <w:lang w:val="en-AU"/>
        </w:rPr>
        <w:t xml:space="preserve"> 2020</w:t>
      </w:r>
      <w:r>
        <w:rPr>
          <w:rFonts w:asciiTheme="minorHAnsi" w:hAnsiTheme="minorHAnsi" w:cstheme="minorHAnsi"/>
          <w:bCs/>
          <w:lang w:val="en-AU"/>
        </w:rPr>
        <w:t xml:space="preserve"> school year</w:t>
      </w:r>
      <w:r w:rsidRPr="00104F32">
        <w:rPr>
          <w:rFonts w:asciiTheme="minorHAnsi" w:hAnsiTheme="minorHAnsi" w:cstheme="minorHAnsi"/>
          <w:bCs/>
          <w:lang w:val="en-AU"/>
        </w:rPr>
        <w:t xml:space="preserve"> at 9 NSSs, 7 PSSs and 264 CHSs.</w:t>
      </w:r>
    </w:p>
    <w:p w14:paraId="3C2642CF" w14:textId="22323776" w:rsidR="003973F8" w:rsidRPr="005701FD" w:rsidRDefault="003973F8" w:rsidP="0015435E">
      <w:pPr>
        <w:pStyle w:val="Bodytext11"/>
        <w:rPr>
          <w:rFonts w:cstheme="minorHAnsi"/>
          <w:lang w:val="en-AU"/>
        </w:rPr>
      </w:pPr>
      <w:r w:rsidRPr="00740BDC">
        <w:rPr>
          <w:rFonts w:cstheme="minorHAnsi"/>
          <w:lang w:val="en-AU"/>
        </w:rPr>
        <w:t xml:space="preserve">The consultations and partnerships between MEHRD, EAs and Schools has ensured that class sizes are </w:t>
      </w:r>
      <w:r>
        <w:rPr>
          <w:rFonts w:cstheme="minorHAnsi"/>
          <w:lang w:val="en-AU"/>
        </w:rPr>
        <w:t xml:space="preserve">now </w:t>
      </w:r>
      <w:r w:rsidRPr="00740BDC">
        <w:rPr>
          <w:rFonts w:cstheme="minorHAnsi"/>
          <w:lang w:val="en-AU"/>
        </w:rPr>
        <w:t>being limited to</w:t>
      </w:r>
      <w:r w:rsidR="00D20F32">
        <w:rPr>
          <w:rFonts w:cstheme="minorHAnsi"/>
          <w:lang w:val="en-AU"/>
        </w:rPr>
        <w:t xml:space="preserve"> </w:t>
      </w:r>
      <w:r w:rsidRPr="00740BDC">
        <w:rPr>
          <w:rFonts w:cstheme="minorHAnsi"/>
          <w:lang w:val="en-AU"/>
        </w:rPr>
        <w:t xml:space="preserve">improve quality of learning </w:t>
      </w:r>
      <w:proofErr w:type="gramStart"/>
      <w:r w:rsidRPr="00740BDC">
        <w:rPr>
          <w:rFonts w:cstheme="minorHAnsi"/>
          <w:lang w:val="en-AU"/>
        </w:rPr>
        <w:t>e.g.</w:t>
      </w:r>
      <w:proofErr w:type="gramEnd"/>
      <w:r w:rsidRPr="00740BDC">
        <w:rPr>
          <w:rFonts w:cstheme="minorHAnsi"/>
          <w:lang w:val="en-AU"/>
        </w:rPr>
        <w:t xml:space="preserve"> Honiara City Council schools </w:t>
      </w:r>
      <w:r>
        <w:rPr>
          <w:rFonts w:cstheme="minorHAnsi"/>
          <w:lang w:val="en-AU"/>
        </w:rPr>
        <w:t>Y</w:t>
      </w:r>
      <w:r w:rsidRPr="00740BDC">
        <w:rPr>
          <w:rFonts w:cstheme="minorHAnsi"/>
          <w:lang w:val="en-AU"/>
        </w:rPr>
        <w:t>ear 7 classes are now limited to 40 students. A more accurate assessment of the capacity</w:t>
      </w:r>
      <w:r>
        <w:rPr>
          <w:rFonts w:cstheme="minorHAnsi"/>
          <w:lang w:val="en-AU"/>
        </w:rPr>
        <w:t xml:space="preserve"> (classrooms, infrastructure, teachers, learning resources)</w:t>
      </w:r>
      <w:r w:rsidRPr="00740BDC">
        <w:rPr>
          <w:rFonts w:cstheme="minorHAnsi"/>
          <w:lang w:val="en-AU"/>
        </w:rPr>
        <w:t xml:space="preserve"> for schools to cater for students was achieved</w:t>
      </w:r>
      <w:r>
        <w:rPr>
          <w:rFonts w:cstheme="minorHAnsi"/>
          <w:lang w:val="en-AU"/>
        </w:rPr>
        <w:t xml:space="preserve"> e.g.</w:t>
      </w:r>
      <w:r w:rsidRPr="00740BDC">
        <w:rPr>
          <w:rFonts w:cstheme="minorHAnsi"/>
          <w:lang w:val="en-AU"/>
        </w:rPr>
        <w:t xml:space="preserve">  there are more spaces in secondary schools than previously thought </w:t>
      </w:r>
      <w:proofErr w:type="gramStart"/>
      <w:r w:rsidRPr="00740BDC">
        <w:rPr>
          <w:rFonts w:cstheme="minorHAnsi"/>
          <w:lang w:val="en-AU"/>
        </w:rPr>
        <w:t>e.g.</w:t>
      </w:r>
      <w:proofErr w:type="gramEnd"/>
      <w:r w:rsidRPr="00740BDC">
        <w:rPr>
          <w:rFonts w:cstheme="minorHAnsi"/>
          <w:lang w:val="en-AU"/>
        </w:rPr>
        <w:t xml:space="preserve"> Malaita has over 1,000 extra </w:t>
      </w:r>
      <w:r w:rsidR="00D20F32">
        <w:rPr>
          <w:rFonts w:cstheme="minorHAnsi"/>
          <w:lang w:val="en-AU"/>
        </w:rPr>
        <w:t xml:space="preserve">year 7 </w:t>
      </w:r>
      <w:r>
        <w:rPr>
          <w:rFonts w:cstheme="minorHAnsi"/>
          <w:lang w:val="en-AU"/>
        </w:rPr>
        <w:t xml:space="preserve">student </w:t>
      </w:r>
      <w:r w:rsidRPr="00740BDC">
        <w:rPr>
          <w:rFonts w:cstheme="minorHAnsi"/>
          <w:lang w:val="en-AU"/>
        </w:rPr>
        <w:t>spaces</w:t>
      </w:r>
      <w:r w:rsidR="00D20F32">
        <w:rPr>
          <w:rFonts w:cstheme="minorHAnsi"/>
          <w:lang w:val="en-AU"/>
        </w:rPr>
        <w:t xml:space="preserve"> than what was anticipated</w:t>
      </w:r>
      <w:r w:rsidRPr="00740BDC">
        <w:rPr>
          <w:rFonts w:cstheme="minorHAnsi"/>
          <w:lang w:val="en-AU"/>
        </w:rPr>
        <w:t xml:space="preserve">. </w:t>
      </w:r>
    </w:p>
    <w:p w14:paraId="22DDDF09" w14:textId="1D92D412" w:rsidR="003973F8" w:rsidRDefault="003973F8" w:rsidP="0015435E">
      <w:pPr>
        <w:pStyle w:val="Bodytext11"/>
        <w:spacing w:after="0"/>
        <w:rPr>
          <w:rFonts w:cstheme="minorHAnsi"/>
          <w:b/>
          <w:i/>
          <w:iCs/>
          <w:lang w:val="en-AU"/>
        </w:rPr>
      </w:pPr>
      <w:r w:rsidRPr="00C23717">
        <w:rPr>
          <w:rFonts w:cstheme="minorHAnsi"/>
          <w:b/>
          <w:i/>
          <w:iCs/>
          <w:lang w:val="en-AU"/>
        </w:rPr>
        <w:t>1.1.2   Transition rates for year 6 to 7 from 2018 to 2019 show an increase over year 6 to 7 transition rates from 2017 to 2018</w:t>
      </w:r>
    </w:p>
    <w:p w14:paraId="24DE74E2" w14:textId="5B711068" w:rsidR="00C76A86" w:rsidRDefault="00C76A86" w:rsidP="0015435E">
      <w:pPr>
        <w:pStyle w:val="Bodytext11"/>
        <w:spacing w:after="0"/>
        <w:rPr>
          <w:rFonts w:cstheme="minorHAnsi"/>
          <w:bCs/>
          <w:lang w:val="en-AU"/>
        </w:rPr>
      </w:pPr>
    </w:p>
    <w:tbl>
      <w:tblPr>
        <w:tblW w:w="7796" w:type="dxa"/>
        <w:tblInd w:w="1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80"/>
        <w:gridCol w:w="2816"/>
      </w:tblGrid>
      <w:tr w:rsidR="00C76A86" w:rsidRPr="00CE1F20" w14:paraId="506D4248" w14:textId="77777777" w:rsidTr="00C26E6E">
        <w:trPr>
          <w:trHeight w:val="363"/>
        </w:trPr>
        <w:tc>
          <w:tcPr>
            <w:tcW w:w="4980" w:type="dxa"/>
            <w:tcBorders>
              <w:top w:val="single" w:sz="12" w:space="0" w:color="auto"/>
              <w:bottom w:val="single" w:sz="12" w:space="0" w:color="auto"/>
            </w:tcBorders>
            <w:shd w:val="clear" w:color="000000" w:fill="B4C6E7"/>
            <w:vAlign w:val="center"/>
            <w:hideMark/>
          </w:tcPr>
          <w:p w14:paraId="7587F5BC" w14:textId="77777777" w:rsidR="00C76A86" w:rsidRPr="00CE1F20" w:rsidRDefault="00C76A86" w:rsidP="0015435E">
            <w:pPr>
              <w:spacing w:after="0" w:line="240" w:lineRule="auto"/>
              <w:jc w:val="center"/>
              <w:rPr>
                <w:rFonts w:asciiTheme="minorHAnsi" w:eastAsia="Times New Roman" w:hAnsiTheme="minorHAnsi" w:cstheme="minorHAnsi"/>
                <w:b/>
                <w:bCs/>
                <w:sz w:val="18"/>
                <w:szCs w:val="18"/>
                <w:lang w:val="en-AU" w:eastAsia="en-AU"/>
              </w:rPr>
            </w:pPr>
            <w:r w:rsidRPr="00CE1F20">
              <w:rPr>
                <w:rFonts w:asciiTheme="minorHAnsi" w:eastAsia="Times New Roman" w:hAnsiTheme="minorHAnsi" w:cstheme="minorHAnsi"/>
                <w:b/>
                <w:bCs/>
                <w:sz w:val="18"/>
                <w:szCs w:val="18"/>
                <w:lang w:val="en-AU" w:eastAsia="en-AU"/>
              </w:rPr>
              <w:t>Expected Results Statements</w:t>
            </w:r>
          </w:p>
        </w:tc>
        <w:tc>
          <w:tcPr>
            <w:tcW w:w="2816" w:type="dxa"/>
            <w:tcBorders>
              <w:top w:val="single" w:sz="12" w:space="0" w:color="auto"/>
              <w:bottom w:val="single" w:sz="12" w:space="0" w:color="auto"/>
            </w:tcBorders>
            <w:shd w:val="clear" w:color="000000" w:fill="B4C6E7"/>
            <w:noWrap/>
            <w:vAlign w:val="center"/>
            <w:hideMark/>
          </w:tcPr>
          <w:p w14:paraId="7BEB228E" w14:textId="77777777" w:rsidR="00C76A86" w:rsidRPr="00CE1F20" w:rsidRDefault="00C76A86" w:rsidP="0015435E">
            <w:pPr>
              <w:spacing w:after="0" w:line="240" w:lineRule="auto"/>
              <w:jc w:val="center"/>
              <w:rPr>
                <w:rFonts w:asciiTheme="minorHAnsi" w:eastAsia="Times New Roman" w:hAnsiTheme="minorHAnsi" w:cstheme="minorHAnsi"/>
                <w:b/>
                <w:bCs/>
                <w:sz w:val="18"/>
                <w:szCs w:val="18"/>
                <w:lang w:val="en-AU" w:eastAsia="en-AU"/>
              </w:rPr>
            </w:pPr>
            <w:r w:rsidRPr="00CE1F20">
              <w:rPr>
                <w:rFonts w:asciiTheme="minorHAnsi" w:eastAsia="Times New Roman" w:hAnsiTheme="minorHAnsi" w:cstheme="minorHAnsi"/>
                <w:b/>
                <w:bCs/>
                <w:sz w:val="18"/>
                <w:szCs w:val="18"/>
                <w:lang w:val="en-AU" w:eastAsia="en-AU"/>
              </w:rPr>
              <w:t>Assessment</w:t>
            </w:r>
          </w:p>
        </w:tc>
      </w:tr>
      <w:tr w:rsidR="00C76A86" w:rsidRPr="00CE1F20" w14:paraId="000F1029" w14:textId="77777777" w:rsidTr="00C26E6E">
        <w:trPr>
          <w:trHeight w:val="400"/>
        </w:trPr>
        <w:tc>
          <w:tcPr>
            <w:tcW w:w="4980" w:type="dxa"/>
            <w:tcBorders>
              <w:top w:val="single" w:sz="12" w:space="0" w:color="auto"/>
            </w:tcBorders>
            <w:shd w:val="clear" w:color="auto" w:fill="auto"/>
            <w:hideMark/>
          </w:tcPr>
          <w:p w14:paraId="0BA3EA52" w14:textId="77777777" w:rsidR="00C76A86" w:rsidRPr="00CE1F20" w:rsidRDefault="00C76A86" w:rsidP="0015435E">
            <w:pPr>
              <w:spacing w:after="0" w:line="240" w:lineRule="auto"/>
              <w:rPr>
                <w:rFonts w:asciiTheme="minorHAnsi" w:eastAsia="Times New Roman" w:hAnsiTheme="minorHAnsi" w:cstheme="minorHAnsi"/>
                <w:color w:val="000000"/>
                <w:sz w:val="18"/>
                <w:szCs w:val="18"/>
                <w:lang w:val="en-AU" w:eastAsia="en-AU"/>
              </w:rPr>
            </w:pPr>
            <w:r w:rsidRPr="00CE1F20">
              <w:rPr>
                <w:rFonts w:asciiTheme="minorHAnsi" w:eastAsia="Times New Roman" w:hAnsiTheme="minorHAnsi" w:cstheme="minorHAnsi"/>
                <w:color w:val="000000" w:themeColor="text1"/>
                <w:sz w:val="18"/>
                <w:szCs w:val="18"/>
                <w:lang w:val="en-AU"/>
              </w:rPr>
              <w:t>Transition Rates increase (10%)</w:t>
            </w:r>
          </w:p>
        </w:tc>
        <w:tc>
          <w:tcPr>
            <w:tcW w:w="2816" w:type="dxa"/>
            <w:tcBorders>
              <w:top w:val="single" w:sz="12" w:space="0" w:color="auto"/>
            </w:tcBorders>
            <w:shd w:val="clear" w:color="auto" w:fill="FFFFFF" w:themeFill="background1"/>
            <w:noWrap/>
            <w:hideMark/>
          </w:tcPr>
          <w:p w14:paraId="2A610423" w14:textId="77777777" w:rsidR="00C76A86" w:rsidRPr="00CE1F20" w:rsidRDefault="00C76A86" w:rsidP="0015435E">
            <w:pPr>
              <w:spacing w:after="0" w:line="240" w:lineRule="auto"/>
              <w:jc w:val="center"/>
              <w:rPr>
                <w:rFonts w:asciiTheme="minorHAnsi" w:eastAsia="Times New Roman" w:hAnsiTheme="minorHAnsi" w:cstheme="minorHAnsi"/>
                <w:color w:val="000000"/>
                <w:sz w:val="18"/>
                <w:szCs w:val="18"/>
                <w:lang w:val="en-AU" w:eastAsia="en-AU"/>
              </w:rPr>
            </w:pPr>
            <w:r>
              <w:rPr>
                <w:rFonts w:asciiTheme="minorHAnsi" w:eastAsia="Times New Roman" w:hAnsiTheme="minorHAnsi" w:cstheme="minorHAnsi"/>
                <w:color w:val="000000"/>
                <w:sz w:val="18"/>
                <w:szCs w:val="18"/>
                <w:lang w:val="en-AU" w:eastAsia="en-AU"/>
              </w:rPr>
              <w:t>100% (of 10%)</w:t>
            </w:r>
          </w:p>
        </w:tc>
      </w:tr>
    </w:tbl>
    <w:p w14:paraId="1B8F5B7F" w14:textId="77777777" w:rsidR="00C76A86" w:rsidRPr="00C76A86" w:rsidRDefault="00C76A86" w:rsidP="0015435E">
      <w:pPr>
        <w:pStyle w:val="Bodytext11"/>
        <w:spacing w:after="0"/>
        <w:rPr>
          <w:rFonts w:cstheme="minorHAnsi"/>
          <w:bCs/>
          <w:lang w:val="en-AU"/>
        </w:rPr>
      </w:pPr>
    </w:p>
    <w:p w14:paraId="34C21BF6" w14:textId="77777777" w:rsidR="003973F8" w:rsidRPr="00061CD6" w:rsidRDefault="003973F8" w:rsidP="0015435E">
      <w:pPr>
        <w:pStyle w:val="Bodytext11"/>
        <w:spacing w:after="120"/>
        <w:rPr>
          <w:rFonts w:cstheme="minorHAnsi"/>
          <w:bCs/>
          <w:lang w:val="en-AU"/>
        </w:rPr>
      </w:pPr>
      <w:r w:rsidRPr="00061CD6">
        <w:rPr>
          <w:rFonts w:cstheme="minorHAnsi"/>
          <w:bCs/>
          <w:lang w:val="en-AU"/>
        </w:rPr>
        <w:t xml:space="preserve">This indicator is calculated by the number of students admitted to the next year of education </w:t>
      </w:r>
      <w:proofErr w:type="gramStart"/>
      <w:r w:rsidRPr="00061CD6">
        <w:rPr>
          <w:rFonts w:cstheme="minorHAnsi"/>
          <w:bCs/>
          <w:lang w:val="en-AU"/>
        </w:rPr>
        <w:t>in a given year</w:t>
      </w:r>
      <w:proofErr w:type="gramEnd"/>
      <w:r w:rsidRPr="00061CD6">
        <w:rPr>
          <w:rFonts w:cstheme="minorHAnsi"/>
          <w:bCs/>
          <w:lang w:val="en-AU"/>
        </w:rPr>
        <w:t xml:space="preserve"> less the number of students repeating that year and is expressed as a percentage of the number of students enrolled in the final grade year of the lower level of education in the previous year.</w:t>
      </w:r>
    </w:p>
    <w:p w14:paraId="11221071" w14:textId="5974BEAD" w:rsidR="003973F8" w:rsidRDefault="003973F8" w:rsidP="0000708D">
      <w:pPr>
        <w:pStyle w:val="Bodytext11"/>
        <w:spacing w:after="240"/>
        <w:rPr>
          <w:rFonts w:cstheme="minorHAnsi"/>
          <w:b/>
          <w:lang w:val="en-AU"/>
        </w:rPr>
      </w:pPr>
      <w:r>
        <w:rPr>
          <w:rFonts w:cstheme="minorHAnsi"/>
          <w:bCs/>
          <w:lang w:val="en-AU"/>
        </w:rPr>
        <w:t>The longer-term trend in decreasing t</w:t>
      </w:r>
      <w:r w:rsidRPr="00EA62DE">
        <w:rPr>
          <w:rFonts w:cstheme="minorHAnsi"/>
          <w:bCs/>
          <w:lang w:val="en-AU"/>
        </w:rPr>
        <w:t xml:space="preserve">ransition rates </w:t>
      </w:r>
      <w:r>
        <w:rPr>
          <w:rFonts w:cstheme="minorHAnsi"/>
          <w:bCs/>
          <w:lang w:val="en-AU"/>
        </w:rPr>
        <w:t xml:space="preserve">for Year 6 students to Year 7 was </w:t>
      </w:r>
      <w:r w:rsidR="00DE096E">
        <w:rPr>
          <w:rFonts w:cstheme="minorHAnsi"/>
          <w:bCs/>
          <w:lang w:val="en-AU"/>
        </w:rPr>
        <w:t>disrupted</w:t>
      </w:r>
      <w:r>
        <w:rPr>
          <w:rFonts w:cstheme="minorHAnsi"/>
          <w:bCs/>
          <w:lang w:val="en-AU"/>
        </w:rPr>
        <w:t xml:space="preserve"> this year with an overall increase of 0.9%. Gender disaggregation shows the girls’ transition rate improved by 2.5% whilst the boys’ rate decrease</w:t>
      </w:r>
      <w:r w:rsidR="009A7129">
        <w:rPr>
          <w:rFonts w:cstheme="minorHAnsi"/>
          <w:bCs/>
          <w:lang w:val="en-AU"/>
        </w:rPr>
        <w:t>d</w:t>
      </w:r>
      <w:r>
        <w:rPr>
          <w:rFonts w:cstheme="minorHAnsi"/>
          <w:bCs/>
          <w:lang w:val="en-AU"/>
        </w:rPr>
        <w:t xml:space="preserve"> by 0.9%. There should be a significant improvement in transition rates in 2020 due to the removal of the SISE</w:t>
      </w:r>
      <w:r w:rsidR="0073761D">
        <w:rPr>
          <w:rFonts w:cstheme="minorHAnsi"/>
          <w:bCs/>
          <w:lang w:val="en-AU"/>
        </w:rPr>
        <w:t>E</w:t>
      </w:r>
      <w:r>
        <w:rPr>
          <w:rFonts w:cstheme="minorHAnsi"/>
          <w:bCs/>
          <w:lang w:val="en-AU"/>
        </w:rPr>
        <w:t xml:space="preserve"> exam this year, allowing all students to transition to Year 7.</w:t>
      </w:r>
    </w:p>
    <w:p w14:paraId="62DD71A0" w14:textId="474934D2" w:rsidR="003973F8" w:rsidRPr="00413324" w:rsidRDefault="003973F8" w:rsidP="00413324">
      <w:pPr>
        <w:pStyle w:val="Heading2"/>
        <w:numPr>
          <w:ilvl w:val="0"/>
          <w:numId w:val="19"/>
        </w:numPr>
        <w:shd w:val="clear" w:color="auto" w:fill="B4C6E7" w:themeFill="accent1" w:themeFillTint="66"/>
        <w:ind w:hanging="720"/>
        <w:rPr>
          <w:rFonts w:asciiTheme="minorHAnsi" w:hAnsiTheme="minorHAnsi" w:cstheme="minorHAnsi"/>
          <w:b/>
          <w:bCs/>
          <w:color w:val="1F4E79" w:themeColor="accent5" w:themeShade="80"/>
          <w:sz w:val="24"/>
          <w:szCs w:val="24"/>
        </w:rPr>
      </w:pPr>
      <w:bookmarkStart w:id="16" w:name="_Toc49858090"/>
      <w:r w:rsidRPr="00413324">
        <w:rPr>
          <w:rFonts w:asciiTheme="minorHAnsi" w:hAnsiTheme="minorHAnsi" w:cstheme="minorHAnsi"/>
          <w:b/>
          <w:bCs/>
          <w:color w:val="1F4E79" w:themeColor="accent5" w:themeShade="80"/>
          <w:sz w:val="24"/>
          <w:szCs w:val="24"/>
        </w:rPr>
        <w:t xml:space="preserve">Quality </w:t>
      </w:r>
      <w:r w:rsidR="00323662" w:rsidRPr="00413324">
        <w:rPr>
          <w:rFonts w:asciiTheme="minorHAnsi" w:hAnsiTheme="minorHAnsi" w:cstheme="minorHAnsi"/>
          <w:b/>
          <w:bCs/>
          <w:color w:val="1F4E79" w:themeColor="accent5" w:themeShade="80"/>
          <w:sz w:val="24"/>
          <w:szCs w:val="24"/>
        </w:rPr>
        <w:t xml:space="preserve">General </w:t>
      </w:r>
      <w:r w:rsidR="00E965E0" w:rsidRPr="00413324">
        <w:rPr>
          <w:rFonts w:asciiTheme="minorHAnsi" w:hAnsiTheme="minorHAnsi" w:cstheme="minorHAnsi"/>
          <w:b/>
          <w:bCs/>
          <w:color w:val="1F4E79" w:themeColor="accent5" w:themeShade="80"/>
          <w:sz w:val="24"/>
          <w:szCs w:val="24"/>
        </w:rPr>
        <w:t>Findings</w:t>
      </w:r>
      <w:bookmarkEnd w:id="16"/>
    </w:p>
    <w:p w14:paraId="6824F93F" w14:textId="0A122BAA" w:rsidR="00EA489C" w:rsidRDefault="003973F8" w:rsidP="0015435E">
      <w:pPr>
        <w:pStyle w:val="Bodytext11"/>
        <w:numPr>
          <w:ilvl w:val="0"/>
          <w:numId w:val="7"/>
        </w:numPr>
        <w:ind w:left="426"/>
        <w:rPr>
          <w:lang w:val="en-GB"/>
        </w:rPr>
      </w:pPr>
      <w:r>
        <w:rPr>
          <w:lang w:val="en-GB"/>
        </w:rPr>
        <w:t xml:space="preserve">The quality indicators focussed on the key NEAP reform areas of curriculum, teacher standards and certification, </w:t>
      </w:r>
      <w:r w:rsidR="00037C58">
        <w:rPr>
          <w:lang w:val="en-GB"/>
        </w:rPr>
        <w:t xml:space="preserve">and </w:t>
      </w:r>
      <w:r>
        <w:rPr>
          <w:lang w:val="en-GB"/>
        </w:rPr>
        <w:t>students’ literacy and numeracy. Findings in the MEHRD Mid-NEAP Review (Dec</w:t>
      </w:r>
      <w:r w:rsidR="00037C58">
        <w:rPr>
          <w:lang w:val="en-GB"/>
        </w:rPr>
        <w:t>ember</w:t>
      </w:r>
      <w:r>
        <w:rPr>
          <w:lang w:val="en-GB"/>
        </w:rPr>
        <w:t xml:space="preserve"> 2018) report suggested MEHRD had made some good progress on management but the improvement was not matched by similar progress in quality reforms. Results in 2019 appear to indicate a shift with some encouraging results in student literacy and numeracy (standardised testing), curriculum reform and the development of teacher and school leader standards. </w:t>
      </w:r>
    </w:p>
    <w:p w14:paraId="645CF844" w14:textId="208A4812" w:rsidR="003973F8" w:rsidRDefault="003973F8" w:rsidP="0015435E">
      <w:pPr>
        <w:pStyle w:val="Bodytext11"/>
        <w:numPr>
          <w:ilvl w:val="0"/>
          <w:numId w:val="7"/>
        </w:numPr>
        <w:ind w:left="426"/>
        <w:rPr>
          <w:lang w:val="en-GB"/>
        </w:rPr>
      </w:pPr>
      <w:r>
        <w:rPr>
          <w:lang w:val="en-GB"/>
        </w:rPr>
        <w:t xml:space="preserve">The interrelated </w:t>
      </w:r>
      <w:r w:rsidR="005701FD">
        <w:rPr>
          <w:lang w:val="en-GB"/>
        </w:rPr>
        <w:t>and preconditional</w:t>
      </w:r>
      <w:r>
        <w:rPr>
          <w:lang w:val="en-GB"/>
        </w:rPr>
        <w:t xml:space="preserve"> nature of many of MEHRD’s quality reform strategies means there is uneven progress </w:t>
      </w:r>
      <w:proofErr w:type="gramStart"/>
      <w:r>
        <w:rPr>
          <w:lang w:val="en-GB"/>
        </w:rPr>
        <w:t>e.g.</w:t>
      </w:r>
      <w:proofErr w:type="gramEnd"/>
      <w:r>
        <w:rPr>
          <w:lang w:val="en-GB"/>
        </w:rPr>
        <w:t xml:space="preserve"> many of the improvements (teaching, assessment for learning) are linked to </w:t>
      </w:r>
      <w:r w:rsidR="008B3EEE">
        <w:rPr>
          <w:lang w:val="en-GB"/>
        </w:rPr>
        <w:t>professional learning and development (PLD)</w:t>
      </w:r>
      <w:r>
        <w:rPr>
          <w:lang w:val="en-GB"/>
        </w:rPr>
        <w:t xml:space="preserve"> that is linked to the new curriculum roll-out. All this takes time</w:t>
      </w:r>
      <w:r w:rsidR="008C0E2D">
        <w:rPr>
          <w:lang w:val="en-GB"/>
        </w:rPr>
        <w:t>,</w:t>
      </w:r>
      <w:r w:rsidR="00F26D20">
        <w:rPr>
          <w:lang w:val="en-GB"/>
        </w:rPr>
        <w:t xml:space="preserve"> however</w:t>
      </w:r>
      <w:r>
        <w:rPr>
          <w:lang w:val="en-GB"/>
        </w:rPr>
        <w:t xml:space="preserve"> there are clear signs of progress in 2019. </w:t>
      </w:r>
    </w:p>
    <w:p w14:paraId="18378362" w14:textId="7E5D550C" w:rsidR="00DA2BAA" w:rsidRPr="006A08DE" w:rsidRDefault="003973F8" w:rsidP="0015435E">
      <w:pPr>
        <w:pStyle w:val="Bodytext11"/>
        <w:numPr>
          <w:ilvl w:val="0"/>
          <w:numId w:val="7"/>
        </w:numPr>
        <w:ind w:left="426"/>
        <w:rPr>
          <w:lang w:val="en-GB"/>
        </w:rPr>
      </w:pPr>
      <w:r w:rsidRPr="00B25A0B">
        <w:rPr>
          <w:lang w:val="en-GB"/>
        </w:rPr>
        <w:t>The preparation and implementation of the five-year Curriculum and Professional Development Plan has provided MEHRD and support partners a clear focus, pathway and momentum for the substantial curriculum tasks</w:t>
      </w:r>
      <w:r w:rsidR="00F26D20">
        <w:rPr>
          <w:lang w:val="en-GB"/>
        </w:rPr>
        <w:t xml:space="preserve"> required</w:t>
      </w:r>
      <w:r w:rsidRPr="00B25A0B">
        <w:rPr>
          <w:lang w:val="en-GB"/>
        </w:rPr>
        <w:t xml:space="preserve">. This was supplemented with the </w:t>
      </w:r>
      <w:r w:rsidR="00F26D20">
        <w:rPr>
          <w:lang w:val="en-GB"/>
        </w:rPr>
        <w:t xml:space="preserve">development of a </w:t>
      </w:r>
      <w:r w:rsidRPr="00B25A0B">
        <w:rPr>
          <w:lang w:val="en-GB"/>
        </w:rPr>
        <w:t>Senior Secondary Curriculum Framework. Progress was made with Primary and Junior Secondary</w:t>
      </w:r>
      <w:r>
        <w:rPr>
          <w:lang w:val="en-GB"/>
        </w:rPr>
        <w:t xml:space="preserve"> syllabus development (Cognition Education)</w:t>
      </w:r>
      <w:r w:rsidRPr="00B25A0B">
        <w:rPr>
          <w:lang w:val="en-GB"/>
        </w:rPr>
        <w:t xml:space="preserve"> developing English Y</w:t>
      </w:r>
      <w:r w:rsidR="00F26D20">
        <w:rPr>
          <w:lang w:val="en-GB"/>
        </w:rPr>
        <w:t xml:space="preserve">ear </w:t>
      </w:r>
      <w:r w:rsidRPr="00B25A0B">
        <w:rPr>
          <w:lang w:val="en-GB"/>
        </w:rPr>
        <w:t>5&amp;6; Mathematics Y</w:t>
      </w:r>
      <w:r w:rsidR="00F26D20">
        <w:rPr>
          <w:lang w:val="en-GB"/>
        </w:rPr>
        <w:t xml:space="preserve">ear </w:t>
      </w:r>
      <w:r w:rsidRPr="00B25A0B">
        <w:rPr>
          <w:lang w:val="en-GB"/>
        </w:rPr>
        <w:t>3&amp;4</w:t>
      </w:r>
      <w:r w:rsidR="00F26D20">
        <w:rPr>
          <w:lang w:val="en-GB"/>
        </w:rPr>
        <w:t xml:space="preserve"> </w:t>
      </w:r>
      <w:r w:rsidRPr="00B25A0B">
        <w:rPr>
          <w:lang w:val="en-GB"/>
        </w:rPr>
        <w:t xml:space="preserve">(Teacher Guides &amp; Learner Books). This </w:t>
      </w:r>
      <w:r w:rsidR="00F26D20">
        <w:rPr>
          <w:lang w:val="en-GB"/>
        </w:rPr>
        <w:t xml:space="preserve">work </w:t>
      </w:r>
      <w:r w:rsidRPr="00B25A0B">
        <w:rPr>
          <w:lang w:val="en-GB"/>
        </w:rPr>
        <w:t xml:space="preserve">is well underway and expected to be completed by May 2020. A total of eight titles are ready for desktop publishing and printing, with the contracting process </w:t>
      </w:r>
      <w:r w:rsidR="00F26D20">
        <w:rPr>
          <w:lang w:val="en-GB"/>
        </w:rPr>
        <w:t xml:space="preserve">for these activities </w:t>
      </w:r>
      <w:r w:rsidRPr="00B25A0B">
        <w:rPr>
          <w:lang w:val="en-GB"/>
        </w:rPr>
        <w:t>commenced. 12 draft read</w:t>
      </w:r>
      <w:r w:rsidR="00F26D20">
        <w:rPr>
          <w:lang w:val="en-GB"/>
        </w:rPr>
        <w:t>ing books</w:t>
      </w:r>
      <w:r w:rsidRPr="00B25A0B">
        <w:rPr>
          <w:lang w:val="en-GB"/>
        </w:rPr>
        <w:t xml:space="preserve"> were also developed for PPY using local contracts.</w:t>
      </w:r>
      <w:r w:rsidR="006A08DE" w:rsidRPr="006A08DE">
        <w:rPr>
          <w:lang w:val="en-GB"/>
        </w:rPr>
        <w:t xml:space="preserve"> </w:t>
      </w:r>
      <w:r w:rsidR="00F26D20">
        <w:rPr>
          <w:lang w:val="en-GB"/>
        </w:rPr>
        <w:t>The five</w:t>
      </w:r>
      <w:r w:rsidR="00851E5F">
        <w:rPr>
          <w:lang w:val="en-GB"/>
        </w:rPr>
        <w:t>-</w:t>
      </w:r>
      <w:r w:rsidR="006A08DE" w:rsidRPr="006A08DE">
        <w:rPr>
          <w:lang w:val="en-GB"/>
        </w:rPr>
        <w:t xml:space="preserve">year </w:t>
      </w:r>
      <w:r w:rsidR="00F26D20">
        <w:rPr>
          <w:lang w:val="en-GB"/>
        </w:rPr>
        <w:t>c</w:t>
      </w:r>
      <w:r w:rsidR="006A08DE" w:rsidRPr="006A08DE">
        <w:rPr>
          <w:lang w:val="en-GB"/>
        </w:rPr>
        <w:t>urriculum and professional development plan</w:t>
      </w:r>
      <w:r w:rsidR="004A4B93">
        <w:rPr>
          <w:lang w:val="en-GB"/>
        </w:rPr>
        <w:t>s</w:t>
      </w:r>
      <w:r w:rsidR="006A08DE" w:rsidRPr="006A08DE">
        <w:rPr>
          <w:lang w:val="en-GB"/>
        </w:rPr>
        <w:t xml:space="preserve"> </w:t>
      </w:r>
      <w:r w:rsidR="004A4B93" w:rsidRPr="006A08DE">
        <w:rPr>
          <w:lang w:val="en-GB"/>
        </w:rPr>
        <w:t>were</w:t>
      </w:r>
      <w:r w:rsidR="006A08DE" w:rsidRPr="006A08DE">
        <w:rPr>
          <w:lang w:val="en-GB"/>
        </w:rPr>
        <w:t xml:space="preserve"> also supported by two printing contracts and learning resources distribution activity completed in 2020. Additionally, there are new publishing and printing services in progress in accordance with </w:t>
      </w:r>
      <w:r w:rsidR="00F26D20">
        <w:rPr>
          <w:lang w:val="en-GB"/>
        </w:rPr>
        <w:t>the five</w:t>
      </w:r>
      <w:r w:rsidR="000C29BD">
        <w:rPr>
          <w:lang w:val="en-GB"/>
        </w:rPr>
        <w:t>-</w:t>
      </w:r>
      <w:r w:rsidR="006A08DE" w:rsidRPr="006A08DE">
        <w:rPr>
          <w:lang w:val="en-GB"/>
        </w:rPr>
        <w:t>year plan.</w:t>
      </w:r>
    </w:p>
    <w:p w14:paraId="57AB2DCD" w14:textId="3265E891" w:rsidR="003973F8" w:rsidRDefault="003973F8" w:rsidP="0015435E">
      <w:pPr>
        <w:pStyle w:val="Bodytext11"/>
        <w:numPr>
          <w:ilvl w:val="0"/>
          <w:numId w:val="7"/>
        </w:numPr>
        <w:ind w:left="426"/>
        <w:rPr>
          <w:rFonts w:eastAsiaTheme="minorEastAsia" w:cstheme="minorHAnsi"/>
          <w:bCs/>
        </w:rPr>
      </w:pPr>
      <w:r w:rsidRPr="00E965E0">
        <w:rPr>
          <w:rFonts w:eastAsiaTheme="minorEastAsia" w:cstheme="minorHAnsi"/>
          <w:bCs/>
        </w:rPr>
        <w:t xml:space="preserve">A review and realignment of the School Review process was undertaken strengthening a holistic and integrated approach to school improvement. The </w:t>
      </w:r>
      <w:r w:rsidR="003E1738">
        <w:rPr>
          <w:rFonts w:eastAsiaTheme="minorEastAsia" w:cstheme="minorHAnsi"/>
          <w:bCs/>
        </w:rPr>
        <w:t>updated School R</w:t>
      </w:r>
      <w:r w:rsidRPr="00E965E0">
        <w:rPr>
          <w:rFonts w:eastAsiaTheme="minorEastAsia" w:cstheme="minorHAnsi"/>
          <w:bCs/>
        </w:rPr>
        <w:t xml:space="preserve">eview process will contain three key components self-evaluation, peer evaluation, external review (Whole School Inspection). Significant progress was achieved in 2019 in developing and </w:t>
      </w:r>
      <w:r w:rsidR="00F26D20">
        <w:rPr>
          <w:rFonts w:eastAsiaTheme="minorEastAsia" w:cstheme="minorHAnsi"/>
          <w:bCs/>
        </w:rPr>
        <w:t xml:space="preserve">trialing </w:t>
      </w:r>
      <w:r w:rsidRPr="00E965E0">
        <w:rPr>
          <w:rFonts w:eastAsiaTheme="minorEastAsia" w:cstheme="minorHAnsi"/>
          <w:bCs/>
        </w:rPr>
        <w:t xml:space="preserve">teacher standards. The standards will provide a common language for effective teaching, learning and leadership across the sector. The intent is that they will provide clear expectations and provide a road map to improve outcomes. The Whole School Inspection (WSI) process was reviewed </w:t>
      </w:r>
      <w:r w:rsidR="00232F5B">
        <w:rPr>
          <w:rFonts w:eastAsiaTheme="minorEastAsia" w:cstheme="minorHAnsi"/>
          <w:bCs/>
        </w:rPr>
        <w:t>in 2019</w:t>
      </w:r>
      <w:r w:rsidRPr="00E965E0">
        <w:rPr>
          <w:rFonts w:eastAsiaTheme="minorEastAsia" w:cstheme="minorHAnsi"/>
          <w:bCs/>
        </w:rPr>
        <w:t xml:space="preserve"> to address some of the issues arising from the current WSI process to create a more useful and practical system.</w:t>
      </w:r>
    </w:p>
    <w:p w14:paraId="5D09077C" w14:textId="788A9A70" w:rsidR="003973F8" w:rsidRDefault="003973F8" w:rsidP="0015435E">
      <w:pPr>
        <w:pStyle w:val="Bodytext11"/>
        <w:numPr>
          <w:ilvl w:val="0"/>
          <w:numId w:val="7"/>
        </w:numPr>
        <w:ind w:left="426"/>
        <w:rPr>
          <w:rFonts w:eastAsiaTheme="minorEastAsia" w:cstheme="minorHAnsi"/>
          <w:bCs/>
        </w:rPr>
      </w:pPr>
      <w:r w:rsidRPr="00E468D7">
        <w:rPr>
          <w:rFonts w:eastAsiaTheme="minorEastAsia" w:cstheme="minorHAnsi"/>
          <w:bCs/>
        </w:rPr>
        <w:t>The development and use of a school self-evaluation (SSE) tool and process</w:t>
      </w:r>
      <w:r>
        <w:rPr>
          <w:rFonts w:eastAsiaTheme="minorEastAsia" w:cstheme="minorHAnsi"/>
          <w:bCs/>
        </w:rPr>
        <w:t xml:space="preserve"> was developed a</w:t>
      </w:r>
      <w:r w:rsidRPr="00E468D7">
        <w:rPr>
          <w:rFonts w:eastAsiaTheme="minorEastAsia" w:cstheme="minorHAnsi"/>
          <w:bCs/>
        </w:rPr>
        <w:t xml:space="preserve">s a new integral component of MEHRD’s approach to school improvement and accountability. It is planned that schools will take responsibility for monitoring and measuring progress themselves and use their results to continually improve performance. </w:t>
      </w:r>
    </w:p>
    <w:p w14:paraId="3E70FD1C" w14:textId="0D183B4D" w:rsidR="003973F8" w:rsidRDefault="003973F8" w:rsidP="0015435E">
      <w:pPr>
        <w:pStyle w:val="Bodytext11"/>
        <w:numPr>
          <w:ilvl w:val="0"/>
          <w:numId w:val="7"/>
        </w:numPr>
        <w:ind w:left="426"/>
        <w:rPr>
          <w:rFonts w:eastAsiaTheme="minorEastAsia" w:cstheme="minorHAnsi"/>
          <w:bCs/>
        </w:rPr>
      </w:pPr>
      <w:r w:rsidRPr="005701FD">
        <w:rPr>
          <w:rFonts w:eastAsiaTheme="minorEastAsia" w:cstheme="minorHAnsi"/>
          <w:bCs/>
        </w:rPr>
        <w:t xml:space="preserve">Clearing the backlog of teacher appraisals remained a priority in 2019. From February to June 1,255 Teachers Appraisal Reports were submitted to </w:t>
      </w:r>
      <w:r w:rsidR="003E1738">
        <w:rPr>
          <w:rFonts w:eastAsiaTheme="minorEastAsia" w:cstheme="minorHAnsi"/>
          <w:bCs/>
        </w:rPr>
        <w:t xml:space="preserve">the </w:t>
      </w:r>
      <w:r w:rsidRPr="005701FD">
        <w:rPr>
          <w:rFonts w:eastAsiaTheme="minorEastAsia" w:cstheme="minorHAnsi"/>
          <w:bCs/>
        </w:rPr>
        <w:t xml:space="preserve">Teachers Service Commission through the Teaching Service Office. A review of the current teacher appraisal process was undertaken to identify where improvements can be made. Teachers’ appraisal activity (Self Review) was conducted in all Provinces. The activity was conducted from May to June except for </w:t>
      </w:r>
      <w:proofErr w:type="spellStart"/>
      <w:r w:rsidRPr="005701FD">
        <w:rPr>
          <w:rFonts w:eastAsiaTheme="minorEastAsia" w:cstheme="minorHAnsi"/>
          <w:bCs/>
        </w:rPr>
        <w:t>Ren</w:t>
      </w:r>
      <w:r w:rsidR="00F25364">
        <w:rPr>
          <w:rFonts w:eastAsiaTheme="minorEastAsia" w:cstheme="minorHAnsi"/>
          <w:bCs/>
        </w:rPr>
        <w:t>nel</w:t>
      </w:r>
      <w:r w:rsidR="003E1738">
        <w:rPr>
          <w:rFonts w:eastAsiaTheme="minorEastAsia" w:cstheme="minorHAnsi"/>
          <w:bCs/>
        </w:rPr>
        <w:t>l</w:t>
      </w:r>
      <w:proofErr w:type="spellEnd"/>
      <w:r w:rsidR="00F25364">
        <w:rPr>
          <w:rFonts w:eastAsiaTheme="minorEastAsia" w:cstheme="minorHAnsi"/>
          <w:bCs/>
        </w:rPr>
        <w:t xml:space="preserve"> and </w:t>
      </w:r>
      <w:r w:rsidRPr="005701FD">
        <w:rPr>
          <w:rFonts w:eastAsiaTheme="minorEastAsia" w:cstheme="minorHAnsi"/>
          <w:bCs/>
        </w:rPr>
        <w:t>Bel</w:t>
      </w:r>
      <w:r w:rsidR="003E1738">
        <w:rPr>
          <w:rFonts w:eastAsiaTheme="minorEastAsia" w:cstheme="minorHAnsi"/>
          <w:bCs/>
        </w:rPr>
        <w:t>l</w:t>
      </w:r>
      <w:r w:rsidR="00F25364">
        <w:rPr>
          <w:rFonts w:eastAsiaTheme="minorEastAsia" w:cstheme="minorHAnsi"/>
          <w:bCs/>
        </w:rPr>
        <w:t>ona</w:t>
      </w:r>
      <w:r w:rsidR="003E1738">
        <w:rPr>
          <w:rFonts w:eastAsiaTheme="minorEastAsia" w:cstheme="minorHAnsi"/>
          <w:bCs/>
        </w:rPr>
        <w:t xml:space="preserve"> Province</w:t>
      </w:r>
      <w:r w:rsidRPr="005701FD">
        <w:rPr>
          <w:rFonts w:eastAsiaTheme="minorEastAsia" w:cstheme="minorHAnsi"/>
          <w:bCs/>
        </w:rPr>
        <w:t xml:space="preserve">, </w:t>
      </w:r>
      <w:proofErr w:type="gramStart"/>
      <w:r w:rsidRPr="005701FD">
        <w:rPr>
          <w:rFonts w:eastAsiaTheme="minorEastAsia" w:cstheme="minorHAnsi"/>
          <w:bCs/>
        </w:rPr>
        <w:t>Choiseul</w:t>
      </w:r>
      <w:proofErr w:type="gramEnd"/>
      <w:r w:rsidRPr="005701FD">
        <w:rPr>
          <w:rFonts w:eastAsiaTheme="minorEastAsia" w:cstheme="minorHAnsi"/>
          <w:bCs/>
        </w:rPr>
        <w:t xml:space="preserve"> and Isabel</w:t>
      </w:r>
      <w:r w:rsidR="003E1738">
        <w:rPr>
          <w:rFonts w:eastAsiaTheme="minorEastAsia" w:cstheme="minorHAnsi"/>
          <w:bCs/>
        </w:rPr>
        <w:t xml:space="preserve"> Province</w:t>
      </w:r>
      <w:r w:rsidRPr="005701FD">
        <w:rPr>
          <w:rFonts w:eastAsiaTheme="minorEastAsia" w:cstheme="minorHAnsi"/>
          <w:bCs/>
        </w:rPr>
        <w:t xml:space="preserve">. A total of 556 teachers completed the self-appraisal process.  The new Education Bill will contain further clarity on </w:t>
      </w:r>
      <w:r w:rsidR="00F26D20">
        <w:rPr>
          <w:rFonts w:eastAsiaTheme="minorEastAsia" w:cstheme="minorHAnsi"/>
          <w:bCs/>
        </w:rPr>
        <w:t xml:space="preserve">the process for </w:t>
      </w:r>
      <w:r w:rsidRPr="005701FD">
        <w:rPr>
          <w:rFonts w:eastAsiaTheme="minorEastAsia" w:cstheme="minorHAnsi"/>
          <w:bCs/>
        </w:rPr>
        <w:t>probationary teachers</w:t>
      </w:r>
      <w:r w:rsidR="003E1738">
        <w:rPr>
          <w:rFonts w:eastAsiaTheme="minorEastAsia" w:cstheme="minorHAnsi"/>
          <w:bCs/>
        </w:rPr>
        <w:t>’</w:t>
      </w:r>
      <w:r w:rsidRPr="005701FD">
        <w:rPr>
          <w:rFonts w:eastAsiaTheme="minorEastAsia" w:cstheme="minorHAnsi"/>
          <w:bCs/>
        </w:rPr>
        <w:t xml:space="preserve"> appraisal</w:t>
      </w:r>
      <w:r w:rsidR="008B3EEE">
        <w:rPr>
          <w:rFonts w:eastAsiaTheme="minorEastAsia" w:cstheme="minorHAnsi"/>
          <w:bCs/>
        </w:rPr>
        <w:t xml:space="preserve"> and confirmation</w:t>
      </w:r>
      <w:r w:rsidRPr="005701FD">
        <w:rPr>
          <w:rFonts w:eastAsiaTheme="minorEastAsia" w:cstheme="minorHAnsi"/>
          <w:bCs/>
        </w:rPr>
        <w:t xml:space="preserve">. </w:t>
      </w:r>
    </w:p>
    <w:p w14:paraId="3396B57C" w14:textId="5B0A6A2B" w:rsidR="008D12C1" w:rsidRPr="008D12C1" w:rsidRDefault="00E30313" w:rsidP="0015435E">
      <w:pPr>
        <w:pStyle w:val="Bodytext11"/>
        <w:numPr>
          <w:ilvl w:val="0"/>
          <w:numId w:val="7"/>
        </w:numPr>
        <w:ind w:left="426"/>
        <w:rPr>
          <w:rFonts w:eastAsiaTheme="minorEastAsia" w:cstheme="minorHAnsi"/>
          <w:bCs/>
        </w:rPr>
      </w:pPr>
      <w:r>
        <w:rPr>
          <w:rFonts w:eastAsiaTheme="minorEastAsia" w:cstheme="minorHAnsi"/>
          <w:bCs/>
        </w:rPr>
        <w:t>Analysis of PILNA results show</w:t>
      </w:r>
      <w:r w:rsidR="008D12C1" w:rsidRPr="008D12C1">
        <w:rPr>
          <w:rFonts w:eastAsiaTheme="minorEastAsia" w:cstheme="minorHAnsi"/>
          <w:bCs/>
        </w:rPr>
        <w:t xml:space="preserve"> significant year on year improvements in literacy and numeracy levels and puts the Solomon Islands 14% above the regional average in numeracy and above average in literacy.</w:t>
      </w:r>
    </w:p>
    <w:p w14:paraId="37BD3548" w14:textId="596222A2" w:rsidR="008D12C1" w:rsidRPr="00E957E3" w:rsidRDefault="008D12C1" w:rsidP="009165DB">
      <w:pPr>
        <w:pStyle w:val="Tablecontent"/>
        <w:rPr>
          <w:i/>
          <w:iCs/>
          <w:sz w:val="18"/>
          <w:szCs w:val="20"/>
        </w:rPr>
      </w:pPr>
      <w:bookmarkStart w:id="17" w:name="_Toc44398973"/>
      <w:bookmarkStart w:id="18" w:name="_Toc48750600"/>
      <w:r w:rsidRPr="009165DB">
        <w:rPr>
          <w:i/>
          <w:iCs/>
          <w:sz w:val="18"/>
          <w:szCs w:val="20"/>
        </w:rPr>
        <w:t xml:space="preserve">Table </w:t>
      </w:r>
      <w:r w:rsidR="00E957E3" w:rsidRPr="009165DB">
        <w:rPr>
          <w:i/>
          <w:iCs/>
          <w:sz w:val="18"/>
          <w:szCs w:val="20"/>
        </w:rPr>
        <w:fldChar w:fldCharType="begin"/>
      </w:r>
      <w:r w:rsidR="00E957E3" w:rsidRPr="009165DB">
        <w:rPr>
          <w:i/>
          <w:iCs/>
          <w:sz w:val="18"/>
          <w:szCs w:val="20"/>
        </w:rPr>
        <w:instrText xml:space="preserve"> SEQ Table \* ARABIC </w:instrText>
      </w:r>
      <w:r w:rsidR="00E957E3" w:rsidRPr="009165DB">
        <w:rPr>
          <w:i/>
          <w:iCs/>
          <w:sz w:val="18"/>
          <w:szCs w:val="20"/>
        </w:rPr>
        <w:fldChar w:fldCharType="separate"/>
      </w:r>
      <w:r w:rsidR="00912E1E">
        <w:rPr>
          <w:i/>
          <w:iCs/>
          <w:noProof/>
          <w:sz w:val="18"/>
          <w:szCs w:val="20"/>
        </w:rPr>
        <w:t>3</w:t>
      </w:r>
      <w:r w:rsidR="00E957E3" w:rsidRPr="009165DB">
        <w:rPr>
          <w:i/>
          <w:iCs/>
          <w:sz w:val="18"/>
          <w:szCs w:val="20"/>
        </w:rPr>
        <w:fldChar w:fldCharType="end"/>
      </w:r>
      <w:r w:rsidR="00E957E3" w:rsidRPr="009165DB">
        <w:rPr>
          <w:i/>
          <w:iCs/>
          <w:sz w:val="18"/>
          <w:szCs w:val="20"/>
        </w:rPr>
        <w:t>:</w:t>
      </w:r>
      <w:r w:rsidRPr="009165DB">
        <w:rPr>
          <w:i/>
          <w:iCs/>
          <w:sz w:val="18"/>
          <w:szCs w:val="20"/>
        </w:rPr>
        <w:t xml:space="preserve"> Comparative Results of PILNA Assessment</w:t>
      </w:r>
      <w:bookmarkEnd w:id="17"/>
      <w:bookmarkEnd w:id="18"/>
      <w:r w:rsidR="00DE099B">
        <w:rPr>
          <w:i/>
          <w:iCs/>
          <w:sz w:val="18"/>
          <w:szCs w:val="20"/>
        </w:rPr>
        <w:t xml:space="preserve"> - </w:t>
      </w:r>
      <w:r w:rsidR="00DE099B" w:rsidRPr="00DE099B">
        <w:rPr>
          <w:i/>
          <w:iCs/>
          <w:sz w:val="18"/>
          <w:szCs w:val="20"/>
        </w:rPr>
        <w:t>% of students at or above expected proficiency level</w:t>
      </w:r>
    </w:p>
    <w:tbl>
      <w:tblPr>
        <w:tblStyle w:val="GridTable4-Accent11"/>
        <w:tblW w:w="8295" w:type="dxa"/>
        <w:tblLook w:val="04A0" w:firstRow="1" w:lastRow="0" w:firstColumn="1" w:lastColumn="0" w:noHBand="0" w:noVBand="1"/>
      </w:tblPr>
      <w:tblGrid>
        <w:gridCol w:w="1183"/>
        <w:gridCol w:w="1183"/>
        <w:gridCol w:w="1186"/>
        <w:gridCol w:w="1186"/>
        <w:gridCol w:w="1185"/>
        <w:gridCol w:w="1187"/>
        <w:gridCol w:w="1185"/>
      </w:tblGrid>
      <w:tr w:rsidR="00DE099B" w:rsidRPr="00E30313" w14:paraId="4D22174A" w14:textId="77777777" w:rsidTr="00A247FE">
        <w:trPr>
          <w:cnfStyle w:val="100000000000" w:firstRow="1" w:lastRow="0" w:firstColumn="0" w:lastColumn="0" w:oddVBand="0" w:evenVBand="0" w:oddHBand="0"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8EAADB" w:themeColor="accent1" w:themeTint="99"/>
            </w:tcBorders>
            <w:vAlign w:val="center"/>
          </w:tcPr>
          <w:p w14:paraId="688025E7" w14:textId="77777777" w:rsidR="00DE099B" w:rsidRPr="00E30313" w:rsidRDefault="00DE099B" w:rsidP="0015435E">
            <w:pPr>
              <w:spacing w:after="0" w:line="240" w:lineRule="auto"/>
              <w:jc w:val="center"/>
              <w:rPr>
                <w:rFonts w:asciiTheme="minorHAnsi" w:hAnsiTheme="minorHAnsi" w:cstheme="minorHAnsi"/>
              </w:rPr>
            </w:pPr>
          </w:p>
        </w:tc>
        <w:tc>
          <w:tcPr>
            <w:tcW w:w="1183" w:type="dxa"/>
            <w:tcBorders>
              <w:top w:val="single" w:sz="4" w:space="0" w:color="8EAADB" w:themeColor="accent1" w:themeTint="99"/>
              <w:left w:val="single" w:sz="4" w:space="0" w:color="8EAADB" w:themeColor="accent1" w:themeTint="99"/>
              <w:bottom w:val="single" w:sz="4" w:space="0" w:color="8EAADB" w:themeColor="accent1" w:themeTint="99"/>
            </w:tcBorders>
            <w:vAlign w:val="center"/>
          </w:tcPr>
          <w:p w14:paraId="173B03CF" w14:textId="77777777" w:rsidR="00DE099B" w:rsidRPr="00E30313" w:rsidRDefault="00DE099B" w:rsidP="001543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186" w:type="dxa"/>
            <w:tcBorders>
              <w:top w:val="single" w:sz="4" w:space="0" w:color="8EAADB" w:themeColor="accent1" w:themeTint="99"/>
              <w:bottom w:val="single" w:sz="4" w:space="0" w:color="8EAADB" w:themeColor="accent1" w:themeTint="99"/>
            </w:tcBorders>
            <w:vAlign w:val="center"/>
          </w:tcPr>
          <w:p w14:paraId="07200020" w14:textId="77777777" w:rsidR="00DE099B" w:rsidRPr="00E30313" w:rsidRDefault="00DE099B" w:rsidP="0015435E">
            <w:pPr>
              <w:spacing w:after="0" w:line="240" w:lineRule="auto"/>
              <w:ind w:left="22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30313">
              <w:rPr>
                <w:rFonts w:asciiTheme="minorHAnsi" w:eastAsia="Times New Roman" w:hAnsiTheme="minorHAnsi" w:cstheme="minorHAnsi"/>
                <w:b w:val="0"/>
                <w:sz w:val="20"/>
                <w:szCs w:val="20"/>
              </w:rPr>
              <w:t>Year 4</w:t>
            </w:r>
          </w:p>
        </w:tc>
        <w:tc>
          <w:tcPr>
            <w:tcW w:w="1186"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4E0DDD76" w14:textId="4DB07FB4" w:rsidR="00DE099B" w:rsidRPr="00E30313" w:rsidRDefault="00DE099B" w:rsidP="0015435E">
            <w:pPr>
              <w:spacing w:after="0" w:line="240" w:lineRule="auto"/>
              <w:ind w:left="22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185" w:type="dxa"/>
            <w:tcBorders>
              <w:left w:val="single" w:sz="4" w:space="0" w:color="8EAADB" w:themeColor="accent1" w:themeTint="99"/>
            </w:tcBorders>
            <w:vAlign w:val="center"/>
          </w:tcPr>
          <w:p w14:paraId="78B627BF" w14:textId="7918E546" w:rsidR="00DE099B" w:rsidRPr="00E30313" w:rsidRDefault="00DE099B" w:rsidP="0015435E">
            <w:pPr>
              <w:spacing w:after="0" w:line="240" w:lineRule="auto"/>
              <w:ind w:right="17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187" w:type="dxa"/>
            <w:vAlign w:val="center"/>
          </w:tcPr>
          <w:p w14:paraId="04F5D9BA" w14:textId="4B20B60D" w:rsidR="00DE099B" w:rsidRPr="00E30313" w:rsidRDefault="00DE099B" w:rsidP="0015435E">
            <w:pPr>
              <w:spacing w:after="0" w:line="240" w:lineRule="auto"/>
              <w:ind w:right="17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30313">
              <w:rPr>
                <w:rFonts w:asciiTheme="minorHAnsi" w:eastAsia="Times New Roman" w:hAnsiTheme="minorHAnsi" w:cstheme="minorHAnsi"/>
                <w:b w:val="0"/>
                <w:sz w:val="20"/>
                <w:szCs w:val="20"/>
              </w:rPr>
              <w:t>Year 6</w:t>
            </w:r>
          </w:p>
        </w:tc>
        <w:tc>
          <w:tcPr>
            <w:tcW w:w="1185" w:type="dxa"/>
            <w:vAlign w:val="center"/>
          </w:tcPr>
          <w:p w14:paraId="66AE7096" w14:textId="77777777" w:rsidR="00DE099B" w:rsidRPr="00E30313" w:rsidRDefault="00DE099B" w:rsidP="001543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DE099B" w:rsidRPr="00E30313" w14:paraId="07E5C908" w14:textId="77777777" w:rsidTr="00A247FE">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0" w:type="auto"/>
            <w:vAlign w:val="center"/>
          </w:tcPr>
          <w:p w14:paraId="2FE441D5" w14:textId="77777777" w:rsidR="00DE099B" w:rsidRPr="00E30313" w:rsidRDefault="00DE099B" w:rsidP="0015435E">
            <w:pPr>
              <w:spacing w:after="0" w:line="240" w:lineRule="auto"/>
              <w:jc w:val="center"/>
              <w:rPr>
                <w:rFonts w:asciiTheme="minorHAnsi" w:hAnsiTheme="minorHAnsi" w:cstheme="minorHAnsi"/>
              </w:rPr>
            </w:pPr>
          </w:p>
        </w:tc>
        <w:tc>
          <w:tcPr>
            <w:tcW w:w="1183" w:type="dxa"/>
            <w:tcBorders>
              <w:top w:val="single" w:sz="4" w:space="0" w:color="8EAADB" w:themeColor="accent1" w:themeTint="99"/>
            </w:tcBorders>
            <w:vAlign w:val="center"/>
          </w:tcPr>
          <w:p w14:paraId="62BE5AF3" w14:textId="727A1D79" w:rsidR="00DE099B" w:rsidRPr="00E30313" w:rsidRDefault="00DE099B" w:rsidP="0015435E">
            <w:pPr>
              <w:spacing w:after="0" w:line="240" w:lineRule="auto"/>
              <w:ind w:left="4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30313">
              <w:rPr>
                <w:rFonts w:asciiTheme="minorHAnsi" w:eastAsia="Times New Roman" w:hAnsiTheme="minorHAnsi" w:cstheme="minorHAnsi"/>
                <w:b/>
                <w:sz w:val="20"/>
                <w:szCs w:val="20"/>
              </w:rPr>
              <w:t>2012</w:t>
            </w:r>
          </w:p>
        </w:tc>
        <w:tc>
          <w:tcPr>
            <w:tcW w:w="1186" w:type="dxa"/>
            <w:tcBorders>
              <w:top w:val="single" w:sz="4" w:space="0" w:color="8EAADB" w:themeColor="accent1" w:themeTint="99"/>
            </w:tcBorders>
            <w:vAlign w:val="center"/>
          </w:tcPr>
          <w:p w14:paraId="3BB3FC90" w14:textId="51C99A73" w:rsidR="00DE099B" w:rsidRPr="00E30313" w:rsidRDefault="00DE099B" w:rsidP="0015435E">
            <w:pPr>
              <w:spacing w:after="0" w:line="240" w:lineRule="auto"/>
              <w:ind w:left="4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30313">
              <w:rPr>
                <w:rFonts w:asciiTheme="minorHAnsi" w:eastAsia="Times New Roman" w:hAnsiTheme="minorHAnsi" w:cstheme="minorHAnsi"/>
                <w:b/>
                <w:sz w:val="20"/>
                <w:szCs w:val="20"/>
              </w:rPr>
              <w:t>2015</w:t>
            </w:r>
          </w:p>
        </w:tc>
        <w:tc>
          <w:tcPr>
            <w:tcW w:w="1186" w:type="dxa"/>
            <w:tcBorders>
              <w:top w:val="single" w:sz="4" w:space="0" w:color="8EAADB" w:themeColor="accent1" w:themeTint="99"/>
            </w:tcBorders>
            <w:vAlign w:val="center"/>
          </w:tcPr>
          <w:p w14:paraId="02ECE374" w14:textId="3E371268" w:rsidR="00DE099B" w:rsidRPr="00E30313" w:rsidRDefault="00DE099B" w:rsidP="0015435E">
            <w:pPr>
              <w:spacing w:after="0" w:line="240" w:lineRule="auto"/>
              <w:ind w:left="4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30313">
              <w:rPr>
                <w:rFonts w:asciiTheme="minorHAnsi" w:eastAsia="Times New Roman" w:hAnsiTheme="minorHAnsi" w:cstheme="minorHAnsi"/>
                <w:b/>
                <w:sz w:val="20"/>
                <w:szCs w:val="20"/>
              </w:rPr>
              <w:t>2018</w:t>
            </w:r>
          </w:p>
        </w:tc>
        <w:tc>
          <w:tcPr>
            <w:tcW w:w="1185" w:type="dxa"/>
            <w:vAlign w:val="center"/>
          </w:tcPr>
          <w:p w14:paraId="54DE8306" w14:textId="61C9F772" w:rsidR="00DE099B" w:rsidRPr="00E30313" w:rsidRDefault="00DE099B" w:rsidP="0015435E">
            <w:pPr>
              <w:spacing w:after="0" w:line="240" w:lineRule="auto"/>
              <w:ind w:left="4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30313">
              <w:rPr>
                <w:rFonts w:asciiTheme="minorHAnsi" w:eastAsia="Times New Roman" w:hAnsiTheme="minorHAnsi" w:cstheme="minorHAnsi"/>
                <w:b/>
                <w:sz w:val="20"/>
                <w:szCs w:val="20"/>
              </w:rPr>
              <w:t>2012</w:t>
            </w:r>
          </w:p>
        </w:tc>
        <w:tc>
          <w:tcPr>
            <w:tcW w:w="1187" w:type="dxa"/>
            <w:vAlign w:val="center"/>
          </w:tcPr>
          <w:p w14:paraId="77556BA0" w14:textId="1C26BE30" w:rsidR="00DE099B" w:rsidRPr="00E30313" w:rsidRDefault="00DE099B" w:rsidP="0015435E">
            <w:pPr>
              <w:spacing w:after="0" w:line="240" w:lineRule="auto"/>
              <w:ind w:left="4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30313">
              <w:rPr>
                <w:rFonts w:asciiTheme="minorHAnsi" w:eastAsia="Times New Roman" w:hAnsiTheme="minorHAnsi" w:cstheme="minorHAnsi"/>
                <w:b/>
                <w:sz w:val="20"/>
                <w:szCs w:val="20"/>
              </w:rPr>
              <w:t>2015</w:t>
            </w:r>
          </w:p>
        </w:tc>
        <w:tc>
          <w:tcPr>
            <w:tcW w:w="1185" w:type="dxa"/>
            <w:vAlign w:val="center"/>
          </w:tcPr>
          <w:p w14:paraId="230EBFEE" w14:textId="155AEEE3" w:rsidR="00DE099B" w:rsidRPr="00E30313" w:rsidRDefault="00DE099B" w:rsidP="0015435E">
            <w:pPr>
              <w:spacing w:after="0" w:line="240" w:lineRule="auto"/>
              <w:ind w:left="4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30313">
              <w:rPr>
                <w:rFonts w:asciiTheme="minorHAnsi" w:eastAsia="Times New Roman" w:hAnsiTheme="minorHAnsi" w:cstheme="minorHAnsi"/>
                <w:b/>
                <w:sz w:val="20"/>
                <w:szCs w:val="20"/>
              </w:rPr>
              <w:t>2018</w:t>
            </w:r>
          </w:p>
        </w:tc>
      </w:tr>
      <w:tr w:rsidR="008D12C1" w:rsidRPr="00E30313" w14:paraId="2AF48D87" w14:textId="77777777" w:rsidTr="00DE099B">
        <w:trPr>
          <w:trHeight w:val="190"/>
        </w:trPr>
        <w:tc>
          <w:tcPr>
            <w:cnfStyle w:val="001000000000" w:firstRow="0" w:lastRow="0" w:firstColumn="1" w:lastColumn="0" w:oddVBand="0" w:evenVBand="0" w:oddHBand="0" w:evenHBand="0" w:firstRowFirstColumn="0" w:firstRowLastColumn="0" w:lastRowFirstColumn="0" w:lastRowLastColumn="0"/>
            <w:tcW w:w="1183" w:type="dxa"/>
            <w:vAlign w:val="center"/>
          </w:tcPr>
          <w:p w14:paraId="155DFAE5" w14:textId="5C8B3DD3" w:rsidR="008D12C1" w:rsidRPr="00E30313" w:rsidRDefault="008D12C1" w:rsidP="0015435E">
            <w:pPr>
              <w:spacing w:after="0" w:line="240" w:lineRule="auto"/>
              <w:jc w:val="center"/>
              <w:rPr>
                <w:rFonts w:asciiTheme="minorHAnsi" w:hAnsiTheme="minorHAnsi" w:cstheme="minorHAnsi"/>
                <w:sz w:val="20"/>
                <w:szCs w:val="20"/>
              </w:rPr>
            </w:pPr>
            <w:r w:rsidRPr="00E30313">
              <w:rPr>
                <w:rFonts w:asciiTheme="minorHAnsi" w:eastAsia="Times New Roman" w:hAnsiTheme="minorHAnsi" w:cstheme="minorHAnsi"/>
                <w:sz w:val="20"/>
                <w:szCs w:val="20"/>
              </w:rPr>
              <w:t>Numeracy</w:t>
            </w:r>
          </w:p>
        </w:tc>
        <w:tc>
          <w:tcPr>
            <w:tcW w:w="1183" w:type="dxa"/>
            <w:vAlign w:val="center"/>
          </w:tcPr>
          <w:p w14:paraId="516EE581" w14:textId="64CFACCE" w:rsidR="008D12C1" w:rsidRPr="00E30313" w:rsidRDefault="008D12C1" w:rsidP="0015435E">
            <w:pPr>
              <w:spacing w:after="0" w:line="240" w:lineRule="auto"/>
              <w:ind w:left="4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30313">
              <w:rPr>
                <w:rFonts w:asciiTheme="minorHAnsi" w:hAnsiTheme="minorHAnsi" w:cstheme="minorHAnsi"/>
                <w:sz w:val="20"/>
                <w:szCs w:val="20"/>
              </w:rPr>
              <w:t>92</w:t>
            </w:r>
          </w:p>
        </w:tc>
        <w:tc>
          <w:tcPr>
            <w:tcW w:w="1186" w:type="dxa"/>
            <w:vAlign w:val="center"/>
          </w:tcPr>
          <w:p w14:paraId="26675630" w14:textId="0E253CEC" w:rsidR="008D12C1" w:rsidRPr="00E30313" w:rsidRDefault="008D12C1" w:rsidP="0015435E">
            <w:pPr>
              <w:spacing w:after="0" w:line="240" w:lineRule="auto"/>
              <w:ind w:left="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30313">
              <w:rPr>
                <w:rFonts w:asciiTheme="minorHAnsi" w:hAnsiTheme="minorHAnsi" w:cstheme="minorHAnsi"/>
                <w:sz w:val="20"/>
                <w:szCs w:val="20"/>
              </w:rPr>
              <w:t>97</w:t>
            </w:r>
          </w:p>
        </w:tc>
        <w:tc>
          <w:tcPr>
            <w:tcW w:w="1186" w:type="dxa"/>
            <w:vAlign w:val="center"/>
          </w:tcPr>
          <w:p w14:paraId="65623E7C" w14:textId="459ED44B" w:rsidR="008D12C1" w:rsidRPr="00E30313" w:rsidRDefault="008D12C1" w:rsidP="0015435E">
            <w:pPr>
              <w:spacing w:after="0" w:line="240" w:lineRule="auto"/>
              <w:ind w:left="3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30313">
              <w:rPr>
                <w:rFonts w:asciiTheme="minorHAnsi" w:hAnsiTheme="minorHAnsi" w:cstheme="minorHAnsi"/>
                <w:sz w:val="20"/>
                <w:szCs w:val="20"/>
              </w:rPr>
              <w:t>97</w:t>
            </w:r>
          </w:p>
        </w:tc>
        <w:tc>
          <w:tcPr>
            <w:tcW w:w="1185" w:type="dxa"/>
            <w:vAlign w:val="center"/>
          </w:tcPr>
          <w:p w14:paraId="05040D17" w14:textId="794321AD" w:rsidR="008D12C1" w:rsidRPr="00E30313" w:rsidRDefault="008D12C1" w:rsidP="0015435E">
            <w:pPr>
              <w:spacing w:after="0" w:line="240" w:lineRule="auto"/>
              <w:ind w:left="4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30313">
              <w:rPr>
                <w:rFonts w:asciiTheme="minorHAnsi" w:hAnsiTheme="minorHAnsi" w:cstheme="minorHAnsi"/>
                <w:sz w:val="20"/>
                <w:szCs w:val="20"/>
              </w:rPr>
              <w:t>82</w:t>
            </w:r>
          </w:p>
        </w:tc>
        <w:tc>
          <w:tcPr>
            <w:tcW w:w="1187" w:type="dxa"/>
            <w:vAlign w:val="center"/>
          </w:tcPr>
          <w:p w14:paraId="0776F05E" w14:textId="1F6FE149" w:rsidR="008D12C1" w:rsidRPr="00E30313" w:rsidRDefault="008D12C1" w:rsidP="0015435E">
            <w:pPr>
              <w:spacing w:after="0" w:line="240" w:lineRule="auto"/>
              <w:ind w:left="3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30313">
              <w:rPr>
                <w:rFonts w:asciiTheme="minorHAnsi" w:hAnsiTheme="minorHAnsi" w:cstheme="minorHAnsi"/>
                <w:sz w:val="20"/>
                <w:szCs w:val="20"/>
              </w:rPr>
              <w:t>93</w:t>
            </w:r>
          </w:p>
        </w:tc>
        <w:tc>
          <w:tcPr>
            <w:tcW w:w="1185" w:type="dxa"/>
            <w:vAlign w:val="center"/>
          </w:tcPr>
          <w:p w14:paraId="78F004C9" w14:textId="222275AD" w:rsidR="008D12C1" w:rsidRPr="00E30313" w:rsidRDefault="008D12C1" w:rsidP="0015435E">
            <w:pPr>
              <w:spacing w:after="0" w:line="240" w:lineRule="auto"/>
              <w:ind w:left="4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30313">
              <w:rPr>
                <w:rFonts w:asciiTheme="minorHAnsi" w:hAnsiTheme="minorHAnsi" w:cstheme="minorHAnsi"/>
                <w:sz w:val="20"/>
                <w:szCs w:val="20"/>
              </w:rPr>
              <w:t>96</w:t>
            </w:r>
          </w:p>
        </w:tc>
      </w:tr>
      <w:tr w:rsidR="008D12C1" w:rsidRPr="00E30313" w14:paraId="686A1502" w14:textId="77777777" w:rsidTr="00DE099B">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183" w:type="dxa"/>
            <w:vAlign w:val="center"/>
          </w:tcPr>
          <w:p w14:paraId="02E64D49" w14:textId="1F09449E" w:rsidR="008D12C1" w:rsidRPr="00E30313" w:rsidRDefault="008D12C1" w:rsidP="0015435E">
            <w:pPr>
              <w:spacing w:after="0" w:line="240" w:lineRule="auto"/>
              <w:jc w:val="center"/>
              <w:rPr>
                <w:rFonts w:asciiTheme="minorHAnsi" w:hAnsiTheme="minorHAnsi" w:cstheme="minorHAnsi"/>
                <w:sz w:val="20"/>
                <w:szCs w:val="20"/>
              </w:rPr>
            </w:pPr>
            <w:r w:rsidRPr="00E30313">
              <w:rPr>
                <w:rFonts w:asciiTheme="minorHAnsi" w:eastAsia="Times New Roman" w:hAnsiTheme="minorHAnsi" w:cstheme="minorHAnsi"/>
                <w:sz w:val="20"/>
                <w:szCs w:val="20"/>
              </w:rPr>
              <w:t>Literacy</w:t>
            </w:r>
          </w:p>
        </w:tc>
        <w:tc>
          <w:tcPr>
            <w:tcW w:w="1183" w:type="dxa"/>
            <w:vAlign w:val="center"/>
          </w:tcPr>
          <w:p w14:paraId="582FA9CF" w14:textId="419A21E9" w:rsidR="008D12C1" w:rsidRPr="00E30313" w:rsidRDefault="008D12C1" w:rsidP="0015435E">
            <w:pPr>
              <w:spacing w:after="0" w:line="240" w:lineRule="auto"/>
              <w:ind w:left="4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30313">
              <w:rPr>
                <w:rFonts w:asciiTheme="minorHAnsi" w:hAnsiTheme="minorHAnsi" w:cstheme="minorHAnsi"/>
                <w:sz w:val="20"/>
                <w:szCs w:val="20"/>
              </w:rPr>
              <w:t>50</w:t>
            </w:r>
          </w:p>
        </w:tc>
        <w:tc>
          <w:tcPr>
            <w:tcW w:w="1186" w:type="dxa"/>
            <w:vAlign w:val="center"/>
          </w:tcPr>
          <w:p w14:paraId="37923E32" w14:textId="5113D08B" w:rsidR="008D12C1" w:rsidRPr="00E30313" w:rsidRDefault="008D12C1" w:rsidP="0015435E">
            <w:pPr>
              <w:spacing w:after="0" w:line="240" w:lineRule="auto"/>
              <w:ind w:left="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30313">
              <w:rPr>
                <w:rFonts w:asciiTheme="minorHAnsi" w:hAnsiTheme="minorHAnsi" w:cstheme="minorHAnsi"/>
                <w:sz w:val="20"/>
                <w:szCs w:val="20"/>
              </w:rPr>
              <w:t>50</w:t>
            </w:r>
          </w:p>
        </w:tc>
        <w:tc>
          <w:tcPr>
            <w:tcW w:w="1186" w:type="dxa"/>
            <w:vAlign w:val="center"/>
          </w:tcPr>
          <w:p w14:paraId="0068E666" w14:textId="003449BA" w:rsidR="008D12C1" w:rsidRPr="00E30313" w:rsidRDefault="008D12C1" w:rsidP="0015435E">
            <w:pPr>
              <w:spacing w:after="0" w:line="240" w:lineRule="auto"/>
              <w:ind w:left="3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30313">
              <w:rPr>
                <w:rFonts w:asciiTheme="minorHAnsi" w:hAnsiTheme="minorHAnsi" w:cstheme="minorHAnsi"/>
                <w:sz w:val="20"/>
                <w:szCs w:val="20"/>
              </w:rPr>
              <w:t>54</w:t>
            </w:r>
          </w:p>
        </w:tc>
        <w:tc>
          <w:tcPr>
            <w:tcW w:w="1185" w:type="dxa"/>
            <w:vAlign w:val="center"/>
          </w:tcPr>
          <w:p w14:paraId="535B8F8D" w14:textId="70FD2741" w:rsidR="008D12C1" w:rsidRPr="00E30313" w:rsidRDefault="008D12C1" w:rsidP="0015435E">
            <w:pPr>
              <w:spacing w:after="0" w:line="240" w:lineRule="auto"/>
              <w:ind w:left="4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30313">
              <w:rPr>
                <w:rFonts w:asciiTheme="minorHAnsi" w:hAnsiTheme="minorHAnsi" w:cstheme="minorHAnsi"/>
                <w:sz w:val="20"/>
                <w:szCs w:val="20"/>
              </w:rPr>
              <w:t>67</w:t>
            </w:r>
          </w:p>
        </w:tc>
        <w:tc>
          <w:tcPr>
            <w:tcW w:w="1187" w:type="dxa"/>
            <w:vAlign w:val="center"/>
          </w:tcPr>
          <w:p w14:paraId="7A9EEC69" w14:textId="3AD7DBC8" w:rsidR="008D12C1" w:rsidRPr="00E30313" w:rsidRDefault="008D12C1" w:rsidP="0015435E">
            <w:pPr>
              <w:spacing w:after="0" w:line="240" w:lineRule="auto"/>
              <w:ind w:left="3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30313">
              <w:rPr>
                <w:rFonts w:asciiTheme="minorHAnsi" w:hAnsiTheme="minorHAnsi" w:cstheme="minorHAnsi"/>
                <w:sz w:val="20"/>
                <w:szCs w:val="20"/>
              </w:rPr>
              <w:t>66</w:t>
            </w:r>
          </w:p>
        </w:tc>
        <w:tc>
          <w:tcPr>
            <w:tcW w:w="1185" w:type="dxa"/>
            <w:vAlign w:val="center"/>
          </w:tcPr>
          <w:p w14:paraId="3DE07EB7" w14:textId="06175091" w:rsidR="008D12C1" w:rsidRPr="00E30313" w:rsidRDefault="008D12C1" w:rsidP="0015435E">
            <w:pPr>
              <w:spacing w:after="0" w:line="240" w:lineRule="auto"/>
              <w:ind w:left="4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30313">
              <w:rPr>
                <w:rFonts w:asciiTheme="minorHAnsi" w:hAnsiTheme="minorHAnsi" w:cstheme="minorHAnsi"/>
                <w:sz w:val="20"/>
                <w:szCs w:val="20"/>
              </w:rPr>
              <w:t>70</w:t>
            </w:r>
          </w:p>
        </w:tc>
      </w:tr>
    </w:tbl>
    <w:p w14:paraId="48B4E875" w14:textId="77777777" w:rsidR="008D12C1" w:rsidRDefault="008D12C1" w:rsidP="0015435E">
      <w:pPr>
        <w:spacing w:after="137" w:line="240" w:lineRule="auto"/>
      </w:pPr>
      <w:r>
        <w:t xml:space="preserve"> </w:t>
      </w:r>
    </w:p>
    <w:p w14:paraId="5F46BE92" w14:textId="5FED6A32" w:rsidR="008D12C1" w:rsidRPr="009165DB" w:rsidRDefault="00E957E3" w:rsidP="009165DB">
      <w:pPr>
        <w:pStyle w:val="Tablecontent"/>
        <w:rPr>
          <w:i/>
          <w:iCs/>
          <w:sz w:val="18"/>
          <w:szCs w:val="20"/>
        </w:rPr>
      </w:pPr>
      <w:bookmarkStart w:id="19" w:name="_Toc44398974"/>
      <w:bookmarkStart w:id="20" w:name="_Toc48750601"/>
      <w:r w:rsidRPr="009165DB">
        <w:rPr>
          <w:i/>
          <w:iCs/>
          <w:sz w:val="18"/>
          <w:szCs w:val="20"/>
        </w:rPr>
        <w:t xml:space="preserve">Table </w:t>
      </w:r>
      <w:r w:rsidRPr="009165DB">
        <w:rPr>
          <w:i/>
          <w:iCs/>
          <w:sz w:val="18"/>
          <w:szCs w:val="20"/>
        </w:rPr>
        <w:fldChar w:fldCharType="begin"/>
      </w:r>
      <w:r w:rsidRPr="009165DB">
        <w:rPr>
          <w:i/>
          <w:iCs/>
          <w:sz w:val="18"/>
          <w:szCs w:val="20"/>
        </w:rPr>
        <w:instrText xml:space="preserve"> SEQ Table \* ARABIC </w:instrText>
      </w:r>
      <w:r w:rsidRPr="009165DB">
        <w:rPr>
          <w:i/>
          <w:iCs/>
          <w:sz w:val="18"/>
          <w:szCs w:val="20"/>
        </w:rPr>
        <w:fldChar w:fldCharType="separate"/>
      </w:r>
      <w:r w:rsidR="00912E1E">
        <w:rPr>
          <w:i/>
          <w:iCs/>
          <w:noProof/>
          <w:sz w:val="18"/>
          <w:szCs w:val="20"/>
        </w:rPr>
        <w:t>4</w:t>
      </w:r>
      <w:r w:rsidRPr="009165DB">
        <w:rPr>
          <w:i/>
          <w:iCs/>
          <w:sz w:val="18"/>
          <w:szCs w:val="20"/>
        </w:rPr>
        <w:fldChar w:fldCharType="end"/>
      </w:r>
      <w:r w:rsidRPr="009165DB">
        <w:rPr>
          <w:i/>
          <w:iCs/>
          <w:sz w:val="18"/>
          <w:szCs w:val="20"/>
        </w:rPr>
        <w:t xml:space="preserve">: </w:t>
      </w:r>
      <w:r w:rsidR="008D12C1" w:rsidRPr="009165DB">
        <w:rPr>
          <w:i/>
          <w:iCs/>
          <w:sz w:val="18"/>
          <w:szCs w:val="20"/>
        </w:rPr>
        <w:t>Regional Comparison Year 4 &amp; 6 Results 2018</w:t>
      </w:r>
      <w:bookmarkEnd w:id="19"/>
      <w:bookmarkEnd w:id="20"/>
      <w:r w:rsidR="00DE099B">
        <w:rPr>
          <w:i/>
          <w:iCs/>
          <w:sz w:val="18"/>
          <w:szCs w:val="20"/>
        </w:rPr>
        <w:t xml:space="preserve"> - </w:t>
      </w:r>
      <w:r w:rsidR="00DE099B" w:rsidRPr="00A247FE">
        <w:rPr>
          <w:i/>
          <w:iCs/>
          <w:sz w:val="18"/>
          <w:szCs w:val="20"/>
        </w:rPr>
        <w:t>% of students at or above expected proficiency level</w:t>
      </w:r>
    </w:p>
    <w:tbl>
      <w:tblPr>
        <w:tblStyle w:val="GridTable4-Accent11"/>
        <w:tblW w:w="8299" w:type="dxa"/>
        <w:tblLook w:val="04A0" w:firstRow="1" w:lastRow="0" w:firstColumn="1" w:lastColumn="0" w:noHBand="0" w:noVBand="1"/>
      </w:tblPr>
      <w:tblGrid>
        <w:gridCol w:w="1176"/>
        <w:gridCol w:w="1781"/>
        <w:gridCol w:w="1779"/>
        <w:gridCol w:w="1781"/>
        <w:gridCol w:w="1782"/>
      </w:tblGrid>
      <w:tr w:rsidR="00DE099B" w:rsidRPr="00060FDF" w14:paraId="284FEEF3" w14:textId="77777777" w:rsidTr="00A247FE">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8EAADB" w:themeColor="accent1" w:themeTint="99"/>
            </w:tcBorders>
          </w:tcPr>
          <w:p w14:paraId="6E6E5057" w14:textId="77777777" w:rsidR="00DE099B" w:rsidRPr="00060FDF" w:rsidRDefault="00DE099B" w:rsidP="0015435E">
            <w:pPr>
              <w:spacing w:after="0" w:line="240" w:lineRule="auto"/>
              <w:rPr>
                <w:rFonts w:asciiTheme="minorHAnsi" w:hAnsiTheme="minorHAnsi" w:cstheme="minorHAnsi"/>
                <w:sz w:val="20"/>
                <w:szCs w:val="20"/>
              </w:rPr>
            </w:pPr>
          </w:p>
        </w:tc>
        <w:tc>
          <w:tcPr>
            <w:tcW w:w="1781" w:type="dxa"/>
            <w:tcBorders>
              <w:top w:val="single" w:sz="4" w:space="0" w:color="8EAADB" w:themeColor="accent1" w:themeTint="99"/>
              <w:left w:val="single" w:sz="4" w:space="0" w:color="8EAADB" w:themeColor="accent1" w:themeTint="99"/>
              <w:bottom w:val="single" w:sz="4" w:space="0" w:color="8EAADB" w:themeColor="accent1" w:themeTint="99"/>
            </w:tcBorders>
          </w:tcPr>
          <w:p w14:paraId="190D11CB" w14:textId="77777777" w:rsidR="00DE099B" w:rsidRPr="00060FDF" w:rsidRDefault="00DE099B" w:rsidP="0015435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0FDF">
              <w:rPr>
                <w:rFonts w:asciiTheme="minorHAnsi" w:eastAsia="Times New Roman" w:hAnsiTheme="minorHAnsi" w:cstheme="minorHAnsi"/>
                <w:b w:val="0"/>
                <w:sz w:val="20"/>
                <w:szCs w:val="20"/>
              </w:rPr>
              <w:t>Year 4</w:t>
            </w:r>
          </w:p>
        </w:tc>
        <w:tc>
          <w:tcPr>
            <w:tcW w:w="1779" w:type="dxa"/>
            <w:tcBorders>
              <w:top w:val="single" w:sz="4" w:space="0" w:color="8EAADB" w:themeColor="accent1" w:themeTint="99"/>
              <w:bottom w:val="single" w:sz="4" w:space="0" w:color="8EAADB" w:themeColor="accent1" w:themeTint="99"/>
              <w:right w:val="single" w:sz="4" w:space="0" w:color="8EAADB" w:themeColor="accent1" w:themeTint="99"/>
            </w:tcBorders>
          </w:tcPr>
          <w:p w14:paraId="257059B6" w14:textId="77777777" w:rsidR="00DE099B" w:rsidRPr="00060FDF" w:rsidRDefault="00DE099B" w:rsidP="0015435E">
            <w:pPr>
              <w:spacing w:after="0" w:line="240" w:lineRule="auto"/>
              <w:ind w:left="-56"/>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81" w:type="dxa"/>
            <w:tcBorders>
              <w:top w:val="single" w:sz="4" w:space="0" w:color="8EAADB" w:themeColor="accent1" w:themeTint="99"/>
              <w:left w:val="single" w:sz="4" w:space="0" w:color="8EAADB" w:themeColor="accent1" w:themeTint="99"/>
              <w:bottom w:val="single" w:sz="4" w:space="0" w:color="8EAADB" w:themeColor="accent1" w:themeTint="99"/>
            </w:tcBorders>
          </w:tcPr>
          <w:p w14:paraId="523D9AFB" w14:textId="77777777" w:rsidR="00DE099B" w:rsidRPr="00060FDF" w:rsidRDefault="00DE099B" w:rsidP="0015435E">
            <w:pPr>
              <w:spacing w:after="0" w:line="240" w:lineRule="auto"/>
              <w:ind w:left="5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0FDF">
              <w:rPr>
                <w:rFonts w:asciiTheme="minorHAnsi" w:eastAsia="Times New Roman" w:hAnsiTheme="minorHAnsi" w:cstheme="minorHAnsi"/>
                <w:b w:val="0"/>
                <w:sz w:val="20"/>
                <w:szCs w:val="20"/>
              </w:rPr>
              <w:t xml:space="preserve">Year 6 </w:t>
            </w:r>
          </w:p>
        </w:tc>
        <w:tc>
          <w:tcPr>
            <w:tcW w:w="1782" w:type="dxa"/>
            <w:tcBorders>
              <w:top w:val="single" w:sz="4" w:space="0" w:color="8EAADB" w:themeColor="accent1" w:themeTint="99"/>
              <w:bottom w:val="single" w:sz="4" w:space="0" w:color="8EAADB" w:themeColor="accent1" w:themeTint="99"/>
              <w:right w:val="single" w:sz="4" w:space="0" w:color="8EAADB" w:themeColor="accent1" w:themeTint="99"/>
            </w:tcBorders>
          </w:tcPr>
          <w:p w14:paraId="622E6119" w14:textId="5BCFE97F" w:rsidR="00DE099B" w:rsidRPr="00060FDF" w:rsidRDefault="00DE099B" w:rsidP="0015435E">
            <w:pPr>
              <w:spacing w:after="0" w:line="240" w:lineRule="auto"/>
              <w:ind w:left="5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8D12C1" w:rsidRPr="00060FDF" w14:paraId="421D5FE2" w14:textId="77777777" w:rsidTr="00A247FE">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0" w:type="auto"/>
          </w:tcPr>
          <w:p w14:paraId="1D8EA537" w14:textId="77777777" w:rsidR="008D12C1" w:rsidRPr="00060FDF" w:rsidRDefault="008D12C1" w:rsidP="0015435E">
            <w:pPr>
              <w:spacing w:after="0" w:line="240" w:lineRule="auto"/>
              <w:rPr>
                <w:rFonts w:asciiTheme="minorHAnsi" w:hAnsiTheme="minorHAnsi" w:cstheme="minorHAnsi"/>
                <w:sz w:val="20"/>
                <w:szCs w:val="20"/>
              </w:rPr>
            </w:pPr>
          </w:p>
        </w:tc>
        <w:tc>
          <w:tcPr>
            <w:tcW w:w="1781" w:type="dxa"/>
            <w:tcBorders>
              <w:top w:val="single" w:sz="4" w:space="0" w:color="8EAADB" w:themeColor="accent1" w:themeTint="99"/>
            </w:tcBorders>
          </w:tcPr>
          <w:p w14:paraId="0464E6A8" w14:textId="77777777" w:rsidR="008D12C1" w:rsidRPr="00060FDF" w:rsidRDefault="008D12C1" w:rsidP="0015435E">
            <w:pPr>
              <w:spacing w:after="0" w:line="240" w:lineRule="auto"/>
              <w:ind w:left="5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60FDF">
              <w:rPr>
                <w:rFonts w:asciiTheme="minorHAnsi" w:hAnsiTheme="minorHAnsi" w:cstheme="minorHAnsi"/>
                <w:sz w:val="20"/>
                <w:szCs w:val="20"/>
              </w:rPr>
              <w:t xml:space="preserve">Region </w:t>
            </w:r>
          </w:p>
        </w:tc>
        <w:tc>
          <w:tcPr>
            <w:tcW w:w="1779" w:type="dxa"/>
            <w:tcBorders>
              <w:top w:val="single" w:sz="4" w:space="0" w:color="8EAADB" w:themeColor="accent1" w:themeTint="99"/>
            </w:tcBorders>
          </w:tcPr>
          <w:p w14:paraId="2DF16CEF" w14:textId="77777777" w:rsidR="008D12C1" w:rsidRPr="00060FDF" w:rsidRDefault="008D12C1" w:rsidP="0015435E">
            <w:pPr>
              <w:spacing w:after="0" w:line="240" w:lineRule="auto"/>
              <w:ind w:left="5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60FDF">
              <w:rPr>
                <w:rFonts w:asciiTheme="minorHAnsi" w:hAnsiTheme="minorHAnsi" w:cstheme="minorHAnsi"/>
                <w:sz w:val="20"/>
                <w:szCs w:val="20"/>
              </w:rPr>
              <w:t xml:space="preserve">Solomon Islands </w:t>
            </w:r>
          </w:p>
        </w:tc>
        <w:tc>
          <w:tcPr>
            <w:tcW w:w="1781" w:type="dxa"/>
            <w:tcBorders>
              <w:top w:val="single" w:sz="4" w:space="0" w:color="8EAADB" w:themeColor="accent1" w:themeTint="99"/>
            </w:tcBorders>
          </w:tcPr>
          <w:p w14:paraId="21ECE59E" w14:textId="77777777" w:rsidR="008D12C1" w:rsidRPr="00060FDF" w:rsidRDefault="008D12C1" w:rsidP="0015435E">
            <w:pPr>
              <w:spacing w:after="0" w:line="240" w:lineRule="auto"/>
              <w:ind w:left="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60FDF">
              <w:rPr>
                <w:rFonts w:asciiTheme="minorHAnsi" w:hAnsiTheme="minorHAnsi" w:cstheme="minorHAnsi"/>
                <w:sz w:val="20"/>
                <w:szCs w:val="20"/>
              </w:rPr>
              <w:t xml:space="preserve">Region </w:t>
            </w:r>
          </w:p>
        </w:tc>
        <w:tc>
          <w:tcPr>
            <w:tcW w:w="1782" w:type="dxa"/>
            <w:tcBorders>
              <w:top w:val="single" w:sz="4" w:space="0" w:color="8EAADB" w:themeColor="accent1" w:themeTint="99"/>
            </w:tcBorders>
          </w:tcPr>
          <w:p w14:paraId="18319B3E" w14:textId="77777777" w:rsidR="008D12C1" w:rsidRPr="00060FDF" w:rsidRDefault="008D12C1" w:rsidP="0015435E">
            <w:pPr>
              <w:spacing w:after="0" w:line="240" w:lineRule="auto"/>
              <w:ind w:left="5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60FDF">
              <w:rPr>
                <w:rFonts w:asciiTheme="minorHAnsi" w:hAnsiTheme="minorHAnsi" w:cstheme="minorHAnsi"/>
                <w:sz w:val="20"/>
                <w:szCs w:val="20"/>
              </w:rPr>
              <w:t xml:space="preserve">Solomon Islands </w:t>
            </w:r>
          </w:p>
        </w:tc>
      </w:tr>
      <w:tr w:rsidR="008D12C1" w:rsidRPr="00060FDF" w14:paraId="1BF90460" w14:textId="77777777" w:rsidTr="00DE099B">
        <w:trPr>
          <w:trHeight w:val="239"/>
        </w:trPr>
        <w:tc>
          <w:tcPr>
            <w:cnfStyle w:val="001000000000" w:firstRow="0" w:lastRow="0" w:firstColumn="1" w:lastColumn="0" w:oddVBand="0" w:evenVBand="0" w:oddHBand="0" w:evenHBand="0" w:firstRowFirstColumn="0" w:firstRowLastColumn="0" w:lastRowFirstColumn="0" w:lastRowLastColumn="0"/>
            <w:tcW w:w="1176" w:type="dxa"/>
          </w:tcPr>
          <w:p w14:paraId="7BF42A14" w14:textId="77777777" w:rsidR="008D12C1" w:rsidRPr="00060FDF" w:rsidRDefault="008D12C1" w:rsidP="0015435E">
            <w:pPr>
              <w:spacing w:after="0" w:line="240" w:lineRule="auto"/>
              <w:ind w:left="107"/>
              <w:jc w:val="both"/>
              <w:rPr>
                <w:rFonts w:asciiTheme="minorHAnsi" w:hAnsiTheme="minorHAnsi" w:cstheme="minorHAnsi"/>
                <w:sz w:val="20"/>
                <w:szCs w:val="20"/>
              </w:rPr>
            </w:pPr>
            <w:r w:rsidRPr="00060FDF">
              <w:rPr>
                <w:rFonts w:asciiTheme="minorHAnsi" w:eastAsia="Times New Roman" w:hAnsiTheme="minorHAnsi" w:cstheme="minorHAnsi"/>
                <w:sz w:val="20"/>
                <w:szCs w:val="20"/>
              </w:rPr>
              <w:t xml:space="preserve">Numeracy  </w:t>
            </w:r>
          </w:p>
        </w:tc>
        <w:tc>
          <w:tcPr>
            <w:tcW w:w="1781" w:type="dxa"/>
          </w:tcPr>
          <w:p w14:paraId="60FF3E52" w14:textId="77777777" w:rsidR="008D12C1" w:rsidRPr="00060FDF" w:rsidRDefault="008D12C1" w:rsidP="0015435E">
            <w:pPr>
              <w:spacing w:after="0" w:line="240" w:lineRule="auto"/>
              <w:ind w:left="5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0FDF">
              <w:rPr>
                <w:rFonts w:asciiTheme="minorHAnsi" w:hAnsiTheme="minorHAnsi" w:cstheme="minorHAnsi"/>
                <w:sz w:val="20"/>
                <w:szCs w:val="20"/>
              </w:rPr>
              <w:t xml:space="preserve">83 </w:t>
            </w:r>
          </w:p>
        </w:tc>
        <w:tc>
          <w:tcPr>
            <w:tcW w:w="1779" w:type="dxa"/>
          </w:tcPr>
          <w:p w14:paraId="3B06AFC6" w14:textId="77777777" w:rsidR="008D12C1" w:rsidRPr="00060FDF" w:rsidRDefault="008D12C1" w:rsidP="0015435E">
            <w:pPr>
              <w:spacing w:after="0" w:line="240" w:lineRule="auto"/>
              <w:ind w:lef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0FDF">
              <w:rPr>
                <w:rFonts w:asciiTheme="minorHAnsi" w:hAnsiTheme="minorHAnsi" w:cstheme="minorHAnsi"/>
                <w:sz w:val="20"/>
                <w:szCs w:val="20"/>
              </w:rPr>
              <w:t xml:space="preserve">97 </w:t>
            </w:r>
          </w:p>
        </w:tc>
        <w:tc>
          <w:tcPr>
            <w:tcW w:w="1781" w:type="dxa"/>
          </w:tcPr>
          <w:p w14:paraId="0A920C8F" w14:textId="77777777" w:rsidR="008D12C1" w:rsidRPr="00060FDF" w:rsidRDefault="008D12C1" w:rsidP="0015435E">
            <w:pPr>
              <w:spacing w:after="0" w:line="240" w:lineRule="auto"/>
              <w:ind w:left="5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0FDF">
              <w:rPr>
                <w:rFonts w:asciiTheme="minorHAnsi" w:hAnsiTheme="minorHAnsi" w:cstheme="minorHAnsi"/>
                <w:sz w:val="20"/>
                <w:szCs w:val="20"/>
              </w:rPr>
              <w:t xml:space="preserve">83 </w:t>
            </w:r>
          </w:p>
        </w:tc>
        <w:tc>
          <w:tcPr>
            <w:tcW w:w="1782" w:type="dxa"/>
          </w:tcPr>
          <w:p w14:paraId="1FF88452" w14:textId="77777777" w:rsidR="008D12C1" w:rsidRPr="00060FDF" w:rsidRDefault="008D12C1" w:rsidP="0015435E">
            <w:pPr>
              <w:spacing w:after="0" w:line="240" w:lineRule="auto"/>
              <w:ind w:left="5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0FDF">
              <w:rPr>
                <w:rFonts w:asciiTheme="minorHAnsi" w:hAnsiTheme="minorHAnsi" w:cstheme="minorHAnsi"/>
                <w:sz w:val="20"/>
                <w:szCs w:val="20"/>
              </w:rPr>
              <w:t xml:space="preserve">96 </w:t>
            </w:r>
          </w:p>
        </w:tc>
      </w:tr>
      <w:tr w:rsidR="008D12C1" w:rsidRPr="00060FDF" w14:paraId="4D293F46" w14:textId="77777777" w:rsidTr="00DE099B">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176" w:type="dxa"/>
          </w:tcPr>
          <w:p w14:paraId="3B298E66" w14:textId="77777777" w:rsidR="008D12C1" w:rsidRPr="00060FDF" w:rsidRDefault="008D12C1" w:rsidP="0015435E">
            <w:pPr>
              <w:spacing w:after="0" w:line="240" w:lineRule="auto"/>
              <w:ind w:left="107"/>
              <w:rPr>
                <w:rFonts w:asciiTheme="minorHAnsi" w:hAnsiTheme="minorHAnsi" w:cstheme="minorHAnsi"/>
                <w:sz w:val="20"/>
                <w:szCs w:val="20"/>
              </w:rPr>
            </w:pPr>
            <w:r w:rsidRPr="00060FDF">
              <w:rPr>
                <w:rFonts w:asciiTheme="minorHAnsi" w:eastAsia="Times New Roman" w:hAnsiTheme="minorHAnsi" w:cstheme="minorHAnsi"/>
                <w:sz w:val="20"/>
                <w:szCs w:val="20"/>
              </w:rPr>
              <w:t xml:space="preserve">Literacy  </w:t>
            </w:r>
          </w:p>
        </w:tc>
        <w:tc>
          <w:tcPr>
            <w:tcW w:w="1781" w:type="dxa"/>
          </w:tcPr>
          <w:p w14:paraId="4448A962" w14:textId="77777777" w:rsidR="008D12C1" w:rsidRPr="00060FDF" w:rsidRDefault="008D12C1" w:rsidP="0015435E">
            <w:pPr>
              <w:spacing w:after="0" w:line="240" w:lineRule="auto"/>
              <w:ind w:left="5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60FDF">
              <w:rPr>
                <w:rFonts w:asciiTheme="minorHAnsi" w:hAnsiTheme="minorHAnsi" w:cstheme="minorHAnsi"/>
                <w:sz w:val="20"/>
                <w:szCs w:val="20"/>
              </w:rPr>
              <w:t xml:space="preserve">53 </w:t>
            </w:r>
          </w:p>
        </w:tc>
        <w:tc>
          <w:tcPr>
            <w:tcW w:w="1779" w:type="dxa"/>
          </w:tcPr>
          <w:p w14:paraId="3296F5A3" w14:textId="77777777" w:rsidR="008D12C1" w:rsidRPr="00060FDF" w:rsidRDefault="008D12C1" w:rsidP="0015435E">
            <w:pPr>
              <w:spacing w:after="0" w:line="240" w:lineRule="auto"/>
              <w:ind w:left="5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60FDF">
              <w:rPr>
                <w:rFonts w:asciiTheme="minorHAnsi" w:hAnsiTheme="minorHAnsi" w:cstheme="minorHAnsi"/>
                <w:sz w:val="20"/>
                <w:szCs w:val="20"/>
              </w:rPr>
              <w:t xml:space="preserve">54 </w:t>
            </w:r>
          </w:p>
        </w:tc>
        <w:tc>
          <w:tcPr>
            <w:tcW w:w="1781" w:type="dxa"/>
          </w:tcPr>
          <w:p w14:paraId="645A2A4E" w14:textId="77777777" w:rsidR="008D12C1" w:rsidRPr="00060FDF" w:rsidRDefault="008D12C1" w:rsidP="0015435E">
            <w:pPr>
              <w:spacing w:after="0" w:line="240" w:lineRule="auto"/>
              <w:ind w:left="5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60FDF">
              <w:rPr>
                <w:rFonts w:asciiTheme="minorHAnsi" w:hAnsiTheme="minorHAnsi" w:cstheme="minorHAnsi"/>
                <w:sz w:val="20"/>
                <w:szCs w:val="20"/>
              </w:rPr>
              <w:t xml:space="preserve">63 </w:t>
            </w:r>
          </w:p>
        </w:tc>
        <w:tc>
          <w:tcPr>
            <w:tcW w:w="1782" w:type="dxa"/>
          </w:tcPr>
          <w:p w14:paraId="7215E619" w14:textId="77777777" w:rsidR="008D12C1" w:rsidRPr="00060FDF" w:rsidRDefault="008D12C1" w:rsidP="0015435E">
            <w:pPr>
              <w:spacing w:after="0" w:line="240" w:lineRule="auto"/>
              <w:ind w:left="5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60FDF">
              <w:rPr>
                <w:rFonts w:asciiTheme="minorHAnsi" w:hAnsiTheme="minorHAnsi" w:cstheme="minorHAnsi"/>
                <w:sz w:val="20"/>
                <w:szCs w:val="20"/>
              </w:rPr>
              <w:t xml:space="preserve">70 </w:t>
            </w:r>
          </w:p>
        </w:tc>
      </w:tr>
    </w:tbl>
    <w:p w14:paraId="04EBF40B" w14:textId="77777777" w:rsidR="00D42742" w:rsidRDefault="00D42742" w:rsidP="00EB4457">
      <w:pPr>
        <w:spacing w:after="120" w:line="240" w:lineRule="auto"/>
        <w:rPr>
          <w:rFonts w:asciiTheme="minorHAnsi" w:hAnsiTheme="minorHAnsi" w:cstheme="minorHAnsi"/>
        </w:rPr>
      </w:pPr>
    </w:p>
    <w:p w14:paraId="7258C6A2" w14:textId="05857E21" w:rsidR="008D12C1" w:rsidRPr="00F80C45" w:rsidRDefault="008D12C1" w:rsidP="0015435E">
      <w:pPr>
        <w:pStyle w:val="Bodytext11"/>
        <w:numPr>
          <w:ilvl w:val="0"/>
          <w:numId w:val="7"/>
        </w:numPr>
        <w:ind w:left="426"/>
        <w:rPr>
          <w:rFonts w:cstheme="minorHAnsi"/>
        </w:rPr>
      </w:pPr>
      <w:r w:rsidRPr="00D42742">
        <w:rPr>
          <w:rFonts w:cstheme="minorHAnsi"/>
        </w:rPr>
        <w:t xml:space="preserve">Children who attended ECE achieved noticeably higher scores across the board while there was also a strong correlation between high care giver involvement and above average literacy. The </w:t>
      </w:r>
      <w:r w:rsidR="00570B43">
        <w:rPr>
          <w:rFonts w:cstheme="minorHAnsi"/>
        </w:rPr>
        <w:t xml:space="preserve">results suggest the </w:t>
      </w:r>
      <w:r w:rsidRPr="00D42742">
        <w:rPr>
          <w:rFonts w:cstheme="minorHAnsi"/>
        </w:rPr>
        <w:t xml:space="preserve">Early Years Literacy </w:t>
      </w:r>
      <w:r w:rsidR="00570B43">
        <w:rPr>
          <w:rFonts w:cstheme="minorHAnsi"/>
        </w:rPr>
        <w:t>P</w:t>
      </w:r>
      <w:r w:rsidRPr="00D42742">
        <w:rPr>
          <w:rFonts w:cstheme="minorHAnsi"/>
        </w:rPr>
        <w:t xml:space="preserve">roject </w:t>
      </w:r>
      <w:r w:rsidR="00570B43">
        <w:rPr>
          <w:rFonts w:cstheme="minorHAnsi"/>
        </w:rPr>
        <w:t xml:space="preserve">may be contributing to the improvements. </w:t>
      </w:r>
    </w:p>
    <w:p w14:paraId="52C9301C" w14:textId="0D69CD2C" w:rsidR="008D12C1" w:rsidRPr="009165DB" w:rsidRDefault="00E957E3" w:rsidP="009165DB">
      <w:pPr>
        <w:pStyle w:val="Tablecontent"/>
        <w:rPr>
          <w:i/>
          <w:iCs/>
          <w:sz w:val="18"/>
          <w:szCs w:val="20"/>
        </w:rPr>
      </w:pPr>
      <w:bookmarkStart w:id="21" w:name="_Toc44398975"/>
      <w:bookmarkStart w:id="22" w:name="_Toc48750602"/>
      <w:r w:rsidRPr="009165DB">
        <w:rPr>
          <w:i/>
          <w:iCs/>
          <w:sz w:val="18"/>
          <w:szCs w:val="20"/>
        </w:rPr>
        <w:t xml:space="preserve">Table </w:t>
      </w:r>
      <w:r w:rsidRPr="009165DB">
        <w:rPr>
          <w:i/>
          <w:iCs/>
          <w:sz w:val="18"/>
          <w:szCs w:val="20"/>
        </w:rPr>
        <w:fldChar w:fldCharType="begin"/>
      </w:r>
      <w:r w:rsidRPr="009165DB">
        <w:rPr>
          <w:i/>
          <w:iCs/>
          <w:sz w:val="18"/>
          <w:szCs w:val="20"/>
        </w:rPr>
        <w:instrText xml:space="preserve"> SEQ Table \* ARABIC </w:instrText>
      </w:r>
      <w:r w:rsidRPr="009165DB">
        <w:rPr>
          <w:i/>
          <w:iCs/>
          <w:sz w:val="18"/>
          <w:szCs w:val="20"/>
        </w:rPr>
        <w:fldChar w:fldCharType="separate"/>
      </w:r>
      <w:r w:rsidR="00912E1E">
        <w:rPr>
          <w:i/>
          <w:iCs/>
          <w:noProof/>
          <w:sz w:val="18"/>
          <w:szCs w:val="20"/>
        </w:rPr>
        <w:t>5</w:t>
      </w:r>
      <w:r w:rsidRPr="009165DB">
        <w:rPr>
          <w:i/>
          <w:iCs/>
          <w:sz w:val="18"/>
          <w:szCs w:val="20"/>
        </w:rPr>
        <w:fldChar w:fldCharType="end"/>
      </w:r>
      <w:r w:rsidRPr="009165DB">
        <w:rPr>
          <w:i/>
          <w:iCs/>
          <w:sz w:val="18"/>
          <w:szCs w:val="20"/>
        </w:rPr>
        <w:t xml:space="preserve">: </w:t>
      </w:r>
      <w:r w:rsidR="008D12C1" w:rsidRPr="009165DB">
        <w:rPr>
          <w:i/>
          <w:iCs/>
          <w:sz w:val="18"/>
          <w:szCs w:val="20"/>
        </w:rPr>
        <w:t>PILNA Achievements Scores ECE Attend/Not Attend ECE</w:t>
      </w:r>
      <w:bookmarkEnd w:id="21"/>
      <w:bookmarkEnd w:id="22"/>
      <w:r w:rsidR="00A43DFC">
        <w:rPr>
          <w:i/>
          <w:iCs/>
          <w:sz w:val="18"/>
          <w:szCs w:val="20"/>
        </w:rPr>
        <w:t xml:space="preserve"> - </w:t>
      </w:r>
      <w:r w:rsidR="00A43DFC" w:rsidRPr="00A43DFC">
        <w:rPr>
          <w:i/>
          <w:iCs/>
          <w:sz w:val="18"/>
          <w:szCs w:val="20"/>
        </w:rPr>
        <w:t>Mean achievement score of students</w:t>
      </w:r>
    </w:p>
    <w:tbl>
      <w:tblPr>
        <w:tblStyle w:val="GridTable4-Accent11"/>
        <w:tblW w:w="8341" w:type="dxa"/>
        <w:tblLook w:val="04A0" w:firstRow="1" w:lastRow="0" w:firstColumn="1" w:lastColumn="0" w:noHBand="0" w:noVBand="1"/>
      </w:tblPr>
      <w:tblGrid>
        <w:gridCol w:w="1173"/>
        <w:gridCol w:w="3585"/>
        <w:gridCol w:w="3583"/>
      </w:tblGrid>
      <w:tr w:rsidR="008D12C1" w:rsidRPr="00747CFC" w14:paraId="21DDE4A8" w14:textId="77777777" w:rsidTr="00A43DFC">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173" w:type="dxa"/>
          </w:tcPr>
          <w:p w14:paraId="71860AF9" w14:textId="77777777" w:rsidR="008D12C1" w:rsidRPr="00747CFC" w:rsidRDefault="008D12C1" w:rsidP="0015435E">
            <w:pPr>
              <w:spacing w:after="0" w:line="240" w:lineRule="auto"/>
              <w:ind w:left="2"/>
              <w:jc w:val="center"/>
              <w:rPr>
                <w:rFonts w:asciiTheme="minorHAnsi" w:hAnsiTheme="minorHAnsi" w:cstheme="minorHAnsi"/>
                <w:sz w:val="20"/>
                <w:szCs w:val="20"/>
              </w:rPr>
            </w:pPr>
            <w:r w:rsidRPr="00747CFC">
              <w:rPr>
                <w:rFonts w:asciiTheme="minorHAnsi" w:hAnsiTheme="minorHAnsi" w:cstheme="minorHAnsi"/>
                <w:sz w:val="20"/>
                <w:szCs w:val="20"/>
              </w:rPr>
              <w:t xml:space="preserve"> </w:t>
            </w:r>
          </w:p>
        </w:tc>
        <w:tc>
          <w:tcPr>
            <w:tcW w:w="3585" w:type="dxa"/>
          </w:tcPr>
          <w:p w14:paraId="3E5FF283" w14:textId="77777777" w:rsidR="008D12C1" w:rsidRPr="00747CFC" w:rsidRDefault="008D12C1" w:rsidP="0015435E">
            <w:pPr>
              <w:spacing w:after="0" w:line="240" w:lineRule="auto"/>
              <w:ind w:right="4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47CFC">
              <w:rPr>
                <w:rFonts w:asciiTheme="minorHAnsi" w:hAnsiTheme="minorHAnsi" w:cstheme="minorHAnsi"/>
                <w:sz w:val="20"/>
                <w:szCs w:val="20"/>
              </w:rPr>
              <w:t xml:space="preserve">Attended ECE </w:t>
            </w:r>
          </w:p>
        </w:tc>
        <w:tc>
          <w:tcPr>
            <w:tcW w:w="3583" w:type="dxa"/>
          </w:tcPr>
          <w:p w14:paraId="01E74F67" w14:textId="77777777" w:rsidR="008D12C1" w:rsidRPr="00747CFC" w:rsidRDefault="008D12C1" w:rsidP="0015435E">
            <w:pPr>
              <w:spacing w:after="0" w:line="240" w:lineRule="auto"/>
              <w:ind w:right="4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47CFC">
              <w:rPr>
                <w:rFonts w:asciiTheme="minorHAnsi" w:hAnsiTheme="minorHAnsi" w:cstheme="minorHAnsi"/>
                <w:sz w:val="20"/>
                <w:szCs w:val="20"/>
              </w:rPr>
              <w:t xml:space="preserve">Did NOT attend ECE </w:t>
            </w:r>
          </w:p>
        </w:tc>
      </w:tr>
      <w:tr w:rsidR="008D12C1" w:rsidRPr="00747CFC" w14:paraId="06D5C9C9" w14:textId="77777777" w:rsidTr="00A43DFC">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173" w:type="dxa"/>
          </w:tcPr>
          <w:p w14:paraId="5899CA63" w14:textId="77777777" w:rsidR="008D12C1" w:rsidRPr="00747CFC" w:rsidRDefault="008D12C1" w:rsidP="0015435E">
            <w:pPr>
              <w:spacing w:after="0" w:line="240" w:lineRule="auto"/>
              <w:rPr>
                <w:rFonts w:asciiTheme="minorHAnsi" w:hAnsiTheme="minorHAnsi" w:cstheme="minorHAnsi"/>
                <w:sz w:val="20"/>
                <w:szCs w:val="20"/>
              </w:rPr>
            </w:pPr>
            <w:r w:rsidRPr="00747CFC">
              <w:rPr>
                <w:rFonts w:asciiTheme="minorHAnsi" w:eastAsia="Times New Roman" w:hAnsiTheme="minorHAnsi" w:cstheme="minorHAnsi"/>
                <w:sz w:val="20"/>
                <w:szCs w:val="20"/>
              </w:rPr>
              <w:t xml:space="preserve">Numeracy </w:t>
            </w:r>
          </w:p>
        </w:tc>
        <w:tc>
          <w:tcPr>
            <w:tcW w:w="3585" w:type="dxa"/>
          </w:tcPr>
          <w:p w14:paraId="1EF62224" w14:textId="77777777" w:rsidR="008D12C1" w:rsidRPr="00747CFC" w:rsidRDefault="008D12C1" w:rsidP="0015435E">
            <w:pPr>
              <w:spacing w:after="0" w:line="240" w:lineRule="auto"/>
              <w:ind w:right="5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47CFC">
              <w:rPr>
                <w:rFonts w:asciiTheme="minorHAnsi" w:hAnsiTheme="minorHAnsi" w:cstheme="minorHAnsi"/>
                <w:sz w:val="20"/>
                <w:szCs w:val="20"/>
              </w:rPr>
              <w:t xml:space="preserve">572 </w:t>
            </w:r>
          </w:p>
        </w:tc>
        <w:tc>
          <w:tcPr>
            <w:tcW w:w="3583" w:type="dxa"/>
          </w:tcPr>
          <w:p w14:paraId="63888150" w14:textId="77777777" w:rsidR="008D12C1" w:rsidRPr="00747CFC" w:rsidRDefault="008D12C1" w:rsidP="0015435E">
            <w:pPr>
              <w:spacing w:after="0" w:line="240" w:lineRule="auto"/>
              <w:ind w:right="5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47CFC">
              <w:rPr>
                <w:rFonts w:asciiTheme="minorHAnsi" w:hAnsiTheme="minorHAnsi" w:cstheme="minorHAnsi"/>
                <w:sz w:val="20"/>
                <w:szCs w:val="20"/>
              </w:rPr>
              <w:t xml:space="preserve">562 </w:t>
            </w:r>
          </w:p>
        </w:tc>
      </w:tr>
      <w:tr w:rsidR="008D12C1" w:rsidRPr="00747CFC" w14:paraId="5803C709" w14:textId="77777777" w:rsidTr="00A43DFC">
        <w:trPr>
          <w:trHeight w:val="248"/>
        </w:trPr>
        <w:tc>
          <w:tcPr>
            <w:cnfStyle w:val="001000000000" w:firstRow="0" w:lastRow="0" w:firstColumn="1" w:lastColumn="0" w:oddVBand="0" w:evenVBand="0" w:oddHBand="0" w:evenHBand="0" w:firstRowFirstColumn="0" w:firstRowLastColumn="0" w:lastRowFirstColumn="0" w:lastRowLastColumn="0"/>
            <w:tcW w:w="1173" w:type="dxa"/>
          </w:tcPr>
          <w:p w14:paraId="52AAD0D3" w14:textId="77777777" w:rsidR="008D12C1" w:rsidRPr="00747CFC" w:rsidRDefault="008D12C1" w:rsidP="0015435E">
            <w:pPr>
              <w:spacing w:after="0" w:line="240" w:lineRule="auto"/>
              <w:ind w:right="54"/>
              <w:jc w:val="center"/>
              <w:rPr>
                <w:rFonts w:asciiTheme="minorHAnsi" w:hAnsiTheme="minorHAnsi" w:cstheme="minorHAnsi"/>
                <w:sz w:val="20"/>
                <w:szCs w:val="20"/>
              </w:rPr>
            </w:pPr>
            <w:r w:rsidRPr="00747CFC">
              <w:rPr>
                <w:rFonts w:asciiTheme="minorHAnsi" w:eastAsia="Times New Roman" w:hAnsiTheme="minorHAnsi" w:cstheme="minorHAnsi"/>
                <w:sz w:val="20"/>
                <w:szCs w:val="20"/>
              </w:rPr>
              <w:t xml:space="preserve">Literacy </w:t>
            </w:r>
          </w:p>
        </w:tc>
        <w:tc>
          <w:tcPr>
            <w:tcW w:w="3585" w:type="dxa"/>
          </w:tcPr>
          <w:p w14:paraId="7E1A2051" w14:textId="77777777" w:rsidR="008D12C1" w:rsidRPr="00747CFC" w:rsidRDefault="008D12C1" w:rsidP="0015435E">
            <w:pPr>
              <w:spacing w:after="0" w:line="240" w:lineRule="auto"/>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47CFC">
              <w:rPr>
                <w:rFonts w:asciiTheme="minorHAnsi" w:hAnsiTheme="minorHAnsi" w:cstheme="minorHAnsi"/>
                <w:sz w:val="20"/>
                <w:szCs w:val="20"/>
              </w:rPr>
              <w:t xml:space="preserve">494 </w:t>
            </w:r>
          </w:p>
        </w:tc>
        <w:tc>
          <w:tcPr>
            <w:tcW w:w="3583" w:type="dxa"/>
          </w:tcPr>
          <w:p w14:paraId="4B56B252" w14:textId="77777777" w:rsidR="008D12C1" w:rsidRPr="00747CFC" w:rsidRDefault="008D12C1" w:rsidP="0015435E">
            <w:pPr>
              <w:spacing w:after="0" w:line="240" w:lineRule="auto"/>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47CFC">
              <w:rPr>
                <w:rFonts w:asciiTheme="minorHAnsi" w:hAnsiTheme="minorHAnsi" w:cstheme="minorHAnsi"/>
                <w:sz w:val="20"/>
                <w:szCs w:val="20"/>
              </w:rPr>
              <w:t xml:space="preserve">470 </w:t>
            </w:r>
          </w:p>
        </w:tc>
      </w:tr>
    </w:tbl>
    <w:p w14:paraId="1BB456E7" w14:textId="77777777" w:rsidR="00543B74" w:rsidRDefault="00543B74" w:rsidP="00EB4457">
      <w:pPr>
        <w:spacing w:after="120" w:line="240" w:lineRule="auto"/>
      </w:pPr>
    </w:p>
    <w:p w14:paraId="398DC58C" w14:textId="120D1A3D" w:rsidR="00DA2BAA" w:rsidRPr="00413324" w:rsidRDefault="0064489E" w:rsidP="00413324">
      <w:pPr>
        <w:pStyle w:val="Heading2"/>
        <w:numPr>
          <w:ilvl w:val="0"/>
          <w:numId w:val="19"/>
        </w:numPr>
        <w:shd w:val="clear" w:color="auto" w:fill="B4C6E7" w:themeFill="accent1" w:themeFillTint="66"/>
        <w:ind w:hanging="720"/>
        <w:rPr>
          <w:rFonts w:asciiTheme="minorHAnsi" w:hAnsiTheme="minorHAnsi" w:cstheme="minorHAnsi"/>
          <w:b/>
          <w:bCs/>
          <w:color w:val="1F4E79" w:themeColor="accent5" w:themeShade="80"/>
          <w:sz w:val="24"/>
          <w:szCs w:val="24"/>
        </w:rPr>
      </w:pPr>
      <w:bookmarkStart w:id="23" w:name="_Toc49858091"/>
      <w:r w:rsidRPr="00413324">
        <w:rPr>
          <w:rFonts w:asciiTheme="minorHAnsi" w:hAnsiTheme="minorHAnsi" w:cstheme="minorHAnsi"/>
          <w:b/>
          <w:bCs/>
          <w:color w:val="1F4E79" w:themeColor="accent5" w:themeShade="80"/>
          <w:sz w:val="24"/>
          <w:szCs w:val="24"/>
        </w:rPr>
        <w:t>Quality Indicator Assessment</w:t>
      </w:r>
      <w:bookmarkEnd w:id="23"/>
    </w:p>
    <w:p w14:paraId="2A362068" w14:textId="75A7B1C4" w:rsidR="003973F8" w:rsidRDefault="000F2042" w:rsidP="0015435E">
      <w:pPr>
        <w:pStyle w:val="Bodytext11"/>
        <w:rPr>
          <w:b/>
          <w:bCs/>
          <w:i/>
          <w:iCs/>
          <w:lang w:val="en-GB"/>
        </w:rPr>
      </w:pPr>
      <w:r w:rsidRPr="00440963">
        <w:rPr>
          <w:b/>
          <w:bCs/>
          <w:i/>
          <w:iCs/>
          <w:lang w:val="en-GB"/>
        </w:rPr>
        <w:t>2.1.1 By</w:t>
      </w:r>
      <w:r w:rsidR="003973F8" w:rsidRPr="00440963">
        <w:rPr>
          <w:b/>
          <w:bCs/>
          <w:i/>
          <w:iCs/>
          <w:lang w:val="en-GB"/>
        </w:rPr>
        <w:t xml:space="preserve"> the end of 2019, roll out of the Pre-Primary Year (PPY) Curriculum and training to the 7</w:t>
      </w:r>
      <w:r w:rsidR="00877110">
        <w:rPr>
          <w:rStyle w:val="FootnoteReference"/>
          <w:b/>
          <w:bCs/>
          <w:i/>
          <w:iCs/>
          <w:lang w:val="en-GB"/>
        </w:rPr>
        <w:footnoteReference w:id="9"/>
      </w:r>
      <w:r w:rsidR="003973F8" w:rsidRPr="00440963">
        <w:rPr>
          <w:b/>
          <w:bCs/>
          <w:i/>
          <w:iCs/>
          <w:lang w:val="en-GB"/>
        </w:rPr>
        <w:t xml:space="preserve"> remaining provinces completed and evaluated (</w:t>
      </w:r>
      <w:proofErr w:type="gramStart"/>
      <w:r w:rsidR="003973F8" w:rsidRPr="00440963">
        <w:rPr>
          <w:b/>
          <w:bCs/>
          <w:i/>
          <w:iCs/>
          <w:lang w:val="en-GB"/>
        </w:rPr>
        <w:t>i.e.</w:t>
      </w:r>
      <w:proofErr w:type="gramEnd"/>
      <w:r w:rsidR="003973F8" w:rsidRPr="00440963">
        <w:rPr>
          <w:b/>
          <w:bCs/>
          <w:i/>
          <w:iCs/>
          <w:lang w:val="en-GB"/>
        </w:rPr>
        <w:t xml:space="preserve"> Temotu, Makira, Central, Choiseul, Western, and </w:t>
      </w:r>
      <w:proofErr w:type="spellStart"/>
      <w:r w:rsidR="003973F8" w:rsidRPr="00440963">
        <w:rPr>
          <w:b/>
          <w:bCs/>
          <w:i/>
          <w:iCs/>
          <w:lang w:val="en-GB"/>
        </w:rPr>
        <w:t>Rennell</w:t>
      </w:r>
      <w:proofErr w:type="spellEnd"/>
      <w:r w:rsidR="003973F8" w:rsidRPr="00440963">
        <w:rPr>
          <w:b/>
          <w:bCs/>
          <w:i/>
          <w:iCs/>
          <w:lang w:val="en-GB"/>
        </w:rPr>
        <w:t xml:space="preserve"> &amp; Bellona).</w:t>
      </w:r>
    </w:p>
    <w:tbl>
      <w:tblPr>
        <w:tblW w:w="7395" w:type="dxa"/>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85"/>
        <w:gridCol w:w="2410"/>
      </w:tblGrid>
      <w:tr w:rsidR="00335B21" w:rsidRPr="00CE1F20" w14:paraId="5098DA9E" w14:textId="77777777" w:rsidTr="00C26E6E">
        <w:trPr>
          <w:trHeight w:val="700"/>
        </w:trPr>
        <w:tc>
          <w:tcPr>
            <w:tcW w:w="4985" w:type="dxa"/>
            <w:tcBorders>
              <w:top w:val="single" w:sz="12" w:space="0" w:color="auto"/>
              <w:bottom w:val="single" w:sz="12" w:space="0" w:color="auto"/>
            </w:tcBorders>
            <w:shd w:val="clear" w:color="000000" w:fill="B4C6E7"/>
            <w:vAlign w:val="center"/>
            <w:hideMark/>
          </w:tcPr>
          <w:p w14:paraId="775D433C" w14:textId="77777777" w:rsidR="00335B21" w:rsidRPr="00CE1F20" w:rsidRDefault="00335B21" w:rsidP="0015435E">
            <w:pPr>
              <w:spacing w:after="0" w:line="240" w:lineRule="auto"/>
              <w:jc w:val="center"/>
              <w:rPr>
                <w:rFonts w:asciiTheme="minorHAnsi" w:eastAsia="Times New Roman" w:hAnsiTheme="minorHAnsi" w:cstheme="minorHAnsi"/>
                <w:b/>
                <w:bCs/>
                <w:sz w:val="18"/>
                <w:szCs w:val="18"/>
                <w:lang w:val="en-AU" w:eastAsia="en-AU"/>
              </w:rPr>
            </w:pPr>
            <w:r w:rsidRPr="00CE1F20">
              <w:rPr>
                <w:rFonts w:asciiTheme="minorHAnsi" w:eastAsia="Times New Roman" w:hAnsiTheme="minorHAnsi" w:cstheme="minorHAnsi"/>
                <w:b/>
                <w:bCs/>
                <w:sz w:val="18"/>
                <w:szCs w:val="18"/>
                <w:lang w:val="en-AU" w:eastAsia="en-AU"/>
              </w:rPr>
              <w:t>Expected Results Statements</w:t>
            </w:r>
          </w:p>
        </w:tc>
        <w:tc>
          <w:tcPr>
            <w:tcW w:w="2410" w:type="dxa"/>
            <w:tcBorders>
              <w:top w:val="single" w:sz="12" w:space="0" w:color="auto"/>
              <w:bottom w:val="single" w:sz="12" w:space="0" w:color="auto"/>
            </w:tcBorders>
            <w:shd w:val="clear" w:color="000000" w:fill="B4C6E7"/>
            <w:noWrap/>
            <w:vAlign w:val="center"/>
            <w:hideMark/>
          </w:tcPr>
          <w:p w14:paraId="4FE95466" w14:textId="16A6C9E7" w:rsidR="00335B21" w:rsidRPr="00CE1F20" w:rsidRDefault="00414C38" w:rsidP="0015435E">
            <w:pPr>
              <w:spacing w:after="0" w:line="240" w:lineRule="auto"/>
              <w:jc w:val="center"/>
              <w:rPr>
                <w:rFonts w:asciiTheme="minorHAnsi" w:eastAsia="Times New Roman" w:hAnsiTheme="minorHAnsi" w:cstheme="minorHAnsi"/>
                <w:b/>
                <w:bCs/>
                <w:sz w:val="18"/>
                <w:szCs w:val="18"/>
                <w:lang w:val="en-AU" w:eastAsia="en-AU"/>
              </w:rPr>
            </w:pPr>
            <w:r>
              <w:rPr>
                <w:rFonts w:asciiTheme="minorHAnsi" w:eastAsia="Times New Roman" w:hAnsiTheme="minorHAnsi" w:cstheme="minorHAnsi"/>
                <w:b/>
                <w:bCs/>
                <w:sz w:val="18"/>
                <w:szCs w:val="18"/>
                <w:lang w:val="en-AU" w:eastAsia="en-AU"/>
              </w:rPr>
              <w:t>Assessment</w:t>
            </w:r>
          </w:p>
        </w:tc>
      </w:tr>
      <w:tr w:rsidR="00335B21" w:rsidRPr="00CE1F20" w14:paraId="01472C44" w14:textId="77777777" w:rsidTr="00C26E6E">
        <w:trPr>
          <w:trHeight w:val="553"/>
        </w:trPr>
        <w:tc>
          <w:tcPr>
            <w:tcW w:w="4985" w:type="dxa"/>
            <w:tcBorders>
              <w:top w:val="single" w:sz="12" w:space="0" w:color="auto"/>
            </w:tcBorders>
            <w:shd w:val="clear" w:color="auto" w:fill="auto"/>
            <w:hideMark/>
          </w:tcPr>
          <w:p w14:paraId="276C96EB" w14:textId="77777777" w:rsidR="00335B21" w:rsidRPr="00CE1F20" w:rsidRDefault="00335B21" w:rsidP="0015435E">
            <w:pPr>
              <w:spacing w:afterLines="40" w:after="96" w:line="240" w:lineRule="auto"/>
              <w:rPr>
                <w:rFonts w:asciiTheme="minorHAnsi" w:eastAsia="Times New Roman" w:hAnsiTheme="minorHAnsi" w:cstheme="minorHAnsi"/>
                <w:color w:val="000000" w:themeColor="text1"/>
                <w:sz w:val="18"/>
                <w:szCs w:val="18"/>
                <w:lang w:val="en-AU"/>
              </w:rPr>
            </w:pPr>
            <w:bookmarkStart w:id="24" w:name="_Hlk48749832"/>
            <w:r w:rsidRPr="00CE1F20">
              <w:rPr>
                <w:rFonts w:asciiTheme="minorHAnsi" w:eastAsia="Times New Roman" w:hAnsiTheme="minorHAnsi" w:cstheme="minorHAnsi"/>
                <w:color w:val="000000" w:themeColor="text1"/>
                <w:sz w:val="18"/>
                <w:szCs w:val="18"/>
                <w:lang w:val="en-AU"/>
              </w:rPr>
              <w:t>PPY Monitoring Report received by MEHRD and UNICEF (100%)</w:t>
            </w:r>
          </w:p>
          <w:p w14:paraId="0BE67F2E" w14:textId="77777777" w:rsidR="00335B21" w:rsidRPr="00CE1F20" w:rsidRDefault="00335B21" w:rsidP="0015435E">
            <w:pPr>
              <w:spacing w:after="0" w:line="240" w:lineRule="auto"/>
              <w:rPr>
                <w:rFonts w:asciiTheme="minorHAnsi" w:eastAsia="Times New Roman" w:hAnsiTheme="minorHAnsi" w:cstheme="minorHAnsi"/>
                <w:color w:val="000000"/>
                <w:sz w:val="18"/>
                <w:szCs w:val="18"/>
                <w:lang w:val="en-AU" w:eastAsia="en-AU"/>
              </w:rPr>
            </w:pPr>
          </w:p>
        </w:tc>
        <w:tc>
          <w:tcPr>
            <w:tcW w:w="2410" w:type="dxa"/>
            <w:tcBorders>
              <w:top w:val="single" w:sz="12" w:space="0" w:color="auto"/>
            </w:tcBorders>
            <w:shd w:val="clear" w:color="auto" w:fill="FFFFFF" w:themeFill="background1"/>
            <w:noWrap/>
            <w:hideMark/>
          </w:tcPr>
          <w:p w14:paraId="24A9B7F7" w14:textId="1F273B3F" w:rsidR="00335B21" w:rsidRPr="00CE1F20" w:rsidRDefault="00BD5E73" w:rsidP="0015435E">
            <w:pPr>
              <w:spacing w:after="0" w:line="240" w:lineRule="auto"/>
              <w:jc w:val="center"/>
              <w:rPr>
                <w:rFonts w:asciiTheme="minorHAnsi" w:eastAsia="Times New Roman" w:hAnsiTheme="minorHAnsi" w:cstheme="minorHAnsi"/>
                <w:color w:val="000000"/>
                <w:sz w:val="18"/>
                <w:szCs w:val="18"/>
                <w:lang w:val="en-AU" w:eastAsia="en-AU"/>
              </w:rPr>
            </w:pPr>
            <w:r>
              <w:rPr>
                <w:rFonts w:asciiTheme="minorHAnsi" w:eastAsia="Times New Roman" w:hAnsiTheme="minorHAnsi" w:cstheme="minorHAnsi"/>
                <w:color w:val="000000"/>
                <w:sz w:val="18"/>
                <w:szCs w:val="18"/>
                <w:lang w:val="en-AU" w:eastAsia="en-AU"/>
              </w:rPr>
              <w:t>75</w:t>
            </w:r>
            <w:r w:rsidR="00414C38">
              <w:rPr>
                <w:rFonts w:asciiTheme="minorHAnsi" w:eastAsia="Times New Roman" w:hAnsiTheme="minorHAnsi" w:cstheme="minorHAnsi"/>
                <w:color w:val="000000"/>
                <w:sz w:val="18"/>
                <w:szCs w:val="18"/>
                <w:lang w:val="en-AU" w:eastAsia="en-AU"/>
              </w:rPr>
              <w:t>%</w:t>
            </w:r>
          </w:p>
        </w:tc>
      </w:tr>
      <w:bookmarkEnd w:id="24"/>
    </w:tbl>
    <w:p w14:paraId="0F0BEB81" w14:textId="77777777" w:rsidR="00543B74" w:rsidRPr="00543B74" w:rsidRDefault="00543B74" w:rsidP="00EB4457">
      <w:pPr>
        <w:pStyle w:val="Bodytext11"/>
        <w:spacing w:after="120"/>
        <w:rPr>
          <w:lang w:val="en-GB"/>
        </w:rPr>
      </w:pPr>
    </w:p>
    <w:p w14:paraId="155C0D76" w14:textId="5BE93CC3" w:rsidR="00E460B2" w:rsidRPr="00C0446E" w:rsidRDefault="003973F8" w:rsidP="0015435E">
      <w:pPr>
        <w:pStyle w:val="Bodytext11"/>
        <w:rPr>
          <w:lang w:val="en-GB"/>
        </w:rPr>
      </w:pPr>
      <w:r>
        <w:rPr>
          <w:lang w:val="en-GB"/>
        </w:rPr>
        <w:t xml:space="preserve">The </w:t>
      </w:r>
      <w:r w:rsidRPr="004A0160">
        <w:rPr>
          <w:lang w:val="en-GB"/>
        </w:rPr>
        <w:t xml:space="preserve">PPY </w:t>
      </w:r>
      <w:r>
        <w:rPr>
          <w:lang w:val="en-GB"/>
        </w:rPr>
        <w:t xml:space="preserve">Curriculum and </w:t>
      </w:r>
      <w:r w:rsidRPr="004A0160">
        <w:rPr>
          <w:lang w:val="en-GB"/>
        </w:rPr>
        <w:t xml:space="preserve">training </w:t>
      </w:r>
      <w:r>
        <w:rPr>
          <w:lang w:val="en-GB"/>
        </w:rPr>
        <w:t>was successfully completed</w:t>
      </w:r>
      <w:r w:rsidRPr="004A0160">
        <w:rPr>
          <w:lang w:val="en-GB"/>
        </w:rPr>
        <w:t xml:space="preserve"> in all provinces</w:t>
      </w:r>
      <w:r>
        <w:rPr>
          <w:lang w:val="en-GB"/>
        </w:rPr>
        <w:t xml:space="preserve"> in 2019.</w:t>
      </w:r>
      <w:r w:rsidRPr="004A0160">
        <w:rPr>
          <w:lang w:val="en-GB"/>
        </w:rPr>
        <w:t xml:space="preserve"> Malaita, Western </w:t>
      </w:r>
      <w:r>
        <w:rPr>
          <w:lang w:val="en-GB"/>
        </w:rPr>
        <w:t>and</w:t>
      </w:r>
      <w:r w:rsidRPr="004A0160">
        <w:rPr>
          <w:lang w:val="en-GB"/>
        </w:rPr>
        <w:t xml:space="preserve"> Guadalcanal monitored their implementation.</w:t>
      </w:r>
      <w:r w:rsidR="00F80F79">
        <w:rPr>
          <w:lang w:val="en-GB"/>
        </w:rPr>
        <w:t xml:space="preserve"> </w:t>
      </w:r>
      <w:r w:rsidR="002868FA" w:rsidRPr="002868FA">
        <w:rPr>
          <w:lang w:val="en-GB"/>
        </w:rPr>
        <w:t xml:space="preserve">The key strategy this year for implementing the new </w:t>
      </w:r>
      <w:r w:rsidR="00FA4132">
        <w:rPr>
          <w:lang w:val="en-GB"/>
        </w:rPr>
        <w:t xml:space="preserve">PPY </w:t>
      </w:r>
      <w:r w:rsidR="002868FA" w:rsidRPr="002868FA">
        <w:rPr>
          <w:lang w:val="en-GB"/>
        </w:rPr>
        <w:t xml:space="preserve">curriculum </w:t>
      </w:r>
      <w:r w:rsidR="002868FA">
        <w:rPr>
          <w:lang w:val="en-GB"/>
        </w:rPr>
        <w:t>was preparing</w:t>
      </w:r>
      <w:r w:rsidR="002868FA" w:rsidRPr="002868FA">
        <w:rPr>
          <w:lang w:val="en-GB"/>
        </w:rPr>
        <w:t xml:space="preserve"> teachers. A significant amount of professional development was provided throughout the year as shown in the table below.</w:t>
      </w:r>
    </w:p>
    <w:p w14:paraId="0F75FD1A" w14:textId="39E4F7D3" w:rsidR="002868FA" w:rsidRPr="00491733" w:rsidRDefault="00E957E3" w:rsidP="00491733">
      <w:pPr>
        <w:pStyle w:val="Tablecontent"/>
        <w:rPr>
          <w:i/>
          <w:iCs/>
          <w:sz w:val="18"/>
          <w:szCs w:val="20"/>
        </w:rPr>
      </w:pPr>
      <w:bookmarkStart w:id="25" w:name="_Toc48750603"/>
      <w:r w:rsidRPr="009165DB">
        <w:rPr>
          <w:i/>
          <w:iCs/>
          <w:sz w:val="18"/>
          <w:szCs w:val="20"/>
        </w:rPr>
        <w:t xml:space="preserve">Table </w:t>
      </w:r>
      <w:r w:rsidRPr="009165DB">
        <w:rPr>
          <w:i/>
          <w:iCs/>
          <w:sz w:val="18"/>
          <w:szCs w:val="20"/>
        </w:rPr>
        <w:fldChar w:fldCharType="begin"/>
      </w:r>
      <w:r w:rsidRPr="009165DB">
        <w:rPr>
          <w:i/>
          <w:iCs/>
          <w:sz w:val="18"/>
          <w:szCs w:val="20"/>
        </w:rPr>
        <w:instrText xml:space="preserve"> SEQ Table \* ARABIC </w:instrText>
      </w:r>
      <w:r w:rsidRPr="009165DB">
        <w:rPr>
          <w:i/>
          <w:iCs/>
          <w:sz w:val="18"/>
          <w:szCs w:val="20"/>
        </w:rPr>
        <w:fldChar w:fldCharType="separate"/>
      </w:r>
      <w:r w:rsidR="00912E1E">
        <w:rPr>
          <w:i/>
          <w:iCs/>
          <w:noProof/>
          <w:sz w:val="18"/>
          <w:szCs w:val="20"/>
        </w:rPr>
        <w:t>6</w:t>
      </w:r>
      <w:r w:rsidRPr="009165DB">
        <w:rPr>
          <w:i/>
          <w:iCs/>
          <w:sz w:val="18"/>
          <w:szCs w:val="20"/>
        </w:rPr>
        <w:fldChar w:fldCharType="end"/>
      </w:r>
      <w:r w:rsidRPr="009165DB">
        <w:rPr>
          <w:i/>
          <w:iCs/>
          <w:sz w:val="18"/>
          <w:szCs w:val="20"/>
        </w:rPr>
        <w:t xml:space="preserve">: </w:t>
      </w:r>
      <w:r w:rsidR="002868FA" w:rsidRPr="009165DB">
        <w:rPr>
          <w:i/>
          <w:iCs/>
          <w:sz w:val="18"/>
          <w:szCs w:val="20"/>
        </w:rPr>
        <w:t xml:space="preserve">Number of provincial PPY trainers and teachers trained in new </w:t>
      </w:r>
      <w:r w:rsidR="00FA4132" w:rsidRPr="009165DB">
        <w:rPr>
          <w:i/>
          <w:iCs/>
          <w:sz w:val="18"/>
          <w:szCs w:val="20"/>
        </w:rPr>
        <w:t xml:space="preserve">PPY </w:t>
      </w:r>
      <w:r w:rsidR="002868FA" w:rsidRPr="009165DB">
        <w:rPr>
          <w:i/>
          <w:iCs/>
          <w:sz w:val="18"/>
          <w:szCs w:val="20"/>
        </w:rPr>
        <w:t>Curriculum</w:t>
      </w:r>
      <w:bookmarkEnd w:id="25"/>
    </w:p>
    <w:tbl>
      <w:tblPr>
        <w:tblStyle w:val="GridTable5Dark-Accent1"/>
        <w:tblW w:w="0" w:type="auto"/>
        <w:tblLook w:val="04A0" w:firstRow="1" w:lastRow="0" w:firstColumn="1" w:lastColumn="0" w:noHBand="0" w:noVBand="1"/>
      </w:tblPr>
      <w:tblGrid>
        <w:gridCol w:w="1838"/>
        <w:gridCol w:w="1134"/>
        <w:gridCol w:w="1134"/>
        <w:gridCol w:w="1559"/>
        <w:gridCol w:w="1244"/>
      </w:tblGrid>
      <w:tr w:rsidR="00A43DFC" w:rsidRPr="00F06CE2" w14:paraId="711644D2" w14:textId="77777777" w:rsidTr="00A43DFC">
        <w:trPr>
          <w:cnfStyle w:val="100000000000" w:firstRow="1" w:lastRow="0" w:firstColumn="0" w:lastColumn="0" w:oddVBand="0" w:evenVBand="0" w:oddHBand="0"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FFFFFF" w:themeColor="background1"/>
            </w:tcBorders>
            <w:shd w:val="clear" w:color="auto" w:fill="8EAADB" w:themeFill="accent1" w:themeFillTint="99"/>
          </w:tcPr>
          <w:p w14:paraId="274D2358" w14:textId="7FA0AC34" w:rsidR="00A43DFC" w:rsidRPr="002C41F0" w:rsidRDefault="00A43DFC" w:rsidP="00912E1E">
            <w:pPr>
              <w:spacing w:after="0" w:line="240" w:lineRule="auto"/>
              <w:jc w:val="center"/>
              <w:rPr>
                <w:rFonts w:asciiTheme="minorHAnsi" w:eastAsia="Times New Roman" w:hAnsiTheme="minorHAnsi" w:cstheme="minorHAnsi"/>
                <w:color w:val="000000" w:themeColor="text1"/>
                <w:sz w:val="20"/>
                <w:szCs w:val="20"/>
                <w:lang w:val="en-AU" w:eastAsia="en-AU"/>
              </w:rPr>
            </w:pPr>
            <w:r w:rsidRPr="002C41F0">
              <w:rPr>
                <w:rFonts w:asciiTheme="minorHAnsi" w:eastAsia="Times New Roman" w:hAnsiTheme="minorHAnsi" w:cstheme="minorHAnsi"/>
                <w:color w:val="000000" w:themeColor="text1"/>
                <w:sz w:val="20"/>
                <w:szCs w:val="20"/>
                <w:lang w:val="en-AU" w:eastAsia="en-AU"/>
              </w:rPr>
              <w:t>PROVINCE</w:t>
            </w:r>
          </w:p>
        </w:tc>
        <w:tc>
          <w:tcPr>
            <w:tcW w:w="1134" w:type="dxa"/>
            <w:tcBorders>
              <w:left w:val="single" w:sz="4" w:space="0" w:color="FFFFFF" w:themeColor="background1"/>
              <w:bottom w:val="single" w:sz="4" w:space="0" w:color="FFFFFF" w:themeColor="background1"/>
            </w:tcBorders>
            <w:shd w:val="clear" w:color="auto" w:fill="8EAADB" w:themeFill="accent1" w:themeFillTint="99"/>
          </w:tcPr>
          <w:p w14:paraId="3C282F53" w14:textId="77777777" w:rsidR="00A43DFC" w:rsidRPr="002C41F0" w:rsidRDefault="00A43DFC" w:rsidP="00912E1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aps/>
                <w:color w:val="000000" w:themeColor="text1"/>
                <w:sz w:val="20"/>
                <w:szCs w:val="20"/>
                <w:lang w:val="en-AU" w:eastAsia="en-AU"/>
              </w:rPr>
            </w:pPr>
            <w:r w:rsidRPr="002C41F0">
              <w:rPr>
                <w:rFonts w:asciiTheme="minorHAnsi" w:eastAsia="Times New Roman" w:hAnsiTheme="minorHAnsi" w:cstheme="minorHAnsi"/>
                <w:caps/>
                <w:color w:val="000000" w:themeColor="text1"/>
                <w:sz w:val="20"/>
                <w:szCs w:val="20"/>
                <w:lang w:val="en-AU" w:eastAsia="en-AU"/>
              </w:rPr>
              <w:t>Trainers</w:t>
            </w:r>
          </w:p>
        </w:tc>
        <w:tc>
          <w:tcPr>
            <w:tcW w:w="1134" w:type="dxa"/>
            <w:tcBorders>
              <w:bottom w:val="single" w:sz="4" w:space="0" w:color="FFFFFF" w:themeColor="background1"/>
              <w:right w:val="single" w:sz="4" w:space="0" w:color="FFFFFF" w:themeColor="background1"/>
            </w:tcBorders>
            <w:shd w:val="clear" w:color="auto" w:fill="8EAADB" w:themeFill="accent1" w:themeFillTint="99"/>
          </w:tcPr>
          <w:p w14:paraId="0A7FA0E8" w14:textId="5AE676F5" w:rsidR="00A43DFC" w:rsidRPr="002C41F0" w:rsidRDefault="00A43DFC" w:rsidP="00912E1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aps/>
                <w:color w:val="000000" w:themeColor="text1"/>
                <w:sz w:val="20"/>
                <w:szCs w:val="20"/>
                <w:lang w:val="en-AU" w:eastAsia="en-AU"/>
              </w:rPr>
            </w:pPr>
          </w:p>
        </w:tc>
        <w:tc>
          <w:tcPr>
            <w:tcW w:w="1559" w:type="dxa"/>
            <w:tcBorders>
              <w:left w:val="single" w:sz="4" w:space="0" w:color="FFFFFF" w:themeColor="background1"/>
            </w:tcBorders>
            <w:shd w:val="clear" w:color="auto" w:fill="8EAADB" w:themeFill="accent1" w:themeFillTint="99"/>
          </w:tcPr>
          <w:p w14:paraId="5D4CA1F2" w14:textId="566E6F11" w:rsidR="00A43DFC" w:rsidRPr="002C41F0" w:rsidRDefault="00A43DFC" w:rsidP="00912E1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aps/>
                <w:color w:val="000000" w:themeColor="text1"/>
                <w:sz w:val="20"/>
                <w:szCs w:val="20"/>
                <w:lang w:val="en-AU" w:eastAsia="en-AU"/>
              </w:rPr>
            </w:pPr>
            <w:r w:rsidRPr="002C41F0">
              <w:rPr>
                <w:rFonts w:asciiTheme="minorHAnsi" w:eastAsia="Times New Roman" w:hAnsiTheme="minorHAnsi" w:cstheme="minorHAnsi"/>
                <w:caps/>
                <w:color w:val="000000" w:themeColor="text1"/>
                <w:sz w:val="20"/>
                <w:szCs w:val="20"/>
                <w:lang w:val="en-AU" w:eastAsia="en-AU"/>
              </w:rPr>
              <w:t>Teachers</w:t>
            </w:r>
          </w:p>
        </w:tc>
        <w:tc>
          <w:tcPr>
            <w:tcW w:w="1244" w:type="dxa"/>
            <w:shd w:val="clear" w:color="auto" w:fill="8EAADB" w:themeFill="accent1" w:themeFillTint="99"/>
          </w:tcPr>
          <w:p w14:paraId="3803490D" w14:textId="0AE4E707" w:rsidR="00A43DFC" w:rsidRPr="002C41F0" w:rsidRDefault="00A43DFC" w:rsidP="00912E1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aps/>
                <w:color w:val="000000" w:themeColor="text1"/>
                <w:sz w:val="20"/>
                <w:szCs w:val="20"/>
                <w:lang w:val="en-AU" w:eastAsia="en-AU"/>
              </w:rPr>
            </w:pPr>
          </w:p>
        </w:tc>
      </w:tr>
      <w:tr w:rsidR="00F10E87" w:rsidRPr="00F06CE2" w14:paraId="73001A34" w14:textId="77777777" w:rsidTr="00A43DFC">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838" w:type="dxa"/>
            <w:shd w:val="clear" w:color="auto" w:fill="8EAADB" w:themeFill="accent1" w:themeFillTint="99"/>
          </w:tcPr>
          <w:p w14:paraId="0A813BF3" w14:textId="77777777" w:rsidR="00F10E87" w:rsidRPr="002C41F0" w:rsidRDefault="00F10E87" w:rsidP="00912E1E">
            <w:pPr>
              <w:spacing w:after="0" w:line="240" w:lineRule="auto"/>
              <w:jc w:val="center"/>
              <w:rPr>
                <w:rFonts w:asciiTheme="minorHAnsi" w:eastAsia="Times New Roman" w:hAnsiTheme="minorHAnsi" w:cstheme="minorHAnsi"/>
                <w:color w:val="000000" w:themeColor="text1"/>
                <w:sz w:val="20"/>
                <w:szCs w:val="20"/>
                <w:lang w:val="en-AU" w:eastAsia="en-AU"/>
              </w:rPr>
            </w:pPr>
          </w:p>
        </w:tc>
        <w:tc>
          <w:tcPr>
            <w:tcW w:w="1134" w:type="dxa"/>
            <w:shd w:val="clear" w:color="auto" w:fill="8EAADB" w:themeFill="accent1" w:themeFillTint="99"/>
          </w:tcPr>
          <w:p w14:paraId="2AA2EF72" w14:textId="2A0A8B71" w:rsidR="00F10E87" w:rsidRPr="002C41F0" w:rsidRDefault="00F10E87" w:rsidP="00912E1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lang w:val="en-AU" w:eastAsia="en-AU"/>
              </w:rPr>
            </w:pPr>
            <w:r w:rsidRPr="002C41F0">
              <w:rPr>
                <w:rFonts w:asciiTheme="minorHAnsi" w:eastAsia="Times New Roman" w:hAnsiTheme="minorHAnsi" w:cstheme="minorHAnsi"/>
                <w:color w:val="000000" w:themeColor="text1"/>
                <w:sz w:val="20"/>
                <w:szCs w:val="20"/>
                <w:lang w:val="en-AU" w:eastAsia="en-AU"/>
              </w:rPr>
              <w:t>Male</w:t>
            </w:r>
          </w:p>
        </w:tc>
        <w:tc>
          <w:tcPr>
            <w:tcW w:w="1134" w:type="dxa"/>
            <w:shd w:val="clear" w:color="auto" w:fill="8EAADB" w:themeFill="accent1" w:themeFillTint="99"/>
          </w:tcPr>
          <w:p w14:paraId="1AE58D94" w14:textId="70A2772D" w:rsidR="00F10E87" w:rsidRPr="002C41F0" w:rsidRDefault="00F10E87" w:rsidP="00912E1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lang w:val="en-AU" w:eastAsia="en-AU"/>
              </w:rPr>
            </w:pPr>
            <w:r w:rsidRPr="002C41F0">
              <w:rPr>
                <w:rFonts w:asciiTheme="minorHAnsi" w:eastAsia="Times New Roman" w:hAnsiTheme="minorHAnsi" w:cstheme="minorHAnsi"/>
                <w:color w:val="000000" w:themeColor="text1"/>
                <w:sz w:val="20"/>
                <w:szCs w:val="20"/>
                <w:lang w:val="en-AU" w:eastAsia="en-AU"/>
              </w:rPr>
              <w:t>Female</w:t>
            </w:r>
          </w:p>
        </w:tc>
        <w:tc>
          <w:tcPr>
            <w:tcW w:w="1559" w:type="dxa"/>
            <w:shd w:val="clear" w:color="auto" w:fill="8EAADB" w:themeFill="accent1" w:themeFillTint="99"/>
          </w:tcPr>
          <w:p w14:paraId="3350BCF1" w14:textId="3E10D56D" w:rsidR="00F10E87" w:rsidRPr="002C41F0" w:rsidRDefault="00F10E87" w:rsidP="00912E1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lang w:val="en-AU" w:eastAsia="en-AU"/>
              </w:rPr>
            </w:pPr>
            <w:r w:rsidRPr="002C41F0">
              <w:rPr>
                <w:rFonts w:asciiTheme="minorHAnsi" w:eastAsia="Times New Roman" w:hAnsiTheme="minorHAnsi" w:cstheme="minorHAnsi"/>
                <w:color w:val="000000" w:themeColor="text1"/>
                <w:sz w:val="20"/>
                <w:szCs w:val="20"/>
                <w:lang w:val="en-AU" w:eastAsia="en-AU"/>
              </w:rPr>
              <w:t>Male</w:t>
            </w:r>
          </w:p>
        </w:tc>
        <w:tc>
          <w:tcPr>
            <w:tcW w:w="1244" w:type="dxa"/>
            <w:shd w:val="clear" w:color="auto" w:fill="8EAADB" w:themeFill="accent1" w:themeFillTint="99"/>
          </w:tcPr>
          <w:p w14:paraId="7375385C" w14:textId="78200741" w:rsidR="00F10E87" w:rsidRPr="002C41F0" w:rsidRDefault="00F10E87" w:rsidP="00912E1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lang w:val="en-AU" w:eastAsia="en-AU"/>
              </w:rPr>
            </w:pPr>
            <w:r w:rsidRPr="002C41F0">
              <w:rPr>
                <w:rFonts w:asciiTheme="minorHAnsi" w:eastAsia="Times New Roman" w:hAnsiTheme="minorHAnsi" w:cstheme="minorHAnsi"/>
                <w:color w:val="000000" w:themeColor="text1"/>
                <w:sz w:val="20"/>
                <w:szCs w:val="20"/>
                <w:lang w:val="en-AU" w:eastAsia="en-AU"/>
              </w:rPr>
              <w:t>Female</w:t>
            </w:r>
          </w:p>
        </w:tc>
      </w:tr>
      <w:tr w:rsidR="00F10E87" w:rsidRPr="00F06CE2" w14:paraId="0191B068" w14:textId="77777777" w:rsidTr="00A43DFC">
        <w:trPr>
          <w:trHeight w:val="267"/>
        </w:trPr>
        <w:tc>
          <w:tcPr>
            <w:cnfStyle w:val="001000000000" w:firstRow="0" w:lastRow="0" w:firstColumn="1" w:lastColumn="0" w:oddVBand="0" w:evenVBand="0" w:oddHBand="0" w:evenHBand="0" w:firstRowFirstColumn="0" w:firstRowLastColumn="0" w:lastRowFirstColumn="0" w:lastRowLastColumn="0"/>
            <w:tcW w:w="1838" w:type="dxa"/>
            <w:shd w:val="clear" w:color="auto" w:fill="8EAADB" w:themeFill="accent1" w:themeFillTint="99"/>
          </w:tcPr>
          <w:p w14:paraId="7E5B28F7" w14:textId="5E8662BD" w:rsidR="00F10E87" w:rsidRPr="002C41F0" w:rsidRDefault="00F10E87" w:rsidP="00F10E87">
            <w:pPr>
              <w:spacing w:after="0" w:line="240" w:lineRule="auto"/>
              <w:jc w:val="center"/>
              <w:rPr>
                <w:rFonts w:asciiTheme="minorHAnsi" w:eastAsia="Times New Roman" w:hAnsiTheme="minorHAnsi" w:cstheme="minorHAnsi"/>
                <w:color w:val="000000" w:themeColor="text1"/>
                <w:sz w:val="20"/>
                <w:szCs w:val="20"/>
                <w:lang w:val="en-AU" w:eastAsia="en-AU"/>
              </w:rPr>
            </w:pPr>
            <w:r w:rsidRPr="002C41F0">
              <w:rPr>
                <w:rFonts w:asciiTheme="minorHAnsi" w:eastAsia="Times New Roman" w:hAnsiTheme="minorHAnsi" w:cstheme="minorHAnsi"/>
                <w:color w:val="000000" w:themeColor="text1"/>
                <w:sz w:val="20"/>
                <w:szCs w:val="20"/>
                <w:lang w:val="en-AU" w:eastAsia="en-AU"/>
              </w:rPr>
              <w:t>Honiara</w:t>
            </w:r>
          </w:p>
        </w:tc>
        <w:tc>
          <w:tcPr>
            <w:tcW w:w="1134" w:type="dxa"/>
          </w:tcPr>
          <w:p w14:paraId="38847691" w14:textId="7FD34650"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0</w:t>
            </w:r>
          </w:p>
        </w:tc>
        <w:tc>
          <w:tcPr>
            <w:tcW w:w="1134" w:type="dxa"/>
          </w:tcPr>
          <w:p w14:paraId="0A3F9587" w14:textId="673D6019"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5</w:t>
            </w:r>
          </w:p>
        </w:tc>
        <w:tc>
          <w:tcPr>
            <w:tcW w:w="1559" w:type="dxa"/>
          </w:tcPr>
          <w:p w14:paraId="7F6D2C92" w14:textId="700F9DE3"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5</w:t>
            </w:r>
          </w:p>
        </w:tc>
        <w:tc>
          <w:tcPr>
            <w:tcW w:w="1244" w:type="dxa"/>
          </w:tcPr>
          <w:p w14:paraId="44581104" w14:textId="2228FD7C"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65</w:t>
            </w:r>
          </w:p>
        </w:tc>
      </w:tr>
      <w:tr w:rsidR="00F10E87" w:rsidRPr="00F06CE2" w14:paraId="4963057A" w14:textId="77777777" w:rsidTr="00A43DF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38" w:type="dxa"/>
            <w:shd w:val="clear" w:color="auto" w:fill="8EAADB" w:themeFill="accent1" w:themeFillTint="99"/>
          </w:tcPr>
          <w:p w14:paraId="4D29331D" w14:textId="41A01CA3" w:rsidR="00F10E87" w:rsidRPr="002C41F0" w:rsidRDefault="00F10E87" w:rsidP="00F10E87">
            <w:pPr>
              <w:spacing w:after="0" w:line="240" w:lineRule="auto"/>
              <w:jc w:val="center"/>
              <w:rPr>
                <w:rFonts w:asciiTheme="minorHAnsi" w:eastAsia="Times New Roman" w:hAnsiTheme="minorHAnsi" w:cstheme="minorHAnsi"/>
                <w:color w:val="000000" w:themeColor="text1"/>
                <w:sz w:val="20"/>
                <w:szCs w:val="20"/>
                <w:lang w:val="en-AU" w:eastAsia="en-AU"/>
              </w:rPr>
            </w:pPr>
            <w:r w:rsidRPr="002C41F0">
              <w:rPr>
                <w:rFonts w:asciiTheme="minorHAnsi" w:eastAsia="Times New Roman" w:hAnsiTheme="minorHAnsi" w:cstheme="minorHAnsi"/>
                <w:color w:val="000000" w:themeColor="text1"/>
                <w:sz w:val="20"/>
                <w:szCs w:val="20"/>
                <w:lang w:val="en-AU" w:eastAsia="en-AU"/>
              </w:rPr>
              <w:t>Guadalcanal</w:t>
            </w:r>
          </w:p>
        </w:tc>
        <w:tc>
          <w:tcPr>
            <w:tcW w:w="1134" w:type="dxa"/>
          </w:tcPr>
          <w:p w14:paraId="4BE3CEA4" w14:textId="389C94CC" w:rsidR="00F10E87" w:rsidRPr="00F06CE2" w:rsidRDefault="00F10E87" w:rsidP="00F10E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2</w:t>
            </w:r>
          </w:p>
        </w:tc>
        <w:tc>
          <w:tcPr>
            <w:tcW w:w="1134" w:type="dxa"/>
          </w:tcPr>
          <w:p w14:paraId="409AB541" w14:textId="6A05174B" w:rsidR="00F10E87" w:rsidRPr="00F06CE2" w:rsidRDefault="00F10E87" w:rsidP="00F10E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4</w:t>
            </w:r>
          </w:p>
        </w:tc>
        <w:tc>
          <w:tcPr>
            <w:tcW w:w="1559" w:type="dxa"/>
          </w:tcPr>
          <w:p w14:paraId="7B19801D" w14:textId="199146CE" w:rsidR="00F10E87" w:rsidRPr="00F06CE2" w:rsidRDefault="00F10E87" w:rsidP="00F10E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11</w:t>
            </w:r>
          </w:p>
        </w:tc>
        <w:tc>
          <w:tcPr>
            <w:tcW w:w="1244" w:type="dxa"/>
          </w:tcPr>
          <w:p w14:paraId="0A285C21" w14:textId="75560E9F" w:rsidR="00F10E87" w:rsidRPr="00F06CE2" w:rsidRDefault="00F10E87" w:rsidP="00F10E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122</w:t>
            </w:r>
          </w:p>
        </w:tc>
      </w:tr>
      <w:tr w:rsidR="00F10E87" w:rsidRPr="00F06CE2" w14:paraId="0E4092C7" w14:textId="77777777" w:rsidTr="00A43DFC">
        <w:trPr>
          <w:trHeight w:val="272"/>
        </w:trPr>
        <w:tc>
          <w:tcPr>
            <w:cnfStyle w:val="001000000000" w:firstRow="0" w:lastRow="0" w:firstColumn="1" w:lastColumn="0" w:oddVBand="0" w:evenVBand="0" w:oddHBand="0" w:evenHBand="0" w:firstRowFirstColumn="0" w:firstRowLastColumn="0" w:lastRowFirstColumn="0" w:lastRowLastColumn="0"/>
            <w:tcW w:w="1838" w:type="dxa"/>
            <w:shd w:val="clear" w:color="auto" w:fill="8EAADB" w:themeFill="accent1" w:themeFillTint="99"/>
          </w:tcPr>
          <w:p w14:paraId="0C4CE3D1" w14:textId="36777095" w:rsidR="00F10E87" w:rsidRPr="002C41F0" w:rsidRDefault="00F10E87" w:rsidP="00F10E87">
            <w:pPr>
              <w:spacing w:after="0" w:line="240" w:lineRule="auto"/>
              <w:jc w:val="center"/>
              <w:rPr>
                <w:rFonts w:asciiTheme="minorHAnsi" w:eastAsia="Times New Roman" w:hAnsiTheme="minorHAnsi" w:cstheme="minorHAnsi"/>
                <w:color w:val="000000" w:themeColor="text1"/>
                <w:sz w:val="20"/>
                <w:szCs w:val="20"/>
                <w:lang w:val="en-AU" w:eastAsia="en-AU"/>
              </w:rPr>
            </w:pPr>
            <w:r w:rsidRPr="002C41F0">
              <w:rPr>
                <w:rFonts w:asciiTheme="minorHAnsi" w:eastAsia="Times New Roman" w:hAnsiTheme="minorHAnsi" w:cstheme="minorHAnsi"/>
                <w:color w:val="000000" w:themeColor="text1"/>
                <w:sz w:val="20"/>
                <w:szCs w:val="20"/>
                <w:lang w:val="en-AU" w:eastAsia="en-AU"/>
              </w:rPr>
              <w:t>Central</w:t>
            </w:r>
          </w:p>
        </w:tc>
        <w:tc>
          <w:tcPr>
            <w:tcW w:w="1134" w:type="dxa"/>
          </w:tcPr>
          <w:p w14:paraId="76E888C8" w14:textId="605B997F"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3</w:t>
            </w:r>
          </w:p>
        </w:tc>
        <w:tc>
          <w:tcPr>
            <w:tcW w:w="1134" w:type="dxa"/>
          </w:tcPr>
          <w:p w14:paraId="7CCC7F2C" w14:textId="351C83A4"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2</w:t>
            </w:r>
          </w:p>
        </w:tc>
        <w:tc>
          <w:tcPr>
            <w:tcW w:w="1559" w:type="dxa"/>
          </w:tcPr>
          <w:p w14:paraId="103BBEB4" w14:textId="017BD60A"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4</w:t>
            </w:r>
          </w:p>
        </w:tc>
        <w:tc>
          <w:tcPr>
            <w:tcW w:w="1244" w:type="dxa"/>
          </w:tcPr>
          <w:p w14:paraId="4C37A84E" w14:textId="06CEDCE2"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39</w:t>
            </w:r>
          </w:p>
        </w:tc>
      </w:tr>
      <w:tr w:rsidR="00F10E87" w:rsidRPr="00F06CE2" w14:paraId="7F3645E2" w14:textId="77777777" w:rsidTr="00A43DF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38" w:type="dxa"/>
            <w:shd w:val="clear" w:color="auto" w:fill="8EAADB" w:themeFill="accent1" w:themeFillTint="99"/>
          </w:tcPr>
          <w:p w14:paraId="1A062E4A" w14:textId="1F26D607" w:rsidR="00F10E87" w:rsidRPr="002C41F0" w:rsidRDefault="00F10E87" w:rsidP="00F10E87">
            <w:pPr>
              <w:spacing w:after="0" w:line="240" w:lineRule="auto"/>
              <w:jc w:val="center"/>
              <w:rPr>
                <w:rFonts w:asciiTheme="minorHAnsi" w:eastAsia="Times New Roman" w:hAnsiTheme="minorHAnsi" w:cstheme="minorHAnsi"/>
                <w:color w:val="000000" w:themeColor="text1"/>
                <w:sz w:val="20"/>
                <w:szCs w:val="20"/>
                <w:lang w:val="en-AU" w:eastAsia="en-AU"/>
              </w:rPr>
            </w:pPr>
            <w:r w:rsidRPr="002C41F0">
              <w:rPr>
                <w:rFonts w:asciiTheme="minorHAnsi" w:eastAsia="Times New Roman" w:hAnsiTheme="minorHAnsi" w:cstheme="minorHAnsi"/>
                <w:color w:val="000000" w:themeColor="text1"/>
                <w:sz w:val="20"/>
                <w:szCs w:val="20"/>
                <w:lang w:val="en-AU" w:eastAsia="en-AU"/>
              </w:rPr>
              <w:t>Isabel</w:t>
            </w:r>
          </w:p>
        </w:tc>
        <w:tc>
          <w:tcPr>
            <w:tcW w:w="1134" w:type="dxa"/>
          </w:tcPr>
          <w:p w14:paraId="4FB393B4" w14:textId="21F2F0A3" w:rsidR="00F10E87" w:rsidRPr="00F06CE2" w:rsidRDefault="00F10E87" w:rsidP="00F10E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1</w:t>
            </w:r>
          </w:p>
        </w:tc>
        <w:tc>
          <w:tcPr>
            <w:tcW w:w="1134" w:type="dxa"/>
          </w:tcPr>
          <w:p w14:paraId="7A2A8826" w14:textId="000670B0" w:rsidR="00F10E87" w:rsidRPr="00F06CE2" w:rsidRDefault="00F10E87" w:rsidP="00F10E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3</w:t>
            </w:r>
          </w:p>
        </w:tc>
        <w:tc>
          <w:tcPr>
            <w:tcW w:w="1559" w:type="dxa"/>
          </w:tcPr>
          <w:p w14:paraId="4E3E4F52" w14:textId="48FC73C3" w:rsidR="00F10E87" w:rsidRPr="00F06CE2" w:rsidRDefault="00F10E87" w:rsidP="00F10E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7</w:t>
            </w:r>
          </w:p>
        </w:tc>
        <w:tc>
          <w:tcPr>
            <w:tcW w:w="1244" w:type="dxa"/>
          </w:tcPr>
          <w:p w14:paraId="4CB60DA5" w14:textId="17F1E4E2" w:rsidR="00F10E87" w:rsidRPr="00F06CE2" w:rsidRDefault="00F10E87" w:rsidP="00F10E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76</w:t>
            </w:r>
          </w:p>
        </w:tc>
      </w:tr>
      <w:tr w:rsidR="00F10E87" w:rsidRPr="00F06CE2" w14:paraId="2C3B1394" w14:textId="77777777" w:rsidTr="00A43DFC">
        <w:trPr>
          <w:trHeight w:val="272"/>
        </w:trPr>
        <w:tc>
          <w:tcPr>
            <w:cnfStyle w:val="001000000000" w:firstRow="0" w:lastRow="0" w:firstColumn="1" w:lastColumn="0" w:oddVBand="0" w:evenVBand="0" w:oddHBand="0" w:evenHBand="0" w:firstRowFirstColumn="0" w:firstRowLastColumn="0" w:lastRowFirstColumn="0" w:lastRowLastColumn="0"/>
            <w:tcW w:w="1838" w:type="dxa"/>
            <w:shd w:val="clear" w:color="auto" w:fill="8EAADB" w:themeFill="accent1" w:themeFillTint="99"/>
          </w:tcPr>
          <w:p w14:paraId="60325DAF" w14:textId="2FED927A" w:rsidR="00F10E87" w:rsidRPr="002C41F0" w:rsidRDefault="00F10E87" w:rsidP="00F10E87">
            <w:pPr>
              <w:spacing w:after="0" w:line="240" w:lineRule="auto"/>
              <w:jc w:val="center"/>
              <w:rPr>
                <w:rFonts w:asciiTheme="minorHAnsi" w:eastAsia="Times New Roman" w:hAnsiTheme="minorHAnsi" w:cstheme="minorHAnsi"/>
                <w:color w:val="000000" w:themeColor="text1"/>
                <w:sz w:val="20"/>
                <w:szCs w:val="20"/>
                <w:lang w:val="en-AU" w:eastAsia="en-AU"/>
              </w:rPr>
            </w:pPr>
            <w:r w:rsidRPr="002C41F0">
              <w:rPr>
                <w:rFonts w:asciiTheme="minorHAnsi" w:eastAsia="Times New Roman" w:hAnsiTheme="minorHAnsi" w:cstheme="minorHAnsi"/>
                <w:color w:val="000000" w:themeColor="text1"/>
                <w:sz w:val="20"/>
                <w:szCs w:val="20"/>
                <w:lang w:val="en-AU" w:eastAsia="en-AU"/>
              </w:rPr>
              <w:t>Choiseul</w:t>
            </w:r>
          </w:p>
        </w:tc>
        <w:tc>
          <w:tcPr>
            <w:tcW w:w="1134" w:type="dxa"/>
          </w:tcPr>
          <w:p w14:paraId="00118913" w14:textId="121DD0C1"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0</w:t>
            </w:r>
          </w:p>
        </w:tc>
        <w:tc>
          <w:tcPr>
            <w:tcW w:w="1134" w:type="dxa"/>
          </w:tcPr>
          <w:p w14:paraId="0740EBDA" w14:textId="1CDE342A"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4</w:t>
            </w:r>
          </w:p>
        </w:tc>
        <w:tc>
          <w:tcPr>
            <w:tcW w:w="1559" w:type="dxa"/>
          </w:tcPr>
          <w:p w14:paraId="67983FD2" w14:textId="35E67696"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5</w:t>
            </w:r>
          </w:p>
        </w:tc>
        <w:tc>
          <w:tcPr>
            <w:tcW w:w="1244" w:type="dxa"/>
          </w:tcPr>
          <w:p w14:paraId="60A4C589" w14:textId="65603314"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84</w:t>
            </w:r>
          </w:p>
        </w:tc>
      </w:tr>
      <w:tr w:rsidR="00F10E87" w:rsidRPr="00F06CE2" w14:paraId="5D78A2BC" w14:textId="77777777" w:rsidTr="00A43DF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38" w:type="dxa"/>
            <w:shd w:val="clear" w:color="auto" w:fill="8EAADB" w:themeFill="accent1" w:themeFillTint="99"/>
          </w:tcPr>
          <w:p w14:paraId="09A623C1" w14:textId="4819142F" w:rsidR="00F10E87" w:rsidRPr="002C41F0" w:rsidRDefault="00F10E87" w:rsidP="00F10E87">
            <w:pPr>
              <w:spacing w:after="0" w:line="240" w:lineRule="auto"/>
              <w:jc w:val="center"/>
              <w:rPr>
                <w:rFonts w:asciiTheme="minorHAnsi" w:eastAsia="Times New Roman" w:hAnsiTheme="minorHAnsi" w:cstheme="minorHAnsi"/>
                <w:color w:val="000000" w:themeColor="text1"/>
                <w:sz w:val="20"/>
                <w:szCs w:val="20"/>
                <w:lang w:val="en-AU" w:eastAsia="en-AU"/>
              </w:rPr>
            </w:pPr>
            <w:r w:rsidRPr="002C41F0">
              <w:rPr>
                <w:rFonts w:asciiTheme="minorHAnsi" w:eastAsia="Times New Roman" w:hAnsiTheme="minorHAnsi" w:cstheme="minorHAnsi"/>
                <w:color w:val="000000" w:themeColor="text1"/>
                <w:sz w:val="20"/>
                <w:szCs w:val="20"/>
                <w:lang w:val="en-AU" w:eastAsia="en-AU"/>
              </w:rPr>
              <w:t>Western</w:t>
            </w:r>
          </w:p>
        </w:tc>
        <w:tc>
          <w:tcPr>
            <w:tcW w:w="1134" w:type="dxa"/>
          </w:tcPr>
          <w:p w14:paraId="1964D075" w14:textId="1383EB4C" w:rsidR="00F10E87" w:rsidRPr="00F06CE2" w:rsidRDefault="00F10E87" w:rsidP="00F10E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2</w:t>
            </w:r>
          </w:p>
        </w:tc>
        <w:tc>
          <w:tcPr>
            <w:tcW w:w="1134" w:type="dxa"/>
          </w:tcPr>
          <w:p w14:paraId="45B6474E" w14:textId="46E6812D" w:rsidR="00F10E87" w:rsidRPr="00F06CE2" w:rsidRDefault="00F10E87" w:rsidP="00F10E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7</w:t>
            </w:r>
          </w:p>
        </w:tc>
        <w:tc>
          <w:tcPr>
            <w:tcW w:w="1559" w:type="dxa"/>
          </w:tcPr>
          <w:p w14:paraId="72518F3E" w14:textId="36947742" w:rsidR="00F10E87" w:rsidRPr="00F06CE2" w:rsidRDefault="00F10E87" w:rsidP="00F10E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15</w:t>
            </w:r>
          </w:p>
        </w:tc>
        <w:tc>
          <w:tcPr>
            <w:tcW w:w="1244" w:type="dxa"/>
          </w:tcPr>
          <w:p w14:paraId="7CDA4AE8" w14:textId="78AFF584" w:rsidR="00F10E87" w:rsidRPr="00F06CE2" w:rsidRDefault="00F10E87" w:rsidP="00F10E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text1"/>
                <w:kern w:val="24"/>
                <w:sz w:val="20"/>
                <w:szCs w:val="20"/>
                <w:lang w:eastAsia="en-AU"/>
              </w:rPr>
              <w:t>142</w:t>
            </w:r>
          </w:p>
        </w:tc>
      </w:tr>
      <w:tr w:rsidR="00F10E87" w:rsidRPr="00F06CE2" w14:paraId="2FA0EBCB" w14:textId="77777777" w:rsidTr="00A43DFC">
        <w:trPr>
          <w:trHeight w:val="272"/>
        </w:trPr>
        <w:tc>
          <w:tcPr>
            <w:cnfStyle w:val="001000000000" w:firstRow="0" w:lastRow="0" w:firstColumn="1" w:lastColumn="0" w:oddVBand="0" w:evenVBand="0" w:oddHBand="0" w:evenHBand="0" w:firstRowFirstColumn="0" w:firstRowLastColumn="0" w:lastRowFirstColumn="0" w:lastRowLastColumn="0"/>
            <w:tcW w:w="1838" w:type="dxa"/>
            <w:shd w:val="clear" w:color="auto" w:fill="8EAADB" w:themeFill="accent1" w:themeFillTint="99"/>
          </w:tcPr>
          <w:p w14:paraId="3FA3A185" w14:textId="12F1A968" w:rsidR="00F10E87" w:rsidRPr="002C41F0" w:rsidRDefault="00F10E87" w:rsidP="00F10E87">
            <w:pPr>
              <w:spacing w:after="0" w:line="240" w:lineRule="auto"/>
              <w:jc w:val="center"/>
              <w:rPr>
                <w:rFonts w:asciiTheme="minorHAnsi" w:eastAsia="Times New Roman" w:hAnsiTheme="minorHAnsi" w:cstheme="minorHAnsi"/>
                <w:color w:val="000000" w:themeColor="text1"/>
                <w:sz w:val="20"/>
                <w:szCs w:val="20"/>
                <w:lang w:val="en-AU" w:eastAsia="en-AU"/>
              </w:rPr>
            </w:pPr>
            <w:r w:rsidRPr="002C41F0">
              <w:rPr>
                <w:rFonts w:asciiTheme="minorHAnsi" w:eastAsia="Times New Roman" w:hAnsiTheme="minorHAnsi" w:cstheme="minorHAnsi"/>
                <w:color w:val="000000" w:themeColor="text1"/>
                <w:sz w:val="20"/>
                <w:szCs w:val="20"/>
                <w:lang w:val="en-AU" w:eastAsia="en-AU"/>
              </w:rPr>
              <w:t>Malaita</w:t>
            </w:r>
          </w:p>
        </w:tc>
        <w:tc>
          <w:tcPr>
            <w:tcW w:w="1134" w:type="dxa"/>
          </w:tcPr>
          <w:p w14:paraId="212E79A2" w14:textId="13F66887"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2</w:t>
            </w:r>
          </w:p>
        </w:tc>
        <w:tc>
          <w:tcPr>
            <w:tcW w:w="1134" w:type="dxa"/>
          </w:tcPr>
          <w:p w14:paraId="037839D8" w14:textId="6F14B9F6"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6</w:t>
            </w:r>
          </w:p>
        </w:tc>
        <w:tc>
          <w:tcPr>
            <w:tcW w:w="1559" w:type="dxa"/>
          </w:tcPr>
          <w:p w14:paraId="57088C16" w14:textId="116AC14B"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22</w:t>
            </w:r>
          </w:p>
        </w:tc>
        <w:tc>
          <w:tcPr>
            <w:tcW w:w="1244" w:type="dxa"/>
          </w:tcPr>
          <w:p w14:paraId="364FD4BB" w14:textId="478602EF"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260</w:t>
            </w:r>
          </w:p>
        </w:tc>
      </w:tr>
      <w:tr w:rsidR="00F10E87" w:rsidRPr="00F06CE2" w14:paraId="00406BEA" w14:textId="77777777" w:rsidTr="00A43DF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38" w:type="dxa"/>
            <w:shd w:val="clear" w:color="auto" w:fill="8EAADB" w:themeFill="accent1" w:themeFillTint="99"/>
          </w:tcPr>
          <w:p w14:paraId="67395A4B" w14:textId="5BFCACE8" w:rsidR="00F10E87" w:rsidRPr="002C41F0" w:rsidRDefault="00F10E87" w:rsidP="00F10E87">
            <w:pPr>
              <w:spacing w:after="0" w:line="240" w:lineRule="auto"/>
              <w:jc w:val="center"/>
              <w:rPr>
                <w:rFonts w:asciiTheme="minorHAnsi" w:eastAsia="Times New Roman" w:hAnsiTheme="minorHAnsi" w:cstheme="minorHAnsi"/>
                <w:color w:val="000000" w:themeColor="text1"/>
                <w:sz w:val="20"/>
                <w:szCs w:val="20"/>
                <w:lang w:val="en-AU" w:eastAsia="en-AU"/>
              </w:rPr>
            </w:pPr>
            <w:proofErr w:type="spellStart"/>
            <w:r w:rsidRPr="002C41F0">
              <w:rPr>
                <w:rFonts w:asciiTheme="minorHAnsi" w:eastAsia="Times New Roman" w:hAnsiTheme="minorHAnsi" w:cstheme="minorHAnsi"/>
                <w:color w:val="000000" w:themeColor="text1"/>
                <w:sz w:val="20"/>
                <w:szCs w:val="20"/>
                <w:lang w:val="en-AU" w:eastAsia="en-AU"/>
              </w:rPr>
              <w:t>Renbel</w:t>
            </w:r>
            <w:proofErr w:type="spellEnd"/>
          </w:p>
        </w:tc>
        <w:tc>
          <w:tcPr>
            <w:tcW w:w="1134" w:type="dxa"/>
          </w:tcPr>
          <w:p w14:paraId="7C967546" w14:textId="092F180B" w:rsidR="00F10E87" w:rsidRPr="00F06CE2" w:rsidRDefault="00F10E87" w:rsidP="00F10E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0</w:t>
            </w:r>
          </w:p>
        </w:tc>
        <w:tc>
          <w:tcPr>
            <w:tcW w:w="1134" w:type="dxa"/>
          </w:tcPr>
          <w:p w14:paraId="1E49DFDE" w14:textId="6EBA1345" w:rsidR="00F10E87" w:rsidRPr="00F06CE2" w:rsidRDefault="00F10E87" w:rsidP="00F10E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2</w:t>
            </w:r>
          </w:p>
        </w:tc>
        <w:tc>
          <w:tcPr>
            <w:tcW w:w="1559" w:type="dxa"/>
          </w:tcPr>
          <w:p w14:paraId="3353F6FD" w14:textId="7B2B5680" w:rsidR="00F10E87" w:rsidRPr="00F06CE2" w:rsidRDefault="00F10E87" w:rsidP="00F10E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text1"/>
                <w:kern w:val="24"/>
                <w:sz w:val="20"/>
                <w:szCs w:val="20"/>
                <w:lang w:eastAsia="en-AU"/>
              </w:rPr>
              <w:t>3</w:t>
            </w:r>
          </w:p>
        </w:tc>
        <w:tc>
          <w:tcPr>
            <w:tcW w:w="1244" w:type="dxa"/>
          </w:tcPr>
          <w:p w14:paraId="131DFB5A" w14:textId="48A257DF" w:rsidR="00F10E87" w:rsidRPr="00F06CE2" w:rsidRDefault="00F10E87" w:rsidP="00F10E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text1"/>
                <w:kern w:val="24"/>
                <w:sz w:val="20"/>
                <w:szCs w:val="20"/>
                <w:lang w:eastAsia="en-AU"/>
              </w:rPr>
              <w:t>11</w:t>
            </w:r>
          </w:p>
        </w:tc>
      </w:tr>
      <w:tr w:rsidR="00F10E87" w:rsidRPr="00F06CE2" w14:paraId="7717888B" w14:textId="77777777" w:rsidTr="00A43DFC">
        <w:trPr>
          <w:trHeight w:val="272"/>
        </w:trPr>
        <w:tc>
          <w:tcPr>
            <w:cnfStyle w:val="001000000000" w:firstRow="0" w:lastRow="0" w:firstColumn="1" w:lastColumn="0" w:oddVBand="0" w:evenVBand="0" w:oddHBand="0" w:evenHBand="0" w:firstRowFirstColumn="0" w:firstRowLastColumn="0" w:lastRowFirstColumn="0" w:lastRowLastColumn="0"/>
            <w:tcW w:w="1838" w:type="dxa"/>
            <w:shd w:val="clear" w:color="auto" w:fill="8EAADB" w:themeFill="accent1" w:themeFillTint="99"/>
          </w:tcPr>
          <w:p w14:paraId="79FB0D16" w14:textId="07822DFB" w:rsidR="00F10E87" w:rsidRPr="002C41F0" w:rsidRDefault="00F10E87" w:rsidP="00F10E87">
            <w:pPr>
              <w:spacing w:after="0" w:line="240" w:lineRule="auto"/>
              <w:jc w:val="center"/>
              <w:rPr>
                <w:rFonts w:asciiTheme="minorHAnsi" w:eastAsia="Times New Roman" w:hAnsiTheme="minorHAnsi" w:cstheme="minorHAnsi"/>
                <w:color w:val="000000" w:themeColor="text1"/>
                <w:sz w:val="20"/>
                <w:szCs w:val="20"/>
                <w:lang w:val="en-AU" w:eastAsia="en-AU"/>
              </w:rPr>
            </w:pPr>
            <w:r w:rsidRPr="002C41F0">
              <w:rPr>
                <w:rFonts w:asciiTheme="minorHAnsi" w:eastAsia="Times New Roman" w:hAnsiTheme="minorHAnsi" w:cstheme="minorHAnsi"/>
                <w:color w:val="000000" w:themeColor="text1"/>
                <w:sz w:val="20"/>
                <w:szCs w:val="20"/>
                <w:lang w:val="en-AU" w:eastAsia="en-AU"/>
              </w:rPr>
              <w:t>Makira</w:t>
            </w:r>
          </w:p>
        </w:tc>
        <w:tc>
          <w:tcPr>
            <w:tcW w:w="1134" w:type="dxa"/>
          </w:tcPr>
          <w:p w14:paraId="3ACD0049" w14:textId="73821D86"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2</w:t>
            </w:r>
          </w:p>
        </w:tc>
        <w:tc>
          <w:tcPr>
            <w:tcW w:w="1134" w:type="dxa"/>
          </w:tcPr>
          <w:p w14:paraId="2F32056C" w14:textId="61B38767"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3</w:t>
            </w:r>
          </w:p>
        </w:tc>
        <w:tc>
          <w:tcPr>
            <w:tcW w:w="1559" w:type="dxa"/>
          </w:tcPr>
          <w:p w14:paraId="4E1A6AC6" w14:textId="1711EB18"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text1"/>
                <w:kern w:val="24"/>
                <w:sz w:val="20"/>
                <w:szCs w:val="20"/>
                <w:lang w:eastAsia="en-AU"/>
              </w:rPr>
              <w:t>11</w:t>
            </w:r>
          </w:p>
        </w:tc>
        <w:tc>
          <w:tcPr>
            <w:tcW w:w="1244" w:type="dxa"/>
          </w:tcPr>
          <w:p w14:paraId="2D06C099" w14:textId="2574AC78"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text1"/>
                <w:kern w:val="24"/>
                <w:sz w:val="20"/>
                <w:szCs w:val="20"/>
                <w:lang w:eastAsia="en-AU"/>
              </w:rPr>
              <w:t>100</w:t>
            </w:r>
          </w:p>
        </w:tc>
      </w:tr>
      <w:tr w:rsidR="00F10E87" w:rsidRPr="00F06CE2" w14:paraId="38B34CF4" w14:textId="77777777" w:rsidTr="00A43DF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38" w:type="dxa"/>
            <w:shd w:val="clear" w:color="auto" w:fill="8EAADB" w:themeFill="accent1" w:themeFillTint="99"/>
          </w:tcPr>
          <w:p w14:paraId="73B4F100" w14:textId="282AA6AA" w:rsidR="00F10E87" w:rsidRPr="002C41F0" w:rsidRDefault="00F10E87" w:rsidP="00F10E87">
            <w:pPr>
              <w:spacing w:after="0" w:line="240" w:lineRule="auto"/>
              <w:jc w:val="center"/>
              <w:rPr>
                <w:rFonts w:asciiTheme="minorHAnsi" w:eastAsia="Times New Roman" w:hAnsiTheme="minorHAnsi" w:cstheme="minorHAnsi"/>
                <w:color w:val="000000" w:themeColor="text1"/>
                <w:sz w:val="20"/>
                <w:szCs w:val="20"/>
                <w:lang w:val="en-AU" w:eastAsia="en-AU"/>
              </w:rPr>
            </w:pPr>
            <w:r w:rsidRPr="002C41F0">
              <w:rPr>
                <w:rFonts w:asciiTheme="minorHAnsi" w:eastAsia="Times New Roman" w:hAnsiTheme="minorHAnsi" w:cstheme="minorHAnsi"/>
                <w:color w:val="000000" w:themeColor="text1"/>
                <w:sz w:val="20"/>
                <w:szCs w:val="20"/>
                <w:lang w:val="en-AU" w:eastAsia="en-AU"/>
              </w:rPr>
              <w:t>Temotu</w:t>
            </w:r>
          </w:p>
        </w:tc>
        <w:tc>
          <w:tcPr>
            <w:tcW w:w="1134" w:type="dxa"/>
          </w:tcPr>
          <w:p w14:paraId="0F0BA9DA" w14:textId="3F5E5FA5" w:rsidR="00F10E87" w:rsidRPr="00F06CE2" w:rsidRDefault="00F10E87" w:rsidP="00F10E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1</w:t>
            </w:r>
          </w:p>
        </w:tc>
        <w:tc>
          <w:tcPr>
            <w:tcW w:w="1134" w:type="dxa"/>
          </w:tcPr>
          <w:p w14:paraId="7F8E7DEA" w14:textId="228825FE" w:rsidR="00F10E87" w:rsidRPr="00F06CE2" w:rsidRDefault="00F10E87" w:rsidP="00F10E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dark1"/>
                <w:kern w:val="24"/>
                <w:sz w:val="20"/>
                <w:szCs w:val="20"/>
                <w:lang w:eastAsia="en-AU"/>
              </w:rPr>
              <w:t>3</w:t>
            </w:r>
          </w:p>
        </w:tc>
        <w:tc>
          <w:tcPr>
            <w:tcW w:w="1559" w:type="dxa"/>
          </w:tcPr>
          <w:p w14:paraId="230DA37C" w14:textId="08094CA4" w:rsidR="00F10E87" w:rsidRPr="00F06CE2" w:rsidRDefault="00F10E87" w:rsidP="00F10E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text1"/>
                <w:kern w:val="24"/>
                <w:sz w:val="20"/>
                <w:szCs w:val="20"/>
                <w:lang w:eastAsia="en-AU"/>
              </w:rPr>
              <w:t>7</w:t>
            </w:r>
          </w:p>
        </w:tc>
        <w:tc>
          <w:tcPr>
            <w:tcW w:w="1244" w:type="dxa"/>
          </w:tcPr>
          <w:p w14:paraId="18817006" w14:textId="67CDE945" w:rsidR="00F10E87" w:rsidRPr="00F06CE2" w:rsidRDefault="00F10E87" w:rsidP="00F10E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color w:val="000000" w:themeColor="text1"/>
                <w:kern w:val="24"/>
                <w:sz w:val="20"/>
                <w:szCs w:val="20"/>
                <w:lang w:eastAsia="en-AU"/>
              </w:rPr>
              <w:t>53</w:t>
            </w:r>
          </w:p>
        </w:tc>
      </w:tr>
      <w:tr w:rsidR="00F10E87" w:rsidRPr="00F06CE2" w14:paraId="303A1F6B" w14:textId="77777777" w:rsidTr="00A43DFC">
        <w:trPr>
          <w:trHeight w:val="272"/>
        </w:trPr>
        <w:tc>
          <w:tcPr>
            <w:cnfStyle w:val="001000000000" w:firstRow="0" w:lastRow="0" w:firstColumn="1" w:lastColumn="0" w:oddVBand="0" w:evenVBand="0" w:oddHBand="0" w:evenHBand="0" w:firstRowFirstColumn="0" w:firstRowLastColumn="0" w:lastRowFirstColumn="0" w:lastRowLastColumn="0"/>
            <w:tcW w:w="1838" w:type="dxa"/>
            <w:shd w:val="clear" w:color="auto" w:fill="8EAADB" w:themeFill="accent1" w:themeFillTint="99"/>
          </w:tcPr>
          <w:p w14:paraId="065AF9BC" w14:textId="4DC4F284" w:rsidR="00F10E87" w:rsidRPr="002C41F0" w:rsidRDefault="00F10E87" w:rsidP="00F10E87">
            <w:pPr>
              <w:spacing w:after="0" w:line="240" w:lineRule="auto"/>
              <w:jc w:val="center"/>
              <w:rPr>
                <w:rFonts w:asciiTheme="minorHAnsi" w:eastAsia="Times New Roman" w:hAnsiTheme="minorHAnsi" w:cstheme="minorHAnsi"/>
                <w:color w:val="000000" w:themeColor="text1"/>
                <w:sz w:val="20"/>
                <w:szCs w:val="20"/>
                <w:lang w:val="en-AU" w:eastAsia="en-AU"/>
              </w:rPr>
            </w:pPr>
            <w:r w:rsidRPr="002C41F0">
              <w:rPr>
                <w:rFonts w:asciiTheme="minorHAnsi" w:eastAsia="Times New Roman" w:hAnsiTheme="minorHAnsi" w:cstheme="minorHAnsi"/>
                <w:color w:val="000000" w:themeColor="text1"/>
                <w:kern w:val="24"/>
                <w:sz w:val="20"/>
                <w:szCs w:val="20"/>
                <w:lang w:eastAsia="en-AU"/>
              </w:rPr>
              <w:t>Total</w:t>
            </w:r>
          </w:p>
        </w:tc>
        <w:tc>
          <w:tcPr>
            <w:tcW w:w="1134" w:type="dxa"/>
            <w:tcBorders>
              <w:bottom w:val="single" w:sz="4" w:space="0" w:color="FFFFFF" w:themeColor="background1"/>
            </w:tcBorders>
          </w:tcPr>
          <w:p w14:paraId="6FE17F75" w14:textId="5C264E13"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kern w:val="24"/>
                <w:sz w:val="20"/>
                <w:szCs w:val="20"/>
                <w:lang w:eastAsia="en-AU"/>
              </w:rPr>
              <w:t>13</w:t>
            </w:r>
          </w:p>
        </w:tc>
        <w:tc>
          <w:tcPr>
            <w:tcW w:w="1134" w:type="dxa"/>
            <w:tcBorders>
              <w:bottom w:val="single" w:sz="4" w:space="0" w:color="FFFFFF" w:themeColor="background1"/>
            </w:tcBorders>
          </w:tcPr>
          <w:p w14:paraId="6B2B4243" w14:textId="448E0FB6"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kern w:val="24"/>
                <w:sz w:val="20"/>
                <w:szCs w:val="20"/>
                <w:lang w:eastAsia="en-AU"/>
              </w:rPr>
              <w:t>39</w:t>
            </w:r>
          </w:p>
        </w:tc>
        <w:tc>
          <w:tcPr>
            <w:tcW w:w="1559" w:type="dxa"/>
            <w:tcBorders>
              <w:bottom w:val="single" w:sz="4" w:space="0" w:color="FFFFFF" w:themeColor="background1"/>
            </w:tcBorders>
          </w:tcPr>
          <w:p w14:paraId="7E6634D5" w14:textId="617AF706"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kern w:val="24"/>
                <w:sz w:val="20"/>
                <w:szCs w:val="20"/>
                <w:lang w:eastAsia="en-AU"/>
              </w:rPr>
              <w:t>90</w:t>
            </w:r>
          </w:p>
        </w:tc>
        <w:tc>
          <w:tcPr>
            <w:tcW w:w="1244" w:type="dxa"/>
            <w:tcBorders>
              <w:bottom w:val="single" w:sz="4" w:space="0" w:color="FFFFFF" w:themeColor="background1"/>
            </w:tcBorders>
          </w:tcPr>
          <w:p w14:paraId="759A018B" w14:textId="45637DCB" w:rsidR="00F10E87" w:rsidRPr="00F06CE2" w:rsidRDefault="00F10E87" w:rsidP="00F10E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0B7B">
              <w:rPr>
                <w:rFonts w:asciiTheme="minorHAnsi" w:eastAsia="Times New Roman" w:hAnsiTheme="minorHAnsi" w:cstheme="minorHAnsi"/>
                <w:kern w:val="24"/>
                <w:sz w:val="20"/>
                <w:szCs w:val="20"/>
                <w:lang w:eastAsia="en-AU"/>
              </w:rPr>
              <w:t>952</w:t>
            </w:r>
          </w:p>
        </w:tc>
      </w:tr>
      <w:tr w:rsidR="00A43DFC" w:rsidRPr="00491733" w14:paraId="655CDDB2" w14:textId="77777777" w:rsidTr="00A43DF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38" w:type="dxa"/>
            <w:shd w:val="clear" w:color="auto" w:fill="8EAADB" w:themeFill="accent1" w:themeFillTint="99"/>
          </w:tcPr>
          <w:p w14:paraId="5BB575F4" w14:textId="7F8A4EFB" w:rsidR="00A43DFC" w:rsidRPr="002C41F0" w:rsidRDefault="00A43DFC" w:rsidP="00F10E87">
            <w:pPr>
              <w:spacing w:after="0" w:line="240" w:lineRule="auto"/>
              <w:jc w:val="center"/>
              <w:rPr>
                <w:rFonts w:asciiTheme="minorHAnsi" w:eastAsia="Times New Roman" w:hAnsiTheme="minorHAnsi" w:cstheme="minorHAnsi"/>
                <w:color w:val="000000" w:themeColor="text1"/>
                <w:sz w:val="20"/>
                <w:szCs w:val="20"/>
                <w:lang w:val="en-AU" w:eastAsia="en-AU"/>
              </w:rPr>
            </w:pPr>
            <w:r w:rsidRPr="002C41F0">
              <w:rPr>
                <w:rFonts w:asciiTheme="minorHAnsi" w:eastAsia="Times New Roman" w:hAnsiTheme="minorHAnsi" w:cstheme="minorHAnsi"/>
                <w:color w:val="000000" w:themeColor="text1"/>
                <w:kern w:val="24"/>
                <w:sz w:val="20"/>
                <w:szCs w:val="20"/>
                <w:lang w:eastAsia="en-AU"/>
              </w:rPr>
              <w:t>GRAND TOTAL</w:t>
            </w:r>
          </w:p>
        </w:tc>
        <w:tc>
          <w:tcPr>
            <w:tcW w:w="1134" w:type="dxa"/>
            <w:tcBorders>
              <w:right w:val="nil"/>
            </w:tcBorders>
          </w:tcPr>
          <w:p w14:paraId="063B9B9F" w14:textId="77777777" w:rsidR="00A43DFC" w:rsidRPr="00491733" w:rsidRDefault="00A43DFC" w:rsidP="00A43DF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491733">
              <w:rPr>
                <w:rFonts w:asciiTheme="minorHAnsi" w:eastAsia="Times New Roman" w:hAnsiTheme="minorHAnsi" w:cstheme="minorHAnsi"/>
                <w:b/>
                <w:bCs/>
                <w:sz w:val="20"/>
                <w:szCs w:val="20"/>
                <w:lang w:val="en-AU" w:eastAsia="en-AU"/>
              </w:rPr>
              <w:t>52</w:t>
            </w:r>
          </w:p>
        </w:tc>
        <w:tc>
          <w:tcPr>
            <w:tcW w:w="1134" w:type="dxa"/>
            <w:tcBorders>
              <w:left w:val="nil"/>
            </w:tcBorders>
          </w:tcPr>
          <w:p w14:paraId="5B7AECAD" w14:textId="5946A52D" w:rsidR="00A43DFC" w:rsidRPr="00491733" w:rsidRDefault="00A43DFC" w:rsidP="00F10E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lang w:val="en-AU" w:eastAsia="en-AU"/>
              </w:rPr>
            </w:pPr>
          </w:p>
        </w:tc>
        <w:tc>
          <w:tcPr>
            <w:tcW w:w="1559" w:type="dxa"/>
            <w:tcBorders>
              <w:right w:val="nil"/>
            </w:tcBorders>
          </w:tcPr>
          <w:p w14:paraId="4F8AC795" w14:textId="77777777" w:rsidR="00A43DFC" w:rsidRPr="00491733" w:rsidRDefault="00A43DFC" w:rsidP="00A43DF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491733">
              <w:rPr>
                <w:rFonts w:asciiTheme="minorHAnsi" w:eastAsia="Times New Roman" w:hAnsiTheme="minorHAnsi" w:cstheme="minorHAnsi"/>
                <w:b/>
                <w:bCs/>
                <w:sz w:val="20"/>
                <w:szCs w:val="20"/>
                <w:lang w:val="en-AU" w:eastAsia="en-AU"/>
              </w:rPr>
              <w:t>1,042</w:t>
            </w:r>
          </w:p>
        </w:tc>
        <w:tc>
          <w:tcPr>
            <w:tcW w:w="1244" w:type="dxa"/>
            <w:tcBorders>
              <w:left w:val="nil"/>
            </w:tcBorders>
          </w:tcPr>
          <w:p w14:paraId="15D69D4A" w14:textId="5C23413E" w:rsidR="00A43DFC" w:rsidRPr="00491733" w:rsidRDefault="00A43DFC" w:rsidP="00F10E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lang w:val="en-AU" w:eastAsia="en-AU"/>
              </w:rPr>
            </w:pPr>
          </w:p>
        </w:tc>
      </w:tr>
    </w:tbl>
    <w:p w14:paraId="53A62102" w14:textId="77777777" w:rsidR="00F10E87" w:rsidRPr="00EC397F" w:rsidRDefault="00F10E87" w:rsidP="00EB4457">
      <w:pPr>
        <w:spacing w:after="120" w:line="240" w:lineRule="auto"/>
        <w:rPr>
          <w:rFonts w:eastAsiaTheme="minorEastAsia"/>
          <w:bCs/>
          <w:iCs/>
        </w:rPr>
      </w:pPr>
    </w:p>
    <w:p w14:paraId="010DADFA" w14:textId="622EB6B1" w:rsidR="003973F8" w:rsidRPr="001C5CA4" w:rsidRDefault="002868FA" w:rsidP="0015435E">
      <w:pPr>
        <w:pStyle w:val="Bodytext11"/>
        <w:rPr>
          <w:rFonts w:eastAsiaTheme="minorEastAsia"/>
          <w:bCs/>
          <w:iCs/>
        </w:rPr>
      </w:pPr>
      <w:r w:rsidRPr="00EC397F">
        <w:rPr>
          <w:rFonts w:eastAsiaTheme="minorEastAsia"/>
          <w:bCs/>
          <w:iCs/>
        </w:rPr>
        <w:t>Follow up support visit</w:t>
      </w:r>
      <w:r>
        <w:rPr>
          <w:rFonts w:eastAsiaTheme="minorEastAsia"/>
          <w:bCs/>
          <w:iCs/>
        </w:rPr>
        <w:t>s were also</w:t>
      </w:r>
      <w:r w:rsidRPr="00EC397F">
        <w:rPr>
          <w:rFonts w:eastAsiaTheme="minorEastAsia"/>
          <w:bCs/>
          <w:iCs/>
        </w:rPr>
        <w:t xml:space="preserve"> conducted in 153 schools </w:t>
      </w:r>
      <w:r>
        <w:rPr>
          <w:rFonts w:eastAsiaTheme="minorEastAsia"/>
          <w:bCs/>
          <w:iCs/>
        </w:rPr>
        <w:t>in</w:t>
      </w:r>
      <w:r w:rsidRPr="00EC397F">
        <w:rPr>
          <w:rFonts w:eastAsiaTheme="minorEastAsia"/>
          <w:bCs/>
          <w:iCs/>
        </w:rPr>
        <w:t xml:space="preserve"> Malaita and Honiara.</w:t>
      </w:r>
      <w:r>
        <w:rPr>
          <w:rFonts w:eastAsiaTheme="minorEastAsia"/>
          <w:bCs/>
          <w:iCs/>
        </w:rPr>
        <w:t xml:space="preserve"> Some interesting and promising findings were identified during the follow ups</w:t>
      </w:r>
      <w:r w:rsidR="008C0E2D">
        <w:rPr>
          <w:rFonts w:eastAsiaTheme="minorEastAsia"/>
          <w:bCs/>
          <w:iCs/>
        </w:rPr>
        <w:t>. S</w:t>
      </w:r>
      <w:r w:rsidR="00C0446E">
        <w:rPr>
          <w:rFonts w:eastAsiaTheme="minorEastAsia"/>
          <w:bCs/>
          <w:iCs/>
        </w:rPr>
        <w:t>ome narrative progress reporting was provided but no evidence of the evaluation of the training provided – this is expected to be completed in 2020.</w:t>
      </w:r>
    </w:p>
    <w:p w14:paraId="04D80792" w14:textId="280A742A" w:rsidR="003973F8" w:rsidRDefault="003973F8" w:rsidP="0015435E">
      <w:pPr>
        <w:pStyle w:val="Bodytext11"/>
        <w:spacing w:after="0"/>
        <w:rPr>
          <w:b/>
          <w:bCs/>
          <w:i/>
          <w:iCs/>
          <w:lang w:val="en-GB"/>
        </w:rPr>
      </w:pPr>
      <w:r w:rsidRPr="000970D9">
        <w:rPr>
          <w:b/>
          <w:bCs/>
          <w:i/>
          <w:iCs/>
          <w:lang w:val="en-GB"/>
        </w:rPr>
        <w:t>2.2.1</w:t>
      </w:r>
      <w:r>
        <w:rPr>
          <w:b/>
          <w:bCs/>
          <w:i/>
          <w:iCs/>
          <w:lang w:val="en-GB"/>
        </w:rPr>
        <w:t xml:space="preserve"> </w:t>
      </w:r>
      <w:r w:rsidRPr="000970D9">
        <w:rPr>
          <w:b/>
          <w:bCs/>
          <w:i/>
          <w:iCs/>
          <w:lang w:val="en-GB"/>
        </w:rPr>
        <w:t>By the end of 2019, 2019 SISTA test review and main study conducted</w:t>
      </w:r>
      <w:r>
        <w:rPr>
          <w:b/>
          <w:bCs/>
          <w:i/>
          <w:iCs/>
          <w:lang w:val="en-GB"/>
        </w:rPr>
        <w:t>.</w:t>
      </w:r>
    </w:p>
    <w:p w14:paraId="34174188" w14:textId="77777777" w:rsidR="00135EA7" w:rsidRDefault="00135EA7" w:rsidP="0015435E">
      <w:pPr>
        <w:pStyle w:val="Bodytext11"/>
        <w:spacing w:after="0"/>
        <w:rPr>
          <w:b/>
          <w:bCs/>
          <w:i/>
          <w:iCs/>
          <w:lang w:val="en-GB"/>
        </w:rPr>
      </w:pPr>
    </w:p>
    <w:tbl>
      <w:tblPr>
        <w:tblW w:w="6876" w:type="dxa"/>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127"/>
        <w:gridCol w:w="1749"/>
      </w:tblGrid>
      <w:tr w:rsidR="00135EA7" w:rsidRPr="00CE1F20" w14:paraId="5F979EFC" w14:textId="77777777" w:rsidTr="00C26E6E">
        <w:trPr>
          <w:trHeight w:val="472"/>
        </w:trPr>
        <w:tc>
          <w:tcPr>
            <w:tcW w:w="5127" w:type="dxa"/>
            <w:tcBorders>
              <w:top w:val="single" w:sz="12" w:space="0" w:color="auto"/>
              <w:bottom w:val="single" w:sz="12" w:space="0" w:color="auto"/>
            </w:tcBorders>
            <w:shd w:val="clear" w:color="000000" w:fill="B4C6E7"/>
            <w:vAlign w:val="center"/>
            <w:hideMark/>
          </w:tcPr>
          <w:p w14:paraId="739A4A49" w14:textId="77777777" w:rsidR="00135EA7" w:rsidRPr="00CE1F20" w:rsidRDefault="00135EA7" w:rsidP="0015435E">
            <w:pPr>
              <w:spacing w:after="0" w:line="240" w:lineRule="auto"/>
              <w:jc w:val="center"/>
              <w:rPr>
                <w:rFonts w:asciiTheme="minorHAnsi" w:eastAsia="Times New Roman" w:hAnsiTheme="minorHAnsi" w:cstheme="minorHAnsi"/>
                <w:b/>
                <w:bCs/>
                <w:sz w:val="18"/>
                <w:szCs w:val="18"/>
                <w:lang w:val="en-AU" w:eastAsia="en-AU"/>
              </w:rPr>
            </w:pPr>
            <w:r w:rsidRPr="00CE1F20">
              <w:rPr>
                <w:rFonts w:asciiTheme="minorHAnsi" w:eastAsia="Times New Roman" w:hAnsiTheme="minorHAnsi" w:cstheme="minorHAnsi"/>
                <w:b/>
                <w:bCs/>
                <w:sz w:val="18"/>
                <w:szCs w:val="18"/>
                <w:lang w:val="en-AU" w:eastAsia="en-AU"/>
              </w:rPr>
              <w:t>Expected Results Statements</w:t>
            </w:r>
          </w:p>
        </w:tc>
        <w:tc>
          <w:tcPr>
            <w:tcW w:w="1749" w:type="dxa"/>
            <w:tcBorders>
              <w:top w:val="single" w:sz="12" w:space="0" w:color="auto"/>
              <w:bottom w:val="single" w:sz="12" w:space="0" w:color="auto"/>
            </w:tcBorders>
            <w:shd w:val="clear" w:color="000000" w:fill="B4C6E7"/>
            <w:noWrap/>
            <w:vAlign w:val="center"/>
            <w:hideMark/>
          </w:tcPr>
          <w:p w14:paraId="0120B5F4" w14:textId="25FBE761" w:rsidR="00135EA7" w:rsidRPr="00CE1F20" w:rsidRDefault="001E568E" w:rsidP="0015435E">
            <w:pPr>
              <w:spacing w:after="0" w:line="240" w:lineRule="auto"/>
              <w:jc w:val="center"/>
              <w:rPr>
                <w:rFonts w:asciiTheme="minorHAnsi" w:eastAsia="Times New Roman" w:hAnsiTheme="minorHAnsi" w:cstheme="minorHAnsi"/>
                <w:b/>
                <w:bCs/>
                <w:sz w:val="18"/>
                <w:szCs w:val="18"/>
                <w:lang w:val="en-AU" w:eastAsia="en-AU"/>
              </w:rPr>
            </w:pPr>
            <w:r>
              <w:rPr>
                <w:rFonts w:asciiTheme="minorHAnsi" w:eastAsia="Times New Roman" w:hAnsiTheme="minorHAnsi" w:cstheme="minorHAnsi"/>
                <w:b/>
                <w:bCs/>
                <w:sz w:val="18"/>
                <w:szCs w:val="18"/>
                <w:lang w:val="en-AU" w:eastAsia="en-AU"/>
              </w:rPr>
              <w:t xml:space="preserve">Assessment </w:t>
            </w:r>
          </w:p>
        </w:tc>
      </w:tr>
      <w:tr w:rsidR="00135EA7" w:rsidRPr="00CE1F20" w14:paraId="1A53AE23" w14:textId="77777777" w:rsidTr="00C26E6E">
        <w:trPr>
          <w:trHeight w:val="535"/>
        </w:trPr>
        <w:tc>
          <w:tcPr>
            <w:tcW w:w="5127" w:type="dxa"/>
            <w:tcBorders>
              <w:top w:val="single" w:sz="12" w:space="0" w:color="auto"/>
            </w:tcBorders>
            <w:shd w:val="clear" w:color="auto" w:fill="auto"/>
            <w:hideMark/>
          </w:tcPr>
          <w:p w14:paraId="4C4C43EB" w14:textId="73BBD22E" w:rsidR="00135EA7" w:rsidRPr="00CE1F20" w:rsidRDefault="00135EA7" w:rsidP="0015435E">
            <w:pPr>
              <w:spacing w:after="0" w:line="240" w:lineRule="auto"/>
              <w:rPr>
                <w:rFonts w:asciiTheme="minorHAnsi" w:eastAsia="Times New Roman" w:hAnsiTheme="minorHAnsi" w:cstheme="minorHAnsi"/>
                <w:color w:val="000000"/>
                <w:sz w:val="18"/>
                <w:szCs w:val="18"/>
                <w:lang w:val="en-AU" w:eastAsia="en-AU"/>
              </w:rPr>
            </w:pPr>
            <w:r w:rsidRPr="00CE1F20">
              <w:rPr>
                <w:rFonts w:asciiTheme="minorHAnsi" w:eastAsia="Times New Roman" w:hAnsiTheme="minorHAnsi" w:cstheme="minorHAnsi"/>
                <w:color w:val="000000"/>
                <w:sz w:val="18"/>
                <w:szCs w:val="18"/>
                <w:lang w:val="en-AU" w:eastAsia="en-AU"/>
              </w:rPr>
              <w:t>Evidence of 2019 SISTA test review and main study having been conducted (50%)</w:t>
            </w:r>
            <w:r>
              <w:rPr>
                <w:rFonts w:asciiTheme="minorHAnsi" w:eastAsia="Times New Roman" w:hAnsiTheme="minorHAnsi" w:cstheme="minorHAnsi"/>
                <w:color w:val="000000"/>
                <w:sz w:val="18"/>
                <w:szCs w:val="18"/>
                <w:lang w:val="en-AU" w:eastAsia="en-AU"/>
              </w:rPr>
              <w:t>.</w:t>
            </w:r>
          </w:p>
        </w:tc>
        <w:tc>
          <w:tcPr>
            <w:tcW w:w="1749" w:type="dxa"/>
            <w:tcBorders>
              <w:top w:val="single" w:sz="12" w:space="0" w:color="auto"/>
            </w:tcBorders>
            <w:shd w:val="clear" w:color="auto" w:fill="FFFFFF" w:themeFill="background1"/>
            <w:noWrap/>
            <w:hideMark/>
          </w:tcPr>
          <w:p w14:paraId="24D66BBC" w14:textId="212585CC" w:rsidR="00135EA7" w:rsidRPr="00CE1F20" w:rsidRDefault="00F35801" w:rsidP="0015435E">
            <w:pPr>
              <w:spacing w:after="0" w:line="240" w:lineRule="auto"/>
              <w:jc w:val="center"/>
              <w:rPr>
                <w:rFonts w:asciiTheme="minorHAnsi" w:eastAsia="Times New Roman" w:hAnsiTheme="minorHAnsi" w:cstheme="minorHAnsi"/>
                <w:color w:val="000000"/>
                <w:sz w:val="18"/>
                <w:szCs w:val="18"/>
                <w:lang w:val="en-AU" w:eastAsia="en-AU"/>
              </w:rPr>
            </w:pPr>
            <w:r>
              <w:rPr>
                <w:rFonts w:asciiTheme="minorHAnsi" w:eastAsia="Times New Roman" w:hAnsiTheme="minorHAnsi" w:cstheme="minorHAnsi"/>
                <w:color w:val="000000"/>
                <w:sz w:val="18"/>
                <w:szCs w:val="18"/>
                <w:lang w:val="en-AU" w:eastAsia="en-AU"/>
              </w:rPr>
              <w:t>100% (of 50%)</w:t>
            </w:r>
          </w:p>
        </w:tc>
      </w:tr>
    </w:tbl>
    <w:p w14:paraId="7A39D192" w14:textId="77777777" w:rsidR="00135EA7" w:rsidRPr="00135EA7" w:rsidRDefault="00135EA7" w:rsidP="0015435E">
      <w:pPr>
        <w:pStyle w:val="Bodytext11"/>
        <w:spacing w:after="0"/>
        <w:rPr>
          <w:lang w:val="en-GB"/>
        </w:rPr>
      </w:pPr>
    </w:p>
    <w:p w14:paraId="27C2D238" w14:textId="32639A8B" w:rsidR="003973F8" w:rsidRDefault="00FA4132" w:rsidP="0015435E">
      <w:pPr>
        <w:pStyle w:val="Bodytext11"/>
        <w:spacing w:after="0"/>
        <w:rPr>
          <w:lang w:val="en-GB"/>
        </w:rPr>
      </w:pPr>
      <w:r>
        <w:rPr>
          <w:lang w:val="en-GB"/>
        </w:rPr>
        <w:t xml:space="preserve">A study of </w:t>
      </w:r>
      <w:r w:rsidR="003973F8" w:rsidRPr="004A0160">
        <w:rPr>
          <w:lang w:val="en-GB"/>
        </w:rPr>
        <w:t>SISTA was conducted in Nov</w:t>
      </w:r>
      <w:r w:rsidR="00811BAE">
        <w:rPr>
          <w:lang w:val="en-GB"/>
        </w:rPr>
        <w:t>ember</w:t>
      </w:r>
      <w:r w:rsidR="003973F8" w:rsidRPr="004A0160">
        <w:rPr>
          <w:lang w:val="en-GB"/>
        </w:rPr>
        <w:t xml:space="preserve"> 2019. Marking of scripts was completed in January</w:t>
      </w:r>
      <w:r w:rsidR="00135EA7">
        <w:rPr>
          <w:lang w:val="en-GB"/>
        </w:rPr>
        <w:t xml:space="preserve"> 2020</w:t>
      </w:r>
      <w:r w:rsidR="003973F8" w:rsidRPr="004A0160">
        <w:rPr>
          <w:lang w:val="en-GB"/>
        </w:rPr>
        <w:t>. Data entry started in Feb</w:t>
      </w:r>
      <w:r w:rsidR="00811BAE">
        <w:rPr>
          <w:lang w:val="en-GB"/>
        </w:rPr>
        <w:t>ruary 2020</w:t>
      </w:r>
      <w:r w:rsidR="003973F8" w:rsidRPr="004A0160">
        <w:rPr>
          <w:lang w:val="en-GB"/>
        </w:rPr>
        <w:t xml:space="preserve"> but </w:t>
      </w:r>
      <w:r w:rsidR="00135EA7">
        <w:rPr>
          <w:lang w:val="en-GB"/>
        </w:rPr>
        <w:t>was</w:t>
      </w:r>
      <w:r w:rsidR="003973F8" w:rsidRPr="004A0160">
        <w:rPr>
          <w:lang w:val="en-GB"/>
        </w:rPr>
        <w:t xml:space="preserve"> not complete</w:t>
      </w:r>
      <w:r w:rsidR="00135EA7">
        <w:rPr>
          <w:lang w:val="en-GB"/>
        </w:rPr>
        <w:t>d</w:t>
      </w:r>
      <w:r w:rsidR="003973F8" w:rsidRPr="004A0160">
        <w:rPr>
          <w:lang w:val="en-GB"/>
        </w:rPr>
        <w:t xml:space="preserve"> due to staff going on emergency leave </w:t>
      </w:r>
      <w:r w:rsidR="00811BAE">
        <w:rPr>
          <w:lang w:val="en-GB"/>
        </w:rPr>
        <w:t>in</w:t>
      </w:r>
      <w:r w:rsidR="003973F8" w:rsidRPr="004A0160">
        <w:rPr>
          <w:lang w:val="en-GB"/>
        </w:rPr>
        <w:t xml:space="preserve"> March</w:t>
      </w:r>
      <w:r w:rsidR="00811BAE">
        <w:rPr>
          <w:lang w:val="en-GB"/>
        </w:rPr>
        <w:t xml:space="preserve"> due to </w:t>
      </w:r>
      <w:r w:rsidR="00FC0016">
        <w:rPr>
          <w:lang w:val="en-GB"/>
        </w:rPr>
        <w:t>COVID-19</w:t>
      </w:r>
      <w:r w:rsidR="003973F8" w:rsidRPr="004A0160">
        <w:rPr>
          <w:lang w:val="en-GB"/>
        </w:rPr>
        <w:t xml:space="preserve">. SISTA test papers </w:t>
      </w:r>
      <w:r w:rsidR="00811BAE">
        <w:rPr>
          <w:lang w:val="en-GB"/>
        </w:rPr>
        <w:t xml:space="preserve">and </w:t>
      </w:r>
      <w:r w:rsidR="00811BAE" w:rsidRPr="004A0160">
        <w:rPr>
          <w:lang w:val="en-GB"/>
        </w:rPr>
        <w:t>data entry forms</w:t>
      </w:r>
      <w:r w:rsidR="00811BAE">
        <w:rPr>
          <w:lang w:val="en-GB"/>
        </w:rPr>
        <w:t xml:space="preserve"> are </w:t>
      </w:r>
      <w:r w:rsidR="003973F8" w:rsidRPr="004A0160">
        <w:rPr>
          <w:lang w:val="en-GB"/>
        </w:rPr>
        <w:t>available</w:t>
      </w:r>
      <w:r w:rsidR="00135EA7">
        <w:rPr>
          <w:lang w:val="en-GB"/>
        </w:rPr>
        <w:t xml:space="preserve"> for review</w:t>
      </w:r>
      <w:r w:rsidR="003973F8" w:rsidRPr="004A0160">
        <w:rPr>
          <w:lang w:val="en-GB"/>
        </w:rPr>
        <w:t xml:space="preserve">. </w:t>
      </w:r>
      <w:r w:rsidR="00811BAE">
        <w:rPr>
          <w:lang w:val="en-GB"/>
        </w:rPr>
        <w:t>NEAD</w:t>
      </w:r>
      <w:r w:rsidR="003973F8" w:rsidRPr="004A0160">
        <w:rPr>
          <w:lang w:val="en-GB"/>
        </w:rPr>
        <w:t xml:space="preserve"> also have the SISTA database and contracts signed by markers and data entry.</w:t>
      </w:r>
      <w:r w:rsidR="00BC64A8">
        <w:rPr>
          <w:lang w:val="en-GB"/>
        </w:rPr>
        <w:t xml:space="preserve"> </w:t>
      </w:r>
      <w:r w:rsidR="003973F8" w:rsidRPr="004A0160">
        <w:rPr>
          <w:lang w:val="en-GB"/>
        </w:rPr>
        <w:t xml:space="preserve">Planning was in place with EQAP to </w:t>
      </w:r>
      <w:r w:rsidR="000F2042" w:rsidRPr="004A0160">
        <w:rPr>
          <w:lang w:val="en-GB"/>
        </w:rPr>
        <w:t>analyse</w:t>
      </w:r>
      <w:r w:rsidR="003973F8" w:rsidRPr="004A0160">
        <w:rPr>
          <w:lang w:val="en-GB"/>
        </w:rPr>
        <w:t xml:space="preserve"> the data and report as well</w:t>
      </w:r>
      <w:r w:rsidR="008C0E2D">
        <w:rPr>
          <w:lang w:val="en-GB"/>
        </w:rPr>
        <w:t>.</w:t>
      </w:r>
      <w:r w:rsidR="00811BAE">
        <w:rPr>
          <w:lang w:val="en-GB"/>
        </w:rPr>
        <w:t xml:space="preserve"> </w:t>
      </w:r>
      <w:r>
        <w:rPr>
          <w:lang w:val="en-GB"/>
        </w:rPr>
        <w:t xml:space="preserve">Additional supporting </w:t>
      </w:r>
      <w:r w:rsidR="003973F8" w:rsidRPr="004A0160">
        <w:rPr>
          <w:lang w:val="en-GB"/>
        </w:rPr>
        <w:t xml:space="preserve">evidence </w:t>
      </w:r>
      <w:r>
        <w:rPr>
          <w:lang w:val="en-GB"/>
        </w:rPr>
        <w:t xml:space="preserve">was provided by </w:t>
      </w:r>
      <w:r w:rsidR="003973F8" w:rsidRPr="004A0160">
        <w:rPr>
          <w:lang w:val="en-GB"/>
        </w:rPr>
        <w:t xml:space="preserve">the </w:t>
      </w:r>
      <w:r w:rsidR="00BD12B9">
        <w:rPr>
          <w:lang w:val="en-GB"/>
        </w:rPr>
        <w:t>P</w:t>
      </w:r>
      <w:r w:rsidR="003973F8" w:rsidRPr="004A0160">
        <w:rPr>
          <w:lang w:val="en-GB"/>
        </w:rPr>
        <w:t xml:space="preserve">rocurement </w:t>
      </w:r>
      <w:r w:rsidR="00BD12B9">
        <w:rPr>
          <w:lang w:val="en-GB"/>
        </w:rPr>
        <w:t>Unit of a contract for the printing of the SISTA papers.</w:t>
      </w:r>
    </w:p>
    <w:p w14:paraId="3521C636" w14:textId="77777777" w:rsidR="003973F8" w:rsidRPr="004A0160" w:rsidRDefault="003973F8" w:rsidP="0015435E">
      <w:pPr>
        <w:pStyle w:val="Bodytext11"/>
        <w:spacing w:after="0"/>
        <w:rPr>
          <w:lang w:val="en-GB"/>
        </w:rPr>
      </w:pPr>
    </w:p>
    <w:p w14:paraId="6BBDC574" w14:textId="39FC2DA6" w:rsidR="003973F8" w:rsidRDefault="003973F8" w:rsidP="0015435E">
      <w:pPr>
        <w:pStyle w:val="Bodytext11"/>
        <w:spacing w:after="0"/>
        <w:rPr>
          <w:b/>
          <w:bCs/>
          <w:i/>
          <w:iCs/>
          <w:lang w:val="en-GB"/>
        </w:rPr>
      </w:pPr>
      <w:r w:rsidRPr="000970D9">
        <w:rPr>
          <w:b/>
          <w:bCs/>
          <w:i/>
          <w:iCs/>
          <w:lang w:val="en-GB"/>
        </w:rPr>
        <w:t>2.2.2 By the end of 2019, PILNA 2018 test results disseminated through school visits, Education Authorities, and online</w:t>
      </w:r>
      <w:r>
        <w:rPr>
          <w:b/>
          <w:bCs/>
          <w:i/>
          <w:iCs/>
          <w:lang w:val="en-GB"/>
        </w:rPr>
        <w:t>.</w:t>
      </w:r>
    </w:p>
    <w:p w14:paraId="1A6FFB52" w14:textId="77777777" w:rsidR="00BD12B9" w:rsidRDefault="00BD12B9" w:rsidP="0015435E">
      <w:pPr>
        <w:pStyle w:val="Bodytext11"/>
        <w:spacing w:after="0"/>
        <w:rPr>
          <w:b/>
          <w:bCs/>
          <w:i/>
          <w:iCs/>
          <w:lang w:val="en-GB"/>
        </w:rPr>
      </w:pPr>
    </w:p>
    <w:tbl>
      <w:tblPr>
        <w:tblW w:w="7537" w:type="dxa"/>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127"/>
        <w:gridCol w:w="2410"/>
      </w:tblGrid>
      <w:tr w:rsidR="00BD12B9" w:rsidRPr="00CE1F20" w14:paraId="3D68A178" w14:textId="77777777" w:rsidTr="00C26E6E">
        <w:trPr>
          <w:trHeight w:val="262"/>
        </w:trPr>
        <w:tc>
          <w:tcPr>
            <w:tcW w:w="5127" w:type="dxa"/>
            <w:tcBorders>
              <w:top w:val="single" w:sz="12" w:space="0" w:color="auto"/>
              <w:bottom w:val="single" w:sz="12" w:space="0" w:color="auto"/>
            </w:tcBorders>
            <w:shd w:val="clear" w:color="000000" w:fill="B4C6E7"/>
            <w:vAlign w:val="center"/>
            <w:hideMark/>
          </w:tcPr>
          <w:p w14:paraId="7578EB5B" w14:textId="77777777" w:rsidR="00BD12B9" w:rsidRPr="00CE1F20" w:rsidRDefault="00BD12B9" w:rsidP="0015435E">
            <w:pPr>
              <w:spacing w:after="0" w:line="240" w:lineRule="auto"/>
              <w:jc w:val="center"/>
              <w:rPr>
                <w:rFonts w:asciiTheme="minorHAnsi" w:eastAsia="Times New Roman" w:hAnsiTheme="minorHAnsi" w:cstheme="minorHAnsi"/>
                <w:b/>
                <w:bCs/>
                <w:sz w:val="18"/>
                <w:szCs w:val="18"/>
                <w:lang w:val="en-AU" w:eastAsia="en-AU"/>
              </w:rPr>
            </w:pPr>
            <w:r w:rsidRPr="00CE1F20">
              <w:rPr>
                <w:rFonts w:asciiTheme="minorHAnsi" w:eastAsia="Times New Roman" w:hAnsiTheme="minorHAnsi" w:cstheme="minorHAnsi"/>
                <w:b/>
                <w:bCs/>
                <w:sz w:val="18"/>
                <w:szCs w:val="18"/>
                <w:lang w:val="en-AU" w:eastAsia="en-AU"/>
              </w:rPr>
              <w:t>Expected Results Statements</w:t>
            </w:r>
          </w:p>
        </w:tc>
        <w:tc>
          <w:tcPr>
            <w:tcW w:w="2410" w:type="dxa"/>
            <w:tcBorders>
              <w:top w:val="single" w:sz="12" w:space="0" w:color="auto"/>
              <w:bottom w:val="single" w:sz="12" w:space="0" w:color="auto"/>
            </w:tcBorders>
            <w:shd w:val="clear" w:color="000000" w:fill="B4C6E7"/>
            <w:noWrap/>
            <w:vAlign w:val="center"/>
            <w:hideMark/>
          </w:tcPr>
          <w:p w14:paraId="3AE9FBAB" w14:textId="0ADE7770" w:rsidR="00BD12B9" w:rsidRPr="00CE1F20" w:rsidRDefault="001E568E" w:rsidP="0015435E">
            <w:pPr>
              <w:spacing w:after="0" w:line="240" w:lineRule="auto"/>
              <w:jc w:val="center"/>
              <w:rPr>
                <w:rFonts w:asciiTheme="minorHAnsi" w:eastAsia="Times New Roman" w:hAnsiTheme="minorHAnsi" w:cstheme="minorHAnsi"/>
                <w:b/>
                <w:bCs/>
                <w:sz w:val="18"/>
                <w:szCs w:val="18"/>
                <w:lang w:val="en-AU" w:eastAsia="en-AU"/>
              </w:rPr>
            </w:pPr>
            <w:r>
              <w:rPr>
                <w:rFonts w:asciiTheme="minorHAnsi" w:eastAsia="Times New Roman" w:hAnsiTheme="minorHAnsi" w:cstheme="minorHAnsi"/>
                <w:b/>
                <w:bCs/>
                <w:sz w:val="18"/>
                <w:szCs w:val="18"/>
                <w:lang w:val="en-AU" w:eastAsia="en-AU"/>
              </w:rPr>
              <w:t>Assessment</w:t>
            </w:r>
          </w:p>
        </w:tc>
      </w:tr>
      <w:tr w:rsidR="00BD12B9" w:rsidRPr="00CE1F20" w14:paraId="3971264A" w14:textId="77777777" w:rsidTr="00C26E6E">
        <w:trPr>
          <w:trHeight w:val="588"/>
        </w:trPr>
        <w:tc>
          <w:tcPr>
            <w:tcW w:w="5127" w:type="dxa"/>
            <w:tcBorders>
              <w:top w:val="single" w:sz="12" w:space="0" w:color="auto"/>
            </w:tcBorders>
            <w:shd w:val="clear" w:color="auto" w:fill="auto"/>
          </w:tcPr>
          <w:p w14:paraId="1555804D" w14:textId="77777777" w:rsidR="00BD12B9" w:rsidRPr="00CE1F20" w:rsidRDefault="00BD12B9" w:rsidP="0015435E">
            <w:pPr>
              <w:spacing w:after="0" w:line="240" w:lineRule="auto"/>
              <w:rPr>
                <w:rFonts w:asciiTheme="minorHAnsi" w:eastAsia="Times New Roman" w:hAnsiTheme="minorHAnsi" w:cstheme="minorHAnsi"/>
                <w:color w:val="000000"/>
                <w:sz w:val="18"/>
                <w:szCs w:val="18"/>
                <w:lang w:val="en-AU" w:eastAsia="en-AU"/>
              </w:rPr>
            </w:pPr>
            <w:r w:rsidRPr="00CE1F20">
              <w:rPr>
                <w:rFonts w:asciiTheme="minorHAnsi" w:eastAsia="Times New Roman" w:hAnsiTheme="minorHAnsi" w:cstheme="minorHAnsi"/>
                <w:color w:val="000000"/>
                <w:sz w:val="18"/>
                <w:szCs w:val="18"/>
                <w:lang w:val="en-AU" w:eastAsia="en-AU"/>
              </w:rPr>
              <w:t>Evidence of PILNA 2018 dissemination to national, provincial and school level (</w:t>
            </w:r>
            <w:proofErr w:type="gramStart"/>
            <w:r w:rsidRPr="00CE1F20">
              <w:rPr>
                <w:rFonts w:asciiTheme="minorHAnsi" w:eastAsia="Times New Roman" w:hAnsiTheme="minorHAnsi" w:cstheme="minorHAnsi"/>
                <w:color w:val="000000"/>
                <w:sz w:val="18"/>
                <w:szCs w:val="18"/>
                <w:lang w:val="en-AU" w:eastAsia="en-AU"/>
              </w:rPr>
              <w:t>e.g.</w:t>
            </w:r>
            <w:proofErr w:type="gramEnd"/>
            <w:r w:rsidRPr="00CE1F20">
              <w:rPr>
                <w:rFonts w:asciiTheme="minorHAnsi" w:eastAsia="Times New Roman" w:hAnsiTheme="minorHAnsi" w:cstheme="minorHAnsi"/>
                <w:color w:val="000000"/>
                <w:sz w:val="18"/>
                <w:szCs w:val="18"/>
                <w:lang w:val="en-AU" w:eastAsia="en-AU"/>
              </w:rPr>
              <w:t xml:space="preserve"> meeting minutes, back to office reports) (50%)</w:t>
            </w:r>
          </w:p>
          <w:p w14:paraId="0C27D55B" w14:textId="77777777" w:rsidR="00BD12B9" w:rsidRPr="00CE1F20" w:rsidRDefault="00BD12B9" w:rsidP="0015435E">
            <w:pPr>
              <w:spacing w:after="0" w:line="240" w:lineRule="auto"/>
              <w:rPr>
                <w:rFonts w:asciiTheme="minorHAnsi" w:eastAsia="Times New Roman" w:hAnsiTheme="minorHAnsi" w:cstheme="minorHAnsi"/>
                <w:color w:val="000000"/>
                <w:sz w:val="18"/>
                <w:szCs w:val="18"/>
                <w:lang w:val="en-AU" w:eastAsia="en-AU"/>
              </w:rPr>
            </w:pPr>
          </w:p>
        </w:tc>
        <w:tc>
          <w:tcPr>
            <w:tcW w:w="2410" w:type="dxa"/>
            <w:tcBorders>
              <w:top w:val="single" w:sz="12" w:space="0" w:color="auto"/>
            </w:tcBorders>
            <w:shd w:val="clear" w:color="auto" w:fill="FFFFFF" w:themeFill="background1"/>
            <w:noWrap/>
          </w:tcPr>
          <w:p w14:paraId="6F30AD31" w14:textId="31D86A8A" w:rsidR="00BD12B9" w:rsidRPr="00CE1F20" w:rsidRDefault="00F060EB" w:rsidP="0015435E">
            <w:pPr>
              <w:spacing w:after="0" w:line="240" w:lineRule="auto"/>
              <w:jc w:val="center"/>
              <w:rPr>
                <w:rFonts w:asciiTheme="minorHAnsi" w:eastAsia="Times New Roman" w:hAnsiTheme="minorHAnsi" w:cstheme="minorHAnsi"/>
                <w:color w:val="000000"/>
                <w:sz w:val="18"/>
                <w:szCs w:val="18"/>
                <w:lang w:val="en-AU" w:eastAsia="en-AU"/>
              </w:rPr>
            </w:pPr>
            <w:r>
              <w:rPr>
                <w:rFonts w:asciiTheme="minorHAnsi" w:eastAsia="Times New Roman" w:hAnsiTheme="minorHAnsi" w:cstheme="minorHAnsi"/>
                <w:color w:val="000000"/>
                <w:sz w:val="18"/>
                <w:szCs w:val="18"/>
                <w:lang w:val="en-AU" w:eastAsia="en-AU"/>
              </w:rPr>
              <w:t>50% (of 50%)</w:t>
            </w:r>
          </w:p>
        </w:tc>
      </w:tr>
    </w:tbl>
    <w:p w14:paraId="60DF6765" w14:textId="77777777" w:rsidR="00135EA7" w:rsidRPr="00135EA7" w:rsidRDefault="00135EA7" w:rsidP="0015435E">
      <w:pPr>
        <w:pStyle w:val="Bodytext11"/>
        <w:spacing w:after="0"/>
        <w:rPr>
          <w:lang w:val="en-GB"/>
        </w:rPr>
      </w:pPr>
    </w:p>
    <w:p w14:paraId="23BBD8C1" w14:textId="3C245EB0" w:rsidR="003973F8" w:rsidRPr="00CA3CC5" w:rsidRDefault="008D12C1" w:rsidP="0015435E">
      <w:pPr>
        <w:pStyle w:val="Bodytext11"/>
        <w:spacing w:after="0"/>
        <w:rPr>
          <w:lang w:val="en-GB"/>
        </w:rPr>
      </w:pPr>
      <w:r w:rsidRPr="008D12C1">
        <w:rPr>
          <w:rFonts w:eastAsiaTheme="minorEastAsia" w:cstheme="minorHAnsi"/>
          <w:bCs/>
        </w:rPr>
        <w:t>The Pacific Islands Literacy and Numeracy Achievements (PILNA) testing was undertaken in October 2018 and reported</w:t>
      </w:r>
      <w:r w:rsidR="008F0611">
        <w:rPr>
          <w:rFonts w:eastAsiaTheme="minorEastAsia" w:cstheme="minorHAnsi"/>
          <w:bCs/>
        </w:rPr>
        <w:t xml:space="preserve"> to MEHRD</w:t>
      </w:r>
      <w:r w:rsidRPr="008D12C1">
        <w:rPr>
          <w:rFonts w:eastAsiaTheme="minorEastAsia" w:cstheme="minorHAnsi"/>
          <w:bCs/>
        </w:rPr>
        <w:t xml:space="preserve"> in 2019. </w:t>
      </w:r>
      <w:r w:rsidR="008F0611">
        <w:rPr>
          <w:rFonts w:eastAsiaTheme="minorEastAsia" w:cstheme="minorHAnsi"/>
          <w:bCs/>
        </w:rPr>
        <w:t xml:space="preserve">The overall administration of PILNA was managed by </w:t>
      </w:r>
      <w:r w:rsidR="00FA4132">
        <w:rPr>
          <w:rFonts w:eastAsiaTheme="minorEastAsia" w:cstheme="minorHAnsi"/>
          <w:bCs/>
        </w:rPr>
        <w:t>the regi</w:t>
      </w:r>
      <w:r w:rsidR="008C0E2D">
        <w:rPr>
          <w:rFonts w:eastAsiaTheme="minorEastAsia" w:cstheme="minorHAnsi"/>
          <w:bCs/>
        </w:rPr>
        <w:t>o</w:t>
      </w:r>
      <w:r w:rsidR="00FA4132">
        <w:rPr>
          <w:rFonts w:eastAsiaTheme="minorEastAsia" w:cstheme="minorHAnsi"/>
          <w:bCs/>
        </w:rPr>
        <w:t xml:space="preserve">nal body, </w:t>
      </w:r>
      <w:r w:rsidR="008F0611">
        <w:rPr>
          <w:rFonts w:eastAsiaTheme="minorEastAsia" w:cstheme="minorHAnsi"/>
          <w:bCs/>
        </w:rPr>
        <w:t>EQAP</w:t>
      </w:r>
      <w:r w:rsidR="00FA4132">
        <w:rPr>
          <w:rFonts w:eastAsiaTheme="minorEastAsia" w:cstheme="minorHAnsi"/>
          <w:bCs/>
        </w:rPr>
        <w:t>,</w:t>
      </w:r>
      <w:r w:rsidR="008F0611">
        <w:rPr>
          <w:rFonts w:eastAsiaTheme="minorEastAsia" w:cstheme="minorHAnsi"/>
          <w:bCs/>
        </w:rPr>
        <w:t xml:space="preserve"> with the test results</w:t>
      </w:r>
      <w:r w:rsidR="003973F8" w:rsidRPr="00CA3CC5">
        <w:rPr>
          <w:lang w:val="en-GB"/>
        </w:rPr>
        <w:t xml:space="preserve"> disseminated to MEHRD</w:t>
      </w:r>
      <w:r w:rsidR="00F060EB">
        <w:rPr>
          <w:lang w:val="en-GB"/>
        </w:rPr>
        <w:t xml:space="preserve"> staff through information sharing meetings</w:t>
      </w:r>
      <w:r w:rsidR="003973F8" w:rsidRPr="00CA3CC5">
        <w:rPr>
          <w:lang w:val="en-GB"/>
        </w:rPr>
        <w:t>.</w:t>
      </w:r>
      <w:bookmarkStart w:id="26" w:name="_Hlk44402963"/>
      <w:r>
        <w:rPr>
          <w:lang w:val="en-GB"/>
        </w:rPr>
        <w:t xml:space="preserve"> </w:t>
      </w:r>
      <w:r w:rsidR="003973F8" w:rsidRPr="00CA3CC5">
        <w:rPr>
          <w:lang w:val="en-GB"/>
        </w:rPr>
        <w:t xml:space="preserve">EQAP </w:t>
      </w:r>
      <w:r w:rsidR="008F0611">
        <w:rPr>
          <w:lang w:val="en-GB"/>
        </w:rPr>
        <w:t>undertook</w:t>
      </w:r>
      <w:r w:rsidR="003973F8" w:rsidRPr="00CA3CC5">
        <w:rPr>
          <w:lang w:val="en-GB"/>
        </w:rPr>
        <w:t xml:space="preserve"> </w:t>
      </w:r>
      <w:r w:rsidR="00F060EB">
        <w:rPr>
          <w:lang w:val="en-GB"/>
        </w:rPr>
        <w:t xml:space="preserve">the </w:t>
      </w:r>
      <w:r w:rsidR="003973F8" w:rsidRPr="00CA3CC5">
        <w:rPr>
          <w:lang w:val="en-GB"/>
        </w:rPr>
        <w:t xml:space="preserve">reporting to MEHRD </w:t>
      </w:r>
      <w:r w:rsidR="00485E88">
        <w:rPr>
          <w:lang w:val="en-GB"/>
        </w:rPr>
        <w:t xml:space="preserve">SMT and Divisions </w:t>
      </w:r>
      <w:r w:rsidR="003973F8" w:rsidRPr="00CA3CC5">
        <w:rPr>
          <w:lang w:val="en-GB"/>
        </w:rPr>
        <w:t>and schools in Honiara.</w:t>
      </w:r>
      <w:r w:rsidR="008F0611">
        <w:rPr>
          <w:lang w:val="en-GB"/>
        </w:rPr>
        <w:t xml:space="preserve"> Th</w:t>
      </w:r>
      <w:r w:rsidR="00FA4132">
        <w:rPr>
          <w:lang w:val="en-GB"/>
        </w:rPr>
        <w:t xml:space="preserve">e reporting was undertaken during a </w:t>
      </w:r>
      <w:r w:rsidR="008F0611">
        <w:rPr>
          <w:lang w:val="en-GB"/>
        </w:rPr>
        <w:t xml:space="preserve">two-day workshop with Honiara schools </w:t>
      </w:r>
      <w:r w:rsidR="00485E88">
        <w:rPr>
          <w:lang w:val="en-GB"/>
        </w:rPr>
        <w:t>(</w:t>
      </w:r>
      <w:r w:rsidR="00485E88" w:rsidRPr="00CA3CC5">
        <w:rPr>
          <w:lang w:val="en-GB"/>
        </w:rPr>
        <w:t>School Heads and teachers</w:t>
      </w:r>
      <w:r w:rsidR="00485E88">
        <w:rPr>
          <w:lang w:val="en-GB"/>
        </w:rPr>
        <w:t xml:space="preserve">) </w:t>
      </w:r>
      <w:r w:rsidR="008F0611">
        <w:rPr>
          <w:lang w:val="en-GB"/>
        </w:rPr>
        <w:t>to review the analysis and findings and determine implications for their schools’ teaching and learning programs.</w:t>
      </w:r>
      <w:r w:rsidR="00485E88">
        <w:rPr>
          <w:lang w:val="en-GB"/>
        </w:rPr>
        <w:t xml:space="preserve"> </w:t>
      </w:r>
      <w:r w:rsidR="00582114">
        <w:rPr>
          <w:lang w:val="en-GB"/>
        </w:rPr>
        <w:t>No evidence of comprehensive sharing of the data through provincial or school visits</w:t>
      </w:r>
      <w:r w:rsidR="00F060EB">
        <w:rPr>
          <w:lang w:val="en-GB"/>
        </w:rPr>
        <w:t xml:space="preserve"> (other than Honiara)</w:t>
      </w:r>
      <w:r w:rsidR="00582114">
        <w:rPr>
          <w:lang w:val="en-GB"/>
        </w:rPr>
        <w:t xml:space="preserve"> was found. Some anecdotal evidence </w:t>
      </w:r>
      <w:r w:rsidR="0077471C">
        <w:rPr>
          <w:lang w:val="en-GB"/>
        </w:rPr>
        <w:t xml:space="preserve">was </w:t>
      </w:r>
      <w:r w:rsidR="00582114">
        <w:rPr>
          <w:lang w:val="en-GB"/>
        </w:rPr>
        <w:t xml:space="preserve">provided by MEHRD officers </w:t>
      </w:r>
      <w:r w:rsidR="0077471C">
        <w:rPr>
          <w:lang w:val="en-GB"/>
        </w:rPr>
        <w:t xml:space="preserve">that they had </w:t>
      </w:r>
      <w:r w:rsidR="00582114">
        <w:rPr>
          <w:lang w:val="en-GB"/>
        </w:rPr>
        <w:t>shar</w:t>
      </w:r>
      <w:r w:rsidR="0077471C">
        <w:rPr>
          <w:lang w:val="en-GB"/>
        </w:rPr>
        <w:t>ed</w:t>
      </w:r>
      <w:r w:rsidR="00582114">
        <w:rPr>
          <w:lang w:val="en-GB"/>
        </w:rPr>
        <w:t xml:space="preserve"> the results during monitoring </w:t>
      </w:r>
      <w:proofErr w:type="gramStart"/>
      <w:r w:rsidR="00582114">
        <w:rPr>
          <w:lang w:val="en-GB"/>
        </w:rPr>
        <w:t>visits</w:t>
      </w:r>
      <w:proofErr w:type="gramEnd"/>
      <w:r w:rsidR="00582114">
        <w:rPr>
          <w:lang w:val="en-GB"/>
        </w:rPr>
        <w:t xml:space="preserve"> but no reports </w:t>
      </w:r>
      <w:r w:rsidR="0077471C">
        <w:rPr>
          <w:lang w:val="en-GB"/>
        </w:rPr>
        <w:t xml:space="preserve">were </w:t>
      </w:r>
      <w:r w:rsidR="00582114">
        <w:rPr>
          <w:lang w:val="en-GB"/>
        </w:rPr>
        <w:t xml:space="preserve">provided. </w:t>
      </w:r>
      <w:r w:rsidR="00485E88">
        <w:rPr>
          <w:lang w:val="en-GB"/>
        </w:rPr>
        <w:t>PILNA report</w:t>
      </w:r>
      <w:r w:rsidR="00A13059">
        <w:rPr>
          <w:lang w:val="en-GB"/>
        </w:rPr>
        <w:t xml:space="preserve"> summaries</w:t>
      </w:r>
      <w:r w:rsidR="00485E88">
        <w:rPr>
          <w:lang w:val="en-GB"/>
        </w:rPr>
        <w:t xml:space="preserve"> were published on the MEHRD website in 2019.</w:t>
      </w:r>
    </w:p>
    <w:bookmarkEnd w:id="26"/>
    <w:p w14:paraId="7C392C50" w14:textId="77777777" w:rsidR="003973F8" w:rsidRPr="007F76A5" w:rsidRDefault="003973F8" w:rsidP="0015435E">
      <w:pPr>
        <w:pStyle w:val="Bodytext11"/>
        <w:spacing w:after="0"/>
        <w:rPr>
          <w:lang w:val="en-GB"/>
        </w:rPr>
      </w:pPr>
    </w:p>
    <w:p w14:paraId="3865E57C" w14:textId="556F634E" w:rsidR="003973F8" w:rsidRPr="00F24E4A" w:rsidRDefault="000F2042" w:rsidP="0015435E">
      <w:pPr>
        <w:pStyle w:val="Bodytext11"/>
        <w:spacing w:after="0"/>
        <w:rPr>
          <w:b/>
          <w:bCs/>
          <w:i/>
          <w:iCs/>
          <w:lang w:val="en-GB"/>
        </w:rPr>
      </w:pPr>
      <w:r w:rsidRPr="00F24E4A">
        <w:rPr>
          <w:b/>
          <w:bCs/>
          <w:i/>
          <w:iCs/>
          <w:lang w:val="en-GB"/>
        </w:rPr>
        <w:t>2.3.1 By</w:t>
      </w:r>
      <w:r w:rsidR="003973F8" w:rsidRPr="00F24E4A">
        <w:rPr>
          <w:b/>
          <w:bCs/>
          <w:i/>
          <w:iCs/>
          <w:lang w:val="en-GB"/>
        </w:rPr>
        <w:t xml:space="preserve"> the end of 2019, delivery of USP Certificate in Teaching Primary (courses ED152 and ED100) to be rolled out in Choiseul and Western provinces, and completed in Makira Province</w:t>
      </w:r>
    </w:p>
    <w:p w14:paraId="25F5388A" w14:textId="77777777" w:rsidR="00135EA7" w:rsidRDefault="00135EA7" w:rsidP="0015435E">
      <w:pPr>
        <w:pStyle w:val="Bodytext11"/>
        <w:spacing w:after="0"/>
        <w:rPr>
          <w:lang w:val="en-GB"/>
        </w:rPr>
      </w:pPr>
    </w:p>
    <w:tbl>
      <w:tblPr>
        <w:tblW w:w="7537" w:type="dxa"/>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127"/>
        <w:gridCol w:w="2410"/>
      </w:tblGrid>
      <w:tr w:rsidR="000460D7" w:rsidRPr="00CE1F20" w14:paraId="3CA0089D" w14:textId="77777777" w:rsidTr="00C26E6E">
        <w:trPr>
          <w:trHeight w:val="162"/>
        </w:trPr>
        <w:tc>
          <w:tcPr>
            <w:tcW w:w="5127" w:type="dxa"/>
            <w:tcBorders>
              <w:top w:val="single" w:sz="12" w:space="0" w:color="auto"/>
              <w:bottom w:val="single" w:sz="12" w:space="0" w:color="auto"/>
            </w:tcBorders>
            <w:shd w:val="clear" w:color="000000" w:fill="B4C6E7"/>
            <w:vAlign w:val="center"/>
            <w:hideMark/>
          </w:tcPr>
          <w:p w14:paraId="59B8A35A" w14:textId="18A72CC2" w:rsidR="00C26E6E" w:rsidRPr="00CE1F20" w:rsidRDefault="000460D7" w:rsidP="00C26E6E">
            <w:pPr>
              <w:spacing w:after="0" w:line="240" w:lineRule="auto"/>
              <w:jc w:val="center"/>
              <w:rPr>
                <w:rFonts w:asciiTheme="minorHAnsi" w:eastAsia="Times New Roman" w:hAnsiTheme="minorHAnsi" w:cstheme="minorHAnsi"/>
                <w:b/>
                <w:bCs/>
                <w:sz w:val="18"/>
                <w:szCs w:val="18"/>
                <w:lang w:val="en-AU" w:eastAsia="en-AU"/>
              </w:rPr>
            </w:pPr>
            <w:r w:rsidRPr="00CE1F20">
              <w:rPr>
                <w:rFonts w:asciiTheme="minorHAnsi" w:eastAsia="Times New Roman" w:hAnsiTheme="minorHAnsi" w:cstheme="minorHAnsi"/>
                <w:b/>
                <w:bCs/>
                <w:sz w:val="18"/>
                <w:szCs w:val="18"/>
                <w:lang w:val="en-AU" w:eastAsia="en-AU"/>
              </w:rPr>
              <w:t>Expected Results Statements</w:t>
            </w:r>
          </w:p>
        </w:tc>
        <w:tc>
          <w:tcPr>
            <w:tcW w:w="2410" w:type="dxa"/>
            <w:tcBorders>
              <w:top w:val="single" w:sz="12" w:space="0" w:color="auto"/>
              <w:bottom w:val="single" w:sz="12" w:space="0" w:color="auto"/>
            </w:tcBorders>
            <w:shd w:val="clear" w:color="000000" w:fill="B4C6E7"/>
            <w:noWrap/>
            <w:vAlign w:val="center"/>
            <w:hideMark/>
          </w:tcPr>
          <w:p w14:paraId="1B5F933B" w14:textId="2FB5EAB2" w:rsidR="000460D7" w:rsidRPr="00CE1F20" w:rsidRDefault="000460D7" w:rsidP="0015435E">
            <w:pPr>
              <w:spacing w:after="0" w:line="240" w:lineRule="auto"/>
              <w:jc w:val="center"/>
              <w:rPr>
                <w:rFonts w:asciiTheme="minorHAnsi" w:eastAsia="Times New Roman" w:hAnsiTheme="minorHAnsi" w:cstheme="minorHAnsi"/>
                <w:b/>
                <w:bCs/>
                <w:sz w:val="18"/>
                <w:szCs w:val="18"/>
                <w:lang w:val="en-AU" w:eastAsia="en-AU"/>
              </w:rPr>
            </w:pPr>
            <w:r>
              <w:rPr>
                <w:rFonts w:asciiTheme="minorHAnsi" w:eastAsia="Times New Roman" w:hAnsiTheme="minorHAnsi" w:cstheme="minorHAnsi"/>
                <w:b/>
                <w:bCs/>
                <w:sz w:val="18"/>
                <w:szCs w:val="18"/>
                <w:lang w:val="en-AU" w:eastAsia="en-AU"/>
              </w:rPr>
              <w:t>Assessment</w:t>
            </w:r>
          </w:p>
        </w:tc>
      </w:tr>
      <w:tr w:rsidR="000460D7" w:rsidRPr="00CE1F20" w14:paraId="76E26EFC" w14:textId="77777777" w:rsidTr="00C26E6E">
        <w:trPr>
          <w:trHeight w:val="555"/>
        </w:trPr>
        <w:tc>
          <w:tcPr>
            <w:tcW w:w="5127" w:type="dxa"/>
            <w:tcBorders>
              <w:top w:val="single" w:sz="12" w:space="0" w:color="auto"/>
            </w:tcBorders>
            <w:shd w:val="clear" w:color="auto" w:fill="auto"/>
            <w:hideMark/>
          </w:tcPr>
          <w:p w14:paraId="3CD81046" w14:textId="31236BA8" w:rsidR="000460D7" w:rsidRDefault="000460D7" w:rsidP="0015435E">
            <w:pPr>
              <w:spacing w:after="0" w:line="240" w:lineRule="auto"/>
              <w:rPr>
                <w:rFonts w:asciiTheme="minorHAnsi" w:eastAsia="Times New Roman" w:hAnsiTheme="minorHAnsi" w:cstheme="minorHAnsi"/>
                <w:color w:val="000000"/>
                <w:sz w:val="18"/>
                <w:szCs w:val="18"/>
                <w:lang w:val="en-AU" w:eastAsia="en-AU"/>
              </w:rPr>
            </w:pPr>
            <w:r w:rsidRPr="00CE1F20">
              <w:rPr>
                <w:rFonts w:asciiTheme="minorHAnsi" w:eastAsia="Times New Roman" w:hAnsiTheme="minorHAnsi" w:cstheme="minorHAnsi"/>
                <w:color w:val="000000"/>
                <w:sz w:val="18"/>
                <w:szCs w:val="18"/>
                <w:lang w:val="en-AU" w:eastAsia="en-AU"/>
              </w:rPr>
              <w:t>Untrained teachers in Choiseul and Western provinces complete both courses (67%)</w:t>
            </w:r>
          </w:p>
          <w:p w14:paraId="47F52492" w14:textId="57D06724" w:rsidR="000460D7" w:rsidRPr="00CE1F20" w:rsidRDefault="000460D7" w:rsidP="0015435E">
            <w:pPr>
              <w:spacing w:after="0" w:line="240" w:lineRule="auto"/>
              <w:rPr>
                <w:rFonts w:asciiTheme="minorHAnsi" w:eastAsia="Times New Roman" w:hAnsiTheme="minorHAnsi" w:cstheme="minorHAnsi"/>
                <w:color w:val="000000"/>
                <w:sz w:val="18"/>
                <w:szCs w:val="18"/>
                <w:lang w:val="en-AU" w:eastAsia="en-AU"/>
              </w:rPr>
            </w:pPr>
          </w:p>
        </w:tc>
        <w:tc>
          <w:tcPr>
            <w:tcW w:w="2410" w:type="dxa"/>
            <w:tcBorders>
              <w:top w:val="single" w:sz="12" w:space="0" w:color="auto"/>
            </w:tcBorders>
            <w:shd w:val="clear" w:color="auto" w:fill="FFFFFF" w:themeFill="background1"/>
            <w:noWrap/>
            <w:hideMark/>
          </w:tcPr>
          <w:p w14:paraId="2288D865" w14:textId="578553C4" w:rsidR="000460D7" w:rsidRPr="00CE1F20" w:rsidRDefault="003C5362" w:rsidP="0015435E">
            <w:pPr>
              <w:spacing w:after="0" w:line="240" w:lineRule="auto"/>
              <w:jc w:val="center"/>
              <w:rPr>
                <w:rFonts w:asciiTheme="minorHAnsi" w:eastAsia="Times New Roman" w:hAnsiTheme="minorHAnsi" w:cstheme="minorHAnsi"/>
                <w:color w:val="000000"/>
                <w:sz w:val="18"/>
                <w:szCs w:val="18"/>
                <w:lang w:val="en-AU" w:eastAsia="en-AU"/>
              </w:rPr>
            </w:pPr>
            <w:r>
              <w:rPr>
                <w:rFonts w:asciiTheme="minorHAnsi" w:eastAsia="Times New Roman" w:hAnsiTheme="minorHAnsi" w:cstheme="minorHAnsi"/>
                <w:color w:val="000000"/>
                <w:sz w:val="18"/>
                <w:szCs w:val="18"/>
                <w:lang w:val="en-AU" w:eastAsia="en-AU"/>
              </w:rPr>
              <w:t>75% (of 67%)</w:t>
            </w:r>
          </w:p>
        </w:tc>
      </w:tr>
      <w:tr w:rsidR="000460D7" w:rsidRPr="00CE1F20" w14:paraId="41EBBE52" w14:textId="77777777" w:rsidTr="00C26E6E">
        <w:trPr>
          <w:trHeight w:val="535"/>
        </w:trPr>
        <w:tc>
          <w:tcPr>
            <w:tcW w:w="5127" w:type="dxa"/>
            <w:shd w:val="clear" w:color="auto" w:fill="auto"/>
          </w:tcPr>
          <w:p w14:paraId="5FBBB2AC" w14:textId="411182B6" w:rsidR="000460D7" w:rsidRPr="00CE1F20" w:rsidRDefault="000460D7" w:rsidP="0015435E">
            <w:pPr>
              <w:spacing w:after="0" w:line="240" w:lineRule="auto"/>
              <w:rPr>
                <w:rFonts w:asciiTheme="minorHAnsi" w:eastAsia="Times New Roman" w:hAnsiTheme="minorHAnsi" w:cstheme="minorHAnsi"/>
                <w:color w:val="000000"/>
                <w:sz w:val="18"/>
                <w:szCs w:val="18"/>
                <w:lang w:val="en-AU" w:eastAsia="en-AU"/>
              </w:rPr>
            </w:pPr>
            <w:r w:rsidRPr="00CE1F20">
              <w:rPr>
                <w:rFonts w:asciiTheme="minorHAnsi" w:eastAsia="Times New Roman" w:hAnsiTheme="minorHAnsi" w:cstheme="minorHAnsi"/>
                <w:color w:val="000000"/>
                <w:sz w:val="18"/>
                <w:szCs w:val="18"/>
                <w:lang w:val="en-AU" w:eastAsia="en-AU"/>
              </w:rPr>
              <w:t>Cohort of untrained teachers in Makira Province complete their studies (33%)</w:t>
            </w:r>
          </w:p>
        </w:tc>
        <w:tc>
          <w:tcPr>
            <w:tcW w:w="2410" w:type="dxa"/>
            <w:shd w:val="clear" w:color="auto" w:fill="FFFFFF" w:themeFill="background1"/>
            <w:noWrap/>
          </w:tcPr>
          <w:p w14:paraId="3EC2600E" w14:textId="51A55E16" w:rsidR="000460D7" w:rsidRPr="00CE1F20" w:rsidRDefault="003C5362" w:rsidP="0015435E">
            <w:pPr>
              <w:spacing w:after="0" w:line="240" w:lineRule="auto"/>
              <w:jc w:val="center"/>
              <w:rPr>
                <w:rFonts w:asciiTheme="minorHAnsi" w:eastAsia="Times New Roman" w:hAnsiTheme="minorHAnsi" w:cstheme="minorHAnsi"/>
                <w:color w:val="000000"/>
                <w:sz w:val="18"/>
                <w:szCs w:val="18"/>
                <w:lang w:val="en-AU" w:eastAsia="en-AU"/>
              </w:rPr>
            </w:pPr>
            <w:r>
              <w:rPr>
                <w:rFonts w:asciiTheme="minorHAnsi" w:eastAsia="Times New Roman" w:hAnsiTheme="minorHAnsi" w:cstheme="minorHAnsi"/>
                <w:color w:val="000000"/>
                <w:sz w:val="18"/>
                <w:szCs w:val="18"/>
                <w:lang w:val="en-AU" w:eastAsia="en-AU"/>
              </w:rPr>
              <w:t>100% (of 33%)</w:t>
            </w:r>
          </w:p>
        </w:tc>
      </w:tr>
    </w:tbl>
    <w:p w14:paraId="0AF8A26F" w14:textId="77777777" w:rsidR="00135EA7" w:rsidRDefault="00135EA7" w:rsidP="0015435E">
      <w:pPr>
        <w:pStyle w:val="Bodytext11"/>
        <w:spacing w:after="0"/>
        <w:rPr>
          <w:lang w:val="en-GB"/>
        </w:rPr>
      </w:pPr>
    </w:p>
    <w:p w14:paraId="070571DD" w14:textId="5A516878" w:rsidR="003973F8" w:rsidRDefault="003C5362" w:rsidP="0015435E">
      <w:pPr>
        <w:pStyle w:val="Bodytext11"/>
        <w:spacing w:after="0"/>
        <w:rPr>
          <w:lang w:val="en-GB"/>
        </w:rPr>
      </w:pPr>
      <w:r>
        <w:rPr>
          <w:lang w:val="en-GB"/>
        </w:rPr>
        <w:t>Primary teacher t</w:t>
      </w:r>
      <w:r w:rsidR="003973F8" w:rsidRPr="00F24E4A">
        <w:rPr>
          <w:lang w:val="en-GB"/>
        </w:rPr>
        <w:t>raining for untrained teacher</w:t>
      </w:r>
      <w:r w:rsidR="008F3519">
        <w:rPr>
          <w:lang w:val="en-GB"/>
        </w:rPr>
        <w:t>s</w:t>
      </w:r>
      <w:r w:rsidR="003973F8" w:rsidRPr="00F24E4A">
        <w:rPr>
          <w:lang w:val="en-GB"/>
        </w:rPr>
        <w:t xml:space="preserve"> </w:t>
      </w:r>
      <w:r w:rsidR="00FA4132">
        <w:rPr>
          <w:lang w:val="en-GB"/>
        </w:rPr>
        <w:t xml:space="preserve">(Teachers in Training) </w:t>
      </w:r>
      <w:r w:rsidR="003973F8" w:rsidRPr="00F24E4A">
        <w:rPr>
          <w:lang w:val="en-GB"/>
        </w:rPr>
        <w:t xml:space="preserve">in Western and Choiseul </w:t>
      </w:r>
      <w:r w:rsidR="00DF6CEE">
        <w:rPr>
          <w:lang w:val="en-GB"/>
        </w:rPr>
        <w:t>p</w:t>
      </w:r>
      <w:r w:rsidR="003973F8" w:rsidRPr="00F24E4A">
        <w:rPr>
          <w:lang w:val="en-GB"/>
        </w:rPr>
        <w:t>rovince</w:t>
      </w:r>
      <w:r w:rsidR="00DF6CEE">
        <w:rPr>
          <w:lang w:val="en-GB"/>
        </w:rPr>
        <w:t>s</w:t>
      </w:r>
      <w:r w:rsidR="003973F8" w:rsidRPr="00F24E4A">
        <w:rPr>
          <w:lang w:val="en-GB"/>
        </w:rPr>
        <w:t xml:space="preserve"> </w:t>
      </w:r>
      <w:r>
        <w:rPr>
          <w:lang w:val="en-GB"/>
        </w:rPr>
        <w:t xml:space="preserve">was undertaken during 2019 and </w:t>
      </w:r>
      <w:r w:rsidR="00FA4132">
        <w:rPr>
          <w:lang w:val="en-GB"/>
        </w:rPr>
        <w:t xml:space="preserve">is </w:t>
      </w:r>
      <w:r>
        <w:rPr>
          <w:lang w:val="en-GB"/>
        </w:rPr>
        <w:t>expected to be completed in 2020</w:t>
      </w:r>
      <w:r w:rsidR="003973F8" w:rsidRPr="00F24E4A">
        <w:rPr>
          <w:lang w:val="en-GB"/>
        </w:rPr>
        <w:t xml:space="preserve">. </w:t>
      </w:r>
      <w:r w:rsidR="00BC64A8">
        <w:rPr>
          <w:lang w:val="en-GB"/>
        </w:rPr>
        <w:t>Six</w:t>
      </w:r>
      <w:r w:rsidR="003973F8" w:rsidRPr="00F24E4A">
        <w:rPr>
          <w:lang w:val="en-GB"/>
        </w:rPr>
        <w:t xml:space="preserve"> </w:t>
      </w:r>
      <w:r>
        <w:rPr>
          <w:lang w:val="en-GB"/>
        </w:rPr>
        <w:t>of the</w:t>
      </w:r>
      <w:r w:rsidR="003973F8" w:rsidRPr="00F24E4A">
        <w:rPr>
          <w:lang w:val="en-GB"/>
        </w:rPr>
        <w:t xml:space="preserve"> </w:t>
      </w:r>
      <w:r w:rsidR="00BC64A8">
        <w:rPr>
          <w:lang w:val="en-GB"/>
        </w:rPr>
        <w:t>eight</w:t>
      </w:r>
      <w:r w:rsidR="003973F8" w:rsidRPr="00F24E4A">
        <w:rPr>
          <w:lang w:val="en-GB"/>
        </w:rPr>
        <w:t xml:space="preserve"> course</w:t>
      </w:r>
      <w:r>
        <w:rPr>
          <w:lang w:val="en-GB"/>
        </w:rPr>
        <w:t xml:space="preserve"> units</w:t>
      </w:r>
      <w:r w:rsidR="003973F8" w:rsidRPr="00F24E4A">
        <w:rPr>
          <w:lang w:val="en-GB"/>
        </w:rPr>
        <w:t xml:space="preserve"> in the program </w:t>
      </w:r>
      <w:r w:rsidR="00BC64A8">
        <w:rPr>
          <w:lang w:val="en-GB"/>
        </w:rPr>
        <w:t>are</w:t>
      </w:r>
      <w:r w:rsidR="003973F8" w:rsidRPr="00F24E4A">
        <w:rPr>
          <w:lang w:val="en-GB"/>
        </w:rPr>
        <w:t xml:space="preserve"> completed. </w:t>
      </w:r>
      <w:r>
        <w:rPr>
          <w:lang w:val="en-GB"/>
        </w:rPr>
        <w:t xml:space="preserve">A total 70 teachers (39 </w:t>
      </w:r>
      <w:r w:rsidR="00294306">
        <w:rPr>
          <w:lang w:val="en-GB"/>
        </w:rPr>
        <w:t>females</w:t>
      </w:r>
      <w:r>
        <w:rPr>
          <w:lang w:val="en-GB"/>
        </w:rPr>
        <w:t xml:space="preserve">, 31 male) in Choiseul Province are currently undertaking the training. In Western Provincial 96 teachers (65 </w:t>
      </w:r>
      <w:r w:rsidR="00294306">
        <w:rPr>
          <w:lang w:val="en-GB"/>
        </w:rPr>
        <w:t>females</w:t>
      </w:r>
      <w:r>
        <w:rPr>
          <w:lang w:val="en-GB"/>
        </w:rPr>
        <w:t xml:space="preserve">, 31 male) are undertaking the courses. A total of </w:t>
      </w:r>
      <w:r w:rsidR="003973F8" w:rsidRPr="00F24E4A">
        <w:rPr>
          <w:lang w:val="en-GB"/>
        </w:rPr>
        <w:t>78 T</w:t>
      </w:r>
      <w:r>
        <w:rPr>
          <w:lang w:val="en-GB"/>
        </w:rPr>
        <w:t xml:space="preserve">eachers </w:t>
      </w:r>
      <w:r w:rsidR="003973F8" w:rsidRPr="00F24E4A">
        <w:rPr>
          <w:lang w:val="en-GB"/>
        </w:rPr>
        <w:t>i</w:t>
      </w:r>
      <w:r>
        <w:rPr>
          <w:lang w:val="en-GB"/>
        </w:rPr>
        <w:t xml:space="preserve">n </w:t>
      </w:r>
      <w:r w:rsidR="003973F8" w:rsidRPr="00F24E4A">
        <w:rPr>
          <w:lang w:val="en-GB"/>
        </w:rPr>
        <w:t>T</w:t>
      </w:r>
      <w:r>
        <w:rPr>
          <w:lang w:val="en-GB"/>
        </w:rPr>
        <w:t>raining</w:t>
      </w:r>
      <w:r w:rsidR="003973F8" w:rsidRPr="00F24E4A">
        <w:rPr>
          <w:lang w:val="en-GB"/>
        </w:rPr>
        <w:t xml:space="preserve"> from Makira </w:t>
      </w:r>
      <w:r>
        <w:rPr>
          <w:lang w:val="en-GB"/>
        </w:rPr>
        <w:t xml:space="preserve">Province </w:t>
      </w:r>
      <w:r w:rsidR="003973F8" w:rsidRPr="00F24E4A">
        <w:rPr>
          <w:lang w:val="en-GB"/>
        </w:rPr>
        <w:t>have completed</w:t>
      </w:r>
      <w:r>
        <w:rPr>
          <w:lang w:val="en-GB"/>
        </w:rPr>
        <w:t xml:space="preserve"> their studies</w:t>
      </w:r>
      <w:r w:rsidR="003973F8" w:rsidRPr="00F24E4A">
        <w:rPr>
          <w:lang w:val="en-GB"/>
        </w:rPr>
        <w:t xml:space="preserve"> and submitted their application for </w:t>
      </w:r>
      <w:r>
        <w:rPr>
          <w:lang w:val="en-GB"/>
        </w:rPr>
        <w:t>g</w:t>
      </w:r>
      <w:r w:rsidR="003973F8" w:rsidRPr="00F24E4A">
        <w:rPr>
          <w:lang w:val="en-GB"/>
        </w:rPr>
        <w:t>raduation</w:t>
      </w:r>
      <w:r w:rsidR="00135EA7">
        <w:rPr>
          <w:lang w:val="en-GB"/>
        </w:rPr>
        <w:t>.</w:t>
      </w:r>
      <w:r w:rsidR="003973F8" w:rsidRPr="00F24E4A">
        <w:rPr>
          <w:lang w:val="en-GB"/>
        </w:rPr>
        <w:t xml:space="preserve"> </w:t>
      </w:r>
    </w:p>
    <w:p w14:paraId="530F3DCD" w14:textId="77777777" w:rsidR="003C5362" w:rsidRPr="00F24E4A" w:rsidRDefault="003C5362" w:rsidP="0015435E">
      <w:pPr>
        <w:pStyle w:val="Bodytext11"/>
        <w:spacing w:after="0"/>
        <w:rPr>
          <w:lang w:val="en-GB"/>
        </w:rPr>
      </w:pPr>
    </w:p>
    <w:p w14:paraId="142DD27C" w14:textId="3403DB4A" w:rsidR="003973F8" w:rsidRPr="00413324" w:rsidRDefault="00D72ED4" w:rsidP="00413324">
      <w:pPr>
        <w:pStyle w:val="Heading2"/>
        <w:numPr>
          <w:ilvl w:val="0"/>
          <w:numId w:val="19"/>
        </w:numPr>
        <w:shd w:val="clear" w:color="auto" w:fill="B4C6E7" w:themeFill="accent1" w:themeFillTint="66"/>
        <w:ind w:hanging="720"/>
        <w:rPr>
          <w:rFonts w:asciiTheme="minorHAnsi" w:hAnsiTheme="minorHAnsi" w:cstheme="minorHAnsi"/>
          <w:b/>
          <w:bCs/>
          <w:color w:val="1F4E79" w:themeColor="accent5" w:themeShade="80"/>
          <w:sz w:val="24"/>
          <w:szCs w:val="24"/>
        </w:rPr>
      </w:pPr>
      <w:bookmarkStart w:id="27" w:name="_Toc49858092"/>
      <w:r w:rsidRPr="00413324">
        <w:rPr>
          <w:rFonts w:asciiTheme="minorHAnsi" w:hAnsiTheme="minorHAnsi" w:cstheme="minorHAnsi"/>
          <w:b/>
          <w:bCs/>
          <w:color w:val="1F4E79" w:themeColor="accent5" w:themeShade="80"/>
          <w:sz w:val="24"/>
          <w:szCs w:val="24"/>
        </w:rPr>
        <w:t>Management Systems General Findings</w:t>
      </w:r>
      <w:bookmarkEnd w:id="27"/>
    </w:p>
    <w:p w14:paraId="3CF09F7C" w14:textId="3B7B8497" w:rsidR="003973F8" w:rsidRDefault="003973F8" w:rsidP="0015435E">
      <w:pPr>
        <w:pStyle w:val="Bodytext11"/>
        <w:numPr>
          <w:ilvl w:val="0"/>
          <w:numId w:val="7"/>
        </w:numPr>
        <w:ind w:left="426"/>
        <w:rPr>
          <w:lang w:val="en-AU"/>
        </w:rPr>
      </w:pPr>
      <w:r w:rsidRPr="008F24BA">
        <w:rPr>
          <w:lang w:val="en-AU"/>
        </w:rPr>
        <w:t xml:space="preserve">MEHRD has continued to make significant progress in improving Solomon Islands </w:t>
      </w:r>
      <w:r w:rsidR="0092324B">
        <w:rPr>
          <w:lang w:val="en-AU"/>
        </w:rPr>
        <w:t xml:space="preserve">education </w:t>
      </w:r>
      <w:r w:rsidRPr="008F24BA">
        <w:rPr>
          <w:lang w:val="en-AU"/>
        </w:rPr>
        <w:t xml:space="preserve">management systems and </w:t>
      </w:r>
      <w:r w:rsidR="00954EC3">
        <w:rPr>
          <w:lang w:val="en-AU"/>
        </w:rPr>
        <w:t xml:space="preserve">is </w:t>
      </w:r>
      <w:r w:rsidRPr="008F24BA">
        <w:rPr>
          <w:lang w:val="en-AU"/>
        </w:rPr>
        <w:t>on track to achieve related NEAP outcomes.</w:t>
      </w:r>
      <w:r>
        <w:rPr>
          <w:lang w:val="en-AU"/>
        </w:rPr>
        <w:t xml:space="preserve"> MEHRD’s M&amp;E Theory of Change assumes that improved education management (schools, EAs and MEHRD) will create a strong foundation and environment to support improved quality of education and lead to increased access and retention of students. It is therefore logical that improvements in management will advance at a faster rate than improvements in quality and access. In 2019 there were good signs that the Theory of Change assumption regarding management is proving correct, especially in terms of the improved quality of education.</w:t>
      </w:r>
      <w:r w:rsidRPr="008F24BA">
        <w:rPr>
          <w:lang w:val="en-AU"/>
        </w:rPr>
        <w:t xml:space="preserve"> </w:t>
      </w:r>
    </w:p>
    <w:p w14:paraId="14D844FD" w14:textId="23CFA670" w:rsidR="00587BAF" w:rsidRPr="00587BAF" w:rsidRDefault="00587BAF" w:rsidP="0015435E">
      <w:pPr>
        <w:pStyle w:val="Bodytext11"/>
        <w:numPr>
          <w:ilvl w:val="0"/>
          <w:numId w:val="7"/>
        </w:numPr>
        <w:spacing w:before="240"/>
        <w:ind w:left="426"/>
        <w:rPr>
          <w:lang w:val="en-AU"/>
        </w:rPr>
      </w:pPr>
      <w:r>
        <w:rPr>
          <w:lang w:val="en-AU"/>
        </w:rPr>
        <w:t>T</w:t>
      </w:r>
      <w:r w:rsidRPr="00587BAF">
        <w:rPr>
          <w:lang w:val="en-AU"/>
        </w:rPr>
        <w:t xml:space="preserve">here has been some good engagement between EAs and MEHRD </w:t>
      </w:r>
      <w:r w:rsidR="00D14BF5">
        <w:rPr>
          <w:lang w:val="en-AU"/>
        </w:rPr>
        <w:t>during</w:t>
      </w:r>
      <w:r w:rsidRPr="00587BAF">
        <w:rPr>
          <w:lang w:val="en-AU"/>
        </w:rPr>
        <w:t xml:space="preserve"> 2019, </w:t>
      </w:r>
      <w:r w:rsidR="00D14BF5">
        <w:rPr>
          <w:lang w:val="en-AU"/>
        </w:rPr>
        <w:t xml:space="preserve">and </w:t>
      </w:r>
      <w:proofErr w:type="gramStart"/>
      <w:r w:rsidR="00D14BF5">
        <w:rPr>
          <w:lang w:val="en-AU"/>
        </w:rPr>
        <w:t xml:space="preserve">in </w:t>
      </w:r>
      <w:r w:rsidRPr="00587BAF">
        <w:rPr>
          <w:lang w:val="en-AU"/>
        </w:rPr>
        <w:t xml:space="preserve"> early</w:t>
      </w:r>
      <w:proofErr w:type="gramEnd"/>
      <w:r w:rsidRPr="00587BAF">
        <w:rPr>
          <w:lang w:val="en-AU"/>
        </w:rPr>
        <w:t xml:space="preserve"> 2020. Examples </w:t>
      </w:r>
      <w:r>
        <w:rPr>
          <w:lang w:val="en-AU"/>
        </w:rPr>
        <w:t>include the development of</w:t>
      </w:r>
      <w:r w:rsidRPr="00587BAF">
        <w:rPr>
          <w:lang w:val="en-AU"/>
        </w:rPr>
        <w:t xml:space="preserve"> shared goals and activities in AWPs</w:t>
      </w:r>
      <w:r>
        <w:rPr>
          <w:lang w:val="en-AU"/>
        </w:rPr>
        <w:t xml:space="preserve"> and the rapid cross-divisional planning and response to the SISEE phase out in 2019 and more recently the </w:t>
      </w:r>
      <w:r w:rsidR="00FC0016">
        <w:rPr>
          <w:lang w:val="en-AU"/>
        </w:rPr>
        <w:t>COVID-19</w:t>
      </w:r>
      <w:r>
        <w:rPr>
          <w:lang w:val="en-AU"/>
        </w:rPr>
        <w:t xml:space="preserve"> pandemic situation.</w:t>
      </w:r>
    </w:p>
    <w:p w14:paraId="762339FA" w14:textId="404E2C1A" w:rsidR="003973F8" w:rsidRPr="004F0780" w:rsidRDefault="003973F8" w:rsidP="0015435E">
      <w:pPr>
        <w:pStyle w:val="Bodytext11"/>
        <w:numPr>
          <w:ilvl w:val="0"/>
          <w:numId w:val="7"/>
        </w:numPr>
        <w:ind w:left="426"/>
        <w:rPr>
          <w:lang w:val="en-AU"/>
        </w:rPr>
      </w:pPr>
      <w:r w:rsidRPr="004F0780">
        <w:rPr>
          <w:lang w:val="en-AU"/>
        </w:rPr>
        <w:t xml:space="preserve">Further progress was made in preparing the </w:t>
      </w:r>
      <w:r w:rsidR="002A100C">
        <w:rPr>
          <w:lang w:val="en-AU"/>
        </w:rPr>
        <w:t>draft</w:t>
      </w:r>
      <w:r w:rsidRPr="004F0780">
        <w:rPr>
          <w:lang w:val="en-AU"/>
        </w:rPr>
        <w:t xml:space="preserve"> Education Bill in readiness for consideration by the Government.  In August 2019, a final Education Bill Forum was successfully conducted with around 110 key stakeholders actively involved in providing feedback to refine the final draft Bill and inform the implementation plan. It had been planned to present the Bill before Parliament in November 2019 however, due to circumstances out of MEHRD’s control, this was postponed until 2020 and then further delayed due to the </w:t>
      </w:r>
      <w:r w:rsidR="00FC0016">
        <w:rPr>
          <w:lang w:val="en-AU"/>
        </w:rPr>
        <w:t>COVID-19</w:t>
      </w:r>
      <w:r w:rsidRPr="004F0780">
        <w:rPr>
          <w:lang w:val="en-AU"/>
        </w:rPr>
        <w:t xml:space="preserve"> pandemic.  </w:t>
      </w:r>
    </w:p>
    <w:p w14:paraId="4074152B" w14:textId="431B4151" w:rsidR="003973F8" w:rsidRPr="004F0780" w:rsidRDefault="003973F8" w:rsidP="0015435E">
      <w:pPr>
        <w:pStyle w:val="Bodytext11"/>
        <w:numPr>
          <w:ilvl w:val="0"/>
          <w:numId w:val="7"/>
        </w:numPr>
        <w:ind w:left="426"/>
        <w:rPr>
          <w:lang w:val="en-AU"/>
        </w:rPr>
      </w:pPr>
      <w:r w:rsidRPr="004F0780">
        <w:rPr>
          <w:lang w:val="en-AU"/>
        </w:rPr>
        <w:t xml:space="preserve">Work is ongoing to develop associated </w:t>
      </w:r>
      <w:r w:rsidR="0092324B" w:rsidRPr="004F0780">
        <w:rPr>
          <w:lang w:val="en-AU"/>
        </w:rPr>
        <w:t>secondary</w:t>
      </w:r>
      <w:r w:rsidRPr="004F0780">
        <w:rPr>
          <w:lang w:val="en-AU"/>
        </w:rPr>
        <w:t xml:space="preserve"> documents that help translate the Bill </w:t>
      </w:r>
      <w:r w:rsidR="0092324B">
        <w:rPr>
          <w:lang w:val="en-AU"/>
        </w:rPr>
        <w:t xml:space="preserve">and </w:t>
      </w:r>
      <w:r w:rsidRPr="004F0780">
        <w:rPr>
          <w:lang w:val="en-AU"/>
        </w:rPr>
        <w:t>form part of the legislative framework</w:t>
      </w:r>
      <w:r w:rsidR="0092324B">
        <w:rPr>
          <w:lang w:val="en-AU"/>
        </w:rPr>
        <w:t xml:space="preserve">, </w:t>
      </w:r>
      <w:r w:rsidRPr="004F0780">
        <w:rPr>
          <w:lang w:val="en-AU"/>
        </w:rPr>
        <w:t>provid</w:t>
      </w:r>
      <w:r w:rsidR="0092324B">
        <w:rPr>
          <w:lang w:val="en-AU"/>
        </w:rPr>
        <w:t>ing</w:t>
      </w:r>
      <w:r w:rsidRPr="004F0780">
        <w:rPr>
          <w:lang w:val="en-AU"/>
        </w:rPr>
        <w:t xml:space="preserve"> more explicit instructions to education stakeholders. This includes Regulations and Funding Codes addressing school and Education Authority grants and </w:t>
      </w:r>
      <w:r w:rsidR="002A100C">
        <w:rPr>
          <w:lang w:val="en-AU"/>
        </w:rPr>
        <w:t xml:space="preserve">incorporating the revised </w:t>
      </w:r>
      <w:r w:rsidRPr="004F0780">
        <w:rPr>
          <w:lang w:val="en-AU"/>
        </w:rPr>
        <w:t xml:space="preserve">Teachers Scheme of Service. Administrative Instructions from the Permanent Secretary to relevant stakeholders will form a key component to enable implementation of the legal requirements, </w:t>
      </w:r>
      <w:proofErr w:type="gramStart"/>
      <w:r w:rsidRPr="004F0780">
        <w:rPr>
          <w:lang w:val="en-AU"/>
        </w:rPr>
        <w:t>procedures</w:t>
      </w:r>
      <w:proofErr w:type="gramEnd"/>
      <w:r w:rsidRPr="004F0780">
        <w:rPr>
          <w:lang w:val="en-AU"/>
        </w:rPr>
        <w:t xml:space="preserve"> and processes. </w:t>
      </w:r>
    </w:p>
    <w:p w14:paraId="4A2722AC" w14:textId="7030EA02" w:rsidR="003973F8" w:rsidRPr="004F0780" w:rsidRDefault="003973F8" w:rsidP="0015435E">
      <w:pPr>
        <w:pStyle w:val="Bodytext11"/>
        <w:numPr>
          <w:ilvl w:val="0"/>
          <w:numId w:val="7"/>
        </w:numPr>
        <w:ind w:left="426"/>
        <w:rPr>
          <w:lang w:val="en-AU"/>
        </w:rPr>
      </w:pPr>
      <w:r w:rsidRPr="004F0780">
        <w:rPr>
          <w:lang w:val="en-AU"/>
        </w:rPr>
        <w:t xml:space="preserve">In February 2019 work began on reviewing the Teachers Scheme of Service (TSOS) and developing a more equitable remuneration framework that also provided a career path for teachers and school leaders. The TSOS working group developed a system that considered factors for remunerating Teachers and School Leaders with meeting the Standards for Teachers and /or School Leaders being one of the factors. The Scheme has been </w:t>
      </w:r>
      <w:r w:rsidR="004A4B93" w:rsidRPr="004F0780">
        <w:rPr>
          <w:lang w:val="en-AU"/>
        </w:rPr>
        <w:t>drafted</w:t>
      </w:r>
      <w:r w:rsidR="004A4B93">
        <w:rPr>
          <w:lang w:val="en-AU"/>
        </w:rPr>
        <w:t xml:space="preserve"> but</w:t>
      </w:r>
      <w:r w:rsidR="002A100C">
        <w:rPr>
          <w:lang w:val="en-AU"/>
        </w:rPr>
        <w:t xml:space="preserve"> is</w:t>
      </w:r>
      <w:r w:rsidRPr="004F0780">
        <w:rPr>
          <w:lang w:val="en-AU"/>
        </w:rPr>
        <w:t xml:space="preserve"> </w:t>
      </w:r>
      <w:r w:rsidR="00E3008B" w:rsidRPr="004F0780">
        <w:rPr>
          <w:lang w:val="en-AU"/>
        </w:rPr>
        <w:t>yet</w:t>
      </w:r>
      <w:r w:rsidR="0092324B">
        <w:rPr>
          <w:lang w:val="en-AU"/>
        </w:rPr>
        <w:t xml:space="preserve"> to be</w:t>
      </w:r>
      <w:r w:rsidRPr="004F0780">
        <w:rPr>
          <w:lang w:val="en-AU"/>
        </w:rPr>
        <w:t xml:space="preserve"> costed or fully discussed with major stakeholders. </w:t>
      </w:r>
      <w:r w:rsidR="00261904">
        <w:rPr>
          <w:lang w:val="en-AU"/>
        </w:rPr>
        <w:t xml:space="preserve">It also requires approval from the Minster once costed due to the potential financial implications for SIG. </w:t>
      </w:r>
      <w:r w:rsidRPr="004F0780">
        <w:rPr>
          <w:lang w:val="en-AU"/>
        </w:rPr>
        <w:t xml:space="preserve">This will be undertaken in 2020. </w:t>
      </w:r>
      <w:r w:rsidR="002A100C">
        <w:rPr>
          <w:lang w:val="en-AU"/>
        </w:rPr>
        <w:t>The new t</w:t>
      </w:r>
      <w:r w:rsidRPr="004F0780">
        <w:rPr>
          <w:lang w:val="en-AU"/>
        </w:rPr>
        <w:t xml:space="preserve">eacher registration process was successfully completed </w:t>
      </w:r>
      <w:r w:rsidR="002A100C">
        <w:rPr>
          <w:lang w:val="en-AU"/>
        </w:rPr>
        <w:t xml:space="preserve">in 2019 </w:t>
      </w:r>
      <w:r w:rsidRPr="004F0780">
        <w:rPr>
          <w:lang w:val="en-AU"/>
        </w:rPr>
        <w:t xml:space="preserve">with all newly probationary and appointed teachers </w:t>
      </w:r>
      <w:r w:rsidR="00261904">
        <w:rPr>
          <w:lang w:val="en-AU"/>
        </w:rPr>
        <w:t>confirmed by the</w:t>
      </w:r>
      <w:r w:rsidRPr="004F0780">
        <w:rPr>
          <w:lang w:val="en-AU"/>
        </w:rPr>
        <w:t xml:space="preserve"> Teaching Service Commission. </w:t>
      </w:r>
    </w:p>
    <w:p w14:paraId="5A6A0DA7" w14:textId="2DC7FCA1" w:rsidR="003973F8" w:rsidRDefault="003973F8" w:rsidP="0015435E">
      <w:pPr>
        <w:pStyle w:val="Bodytext11"/>
        <w:numPr>
          <w:ilvl w:val="0"/>
          <w:numId w:val="7"/>
        </w:numPr>
        <w:ind w:left="426"/>
        <w:rPr>
          <w:lang w:val="en-AU"/>
        </w:rPr>
      </w:pPr>
      <w:r>
        <w:rPr>
          <w:lang w:val="en-AU"/>
        </w:rPr>
        <w:t>The proposed</w:t>
      </w:r>
      <w:r w:rsidRPr="00146650">
        <w:rPr>
          <w:lang w:val="en-AU"/>
        </w:rPr>
        <w:t xml:space="preserve"> Teacher Supply and Demand Study was </w:t>
      </w:r>
      <w:r>
        <w:rPr>
          <w:lang w:val="en-AU"/>
        </w:rPr>
        <w:t xml:space="preserve">once again </w:t>
      </w:r>
      <w:r w:rsidRPr="00146650">
        <w:rPr>
          <w:lang w:val="en-AU"/>
        </w:rPr>
        <w:t xml:space="preserve">delayed due to the need to </w:t>
      </w:r>
      <w:r w:rsidR="002A100C">
        <w:rPr>
          <w:lang w:val="en-AU"/>
        </w:rPr>
        <w:t xml:space="preserve">first </w:t>
      </w:r>
      <w:r w:rsidRPr="00146650">
        <w:rPr>
          <w:lang w:val="en-AU"/>
        </w:rPr>
        <w:t>complete</w:t>
      </w:r>
      <w:r w:rsidR="00494E5C">
        <w:rPr>
          <w:lang w:val="en-AU"/>
        </w:rPr>
        <w:t xml:space="preserve"> </w:t>
      </w:r>
      <w:r w:rsidRPr="00146650">
        <w:rPr>
          <w:lang w:val="en-AU"/>
        </w:rPr>
        <w:t>the T</w:t>
      </w:r>
      <w:r w:rsidR="00194D64">
        <w:rPr>
          <w:lang w:val="en-AU"/>
        </w:rPr>
        <w:t xml:space="preserve">eacher’s </w:t>
      </w:r>
      <w:r w:rsidRPr="00146650">
        <w:rPr>
          <w:lang w:val="en-AU"/>
        </w:rPr>
        <w:t>S</w:t>
      </w:r>
      <w:r w:rsidR="00194D64">
        <w:rPr>
          <w:lang w:val="en-AU"/>
        </w:rPr>
        <w:t xml:space="preserve">cheme of </w:t>
      </w:r>
      <w:r w:rsidRPr="00146650">
        <w:rPr>
          <w:lang w:val="en-AU"/>
        </w:rPr>
        <w:t>S</w:t>
      </w:r>
      <w:r w:rsidR="00194D64">
        <w:rPr>
          <w:lang w:val="en-AU"/>
        </w:rPr>
        <w:t>ervice (TSOS)</w:t>
      </w:r>
      <w:r>
        <w:rPr>
          <w:lang w:val="en-AU"/>
        </w:rPr>
        <w:t>, including costings,</w:t>
      </w:r>
      <w:r w:rsidRPr="00146650">
        <w:rPr>
          <w:lang w:val="en-AU"/>
        </w:rPr>
        <w:t xml:space="preserve"> </w:t>
      </w:r>
      <w:r>
        <w:rPr>
          <w:lang w:val="en-AU"/>
        </w:rPr>
        <w:t>before undertaking the study</w:t>
      </w:r>
      <w:r w:rsidRPr="00146650">
        <w:rPr>
          <w:lang w:val="en-AU"/>
        </w:rPr>
        <w:t xml:space="preserve">. This activity was delayed while awaiting the revised Teachers </w:t>
      </w:r>
      <w:r w:rsidRPr="006D30F8">
        <w:rPr>
          <w:rFonts w:cstheme="minorHAnsi"/>
        </w:rPr>
        <w:t>Service Handbook and the T</w:t>
      </w:r>
      <w:r w:rsidR="00194D64">
        <w:rPr>
          <w:rFonts w:cstheme="minorHAnsi"/>
        </w:rPr>
        <w:t>SOS</w:t>
      </w:r>
      <w:r w:rsidR="008B3EEE">
        <w:rPr>
          <w:rFonts w:cstheme="minorHAnsi"/>
        </w:rPr>
        <w:t xml:space="preserve"> (</w:t>
      </w:r>
      <w:r w:rsidR="002A100C">
        <w:t xml:space="preserve">now forming </w:t>
      </w:r>
      <w:r w:rsidR="008B3EEE">
        <w:t>part of the new legislative framework)</w:t>
      </w:r>
      <w:r w:rsidRPr="006D30F8">
        <w:rPr>
          <w:rFonts w:cstheme="minorHAnsi"/>
        </w:rPr>
        <w:t>, which will set a new staffing formula for all school sub sectors, revised</w:t>
      </w:r>
      <w:r w:rsidRPr="00146650">
        <w:rPr>
          <w:lang w:val="en-AU"/>
        </w:rPr>
        <w:t xml:space="preserve"> salary grading levels based on a career progression model for teachers and subject/teacher allocations per workload for all sub sectors. </w:t>
      </w:r>
      <w:r>
        <w:rPr>
          <w:lang w:val="en-AU"/>
        </w:rPr>
        <w:t>Development of the TSOS was undertaken in collaboration and alignment to the development of the draft Education Bill.</w:t>
      </w:r>
    </w:p>
    <w:p w14:paraId="6D2118EC" w14:textId="7259F3F5" w:rsidR="004F0780" w:rsidRDefault="003973F8" w:rsidP="0015435E">
      <w:pPr>
        <w:pStyle w:val="Bodytext11"/>
        <w:numPr>
          <w:ilvl w:val="0"/>
          <w:numId w:val="7"/>
        </w:numPr>
        <w:ind w:left="426"/>
        <w:rPr>
          <w:lang w:val="en-AU"/>
        </w:rPr>
      </w:pPr>
      <w:r>
        <w:rPr>
          <w:lang w:val="en-AU"/>
        </w:rPr>
        <w:t>The s</w:t>
      </w:r>
      <w:r w:rsidRPr="006346C4">
        <w:rPr>
          <w:lang w:val="en-AU"/>
        </w:rPr>
        <w:t xml:space="preserve">chool grants process continues to be underutilised with </w:t>
      </w:r>
      <w:r w:rsidR="006A3BD9">
        <w:rPr>
          <w:lang w:val="en-AU"/>
        </w:rPr>
        <w:t>m</w:t>
      </w:r>
      <w:r w:rsidR="004F0780">
        <w:rPr>
          <w:lang w:val="en-AU"/>
        </w:rPr>
        <w:t xml:space="preserve">any </w:t>
      </w:r>
      <w:r w:rsidRPr="006346C4">
        <w:rPr>
          <w:lang w:val="en-AU"/>
        </w:rPr>
        <w:t>retirements late or not done at all leading to schools and EAs missing out on finances and much needed resources to provide a quality education for children.</w:t>
      </w:r>
      <w:r>
        <w:rPr>
          <w:color w:val="FF0000"/>
          <w:lang w:val="en-AU"/>
        </w:rPr>
        <w:t xml:space="preserve"> </w:t>
      </w:r>
      <w:r w:rsidR="001C6A23">
        <w:rPr>
          <w:lang w:val="en-AU"/>
        </w:rPr>
        <w:t xml:space="preserve">A low level of financial literacy at the school level is a probable key cause. </w:t>
      </w:r>
      <w:r w:rsidRPr="006346C4">
        <w:rPr>
          <w:lang w:val="en-AU"/>
        </w:rPr>
        <w:t>In the longer term</w:t>
      </w:r>
      <w:r>
        <w:rPr>
          <w:lang w:val="en-AU"/>
        </w:rPr>
        <w:t xml:space="preserve"> t</w:t>
      </w:r>
      <w:r w:rsidRPr="006346C4">
        <w:rPr>
          <w:lang w:val="en-AU"/>
        </w:rPr>
        <w:t xml:space="preserve">he proposed new Education Bill </w:t>
      </w:r>
      <w:r w:rsidR="002A100C">
        <w:rPr>
          <w:lang w:val="en-AU"/>
        </w:rPr>
        <w:t xml:space="preserve">and the new associated Funding Code </w:t>
      </w:r>
      <w:r w:rsidRPr="006346C4">
        <w:rPr>
          <w:lang w:val="en-AU"/>
        </w:rPr>
        <w:t>will reform and streamline the grants process and address the inequities. In the short to medium term, a continued focus on improving school and EA financial management is expected to improve financial literacy</w:t>
      </w:r>
      <w:r w:rsidR="002A100C">
        <w:rPr>
          <w:lang w:val="en-AU"/>
        </w:rPr>
        <w:t xml:space="preserve"> and thus the ability to report on the annual school grants</w:t>
      </w:r>
      <w:r w:rsidRPr="006346C4">
        <w:rPr>
          <w:lang w:val="en-AU"/>
        </w:rPr>
        <w:t xml:space="preserve">. </w:t>
      </w:r>
    </w:p>
    <w:p w14:paraId="6046D44C" w14:textId="68DA4A5B" w:rsidR="00FA7735" w:rsidRPr="00DE096E" w:rsidRDefault="003973F8" w:rsidP="0015435E">
      <w:pPr>
        <w:pStyle w:val="Bodytext11"/>
        <w:numPr>
          <w:ilvl w:val="0"/>
          <w:numId w:val="7"/>
        </w:numPr>
        <w:ind w:left="426"/>
        <w:rPr>
          <w:lang w:val="en-AU"/>
        </w:rPr>
      </w:pPr>
      <w:r>
        <w:rPr>
          <w:lang w:val="en-AU"/>
        </w:rPr>
        <w:t>The percentage of disbursements to schools of the first yearly school grants in 2019 decreased marginally from the previous year (95.8% in 2019, 96.3% in 2018)</w:t>
      </w:r>
      <w:r w:rsidR="001C6A23">
        <w:rPr>
          <w:lang w:val="en-AU"/>
        </w:rPr>
        <w:t>.</w:t>
      </w:r>
      <w:r>
        <w:rPr>
          <w:lang w:val="en-AU"/>
        </w:rPr>
        <w:t xml:space="preserve"> A substantial increase of over 30% (</w:t>
      </w:r>
      <w:r w:rsidR="00494E5C">
        <w:rPr>
          <w:lang w:val="en-AU"/>
        </w:rPr>
        <w:t xml:space="preserve">60% in 2018 to </w:t>
      </w:r>
      <w:r>
        <w:rPr>
          <w:lang w:val="en-AU"/>
        </w:rPr>
        <w:t>92.9% in 2019,) is a significant improvement</w:t>
      </w:r>
      <w:r w:rsidR="00927939">
        <w:rPr>
          <w:lang w:val="en-AU"/>
        </w:rPr>
        <w:t xml:space="preserve"> in 2</w:t>
      </w:r>
      <w:r w:rsidR="00927939" w:rsidRPr="00927939">
        <w:rPr>
          <w:vertAlign w:val="superscript"/>
          <w:lang w:val="en-AU"/>
        </w:rPr>
        <w:t>nd</w:t>
      </w:r>
      <w:r w:rsidR="00927939">
        <w:rPr>
          <w:lang w:val="en-AU"/>
        </w:rPr>
        <w:t xml:space="preserve"> Biannual disbursements</w:t>
      </w:r>
      <w:r w:rsidR="009C50E2">
        <w:rPr>
          <w:lang w:val="en-AU"/>
        </w:rPr>
        <w:t xml:space="preserve">. </w:t>
      </w:r>
      <w:r w:rsidRPr="001274AD">
        <w:t>A continued steady increase in grants expenditure over the last four years and grant expenditure per student has remained about equal in the last t</w:t>
      </w:r>
      <w:r>
        <w:t>hree</w:t>
      </w:r>
      <w:r w:rsidRPr="001274AD">
        <w:t xml:space="preserve"> years in constant </w:t>
      </w:r>
      <w:r w:rsidRPr="001274AD">
        <w:rPr>
          <w:lang w:val="en-AU"/>
        </w:rPr>
        <w:t>prices.</w:t>
      </w:r>
    </w:p>
    <w:p w14:paraId="16BD16D6" w14:textId="6C336F79" w:rsidR="003973F8" w:rsidRDefault="003973F8" w:rsidP="0076475C">
      <w:pPr>
        <w:pStyle w:val="Bodytext11"/>
        <w:numPr>
          <w:ilvl w:val="0"/>
          <w:numId w:val="7"/>
        </w:numPr>
        <w:ind w:left="425" w:hanging="357"/>
        <w:rPr>
          <w:lang w:val="en-AU"/>
        </w:rPr>
      </w:pPr>
      <w:r w:rsidRPr="005C4813">
        <w:rPr>
          <w:lang w:val="en-AU"/>
        </w:rPr>
        <w:t xml:space="preserve">MEHRD developed and commenced implementation of an ICT in Education Master Plan 2019 – 2023 in 2019. This is a significant initial step forward in shifting towards a more efficient and </w:t>
      </w:r>
      <w:r w:rsidR="00843C7E">
        <w:rPr>
          <w:lang w:val="en-AU"/>
        </w:rPr>
        <w:t>accessible</w:t>
      </w:r>
      <w:r w:rsidRPr="005C4813">
        <w:rPr>
          <w:lang w:val="en-AU"/>
        </w:rPr>
        <w:t xml:space="preserve"> education system. A key component of the plan is the transition to an open-source solution management information system and will allow MEHRD’s Information Service (IS) Division to develop and maintain EMIS to support the Ministry’s, Education Authorities (EA) and </w:t>
      </w:r>
      <w:r w:rsidR="002A100C">
        <w:rPr>
          <w:lang w:val="en-AU"/>
        </w:rPr>
        <w:t>s</w:t>
      </w:r>
      <w:r w:rsidRPr="005C4813">
        <w:rPr>
          <w:lang w:val="en-AU"/>
        </w:rPr>
        <w:t xml:space="preserve">chools evolving information needs. Access will be provided at differing levels to MEHRD staff, EAs and schools to enter data and access data in real time. Another component </w:t>
      </w:r>
      <w:r w:rsidR="002A100C">
        <w:rPr>
          <w:lang w:val="en-AU"/>
        </w:rPr>
        <w:t xml:space="preserve">of the ICT Master plan </w:t>
      </w:r>
      <w:r w:rsidRPr="005C4813">
        <w:rPr>
          <w:lang w:val="en-AU"/>
        </w:rPr>
        <w:t xml:space="preserve">is the development of </w:t>
      </w:r>
      <w:proofErr w:type="spellStart"/>
      <w:r w:rsidRPr="005C4813">
        <w:rPr>
          <w:lang w:val="en-AU"/>
        </w:rPr>
        <w:t>iResources</w:t>
      </w:r>
      <w:proofErr w:type="spellEnd"/>
      <w:r w:rsidRPr="005C4813">
        <w:rPr>
          <w:lang w:val="en-AU"/>
        </w:rPr>
        <w:t xml:space="preserve"> providing </w:t>
      </w:r>
      <w:r w:rsidR="002A100C">
        <w:rPr>
          <w:lang w:val="en-AU"/>
        </w:rPr>
        <w:t xml:space="preserve">online </w:t>
      </w:r>
      <w:r w:rsidRPr="005C4813">
        <w:rPr>
          <w:lang w:val="en-AU"/>
        </w:rPr>
        <w:t>access to an ever-increasing array of teaching and learning resources. The recent establishment of the undersea cable will provide the opportunity for more schools, students and EAs to have reliable, faster (and hopefully cheaper) internet access.</w:t>
      </w:r>
    </w:p>
    <w:p w14:paraId="571D7DBB" w14:textId="031405A5" w:rsidR="0076475C" w:rsidRPr="008278B2" w:rsidRDefault="00CA3E1E" w:rsidP="008278B2">
      <w:pPr>
        <w:pStyle w:val="Bodytext11"/>
        <w:numPr>
          <w:ilvl w:val="0"/>
          <w:numId w:val="7"/>
        </w:numPr>
        <w:spacing w:before="240" w:after="240"/>
        <w:ind w:left="425" w:hanging="357"/>
        <w:rPr>
          <w:lang w:val="en-AU"/>
        </w:rPr>
      </w:pPr>
      <w:r w:rsidRPr="00CA3E1E">
        <w:rPr>
          <w:lang w:val="en-AU"/>
        </w:rPr>
        <w:t>3</w:t>
      </w:r>
      <w:r w:rsidR="009228CD">
        <w:rPr>
          <w:lang w:val="en-AU"/>
        </w:rPr>
        <w:t>4</w:t>
      </w:r>
      <w:r w:rsidRPr="00CA3E1E">
        <w:rPr>
          <w:lang w:val="en-AU"/>
        </w:rPr>
        <w:t xml:space="preserve">% </w:t>
      </w:r>
      <w:r w:rsidR="003973F8" w:rsidRPr="00CA3E1E">
        <w:rPr>
          <w:lang w:val="en-AU"/>
        </w:rPr>
        <w:t xml:space="preserve">of total SIG recurrent expenditure was allocated to the education sector. </w:t>
      </w:r>
      <w:r>
        <w:rPr>
          <w:lang w:val="en-AU"/>
        </w:rPr>
        <w:t xml:space="preserve">This is a drop from last </w:t>
      </w:r>
      <w:r w:rsidR="000F2042">
        <w:rPr>
          <w:lang w:val="en-AU"/>
        </w:rPr>
        <w:t>year’s</w:t>
      </w:r>
      <w:r>
        <w:rPr>
          <w:lang w:val="en-AU"/>
        </w:rPr>
        <w:t xml:space="preserve"> expenditure of 3</w:t>
      </w:r>
      <w:r w:rsidR="009C50E2">
        <w:rPr>
          <w:lang w:val="en-AU"/>
        </w:rPr>
        <w:t>9</w:t>
      </w:r>
      <w:r>
        <w:rPr>
          <w:lang w:val="en-AU"/>
        </w:rPr>
        <w:t>%</w:t>
      </w:r>
      <w:r w:rsidR="00B62F9E">
        <w:rPr>
          <w:lang w:val="en-AU"/>
        </w:rPr>
        <w:t xml:space="preserve"> but still significantly higher than many governments spend on education</w:t>
      </w:r>
      <w:r w:rsidR="0010209B">
        <w:rPr>
          <w:lang w:val="en-AU"/>
        </w:rPr>
        <w:t xml:space="preserve">. This is </w:t>
      </w:r>
      <w:r>
        <w:rPr>
          <w:lang w:val="en-AU"/>
        </w:rPr>
        <w:t xml:space="preserve">an indication of the government’s continued commitment to support education, especially during </w:t>
      </w:r>
      <w:r w:rsidR="00A05C00">
        <w:rPr>
          <w:lang w:val="en-AU"/>
        </w:rPr>
        <w:t xml:space="preserve">this </w:t>
      </w:r>
      <w:r>
        <w:rPr>
          <w:lang w:val="en-AU"/>
        </w:rPr>
        <w:t>difficult economic period for Solomon Islands.</w:t>
      </w:r>
    </w:p>
    <w:p w14:paraId="11EC3384" w14:textId="3A082F26" w:rsidR="00D72ED4" w:rsidRPr="00413324" w:rsidRDefault="00D72ED4" w:rsidP="00413324">
      <w:pPr>
        <w:pStyle w:val="Heading2"/>
        <w:numPr>
          <w:ilvl w:val="0"/>
          <w:numId w:val="19"/>
        </w:numPr>
        <w:shd w:val="clear" w:color="auto" w:fill="B4C6E7" w:themeFill="accent1" w:themeFillTint="66"/>
        <w:ind w:hanging="720"/>
        <w:rPr>
          <w:rFonts w:asciiTheme="minorHAnsi" w:hAnsiTheme="minorHAnsi" w:cstheme="minorHAnsi"/>
          <w:b/>
          <w:bCs/>
          <w:color w:val="1F4E79" w:themeColor="accent5" w:themeShade="80"/>
          <w:sz w:val="24"/>
          <w:szCs w:val="24"/>
        </w:rPr>
      </w:pPr>
      <w:bookmarkStart w:id="28" w:name="_Toc49858093"/>
      <w:r w:rsidRPr="00413324">
        <w:rPr>
          <w:rFonts w:asciiTheme="minorHAnsi" w:hAnsiTheme="minorHAnsi" w:cstheme="minorHAnsi"/>
          <w:b/>
          <w:bCs/>
          <w:color w:val="1F4E79" w:themeColor="accent5" w:themeShade="80"/>
          <w:sz w:val="24"/>
          <w:szCs w:val="24"/>
        </w:rPr>
        <w:t>Management Systems Indicator Assessment</w:t>
      </w:r>
      <w:bookmarkEnd w:id="28"/>
    </w:p>
    <w:p w14:paraId="579B7225" w14:textId="14238349" w:rsidR="003973F8" w:rsidRDefault="000F2042" w:rsidP="0015435E">
      <w:pPr>
        <w:pStyle w:val="Bodytext11"/>
        <w:spacing w:after="0"/>
        <w:rPr>
          <w:b/>
          <w:bCs/>
          <w:i/>
          <w:iCs/>
          <w:lang w:val="en-GB"/>
        </w:rPr>
      </w:pPr>
      <w:r w:rsidRPr="00EF7535">
        <w:rPr>
          <w:b/>
          <w:bCs/>
          <w:i/>
          <w:iCs/>
          <w:lang w:val="en-GB"/>
        </w:rPr>
        <w:t>3.1.1 At</w:t>
      </w:r>
      <w:r w:rsidR="003973F8" w:rsidRPr="00EF7535">
        <w:rPr>
          <w:b/>
          <w:bCs/>
          <w:i/>
          <w:iCs/>
          <w:lang w:val="en-GB"/>
        </w:rPr>
        <w:t xml:space="preserve"> least 65% of 2019 School grants are retired by 31 March 2020 (2019 Second Biannual)</w:t>
      </w:r>
    </w:p>
    <w:p w14:paraId="3170494F" w14:textId="3BB9219C" w:rsidR="006C376D" w:rsidRDefault="006C376D" w:rsidP="0015435E">
      <w:pPr>
        <w:pStyle w:val="Bodytext11"/>
        <w:spacing w:after="0"/>
        <w:rPr>
          <w:lang w:val="en-GB"/>
        </w:rPr>
      </w:pPr>
    </w:p>
    <w:tbl>
      <w:tblPr>
        <w:tblW w:w="76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40"/>
        <w:gridCol w:w="2410"/>
      </w:tblGrid>
      <w:tr w:rsidR="000B6EFE" w:rsidRPr="00CE1F20" w14:paraId="7468B4C8" w14:textId="77777777" w:rsidTr="00C26E6E">
        <w:trPr>
          <w:trHeight w:val="88"/>
        </w:trPr>
        <w:tc>
          <w:tcPr>
            <w:tcW w:w="5240" w:type="dxa"/>
            <w:tcBorders>
              <w:top w:val="single" w:sz="12" w:space="0" w:color="auto"/>
              <w:bottom w:val="single" w:sz="12" w:space="0" w:color="auto"/>
            </w:tcBorders>
            <w:shd w:val="clear" w:color="000000" w:fill="B4C6E7"/>
            <w:vAlign w:val="center"/>
            <w:hideMark/>
          </w:tcPr>
          <w:p w14:paraId="251B22F0" w14:textId="77777777" w:rsidR="000B6EFE" w:rsidRPr="00CE1F20" w:rsidRDefault="000B6EFE" w:rsidP="00C26E6E">
            <w:pPr>
              <w:spacing w:after="0" w:line="240" w:lineRule="auto"/>
              <w:jc w:val="center"/>
              <w:rPr>
                <w:rFonts w:asciiTheme="minorHAnsi" w:eastAsia="Times New Roman" w:hAnsiTheme="minorHAnsi" w:cstheme="minorHAnsi"/>
                <w:b/>
                <w:bCs/>
                <w:sz w:val="18"/>
                <w:szCs w:val="18"/>
                <w:lang w:val="en-AU" w:eastAsia="en-AU"/>
              </w:rPr>
            </w:pPr>
            <w:r w:rsidRPr="00CE1F20">
              <w:rPr>
                <w:rFonts w:asciiTheme="minorHAnsi" w:eastAsia="Times New Roman" w:hAnsiTheme="minorHAnsi" w:cstheme="minorHAnsi"/>
                <w:b/>
                <w:bCs/>
                <w:sz w:val="18"/>
                <w:szCs w:val="18"/>
                <w:lang w:val="en-AU" w:eastAsia="en-AU"/>
              </w:rPr>
              <w:t>Expected Results Statements</w:t>
            </w:r>
          </w:p>
        </w:tc>
        <w:tc>
          <w:tcPr>
            <w:tcW w:w="2410" w:type="dxa"/>
            <w:tcBorders>
              <w:top w:val="single" w:sz="12" w:space="0" w:color="auto"/>
              <w:bottom w:val="single" w:sz="12" w:space="0" w:color="auto"/>
            </w:tcBorders>
            <w:shd w:val="clear" w:color="000000" w:fill="B4C6E7"/>
            <w:noWrap/>
            <w:vAlign w:val="center"/>
            <w:hideMark/>
          </w:tcPr>
          <w:p w14:paraId="1D181BAB" w14:textId="4EF60572" w:rsidR="000B6EFE" w:rsidRPr="00CE1F20" w:rsidRDefault="000B6EFE" w:rsidP="0015435E">
            <w:pPr>
              <w:spacing w:after="0" w:line="240" w:lineRule="auto"/>
              <w:jc w:val="center"/>
              <w:rPr>
                <w:rFonts w:asciiTheme="minorHAnsi" w:eastAsia="Times New Roman" w:hAnsiTheme="minorHAnsi" w:cstheme="minorHAnsi"/>
                <w:b/>
                <w:bCs/>
                <w:sz w:val="18"/>
                <w:szCs w:val="18"/>
                <w:lang w:val="en-AU" w:eastAsia="en-AU"/>
              </w:rPr>
            </w:pPr>
            <w:r>
              <w:rPr>
                <w:rFonts w:asciiTheme="minorHAnsi" w:eastAsia="Times New Roman" w:hAnsiTheme="minorHAnsi" w:cstheme="minorHAnsi"/>
                <w:b/>
                <w:bCs/>
                <w:sz w:val="18"/>
                <w:szCs w:val="18"/>
                <w:lang w:val="en-AU" w:eastAsia="en-AU"/>
              </w:rPr>
              <w:t>Assessment</w:t>
            </w:r>
          </w:p>
        </w:tc>
      </w:tr>
      <w:tr w:rsidR="000B6EFE" w:rsidRPr="00CE1F20" w14:paraId="2C216597" w14:textId="77777777" w:rsidTr="00C26E6E">
        <w:trPr>
          <w:trHeight w:val="99"/>
        </w:trPr>
        <w:tc>
          <w:tcPr>
            <w:tcW w:w="5240" w:type="dxa"/>
            <w:tcBorders>
              <w:top w:val="single" w:sz="12" w:space="0" w:color="auto"/>
            </w:tcBorders>
            <w:shd w:val="clear" w:color="auto" w:fill="auto"/>
            <w:hideMark/>
          </w:tcPr>
          <w:p w14:paraId="020BBBC9" w14:textId="77777777" w:rsidR="000B6EFE" w:rsidRPr="00CE1F20" w:rsidRDefault="000B6EFE" w:rsidP="0015435E">
            <w:pPr>
              <w:spacing w:after="40" w:line="240" w:lineRule="auto"/>
              <w:rPr>
                <w:rFonts w:asciiTheme="minorHAnsi" w:eastAsia="Times New Roman" w:hAnsiTheme="minorHAnsi" w:cstheme="minorHAnsi"/>
                <w:iCs/>
                <w:color w:val="000000" w:themeColor="text1"/>
                <w:sz w:val="18"/>
                <w:szCs w:val="18"/>
                <w:lang w:val="en-AU"/>
              </w:rPr>
            </w:pPr>
            <w:bookmarkStart w:id="29" w:name="_Hlk48749887"/>
            <w:r w:rsidRPr="00CE1F20">
              <w:rPr>
                <w:rFonts w:asciiTheme="minorHAnsi" w:eastAsia="Times New Roman" w:hAnsiTheme="minorHAnsi" w:cstheme="minorHAnsi"/>
                <w:iCs/>
                <w:color w:val="000000" w:themeColor="text1"/>
                <w:sz w:val="18"/>
                <w:szCs w:val="18"/>
                <w:lang w:val="en-AU"/>
              </w:rPr>
              <w:t xml:space="preserve">MEHRD Acquittal report for Primary, Secondary, TVET as </w:t>
            </w:r>
            <w:proofErr w:type="gramStart"/>
            <w:r w:rsidRPr="00CE1F20">
              <w:rPr>
                <w:rFonts w:asciiTheme="minorHAnsi" w:eastAsia="Times New Roman" w:hAnsiTheme="minorHAnsi" w:cstheme="minorHAnsi"/>
                <w:iCs/>
                <w:color w:val="000000" w:themeColor="text1"/>
                <w:sz w:val="18"/>
                <w:szCs w:val="18"/>
                <w:lang w:val="en-AU"/>
              </w:rPr>
              <w:t>at</w:t>
            </w:r>
            <w:proofErr w:type="gramEnd"/>
            <w:r w:rsidRPr="00CE1F20">
              <w:rPr>
                <w:rFonts w:asciiTheme="minorHAnsi" w:eastAsia="Times New Roman" w:hAnsiTheme="minorHAnsi" w:cstheme="minorHAnsi"/>
                <w:iCs/>
                <w:color w:val="000000" w:themeColor="text1"/>
                <w:sz w:val="18"/>
                <w:szCs w:val="18"/>
                <w:lang w:val="en-AU"/>
              </w:rPr>
              <w:t xml:space="preserve"> 31 March 2020 – retirements (50%)</w:t>
            </w:r>
          </w:p>
          <w:p w14:paraId="172FBC67" w14:textId="77777777" w:rsidR="000B6EFE" w:rsidRPr="00CE1F20" w:rsidRDefault="000B6EFE" w:rsidP="0015435E">
            <w:pPr>
              <w:spacing w:after="0" w:line="240" w:lineRule="auto"/>
              <w:rPr>
                <w:rFonts w:asciiTheme="minorHAnsi" w:eastAsia="Times New Roman" w:hAnsiTheme="minorHAnsi" w:cstheme="minorHAnsi"/>
                <w:color w:val="000000"/>
                <w:sz w:val="18"/>
                <w:szCs w:val="18"/>
                <w:lang w:val="en-AU" w:eastAsia="en-AU"/>
              </w:rPr>
            </w:pPr>
          </w:p>
        </w:tc>
        <w:tc>
          <w:tcPr>
            <w:tcW w:w="2410" w:type="dxa"/>
            <w:tcBorders>
              <w:top w:val="single" w:sz="12" w:space="0" w:color="auto"/>
            </w:tcBorders>
            <w:shd w:val="clear" w:color="auto" w:fill="FFFFFF" w:themeFill="background1"/>
            <w:noWrap/>
            <w:hideMark/>
          </w:tcPr>
          <w:p w14:paraId="1D5B7F9C" w14:textId="3F482AD7" w:rsidR="000B6EFE" w:rsidRPr="00CE1F20" w:rsidRDefault="000B6EFE" w:rsidP="0015435E">
            <w:pPr>
              <w:spacing w:after="0" w:line="240" w:lineRule="auto"/>
              <w:jc w:val="center"/>
              <w:rPr>
                <w:rFonts w:asciiTheme="minorHAnsi" w:eastAsia="Times New Roman" w:hAnsiTheme="minorHAnsi" w:cstheme="minorHAnsi"/>
                <w:color w:val="000000"/>
                <w:sz w:val="18"/>
                <w:szCs w:val="18"/>
                <w:lang w:val="en-AU" w:eastAsia="en-AU"/>
              </w:rPr>
            </w:pPr>
            <w:r>
              <w:rPr>
                <w:rFonts w:asciiTheme="minorHAnsi" w:eastAsia="Times New Roman" w:hAnsiTheme="minorHAnsi" w:cstheme="minorHAnsi"/>
                <w:color w:val="000000"/>
                <w:sz w:val="18"/>
                <w:szCs w:val="18"/>
                <w:lang w:val="en-AU" w:eastAsia="en-AU"/>
              </w:rPr>
              <w:t>0% (of 50%)</w:t>
            </w:r>
          </w:p>
        </w:tc>
      </w:tr>
      <w:bookmarkEnd w:id="29"/>
    </w:tbl>
    <w:p w14:paraId="484B2335" w14:textId="77777777" w:rsidR="006C376D" w:rsidRPr="006C376D" w:rsidRDefault="006C376D" w:rsidP="0015435E">
      <w:pPr>
        <w:pStyle w:val="Bodytext11"/>
        <w:spacing w:after="0"/>
        <w:rPr>
          <w:lang w:val="en-GB"/>
        </w:rPr>
      </w:pPr>
    </w:p>
    <w:p w14:paraId="7E7639AA" w14:textId="77777777" w:rsidR="00F06CE2" w:rsidRDefault="000B6EFE" w:rsidP="0015435E">
      <w:pPr>
        <w:spacing w:line="240" w:lineRule="auto"/>
        <w:ind w:left="-57"/>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The MEHRD Acquittal report showing second bi-annual grant retirements received by 31 March </w:t>
      </w:r>
      <w:r w:rsidR="003973F8" w:rsidRPr="00EF7535">
        <w:rPr>
          <w:rFonts w:asciiTheme="minorHAnsi" w:eastAsia="Times New Roman" w:hAnsiTheme="minorHAnsi" w:cstheme="minorHAnsi"/>
          <w:lang w:val="en-AU" w:eastAsia="en-AU"/>
        </w:rPr>
        <w:t>20</w:t>
      </w:r>
      <w:r>
        <w:rPr>
          <w:rFonts w:asciiTheme="minorHAnsi" w:eastAsia="Times New Roman" w:hAnsiTheme="minorHAnsi" w:cstheme="minorHAnsi"/>
          <w:lang w:val="en-AU" w:eastAsia="en-AU"/>
        </w:rPr>
        <w:t>20</w:t>
      </w:r>
      <w:r w:rsidR="003973F8" w:rsidRPr="00EF7535">
        <w:rPr>
          <w:rFonts w:asciiTheme="minorHAnsi" w:eastAsia="Times New Roman" w:hAnsiTheme="minorHAnsi" w:cstheme="minorHAnsi"/>
          <w:lang w:val="en-AU" w:eastAsia="en-AU"/>
        </w:rPr>
        <w:t xml:space="preserve"> </w:t>
      </w:r>
      <w:r>
        <w:rPr>
          <w:rFonts w:asciiTheme="minorHAnsi" w:eastAsia="Times New Roman" w:hAnsiTheme="minorHAnsi" w:cstheme="minorHAnsi"/>
          <w:lang w:val="en-AU" w:eastAsia="en-AU"/>
        </w:rPr>
        <w:t>(</w:t>
      </w:r>
      <w:r w:rsidR="007345A1">
        <w:rPr>
          <w:rFonts w:asciiTheme="minorHAnsi" w:eastAsia="Times New Roman" w:hAnsiTheme="minorHAnsi" w:cstheme="minorHAnsi"/>
          <w:lang w:val="en-AU" w:eastAsia="en-AU"/>
        </w:rPr>
        <w:t>percentages</w:t>
      </w:r>
      <w:r>
        <w:rPr>
          <w:rFonts w:asciiTheme="minorHAnsi" w:eastAsia="Times New Roman" w:hAnsiTheme="minorHAnsi" w:cstheme="minorHAnsi"/>
          <w:lang w:val="en-AU" w:eastAsia="en-AU"/>
        </w:rPr>
        <w:t>)</w:t>
      </w:r>
      <w:r w:rsidR="007345A1">
        <w:rPr>
          <w:rFonts w:asciiTheme="minorHAnsi" w:eastAsia="Times New Roman" w:hAnsiTheme="minorHAnsi" w:cstheme="minorHAnsi"/>
          <w:lang w:val="en-AU" w:eastAsia="en-AU"/>
        </w:rPr>
        <w:t>:</w:t>
      </w:r>
    </w:p>
    <w:p w14:paraId="1AEE0D67" w14:textId="2DA16DE9" w:rsidR="001F2E3D" w:rsidRPr="006D596D" w:rsidRDefault="00E957E3" w:rsidP="009D3CB4">
      <w:pPr>
        <w:pStyle w:val="Tablecontent"/>
        <w:rPr>
          <w:i/>
          <w:iCs/>
          <w:sz w:val="18"/>
          <w:szCs w:val="20"/>
        </w:rPr>
      </w:pPr>
      <w:bookmarkStart w:id="30" w:name="_Toc48750604"/>
      <w:r w:rsidRPr="009165DB">
        <w:rPr>
          <w:i/>
          <w:iCs/>
          <w:sz w:val="18"/>
          <w:szCs w:val="20"/>
        </w:rPr>
        <w:t xml:space="preserve">Table </w:t>
      </w:r>
      <w:r w:rsidRPr="009165DB">
        <w:rPr>
          <w:i/>
          <w:iCs/>
          <w:sz w:val="18"/>
          <w:szCs w:val="20"/>
        </w:rPr>
        <w:fldChar w:fldCharType="begin"/>
      </w:r>
      <w:r w:rsidRPr="009165DB">
        <w:rPr>
          <w:i/>
          <w:iCs/>
          <w:sz w:val="18"/>
          <w:szCs w:val="20"/>
        </w:rPr>
        <w:instrText xml:space="preserve"> SEQ Table \* ARABIC </w:instrText>
      </w:r>
      <w:r w:rsidRPr="009165DB">
        <w:rPr>
          <w:i/>
          <w:iCs/>
          <w:sz w:val="18"/>
          <w:szCs w:val="20"/>
        </w:rPr>
        <w:fldChar w:fldCharType="separate"/>
      </w:r>
      <w:r w:rsidR="00912E1E">
        <w:rPr>
          <w:i/>
          <w:iCs/>
          <w:noProof/>
          <w:sz w:val="18"/>
          <w:szCs w:val="20"/>
        </w:rPr>
        <w:t>7</w:t>
      </w:r>
      <w:r w:rsidRPr="009165DB">
        <w:rPr>
          <w:i/>
          <w:iCs/>
          <w:sz w:val="18"/>
          <w:szCs w:val="20"/>
        </w:rPr>
        <w:fldChar w:fldCharType="end"/>
      </w:r>
      <w:r w:rsidRPr="009165DB">
        <w:rPr>
          <w:i/>
          <w:iCs/>
          <w:sz w:val="18"/>
          <w:szCs w:val="20"/>
        </w:rPr>
        <w:t xml:space="preserve">: </w:t>
      </w:r>
      <w:r w:rsidR="001F2E3D" w:rsidRPr="006D596D">
        <w:rPr>
          <w:i/>
          <w:iCs/>
          <w:sz w:val="18"/>
          <w:szCs w:val="20"/>
        </w:rPr>
        <w:t xml:space="preserve">2nd Bi-annual Retirements </w:t>
      </w:r>
      <w:r w:rsidR="00DD284F" w:rsidRPr="006D596D">
        <w:rPr>
          <w:i/>
          <w:iCs/>
          <w:sz w:val="18"/>
          <w:szCs w:val="20"/>
        </w:rPr>
        <w:t>Received</w:t>
      </w:r>
      <w:r w:rsidR="001F2E3D" w:rsidRPr="006D596D">
        <w:rPr>
          <w:i/>
          <w:iCs/>
          <w:sz w:val="18"/>
          <w:szCs w:val="20"/>
        </w:rPr>
        <w:t xml:space="preserve"> 31 March 2020</w:t>
      </w:r>
      <w:bookmarkEnd w:id="30"/>
    </w:p>
    <w:tbl>
      <w:tblPr>
        <w:tblStyle w:val="GridTable5Dark-Accent1"/>
        <w:tblW w:w="0" w:type="auto"/>
        <w:tblLook w:val="04A0" w:firstRow="1" w:lastRow="0" w:firstColumn="1" w:lastColumn="0" w:noHBand="0" w:noVBand="1"/>
      </w:tblPr>
      <w:tblGrid>
        <w:gridCol w:w="2291"/>
        <w:gridCol w:w="1673"/>
        <w:gridCol w:w="1701"/>
      </w:tblGrid>
      <w:tr w:rsidR="00F06CE2" w:rsidRPr="00F06CE2" w14:paraId="3A2ABFC7" w14:textId="77777777" w:rsidTr="00F06CE2">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291" w:type="dxa"/>
          </w:tcPr>
          <w:p w14:paraId="3A82EC45" w14:textId="180FF5DA" w:rsidR="00F06CE2" w:rsidRPr="00F06CE2" w:rsidRDefault="00F06CE2" w:rsidP="0015435E">
            <w:pPr>
              <w:spacing w:after="0" w:line="240" w:lineRule="auto"/>
              <w:jc w:val="center"/>
              <w:rPr>
                <w:rFonts w:asciiTheme="minorHAnsi" w:eastAsia="Times New Roman" w:hAnsiTheme="minorHAnsi" w:cstheme="minorHAnsi"/>
                <w:sz w:val="20"/>
                <w:szCs w:val="20"/>
                <w:lang w:val="en-AU" w:eastAsia="en-AU"/>
              </w:rPr>
            </w:pPr>
            <w:r w:rsidRPr="00F06CE2">
              <w:rPr>
                <w:rFonts w:asciiTheme="minorHAnsi" w:eastAsia="Times New Roman" w:hAnsiTheme="minorHAnsi" w:cstheme="minorHAnsi"/>
                <w:sz w:val="20"/>
                <w:szCs w:val="20"/>
                <w:lang w:val="en-AU" w:eastAsia="en-AU"/>
              </w:rPr>
              <w:t>Sector</w:t>
            </w:r>
          </w:p>
        </w:tc>
        <w:tc>
          <w:tcPr>
            <w:tcW w:w="1673" w:type="dxa"/>
          </w:tcPr>
          <w:p w14:paraId="4BAEE6E9" w14:textId="0A5F5961" w:rsidR="00F06CE2" w:rsidRPr="00F06CE2" w:rsidRDefault="00F06CE2" w:rsidP="001543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F06CE2">
              <w:rPr>
                <w:rFonts w:asciiTheme="minorHAnsi" w:eastAsia="Times New Roman" w:hAnsiTheme="minorHAnsi" w:cstheme="minorHAnsi"/>
                <w:sz w:val="20"/>
                <w:szCs w:val="20"/>
                <w:lang w:val="en-AU" w:eastAsia="en-AU"/>
              </w:rPr>
              <w:t>2018 Retirement Rate %</w:t>
            </w:r>
          </w:p>
        </w:tc>
        <w:tc>
          <w:tcPr>
            <w:tcW w:w="1701" w:type="dxa"/>
          </w:tcPr>
          <w:p w14:paraId="0FDD5C4D" w14:textId="1C7D2703" w:rsidR="00F06CE2" w:rsidRPr="00F06CE2" w:rsidRDefault="00F06CE2" w:rsidP="001543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proofErr w:type="gramStart"/>
            <w:r w:rsidRPr="00F06CE2">
              <w:rPr>
                <w:rFonts w:asciiTheme="minorHAnsi" w:eastAsia="Times New Roman" w:hAnsiTheme="minorHAnsi" w:cstheme="minorHAnsi"/>
                <w:sz w:val="20"/>
                <w:szCs w:val="20"/>
                <w:lang w:val="en-AU" w:eastAsia="en-AU"/>
              </w:rPr>
              <w:t>20</w:t>
            </w:r>
            <w:r w:rsidR="00AF14EA">
              <w:rPr>
                <w:rFonts w:asciiTheme="minorHAnsi" w:eastAsia="Times New Roman" w:hAnsiTheme="minorHAnsi" w:cstheme="minorHAnsi"/>
                <w:sz w:val="20"/>
                <w:szCs w:val="20"/>
                <w:lang w:val="en-AU" w:eastAsia="en-AU"/>
              </w:rPr>
              <w:t>19</w:t>
            </w:r>
            <w:r w:rsidRPr="00F06CE2">
              <w:rPr>
                <w:rFonts w:asciiTheme="minorHAnsi" w:eastAsia="Times New Roman" w:hAnsiTheme="minorHAnsi" w:cstheme="minorHAnsi"/>
                <w:sz w:val="20"/>
                <w:szCs w:val="20"/>
                <w:lang w:val="en-AU" w:eastAsia="en-AU"/>
              </w:rPr>
              <w:t xml:space="preserve">  Retirement</w:t>
            </w:r>
            <w:proofErr w:type="gramEnd"/>
            <w:r w:rsidRPr="00F06CE2">
              <w:rPr>
                <w:rFonts w:asciiTheme="minorHAnsi" w:eastAsia="Times New Roman" w:hAnsiTheme="minorHAnsi" w:cstheme="minorHAnsi"/>
                <w:sz w:val="20"/>
                <w:szCs w:val="20"/>
                <w:lang w:val="en-AU" w:eastAsia="en-AU"/>
              </w:rPr>
              <w:t xml:space="preserve"> Rate %</w:t>
            </w:r>
          </w:p>
        </w:tc>
      </w:tr>
      <w:tr w:rsidR="00F06CE2" w:rsidRPr="00F06CE2" w14:paraId="2E709E8C" w14:textId="77777777" w:rsidTr="00F06CE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291" w:type="dxa"/>
          </w:tcPr>
          <w:p w14:paraId="150C0BEA" w14:textId="79BF206C" w:rsidR="00F06CE2" w:rsidRPr="00F06CE2" w:rsidRDefault="00F06CE2" w:rsidP="0015435E">
            <w:pPr>
              <w:spacing w:after="0" w:line="240" w:lineRule="auto"/>
              <w:jc w:val="center"/>
              <w:rPr>
                <w:rFonts w:asciiTheme="minorHAnsi" w:eastAsia="Times New Roman" w:hAnsiTheme="minorHAnsi" w:cstheme="minorHAnsi"/>
                <w:sz w:val="20"/>
                <w:szCs w:val="20"/>
                <w:lang w:val="en-AU" w:eastAsia="en-AU"/>
              </w:rPr>
            </w:pPr>
            <w:r w:rsidRPr="00F06CE2">
              <w:rPr>
                <w:rFonts w:asciiTheme="minorHAnsi" w:eastAsia="Times New Roman" w:hAnsiTheme="minorHAnsi" w:cstheme="minorHAnsi"/>
                <w:sz w:val="20"/>
                <w:szCs w:val="20"/>
                <w:lang w:val="en-AU" w:eastAsia="en-AU"/>
              </w:rPr>
              <w:t>Primary</w:t>
            </w:r>
          </w:p>
        </w:tc>
        <w:tc>
          <w:tcPr>
            <w:tcW w:w="1673" w:type="dxa"/>
          </w:tcPr>
          <w:p w14:paraId="0A31C297" w14:textId="3CDBDC6B" w:rsidR="00F06CE2" w:rsidRPr="00F06CE2" w:rsidRDefault="00F06CE2"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63</w:t>
            </w:r>
          </w:p>
        </w:tc>
        <w:tc>
          <w:tcPr>
            <w:tcW w:w="1701" w:type="dxa"/>
          </w:tcPr>
          <w:p w14:paraId="3202BF46" w14:textId="4B84E8AE" w:rsidR="00F06CE2" w:rsidRPr="00F06CE2" w:rsidRDefault="00F06CE2"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14</w:t>
            </w:r>
          </w:p>
        </w:tc>
      </w:tr>
      <w:tr w:rsidR="00F06CE2" w:rsidRPr="00F06CE2" w14:paraId="33F6DDA7" w14:textId="77777777" w:rsidTr="00F06CE2">
        <w:trPr>
          <w:trHeight w:val="272"/>
        </w:trPr>
        <w:tc>
          <w:tcPr>
            <w:cnfStyle w:val="001000000000" w:firstRow="0" w:lastRow="0" w:firstColumn="1" w:lastColumn="0" w:oddVBand="0" w:evenVBand="0" w:oddHBand="0" w:evenHBand="0" w:firstRowFirstColumn="0" w:firstRowLastColumn="0" w:lastRowFirstColumn="0" w:lastRowLastColumn="0"/>
            <w:tcW w:w="2291" w:type="dxa"/>
          </w:tcPr>
          <w:p w14:paraId="317F2A97" w14:textId="5960E8DB" w:rsidR="00F06CE2" w:rsidRPr="00F06CE2" w:rsidRDefault="00F06CE2" w:rsidP="0015435E">
            <w:pPr>
              <w:spacing w:after="0" w:line="240" w:lineRule="auto"/>
              <w:jc w:val="center"/>
              <w:rPr>
                <w:rFonts w:asciiTheme="minorHAnsi" w:eastAsia="Times New Roman" w:hAnsiTheme="minorHAnsi" w:cstheme="minorHAnsi"/>
                <w:sz w:val="20"/>
                <w:szCs w:val="20"/>
                <w:lang w:val="en-AU" w:eastAsia="en-AU"/>
              </w:rPr>
            </w:pPr>
            <w:r w:rsidRPr="00F06CE2">
              <w:rPr>
                <w:rFonts w:asciiTheme="minorHAnsi" w:eastAsia="Times New Roman" w:hAnsiTheme="minorHAnsi" w:cstheme="minorHAnsi"/>
                <w:sz w:val="20"/>
                <w:szCs w:val="20"/>
                <w:lang w:val="en-AU" w:eastAsia="en-AU"/>
              </w:rPr>
              <w:t>Secondary</w:t>
            </w:r>
          </w:p>
        </w:tc>
        <w:tc>
          <w:tcPr>
            <w:tcW w:w="1673" w:type="dxa"/>
          </w:tcPr>
          <w:p w14:paraId="7691B280" w14:textId="79CB49FB" w:rsidR="00F06CE2" w:rsidRPr="00F06CE2" w:rsidRDefault="00F06CE2"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56</w:t>
            </w:r>
          </w:p>
        </w:tc>
        <w:tc>
          <w:tcPr>
            <w:tcW w:w="1701" w:type="dxa"/>
          </w:tcPr>
          <w:p w14:paraId="4E79DBEC" w14:textId="40ACF4C9" w:rsidR="00F06CE2" w:rsidRPr="00F06CE2" w:rsidRDefault="00F06CE2"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10</w:t>
            </w:r>
          </w:p>
        </w:tc>
      </w:tr>
      <w:tr w:rsidR="00F06CE2" w:rsidRPr="00F06CE2" w14:paraId="3414AF5C" w14:textId="77777777" w:rsidTr="00F06CE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291" w:type="dxa"/>
          </w:tcPr>
          <w:p w14:paraId="20A21F3E" w14:textId="492BE744" w:rsidR="00F06CE2" w:rsidRPr="00F06CE2" w:rsidRDefault="00F06CE2" w:rsidP="0015435E">
            <w:pPr>
              <w:spacing w:after="0" w:line="240" w:lineRule="auto"/>
              <w:jc w:val="center"/>
              <w:rPr>
                <w:rFonts w:asciiTheme="minorHAnsi" w:eastAsia="Times New Roman" w:hAnsiTheme="minorHAnsi" w:cstheme="minorHAnsi"/>
                <w:sz w:val="20"/>
                <w:szCs w:val="20"/>
                <w:lang w:val="en-AU" w:eastAsia="en-AU"/>
              </w:rPr>
            </w:pPr>
            <w:r w:rsidRPr="00F06CE2">
              <w:rPr>
                <w:rFonts w:asciiTheme="minorHAnsi" w:eastAsia="Times New Roman" w:hAnsiTheme="minorHAnsi" w:cstheme="minorHAnsi"/>
                <w:sz w:val="20"/>
                <w:szCs w:val="20"/>
                <w:lang w:val="en-AU" w:eastAsia="en-AU"/>
              </w:rPr>
              <w:t>TVET/RTC</w:t>
            </w:r>
          </w:p>
        </w:tc>
        <w:tc>
          <w:tcPr>
            <w:tcW w:w="1673" w:type="dxa"/>
          </w:tcPr>
          <w:p w14:paraId="0695639F" w14:textId="28E42907" w:rsidR="00F06CE2" w:rsidRPr="00F06CE2" w:rsidRDefault="00F06CE2"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22</w:t>
            </w:r>
          </w:p>
        </w:tc>
        <w:tc>
          <w:tcPr>
            <w:tcW w:w="1701" w:type="dxa"/>
          </w:tcPr>
          <w:p w14:paraId="2C1B72ED" w14:textId="5D3924B9" w:rsidR="00F06CE2" w:rsidRPr="00F06CE2" w:rsidRDefault="00F06CE2"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11</w:t>
            </w:r>
          </w:p>
        </w:tc>
      </w:tr>
    </w:tbl>
    <w:p w14:paraId="0176E324" w14:textId="587E4051" w:rsidR="003973F8" w:rsidRPr="00EF7535" w:rsidRDefault="003973F8" w:rsidP="0015435E">
      <w:pPr>
        <w:spacing w:after="0" w:line="240" w:lineRule="auto"/>
        <w:ind w:left="-57"/>
        <w:rPr>
          <w:rFonts w:asciiTheme="minorHAnsi" w:eastAsia="Times New Roman" w:hAnsiTheme="minorHAnsi" w:cstheme="minorHAnsi"/>
          <w:lang w:val="en-AU" w:eastAsia="en-AU"/>
        </w:rPr>
      </w:pPr>
      <w:r w:rsidRPr="00EF7535">
        <w:rPr>
          <w:rFonts w:asciiTheme="minorHAnsi" w:eastAsia="Times New Roman" w:hAnsiTheme="minorHAnsi" w:cstheme="minorHAnsi"/>
          <w:lang w:val="en-AU" w:eastAsia="en-AU"/>
        </w:rPr>
        <w:t xml:space="preserve"> </w:t>
      </w:r>
    </w:p>
    <w:p w14:paraId="7280367C" w14:textId="73A319DA" w:rsidR="003973F8" w:rsidRDefault="00475005" w:rsidP="0015435E">
      <w:pPr>
        <w:spacing w:after="0" w:line="240" w:lineRule="auto"/>
        <w:ind w:left="-57"/>
        <w:jc w:val="both"/>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The submission of acquittal statements from schools was hampered by the onset of the </w:t>
      </w:r>
      <w:r w:rsidR="00FC0016">
        <w:rPr>
          <w:rFonts w:asciiTheme="minorHAnsi" w:eastAsia="Times New Roman" w:hAnsiTheme="minorHAnsi" w:cstheme="minorHAnsi"/>
          <w:lang w:val="en-AU" w:eastAsia="en-AU"/>
        </w:rPr>
        <w:t>COVID-19</w:t>
      </w:r>
      <w:r>
        <w:rPr>
          <w:rFonts w:asciiTheme="minorHAnsi" w:eastAsia="Times New Roman" w:hAnsiTheme="minorHAnsi" w:cstheme="minorHAnsi"/>
          <w:lang w:val="en-AU" w:eastAsia="en-AU"/>
        </w:rPr>
        <w:t xml:space="preserve"> pandemic with schools being directed to close around the same time as they would normally send the documentation. </w:t>
      </w:r>
      <w:r w:rsidR="003F690A">
        <w:rPr>
          <w:rFonts w:asciiTheme="minorHAnsi" w:eastAsia="Times New Roman" w:hAnsiTheme="minorHAnsi" w:cstheme="minorHAnsi"/>
          <w:lang w:val="en-AU" w:eastAsia="en-AU"/>
        </w:rPr>
        <w:t xml:space="preserve">Low levels of financial literacy in school management </w:t>
      </w:r>
      <w:proofErr w:type="gramStart"/>
      <w:r w:rsidR="003F690A">
        <w:rPr>
          <w:rFonts w:asciiTheme="minorHAnsi" w:eastAsia="Times New Roman" w:hAnsiTheme="minorHAnsi" w:cstheme="minorHAnsi"/>
          <w:lang w:val="en-AU" w:eastAsia="en-AU"/>
        </w:rPr>
        <w:t>is</w:t>
      </w:r>
      <w:proofErr w:type="gramEnd"/>
      <w:r w:rsidR="003F690A">
        <w:rPr>
          <w:rFonts w:asciiTheme="minorHAnsi" w:eastAsia="Times New Roman" w:hAnsiTheme="minorHAnsi" w:cstheme="minorHAnsi"/>
          <w:lang w:val="en-AU" w:eastAsia="en-AU"/>
        </w:rPr>
        <w:t xml:space="preserve"> also a well-known contributor to the poor financial management in some schools. Professional development for school leaders on financial management was planned for 2020 but, due to the current emergency, has been delayed until 2021.</w:t>
      </w:r>
    </w:p>
    <w:p w14:paraId="5142D6E7" w14:textId="77777777" w:rsidR="00475005" w:rsidRDefault="00475005" w:rsidP="0015435E">
      <w:pPr>
        <w:spacing w:after="0" w:line="240" w:lineRule="auto"/>
        <w:ind w:left="-57"/>
        <w:rPr>
          <w:rFonts w:asciiTheme="minorHAnsi" w:eastAsia="Times New Roman" w:hAnsiTheme="minorHAnsi" w:cstheme="minorHAnsi"/>
          <w:lang w:val="en-AU" w:eastAsia="en-AU"/>
        </w:rPr>
      </w:pPr>
    </w:p>
    <w:p w14:paraId="3BB7332D" w14:textId="725AAAE7" w:rsidR="003973F8" w:rsidRDefault="003973F8" w:rsidP="0015435E">
      <w:pPr>
        <w:pStyle w:val="Bodytext11"/>
        <w:spacing w:after="0"/>
        <w:rPr>
          <w:b/>
          <w:bCs/>
          <w:i/>
          <w:iCs/>
          <w:lang w:val="en-GB"/>
        </w:rPr>
      </w:pPr>
      <w:r w:rsidRPr="00333FEB">
        <w:rPr>
          <w:b/>
          <w:bCs/>
          <w:i/>
          <w:iCs/>
          <w:lang w:val="en-GB"/>
        </w:rPr>
        <w:t>3.1.2.  At least 85% received the first tranche of their 2020 grant by 31 March 2020</w:t>
      </w:r>
    </w:p>
    <w:p w14:paraId="1B5B43F3" w14:textId="174A87A3" w:rsidR="006C376D" w:rsidRDefault="006C376D" w:rsidP="0015435E">
      <w:pPr>
        <w:pStyle w:val="Bodytext11"/>
        <w:spacing w:after="0"/>
        <w:rPr>
          <w:lang w:val="en-GB"/>
        </w:rPr>
      </w:pPr>
    </w:p>
    <w:tbl>
      <w:tblPr>
        <w:tblW w:w="76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40"/>
        <w:gridCol w:w="2410"/>
      </w:tblGrid>
      <w:tr w:rsidR="003F690A" w:rsidRPr="00CE1F20" w14:paraId="5B388F0F" w14:textId="77777777" w:rsidTr="00695F40">
        <w:trPr>
          <w:trHeight w:val="419"/>
        </w:trPr>
        <w:tc>
          <w:tcPr>
            <w:tcW w:w="5240" w:type="dxa"/>
            <w:tcBorders>
              <w:top w:val="single" w:sz="12" w:space="0" w:color="auto"/>
              <w:bottom w:val="single" w:sz="12" w:space="0" w:color="auto"/>
            </w:tcBorders>
            <w:shd w:val="clear" w:color="000000" w:fill="B4C6E7"/>
            <w:vAlign w:val="center"/>
            <w:hideMark/>
          </w:tcPr>
          <w:p w14:paraId="3BDFA42E" w14:textId="77777777" w:rsidR="003F690A" w:rsidRPr="00CE1F20" w:rsidRDefault="003F690A" w:rsidP="0015435E">
            <w:pPr>
              <w:spacing w:after="0" w:line="240" w:lineRule="auto"/>
              <w:jc w:val="center"/>
              <w:rPr>
                <w:rFonts w:asciiTheme="minorHAnsi" w:eastAsia="Times New Roman" w:hAnsiTheme="minorHAnsi" w:cstheme="minorHAnsi"/>
                <w:b/>
                <w:bCs/>
                <w:sz w:val="18"/>
                <w:szCs w:val="18"/>
                <w:lang w:val="en-AU" w:eastAsia="en-AU"/>
              </w:rPr>
            </w:pPr>
            <w:r w:rsidRPr="00CE1F20">
              <w:rPr>
                <w:rFonts w:asciiTheme="minorHAnsi" w:eastAsia="Times New Roman" w:hAnsiTheme="minorHAnsi" w:cstheme="minorHAnsi"/>
                <w:b/>
                <w:bCs/>
                <w:sz w:val="18"/>
                <w:szCs w:val="18"/>
                <w:lang w:val="en-AU" w:eastAsia="en-AU"/>
              </w:rPr>
              <w:t>Expected Results Statements</w:t>
            </w:r>
          </w:p>
        </w:tc>
        <w:tc>
          <w:tcPr>
            <w:tcW w:w="2410" w:type="dxa"/>
            <w:tcBorders>
              <w:top w:val="single" w:sz="12" w:space="0" w:color="auto"/>
              <w:bottom w:val="single" w:sz="12" w:space="0" w:color="auto"/>
            </w:tcBorders>
            <w:shd w:val="clear" w:color="000000" w:fill="B4C6E7"/>
            <w:noWrap/>
            <w:vAlign w:val="center"/>
            <w:hideMark/>
          </w:tcPr>
          <w:p w14:paraId="0DAA45E4" w14:textId="2C98542D" w:rsidR="003F690A" w:rsidRPr="00CE1F20" w:rsidRDefault="003F690A" w:rsidP="0015435E">
            <w:pPr>
              <w:spacing w:after="0" w:line="240" w:lineRule="auto"/>
              <w:jc w:val="center"/>
              <w:rPr>
                <w:rFonts w:asciiTheme="minorHAnsi" w:eastAsia="Times New Roman" w:hAnsiTheme="minorHAnsi" w:cstheme="minorHAnsi"/>
                <w:b/>
                <w:bCs/>
                <w:sz w:val="18"/>
                <w:szCs w:val="18"/>
                <w:lang w:val="en-AU" w:eastAsia="en-AU"/>
              </w:rPr>
            </w:pPr>
            <w:r>
              <w:rPr>
                <w:rFonts w:asciiTheme="minorHAnsi" w:eastAsia="Times New Roman" w:hAnsiTheme="minorHAnsi" w:cstheme="minorHAnsi"/>
                <w:b/>
                <w:bCs/>
                <w:sz w:val="18"/>
                <w:szCs w:val="18"/>
                <w:lang w:val="en-AU" w:eastAsia="en-AU"/>
              </w:rPr>
              <w:t>Assessment</w:t>
            </w:r>
          </w:p>
        </w:tc>
      </w:tr>
      <w:tr w:rsidR="003F690A" w:rsidRPr="00CE1F20" w14:paraId="0BD1ACFC" w14:textId="77777777" w:rsidTr="00695F40">
        <w:trPr>
          <w:trHeight w:val="832"/>
        </w:trPr>
        <w:tc>
          <w:tcPr>
            <w:tcW w:w="5240" w:type="dxa"/>
            <w:tcBorders>
              <w:top w:val="single" w:sz="12" w:space="0" w:color="auto"/>
            </w:tcBorders>
            <w:shd w:val="clear" w:color="auto" w:fill="auto"/>
            <w:hideMark/>
          </w:tcPr>
          <w:p w14:paraId="2C06F1DF" w14:textId="77777777" w:rsidR="003F690A" w:rsidRPr="00CE1F20" w:rsidRDefault="003F690A" w:rsidP="0015435E">
            <w:pPr>
              <w:spacing w:after="40" w:line="240" w:lineRule="auto"/>
              <w:rPr>
                <w:rFonts w:asciiTheme="minorHAnsi" w:eastAsia="Times New Roman" w:hAnsiTheme="minorHAnsi" w:cstheme="minorHAnsi"/>
                <w:color w:val="000000"/>
                <w:sz w:val="18"/>
                <w:szCs w:val="18"/>
                <w:lang w:val="en-AU" w:eastAsia="en-AU"/>
              </w:rPr>
            </w:pPr>
            <w:bookmarkStart w:id="31" w:name="_Hlk48749903"/>
            <w:r w:rsidRPr="00CE1F20">
              <w:rPr>
                <w:rFonts w:asciiTheme="minorHAnsi" w:eastAsia="Times New Roman" w:hAnsiTheme="minorHAnsi" w:cstheme="minorHAnsi"/>
                <w:iCs/>
                <w:color w:val="000000" w:themeColor="text1"/>
                <w:sz w:val="18"/>
                <w:szCs w:val="18"/>
                <w:lang w:val="en-AU"/>
              </w:rPr>
              <w:t xml:space="preserve"> MERHD Acquittal report for Primary, Secondary, TVET as </w:t>
            </w:r>
            <w:proofErr w:type="gramStart"/>
            <w:r w:rsidRPr="00CE1F20">
              <w:rPr>
                <w:rFonts w:asciiTheme="minorHAnsi" w:eastAsia="Times New Roman" w:hAnsiTheme="minorHAnsi" w:cstheme="minorHAnsi"/>
                <w:iCs/>
                <w:color w:val="000000" w:themeColor="text1"/>
                <w:sz w:val="18"/>
                <w:szCs w:val="18"/>
                <w:lang w:val="en-AU"/>
              </w:rPr>
              <w:t>at</w:t>
            </w:r>
            <w:proofErr w:type="gramEnd"/>
            <w:r w:rsidRPr="00CE1F20">
              <w:rPr>
                <w:rFonts w:asciiTheme="minorHAnsi" w:eastAsia="Times New Roman" w:hAnsiTheme="minorHAnsi" w:cstheme="minorHAnsi"/>
                <w:iCs/>
                <w:color w:val="000000" w:themeColor="text1"/>
                <w:sz w:val="18"/>
                <w:szCs w:val="18"/>
                <w:lang w:val="en-AU"/>
              </w:rPr>
              <w:t xml:space="preserve"> 31 March 2020 - disbursement of first tranche for 2020 (50%) (NB: ECCE to be phased out)</w:t>
            </w:r>
          </w:p>
        </w:tc>
        <w:tc>
          <w:tcPr>
            <w:tcW w:w="2410" w:type="dxa"/>
            <w:tcBorders>
              <w:top w:val="single" w:sz="12" w:space="0" w:color="auto"/>
            </w:tcBorders>
            <w:shd w:val="clear" w:color="auto" w:fill="FFFFFF" w:themeFill="background1"/>
            <w:noWrap/>
            <w:hideMark/>
          </w:tcPr>
          <w:p w14:paraId="2179C172" w14:textId="447231E4" w:rsidR="003F690A" w:rsidRPr="00CE1F20" w:rsidRDefault="00311F36" w:rsidP="0015435E">
            <w:pPr>
              <w:spacing w:after="0" w:line="240" w:lineRule="auto"/>
              <w:jc w:val="center"/>
              <w:rPr>
                <w:rFonts w:asciiTheme="minorHAnsi" w:eastAsia="Times New Roman" w:hAnsiTheme="minorHAnsi" w:cstheme="minorHAnsi"/>
                <w:color w:val="000000"/>
                <w:sz w:val="18"/>
                <w:szCs w:val="18"/>
                <w:lang w:val="en-AU" w:eastAsia="en-AU"/>
              </w:rPr>
            </w:pPr>
            <w:r>
              <w:rPr>
                <w:rFonts w:asciiTheme="minorHAnsi" w:eastAsia="Times New Roman" w:hAnsiTheme="minorHAnsi" w:cstheme="minorHAnsi"/>
                <w:color w:val="000000"/>
                <w:sz w:val="18"/>
                <w:szCs w:val="18"/>
                <w:lang w:val="en-AU" w:eastAsia="en-AU"/>
              </w:rPr>
              <w:t>100% (of 50%)</w:t>
            </w:r>
          </w:p>
        </w:tc>
      </w:tr>
      <w:bookmarkEnd w:id="31"/>
    </w:tbl>
    <w:p w14:paraId="21424132" w14:textId="77777777" w:rsidR="006C376D" w:rsidRPr="006C376D" w:rsidRDefault="006C376D" w:rsidP="0015435E">
      <w:pPr>
        <w:pStyle w:val="Bodytext11"/>
        <w:spacing w:after="0"/>
        <w:rPr>
          <w:rFonts w:eastAsia="Times New Roman" w:cstheme="minorHAnsi"/>
          <w:color w:val="000000" w:themeColor="text1"/>
          <w:sz w:val="18"/>
          <w:szCs w:val="18"/>
          <w:lang w:val="en-AU"/>
        </w:rPr>
      </w:pPr>
    </w:p>
    <w:p w14:paraId="7E331033" w14:textId="055409F1" w:rsidR="003973F8" w:rsidRDefault="003F690A" w:rsidP="0015435E">
      <w:pPr>
        <w:spacing w:line="240" w:lineRule="auto"/>
        <w:ind w:left="-57"/>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Data provided by the MEHRD Grants Unit for the </w:t>
      </w:r>
      <w:r w:rsidR="003973F8" w:rsidRPr="00333FEB">
        <w:rPr>
          <w:rFonts w:asciiTheme="minorHAnsi" w:eastAsia="Times New Roman" w:hAnsiTheme="minorHAnsi" w:cstheme="minorHAnsi"/>
          <w:lang w:val="en-AU" w:eastAsia="en-AU"/>
        </w:rPr>
        <w:t xml:space="preserve">first </w:t>
      </w:r>
      <w:r w:rsidR="00AF14EA">
        <w:rPr>
          <w:rFonts w:asciiTheme="minorHAnsi" w:eastAsia="Times New Roman" w:hAnsiTheme="minorHAnsi" w:cstheme="minorHAnsi"/>
          <w:lang w:val="en-AU" w:eastAsia="en-AU"/>
        </w:rPr>
        <w:t>tranche of school</w:t>
      </w:r>
      <w:r w:rsidR="007345A1">
        <w:rPr>
          <w:rFonts w:asciiTheme="minorHAnsi" w:eastAsia="Times New Roman" w:hAnsiTheme="minorHAnsi" w:cstheme="minorHAnsi"/>
          <w:lang w:val="en-AU" w:eastAsia="en-AU"/>
        </w:rPr>
        <w:t xml:space="preserve"> grants</w:t>
      </w:r>
      <w:r>
        <w:rPr>
          <w:rFonts w:asciiTheme="minorHAnsi" w:eastAsia="Times New Roman" w:hAnsiTheme="minorHAnsi" w:cstheme="minorHAnsi"/>
          <w:lang w:val="en-AU" w:eastAsia="en-AU"/>
        </w:rPr>
        <w:t xml:space="preserve"> for 2020</w:t>
      </w:r>
      <w:r w:rsidR="007345A1">
        <w:rPr>
          <w:rFonts w:asciiTheme="minorHAnsi" w:eastAsia="Times New Roman" w:hAnsiTheme="minorHAnsi" w:cstheme="minorHAnsi"/>
          <w:lang w:val="en-AU" w:eastAsia="en-AU"/>
        </w:rPr>
        <w:t>:</w:t>
      </w:r>
      <w:r w:rsidR="003973F8" w:rsidRPr="00333FEB">
        <w:rPr>
          <w:rFonts w:asciiTheme="minorHAnsi" w:eastAsia="Times New Roman" w:hAnsiTheme="minorHAnsi" w:cstheme="minorHAnsi"/>
          <w:lang w:val="en-AU" w:eastAsia="en-AU"/>
        </w:rPr>
        <w:t xml:space="preserve"> </w:t>
      </w:r>
    </w:p>
    <w:p w14:paraId="73BA31BC" w14:textId="3317B649" w:rsidR="001F2E3D" w:rsidRPr="006D596D" w:rsidRDefault="00E957E3" w:rsidP="009165DB">
      <w:pPr>
        <w:pStyle w:val="Tablecontent"/>
        <w:rPr>
          <w:i/>
          <w:iCs/>
          <w:sz w:val="18"/>
          <w:szCs w:val="20"/>
        </w:rPr>
      </w:pPr>
      <w:bookmarkStart w:id="32" w:name="_Toc48750605"/>
      <w:r w:rsidRPr="009165DB">
        <w:rPr>
          <w:i/>
          <w:iCs/>
          <w:sz w:val="18"/>
          <w:szCs w:val="20"/>
        </w:rPr>
        <w:t xml:space="preserve">Table </w:t>
      </w:r>
      <w:r w:rsidRPr="009165DB">
        <w:rPr>
          <w:i/>
          <w:iCs/>
          <w:sz w:val="18"/>
          <w:szCs w:val="20"/>
        </w:rPr>
        <w:fldChar w:fldCharType="begin"/>
      </w:r>
      <w:r w:rsidRPr="009165DB">
        <w:rPr>
          <w:i/>
          <w:iCs/>
          <w:sz w:val="18"/>
          <w:szCs w:val="20"/>
        </w:rPr>
        <w:instrText xml:space="preserve"> SEQ Table \* ARABIC </w:instrText>
      </w:r>
      <w:r w:rsidRPr="009165DB">
        <w:rPr>
          <w:i/>
          <w:iCs/>
          <w:sz w:val="18"/>
          <w:szCs w:val="20"/>
        </w:rPr>
        <w:fldChar w:fldCharType="separate"/>
      </w:r>
      <w:r w:rsidR="00912E1E">
        <w:rPr>
          <w:i/>
          <w:iCs/>
          <w:noProof/>
          <w:sz w:val="18"/>
          <w:szCs w:val="20"/>
        </w:rPr>
        <w:t>8</w:t>
      </w:r>
      <w:r w:rsidRPr="009165DB">
        <w:rPr>
          <w:i/>
          <w:iCs/>
          <w:sz w:val="18"/>
          <w:szCs w:val="20"/>
        </w:rPr>
        <w:fldChar w:fldCharType="end"/>
      </w:r>
      <w:r w:rsidRPr="009165DB">
        <w:rPr>
          <w:i/>
          <w:iCs/>
          <w:sz w:val="18"/>
          <w:szCs w:val="20"/>
        </w:rPr>
        <w:t xml:space="preserve">: </w:t>
      </w:r>
      <w:r w:rsidR="001F2E3D" w:rsidRPr="006D596D">
        <w:rPr>
          <w:i/>
          <w:iCs/>
          <w:sz w:val="18"/>
          <w:szCs w:val="20"/>
        </w:rPr>
        <w:t>School Grants Disbursements Rate 2019-2020</w:t>
      </w:r>
      <w:bookmarkEnd w:id="32"/>
    </w:p>
    <w:tbl>
      <w:tblPr>
        <w:tblStyle w:val="GridTable5Dark-Accent1"/>
        <w:tblW w:w="0" w:type="auto"/>
        <w:tblLook w:val="04A0" w:firstRow="1" w:lastRow="0" w:firstColumn="1" w:lastColumn="0" w:noHBand="0" w:noVBand="1"/>
      </w:tblPr>
      <w:tblGrid>
        <w:gridCol w:w="2291"/>
        <w:gridCol w:w="1673"/>
        <w:gridCol w:w="1701"/>
      </w:tblGrid>
      <w:tr w:rsidR="00311F36" w:rsidRPr="00F06CE2" w14:paraId="0B7A90CC" w14:textId="77777777" w:rsidTr="00FD0ADE">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291" w:type="dxa"/>
          </w:tcPr>
          <w:p w14:paraId="34A6458D" w14:textId="77777777" w:rsidR="00311F36" w:rsidRPr="00F06CE2" w:rsidRDefault="00311F36" w:rsidP="0015435E">
            <w:pPr>
              <w:spacing w:after="0" w:line="240" w:lineRule="auto"/>
              <w:jc w:val="center"/>
              <w:rPr>
                <w:rFonts w:asciiTheme="minorHAnsi" w:eastAsia="Times New Roman" w:hAnsiTheme="minorHAnsi" w:cstheme="minorHAnsi"/>
                <w:sz w:val="20"/>
                <w:szCs w:val="20"/>
                <w:lang w:val="en-AU" w:eastAsia="en-AU"/>
              </w:rPr>
            </w:pPr>
            <w:r w:rsidRPr="00F06CE2">
              <w:rPr>
                <w:rFonts w:asciiTheme="minorHAnsi" w:eastAsia="Times New Roman" w:hAnsiTheme="minorHAnsi" w:cstheme="minorHAnsi"/>
                <w:sz w:val="20"/>
                <w:szCs w:val="20"/>
                <w:lang w:val="en-AU" w:eastAsia="en-AU"/>
              </w:rPr>
              <w:t>Sector</w:t>
            </w:r>
          </w:p>
        </w:tc>
        <w:tc>
          <w:tcPr>
            <w:tcW w:w="1673" w:type="dxa"/>
          </w:tcPr>
          <w:p w14:paraId="69C70863" w14:textId="33C2B7C1" w:rsidR="00311F36" w:rsidRPr="00F06CE2" w:rsidRDefault="00311F36" w:rsidP="001543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F06CE2">
              <w:rPr>
                <w:rFonts w:asciiTheme="minorHAnsi" w:eastAsia="Times New Roman" w:hAnsiTheme="minorHAnsi" w:cstheme="minorHAnsi"/>
                <w:sz w:val="20"/>
                <w:szCs w:val="20"/>
                <w:lang w:val="en-AU" w:eastAsia="en-AU"/>
              </w:rPr>
              <w:t>201</w:t>
            </w:r>
            <w:r w:rsidR="001F2E3D">
              <w:rPr>
                <w:rFonts w:asciiTheme="minorHAnsi" w:eastAsia="Times New Roman" w:hAnsiTheme="minorHAnsi" w:cstheme="minorHAnsi"/>
                <w:sz w:val="20"/>
                <w:szCs w:val="20"/>
                <w:lang w:val="en-AU" w:eastAsia="en-AU"/>
              </w:rPr>
              <w:t>9</w:t>
            </w:r>
            <w:r w:rsidRPr="00F06CE2">
              <w:rPr>
                <w:rFonts w:asciiTheme="minorHAnsi" w:eastAsia="Times New Roman" w:hAnsiTheme="minorHAnsi" w:cstheme="minorHAnsi"/>
                <w:sz w:val="20"/>
                <w:szCs w:val="20"/>
                <w:lang w:val="en-AU" w:eastAsia="en-AU"/>
              </w:rPr>
              <w:t xml:space="preserve"> </w:t>
            </w:r>
            <w:r w:rsidR="001F2E3D">
              <w:rPr>
                <w:rFonts w:asciiTheme="minorHAnsi" w:eastAsia="Times New Roman" w:hAnsiTheme="minorHAnsi" w:cstheme="minorHAnsi"/>
                <w:sz w:val="20"/>
                <w:szCs w:val="20"/>
                <w:lang w:val="en-AU" w:eastAsia="en-AU"/>
              </w:rPr>
              <w:t xml:space="preserve">Disbursement </w:t>
            </w:r>
            <w:r w:rsidRPr="00F06CE2">
              <w:rPr>
                <w:rFonts w:asciiTheme="minorHAnsi" w:eastAsia="Times New Roman" w:hAnsiTheme="minorHAnsi" w:cstheme="minorHAnsi"/>
                <w:sz w:val="20"/>
                <w:szCs w:val="20"/>
                <w:lang w:val="en-AU" w:eastAsia="en-AU"/>
              </w:rPr>
              <w:t>Rate %</w:t>
            </w:r>
          </w:p>
        </w:tc>
        <w:tc>
          <w:tcPr>
            <w:tcW w:w="1701" w:type="dxa"/>
          </w:tcPr>
          <w:p w14:paraId="1399B9D3" w14:textId="290289BC" w:rsidR="00311F36" w:rsidRPr="00F06CE2" w:rsidRDefault="00311F36" w:rsidP="001543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proofErr w:type="gramStart"/>
            <w:r w:rsidRPr="00F06CE2">
              <w:rPr>
                <w:rFonts w:asciiTheme="minorHAnsi" w:eastAsia="Times New Roman" w:hAnsiTheme="minorHAnsi" w:cstheme="minorHAnsi"/>
                <w:sz w:val="20"/>
                <w:szCs w:val="20"/>
                <w:lang w:val="en-AU" w:eastAsia="en-AU"/>
              </w:rPr>
              <w:t>20</w:t>
            </w:r>
            <w:r w:rsidR="001F2E3D">
              <w:rPr>
                <w:rFonts w:asciiTheme="minorHAnsi" w:eastAsia="Times New Roman" w:hAnsiTheme="minorHAnsi" w:cstheme="minorHAnsi"/>
                <w:sz w:val="20"/>
                <w:szCs w:val="20"/>
                <w:lang w:val="en-AU" w:eastAsia="en-AU"/>
              </w:rPr>
              <w:t>20</w:t>
            </w:r>
            <w:r w:rsidRPr="00F06CE2">
              <w:rPr>
                <w:rFonts w:asciiTheme="minorHAnsi" w:eastAsia="Times New Roman" w:hAnsiTheme="minorHAnsi" w:cstheme="minorHAnsi"/>
                <w:sz w:val="20"/>
                <w:szCs w:val="20"/>
                <w:lang w:val="en-AU" w:eastAsia="en-AU"/>
              </w:rPr>
              <w:t xml:space="preserve">  </w:t>
            </w:r>
            <w:r w:rsidR="001F2E3D">
              <w:rPr>
                <w:rFonts w:asciiTheme="minorHAnsi" w:eastAsia="Times New Roman" w:hAnsiTheme="minorHAnsi" w:cstheme="minorHAnsi"/>
                <w:sz w:val="20"/>
                <w:szCs w:val="20"/>
                <w:lang w:val="en-AU" w:eastAsia="en-AU"/>
              </w:rPr>
              <w:t>Disbursement</w:t>
            </w:r>
            <w:proofErr w:type="gramEnd"/>
            <w:r w:rsidRPr="00F06CE2">
              <w:rPr>
                <w:rFonts w:asciiTheme="minorHAnsi" w:eastAsia="Times New Roman" w:hAnsiTheme="minorHAnsi" w:cstheme="minorHAnsi"/>
                <w:sz w:val="20"/>
                <w:szCs w:val="20"/>
                <w:lang w:val="en-AU" w:eastAsia="en-AU"/>
              </w:rPr>
              <w:t xml:space="preserve"> Rate %</w:t>
            </w:r>
          </w:p>
        </w:tc>
      </w:tr>
      <w:tr w:rsidR="00311F36" w:rsidRPr="00F06CE2" w14:paraId="2F6D2DFB" w14:textId="77777777" w:rsidTr="00FD0AD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291" w:type="dxa"/>
          </w:tcPr>
          <w:p w14:paraId="78119DF9" w14:textId="77777777" w:rsidR="00311F36" w:rsidRPr="00F06CE2" w:rsidRDefault="00311F36" w:rsidP="0015435E">
            <w:pPr>
              <w:spacing w:after="0" w:line="240" w:lineRule="auto"/>
              <w:jc w:val="center"/>
              <w:rPr>
                <w:rFonts w:asciiTheme="minorHAnsi" w:eastAsia="Times New Roman" w:hAnsiTheme="minorHAnsi" w:cstheme="minorHAnsi"/>
                <w:sz w:val="20"/>
                <w:szCs w:val="20"/>
                <w:lang w:val="en-AU" w:eastAsia="en-AU"/>
              </w:rPr>
            </w:pPr>
            <w:r w:rsidRPr="00F06CE2">
              <w:rPr>
                <w:rFonts w:asciiTheme="minorHAnsi" w:eastAsia="Times New Roman" w:hAnsiTheme="minorHAnsi" w:cstheme="minorHAnsi"/>
                <w:sz w:val="20"/>
                <w:szCs w:val="20"/>
                <w:lang w:val="en-AU" w:eastAsia="en-AU"/>
              </w:rPr>
              <w:t>Primary</w:t>
            </w:r>
          </w:p>
        </w:tc>
        <w:tc>
          <w:tcPr>
            <w:tcW w:w="1673" w:type="dxa"/>
          </w:tcPr>
          <w:p w14:paraId="56E65EAE" w14:textId="6CB84C84" w:rsidR="00311F36" w:rsidRPr="00F06CE2" w:rsidRDefault="00311F36"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96</w:t>
            </w:r>
          </w:p>
        </w:tc>
        <w:tc>
          <w:tcPr>
            <w:tcW w:w="1701" w:type="dxa"/>
          </w:tcPr>
          <w:p w14:paraId="5ECB118D" w14:textId="62553621" w:rsidR="00311F36" w:rsidRPr="00F06CE2" w:rsidRDefault="00311F36"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93</w:t>
            </w:r>
          </w:p>
        </w:tc>
      </w:tr>
      <w:tr w:rsidR="00311F36" w:rsidRPr="00F06CE2" w14:paraId="5932E9E9" w14:textId="77777777" w:rsidTr="00FD0ADE">
        <w:trPr>
          <w:trHeight w:val="272"/>
        </w:trPr>
        <w:tc>
          <w:tcPr>
            <w:cnfStyle w:val="001000000000" w:firstRow="0" w:lastRow="0" w:firstColumn="1" w:lastColumn="0" w:oddVBand="0" w:evenVBand="0" w:oddHBand="0" w:evenHBand="0" w:firstRowFirstColumn="0" w:firstRowLastColumn="0" w:lastRowFirstColumn="0" w:lastRowLastColumn="0"/>
            <w:tcW w:w="2291" w:type="dxa"/>
          </w:tcPr>
          <w:p w14:paraId="0A89D545" w14:textId="77777777" w:rsidR="00311F36" w:rsidRPr="00F06CE2" w:rsidRDefault="00311F36" w:rsidP="0015435E">
            <w:pPr>
              <w:spacing w:after="0" w:line="240" w:lineRule="auto"/>
              <w:jc w:val="center"/>
              <w:rPr>
                <w:rFonts w:asciiTheme="minorHAnsi" w:eastAsia="Times New Roman" w:hAnsiTheme="minorHAnsi" w:cstheme="minorHAnsi"/>
                <w:sz w:val="20"/>
                <w:szCs w:val="20"/>
                <w:lang w:val="en-AU" w:eastAsia="en-AU"/>
              </w:rPr>
            </w:pPr>
            <w:r w:rsidRPr="00F06CE2">
              <w:rPr>
                <w:rFonts w:asciiTheme="minorHAnsi" w:eastAsia="Times New Roman" w:hAnsiTheme="minorHAnsi" w:cstheme="minorHAnsi"/>
                <w:sz w:val="20"/>
                <w:szCs w:val="20"/>
                <w:lang w:val="en-AU" w:eastAsia="en-AU"/>
              </w:rPr>
              <w:t>Secondary</w:t>
            </w:r>
          </w:p>
        </w:tc>
        <w:tc>
          <w:tcPr>
            <w:tcW w:w="1673" w:type="dxa"/>
          </w:tcPr>
          <w:p w14:paraId="64C77ECC" w14:textId="40016D73" w:rsidR="00311F36" w:rsidRPr="00F06CE2" w:rsidRDefault="00311F36"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96</w:t>
            </w:r>
            <w:r w:rsidR="009C4B7F">
              <w:rPr>
                <w:rFonts w:asciiTheme="minorHAnsi" w:eastAsia="Times New Roman" w:hAnsiTheme="minorHAnsi" w:cstheme="minorHAnsi"/>
                <w:sz w:val="20"/>
                <w:szCs w:val="20"/>
                <w:lang w:val="en-AU" w:eastAsia="en-AU"/>
              </w:rPr>
              <w:t xml:space="preserve"> </w:t>
            </w:r>
          </w:p>
        </w:tc>
        <w:tc>
          <w:tcPr>
            <w:tcW w:w="1701" w:type="dxa"/>
          </w:tcPr>
          <w:p w14:paraId="545843EE" w14:textId="00E049C6" w:rsidR="00311F36" w:rsidRPr="00F06CE2" w:rsidRDefault="00311F36"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96</w:t>
            </w:r>
          </w:p>
        </w:tc>
      </w:tr>
      <w:tr w:rsidR="00311F36" w:rsidRPr="00F06CE2" w14:paraId="3DB96084" w14:textId="77777777" w:rsidTr="00FD0ADE">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291" w:type="dxa"/>
          </w:tcPr>
          <w:p w14:paraId="1144716E" w14:textId="77777777" w:rsidR="00311F36" w:rsidRPr="00F06CE2" w:rsidRDefault="00311F36" w:rsidP="0015435E">
            <w:pPr>
              <w:spacing w:after="0" w:line="240" w:lineRule="auto"/>
              <w:jc w:val="center"/>
              <w:rPr>
                <w:rFonts w:asciiTheme="minorHAnsi" w:eastAsia="Times New Roman" w:hAnsiTheme="minorHAnsi" w:cstheme="minorHAnsi"/>
                <w:sz w:val="20"/>
                <w:szCs w:val="20"/>
                <w:lang w:val="en-AU" w:eastAsia="en-AU"/>
              </w:rPr>
            </w:pPr>
            <w:r w:rsidRPr="00F06CE2">
              <w:rPr>
                <w:rFonts w:asciiTheme="minorHAnsi" w:eastAsia="Times New Roman" w:hAnsiTheme="minorHAnsi" w:cstheme="minorHAnsi"/>
                <w:sz w:val="20"/>
                <w:szCs w:val="20"/>
                <w:lang w:val="en-AU" w:eastAsia="en-AU"/>
              </w:rPr>
              <w:t>TVET/RTC</w:t>
            </w:r>
          </w:p>
        </w:tc>
        <w:tc>
          <w:tcPr>
            <w:tcW w:w="1673" w:type="dxa"/>
          </w:tcPr>
          <w:p w14:paraId="09C03E04" w14:textId="68857629" w:rsidR="00311F36" w:rsidRPr="00F06CE2" w:rsidRDefault="00311F36"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95</w:t>
            </w:r>
          </w:p>
        </w:tc>
        <w:tc>
          <w:tcPr>
            <w:tcW w:w="1701" w:type="dxa"/>
          </w:tcPr>
          <w:p w14:paraId="2F17C3A5" w14:textId="7DDBDB02" w:rsidR="00311F36" w:rsidRPr="00F06CE2" w:rsidRDefault="00311F36"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98</w:t>
            </w:r>
          </w:p>
        </w:tc>
      </w:tr>
    </w:tbl>
    <w:p w14:paraId="7C7E98E8" w14:textId="1EA9EE98" w:rsidR="00311F36" w:rsidRPr="00333FEB" w:rsidRDefault="009C4B7F" w:rsidP="0015435E">
      <w:pPr>
        <w:spacing w:before="240" w:after="0" w:line="240" w:lineRule="auto"/>
        <w:ind w:left="-57"/>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MEHRD ensured the disbursement of school grants was a high priority and treated with urgency to ensure schools </w:t>
      </w:r>
      <w:r w:rsidR="00294306">
        <w:rPr>
          <w:rFonts w:asciiTheme="minorHAnsi" w:eastAsia="Times New Roman" w:hAnsiTheme="minorHAnsi" w:cstheme="minorHAnsi"/>
          <w:lang w:val="en-AU" w:eastAsia="en-AU"/>
        </w:rPr>
        <w:t>have</w:t>
      </w:r>
      <w:r>
        <w:rPr>
          <w:rFonts w:asciiTheme="minorHAnsi" w:eastAsia="Times New Roman" w:hAnsiTheme="minorHAnsi" w:cstheme="minorHAnsi"/>
          <w:lang w:val="en-AU" w:eastAsia="en-AU"/>
        </w:rPr>
        <w:t xml:space="preserve"> a source of funds to ensure their readiness for responding to </w:t>
      </w:r>
      <w:r w:rsidR="00FC0016">
        <w:rPr>
          <w:rFonts w:asciiTheme="minorHAnsi" w:eastAsia="Times New Roman" w:hAnsiTheme="minorHAnsi" w:cstheme="minorHAnsi"/>
          <w:lang w:val="en-AU" w:eastAsia="en-AU"/>
        </w:rPr>
        <w:t>COVID-19</w:t>
      </w:r>
      <w:r>
        <w:rPr>
          <w:rFonts w:asciiTheme="minorHAnsi" w:eastAsia="Times New Roman" w:hAnsiTheme="minorHAnsi" w:cstheme="minorHAnsi"/>
          <w:lang w:val="en-AU" w:eastAsia="en-AU"/>
        </w:rPr>
        <w:t>.</w:t>
      </w:r>
    </w:p>
    <w:p w14:paraId="03C7DA5C" w14:textId="77777777" w:rsidR="003973F8" w:rsidRDefault="003973F8" w:rsidP="0015435E">
      <w:pPr>
        <w:spacing w:after="0" w:line="240" w:lineRule="auto"/>
        <w:rPr>
          <w:rFonts w:asciiTheme="minorHAnsi" w:eastAsia="Times New Roman" w:hAnsiTheme="minorHAnsi" w:cstheme="minorHAnsi"/>
          <w:lang w:val="en-AU" w:eastAsia="en-AU"/>
        </w:rPr>
      </w:pPr>
    </w:p>
    <w:p w14:paraId="2510A9E1" w14:textId="4979FAA5" w:rsidR="003973F8" w:rsidRDefault="003973F8" w:rsidP="0015435E">
      <w:pPr>
        <w:pStyle w:val="Bodytext11"/>
        <w:spacing w:after="0"/>
        <w:rPr>
          <w:b/>
          <w:bCs/>
          <w:i/>
          <w:iCs/>
          <w:lang w:val="en-GB"/>
        </w:rPr>
      </w:pPr>
      <w:r w:rsidRPr="00333FEB">
        <w:rPr>
          <w:b/>
          <w:bCs/>
          <w:i/>
          <w:iCs/>
          <w:lang w:val="en-GB"/>
        </w:rPr>
        <w:t xml:space="preserve">3.2.1 By the end of 2019, </w:t>
      </w:r>
      <w:proofErr w:type="gramStart"/>
      <w:r w:rsidRPr="00333FEB">
        <w:rPr>
          <w:b/>
          <w:bCs/>
          <w:i/>
          <w:iCs/>
          <w:lang w:val="en-GB"/>
        </w:rPr>
        <w:t>analysis</w:t>
      </w:r>
      <w:proofErr w:type="gramEnd"/>
      <w:r w:rsidRPr="00333FEB">
        <w:rPr>
          <w:b/>
          <w:bCs/>
          <w:i/>
          <w:iCs/>
          <w:lang w:val="en-GB"/>
        </w:rPr>
        <w:t xml:space="preserve"> and peer review of initial EAs self-assessments completed, with results and feedback on usage shared at EA conference.</w:t>
      </w:r>
    </w:p>
    <w:p w14:paraId="6791590A" w14:textId="4E11D150" w:rsidR="006C376D" w:rsidRDefault="006C376D" w:rsidP="0015435E">
      <w:pPr>
        <w:pStyle w:val="Bodytext11"/>
        <w:spacing w:after="0"/>
        <w:rPr>
          <w:lang w:val="en-GB"/>
        </w:rPr>
      </w:pPr>
    </w:p>
    <w:tbl>
      <w:tblPr>
        <w:tblW w:w="76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40"/>
        <w:gridCol w:w="2410"/>
      </w:tblGrid>
      <w:tr w:rsidR="00786940" w:rsidRPr="00CE1F20" w14:paraId="0233BE42" w14:textId="77777777" w:rsidTr="00695F40">
        <w:trPr>
          <w:trHeight w:val="206"/>
        </w:trPr>
        <w:tc>
          <w:tcPr>
            <w:tcW w:w="5240" w:type="dxa"/>
            <w:tcBorders>
              <w:top w:val="single" w:sz="12" w:space="0" w:color="auto"/>
              <w:bottom w:val="single" w:sz="12" w:space="0" w:color="auto"/>
            </w:tcBorders>
            <w:shd w:val="clear" w:color="000000" w:fill="B4C6E7"/>
            <w:vAlign w:val="center"/>
            <w:hideMark/>
          </w:tcPr>
          <w:p w14:paraId="70D8DE84" w14:textId="77777777" w:rsidR="00786940" w:rsidRPr="00CE1F20" w:rsidRDefault="00786940" w:rsidP="0015435E">
            <w:pPr>
              <w:spacing w:after="0" w:line="240" w:lineRule="auto"/>
              <w:jc w:val="center"/>
              <w:rPr>
                <w:rFonts w:asciiTheme="minorHAnsi" w:eastAsia="Times New Roman" w:hAnsiTheme="minorHAnsi" w:cstheme="minorHAnsi"/>
                <w:b/>
                <w:bCs/>
                <w:sz w:val="18"/>
                <w:szCs w:val="18"/>
                <w:lang w:val="en-AU" w:eastAsia="en-AU"/>
              </w:rPr>
            </w:pPr>
            <w:r w:rsidRPr="00CE1F20">
              <w:rPr>
                <w:rFonts w:asciiTheme="minorHAnsi" w:eastAsia="Times New Roman" w:hAnsiTheme="minorHAnsi" w:cstheme="minorHAnsi"/>
                <w:b/>
                <w:bCs/>
                <w:sz w:val="18"/>
                <w:szCs w:val="18"/>
                <w:lang w:val="en-AU" w:eastAsia="en-AU"/>
              </w:rPr>
              <w:t>Expected Results Statements</w:t>
            </w:r>
          </w:p>
        </w:tc>
        <w:tc>
          <w:tcPr>
            <w:tcW w:w="2410" w:type="dxa"/>
            <w:tcBorders>
              <w:top w:val="single" w:sz="12" w:space="0" w:color="auto"/>
              <w:bottom w:val="single" w:sz="12" w:space="0" w:color="auto"/>
            </w:tcBorders>
            <w:shd w:val="clear" w:color="000000" w:fill="B4C6E7"/>
            <w:noWrap/>
            <w:vAlign w:val="center"/>
            <w:hideMark/>
          </w:tcPr>
          <w:p w14:paraId="4ADD69E2" w14:textId="2782EBB9" w:rsidR="00786940" w:rsidRPr="00CE1F20" w:rsidRDefault="00786940" w:rsidP="0015435E">
            <w:pPr>
              <w:spacing w:after="0" w:line="240" w:lineRule="auto"/>
              <w:jc w:val="center"/>
              <w:rPr>
                <w:rFonts w:asciiTheme="minorHAnsi" w:eastAsia="Times New Roman" w:hAnsiTheme="minorHAnsi" w:cstheme="minorHAnsi"/>
                <w:b/>
                <w:bCs/>
                <w:sz w:val="18"/>
                <w:szCs w:val="18"/>
                <w:lang w:val="en-AU" w:eastAsia="en-AU"/>
              </w:rPr>
            </w:pPr>
            <w:r>
              <w:rPr>
                <w:rFonts w:asciiTheme="minorHAnsi" w:eastAsia="Times New Roman" w:hAnsiTheme="minorHAnsi" w:cstheme="minorHAnsi"/>
                <w:b/>
                <w:bCs/>
                <w:sz w:val="18"/>
                <w:szCs w:val="18"/>
                <w:lang w:val="en-AU" w:eastAsia="en-AU"/>
              </w:rPr>
              <w:t>Assessment</w:t>
            </w:r>
          </w:p>
        </w:tc>
      </w:tr>
      <w:tr w:rsidR="00786940" w:rsidRPr="00CE1F20" w14:paraId="499597D0" w14:textId="77777777" w:rsidTr="00695F40">
        <w:trPr>
          <w:trHeight w:val="285"/>
        </w:trPr>
        <w:tc>
          <w:tcPr>
            <w:tcW w:w="5240" w:type="dxa"/>
            <w:tcBorders>
              <w:top w:val="single" w:sz="12" w:space="0" w:color="auto"/>
            </w:tcBorders>
            <w:shd w:val="clear" w:color="auto" w:fill="auto"/>
            <w:hideMark/>
          </w:tcPr>
          <w:p w14:paraId="1675F48D" w14:textId="77777777" w:rsidR="00786940" w:rsidRPr="00CE1F20" w:rsidRDefault="00786940" w:rsidP="0015435E">
            <w:pPr>
              <w:spacing w:after="0" w:line="240" w:lineRule="auto"/>
              <w:rPr>
                <w:rFonts w:asciiTheme="minorHAnsi" w:eastAsia="Times New Roman" w:hAnsiTheme="minorHAnsi" w:cstheme="minorHAnsi"/>
                <w:color w:val="000000"/>
                <w:sz w:val="18"/>
                <w:szCs w:val="18"/>
                <w:lang w:val="en-AU" w:eastAsia="en-AU"/>
              </w:rPr>
            </w:pPr>
            <w:r w:rsidRPr="00CE1F20">
              <w:rPr>
                <w:rFonts w:asciiTheme="minorHAnsi" w:eastAsia="Times New Roman" w:hAnsiTheme="minorHAnsi" w:cstheme="minorHAnsi"/>
                <w:color w:val="000000" w:themeColor="text1"/>
                <w:sz w:val="18"/>
                <w:szCs w:val="18"/>
                <w:lang w:val="en-AU"/>
              </w:rPr>
              <w:t>Analysis and peer review of initial self-assessments completed and shared to EAs by EACI (100%)</w:t>
            </w:r>
          </w:p>
        </w:tc>
        <w:tc>
          <w:tcPr>
            <w:tcW w:w="2410" w:type="dxa"/>
            <w:tcBorders>
              <w:top w:val="single" w:sz="12" w:space="0" w:color="auto"/>
            </w:tcBorders>
            <w:shd w:val="clear" w:color="auto" w:fill="FFFFFF" w:themeFill="background1"/>
            <w:noWrap/>
            <w:hideMark/>
          </w:tcPr>
          <w:p w14:paraId="46337FF7" w14:textId="6A5240CF" w:rsidR="00786940" w:rsidRPr="00CE1F20" w:rsidRDefault="00786940" w:rsidP="0015435E">
            <w:pPr>
              <w:spacing w:after="0" w:line="240" w:lineRule="auto"/>
              <w:jc w:val="center"/>
              <w:rPr>
                <w:rFonts w:asciiTheme="minorHAnsi" w:eastAsia="Times New Roman" w:hAnsiTheme="minorHAnsi" w:cstheme="minorHAnsi"/>
                <w:color w:val="000000"/>
                <w:sz w:val="18"/>
                <w:szCs w:val="18"/>
                <w:lang w:val="en-AU" w:eastAsia="en-AU"/>
              </w:rPr>
            </w:pPr>
            <w:r>
              <w:rPr>
                <w:rFonts w:asciiTheme="minorHAnsi" w:eastAsia="Times New Roman" w:hAnsiTheme="minorHAnsi" w:cstheme="minorHAnsi"/>
                <w:color w:val="000000"/>
                <w:sz w:val="18"/>
                <w:szCs w:val="18"/>
                <w:lang w:val="en-AU" w:eastAsia="en-AU"/>
              </w:rPr>
              <w:t>75% (of 100%)</w:t>
            </w:r>
          </w:p>
        </w:tc>
      </w:tr>
    </w:tbl>
    <w:p w14:paraId="18C0AE9F" w14:textId="0C485DA3" w:rsidR="003973F8" w:rsidRDefault="00DD3E1C" w:rsidP="0015435E">
      <w:pPr>
        <w:spacing w:before="240" w:line="240" w:lineRule="auto"/>
        <w:ind w:left="-57"/>
        <w:jc w:val="both"/>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An </w:t>
      </w:r>
      <w:r w:rsidR="00FA7735">
        <w:rPr>
          <w:rFonts w:asciiTheme="minorHAnsi" w:eastAsia="Times New Roman" w:hAnsiTheme="minorHAnsi" w:cstheme="minorHAnsi"/>
          <w:lang w:val="en-AU" w:eastAsia="en-AU"/>
        </w:rPr>
        <w:t>EA self-assessment tool was developed in June 2019 that collate</w:t>
      </w:r>
      <w:r>
        <w:rPr>
          <w:rFonts w:asciiTheme="minorHAnsi" w:eastAsia="Times New Roman" w:hAnsiTheme="minorHAnsi" w:cstheme="minorHAnsi"/>
          <w:lang w:val="en-AU" w:eastAsia="en-AU"/>
        </w:rPr>
        <w:t>s</w:t>
      </w:r>
      <w:r w:rsidR="00FA7735">
        <w:rPr>
          <w:rFonts w:asciiTheme="minorHAnsi" w:eastAsia="Times New Roman" w:hAnsiTheme="minorHAnsi" w:cstheme="minorHAnsi"/>
          <w:lang w:val="en-AU" w:eastAsia="en-AU"/>
        </w:rPr>
        <w:t xml:space="preserve"> all the </w:t>
      </w:r>
      <w:r>
        <w:rPr>
          <w:rFonts w:asciiTheme="minorHAnsi" w:eastAsia="Times New Roman" w:hAnsiTheme="minorHAnsi" w:cstheme="minorHAnsi"/>
          <w:lang w:val="en-AU" w:eastAsia="en-AU"/>
        </w:rPr>
        <w:t xml:space="preserve">individual </w:t>
      </w:r>
      <w:r w:rsidR="00FA7735">
        <w:rPr>
          <w:rFonts w:asciiTheme="minorHAnsi" w:eastAsia="Times New Roman" w:hAnsiTheme="minorHAnsi" w:cstheme="minorHAnsi"/>
          <w:lang w:val="en-AU" w:eastAsia="en-AU"/>
        </w:rPr>
        <w:t>EA self-assessment results and identifi</w:t>
      </w:r>
      <w:r>
        <w:rPr>
          <w:rFonts w:asciiTheme="minorHAnsi" w:eastAsia="Times New Roman" w:hAnsiTheme="minorHAnsi" w:cstheme="minorHAnsi"/>
          <w:lang w:val="en-AU" w:eastAsia="en-AU"/>
        </w:rPr>
        <w:t>es</w:t>
      </w:r>
      <w:r w:rsidR="00FA7735">
        <w:rPr>
          <w:rFonts w:asciiTheme="minorHAnsi" w:eastAsia="Times New Roman" w:hAnsiTheme="minorHAnsi" w:cstheme="minorHAnsi"/>
          <w:lang w:val="en-AU" w:eastAsia="en-AU"/>
        </w:rPr>
        <w:t xml:space="preserve"> the critical areas for support across all EAs and specific EAs. The critical areas highlighted in the analysis were then used to assist with the MEHRD Annual Work planning for 2020.</w:t>
      </w:r>
      <w:r w:rsidR="00B6287C">
        <w:rPr>
          <w:rFonts w:asciiTheme="minorHAnsi" w:eastAsia="Times New Roman" w:hAnsiTheme="minorHAnsi" w:cstheme="minorHAnsi"/>
          <w:lang w:val="en-AU" w:eastAsia="en-AU"/>
        </w:rPr>
        <w:t xml:space="preserve"> </w:t>
      </w:r>
      <w:r w:rsidR="002921EF">
        <w:rPr>
          <w:rFonts w:asciiTheme="minorHAnsi" w:eastAsia="Times New Roman" w:hAnsiTheme="minorHAnsi" w:cstheme="minorHAnsi"/>
          <w:lang w:val="en-AU" w:eastAsia="en-AU"/>
        </w:rPr>
        <w:t>The p</w:t>
      </w:r>
      <w:r w:rsidR="003973F8" w:rsidRPr="00333FEB">
        <w:rPr>
          <w:rFonts w:asciiTheme="minorHAnsi" w:eastAsia="Times New Roman" w:hAnsiTheme="minorHAnsi" w:cstheme="minorHAnsi"/>
          <w:lang w:val="en-AU" w:eastAsia="en-AU"/>
        </w:rPr>
        <w:t xml:space="preserve">eer </w:t>
      </w:r>
      <w:r w:rsidR="00B6287C">
        <w:rPr>
          <w:rFonts w:asciiTheme="minorHAnsi" w:eastAsia="Times New Roman" w:hAnsiTheme="minorHAnsi" w:cstheme="minorHAnsi"/>
          <w:lang w:val="en-AU" w:eastAsia="en-AU"/>
        </w:rPr>
        <w:t>a</w:t>
      </w:r>
      <w:r w:rsidR="003973F8" w:rsidRPr="00333FEB">
        <w:rPr>
          <w:rFonts w:asciiTheme="minorHAnsi" w:eastAsia="Times New Roman" w:hAnsiTheme="minorHAnsi" w:cstheme="minorHAnsi"/>
          <w:lang w:val="en-AU" w:eastAsia="en-AU"/>
        </w:rPr>
        <w:t>ssessment</w:t>
      </w:r>
      <w:r>
        <w:rPr>
          <w:rFonts w:asciiTheme="minorHAnsi" w:eastAsia="Times New Roman" w:hAnsiTheme="minorHAnsi" w:cstheme="minorHAnsi"/>
          <w:lang w:val="en-AU" w:eastAsia="en-AU"/>
        </w:rPr>
        <w:t xml:space="preserve"> process was limited with only</w:t>
      </w:r>
      <w:r w:rsidR="003973F8" w:rsidRPr="00333FEB">
        <w:rPr>
          <w:rFonts w:asciiTheme="minorHAnsi" w:eastAsia="Times New Roman" w:hAnsiTheme="minorHAnsi" w:cstheme="minorHAnsi"/>
          <w:lang w:val="en-AU" w:eastAsia="en-AU"/>
        </w:rPr>
        <w:t xml:space="preserve"> </w:t>
      </w:r>
      <w:r>
        <w:rPr>
          <w:rFonts w:asciiTheme="minorHAnsi" w:eastAsia="Times New Roman" w:hAnsiTheme="minorHAnsi" w:cstheme="minorHAnsi"/>
          <w:lang w:val="en-AU" w:eastAsia="en-AU"/>
        </w:rPr>
        <w:t xml:space="preserve">the </w:t>
      </w:r>
      <w:r w:rsidR="003973F8" w:rsidRPr="00333FEB">
        <w:rPr>
          <w:rFonts w:asciiTheme="minorHAnsi" w:eastAsia="Times New Roman" w:hAnsiTheme="minorHAnsi" w:cstheme="minorHAnsi"/>
          <w:lang w:val="en-AU" w:eastAsia="en-AU"/>
        </w:rPr>
        <w:t>U</w:t>
      </w:r>
      <w:r w:rsidR="00B6287C">
        <w:rPr>
          <w:rFonts w:asciiTheme="minorHAnsi" w:eastAsia="Times New Roman" w:hAnsiTheme="minorHAnsi" w:cstheme="minorHAnsi"/>
          <w:lang w:val="en-AU" w:eastAsia="en-AU"/>
        </w:rPr>
        <w:t xml:space="preserve">niting </w:t>
      </w:r>
      <w:r w:rsidR="003973F8" w:rsidRPr="00333FEB">
        <w:rPr>
          <w:rFonts w:asciiTheme="minorHAnsi" w:eastAsia="Times New Roman" w:hAnsiTheme="minorHAnsi" w:cstheme="minorHAnsi"/>
          <w:lang w:val="en-AU" w:eastAsia="en-AU"/>
        </w:rPr>
        <w:t>C</w:t>
      </w:r>
      <w:r w:rsidR="00B6287C">
        <w:rPr>
          <w:rFonts w:asciiTheme="minorHAnsi" w:eastAsia="Times New Roman" w:hAnsiTheme="minorHAnsi" w:cstheme="minorHAnsi"/>
          <w:lang w:val="en-AU" w:eastAsia="en-AU"/>
        </w:rPr>
        <w:t xml:space="preserve">hurch of </w:t>
      </w:r>
      <w:r w:rsidR="003973F8" w:rsidRPr="00333FEB">
        <w:rPr>
          <w:rFonts w:asciiTheme="minorHAnsi" w:eastAsia="Times New Roman" w:hAnsiTheme="minorHAnsi" w:cstheme="minorHAnsi"/>
          <w:lang w:val="en-AU" w:eastAsia="en-AU"/>
        </w:rPr>
        <w:t>S</w:t>
      </w:r>
      <w:r w:rsidR="00B6287C">
        <w:rPr>
          <w:rFonts w:asciiTheme="minorHAnsi" w:eastAsia="Times New Roman" w:hAnsiTheme="minorHAnsi" w:cstheme="minorHAnsi"/>
          <w:lang w:val="en-AU" w:eastAsia="en-AU"/>
        </w:rPr>
        <w:t xml:space="preserve">olomon </w:t>
      </w:r>
      <w:r w:rsidR="003973F8" w:rsidRPr="00333FEB">
        <w:rPr>
          <w:rFonts w:asciiTheme="minorHAnsi" w:eastAsia="Times New Roman" w:hAnsiTheme="minorHAnsi" w:cstheme="minorHAnsi"/>
          <w:lang w:val="en-AU" w:eastAsia="en-AU"/>
        </w:rPr>
        <w:t>I</w:t>
      </w:r>
      <w:r w:rsidR="00B6287C">
        <w:rPr>
          <w:rFonts w:asciiTheme="minorHAnsi" w:eastAsia="Times New Roman" w:hAnsiTheme="minorHAnsi" w:cstheme="minorHAnsi"/>
          <w:lang w:val="en-AU" w:eastAsia="en-AU"/>
        </w:rPr>
        <w:t>slands</w:t>
      </w:r>
      <w:r w:rsidR="003973F8" w:rsidRPr="00333FEB">
        <w:rPr>
          <w:rFonts w:asciiTheme="minorHAnsi" w:eastAsia="Times New Roman" w:hAnsiTheme="minorHAnsi" w:cstheme="minorHAnsi"/>
          <w:lang w:val="en-AU" w:eastAsia="en-AU"/>
        </w:rPr>
        <w:t xml:space="preserve"> </w:t>
      </w:r>
      <w:r w:rsidR="00FA7735">
        <w:rPr>
          <w:rFonts w:asciiTheme="minorHAnsi" w:eastAsia="Times New Roman" w:hAnsiTheme="minorHAnsi" w:cstheme="minorHAnsi"/>
          <w:lang w:val="en-AU" w:eastAsia="en-AU"/>
        </w:rPr>
        <w:t>EA</w:t>
      </w:r>
      <w:r>
        <w:rPr>
          <w:rFonts w:asciiTheme="minorHAnsi" w:eastAsia="Times New Roman" w:hAnsiTheme="minorHAnsi" w:cstheme="minorHAnsi"/>
          <w:lang w:val="en-AU" w:eastAsia="en-AU"/>
        </w:rPr>
        <w:t xml:space="preserve"> undertaking the process. The </w:t>
      </w:r>
      <w:r w:rsidR="00FA7735">
        <w:rPr>
          <w:rFonts w:asciiTheme="minorHAnsi" w:eastAsia="Times New Roman" w:hAnsiTheme="minorHAnsi" w:cstheme="minorHAnsi"/>
          <w:lang w:val="en-AU" w:eastAsia="en-AU"/>
        </w:rPr>
        <w:t xml:space="preserve">results </w:t>
      </w:r>
      <w:r>
        <w:rPr>
          <w:rFonts w:asciiTheme="minorHAnsi" w:eastAsia="Times New Roman" w:hAnsiTheme="minorHAnsi" w:cstheme="minorHAnsi"/>
          <w:lang w:val="en-AU" w:eastAsia="en-AU"/>
        </w:rPr>
        <w:t xml:space="preserve">were </w:t>
      </w:r>
      <w:r w:rsidR="00FA7735">
        <w:rPr>
          <w:rFonts w:asciiTheme="minorHAnsi" w:eastAsia="Times New Roman" w:hAnsiTheme="minorHAnsi" w:cstheme="minorHAnsi"/>
          <w:lang w:val="en-AU" w:eastAsia="en-AU"/>
        </w:rPr>
        <w:t>analysed and presented at the EA Conference in November 201</w:t>
      </w:r>
      <w:r w:rsidR="00011F9C">
        <w:rPr>
          <w:rFonts w:asciiTheme="minorHAnsi" w:eastAsia="Times New Roman" w:hAnsiTheme="minorHAnsi" w:cstheme="minorHAnsi"/>
          <w:lang w:val="en-AU" w:eastAsia="en-AU"/>
        </w:rPr>
        <w:t>9</w:t>
      </w:r>
      <w:r w:rsidR="00D36F8C">
        <w:rPr>
          <w:rFonts w:asciiTheme="minorHAnsi" w:eastAsia="Times New Roman" w:hAnsiTheme="minorHAnsi" w:cstheme="minorHAnsi"/>
          <w:lang w:val="en-AU" w:eastAsia="en-AU"/>
        </w:rPr>
        <w:t>.</w:t>
      </w:r>
    </w:p>
    <w:p w14:paraId="24357FD3" w14:textId="38F22D3B" w:rsidR="00F07814" w:rsidRPr="00F07814" w:rsidRDefault="00F07814" w:rsidP="0015435E">
      <w:pPr>
        <w:spacing w:after="0" w:line="240" w:lineRule="auto"/>
        <w:ind w:left="-57"/>
        <w:jc w:val="both"/>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 xml:space="preserve">The initial success with improved EA planning will be further enhanced during 2020 with </w:t>
      </w:r>
      <w:r w:rsidRPr="00F07814">
        <w:rPr>
          <w:rFonts w:asciiTheme="minorHAnsi" w:eastAsia="Times New Roman" w:hAnsiTheme="minorHAnsi" w:cstheme="minorHAnsi"/>
          <w:lang w:val="en-AU" w:eastAsia="en-AU"/>
        </w:rPr>
        <w:t xml:space="preserve">LEAP and EA Support </w:t>
      </w:r>
      <w:r>
        <w:rPr>
          <w:rFonts w:asciiTheme="minorHAnsi" w:eastAsia="Times New Roman" w:hAnsiTheme="minorHAnsi" w:cstheme="minorHAnsi"/>
          <w:lang w:val="en-AU" w:eastAsia="en-AU"/>
        </w:rPr>
        <w:t>D</w:t>
      </w:r>
      <w:r w:rsidRPr="00F07814">
        <w:rPr>
          <w:rFonts w:asciiTheme="minorHAnsi" w:eastAsia="Times New Roman" w:hAnsiTheme="minorHAnsi" w:cstheme="minorHAnsi"/>
          <w:lang w:val="en-AU" w:eastAsia="en-AU"/>
        </w:rPr>
        <w:t>ivision</w:t>
      </w:r>
      <w:r>
        <w:rPr>
          <w:rFonts w:asciiTheme="minorHAnsi" w:eastAsia="Times New Roman" w:hAnsiTheme="minorHAnsi" w:cstheme="minorHAnsi"/>
          <w:lang w:val="en-AU" w:eastAsia="en-AU"/>
        </w:rPr>
        <w:t xml:space="preserve"> planning to integrate</w:t>
      </w:r>
      <w:r w:rsidRPr="00F07814">
        <w:rPr>
          <w:rFonts w:asciiTheme="minorHAnsi" w:eastAsia="Times New Roman" w:hAnsiTheme="minorHAnsi" w:cstheme="minorHAnsi"/>
          <w:lang w:val="en-AU" w:eastAsia="en-AU"/>
        </w:rPr>
        <w:t xml:space="preserve"> the LEAP mentoring </w:t>
      </w:r>
      <w:r>
        <w:rPr>
          <w:rFonts w:asciiTheme="minorHAnsi" w:eastAsia="Times New Roman" w:hAnsiTheme="minorHAnsi" w:cstheme="minorHAnsi"/>
          <w:lang w:val="en-AU" w:eastAsia="en-AU"/>
        </w:rPr>
        <w:t xml:space="preserve">strategies into EA planning. </w:t>
      </w:r>
      <w:r w:rsidRPr="00F07814">
        <w:rPr>
          <w:rFonts w:asciiTheme="minorHAnsi" w:eastAsia="Times New Roman" w:hAnsiTheme="minorHAnsi" w:cstheme="minorHAnsi"/>
          <w:lang w:val="en-AU" w:eastAsia="en-AU"/>
        </w:rPr>
        <w:t>EA Support</w:t>
      </w:r>
      <w:r w:rsidR="0046199E">
        <w:rPr>
          <w:rFonts w:asciiTheme="minorHAnsi" w:eastAsia="Times New Roman" w:hAnsiTheme="minorHAnsi" w:cstheme="minorHAnsi"/>
          <w:lang w:val="en-AU" w:eastAsia="en-AU"/>
        </w:rPr>
        <w:t xml:space="preserve"> Division</w:t>
      </w:r>
      <w:r w:rsidRPr="00F07814">
        <w:rPr>
          <w:rFonts w:asciiTheme="minorHAnsi" w:eastAsia="Times New Roman" w:hAnsiTheme="minorHAnsi" w:cstheme="minorHAnsi"/>
          <w:lang w:val="en-AU" w:eastAsia="en-AU"/>
        </w:rPr>
        <w:t xml:space="preserve"> is planning to </w:t>
      </w:r>
      <w:r w:rsidR="0046199E">
        <w:rPr>
          <w:rFonts w:asciiTheme="minorHAnsi" w:eastAsia="Times New Roman" w:hAnsiTheme="minorHAnsi" w:cstheme="minorHAnsi"/>
          <w:lang w:val="en-AU" w:eastAsia="en-AU"/>
        </w:rPr>
        <w:t xml:space="preserve">use the lessons learned to further </w:t>
      </w:r>
      <w:r w:rsidRPr="00F07814">
        <w:rPr>
          <w:rFonts w:asciiTheme="minorHAnsi" w:eastAsia="Times New Roman" w:hAnsiTheme="minorHAnsi" w:cstheme="minorHAnsi"/>
          <w:lang w:val="en-AU" w:eastAsia="en-AU"/>
        </w:rPr>
        <w:t>develop improvement plans for the EA and to also provide more support on how the EA can be able to perform their roles and functions more effectively.</w:t>
      </w:r>
    </w:p>
    <w:p w14:paraId="32F7C721" w14:textId="77777777" w:rsidR="003973F8" w:rsidRDefault="003973F8" w:rsidP="0015435E">
      <w:pPr>
        <w:spacing w:after="0" w:line="240" w:lineRule="auto"/>
        <w:ind w:left="-57"/>
        <w:rPr>
          <w:rFonts w:asciiTheme="minorHAnsi" w:eastAsia="Times New Roman" w:hAnsiTheme="minorHAnsi" w:cstheme="minorHAnsi"/>
          <w:lang w:val="en-AU" w:eastAsia="en-AU"/>
        </w:rPr>
      </w:pPr>
    </w:p>
    <w:p w14:paraId="7A5A3D92" w14:textId="7FC88B04" w:rsidR="00FF71A1" w:rsidRDefault="000F2042" w:rsidP="0015435E">
      <w:pPr>
        <w:pStyle w:val="Bodytext11"/>
        <w:spacing w:after="0"/>
        <w:rPr>
          <w:rFonts w:eastAsiaTheme="minorHAnsi" w:cstheme="minorBidi"/>
          <w:b/>
          <w:i/>
          <w:lang w:val="en-AU"/>
        </w:rPr>
      </w:pPr>
      <w:r w:rsidRPr="00F21A89">
        <w:rPr>
          <w:b/>
          <w:bCs/>
          <w:i/>
          <w:iCs/>
          <w:lang w:val="en-GB"/>
        </w:rPr>
        <w:t>3.3.1 Recurrent</w:t>
      </w:r>
      <w:r w:rsidR="003973F8" w:rsidRPr="00F21A89">
        <w:rPr>
          <w:b/>
          <w:bCs/>
          <w:i/>
          <w:iCs/>
          <w:lang w:val="en-GB"/>
        </w:rPr>
        <w:t xml:space="preserve"> expenditure for per-unit cost per student at Primary and Secondary School in 2019 is equal or greater than 2018</w:t>
      </w:r>
      <w:r w:rsidR="00D36F8C">
        <w:rPr>
          <w:b/>
          <w:bCs/>
          <w:i/>
          <w:iCs/>
          <w:lang w:val="en-GB"/>
        </w:rPr>
        <w:t xml:space="preserve"> </w:t>
      </w:r>
      <w:r w:rsidR="00FF71A1" w:rsidRPr="00FF71A1">
        <w:rPr>
          <w:rFonts w:eastAsiaTheme="minorHAnsi" w:cstheme="minorBidi"/>
          <w:b/>
          <w:i/>
          <w:lang w:val="en-AU"/>
        </w:rPr>
        <w:t>SIG allocation for per unit cost per education sector</w:t>
      </w:r>
      <w:r w:rsidR="006C376D">
        <w:rPr>
          <w:rFonts w:eastAsiaTheme="minorHAnsi" w:cstheme="minorBidi"/>
          <w:b/>
          <w:i/>
          <w:lang w:val="en-AU"/>
        </w:rPr>
        <w:t>.</w:t>
      </w:r>
    </w:p>
    <w:p w14:paraId="4B8A03D3" w14:textId="08C19ABC" w:rsidR="006C376D" w:rsidRDefault="006C376D" w:rsidP="0015435E">
      <w:pPr>
        <w:pStyle w:val="Bodytext11"/>
        <w:spacing w:after="0"/>
        <w:rPr>
          <w:rFonts w:eastAsiaTheme="minorHAnsi" w:cstheme="minorBidi"/>
          <w:b/>
          <w:i/>
          <w:lang w:val="en-AU"/>
        </w:rPr>
      </w:pPr>
    </w:p>
    <w:tbl>
      <w:tblPr>
        <w:tblW w:w="76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98"/>
        <w:gridCol w:w="2552"/>
      </w:tblGrid>
      <w:tr w:rsidR="00BB3850" w:rsidRPr="00CE1F20" w14:paraId="2C14F858" w14:textId="77777777" w:rsidTr="00695F40">
        <w:trPr>
          <w:trHeight w:val="140"/>
        </w:trPr>
        <w:tc>
          <w:tcPr>
            <w:tcW w:w="5098" w:type="dxa"/>
            <w:tcBorders>
              <w:top w:val="single" w:sz="12" w:space="0" w:color="auto"/>
              <w:bottom w:val="single" w:sz="12" w:space="0" w:color="auto"/>
            </w:tcBorders>
            <w:shd w:val="clear" w:color="000000" w:fill="B4C6E7"/>
            <w:vAlign w:val="center"/>
            <w:hideMark/>
          </w:tcPr>
          <w:p w14:paraId="0F7D889F" w14:textId="77777777" w:rsidR="00BB3850" w:rsidRPr="00CE1F20" w:rsidRDefault="00BB3850" w:rsidP="0015435E">
            <w:pPr>
              <w:spacing w:after="0" w:line="240" w:lineRule="auto"/>
              <w:jc w:val="center"/>
              <w:rPr>
                <w:rFonts w:asciiTheme="minorHAnsi" w:eastAsia="Times New Roman" w:hAnsiTheme="minorHAnsi" w:cstheme="minorHAnsi"/>
                <w:b/>
                <w:bCs/>
                <w:sz w:val="18"/>
                <w:szCs w:val="18"/>
                <w:lang w:val="en-AU" w:eastAsia="en-AU"/>
              </w:rPr>
            </w:pPr>
            <w:r w:rsidRPr="00CE1F20">
              <w:rPr>
                <w:rFonts w:asciiTheme="minorHAnsi" w:eastAsia="Times New Roman" w:hAnsiTheme="minorHAnsi" w:cstheme="minorHAnsi"/>
                <w:b/>
                <w:bCs/>
                <w:sz w:val="18"/>
                <w:szCs w:val="18"/>
                <w:lang w:val="en-AU" w:eastAsia="en-AU"/>
              </w:rPr>
              <w:t>Expected Results Statements</w:t>
            </w:r>
          </w:p>
        </w:tc>
        <w:tc>
          <w:tcPr>
            <w:tcW w:w="2552" w:type="dxa"/>
            <w:tcBorders>
              <w:top w:val="single" w:sz="12" w:space="0" w:color="auto"/>
              <w:bottom w:val="single" w:sz="12" w:space="0" w:color="auto"/>
            </w:tcBorders>
            <w:shd w:val="clear" w:color="000000" w:fill="B4C6E7"/>
            <w:noWrap/>
            <w:vAlign w:val="center"/>
            <w:hideMark/>
          </w:tcPr>
          <w:p w14:paraId="5DEF02B8" w14:textId="6D3CCC4A" w:rsidR="00BB3850" w:rsidRPr="00CE1F20" w:rsidRDefault="00BB3850" w:rsidP="0015435E">
            <w:pPr>
              <w:spacing w:after="0" w:line="240" w:lineRule="auto"/>
              <w:jc w:val="center"/>
              <w:rPr>
                <w:rFonts w:asciiTheme="minorHAnsi" w:eastAsia="Times New Roman" w:hAnsiTheme="minorHAnsi" w:cstheme="minorHAnsi"/>
                <w:b/>
                <w:bCs/>
                <w:sz w:val="18"/>
                <w:szCs w:val="18"/>
                <w:lang w:val="en-AU" w:eastAsia="en-AU"/>
              </w:rPr>
            </w:pPr>
            <w:r>
              <w:rPr>
                <w:rFonts w:asciiTheme="minorHAnsi" w:eastAsia="Times New Roman" w:hAnsiTheme="minorHAnsi" w:cstheme="minorHAnsi"/>
                <w:b/>
                <w:bCs/>
                <w:sz w:val="18"/>
                <w:szCs w:val="18"/>
                <w:lang w:val="en-AU" w:eastAsia="en-AU"/>
              </w:rPr>
              <w:t>Assessment</w:t>
            </w:r>
          </w:p>
        </w:tc>
      </w:tr>
      <w:tr w:rsidR="00BB3850" w:rsidRPr="00CE1F20" w14:paraId="59C5C3B6" w14:textId="77777777" w:rsidTr="00695F40">
        <w:trPr>
          <w:trHeight w:val="155"/>
        </w:trPr>
        <w:tc>
          <w:tcPr>
            <w:tcW w:w="5098" w:type="dxa"/>
            <w:tcBorders>
              <w:top w:val="single" w:sz="12" w:space="0" w:color="auto"/>
            </w:tcBorders>
            <w:shd w:val="clear" w:color="auto" w:fill="auto"/>
            <w:hideMark/>
          </w:tcPr>
          <w:p w14:paraId="6EE045E3" w14:textId="77777777" w:rsidR="00BB3850" w:rsidRPr="00CE1F20" w:rsidRDefault="00BB3850" w:rsidP="0015435E">
            <w:pPr>
              <w:spacing w:after="0" w:line="240" w:lineRule="auto"/>
              <w:rPr>
                <w:rFonts w:asciiTheme="minorHAnsi" w:eastAsia="Times New Roman" w:hAnsiTheme="minorHAnsi" w:cstheme="minorHAnsi"/>
                <w:color w:val="000000"/>
                <w:sz w:val="18"/>
                <w:szCs w:val="18"/>
                <w:lang w:val="en-AU" w:eastAsia="en-AU"/>
              </w:rPr>
            </w:pPr>
            <w:r w:rsidRPr="00CE1F20">
              <w:rPr>
                <w:rFonts w:asciiTheme="minorHAnsi" w:eastAsia="Times New Roman" w:hAnsiTheme="minorHAnsi" w:cstheme="minorHAnsi"/>
                <w:color w:val="000000"/>
                <w:sz w:val="18"/>
                <w:szCs w:val="18"/>
                <w:lang w:val="en-AU" w:eastAsia="en-AU"/>
              </w:rPr>
              <w:t>Calculate using real prices, recurrent allocation includes primary (50%) and secondary (50%) grant component. (2019 Annual Report, expenditure report (actuals)</w:t>
            </w:r>
          </w:p>
          <w:p w14:paraId="2CE60795" w14:textId="77777777" w:rsidR="00BB3850" w:rsidRPr="00CE1F20" w:rsidRDefault="00BB3850" w:rsidP="0015435E">
            <w:pPr>
              <w:spacing w:after="0" w:line="240" w:lineRule="auto"/>
              <w:rPr>
                <w:rFonts w:asciiTheme="minorHAnsi" w:eastAsia="Times New Roman" w:hAnsiTheme="minorHAnsi" w:cstheme="minorHAnsi"/>
                <w:color w:val="000000"/>
                <w:sz w:val="18"/>
                <w:szCs w:val="18"/>
                <w:lang w:val="en-AU" w:eastAsia="en-AU"/>
              </w:rPr>
            </w:pPr>
          </w:p>
        </w:tc>
        <w:tc>
          <w:tcPr>
            <w:tcW w:w="2552" w:type="dxa"/>
            <w:tcBorders>
              <w:top w:val="single" w:sz="12" w:space="0" w:color="auto"/>
            </w:tcBorders>
            <w:shd w:val="clear" w:color="auto" w:fill="FFFFFF" w:themeFill="background1"/>
            <w:noWrap/>
            <w:hideMark/>
          </w:tcPr>
          <w:p w14:paraId="22ED4CDC" w14:textId="77777777" w:rsidR="00BB3850" w:rsidRDefault="007E5ADF" w:rsidP="0015435E">
            <w:pPr>
              <w:spacing w:after="0" w:line="240" w:lineRule="auto"/>
              <w:jc w:val="center"/>
              <w:rPr>
                <w:rFonts w:asciiTheme="minorHAnsi" w:eastAsia="Times New Roman" w:hAnsiTheme="minorHAnsi" w:cstheme="minorHAnsi"/>
                <w:color w:val="000000"/>
                <w:sz w:val="18"/>
                <w:szCs w:val="18"/>
                <w:lang w:val="en-AU" w:eastAsia="en-AU"/>
              </w:rPr>
            </w:pPr>
            <w:r>
              <w:rPr>
                <w:rFonts w:asciiTheme="minorHAnsi" w:eastAsia="Times New Roman" w:hAnsiTheme="minorHAnsi" w:cstheme="minorHAnsi"/>
                <w:color w:val="000000"/>
                <w:sz w:val="18"/>
                <w:szCs w:val="18"/>
                <w:lang w:val="en-AU" w:eastAsia="en-AU"/>
              </w:rPr>
              <w:t>Primary 100% (of 50%)</w:t>
            </w:r>
          </w:p>
          <w:p w14:paraId="0FBDAB2F" w14:textId="602949D1" w:rsidR="007E5ADF" w:rsidRPr="00CE1F20" w:rsidRDefault="007E5ADF" w:rsidP="0015435E">
            <w:pPr>
              <w:spacing w:after="0" w:line="240" w:lineRule="auto"/>
              <w:jc w:val="center"/>
              <w:rPr>
                <w:rFonts w:asciiTheme="minorHAnsi" w:eastAsia="Times New Roman" w:hAnsiTheme="minorHAnsi" w:cstheme="minorHAnsi"/>
                <w:color w:val="000000"/>
                <w:sz w:val="18"/>
                <w:szCs w:val="18"/>
                <w:lang w:val="en-AU" w:eastAsia="en-AU"/>
              </w:rPr>
            </w:pPr>
            <w:r>
              <w:rPr>
                <w:rFonts w:asciiTheme="minorHAnsi" w:eastAsia="Times New Roman" w:hAnsiTheme="minorHAnsi" w:cstheme="minorHAnsi"/>
                <w:color w:val="000000"/>
                <w:sz w:val="18"/>
                <w:szCs w:val="18"/>
                <w:lang w:val="en-AU" w:eastAsia="en-AU"/>
              </w:rPr>
              <w:t>Secondary 100% (of 50%)</w:t>
            </w:r>
          </w:p>
        </w:tc>
      </w:tr>
    </w:tbl>
    <w:p w14:paraId="0659D30D" w14:textId="77777777" w:rsidR="006C376D" w:rsidRPr="006C376D" w:rsidRDefault="006C376D" w:rsidP="0015435E">
      <w:pPr>
        <w:pStyle w:val="Bodytext11"/>
        <w:spacing w:after="0"/>
        <w:rPr>
          <w:bCs/>
          <w:iCs/>
          <w:lang w:val="en-GB"/>
        </w:rPr>
      </w:pPr>
    </w:p>
    <w:p w14:paraId="5040F6AC" w14:textId="4B329D47" w:rsidR="00B95E71" w:rsidRPr="00011F9C" w:rsidRDefault="00B95E71" w:rsidP="0015435E">
      <w:pPr>
        <w:spacing w:after="160" w:line="240" w:lineRule="auto"/>
        <w:jc w:val="both"/>
        <w:rPr>
          <w:rFonts w:asciiTheme="minorHAnsi" w:eastAsiaTheme="minorHAnsi" w:hAnsiTheme="minorHAnsi" w:cstheme="minorBidi"/>
          <w:lang w:val="en-AU"/>
        </w:rPr>
      </w:pPr>
      <w:r>
        <w:rPr>
          <w:rFonts w:asciiTheme="minorHAnsi" w:eastAsiaTheme="minorHAnsi" w:hAnsiTheme="minorHAnsi" w:cstheme="minorBidi"/>
          <w:lang w:val="en-AU"/>
        </w:rPr>
        <w:t>The measurement of this indicator is calculated using the allocation of school grants for primary and secondary divided by the number of students in the respective education sub-sector. Data for student population cohorts were extracted from SIEMIS. Data for SIG recurrent expenditure and School Grants were provided by MEHRD Finance Division and Grants Unit.</w:t>
      </w:r>
    </w:p>
    <w:p w14:paraId="67440776" w14:textId="7282B3F5" w:rsidR="00B95E71" w:rsidRPr="006D596D" w:rsidRDefault="00E957E3" w:rsidP="009165DB">
      <w:pPr>
        <w:pStyle w:val="Tablecontent"/>
        <w:rPr>
          <w:i/>
          <w:iCs/>
          <w:sz w:val="18"/>
          <w:szCs w:val="20"/>
        </w:rPr>
      </w:pPr>
      <w:bookmarkStart w:id="33" w:name="_Toc48750606"/>
      <w:r w:rsidRPr="009165DB">
        <w:rPr>
          <w:i/>
          <w:iCs/>
          <w:sz w:val="18"/>
          <w:szCs w:val="20"/>
        </w:rPr>
        <w:t xml:space="preserve">Table </w:t>
      </w:r>
      <w:r w:rsidRPr="009165DB">
        <w:rPr>
          <w:i/>
          <w:iCs/>
          <w:sz w:val="18"/>
          <w:szCs w:val="20"/>
        </w:rPr>
        <w:fldChar w:fldCharType="begin"/>
      </w:r>
      <w:r w:rsidRPr="009165DB">
        <w:rPr>
          <w:i/>
          <w:iCs/>
          <w:sz w:val="18"/>
          <w:szCs w:val="20"/>
        </w:rPr>
        <w:instrText xml:space="preserve"> SEQ Table \* ARABIC </w:instrText>
      </w:r>
      <w:r w:rsidRPr="009165DB">
        <w:rPr>
          <w:i/>
          <w:iCs/>
          <w:sz w:val="18"/>
          <w:szCs w:val="20"/>
        </w:rPr>
        <w:fldChar w:fldCharType="separate"/>
      </w:r>
      <w:r w:rsidR="00912E1E">
        <w:rPr>
          <w:i/>
          <w:iCs/>
          <w:noProof/>
          <w:sz w:val="18"/>
          <w:szCs w:val="20"/>
        </w:rPr>
        <w:t>9</w:t>
      </w:r>
      <w:r w:rsidRPr="009165DB">
        <w:rPr>
          <w:i/>
          <w:iCs/>
          <w:sz w:val="18"/>
          <w:szCs w:val="20"/>
        </w:rPr>
        <w:fldChar w:fldCharType="end"/>
      </w:r>
      <w:r w:rsidRPr="009165DB">
        <w:rPr>
          <w:i/>
          <w:iCs/>
          <w:sz w:val="18"/>
          <w:szCs w:val="20"/>
        </w:rPr>
        <w:t xml:space="preserve">: </w:t>
      </w:r>
      <w:r w:rsidR="00B95E71" w:rsidRPr="006D596D">
        <w:rPr>
          <w:i/>
          <w:iCs/>
          <w:sz w:val="18"/>
          <w:szCs w:val="20"/>
        </w:rPr>
        <w:t>School Grants per Student Unit Cost-Primary (2017-2019)</w:t>
      </w:r>
      <w:bookmarkEnd w:id="33"/>
    </w:p>
    <w:tbl>
      <w:tblPr>
        <w:tblStyle w:val="GridTable5Dark-Accent1"/>
        <w:tblW w:w="0" w:type="auto"/>
        <w:tblLook w:val="04A0" w:firstRow="1" w:lastRow="0" w:firstColumn="1" w:lastColumn="0" w:noHBand="0" w:noVBand="1"/>
      </w:tblPr>
      <w:tblGrid>
        <w:gridCol w:w="2023"/>
        <w:gridCol w:w="2023"/>
        <w:gridCol w:w="2023"/>
        <w:gridCol w:w="2023"/>
      </w:tblGrid>
      <w:tr w:rsidR="00B95E71" w:rsidRPr="00A53194" w14:paraId="56393E6E" w14:textId="77777777" w:rsidTr="00635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vAlign w:val="center"/>
          </w:tcPr>
          <w:p w14:paraId="37DF380C" w14:textId="77777777" w:rsidR="00B95E71" w:rsidRPr="00A53194" w:rsidRDefault="00B95E71" w:rsidP="0015435E">
            <w:pPr>
              <w:spacing w:after="0" w:line="240" w:lineRule="auto"/>
              <w:jc w:val="center"/>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Primary</w:t>
            </w:r>
          </w:p>
        </w:tc>
        <w:tc>
          <w:tcPr>
            <w:tcW w:w="2023" w:type="dxa"/>
            <w:vAlign w:val="center"/>
          </w:tcPr>
          <w:p w14:paraId="0975F9B5" w14:textId="77777777" w:rsidR="00B95E71" w:rsidRPr="00A53194" w:rsidRDefault="00B95E71" w:rsidP="001543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2017</w:t>
            </w:r>
          </w:p>
        </w:tc>
        <w:tc>
          <w:tcPr>
            <w:tcW w:w="2023" w:type="dxa"/>
            <w:vAlign w:val="center"/>
          </w:tcPr>
          <w:p w14:paraId="0DF943F6" w14:textId="77777777" w:rsidR="00B95E71" w:rsidRPr="00A53194" w:rsidRDefault="00B95E71" w:rsidP="001543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2018</w:t>
            </w:r>
          </w:p>
        </w:tc>
        <w:tc>
          <w:tcPr>
            <w:tcW w:w="2023" w:type="dxa"/>
            <w:vAlign w:val="center"/>
          </w:tcPr>
          <w:p w14:paraId="2EB0F87A" w14:textId="77777777" w:rsidR="00B95E71" w:rsidRPr="00A53194" w:rsidRDefault="00B95E71" w:rsidP="001543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2019</w:t>
            </w:r>
          </w:p>
        </w:tc>
      </w:tr>
      <w:tr w:rsidR="00B95E71" w:rsidRPr="00A53194" w14:paraId="233CA26A" w14:textId="77777777" w:rsidTr="00635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vAlign w:val="center"/>
          </w:tcPr>
          <w:p w14:paraId="6D1CE131" w14:textId="77777777" w:rsidR="00B95E71" w:rsidRPr="00A53194" w:rsidRDefault="00B95E71" w:rsidP="0015435E">
            <w:pPr>
              <w:spacing w:after="0" w:line="240" w:lineRule="auto"/>
              <w:jc w:val="center"/>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Students</w:t>
            </w:r>
          </w:p>
        </w:tc>
        <w:tc>
          <w:tcPr>
            <w:tcW w:w="2023" w:type="dxa"/>
            <w:vAlign w:val="center"/>
          </w:tcPr>
          <w:p w14:paraId="07F80FD6" w14:textId="77777777" w:rsidR="00B95E71" w:rsidRPr="00A53194" w:rsidRDefault="00B95E71"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133,997</w:t>
            </w:r>
          </w:p>
        </w:tc>
        <w:tc>
          <w:tcPr>
            <w:tcW w:w="2023" w:type="dxa"/>
            <w:vAlign w:val="center"/>
          </w:tcPr>
          <w:p w14:paraId="5284421C" w14:textId="77777777" w:rsidR="00B95E71" w:rsidRPr="00A53194" w:rsidRDefault="00B95E71"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133,604</w:t>
            </w:r>
          </w:p>
        </w:tc>
        <w:tc>
          <w:tcPr>
            <w:tcW w:w="2023" w:type="dxa"/>
            <w:vAlign w:val="center"/>
          </w:tcPr>
          <w:p w14:paraId="36E8FCF2" w14:textId="77777777" w:rsidR="00B95E71" w:rsidRPr="00A53194" w:rsidRDefault="00B95E71"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130,955</w:t>
            </w:r>
          </w:p>
        </w:tc>
      </w:tr>
      <w:tr w:rsidR="00B95E71" w:rsidRPr="00A53194" w14:paraId="343CFB97" w14:textId="77777777" w:rsidTr="00635255">
        <w:tc>
          <w:tcPr>
            <w:cnfStyle w:val="001000000000" w:firstRow="0" w:lastRow="0" w:firstColumn="1" w:lastColumn="0" w:oddVBand="0" w:evenVBand="0" w:oddHBand="0" w:evenHBand="0" w:firstRowFirstColumn="0" w:firstRowLastColumn="0" w:lastRowFirstColumn="0" w:lastRowLastColumn="0"/>
            <w:tcW w:w="2023" w:type="dxa"/>
            <w:vAlign w:val="center"/>
          </w:tcPr>
          <w:p w14:paraId="682F6F75" w14:textId="77777777" w:rsidR="00B95E71" w:rsidRPr="00A53194" w:rsidRDefault="00B95E71" w:rsidP="0015435E">
            <w:pPr>
              <w:spacing w:after="0" w:line="240" w:lineRule="auto"/>
              <w:jc w:val="center"/>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Grants Primary</w:t>
            </w:r>
          </w:p>
        </w:tc>
        <w:tc>
          <w:tcPr>
            <w:tcW w:w="2023" w:type="dxa"/>
            <w:vAlign w:val="center"/>
          </w:tcPr>
          <w:p w14:paraId="7ED3C91F" w14:textId="77777777" w:rsidR="00B95E71" w:rsidRPr="00A53194" w:rsidRDefault="00B95E71"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$52,700,000</w:t>
            </w:r>
          </w:p>
        </w:tc>
        <w:tc>
          <w:tcPr>
            <w:tcW w:w="2023" w:type="dxa"/>
            <w:vAlign w:val="center"/>
          </w:tcPr>
          <w:p w14:paraId="1DD7A080" w14:textId="77777777" w:rsidR="00B95E71" w:rsidRPr="00A53194" w:rsidRDefault="00B95E71"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$56,500,000</w:t>
            </w:r>
          </w:p>
        </w:tc>
        <w:tc>
          <w:tcPr>
            <w:tcW w:w="2023" w:type="dxa"/>
            <w:vAlign w:val="center"/>
          </w:tcPr>
          <w:p w14:paraId="74351A40" w14:textId="77777777" w:rsidR="00B95E71" w:rsidRPr="00A53194" w:rsidRDefault="00B95E71"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$56,762,712</w:t>
            </w:r>
          </w:p>
        </w:tc>
      </w:tr>
      <w:tr w:rsidR="00B95E71" w:rsidRPr="00A53194" w14:paraId="29023A72" w14:textId="77777777" w:rsidTr="00635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vAlign w:val="center"/>
          </w:tcPr>
          <w:p w14:paraId="228CB0E4" w14:textId="77777777" w:rsidR="00B95E71" w:rsidRPr="00A53194" w:rsidRDefault="00B95E71" w:rsidP="0015435E">
            <w:pPr>
              <w:spacing w:after="0" w:line="240" w:lineRule="auto"/>
              <w:jc w:val="center"/>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Per Student</w:t>
            </w:r>
          </w:p>
        </w:tc>
        <w:tc>
          <w:tcPr>
            <w:tcW w:w="2023" w:type="dxa"/>
            <w:vAlign w:val="center"/>
          </w:tcPr>
          <w:p w14:paraId="0A6AD6ED" w14:textId="77777777" w:rsidR="00B95E71" w:rsidRPr="00A53194" w:rsidRDefault="00B95E71"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$393</w:t>
            </w:r>
          </w:p>
        </w:tc>
        <w:tc>
          <w:tcPr>
            <w:tcW w:w="2023" w:type="dxa"/>
            <w:vAlign w:val="center"/>
          </w:tcPr>
          <w:p w14:paraId="3FC3E923" w14:textId="77777777" w:rsidR="00B95E71" w:rsidRPr="00A53194" w:rsidRDefault="00B95E71"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$423</w:t>
            </w:r>
          </w:p>
        </w:tc>
        <w:tc>
          <w:tcPr>
            <w:tcW w:w="2023" w:type="dxa"/>
            <w:vAlign w:val="center"/>
          </w:tcPr>
          <w:p w14:paraId="59D3AF8B" w14:textId="77777777" w:rsidR="00B95E71" w:rsidRPr="00A53194" w:rsidRDefault="00B95E71"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$433</w:t>
            </w:r>
          </w:p>
        </w:tc>
      </w:tr>
    </w:tbl>
    <w:p w14:paraId="04FDFA6C" w14:textId="3101C489" w:rsidR="00E87284" w:rsidRDefault="00B56419" w:rsidP="0015435E">
      <w:pPr>
        <w:spacing w:after="160" w:line="240" w:lineRule="auto"/>
        <w:jc w:val="both"/>
        <w:rPr>
          <w:rFonts w:asciiTheme="minorHAnsi" w:eastAsiaTheme="minorHAnsi" w:hAnsiTheme="minorHAnsi" w:cstheme="minorBidi"/>
          <w:lang w:val="en-AU"/>
        </w:rPr>
      </w:pPr>
      <w:r>
        <w:rPr>
          <w:rFonts w:asciiTheme="minorHAnsi" w:eastAsiaTheme="minorHAnsi" w:hAnsiTheme="minorHAnsi" w:cstheme="minorBidi"/>
          <w:lang w:val="en-AU"/>
        </w:rPr>
        <w:t xml:space="preserve">Once adjusted to account for </w:t>
      </w:r>
      <w:r w:rsidR="00A438CA">
        <w:rPr>
          <w:rFonts w:asciiTheme="minorHAnsi" w:eastAsiaTheme="minorHAnsi" w:hAnsiTheme="minorHAnsi" w:cstheme="minorBidi"/>
          <w:lang w:val="en-AU"/>
        </w:rPr>
        <w:t xml:space="preserve">2019 </w:t>
      </w:r>
      <w:r>
        <w:rPr>
          <w:rFonts w:asciiTheme="minorHAnsi" w:eastAsiaTheme="minorHAnsi" w:hAnsiTheme="minorHAnsi" w:cstheme="minorBidi"/>
          <w:lang w:val="en-AU"/>
        </w:rPr>
        <w:t>inflation</w:t>
      </w:r>
      <w:r w:rsidR="00B52E08">
        <w:rPr>
          <w:rFonts w:asciiTheme="minorHAnsi" w:eastAsiaTheme="minorHAnsi" w:hAnsiTheme="minorHAnsi" w:cstheme="minorBidi"/>
          <w:lang w:val="en-AU"/>
        </w:rPr>
        <w:t xml:space="preserve"> (1.8%)</w:t>
      </w:r>
      <w:r>
        <w:rPr>
          <w:rFonts w:asciiTheme="minorHAnsi" w:eastAsiaTheme="minorHAnsi" w:hAnsiTheme="minorHAnsi" w:cstheme="minorBidi"/>
          <w:lang w:val="en-AU"/>
        </w:rPr>
        <w:t>, the comparative figure</w:t>
      </w:r>
      <w:r w:rsidR="004F3DCE">
        <w:rPr>
          <w:rFonts w:asciiTheme="minorHAnsi" w:eastAsiaTheme="minorHAnsi" w:hAnsiTheme="minorHAnsi" w:cstheme="minorBidi"/>
          <w:lang w:val="en-AU"/>
        </w:rPr>
        <w:t xml:space="preserve"> for 2019</w:t>
      </w:r>
      <w:r>
        <w:rPr>
          <w:rFonts w:asciiTheme="minorHAnsi" w:eastAsiaTheme="minorHAnsi" w:hAnsiTheme="minorHAnsi" w:cstheme="minorBidi"/>
          <w:lang w:val="en-AU"/>
        </w:rPr>
        <w:t xml:space="preserve"> is </w:t>
      </w:r>
      <w:r w:rsidRPr="00516331">
        <w:rPr>
          <w:rFonts w:asciiTheme="minorHAnsi" w:eastAsiaTheme="minorHAnsi" w:hAnsiTheme="minorHAnsi" w:cstheme="minorBidi"/>
          <w:b/>
          <w:bCs/>
          <w:lang w:val="en-AU"/>
        </w:rPr>
        <w:t>$425</w:t>
      </w:r>
      <w:r>
        <w:rPr>
          <w:rFonts w:asciiTheme="minorHAnsi" w:eastAsiaTheme="minorHAnsi" w:hAnsiTheme="minorHAnsi" w:cstheme="minorBidi"/>
          <w:lang w:val="en-AU"/>
        </w:rPr>
        <w:t>.</w:t>
      </w:r>
    </w:p>
    <w:p w14:paraId="6CBE028E" w14:textId="7B6A93DC" w:rsidR="00A438CA" w:rsidRPr="006D596D" w:rsidRDefault="00E957E3" w:rsidP="006D596D">
      <w:pPr>
        <w:pStyle w:val="Tablecontent"/>
        <w:rPr>
          <w:i/>
          <w:iCs/>
          <w:sz w:val="18"/>
          <w:szCs w:val="20"/>
        </w:rPr>
      </w:pPr>
      <w:bookmarkStart w:id="34" w:name="_Toc48750607"/>
      <w:r w:rsidRPr="009165DB">
        <w:rPr>
          <w:i/>
          <w:iCs/>
          <w:sz w:val="18"/>
          <w:szCs w:val="20"/>
        </w:rPr>
        <w:t xml:space="preserve">Table </w:t>
      </w:r>
      <w:r w:rsidRPr="009165DB">
        <w:rPr>
          <w:i/>
          <w:iCs/>
          <w:sz w:val="18"/>
          <w:szCs w:val="20"/>
        </w:rPr>
        <w:fldChar w:fldCharType="begin"/>
      </w:r>
      <w:r w:rsidRPr="009165DB">
        <w:rPr>
          <w:i/>
          <w:iCs/>
          <w:sz w:val="18"/>
          <w:szCs w:val="20"/>
        </w:rPr>
        <w:instrText xml:space="preserve"> SEQ Table \* ARABIC </w:instrText>
      </w:r>
      <w:r w:rsidRPr="009165DB">
        <w:rPr>
          <w:i/>
          <w:iCs/>
          <w:sz w:val="18"/>
          <w:szCs w:val="20"/>
        </w:rPr>
        <w:fldChar w:fldCharType="separate"/>
      </w:r>
      <w:r w:rsidR="00912E1E">
        <w:rPr>
          <w:i/>
          <w:iCs/>
          <w:noProof/>
          <w:sz w:val="18"/>
          <w:szCs w:val="20"/>
        </w:rPr>
        <w:t>10</w:t>
      </w:r>
      <w:r w:rsidRPr="009165DB">
        <w:rPr>
          <w:i/>
          <w:iCs/>
          <w:sz w:val="18"/>
          <w:szCs w:val="20"/>
        </w:rPr>
        <w:fldChar w:fldCharType="end"/>
      </w:r>
      <w:r w:rsidRPr="009165DB">
        <w:rPr>
          <w:i/>
          <w:iCs/>
          <w:sz w:val="18"/>
          <w:szCs w:val="20"/>
        </w:rPr>
        <w:t xml:space="preserve">: </w:t>
      </w:r>
      <w:r w:rsidR="00A438CA" w:rsidRPr="006D596D">
        <w:rPr>
          <w:i/>
          <w:iCs/>
          <w:sz w:val="18"/>
          <w:szCs w:val="20"/>
        </w:rPr>
        <w:t>School Grants per Student Cost-Secondary (2017-2019)</w:t>
      </w:r>
      <w:bookmarkEnd w:id="34"/>
    </w:p>
    <w:tbl>
      <w:tblPr>
        <w:tblStyle w:val="GridTable5Dark-Accent1"/>
        <w:tblW w:w="0" w:type="auto"/>
        <w:tblLook w:val="04A0" w:firstRow="1" w:lastRow="0" w:firstColumn="1" w:lastColumn="0" w:noHBand="0" w:noVBand="1"/>
      </w:tblPr>
      <w:tblGrid>
        <w:gridCol w:w="2023"/>
        <w:gridCol w:w="2023"/>
        <w:gridCol w:w="2023"/>
        <w:gridCol w:w="2023"/>
      </w:tblGrid>
      <w:tr w:rsidR="00A438CA" w:rsidRPr="00A53194" w14:paraId="4C78B7CC" w14:textId="77777777" w:rsidTr="00635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vAlign w:val="center"/>
          </w:tcPr>
          <w:p w14:paraId="5074F8A5" w14:textId="77777777" w:rsidR="00A438CA" w:rsidRPr="00A53194" w:rsidRDefault="00A438CA" w:rsidP="0015435E">
            <w:pPr>
              <w:spacing w:after="0" w:line="240" w:lineRule="auto"/>
              <w:jc w:val="center"/>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Secondary</w:t>
            </w:r>
          </w:p>
        </w:tc>
        <w:tc>
          <w:tcPr>
            <w:tcW w:w="2023" w:type="dxa"/>
            <w:vAlign w:val="center"/>
          </w:tcPr>
          <w:p w14:paraId="3273C3E9" w14:textId="77777777" w:rsidR="00A438CA" w:rsidRPr="00A53194" w:rsidRDefault="00A438CA" w:rsidP="001543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2017</w:t>
            </w:r>
          </w:p>
        </w:tc>
        <w:tc>
          <w:tcPr>
            <w:tcW w:w="2023" w:type="dxa"/>
            <w:vAlign w:val="center"/>
          </w:tcPr>
          <w:p w14:paraId="1E2F7FB0" w14:textId="77777777" w:rsidR="00A438CA" w:rsidRPr="00A53194" w:rsidRDefault="00A438CA" w:rsidP="001543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2018</w:t>
            </w:r>
          </w:p>
        </w:tc>
        <w:tc>
          <w:tcPr>
            <w:tcW w:w="2023" w:type="dxa"/>
            <w:vAlign w:val="center"/>
          </w:tcPr>
          <w:p w14:paraId="1F4245B3" w14:textId="77777777" w:rsidR="00A438CA" w:rsidRPr="00A53194" w:rsidRDefault="00A438CA" w:rsidP="001543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2019</w:t>
            </w:r>
          </w:p>
        </w:tc>
      </w:tr>
      <w:tr w:rsidR="00A438CA" w:rsidRPr="00A53194" w14:paraId="571B981B" w14:textId="77777777" w:rsidTr="00635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vAlign w:val="center"/>
          </w:tcPr>
          <w:p w14:paraId="4E2FE9CC" w14:textId="77777777" w:rsidR="00A438CA" w:rsidRPr="00A53194" w:rsidRDefault="00A438CA" w:rsidP="0015435E">
            <w:pPr>
              <w:spacing w:after="0" w:line="240" w:lineRule="auto"/>
              <w:jc w:val="center"/>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Students</w:t>
            </w:r>
          </w:p>
        </w:tc>
        <w:tc>
          <w:tcPr>
            <w:tcW w:w="2023" w:type="dxa"/>
            <w:vAlign w:val="center"/>
          </w:tcPr>
          <w:p w14:paraId="1F29050A" w14:textId="77777777" w:rsidR="00A438CA" w:rsidRPr="00A53194" w:rsidRDefault="00A438CA"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52,593</w:t>
            </w:r>
          </w:p>
        </w:tc>
        <w:tc>
          <w:tcPr>
            <w:tcW w:w="2023" w:type="dxa"/>
            <w:vAlign w:val="center"/>
          </w:tcPr>
          <w:p w14:paraId="03B30084" w14:textId="77777777" w:rsidR="00A438CA" w:rsidRPr="00A53194" w:rsidRDefault="00A438CA"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53,086</w:t>
            </w:r>
          </w:p>
        </w:tc>
        <w:tc>
          <w:tcPr>
            <w:tcW w:w="2023" w:type="dxa"/>
            <w:vAlign w:val="center"/>
          </w:tcPr>
          <w:p w14:paraId="05277E0E" w14:textId="77777777" w:rsidR="00A438CA" w:rsidRPr="00A53194" w:rsidRDefault="00A438CA"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52,105</w:t>
            </w:r>
          </w:p>
        </w:tc>
      </w:tr>
      <w:tr w:rsidR="00A438CA" w:rsidRPr="00A53194" w14:paraId="5CF3BB64" w14:textId="77777777" w:rsidTr="00635255">
        <w:tc>
          <w:tcPr>
            <w:cnfStyle w:val="001000000000" w:firstRow="0" w:lastRow="0" w:firstColumn="1" w:lastColumn="0" w:oddVBand="0" w:evenVBand="0" w:oddHBand="0" w:evenHBand="0" w:firstRowFirstColumn="0" w:firstRowLastColumn="0" w:lastRowFirstColumn="0" w:lastRowLastColumn="0"/>
            <w:tcW w:w="2023" w:type="dxa"/>
            <w:vAlign w:val="center"/>
          </w:tcPr>
          <w:p w14:paraId="58A7266A" w14:textId="77777777" w:rsidR="00A438CA" w:rsidRPr="00A53194" w:rsidRDefault="00A438CA" w:rsidP="0015435E">
            <w:pPr>
              <w:spacing w:after="0" w:line="240" w:lineRule="auto"/>
              <w:jc w:val="center"/>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Grants Secondary</w:t>
            </w:r>
          </w:p>
        </w:tc>
        <w:tc>
          <w:tcPr>
            <w:tcW w:w="2023" w:type="dxa"/>
            <w:vAlign w:val="center"/>
          </w:tcPr>
          <w:p w14:paraId="1F798BD9" w14:textId="77777777" w:rsidR="00A438CA" w:rsidRPr="00A53194" w:rsidRDefault="00A438CA"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$64,400,000</w:t>
            </w:r>
          </w:p>
        </w:tc>
        <w:tc>
          <w:tcPr>
            <w:tcW w:w="2023" w:type="dxa"/>
            <w:vAlign w:val="center"/>
          </w:tcPr>
          <w:p w14:paraId="14F6C76C" w14:textId="77777777" w:rsidR="00A438CA" w:rsidRPr="00A53194" w:rsidRDefault="00A438CA"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$66,700,000</w:t>
            </w:r>
          </w:p>
        </w:tc>
        <w:tc>
          <w:tcPr>
            <w:tcW w:w="2023" w:type="dxa"/>
            <w:vAlign w:val="center"/>
          </w:tcPr>
          <w:p w14:paraId="5A4D2791" w14:textId="77777777" w:rsidR="00A438CA" w:rsidRPr="00A53194" w:rsidRDefault="00A438CA"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$66,008,000</w:t>
            </w:r>
          </w:p>
        </w:tc>
      </w:tr>
      <w:tr w:rsidR="00A438CA" w:rsidRPr="00A53194" w14:paraId="0D68D25B" w14:textId="77777777" w:rsidTr="00635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vAlign w:val="center"/>
          </w:tcPr>
          <w:p w14:paraId="0D68E3BE" w14:textId="77777777" w:rsidR="00A438CA" w:rsidRPr="00A53194" w:rsidRDefault="00A438CA" w:rsidP="0015435E">
            <w:pPr>
              <w:spacing w:after="0" w:line="240" w:lineRule="auto"/>
              <w:jc w:val="center"/>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Per Student</w:t>
            </w:r>
          </w:p>
        </w:tc>
        <w:tc>
          <w:tcPr>
            <w:tcW w:w="2023" w:type="dxa"/>
            <w:vAlign w:val="center"/>
          </w:tcPr>
          <w:p w14:paraId="0BF59F88" w14:textId="77777777" w:rsidR="00A438CA" w:rsidRPr="00A53194" w:rsidRDefault="00A438CA"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$1244</w:t>
            </w:r>
          </w:p>
        </w:tc>
        <w:tc>
          <w:tcPr>
            <w:tcW w:w="2023" w:type="dxa"/>
            <w:vAlign w:val="center"/>
          </w:tcPr>
          <w:p w14:paraId="68F5DE06" w14:textId="77777777" w:rsidR="00A438CA" w:rsidRPr="00A53194" w:rsidRDefault="00A438CA"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$1256</w:t>
            </w:r>
          </w:p>
        </w:tc>
        <w:tc>
          <w:tcPr>
            <w:tcW w:w="2023" w:type="dxa"/>
            <w:vAlign w:val="center"/>
          </w:tcPr>
          <w:p w14:paraId="3B53802B" w14:textId="77777777" w:rsidR="00A438CA" w:rsidRPr="00A53194" w:rsidRDefault="00A438CA"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$1283</w:t>
            </w:r>
          </w:p>
        </w:tc>
      </w:tr>
    </w:tbl>
    <w:p w14:paraId="71DC608F" w14:textId="283AD47A" w:rsidR="00A438CA" w:rsidRDefault="00A438CA" w:rsidP="0015435E">
      <w:pPr>
        <w:spacing w:after="160" w:line="240" w:lineRule="auto"/>
        <w:jc w:val="both"/>
        <w:rPr>
          <w:rFonts w:asciiTheme="minorHAnsi" w:eastAsiaTheme="minorHAnsi" w:hAnsiTheme="minorHAnsi" w:cstheme="minorBidi"/>
          <w:lang w:val="en-AU"/>
        </w:rPr>
      </w:pPr>
      <w:r>
        <w:rPr>
          <w:rFonts w:asciiTheme="minorHAnsi" w:eastAsiaTheme="minorHAnsi" w:hAnsiTheme="minorHAnsi" w:cstheme="minorBidi"/>
          <w:lang w:val="en-AU"/>
        </w:rPr>
        <w:t>Once adjusted to account for 2019 inflation</w:t>
      </w:r>
      <w:r w:rsidR="00B52E08">
        <w:rPr>
          <w:rFonts w:asciiTheme="minorHAnsi" w:eastAsiaTheme="minorHAnsi" w:hAnsiTheme="minorHAnsi" w:cstheme="minorBidi"/>
          <w:lang w:val="en-AU"/>
        </w:rPr>
        <w:t xml:space="preserve"> (1.8%)</w:t>
      </w:r>
      <w:r>
        <w:rPr>
          <w:rFonts w:asciiTheme="minorHAnsi" w:eastAsiaTheme="minorHAnsi" w:hAnsiTheme="minorHAnsi" w:cstheme="minorBidi"/>
          <w:lang w:val="en-AU"/>
        </w:rPr>
        <w:t>, the comparative figure</w:t>
      </w:r>
      <w:r w:rsidR="004F3DCE">
        <w:rPr>
          <w:rFonts w:asciiTheme="minorHAnsi" w:eastAsiaTheme="minorHAnsi" w:hAnsiTheme="minorHAnsi" w:cstheme="minorBidi"/>
          <w:lang w:val="en-AU"/>
        </w:rPr>
        <w:t xml:space="preserve"> for 2019</w:t>
      </w:r>
      <w:r>
        <w:rPr>
          <w:rFonts w:asciiTheme="minorHAnsi" w:eastAsiaTheme="minorHAnsi" w:hAnsiTheme="minorHAnsi" w:cstheme="minorBidi"/>
          <w:lang w:val="en-AU"/>
        </w:rPr>
        <w:t xml:space="preserve"> is </w:t>
      </w:r>
      <w:r w:rsidR="00846EE5" w:rsidRPr="00516331">
        <w:rPr>
          <w:rFonts w:asciiTheme="minorHAnsi" w:eastAsiaTheme="minorHAnsi" w:hAnsiTheme="minorHAnsi" w:cstheme="minorBidi"/>
          <w:b/>
          <w:bCs/>
          <w:lang w:val="en-AU"/>
        </w:rPr>
        <w:t>$1,260</w:t>
      </w:r>
      <w:r w:rsidR="00846EE5">
        <w:rPr>
          <w:rFonts w:asciiTheme="minorHAnsi" w:eastAsiaTheme="minorHAnsi" w:hAnsiTheme="minorHAnsi" w:cstheme="minorBidi"/>
          <w:lang w:val="en-AU"/>
        </w:rPr>
        <w:t>.</w:t>
      </w:r>
    </w:p>
    <w:p w14:paraId="5BD34434" w14:textId="0C58429C" w:rsidR="002346F6" w:rsidRDefault="002346F6" w:rsidP="0015435E">
      <w:pPr>
        <w:pStyle w:val="Caption"/>
        <w:keepNext/>
      </w:pPr>
      <w:bookmarkStart w:id="35" w:name="_Toc48636299"/>
      <w:bookmarkStart w:id="36" w:name="_Toc48725961"/>
      <w:bookmarkStart w:id="37" w:name="_Toc48740671"/>
      <w:r>
        <w:t xml:space="preserve">Figure </w:t>
      </w:r>
      <w:r w:rsidR="00992C5E">
        <w:fldChar w:fldCharType="begin"/>
      </w:r>
      <w:r w:rsidR="00992C5E">
        <w:instrText xml:space="preserve"> SEQ Figure \* ARABIC </w:instrText>
      </w:r>
      <w:r w:rsidR="00992C5E">
        <w:fldChar w:fldCharType="separate"/>
      </w:r>
      <w:r w:rsidR="00992C5E">
        <w:rPr>
          <w:noProof/>
        </w:rPr>
        <w:t>1</w:t>
      </w:r>
      <w:r w:rsidR="00992C5E">
        <w:fldChar w:fldCharType="end"/>
      </w:r>
      <w:r>
        <w:t>: Per student primary and secondary recurrent 2017-2019</w:t>
      </w:r>
      <w:bookmarkEnd w:id="35"/>
      <w:bookmarkEnd w:id="36"/>
      <w:bookmarkEnd w:id="37"/>
    </w:p>
    <w:p w14:paraId="523344E6" w14:textId="37F0B9FF" w:rsidR="00075333" w:rsidRPr="00075333" w:rsidRDefault="00075333" w:rsidP="0015435E">
      <w:pPr>
        <w:spacing w:line="240" w:lineRule="auto"/>
      </w:pPr>
      <w:r>
        <w:rPr>
          <w:noProof/>
          <w:lang w:val="en-AU" w:eastAsia="en-AU"/>
        </w:rPr>
        <w:drawing>
          <wp:inline distT="0" distB="0" distL="0" distR="0" wp14:anchorId="767D032F" wp14:editId="09CCAC11">
            <wp:extent cx="4377055" cy="2719070"/>
            <wp:effectExtent l="0" t="0" r="4445" b="5080"/>
            <wp:docPr id="2" name="Picture 2" descr="Graph showing recurrent government funding per primary student ($410-425) and secondary student ($1256-1275) for the period 2017-20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 showing recurrent government funding per primary student ($410-425) and secondary student ($1256-1275) for the period 2017-2019&#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7055" cy="2719070"/>
                    </a:xfrm>
                    <a:prstGeom prst="rect">
                      <a:avLst/>
                    </a:prstGeom>
                    <a:noFill/>
                  </pic:spPr>
                </pic:pic>
              </a:graphicData>
            </a:graphic>
          </wp:inline>
        </w:drawing>
      </w:r>
    </w:p>
    <w:p w14:paraId="4818383F" w14:textId="77777777" w:rsidR="008062E2" w:rsidRDefault="008062E2" w:rsidP="0015435E">
      <w:pPr>
        <w:spacing w:after="0" w:line="240" w:lineRule="auto"/>
        <w:rPr>
          <w:rFonts w:asciiTheme="minorHAnsi" w:eastAsia="Times New Roman" w:hAnsiTheme="minorHAnsi" w:cstheme="minorHAnsi"/>
          <w:lang w:val="en-AU" w:eastAsia="en-AU"/>
        </w:rPr>
      </w:pPr>
    </w:p>
    <w:p w14:paraId="39052135" w14:textId="4F3CE040" w:rsidR="00B52E08" w:rsidRDefault="00B52E08" w:rsidP="0015435E">
      <w:pPr>
        <w:spacing w:after="160" w:line="240" w:lineRule="auto"/>
        <w:jc w:val="both"/>
        <w:rPr>
          <w:rFonts w:asciiTheme="minorHAnsi" w:eastAsiaTheme="minorHAnsi" w:hAnsiTheme="minorHAnsi" w:cstheme="minorBidi"/>
          <w:lang w:val="en-AU"/>
        </w:rPr>
      </w:pPr>
      <w:r>
        <w:rPr>
          <w:rFonts w:asciiTheme="minorHAnsi" w:eastAsiaTheme="minorHAnsi" w:hAnsiTheme="minorHAnsi" w:cstheme="minorBidi"/>
          <w:lang w:val="en-AU"/>
        </w:rPr>
        <w:t xml:space="preserve">The </w:t>
      </w:r>
      <w:r w:rsidR="005D1F17">
        <w:rPr>
          <w:rFonts w:asciiTheme="minorHAnsi" w:eastAsiaTheme="minorHAnsi" w:hAnsiTheme="minorHAnsi" w:cstheme="minorBidi"/>
          <w:lang w:val="en-AU"/>
        </w:rPr>
        <w:t>globally accepted</w:t>
      </w:r>
      <w:r>
        <w:rPr>
          <w:rFonts w:asciiTheme="minorHAnsi" w:eastAsiaTheme="minorHAnsi" w:hAnsiTheme="minorHAnsi" w:cstheme="minorBidi"/>
          <w:lang w:val="en-AU"/>
        </w:rPr>
        <w:t xml:space="preserve"> formula for measuring </w:t>
      </w:r>
      <w:r w:rsidR="005D1F17">
        <w:rPr>
          <w:rFonts w:asciiTheme="minorHAnsi" w:eastAsiaTheme="minorHAnsi" w:hAnsiTheme="minorHAnsi" w:cstheme="minorBidi"/>
          <w:lang w:val="en-AU"/>
        </w:rPr>
        <w:t xml:space="preserve">education sector </w:t>
      </w:r>
      <w:r>
        <w:rPr>
          <w:rFonts w:asciiTheme="minorHAnsi" w:eastAsiaTheme="minorHAnsi" w:hAnsiTheme="minorHAnsi" w:cstheme="minorBidi"/>
          <w:lang w:val="en-AU"/>
        </w:rPr>
        <w:t xml:space="preserve">‘per-unit cost’ is </w:t>
      </w:r>
      <w:r w:rsidR="005D1F17">
        <w:rPr>
          <w:rFonts w:asciiTheme="minorHAnsi" w:eastAsiaTheme="minorHAnsi" w:hAnsiTheme="minorHAnsi" w:cstheme="minorBidi"/>
          <w:lang w:val="en-AU"/>
        </w:rPr>
        <w:t xml:space="preserve">to </w:t>
      </w:r>
      <w:r>
        <w:rPr>
          <w:rFonts w:asciiTheme="minorHAnsi" w:eastAsiaTheme="minorHAnsi" w:hAnsiTheme="minorHAnsi" w:cstheme="minorBidi"/>
          <w:lang w:val="en-AU"/>
        </w:rPr>
        <w:t>calculate the p</w:t>
      </w:r>
      <w:r w:rsidRPr="00FF71A1">
        <w:rPr>
          <w:rFonts w:asciiTheme="minorHAnsi" w:eastAsiaTheme="minorHAnsi" w:hAnsiTheme="minorHAnsi" w:cstheme="minorBidi"/>
          <w:lang w:val="en-AU"/>
        </w:rPr>
        <w:t xml:space="preserve">ublic </w:t>
      </w:r>
      <w:r>
        <w:rPr>
          <w:rFonts w:asciiTheme="minorHAnsi" w:eastAsiaTheme="minorHAnsi" w:hAnsiTheme="minorHAnsi" w:cstheme="minorBidi"/>
          <w:lang w:val="en-AU"/>
        </w:rPr>
        <w:t>re</w:t>
      </w:r>
      <w:r w:rsidRPr="00FF71A1">
        <w:rPr>
          <w:rFonts w:asciiTheme="minorHAnsi" w:eastAsiaTheme="minorHAnsi" w:hAnsiTheme="minorHAnsi" w:cstheme="minorBidi"/>
          <w:lang w:val="en-AU"/>
        </w:rPr>
        <w:t>current expenditure for each level of education, expressed as a percentage of total public current expenditure on education</w:t>
      </w:r>
      <w:r w:rsidR="002921EF">
        <w:rPr>
          <w:rFonts w:asciiTheme="minorHAnsi" w:eastAsiaTheme="minorHAnsi" w:hAnsiTheme="minorHAnsi" w:cstheme="minorBidi"/>
          <w:lang w:val="en-AU"/>
        </w:rPr>
        <w:t>.</w:t>
      </w:r>
      <w:r w:rsidRPr="00011F9C">
        <w:rPr>
          <w:rFonts w:asciiTheme="minorHAnsi" w:eastAsiaTheme="minorHAnsi" w:hAnsiTheme="minorHAnsi" w:cstheme="minorBidi"/>
          <w:lang w:val="en-AU"/>
        </w:rPr>
        <w:t xml:space="preserve"> </w:t>
      </w:r>
      <w:r w:rsidRPr="00FF71A1">
        <w:rPr>
          <w:rFonts w:asciiTheme="minorHAnsi" w:eastAsiaTheme="minorHAnsi" w:hAnsiTheme="minorHAnsi" w:cstheme="minorBidi"/>
          <w:lang w:val="en-AU"/>
        </w:rPr>
        <w:t>This indicator shows how financial resources for education have been distributed across the different levels or stages of education (early childhood, primary, secondary, tertiary/vocational). It measures the relative emphasis of government spending on each level of education within the overall educational expenditure.</w:t>
      </w:r>
      <w:r>
        <w:rPr>
          <w:rFonts w:asciiTheme="minorHAnsi" w:eastAsiaTheme="minorHAnsi" w:hAnsiTheme="minorHAnsi" w:cstheme="minorBidi"/>
          <w:lang w:val="en-AU"/>
        </w:rPr>
        <w:t xml:space="preserve"> </w:t>
      </w:r>
      <w:r w:rsidR="00516331">
        <w:rPr>
          <w:rFonts w:asciiTheme="minorHAnsi" w:eastAsiaTheme="minorHAnsi" w:hAnsiTheme="minorHAnsi" w:cstheme="minorBidi"/>
          <w:lang w:val="en-AU"/>
        </w:rPr>
        <w:t xml:space="preserve">This data is strong evidence that SIG is continuing to fund education as a high priority but also highlights the disproportionate spend between education sectors. </w:t>
      </w:r>
      <w:r w:rsidR="00DF07DA">
        <w:rPr>
          <w:rFonts w:asciiTheme="minorHAnsi" w:eastAsiaTheme="minorHAnsi" w:hAnsiTheme="minorHAnsi" w:cstheme="minorBidi"/>
          <w:lang w:val="en-AU"/>
        </w:rPr>
        <w:t xml:space="preserve">The trend shows a disproportionate spend with Basic Education receiving significantly less than </w:t>
      </w:r>
      <w:r w:rsidR="00424AE0">
        <w:rPr>
          <w:rFonts w:asciiTheme="minorHAnsi" w:eastAsiaTheme="minorHAnsi" w:hAnsiTheme="minorHAnsi" w:cstheme="minorBidi"/>
          <w:lang w:val="en-AU"/>
        </w:rPr>
        <w:t xml:space="preserve">the </w:t>
      </w:r>
      <w:r w:rsidR="00DF07DA">
        <w:rPr>
          <w:rFonts w:asciiTheme="minorHAnsi" w:eastAsiaTheme="minorHAnsi" w:hAnsiTheme="minorHAnsi" w:cstheme="minorBidi"/>
          <w:lang w:val="en-AU"/>
        </w:rPr>
        <w:t xml:space="preserve">Tertiary sector. </w:t>
      </w:r>
      <w:r>
        <w:rPr>
          <w:rFonts w:asciiTheme="minorHAnsi" w:eastAsiaTheme="minorHAnsi" w:hAnsiTheme="minorHAnsi" w:cstheme="minorBidi"/>
          <w:lang w:val="en-AU"/>
        </w:rPr>
        <w:t>See Table below.</w:t>
      </w:r>
      <w:r w:rsidRPr="00FF71A1">
        <w:rPr>
          <w:rFonts w:asciiTheme="minorHAnsi" w:eastAsiaTheme="minorHAnsi" w:hAnsiTheme="minorHAnsi" w:cstheme="minorBidi"/>
          <w:lang w:val="en-AU"/>
        </w:rPr>
        <w:t xml:space="preserve"> </w:t>
      </w:r>
    </w:p>
    <w:p w14:paraId="14D7B357" w14:textId="6D73CD44" w:rsidR="00B52E08" w:rsidRDefault="00E957E3" w:rsidP="006D596D">
      <w:pPr>
        <w:pStyle w:val="Tablecontent"/>
      </w:pPr>
      <w:bookmarkStart w:id="38" w:name="_Toc48750608"/>
      <w:r w:rsidRPr="009165DB">
        <w:rPr>
          <w:i/>
          <w:iCs/>
          <w:sz w:val="18"/>
          <w:szCs w:val="20"/>
        </w:rPr>
        <w:t xml:space="preserve">Table </w:t>
      </w:r>
      <w:r w:rsidRPr="009165DB">
        <w:rPr>
          <w:i/>
          <w:iCs/>
          <w:sz w:val="18"/>
          <w:szCs w:val="20"/>
        </w:rPr>
        <w:fldChar w:fldCharType="begin"/>
      </w:r>
      <w:r w:rsidRPr="009165DB">
        <w:rPr>
          <w:i/>
          <w:iCs/>
          <w:sz w:val="18"/>
          <w:szCs w:val="20"/>
        </w:rPr>
        <w:instrText xml:space="preserve"> SEQ Table \* ARABIC </w:instrText>
      </w:r>
      <w:r w:rsidRPr="009165DB">
        <w:rPr>
          <w:i/>
          <w:iCs/>
          <w:sz w:val="18"/>
          <w:szCs w:val="20"/>
        </w:rPr>
        <w:fldChar w:fldCharType="separate"/>
      </w:r>
      <w:r w:rsidR="00912E1E">
        <w:rPr>
          <w:i/>
          <w:iCs/>
          <w:noProof/>
          <w:sz w:val="18"/>
          <w:szCs w:val="20"/>
        </w:rPr>
        <w:t>11</w:t>
      </w:r>
      <w:r w:rsidRPr="009165DB">
        <w:rPr>
          <w:i/>
          <w:iCs/>
          <w:sz w:val="18"/>
          <w:szCs w:val="20"/>
        </w:rPr>
        <w:fldChar w:fldCharType="end"/>
      </w:r>
      <w:r w:rsidRPr="009165DB">
        <w:rPr>
          <w:i/>
          <w:iCs/>
          <w:sz w:val="18"/>
          <w:szCs w:val="20"/>
        </w:rPr>
        <w:t xml:space="preserve">: </w:t>
      </w:r>
      <w:r w:rsidR="00B52E08" w:rsidRPr="006D596D">
        <w:rPr>
          <w:i/>
          <w:iCs/>
          <w:sz w:val="18"/>
          <w:szCs w:val="20"/>
        </w:rPr>
        <w:t>SIG Expenditure of Education by Sector and Per Student Unit Cost 2019</w:t>
      </w:r>
      <w:bookmarkEnd w:id="38"/>
      <w:r w:rsidR="00A13059">
        <w:rPr>
          <w:rStyle w:val="FootnoteReference"/>
          <w:i/>
          <w:iCs/>
          <w:sz w:val="18"/>
          <w:szCs w:val="20"/>
        </w:rPr>
        <w:footnoteReference w:id="10"/>
      </w:r>
    </w:p>
    <w:tbl>
      <w:tblPr>
        <w:tblStyle w:val="GridTable5Dark-Accent1"/>
        <w:tblW w:w="0" w:type="auto"/>
        <w:tblLook w:val="04A0" w:firstRow="1" w:lastRow="0" w:firstColumn="1" w:lastColumn="0" w:noHBand="0" w:noVBand="1"/>
      </w:tblPr>
      <w:tblGrid>
        <w:gridCol w:w="2086"/>
        <w:gridCol w:w="2096"/>
        <w:gridCol w:w="1812"/>
        <w:gridCol w:w="1524"/>
      </w:tblGrid>
      <w:tr w:rsidR="00144427" w:rsidRPr="00A53194" w14:paraId="61BE4E02" w14:textId="7967E9B3" w:rsidTr="00881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dxa"/>
            <w:vAlign w:val="center"/>
          </w:tcPr>
          <w:p w14:paraId="3207D637" w14:textId="77777777" w:rsidR="00144427" w:rsidRPr="00A53194" w:rsidRDefault="00144427" w:rsidP="0015435E">
            <w:pPr>
              <w:spacing w:after="0" w:line="240" w:lineRule="auto"/>
              <w:jc w:val="center"/>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Sub Sector</w:t>
            </w:r>
          </w:p>
        </w:tc>
        <w:tc>
          <w:tcPr>
            <w:tcW w:w="2096" w:type="dxa"/>
            <w:vAlign w:val="center"/>
          </w:tcPr>
          <w:p w14:paraId="71B1CC00" w14:textId="77777777" w:rsidR="00144427" w:rsidRPr="00A53194" w:rsidRDefault="00144427" w:rsidP="001543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Expenditure</w:t>
            </w:r>
          </w:p>
        </w:tc>
        <w:tc>
          <w:tcPr>
            <w:tcW w:w="1812" w:type="dxa"/>
            <w:vAlign w:val="center"/>
          </w:tcPr>
          <w:p w14:paraId="4CEC1BE7" w14:textId="77777777" w:rsidR="00144427" w:rsidRPr="00A53194" w:rsidRDefault="00144427" w:rsidP="001543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No of Students enrolled</w:t>
            </w:r>
          </w:p>
        </w:tc>
        <w:tc>
          <w:tcPr>
            <w:tcW w:w="1524" w:type="dxa"/>
            <w:vAlign w:val="center"/>
          </w:tcPr>
          <w:p w14:paraId="18F74928" w14:textId="77777777" w:rsidR="00144427" w:rsidRPr="00A53194" w:rsidRDefault="00144427" w:rsidP="001543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Unit Cost</w:t>
            </w:r>
          </w:p>
        </w:tc>
      </w:tr>
      <w:tr w:rsidR="00144427" w:rsidRPr="00A53194" w14:paraId="42D89622" w14:textId="41916BBB" w:rsidTr="00881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dxa"/>
            <w:vAlign w:val="center"/>
          </w:tcPr>
          <w:p w14:paraId="5CC391B2" w14:textId="77777777" w:rsidR="00144427" w:rsidRPr="00A53194" w:rsidRDefault="00144427" w:rsidP="0015435E">
            <w:pPr>
              <w:spacing w:after="0" w:line="240" w:lineRule="auto"/>
              <w:jc w:val="center"/>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ECCE</w:t>
            </w:r>
          </w:p>
        </w:tc>
        <w:tc>
          <w:tcPr>
            <w:tcW w:w="2096" w:type="dxa"/>
            <w:vAlign w:val="center"/>
          </w:tcPr>
          <w:p w14:paraId="55B933E0" w14:textId="77777777" w:rsidR="00144427" w:rsidRPr="00A53194" w:rsidRDefault="00144427"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color w:val="000000"/>
                <w:sz w:val="20"/>
                <w:szCs w:val="20"/>
                <w:lang w:val="en-AU" w:eastAsia="en-AU"/>
              </w:rPr>
              <w:t>52,214,491</w:t>
            </w:r>
          </w:p>
        </w:tc>
        <w:tc>
          <w:tcPr>
            <w:tcW w:w="1812" w:type="dxa"/>
            <w:vAlign w:val="center"/>
          </w:tcPr>
          <w:p w14:paraId="3D080CE4" w14:textId="77777777" w:rsidR="00144427" w:rsidRPr="00A53194" w:rsidRDefault="00144427"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color w:val="000000"/>
                <w:sz w:val="20"/>
                <w:szCs w:val="20"/>
                <w:lang w:val="en-AU" w:eastAsia="en-AU"/>
              </w:rPr>
              <w:t>16,067</w:t>
            </w:r>
          </w:p>
        </w:tc>
        <w:tc>
          <w:tcPr>
            <w:tcW w:w="1524" w:type="dxa"/>
            <w:vAlign w:val="center"/>
          </w:tcPr>
          <w:p w14:paraId="78E34B9C" w14:textId="77777777" w:rsidR="00144427" w:rsidRPr="00A53194" w:rsidRDefault="00144427"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color w:val="000000"/>
                <w:sz w:val="20"/>
                <w:szCs w:val="20"/>
                <w:lang w:val="en-AU" w:eastAsia="en-AU"/>
              </w:rPr>
              <w:t>$3,249</w:t>
            </w:r>
          </w:p>
        </w:tc>
      </w:tr>
      <w:tr w:rsidR="00144427" w:rsidRPr="00A53194" w14:paraId="224354EA" w14:textId="3697201C" w:rsidTr="0088118B">
        <w:tc>
          <w:tcPr>
            <w:cnfStyle w:val="001000000000" w:firstRow="0" w:lastRow="0" w:firstColumn="1" w:lastColumn="0" w:oddVBand="0" w:evenVBand="0" w:oddHBand="0" w:evenHBand="0" w:firstRowFirstColumn="0" w:firstRowLastColumn="0" w:lastRowFirstColumn="0" w:lastRowLastColumn="0"/>
            <w:tcW w:w="2086" w:type="dxa"/>
            <w:vAlign w:val="center"/>
          </w:tcPr>
          <w:p w14:paraId="0A0476F0" w14:textId="77777777" w:rsidR="00144427" w:rsidRPr="00A53194" w:rsidRDefault="00144427" w:rsidP="0015435E">
            <w:pPr>
              <w:spacing w:after="0" w:line="240" w:lineRule="auto"/>
              <w:jc w:val="center"/>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Primary</w:t>
            </w:r>
          </w:p>
        </w:tc>
        <w:tc>
          <w:tcPr>
            <w:tcW w:w="2096" w:type="dxa"/>
            <w:vAlign w:val="center"/>
          </w:tcPr>
          <w:p w14:paraId="68538DD5" w14:textId="77777777" w:rsidR="00144427" w:rsidRPr="00A53194" w:rsidRDefault="00144427"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color w:val="000000"/>
                <w:sz w:val="20"/>
                <w:szCs w:val="20"/>
                <w:lang w:val="en-AU" w:eastAsia="en-AU"/>
              </w:rPr>
              <w:t>251,423,077</w:t>
            </w:r>
          </w:p>
        </w:tc>
        <w:tc>
          <w:tcPr>
            <w:tcW w:w="1812" w:type="dxa"/>
            <w:vAlign w:val="center"/>
          </w:tcPr>
          <w:p w14:paraId="68750A81" w14:textId="77777777" w:rsidR="00144427" w:rsidRPr="00A53194" w:rsidRDefault="00144427"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color w:val="000000"/>
                <w:sz w:val="20"/>
                <w:szCs w:val="20"/>
                <w:lang w:val="en-AU" w:eastAsia="en-AU"/>
              </w:rPr>
              <w:t>130,955</w:t>
            </w:r>
          </w:p>
        </w:tc>
        <w:tc>
          <w:tcPr>
            <w:tcW w:w="1524" w:type="dxa"/>
            <w:vAlign w:val="center"/>
          </w:tcPr>
          <w:p w14:paraId="6D20E6CE" w14:textId="77777777" w:rsidR="00144427" w:rsidRPr="00A53194" w:rsidRDefault="00144427"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color w:val="000000"/>
                <w:sz w:val="20"/>
                <w:szCs w:val="20"/>
                <w:lang w:val="en-AU" w:eastAsia="en-AU"/>
              </w:rPr>
              <w:t>$1,920</w:t>
            </w:r>
          </w:p>
        </w:tc>
      </w:tr>
      <w:tr w:rsidR="00144427" w:rsidRPr="00A53194" w14:paraId="36A7EEC2" w14:textId="47D031F2" w:rsidTr="00881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dxa"/>
            <w:vAlign w:val="center"/>
          </w:tcPr>
          <w:p w14:paraId="0C1D5407" w14:textId="77777777" w:rsidR="00144427" w:rsidRPr="00A53194" w:rsidRDefault="00144427" w:rsidP="0015435E">
            <w:pPr>
              <w:spacing w:after="0" w:line="240" w:lineRule="auto"/>
              <w:jc w:val="center"/>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Secondary</w:t>
            </w:r>
          </w:p>
        </w:tc>
        <w:tc>
          <w:tcPr>
            <w:tcW w:w="2096" w:type="dxa"/>
            <w:vAlign w:val="center"/>
          </w:tcPr>
          <w:p w14:paraId="5C2D3ACD" w14:textId="77777777" w:rsidR="00144427" w:rsidRPr="00A53194" w:rsidRDefault="00144427"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color w:val="000000"/>
                <w:sz w:val="20"/>
                <w:szCs w:val="20"/>
                <w:lang w:val="en-AU" w:eastAsia="en-AU"/>
              </w:rPr>
              <w:t>330,789,415</w:t>
            </w:r>
          </w:p>
        </w:tc>
        <w:tc>
          <w:tcPr>
            <w:tcW w:w="1812" w:type="dxa"/>
            <w:vAlign w:val="center"/>
          </w:tcPr>
          <w:p w14:paraId="4E35B565" w14:textId="77777777" w:rsidR="00144427" w:rsidRPr="00A53194" w:rsidRDefault="00144427"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color w:val="000000"/>
                <w:sz w:val="20"/>
                <w:szCs w:val="20"/>
                <w:lang w:val="en-AU" w:eastAsia="en-AU"/>
              </w:rPr>
              <w:t>52,105</w:t>
            </w:r>
          </w:p>
        </w:tc>
        <w:tc>
          <w:tcPr>
            <w:tcW w:w="1524" w:type="dxa"/>
            <w:vAlign w:val="center"/>
          </w:tcPr>
          <w:p w14:paraId="7D7CC53F" w14:textId="77777777" w:rsidR="00144427" w:rsidRPr="00A53194" w:rsidRDefault="00144427"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color w:val="000000"/>
                <w:sz w:val="20"/>
                <w:szCs w:val="20"/>
                <w:lang w:val="en-AU" w:eastAsia="en-AU"/>
              </w:rPr>
              <w:t>$6,349</w:t>
            </w:r>
          </w:p>
        </w:tc>
      </w:tr>
      <w:tr w:rsidR="00144427" w:rsidRPr="00A53194" w14:paraId="2AA231CE" w14:textId="6B7A0537" w:rsidTr="0088118B">
        <w:tc>
          <w:tcPr>
            <w:cnfStyle w:val="001000000000" w:firstRow="0" w:lastRow="0" w:firstColumn="1" w:lastColumn="0" w:oddVBand="0" w:evenVBand="0" w:oddHBand="0" w:evenHBand="0" w:firstRowFirstColumn="0" w:firstRowLastColumn="0" w:lastRowFirstColumn="0" w:lastRowLastColumn="0"/>
            <w:tcW w:w="2086" w:type="dxa"/>
            <w:vAlign w:val="center"/>
          </w:tcPr>
          <w:p w14:paraId="637F5F77" w14:textId="77777777" w:rsidR="00144427" w:rsidRPr="00A53194" w:rsidRDefault="00144427" w:rsidP="0015435E">
            <w:pPr>
              <w:spacing w:after="0" w:line="240" w:lineRule="auto"/>
              <w:jc w:val="center"/>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TVET</w:t>
            </w:r>
          </w:p>
        </w:tc>
        <w:tc>
          <w:tcPr>
            <w:tcW w:w="2096" w:type="dxa"/>
            <w:vAlign w:val="center"/>
          </w:tcPr>
          <w:p w14:paraId="287E5404" w14:textId="77777777" w:rsidR="00144427" w:rsidRPr="00A53194" w:rsidRDefault="00144427"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color w:val="000000"/>
                <w:sz w:val="20"/>
                <w:szCs w:val="20"/>
                <w:lang w:val="en-AU" w:eastAsia="en-AU"/>
              </w:rPr>
              <w:t>22,119,425</w:t>
            </w:r>
          </w:p>
        </w:tc>
        <w:tc>
          <w:tcPr>
            <w:tcW w:w="1812" w:type="dxa"/>
            <w:vAlign w:val="center"/>
          </w:tcPr>
          <w:p w14:paraId="1169D3A1" w14:textId="77777777" w:rsidR="00144427" w:rsidRPr="00A53194" w:rsidRDefault="00144427"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color w:val="000000"/>
                <w:sz w:val="20"/>
                <w:szCs w:val="20"/>
                <w:lang w:val="en-AU" w:eastAsia="en-AU"/>
              </w:rPr>
              <w:t>19,835</w:t>
            </w:r>
          </w:p>
        </w:tc>
        <w:tc>
          <w:tcPr>
            <w:tcW w:w="1524" w:type="dxa"/>
            <w:vAlign w:val="center"/>
          </w:tcPr>
          <w:p w14:paraId="23E8877B" w14:textId="77777777" w:rsidR="00144427" w:rsidRPr="00A53194" w:rsidRDefault="00144427"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color w:val="000000"/>
                <w:sz w:val="20"/>
                <w:szCs w:val="20"/>
                <w:lang w:val="en-AU" w:eastAsia="en-AU"/>
              </w:rPr>
              <w:t>$1,115</w:t>
            </w:r>
          </w:p>
        </w:tc>
      </w:tr>
      <w:tr w:rsidR="00144427" w:rsidRPr="00A53194" w14:paraId="124C142A" w14:textId="499E70EE" w:rsidTr="0088118B">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086" w:type="dxa"/>
            <w:vAlign w:val="center"/>
          </w:tcPr>
          <w:p w14:paraId="2B5D878D" w14:textId="77777777" w:rsidR="00144427" w:rsidRPr="00A53194" w:rsidRDefault="00144427" w:rsidP="0015435E">
            <w:pPr>
              <w:spacing w:after="0" w:line="240" w:lineRule="auto"/>
              <w:jc w:val="center"/>
              <w:rPr>
                <w:rFonts w:asciiTheme="minorHAnsi" w:eastAsiaTheme="minorHAnsi" w:hAnsiTheme="minorHAnsi" w:cstheme="minorBidi"/>
                <w:sz w:val="20"/>
                <w:szCs w:val="20"/>
                <w:lang w:val="en-AU"/>
              </w:rPr>
            </w:pPr>
            <w:r w:rsidRPr="00A53194">
              <w:rPr>
                <w:rFonts w:asciiTheme="minorHAnsi" w:eastAsiaTheme="minorHAnsi" w:hAnsiTheme="minorHAnsi" w:cstheme="minorBidi"/>
                <w:sz w:val="20"/>
                <w:szCs w:val="20"/>
                <w:lang w:val="en-AU"/>
              </w:rPr>
              <w:t>Tertiary</w:t>
            </w:r>
          </w:p>
        </w:tc>
        <w:tc>
          <w:tcPr>
            <w:tcW w:w="2096" w:type="dxa"/>
            <w:vAlign w:val="center"/>
          </w:tcPr>
          <w:p w14:paraId="3E25EC49" w14:textId="77777777" w:rsidR="00144427" w:rsidRPr="00A53194" w:rsidRDefault="00144427"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color w:val="000000"/>
                <w:sz w:val="20"/>
                <w:szCs w:val="20"/>
                <w:lang w:val="en-AU" w:eastAsia="en-AU"/>
              </w:rPr>
              <w:t>548,643,906</w:t>
            </w:r>
          </w:p>
        </w:tc>
        <w:tc>
          <w:tcPr>
            <w:tcW w:w="1812" w:type="dxa"/>
            <w:vAlign w:val="center"/>
          </w:tcPr>
          <w:p w14:paraId="4FE691F9" w14:textId="77777777" w:rsidR="00144427" w:rsidRPr="00A53194" w:rsidRDefault="00144427"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color w:val="000000"/>
                <w:sz w:val="20"/>
                <w:szCs w:val="20"/>
                <w:lang w:val="en-AU" w:eastAsia="en-AU"/>
              </w:rPr>
              <w:t>3,977</w:t>
            </w:r>
          </w:p>
        </w:tc>
        <w:tc>
          <w:tcPr>
            <w:tcW w:w="1524" w:type="dxa"/>
            <w:vAlign w:val="center"/>
          </w:tcPr>
          <w:p w14:paraId="5B7AD50C" w14:textId="77777777" w:rsidR="00144427" w:rsidRPr="00A53194" w:rsidRDefault="00144427"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A53194">
              <w:rPr>
                <w:rFonts w:asciiTheme="minorHAnsi" w:eastAsiaTheme="minorHAnsi" w:hAnsiTheme="minorHAnsi" w:cstheme="minorBidi"/>
                <w:color w:val="000000"/>
                <w:sz w:val="20"/>
                <w:szCs w:val="20"/>
                <w:lang w:val="en-AU" w:eastAsia="en-AU"/>
              </w:rPr>
              <w:t>$137,954</w:t>
            </w:r>
          </w:p>
        </w:tc>
      </w:tr>
    </w:tbl>
    <w:p w14:paraId="58FC1FFF" w14:textId="77777777" w:rsidR="005B3617" w:rsidRDefault="005B3617" w:rsidP="0015435E">
      <w:pPr>
        <w:pStyle w:val="Bodytext11"/>
        <w:spacing w:after="0"/>
        <w:rPr>
          <w:b/>
          <w:bCs/>
          <w:i/>
          <w:iCs/>
          <w:lang w:val="en-GB"/>
        </w:rPr>
      </w:pPr>
    </w:p>
    <w:p w14:paraId="40A29CF9" w14:textId="7A98F501" w:rsidR="003973F8" w:rsidRDefault="003973F8" w:rsidP="0015435E">
      <w:pPr>
        <w:pStyle w:val="Bodytext11"/>
        <w:spacing w:after="0"/>
        <w:rPr>
          <w:b/>
          <w:bCs/>
          <w:i/>
          <w:iCs/>
          <w:lang w:val="en-GB"/>
        </w:rPr>
      </w:pPr>
      <w:r w:rsidRPr="00A632E8">
        <w:rPr>
          <w:b/>
          <w:bCs/>
          <w:i/>
          <w:iCs/>
          <w:lang w:val="en-GB"/>
        </w:rPr>
        <w:t>3.4.1 2019 MEHRD Scholarship expenditure is not higher than 2018 MEHRD Scholarship expenditure</w:t>
      </w:r>
      <w:r w:rsidR="006C376D">
        <w:rPr>
          <w:b/>
          <w:bCs/>
          <w:i/>
          <w:iCs/>
          <w:lang w:val="en-GB"/>
        </w:rPr>
        <w:t>.</w:t>
      </w:r>
    </w:p>
    <w:p w14:paraId="6BBCC204" w14:textId="436C01F9" w:rsidR="006C376D" w:rsidRDefault="006C376D" w:rsidP="0015435E">
      <w:pPr>
        <w:pStyle w:val="Bodytext11"/>
        <w:spacing w:after="0"/>
        <w:rPr>
          <w:b/>
          <w:bCs/>
          <w:i/>
          <w:iCs/>
          <w:lang w:val="en-GB"/>
        </w:rPr>
      </w:pPr>
    </w:p>
    <w:tbl>
      <w:tblPr>
        <w:tblW w:w="76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40"/>
        <w:gridCol w:w="2410"/>
      </w:tblGrid>
      <w:tr w:rsidR="00196319" w:rsidRPr="00CE1F20" w14:paraId="08727589" w14:textId="77777777" w:rsidTr="00C26E6E">
        <w:trPr>
          <w:trHeight w:val="361"/>
        </w:trPr>
        <w:tc>
          <w:tcPr>
            <w:tcW w:w="5240" w:type="dxa"/>
            <w:tcBorders>
              <w:top w:val="single" w:sz="12" w:space="0" w:color="auto"/>
              <w:bottom w:val="single" w:sz="12" w:space="0" w:color="auto"/>
            </w:tcBorders>
            <w:shd w:val="clear" w:color="000000" w:fill="B4C6E7"/>
            <w:vAlign w:val="center"/>
            <w:hideMark/>
          </w:tcPr>
          <w:p w14:paraId="7364B0FB" w14:textId="77777777" w:rsidR="00196319" w:rsidRPr="00CE1F20" w:rsidRDefault="00196319" w:rsidP="00C26E6E">
            <w:pPr>
              <w:spacing w:after="0" w:line="240" w:lineRule="auto"/>
              <w:jc w:val="center"/>
              <w:rPr>
                <w:rFonts w:asciiTheme="minorHAnsi" w:eastAsia="Times New Roman" w:hAnsiTheme="minorHAnsi" w:cstheme="minorHAnsi"/>
                <w:b/>
                <w:bCs/>
                <w:sz w:val="18"/>
                <w:szCs w:val="18"/>
                <w:lang w:val="en-AU" w:eastAsia="en-AU"/>
              </w:rPr>
            </w:pPr>
            <w:r w:rsidRPr="00CE1F20">
              <w:rPr>
                <w:rFonts w:asciiTheme="minorHAnsi" w:eastAsia="Times New Roman" w:hAnsiTheme="minorHAnsi" w:cstheme="minorHAnsi"/>
                <w:b/>
                <w:bCs/>
                <w:sz w:val="18"/>
                <w:szCs w:val="18"/>
                <w:lang w:val="en-AU" w:eastAsia="en-AU"/>
              </w:rPr>
              <w:t>Expected Results Statements</w:t>
            </w:r>
          </w:p>
        </w:tc>
        <w:tc>
          <w:tcPr>
            <w:tcW w:w="2410" w:type="dxa"/>
            <w:tcBorders>
              <w:top w:val="single" w:sz="12" w:space="0" w:color="auto"/>
              <w:bottom w:val="single" w:sz="12" w:space="0" w:color="auto"/>
            </w:tcBorders>
            <w:shd w:val="clear" w:color="000000" w:fill="B4C6E7"/>
            <w:noWrap/>
            <w:vAlign w:val="center"/>
            <w:hideMark/>
          </w:tcPr>
          <w:p w14:paraId="78E6921A" w14:textId="1AC584B3" w:rsidR="00196319" w:rsidRPr="00CE1F20" w:rsidRDefault="00196319" w:rsidP="0015435E">
            <w:pPr>
              <w:spacing w:after="0" w:line="240" w:lineRule="auto"/>
              <w:jc w:val="center"/>
              <w:rPr>
                <w:rFonts w:asciiTheme="minorHAnsi" w:eastAsia="Times New Roman" w:hAnsiTheme="minorHAnsi" w:cstheme="minorHAnsi"/>
                <w:b/>
                <w:bCs/>
                <w:sz w:val="18"/>
                <w:szCs w:val="18"/>
                <w:lang w:val="en-AU" w:eastAsia="en-AU"/>
              </w:rPr>
            </w:pPr>
            <w:r>
              <w:rPr>
                <w:rFonts w:asciiTheme="minorHAnsi" w:eastAsia="Times New Roman" w:hAnsiTheme="minorHAnsi" w:cstheme="minorHAnsi"/>
                <w:b/>
                <w:bCs/>
                <w:sz w:val="18"/>
                <w:szCs w:val="18"/>
                <w:lang w:val="en-AU" w:eastAsia="en-AU"/>
              </w:rPr>
              <w:t>Assessment</w:t>
            </w:r>
          </w:p>
        </w:tc>
      </w:tr>
      <w:tr w:rsidR="00196319" w:rsidRPr="00CE1F20" w14:paraId="253C71D1" w14:textId="77777777" w:rsidTr="00C26E6E">
        <w:trPr>
          <w:trHeight w:val="353"/>
        </w:trPr>
        <w:tc>
          <w:tcPr>
            <w:tcW w:w="5240" w:type="dxa"/>
            <w:tcBorders>
              <w:top w:val="single" w:sz="12" w:space="0" w:color="auto"/>
            </w:tcBorders>
            <w:shd w:val="clear" w:color="auto" w:fill="auto"/>
            <w:hideMark/>
          </w:tcPr>
          <w:p w14:paraId="2BABC89A" w14:textId="77777777" w:rsidR="00196319" w:rsidRPr="00CE1F20" w:rsidRDefault="00196319" w:rsidP="0015435E">
            <w:pPr>
              <w:spacing w:after="0" w:line="240" w:lineRule="auto"/>
              <w:rPr>
                <w:rFonts w:asciiTheme="minorHAnsi" w:eastAsia="Times New Roman" w:hAnsiTheme="minorHAnsi" w:cstheme="minorHAnsi"/>
                <w:color w:val="000000"/>
                <w:sz w:val="18"/>
                <w:szCs w:val="18"/>
                <w:lang w:val="en-AU" w:eastAsia="en-AU"/>
              </w:rPr>
            </w:pPr>
            <w:r w:rsidRPr="005A3456">
              <w:rPr>
                <w:rFonts w:ascii="Calibri" w:eastAsia="Times New Roman" w:hAnsi="Calibri" w:cs="Times New Roman"/>
                <w:color w:val="000000" w:themeColor="text1"/>
                <w:sz w:val="18"/>
                <w:szCs w:val="18"/>
                <w:lang w:val="en-AU"/>
              </w:rPr>
              <w:t>SIEMIS Expenditure Report as per 2019 Annual Report (100%)</w:t>
            </w:r>
          </w:p>
          <w:p w14:paraId="783B7EB4" w14:textId="77777777" w:rsidR="00196319" w:rsidRPr="00CE1F20" w:rsidRDefault="00196319" w:rsidP="0015435E">
            <w:pPr>
              <w:spacing w:after="0" w:line="240" w:lineRule="auto"/>
              <w:rPr>
                <w:rFonts w:asciiTheme="minorHAnsi" w:eastAsia="Times New Roman" w:hAnsiTheme="minorHAnsi" w:cstheme="minorHAnsi"/>
                <w:color w:val="000000"/>
                <w:sz w:val="18"/>
                <w:szCs w:val="18"/>
                <w:lang w:val="en-AU" w:eastAsia="en-AU"/>
              </w:rPr>
            </w:pPr>
            <w:r w:rsidRPr="00CE1F20">
              <w:rPr>
                <w:rFonts w:asciiTheme="minorHAnsi" w:eastAsia="Times New Roman" w:hAnsiTheme="minorHAnsi" w:cstheme="minorHAnsi"/>
                <w:color w:val="000000"/>
                <w:sz w:val="18"/>
                <w:szCs w:val="18"/>
                <w:lang w:val="en-AU" w:eastAsia="en-AU"/>
              </w:rPr>
              <w:t> </w:t>
            </w:r>
          </w:p>
        </w:tc>
        <w:tc>
          <w:tcPr>
            <w:tcW w:w="2410" w:type="dxa"/>
            <w:tcBorders>
              <w:top w:val="single" w:sz="12" w:space="0" w:color="auto"/>
            </w:tcBorders>
            <w:shd w:val="clear" w:color="auto" w:fill="FFFFFF" w:themeFill="background1"/>
            <w:noWrap/>
            <w:hideMark/>
          </w:tcPr>
          <w:p w14:paraId="1D78B987" w14:textId="2531A35D" w:rsidR="00196319" w:rsidRPr="00CE1F20" w:rsidRDefault="007A5021" w:rsidP="0015435E">
            <w:pPr>
              <w:spacing w:after="0" w:line="240" w:lineRule="auto"/>
              <w:jc w:val="center"/>
              <w:rPr>
                <w:rFonts w:asciiTheme="minorHAnsi" w:eastAsia="Times New Roman" w:hAnsiTheme="minorHAnsi" w:cstheme="minorHAnsi"/>
                <w:color w:val="000000"/>
                <w:sz w:val="18"/>
                <w:szCs w:val="18"/>
                <w:lang w:val="en-AU" w:eastAsia="en-AU"/>
              </w:rPr>
            </w:pPr>
            <w:r>
              <w:rPr>
                <w:rFonts w:asciiTheme="minorHAnsi" w:eastAsia="Times New Roman" w:hAnsiTheme="minorHAnsi" w:cstheme="minorHAnsi"/>
                <w:color w:val="000000"/>
                <w:sz w:val="18"/>
                <w:szCs w:val="18"/>
                <w:lang w:val="en-AU" w:eastAsia="en-AU"/>
              </w:rPr>
              <w:t>100% (of 100%)</w:t>
            </w:r>
          </w:p>
        </w:tc>
      </w:tr>
    </w:tbl>
    <w:p w14:paraId="2194844D" w14:textId="6B868127" w:rsidR="006C376D" w:rsidRDefault="006C376D" w:rsidP="0015435E">
      <w:pPr>
        <w:pStyle w:val="Bodytext11"/>
        <w:spacing w:after="0"/>
        <w:rPr>
          <w:lang w:val="en-GB"/>
        </w:rPr>
      </w:pPr>
    </w:p>
    <w:p w14:paraId="22159381" w14:textId="77777777" w:rsidR="001F3DDC" w:rsidRDefault="001F3DDC" w:rsidP="0015435E">
      <w:pPr>
        <w:pStyle w:val="Bodytext11"/>
        <w:spacing w:after="0"/>
        <w:rPr>
          <w:lang w:val="en-GB"/>
        </w:rPr>
      </w:pPr>
    </w:p>
    <w:p w14:paraId="14528173" w14:textId="7A100A7D" w:rsidR="008E4D27" w:rsidRDefault="008E4D27" w:rsidP="0015435E">
      <w:pPr>
        <w:pStyle w:val="Caption"/>
        <w:keepNext/>
      </w:pPr>
      <w:bookmarkStart w:id="39" w:name="_Toc48636300"/>
      <w:bookmarkStart w:id="40" w:name="_Toc48725962"/>
      <w:bookmarkStart w:id="41" w:name="_Toc48740672"/>
      <w:r>
        <w:t xml:space="preserve">Figure </w:t>
      </w:r>
      <w:r w:rsidR="00992C5E">
        <w:fldChar w:fldCharType="begin"/>
      </w:r>
      <w:r w:rsidR="00992C5E">
        <w:instrText xml:space="preserve"> SEQ Figure \* ARABIC </w:instrText>
      </w:r>
      <w:r w:rsidR="00992C5E">
        <w:fldChar w:fldCharType="separate"/>
      </w:r>
      <w:r w:rsidR="00992C5E">
        <w:rPr>
          <w:noProof/>
        </w:rPr>
        <w:t>2</w:t>
      </w:r>
      <w:r w:rsidR="00992C5E">
        <w:fldChar w:fldCharType="end"/>
      </w:r>
      <w:r>
        <w:t>: SIG Scholarships Expenditure 2017-2019</w:t>
      </w:r>
      <w:bookmarkEnd w:id="39"/>
      <w:bookmarkEnd w:id="40"/>
      <w:bookmarkEnd w:id="41"/>
    </w:p>
    <w:p w14:paraId="7156FBAB" w14:textId="563200C4" w:rsidR="005D1F17" w:rsidRPr="0028710D" w:rsidRDefault="00075333" w:rsidP="0015435E">
      <w:pPr>
        <w:spacing w:line="240" w:lineRule="auto"/>
      </w:pPr>
      <w:r>
        <w:rPr>
          <w:noProof/>
          <w:lang w:val="en-AU" w:eastAsia="en-AU"/>
        </w:rPr>
        <w:drawing>
          <wp:inline distT="0" distB="0" distL="0" distR="0" wp14:anchorId="3CA1A7FC" wp14:editId="4D7934FA">
            <wp:extent cx="4425950" cy="2573020"/>
            <wp:effectExtent l="0" t="0" r="0" b="0"/>
            <wp:docPr id="5" name="Picture 5" descr="Graph showing a dramatic drop in SIG scholarships expenditure 2017-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 showing a dramatic drop in SIG scholarships expenditure 2017-20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5950" cy="2573020"/>
                    </a:xfrm>
                    <a:prstGeom prst="rect">
                      <a:avLst/>
                    </a:prstGeom>
                    <a:noFill/>
                  </pic:spPr>
                </pic:pic>
              </a:graphicData>
            </a:graphic>
          </wp:inline>
        </w:drawing>
      </w:r>
    </w:p>
    <w:p w14:paraId="71D29E29" w14:textId="77777777" w:rsidR="003973F8" w:rsidRPr="00A632E8" w:rsidRDefault="003973F8" w:rsidP="0015435E">
      <w:pPr>
        <w:spacing w:after="0" w:line="240" w:lineRule="auto"/>
        <w:rPr>
          <w:rFonts w:asciiTheme="minorHAnsi" w:eastAsia="Times New Roman" w:hAnsiTheme="minorHAnsi" w:cstheme="minorHAnsi"/>
          <w:lang w:val="en-AU" w:eastAsia="en-AU"/>
        </w:rPr>
      </w:pPr>
    </w:p>
    <w:p w14:paraId="106395C4" w14:textId="6C21A52B" w:rsidR="008E4D27" w:rsidRPr="005C4813" w:rsidRDefault="007A5021" w:rsidP="0015435E">
      <w:pPr>
        <w:pStyle w:val="Bodytext11"/>
        <w:rPr>
          <w:lang w:val="en-AU"/>
        </w:rPr>
      </w:pPr>
      <w:bookmarkStart w:id="42" w:name="_Hlk12411817"/>
      <w:r>
        <w:rPr>
          <w:lang w:val="en-AU"/>
        </w:rPr>
        <w:t xml:space="preserve">More SIG Scholarships were awarded in 2019 than 2018 but actual expenditure decreased from 2018. </w:t>
      </w:r>
      <w:r w:rsidRPr="005C4813">
        <w:rPr>
          <w:lang w:val="en-AU"/>
        </w:rPr>
        <w:t>The expenditure was a</w:t>
      </w:r>
      <w:r>
        <w:rPr>
          <w:lang w:val="en-AU"/>
        </w:rPr>
        <w:t>n</w:t>
      </w:r>
      <w:r w:rsidRPr="005C4813">
        <w:rPr>
          <w:lang w:val="en-AU"/>
        </w:rPr>
        <w:t xml:space="preserve"> underspend from the budgeted amount</w:t>
      </w:r>
      <w:r>
        <w:rPr>
          <w:lang w:val="en-AU"/>
        </w:rPr>
        <w:t xml:space="preserve"> (comparable to the previous year’s spend)</w:t>
      </w:r>
      <w:r w:rsidRPr="005C4813">
        <w:rPr>
          <w:lang w:val="en-AU"/>
        </w:rPr>
        <w:t xml:space="preserve">. The Scholarship expenditure remains at 33% of the SIG recurrent allocation to education. A total </w:t>
      </w:r>
      <w:r>
        <w:rPr>
          <w:lang w:val="en-AU"/>
        </w:rPr>
        <w:t xml:space="preserve">of </w:t>
      </w:r>
      <w:r w:rsidRPr="005C4813">
        <w:rPr>
          <w:lang w:val="en-AU"/>
        </w:rPr>
        <w:t xml:space="preserve">969 new scholarships were awarded in 2019, to commence studies in </w:t>
      </w:r>
      <w:r w:rsidR="00424AE0">
        <w:rPr>
          <w:lang w:val="en-AU"/>
        </w:rPr>
        <w:t xml:space="preserve">the </w:t>
      </w:r>
      <w:r w:rsidRPr="005C4813">
        <w:rPr>
          <w:lang w:val="en-AU"/>
        </w:rPr>
        <w:t xml:space="preserve">2020 academic year with 41% being awarded to females. This is an increase of </w:t>
      </w:r>
      <w:r w:rsidR="00EF2F96">
        <w:rPr>
          <w:lang w:val="en-AU"/>
        </w:rPr>
        <w:t>93</w:t>
      </w:r>
      <w:r w:rsidRPr="005C4813">
        <w:rPr>
          <w:lang w:val="en-AU"/>
        </w:rPr>
        <w:t xml:space="preserve"> scholarships from the previous year.</w:t>
      </w:r>
      <w:r>
        <w:rPr>
          <w:lang w:val="en-AU"/>
        </w:rPr>
        <w:t xml:space="preserve"> All new scholarships were fully funded.</w:t>
      </w:r>
    </w:p>
    <w:p w14:paraId="5D3697DC" w14:textId="6686D692" w:rsidR="007A5021" w:rsidRPr="006D596D" w:rsidRDefault="00E957E3" w:rsidP="006D596D">
      <w:pPr>
        <w:pStyle w:val="Tablecontent"/>
        <w:rPr>
          <w:i/>
          <w:iCs/>
          <w:sz w:val="18"/>
          <w:szCs w:val="20"/>
        </w:rPr>
      </w:pPr>
      <w:bookmarkStart w:id="43" w:name="_Toc48750609"/>
      <w:r w:rsidRPr="009165DB">
        <w:rPr>
          <w:i/>
          <w:iCs/>
          <w:sz w:val="18"/>
          <w:szCs w:val="20"/>
        </w:rPr>
        <w:t xml:space="preserve">Table </w:t>
      </w:r>
      <w:r w:rsidRPr="009165DB">
        <w:rPr>
          <w:i/>
          <w:iCs/>
          <w:sz w:val="18"/>
          <w:szCs w:val="20"/>
        </w:rPr>
        <w:fldChar w:fldCharType="begin"/>
      </w:r>
      <w:r w:rsidRPr="009165DB">
        <w:rPr>
          <w:i/>
          <w:iCs/>
          <w:sz w:val="18"/>
          <w:szCs w:val="20"/>
        </w:rPr>
        <w:instrText xml:space="preserve"> SEQ Table \* ARABIC </w:instrText>
      </w:r>
      <w:r w:rsidRPr="009165DB">
        <w:rPr>
          <w:i/>
          <w:iCs/>
          <w:sz w:val="18"/>
          <w:szCs w:val="20"/>
        </w:rPr>
        <w:fldChar w:fldCharType="separate"/>
      </w:r>
      <w:r w:rsidR="00912E1E">
        <w:rPr>
          <w:i/>
          <w:iCs/>
          <w:noProof/>
          <w:sz w:val="18"/>
          <w:szCs w:val="20"/>
        </w:rPr>
        <w:t>12</w:t>
      </w:r>
      <w:r w:rsidRPr="009165DB">
        <w:rPr>
          <w:i/>
          <w:iCs/>
          <w:sz w:val="18"/>
          <w:szCs w:val="20"/>
        </w:rPr>
        <w:fldChar w:fldCharType="end"/>
      </w:r>
      <w:r w:rsidRPr="009165DB">
        <w:rPr>
          <w:i/>
          <w:iCs/>
          <w:sz w:val="18"/>
          <w:szCs w:val="20"/>
        </w:rPr>
        <w:t xml:space="preserve">: </w:t>
      </w:r>
      <w:r w:rsidR="007A5021" w:rsidRPr="006D596D">
        <w:rPr>
          <w:i/>
          <w:iCs/>
          <w:sz w:val="18"/>
          <w:szCs w:val="20"/>
        </w:rPr>
        <w:t>2020 SIG Scholarships by Category</w:t>
      </w:r>
      <w:bookmarkEnd w:id="43"/>
      <w:r w:rsidR="00D37A48">
        <w:rPr>
          <w:rStyle w:val="FootnoteReference"/>
          <w:i/>
          <w:iCs/>
          <w:sz w:val="18"/>
          <w:szCs w:val="20"/>
        </w:rPr>
        <w:footnoteReference w:id="11"/>
      </w:r>
    </w:p>
    <w:tbl>
      <w:tblPr>
        <w:tblStyle w:val="GridTable5Dark-Accent1"/>
        <w:tblW w:w="6710" w:type="dxa"/>
        <w:tblInd w:w="-5" w:type="dxa"/>
        <w:tblLook w:val="04A0" w:firstRow="1" w:lastRow="0" w:firstColumn="1" w:lastColumn="0" w:noHBand="0" w:noVBand="1"/>
      </w:tblPr>
      <w:tblGrid>
        <w:gridCol w:w="3402"/>
        <w:gridCol w:w="1134"/>
        <w:gridCol w:w="1247"/>
        <w:gridCol w:w="994"/>
      </w:tblGrid>
      <w:tr w:rsidR="00A43DFC" w:rsidRPr="005C4813" w14:paraId="6FEFD234" w14:textId="77777777" w:rsidTr="00A43DF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noWrap/>
            <w:vAlign w:val="center"/>
            <w:hideMark/>
          </w:tcPr>
          <w:p w14:paraId="68FA366E" w14:textId="77777777" w:rsidR="00A43DFC" w:rsidRPr="005C4813" w:rsidRDefault="00A43DFC" w:rsidP="00A43DFC">
            <w:pPr>
              <w:spacing w:after="0" w:line="240" w:lineRule="auto"/>
              <w:ind w:left="360"/>
              <w:rPr>
                <w:rFonts w:asciiTheme="minorHAnsi" w:eastAsia="Calibri" w:hAnsiTheme="minorHAnsi" w:cstheme="minorHAnsi"/>
                <w:b w:val="0"/>
                <w:bCs w:val="0"/>
                <w:sz w:val="20"/>
                <w:szCs w:val="20"/>
                <w:lang w:val="en-GB" w:eastAsia="en-GB"/>
              </w:rPr>
            </w:pPr>
            <w:r w:rsidRPr="005C4813">
              <w:rPr>
                <w:rFonts w:asciiTheme="minorHAnsi" w:eastAsia="Calibri" w:hAnsiTheme="minorHAnsi" w:cstheme="minorHAnsi"/>
                <w:sz w:val="20"/>
                <w:szCs w:val="20"/>
                <w:lang w:val="en-GB" w:eastAsia="en-GB"/>
              </w:rPr>
              <w:t>2020 SIG Scholarships</w:t>
            </w:r>
          </w:p>
        </w:tc>
        <w:tc>
          <w:tcPr>
            <w:tcW w:w="1134" w:type="dxa"/>
            <w:vAlign w:val="center"/>
          </w:tcPr>
          <w:p w14:paraId="6207100C" w14:textId="77777777" w:rsidR="00A43DFC" w:rsidRPr="005C4813" w:rsidRDefault="00A43DFC" w:rsidP="0015435E">
            <w:pPr>
              <w:spacing w:after="0" w:line="24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sz w:val="20"/>
                <w:szCs w:val="20"/>
                <w:lang w:val="en-GB" w:eastAsia="en-GB"/>
              </w:rPr>
            </w:pPr>
          </w:p>
        </w:tc>
        <w:tc>
          <w:tcPr>
            <w:tcW w:w="1180" w:type="dxa"/>
            <w:vAlign w:val="center"/>
          </w:tcPr>
          <w:p w14:paraId="43FF8064" w14:textId="77777777" w:rsidR="00A43DFC" w:rsidRPr="005C4813" w:rsidRDefault="00A43DFC" w:rsidP="0015435E">
            <w:pPr>
              <w:spacing w:after="0" w:line="24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sz w:val="20"/>
                <w:szCs w:val="20"/>
                <w:lang w:val="en-GB" w:eastAsia="en-GB"/>
              </w:rPr>
            </w:pPr>
          </w:p>
        </w:tc>
        <w:tc>
          <w:tcPr>
            <w:tcW w:w="994" w:type="dxa"/>
            <w:vAlign w:val="center"/>
          </w:tcPr>
          <w:p w14:paraId="126CB887" w14:textId="146E5D33" w:rsidR="00A43DFC" w:rsidRPr="005C4813" w:rsidRDefault="00A43DFC" w:rsidP="0015435E">
            <w:pPr>
              <w:spacing w:after="0" w:line="24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lang w:val="en-GB" w:eastAsia="en-GB"/>
              </w:rPr>
            </w:pPr>
          </w:p>
        </w:tc>
      </w:tr>
      <w:tr w:rsidR="007A5021" w:rsidRPr="005C4813" w14:paraId="6C6FCFF1" w14:textId="77777777" w:rsidTr="00A43D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noWrap/>
            <w:vAlign w:val="center"/>
            <w:hideMark/>
          </w:tcPr>
          <w:p w14:paraId="5E6019D0" w14:textId="77777777" w:rsidR="007A5021" w:rsidRPr="005C4813" w:rsidRDefault="007A5021" w:rsidP="0015435E">
            <w:pPr>
              <w:spacing w:after="0" w:line="240" w:lineRule="auto"/>
              <w:ind w:left="360"/>
              <w:rPr>
                <w:rFonts w:asciiTheme="minorHAnsi" w:eastAsia="Calibri" w:hAnsiTheme="minorHAnsi" w:cstheme="minorHAnsi"/>
                <w:sz w:val="20"/>
                <w:szCs w:val="20"/>
                <w:lang w:val="en-GB" w:eastAsia="en-GB"/>
              </w:rPr>
            </w:pPr>
            <w:r w:rsidRPr="005C4813">
              <w:rPr>
                <w:rFonts w:asciiTheme="minorHAnsi" w:eastAsia="Calibri" w:hAnsiTheme="minorHAnsi" w:cstheme="minorHAnsi"/>
                <w:sz w:val="20"/>
                <w:szCs w:val="20"/>
                <w:lang w:val="en-GB" w:eastAsia="en-GB"/>
              </w:rPr>
              <w:t>Category</w:t>
            </w:r>
          </w:p>
        </w:tc>
        <w:tc>
          <w:tcPr>
            <w:tcW w:w="1134" w:type="dxa"/>
            <w:noWrap/>
            <w:vAlign w:val="center"/>
            <w:hideMark/>
          </w:tcPr>
          <w:p w14:paraId="27CB2365" w14:textId="77777777" w:rsidR="007A5021" w:rsidRPr="005C4813" w:rsidRDefault="007A5021" w:rsidP="0015435E">
            <w:pPr>
              <w:spacing w:after="0" w:line="24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Males</w:t>
            </w:r>
          </w:p>
        </w:tc>
        <w:tc>
          <w:tcPr>
            <w:tcW w:w="1180" w:type="dxa"/>
            <w:noWrap/>
            <w:vAlign w:val="center"/>
            <w:hideMark/>
          </w:tcPr>
          <w:p w14:paraId="3719A392" w14:textId="77777777" w:rsidR="007A5021" w:rsidRPr="005C4813" w:rsidRDefault="007A5021" w:rsidP="0015435E">
            <w:pPr>
              <w:spacing w:after="0" w:line="24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Females</w:t>
            </w:r>
          </w:p>
        </w:tc>
        <w:tc>
          <w:tcPr>
            <w:tcW w:w="994" w:type="dxa"/>
            <w:noWrap/>
            <w:vAlign w:val="center"/>
            <w:hideMark/>
          </w:tcPr>
          <w:p w14:paraId="6DA4F59F" w14:textId="77777777" w:rsidR="007A5021" w:rsidRPr="005C4813" w:rsidRDefault="007A5021" w:rsidP="0015435E">
            <w:pPr>
              <w:spacing w:after="0" w:line="24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Total</w:t>
            </w:r>
          </w:p>
        </w:tc>
      </w:tr>
      <w:tr w:rsidR="007A5021" w:rsidRPr="005C4813" w14:paraId="68B44F24" w14:textId="77777777" w:rsidTr="00A43DFC">
        <w:trPr>
          <w:trHeight w:val="300"/>
        </w:trPr>
        <w:tc>
          <w:tcPr>
            <w:cnfStyle w:val="001000000000" w:firstRow="0" w:lastRow="0" w:firstColumn="1" w:lastColumn="0" w:oddVBand="0" w:evenVBand="0" w:oddHBand="0" w:evenHBand="0" w:firstRowFirstColumn="0" w:firstRowLastColumn="0" w:lastRowFirstColumn="0" w:lastRowLastColumn="0"/>
            <w:tcW w:w="3402" w:type="dxa"/>
            <w:noWrap/>
            <w:vAlign w:val="center"/>
            <w:hideMark/>
          </w:tcPr>
          <w:p w14:paraId="18894212" w14:textId="77777777" w:rsidR="007A5021" w:rsidRPr="005C4813" w:rsidRDefault="007A5021" w:rsidP="0015435E">
            <w:pPr>
              <w:spacing w:after="0" w:line="240" w:lineRule="auto"/>
              <w:ind w:left="360"/>
              <w:rPr>
                <w:rFonts w:asciiTheme="minorHAnsi" w:eastAsia="Calibri" w:hAnsiTheme="minorHAnsi" w:cstheme="minorHAnsi"/>
                <w:sz w:val="20"/>
                <w:szCs w:val="20"/>
                <w:lang w:val="en-GB" w:eastAsia="en-GB"/>
              </w:rPr>
            </w:pPr>
            <w:r w:rsidRPr="005C4813">
              <w:rPr>
                <w:rFonts w:asciiTheme="minorHAnsi" w:eastAsia="Calibri" w:hAnsiTheme="minorHAnsi" w:cstheme="minorHAnsi"/>
                <w:sz w:val="20"/>
                <w:szCs w:val="20"/>
                <w:lang w:val="en-GB" w:eastAsia="en-GB"/>
              </w:rPr>
              <w:t>High Achievers (Pre-service)</w:t>
            </w:r>
          </w:p>
        </w:tc>
        <w:tc>
          <w:tcPr>
            <w:tcW w:w="1134" w:type="dxa"/>
            <w:noWrap/>
            <w:vAlign w:val="center"/>
            <w:hideMark/>
          </w:tcPr>
          <w:p w14:paraId="64B86735" w14:textId="77777777" w:rsidR="007A5021" w:rsidRPr="005C4813" w:rsidRDefault="007A5021" w:rsidP="0015435E">
            <w:pPr>
              <w:spacing w:after="0" w:line="24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60</w:t>
            </w:r>
          </w:p>
        </w:tc>
        <w:tc>
          <w:tcPr>
            <w:tcW w:w="1180" w:type="dxa"/>
            <w:noWrap/>
            <w:vAlign w:val="center"/>
            <w:hideMark/>
          </w:tcPr>
          <w:p w14:paraId="115C3EB6" w14:textId="77777777" w:rsidR="007A5021" w:rsidRPr="005C4813" w:rsidRDefault="007A5021" w:rsidP="0015435E">
            <w:pPr>
              <w:spacing w:after="0" w:line="24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43</w:t>
            </w:r>
          </w:p>
        </w:tc>
        <w:tc>
          <w:tcPr>
            <w:tcW w:w="994" w:type="dxa"/>
            <w:noWrap/>
            <w:vAlign w:val="center"/>
            <w:hideMark/>
          </w:tcPr>
          <w:p w14:paraId="1ADE9985" w14:textId="77777777" w:rsidR="007A5021" w:rsidRPr="005C4813" w:rsidRDefault="007A5021" w:rsidP="0015435E">
            <w:pPr>
              <w:spacing w:after="0" w:line="24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103</w:t>
            </w:r>
          </w:p>
        </w:tc>
      </w:tr>
      <w:tr w:rsidR="007A5021" w:rsidRPr="005C4813" w14:paraId="573F9367" w14:textId="77777777" w:rsidTr="00A43D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noWrap/>
            <w:vAlign w:val="center"/>
            <w:hideMark/>
          </w:tcPr>
          <w:p w14:paraId="684D1163" w14:textId="77777777" w:rsidR="007A5021" w:rsidRPr="005C4813" w:rsidRDefault="007A5021" w:rsidP="0015435E">
            <w:pPr>
              <w:spacing w:after="0" w:line="240" w:lineRule="auto"/>
              <w:ind w:left="360"/>
              <w:rPr>
                <w:rFonts w:asciiTheme="minorHAnsi" w:eastAsia="Calibri" w:hAnsiTheme="minorHAnsi" w:cstheme="minorHAnsi"/>
                <w:sz w:val="20"/>
                <w:szCs w:val="20"/>
                <w:lang w:val="en-GB" w:eastAsia="en-GB"/>
              </w:rPr>
            </w:pPr>
            <w:r w:rsidRPr="005C4813">
              <w:rPr>
                <w:rFonts w:asciiTheme="minorHAnsi" w:eastAsia="Calibri" w:hAnsiTheme="minorHAnsi" w:cstheme="minorHAnsi"/>
                <w:sz w:val="20"/>
                <w:szCs w:val="20"/>
                <w:lang w:val="en-GB" w:eastAsia="en-GB"/>
              </w:rPr>
              <w:t>In-service</w:t>
            </w:r>
          </w:p>
        </w:tc>
        <w:tc>
          <w:tcPr>
            <w:tcW w:w="1134" w:type="dxa"/>
            <w:noWrap/>
            <w:vAlign w:val="center"/>
            <w:hideMark/>
          </w:tcPr>
          <w:p w14:paraId="6FA0DFB9" w14:textId="77777777" w:rsidR="007A5021" w:rsidRPr="005C4813" w:rsidRDefault="007A5021" w:rsidP="0015435E">
            <w:pPr>
              <w:spacing w:after="0" w:line="24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62</w:t>
            </w:r>
          </w:p>
        </w:tc>
        <w:tc>
          <w:tcPr>
            <w:tcW w:w="1180" w:type="dxa"/>
            <w:noWrap/>
            <w:vAlign w:val="center"/>
            <w:hideMark/>
          </w:tcPr>
          <w:p w14:paraId="09B3B778" w14:textId="77777777" w:rsidR="007A5021" w:rsidRPr="005C4813" w:rsidRDefault="007A5021" w:rsidP="0015435E">
            <w:pPr>
              <w:spacing w:after="0" w:line="24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33</w:t>
            </w:r>
          </w:p>
        </w:tc>
        <w:tc>
          <w:tcPr>
            <w:tcW w:w="994" w:type="dxa"/>
            <w:noWrap/>
            <w:vAlign w:val="center"/>
            <w:hideMark/>
          </w:tcPr>
          <w:p w14:paraId="4E92226D" w14:textId="77777777" w:rsidR="007A5021" w:rsidRPr="005C4813" w:rsidRDefault="007A5021" w:rsidP="0015435E">
            <w:pPr>
              <w:spacing w:after="0" w:line="24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95</w:t>
            </w:r>
          </w:p>
        </w:tc>
      </w:tr>
      <w:tr w:rsidR="007A5021" w:rsidRPr="005C4813" w14:paraId="435D3440" w14:textId="77777777" w:rsidTr="00A43DFC">
        <w:trPr>
          <w:trHeight w:val="300"/>
        </w:trPr>
        <w:tc>
          <w:tcPr>
            <w:cnfStyle w:val="001000000000" w:firstRow="0" w:lastRow="0" w:firstColumn="1" w:lastColumn="0" w:oddVBand="0" w:evenVBand="0" w:oddHBand="0" w:evenHBand="0" w:firstRowFirstColumn="0" w:firstRowLastColumn="0" w:lastRowFirstColumn="0" w:lastRowLastColumn="0"/>
            <w:tcW w:w="3402" w:type="dxa"/>
            <w:noWrap/>
            <w:vAlign w:val="center"/>
            <w:hideMark/>
          </w:tcPr>
          <w:p w14:paraId="3D06AE29" w14:textId="77777777" w:rsidR="007A5021" w:rsidRPr="005C4813" w:rsidRDefault="007A5021" w:rsidP="0015435E">
            <w:pPr>
              <w:spacing w:after="0" w:line="240" w:lineRule="auto"/>
              <w:ind w:left="360"/>
              <w:rPr>
                <w:rFonts w:asciiTheme="minorHAnsi" w:eastAsia="Calibri" w:hAnsiTheme="minorHAnsi" w:cstheme="minorHAnsi"/>
                <w:sz w:val="20"/>
                <w:szCs w:val="20"/>
                <w:lang w:val="en-GB" w:eastAsia="en-GB"/>
              </w:rPr>
            </w:pPr>
            <w:r w:rsidRPr="005C4813">
              <w:rPr>
                <w:rFonts w:asciiTheme="minorHAnsi" w:eastAsia="Calibri" w:hAnsiTheme="minorHAnsi" w:cstheme="minorHAnsi"/>
                <w:sz w:val="20"/>
                <w:szCs w:val="20"/>
                <w:lang w:val="en-GB" w:eastAsia="en-GB"/>
              </w:rPr>
              <w:t>Postgraduate</w:t>
            </w:r>
          </w:p>
        </w:tc>
        <w:tc>
          <w:tcPr>
            <w:tcW w:w="1134" w:type="dxa"/>
            <w:noWrap/>
            <w:vAlign w:val="center"/>
            <w:hideMark/>
          </w:tcPr>
          <w:p w14:paraId="44542945" w14:textId="77777777" w:rsidR="007A5021" w:rsidRPr="005C4813" w:rsidRDefault="007A5021" w:rsidP="0015435E">
            <w:pPr>
              <w:spacing w:after="0" w:line="24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6</w:t>
            </w:r>
          </w:p>
        </w:tc>
        <w:tc>
          <w:tcPr>
            <w:tcW w:w="1180" w:type="dxa"/>
            <w:noWrap/>
            <w:vAlign w:val="center"/>
            <w:hideMark/>
          </w:tcPr>
          <w:p w14:paraId="6BC015C1" w14:textId="77777777" w:rsidR="007A5021" w:rsidRPr="005C4813" w:rsidRDefault="007A5021" w:rsidP="0015435E">
            <w:pPr>
              <w:spacing w:after="0" w:line="24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3</w:t>
            </w:r>
          </w:p>
        </w:tc>
        <w:tc>
          <w:tcPr>
            <w:tcW w:w="994" w:type="dxa"/>
            <w:noWrap/>
            <w:vAlign w:val="center"/>
            <w:hideMark/>
          </w:tcPr>
          <w:p w14:paraId="430F7736" w14:textId="77777777" w:rsidR="007A5021" w:rsidRPr="005C4813" w:rsidRDefault="007A5021" w:rsidP="0015435E">
            <w:pPr>
              <w:spacing w:after="0" w:line="24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9</w:t>
            </w:r>
          </w:p>
        </w:tc>
      </w:tr>
      <w:tr w:rsidR="007A5021" w:rsidRPr="005C4813" w14:paraId="7D553796" w14:textId="77777777" w:rsidTr="00A43D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noWrap/>
            <w:vAlign w:val="center"/>
            <w:hideMark/>
          </w:tcPr>
          <w:p w14:paraId="69AA48B9" w14:textId="77777777" w:rsidR="007A5021" w:rsidRPr="005C4813" w:rsidRDefault="007A5021" w:rsidP="0015435E">
            <w:pPr>
              <w:spacing w:after="0" w:line="240" w:lineRule="auto"/>
              <w:ind w:left="360"/>
              <w:rPr>
                <w:rFonts w:asciiTheme="minorHAnsi" w:eastAsia="Calibri" w:hAnsiTheme="minorHAnsi" w:cstheme="minorHAnsi"/>
                <w:sz w:val="20"/>
                <w:szCs w:val="20"/>
                <w:lang w:val="en-GB" w:eastAsia="en-GB"/>
              </w:rPr>
            </w:pPr>
            <w:r w:rsidRPr="005C4813">
              <w:rPr>
                <w:rFonts w:asciiTheme="minorHAnsi" w:eastAsia="Calibri" w:hAnsiTheme="minorHAnsi" w:cstheme="minorHAnsi"/>
                <w:sz w:val="20"/>
                <w:szCs w:val="20"/>
                <w:lang w:val="en-GB" w:eastAsia="en-GB"/>
              </w:rPr>
              <w:t>Cost Sharing</w:t>
            </w:r>
          </w:p>
        </w:tc>
        <w:tc>
          <w:tcPr>
            <w:tcW w:w="1134" w:type="dxa"/>
            <w:noWrap/>
            <w:vAlign w:val="center"/>
            <w:hideMark/>
          </w:tcPr>
          <w:p w14:paraId="44B4DA5E" w14:textId="77777777" w:rsidR="007A5021" w:rsidRPr="005C4813" w:rsidRDefault="007A5021" w:rsidP="0015435E">
            <w:pPr>
              <w:spacing w:after="0" w:line="24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22</w:t>
            </w:r>
          </w:p>
        </w:tc>
        <w:tc>
          <w:tcPr>
            <w:tcW w:w="1180" w:type="dxa"/>
            <w:noWrap/>
            <w:vAlign w:val="center"/>
            <w:hideMark/>
          </w:tcPr>
          <w:p w14:paraId="692A16F9" w14:textId="77777777" w:rsidR="007A5021" w:rsidRPr="005C4813" w:rsidRDefault="007A5021" w:rsidP="0015435E">
            <w:pPr>
              <w:spacing w:after="0" w:line="24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14</w:t>
            </w:r>
          </w:p>
        </w:tc>
        <w:tc>
          <w:tcPr>
            <w:tcW w:w="994" w:type="dxa"/>
            <w:noWrap/>
            <w:vAlign w:val="center"/>
            <w:hideMark/>
          </w:tcPr>
          <w:p w14:paraId="0EC02B99" w14:textId="77777777" w:rsidR="007A5021" w:rsidRPr="005C4813" w:rsidRDefault="007A5021" w:rsidP="0015435E">
            <w:pPr>
              <w:spacing w:after="0" w:line="24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36</w:t>
            </w:r>
          </w:p>
        </w:tc>
      </w:tr>
      <w:tr w:rsidR="007A5021" w:rsidRPr="005C4813" w14:paraId="67AE0EBD" w14:textId="77777777" w:rsidTr="00A43DFC">
        <w:trPr>
          <w:trHeight w:val="300"/>
        </w:trPr>
        <w:tc>
          <w:tcPr>
            <w:cnfStyle w:val="001000000000" w:firstRow="0" w:lastRow="0" w:firstColumn="1" w:lastColumn="0" w:oddVBand="0" w:evenVBand="0" w:oddHBand="0" w:evenHBand="0" w:firstRowFirstColumn="0" w:firstRowLastColumn="0" w:lastRowFirstColumn="0" w:lastRowLastColumn="0"/>
            <w:tcW w:w="3402" w:type="dxa"/>
            <w:noWrap/>
            <w:vAlign w:val="center"/>
            <w:hideMark/>
          </w:tcPr>
          <w:p w14:paraId="49427FBC" w14:textId="77777777" w:rsidR="007A5021" w:rsidRPr="005C4813" w:rsidRDefault="007A5021" w:rsidP="0015435E">
            <w:pPr>
              <w:spacing w:after="0" w:line="240" w:lineRule="auto"/>
              <w:ind w:left="360"/>
              <w:rPr>
                <w:rFonts w:asciiTheme="minorHAnsi" w:eastAsia="Calibri" w:hAnsiTheme="minorHAnsi" w:cstheme="minorHAnsi"/>
                <w:sz w:val="20"/>
                <w:szCs w:val="20"/>
                <w:lang w:val="en-GB" w:eastAsia="en-GB"/>
              </w:rPr>
            </w:pPr>
            <w:r w:rsidRPr="005C4813">
              <w:rPr>
                <w:rFonts w:asciiTheme="minorHAnsi" w:eastAsia="Calibri" w:hAnsiTheme="minorHAnsi" w:cstheme="minorHAnsi"/>
                <w:sz w:val="20"/>
                <w:szCs w:val="20"/>
                <w:lang w:val="en-GB" w:eastAsia="en-GB"/>
              </w:rPr>
              <w:t>Constituency</w:t>
            </w:r>
          </w:p>
        </w:tc>
        <w:tc>
          <w:tcPr>
            <w:tcW w:w="1134" w:type="dxa"/>
            <w:noWrap/>
            <w:vAlign w:val="center"/>
            <w:hideMark/>
          </w:tcPr>
          <w:p w14:paraId="172B2E15" w14:textId="77777777" w:rsidR="007A5021" w:rsidRPr="005C4813" w:rsidRDefault="007A5021" w:rsidP="0015435E">
            <w:pPr>
              <w:spacing w:after="0" w:line="24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61</w:t>
            </w:r>
          </w:p>
        </w:tc>
        <w:tc>
          <w:tcPr>
            <w:tcW w:w="1180" w:type="dxa"/>
            <w:noWrap/>
            <w:vAlign w:val="center"/>
            <w:hideMark/>
          </w:tcPr>
          <w:p w14:paraId="6E93ACD9" w14:textId="77777777" w:rsidR="007A5021" w:rsidRPr="005C4813" w:rsidRDefault="007A5021" w:rsidP="0015435E">
            <w:pPr>
              <w:spacing w:after="0" w:line="24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37</w:t>
            </w:r>
          </w:p>
        </w:tc>
        <w:tc>
          <w:tcPr>
            <w:tcW w:w="994" w:type="dxa"/>
            <w:noWrap/>
            <w:vAlign w:val="center"/>
            <w:hideMark/>
          </w:tcPr>
          <w:p w14:paraId="325AFD24" w14:textId="77777777" w:rsidR="007A5021" w:rsidRPr="005C4813" w:rsidRDefault="007A5021" w:rsidP="0015435E">
            <w:pPr>
              <w:spacing w:after="0" w:line="24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98</w:t>
            </w:r>
          </w:p>
        </w:tc>
      </w:tr>
      <w:tr w:rsidR="007A5021" w:rsidRPr="005C4813" w14:paraId="0569AD01" w14:textId="77777777" w:rsidTr="00A43D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noWrap/>
            <w:vAlign w:val="center"/>
            <w:hideMark/>
          </w:tcPr>
          <w:p w14:paraId="1B785F80" w14:textId="77777777" w:rsidR="007A5021" w:rsidRPr="005C4813" w:rsidRDefault="007A5021" w:rsidP="0015435E">
            <w:pPr>
              <w:spacing w:after="0" w:line="240" w:lineRule="auto"/>
              <w:ind w:left="360"/>
              <w:rPr>
                <w:rFonts w:asciiTheme="minorHAnsi" w:eastAsia="Calibri" w:hAnsiTheme="minorHAnsi" w:cstheme="minorHAnsi"/>
                <w:sz w:val="20"/>
                <w:szCs w:val="20"/>
                <w:lang w:val="en-GB" w:eastAsia="en-GB"/>
              </w:rPr>
            </w:pPr>
            <w:r w:rsidRPr="005C4813">
              <w:rPr>
                <w:rFonts w:asciiTheme="minorHAnsi" w:eastAsia="Calibri" w:hAnsiTheme="minorHAnsi" w:cstheme="minorHAnsi"/>
                <w:sz w:val="20"/>
                <w:szCs w:val="20"/>
                <w:lang w:val="en-GB" w:eastAsia="en-GB"/>
              </w:rPr>
              <w:t>Skills Development</w:t>
            </w:r>
          </w:p>
        </w:tc>
        <w:tc>
          <w:tcPr>
            <w:tcW w:w="1134" w:type="dxa"/>
            <w:noWrap/>
            <w:vAlign w:val="center"/>
            <w:hideMark/>
          </w:tcPr>
          <w:p w14:paraId="73F4681F" w14:textId="77777777" w:rsidR="007A5021" w:rsidRPr="005C4813" w:rsidRDefault="007A5021" w:rsidP="0015435E">
            <w:pPr>
              <w:spacing w:after="0" w:line="24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115</w:t>
            </w:r>
          </w:p>
        </w:tc>
        <w:tc>
          <w:tcPr>
            <w:tcW w:w="1180" w:type="dxa"/>
            <w:noWrap/>
            <w:vAlign w:val="center"/>
            <w:hideMark/>
          </w:tcPr>
          <w:p w14:paraId="024B5711" w14:textId="77777777" w:rsidR="007A5021" w:rsidRPr="005C4813" w:rsidRDefault="007A5021" w:rsidP="0015435E">
            <w:pPr>
              <w:spacing w:after="0" w:line="24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73</w:t>
            </w:r>
          </w:p>
        </w:tc>
        <w:tc>
          <w:tcPr>
            <w:tcW w:w="994" w:type="dxa"/>
            <w:noWrap/>
            <w:vAlign w:val="center"/>
            <w:hideMark/>
          </w:tcPr>
          <w:p w14:paraId="1F57C693" w14:textId="77777777" w:rsidR="007A5021" w:rsidRPr="005C4813" w:rsidRDefault="007A5021" w:rsidP="0015435E">
            <w:pPr>
              <w:spacing w:after="0" w:line="24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188</w:t>
            </w:r>
          </w:p>
        </w:tc>
      </w:tr>
      <w:tr w:rsidR="007A5021" w:rsidRPr="005C4813" w14:paraId="62FB2F71" w14:textId="77777777" w:rsidTr="00A43DFC">
        <w:trPr>
          <w:trHeight w:val="300"/>
        </w:trPr>
        <w:tc>
          <w:tcPr>
            <w:cnfStyle w:val="001000000000" w:firstRow="0" w:lastRow="0" w:firstColumn="1" w:lastColumn="0" w:oddVBand="0" w:evenVBand="0" w:oddHBand="0" w:evenHBand="0" w:firstRowFirstColumn="0" w:firstRowLastColumn="0" w:lastRowFirstColumn="0" w:lastRowLastColumn="0"/>
            <w:tcW w:w="3402" w:type="dxa"/>
            <w:noWrap/>
            <w:vAlign w:val="center"/>
            <w:hideMark/>
          </w:tcPr>
          <w:p w14:paraId="421EC14D" w14:textId="77777777" w:rsidR="007A5021" w:rsidRPr="005C4813" w:rsidRDefault="007A5021" w:rsidP="0015435E">
            <w:pPr>
              <w:spacing w:after="0" w:line="240" w:lineRule="auto"/>
              <w:ind w:left="360"/>
              <w:rPr>
                <w:rFonts w:asciiTheme="minorHAnsi" w:eastAsia="Calibri" w:hAnsiTheme="minorHAnsi" w:cstheme="minorHAnsi"/>
                <w:sz w:val="20"/>
                <w:szCs w:val="20"/>
                <w:lang w:val="en-GB" w:eastAsia="en-GB"/>
              </w:rPr>
            </w:pPr>
            <w:r w:rsidRPr="005C4813">
              <w:rPr>
                <w:rFonts w:asciiTheme="minorHAnsi" w:eastAsia="Calibri" w:hAnsiTheme="minorHAnsi" w:cstheme="minorHAnsi"/>
                <w:sz w:val="20"/>
                <w:szCs w:val="20"/>
                <w:lang w:val="en-GB" w:eastAsia="en-GB"/>
              </w:rPr>
              <w:t>Additional</w:t>
            </w:r>
          </w:p>
        </w:tc>
        <w:tc>
          <w:tcPr>
            <w:tcW w:w="1134" w:type="dxa"/>
            <w:noWrap/>
            <w:vAlign w:val="center"/>
            <w:hideMark/>
          </w:tcPr>
          <w:p w14:paraId="30EA7AD2" w14:textId="77777777" w:rsidR="007A5021" w:rsidRPr="005C4813" w:rsidRDefault="007A5021" w:rsidP="0015435E">
            <w:pPr>
              <w:spacing w:after="0" w:line="24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210</w:t>
            </w:r>
          </w:p>
        </w:tc>
        <w:tc>
          <w:tcPr>
            <w:tcW w:w="1180" w:type="dxa"/>
            <w:noWrap/>
            <w:vAlign w:val="center"/>
            <w:hideMark/>
          </w:tcPr>
          <w:p w14:paraId="2E768795" w14:textId="77777777" w:rsidR="007A5021" w:rsidRPr="005C4813" w:rsidRDefault="007A5021" w:rsidP="0015435E">
            <w:pPr>
              <w:spacing w:after="0" w:line="24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259</w:t>
            </w:r>
          </w:p>
        </w:tc>
        <w:tc>
          <w:tcPr>
            <w:tcW w:w="994" w:type="dxa"/>
            <w:noWrap/>
            <w:vAlign w:val="center"/>
            <w:hideMark/>
          </w:tcPr>
          <w:p w14:paraId="143C28F0" w14:textId="77777777" w:rsidR="007A5021" w:rsidRPr="005C4813" w:rsidRDefault="007A5021" w:rsidP="0015435E">
            <w:pPr>
              <w:spacing w:after="0" w:line="24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0"/>
                <w:szCs w:val="20"/>
                <w:lang w:val="en-GB" w:eastAsia="en-GB"/>
              </w:rPr>
            </w:pPr>
            <w:r w:rsidRPr="005C4813">
              <w:rPr>
                <w:rFonts w:asciiTheme="minorHAnsi" w:eastAsia="Calibri" w:hAnsiTheme="minorHAnsi" w:cstheme="minorHAnsi"/>
                <w:color w:val="000000"/>
                <w:sz w:val="20"/>
                <w:szCs w:val="20"/>
                <w:lang w:val="en-GB" w:eastAsia="en-GB"/>
              </w:rPr>
              <w:t>469</w:t>
            </w:r>
          </w:p>
        </w:tc>
      </w:tr>
      <w:tr w:rsidR="007A5021" w:rsidRPr="005C4813" w14:paraId="697D7769" w14:textId="77777777" w:rsidTr="00A43D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noWrap/>
            <w:vAlign w:val="center"/>
            <w:hideMark/>
          </w:tcPr>
          <w:p w14:paraId="5957DAFD" w14:textId="77777777" w:rsidR="007A5021" w:rsidRPr="005C4813" w:rsidRDefault="007A5021" w:rsidP="0015435E">
            <w:pPr>
              <w:spacing w:after="0" w:line="240" w:lineRule="auto"/>
              <w:ind w:left="360"/>
              <w:rPr>
                <w:rFonts w:asciiTheme="minorHAnsi" w:eastAsia="Calibri" w:hAnsiTheme="minorHAnsi" w:cstheme="minorHAnsi"/>
                <w:sz w:val="20"/>
                <w:szCs w:val="20"/>
                <w:lang w:val="en-GB" w:eastAsia="en-GB"/>
              </w:rPr>
            </w:pPr>
            <w:r w:rsidRPr="005C4813">
              <w:rPr>
                <w:rFonts w:asciiTheme="minorHAnsi" w:eastAsia="Calibri" w:hAnsiTheme="minorHAnsi" w:cstheme="minorHAnsi"/>
                <w:sz w:val="20"/>
                <w:szCs w:val="20"/>
                <w:lang w:val="en-GB" w:eastAsia="en-GB"/>
              </w:rPr>
              <w:t>Total</w:t>
            </w:r>
          </w:p>
        </w:tc>
        <w:tc>
          <w:tcPr>
            <w:tcW w:w="1134" w:type="dxa"/>
            <w:noWrap/>
            <w:vAlign w:val="center"/>
            <w:hideMark/>
          </w:tcPr>
          <w:p w14:paraId="1A790D0E" w14:textId="77777777" w:rsidR="007A5021" w:rsidRPr="005C4813" w:rsidRDefault="007A5021" w:rsidP="0015435E">
            <w:pPr>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color w:val="000000"/>
                <w:sz w:val="20"/>
                <w:szCs w:val="20"/>
                <w:lang w:val="en-GB" w:eastAsia="en-GB"/>
              </w:rPr>
            </w:pPr>
            <w:r w:rsidRPr="005C4813">
              <w:rPr>
                <w:rFonts w:asciiTheme="minorHAnsi" w:eastAsia="Calibri" w:hAnsiTheme="minorHAnsi" w:cstheme="minorHAnsi"/>
                <w:b/>
                <w:bCs/>
                <w:color w:val="000000"/>
                <w:sz w:val="20"/>
                <w:szCs w:val="20"/>
                <w:lang w:val="en-GB" w:eastAsia="en-GB"/>
              </w:rPr>
              <w:t>557</w:t>
            </w:r>
          </w:p>
        </w:tc>
        <w:tc>
          <w:tcPr>
            <w:tcW w:w="1180" w:type="dxa"/>
            <w:noWrap/>
            <w:vAlign w:val="center"/>
            <w:hideMark/>
          </w:tcPr>
          <w:p w14:paraId="30F69034" w14:textId="77777777" w:rsidR="007A5021" w:rsidRPr="005C4813" w:rsidRDefault="007A5021" w:rsidP="0015435E">
            <w:pPr>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color w:val="000000"/>
                <w:sz w:val="20"/>
                <w:szCs w:val="20"/>
                <w:lang w:val="en-GB" w:eastAsia="en-GB"/>
              </w:rPr>
            </w:pPr>
            <w:r w:rsidRPr="005C4813">
              <w:rPr>
                <w:rFonts w:asciiTheme="minorHAnsi" w:eastAsia="Calibri" w:hAnsiTheme="minorHAnsi" w:cstheme="minorHAnsi"/>
                <w:b/>
                <w:bCs/>
                <w:color w:val="000000"/>
                <w:sz w:val="20"/>
                <w:szCs w:val="20"/>
                <w:lang w:val="en-GB" w:eastAsia="en-GB"/>
              </w:rPr>
              <w:t>412</w:t>
            </w:r>
          </w:p>
        </w:tc>
        <w:tc>
          <w:tcPr>
            <w:tcW w:w="994" w:type="dxa"/>
            <w:noWrap/>
            <w:vAlign w:val="center"/>
            <w:hideMark/>
          </w:tcPr>
          <w:p w14:paraId="7E06E49E" w14:textId="77777777" w:rsidR="007A5021" w:rsidRPr="005C4813" w:rsidRDefault="007A5021" w:rsidP="0015435E">
            <w:pPr>
              <w:keepNext/>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color w:val="000000"/>
                <w:sz w:val="20"/>
                <w:szCs w:val="20"/>
                <w:lang w:val="en-GB" w:eastAsia="en-GB"/>
              </w:rPr>
            </w:pPr>
            <w:r w:rsidRPr="005C4813">
              <w:rPr>
                <w:rFonts w:asciiTheme="minorHAnsi" w:eastAsia="Calibri" w:hAnsiTheme="minorHAnsi" w:cstheme="minorHAnsi"/>
                <w:b/>
                <w:bCs/>
                <w:color w:val="000000"/>
                <w:sz w:val="20"/>
                <w:szCs w:val="20"/>
                <w:lang w:val="en-GB" w:eastAsia="en-GB"/>
              </w:rPr>
              <w:t>969</w:t>
            </w:r>
          </w:p>
        </w:tc>
      </w:tr>
    </w:tbl>
    <w:p w14:paraId="0D5AD449" w14:textId="77777777" w:rsidR="007A5021" w:rsidRDefault="007A5021" w:rsidP="0015435E">
      <w:pPr>
        <w:pStyle w:val="Caption"/>
      </w:pPr>
    </w:p>
    <w:p w14:paraId="34B333C3" w14:textId="6AB1F596" w:rsidR="00D0439F" w:rsidRDefault="00D0439F" w:rsidP="0015435E">
      <w:pPr>
        <w:pStyle w:val="Caption"/>
        <w:keepNext/>
      </w:pPr>
      <w:bookmarkStart w:id="44" w:name="_Toc48636301"/>
      <w:bookmarkStart w:id="45" w:name="_Toc48725963"/>
      <w:bookmarkStart w:id="46" w:name="_Toc48740673"/>
      <w:r>
        <w:t xml:space="preserve">Figure </w:t>
      </w:r>
      <w:r w:rsidR="00992C5E">
        <w:fldChar w:fldCharType="begin"/>
      </w:r>
      <w:r w:rsidR="00992C5E">
        <w:instrText xml:space="preserve"> SEQ Figure \* ARABIC </w:instrText>
      </w:r>
      <w:r w:rsidR="00992C5E">
        <w:fldChar w:fldCharType="separate"/>
      </w:r>
      <w:r w:rsidR="00992C5E">
        <w:rPr>
          <w:noProof/>
        </w:rPr>
        <w:t>3</w:t>
      </w:r>
      <w:r w:rsidR="00992C5E">
        <w:fldChar w:fldCharType="end"/>
      </w:r>
      <w:r>
        <w:t>: SIG Scholarships Awarded 2016-2020</w:t>
      </w:r>
      <w:bookmarkEnd w:id="44"/>
      <w:bookmarkEnd w:id="45"/>
      <w:bookmarkEnd w:id="46"/>
    </w:p>
    <w:p w14:paraId="2AD46E53" w14:textId="7A34366F" w:rsidR="00D0439F" w:rsidRPr="00D0439F" w:rsidRDefault="00075333" w:rsidP="0015435E">
      <w:pPr>
        <w:spacing w:line="240" w:lineRule="auto"/>
      </w:pPr>
      <w:r>
        <w:rPr>
          <w:noProof/>
          <w:lang w:val="en-AU" w:eastAsia="en-AU"/>
        </w:rPr>
        <w:drawing>
          <wp:inline distT="0" distB="0" distL="0" distR="0" wp14:anchorId="3E2DBBD2" wp14:editId="30251541">
            <wp:extent cx="3767455" cy="2194560"/>
            <wp:effectExtent l="0" t="0" r="4445" b="0"/>
            <wp:docPr id="6" name="Picture 6" descr="Graph showing number SIG scholarships awarded 2016-2020.  Peaks at 2000 scholarships in 2017 and then drops below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 showing number SIG scholarships awarded 2016-2020.  Peaks at 2000 scholarships in 2017 and then drops below 1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7455" cy="2194560"/>
                    </a:xfrm>
                    <a:prstGeom prst="rect">
                      <a:avLst/>
                    </a:prstGeom>
                    <a:noFill/>
                  </pic:spPr>
                </pic:pic>
              </a:graphicData>
            </a:graphic>
          </wp:inline>
        </w:drawing>
      </w:r>
    </w:p>
    <w:p w14:paraId="01A2280A" w14:textId="77777777" w:rsidR="007A5021" w:rsidRPr="0068723C" w:rsidRDefault="007A5021" w:rsidP="0015435E">
      <w:pPr>
        <w:pStyle w:val="Bodytext11"/>
        <w:spacing w:before="240"/>
        <w:rPr>
          <w:lang w:val="en-AU"/>
        </w:rPr>
      </w:pPr>
      <w:r w:rsidRPr="0068723C">
        <w:rPr>
          <w:lang w:val="en-AU"/>
        </w:rPr>
        <w:t>In 2020, there are 572 SIG scholarship recipients undertaking tertiary studies in the broader field of education. Of these, 364 were offered a scholarship in the 2020 round of scholarships (38% of total scholarships offered).</w:t>
      </w:r>
      <w:r>
        <w:rPr>
          <w:lang w:val="en-AU"/>
        </w:rPr>
        <w:t xml:space="preserve"> S</w:t>
      </w:r>
      <w:r w:rsidRPr="0068723C">
        <w:rPr>
          <w:lang w:val="en-AU"/>
        </w:rPr>
        <w:t xml:space="preserve">cholarships allocated to teachers and education managers </w:t>
      </w:r>
      <w:r>
        <w:rPr>
          <w:lang w:val="en-AU"/>
        </w:rPr>
        <w:t>are</w:t>
      </w:r>
      <w:r w:rsidRPr="0068723C">
        <w:rPr>
          <w:lang w:val="en-AU"/>
        </w:rPr>
        <w:t xml:space="preserve"> identified under the Scholarships section, so that they are recognised as contributing to professional development in education. </w:t>
      </w:r>
      <w:r w:rsidRPr="007C5A26">
        <w:t>The table below shows a breakdown of scholarships by level of study.</w:t>
      </w:r>
    </w:p>
    <w:p w14:paraId="44E6BC88" w14:textId="1270ADD8" w:rsidR="007A5021" w:rsidRPr="006D596D" w:rsidRDefault="00E957E3" w:rsidP="006D596D">
      <w:pPr>
        <w:pStyle w:val="Tablecontent"/>
        <w:rPr>
          <w:i/>
          <w:iCs/>
          <w:sz w:val="18"/>
          <w:szCs w:val="20"/>
        </w:rPr>
      </w:pPr>
      <w:bookmarkStart w:id="47" w:name="_Toc48750610"/>
      <w:r w:rsidRPr="009165DB">
        <w:rPr>
          <w:i/>
          <w:iCs/>
          <w:sz w:val="18"/>
          <w:szCs w:val="20"/>
        </w:rPr>
        <w:t xml:space="preserve">Table </w:t>
      </w:r>
      <w:r w:rsidRPr="009165DB">
        <w:rPr>
          <w:i/>
          <w:iCs/>
          <w:sz w:val="18"/>
          <w:szCs w:val="20"/>
        </w:rPr>
        <w:fldChar w:fldCharType="begin"/>
      </w:r>
      <w:r w:rsidRPr="009165DB">
        <w:rPr>
          <w:i/>
          <w:iCs/>
          <w:sz w:val="18"/>
          <w:szCs w:val="20"/>
        </w:rPr>
        <w:instrText xml:space="preserve"> SEQ Table \* ARABIC </w:instrText>
      </w:r>
      <w:r w:rsidRPr="009165DB">
        <w:rPr>
          <w:i/>
          <w:iCs/>
          <w:sz w:val="18"/>
          <w:szCs w:val="20"/>
        </w:rPr>
        <w:fldChar w:fldCharType="separate"/>
      </w:r>
      <w:r w:rsidR="00912E1E">
        <w:rPr>
          <w:i/>
          <w:iCs/>
          <w:noProof/>
          <w:sz w:val="18"/>
          <w:szCs w:val="20"/>
        </w:rPr>
        <w:t>13</w:t>
      </w:r>
      <w:r w:rsidRPr="009165DB">
        <w:rPr>
          <w:i/>
          <w:iCs/>
          <w:sz w:val="18"/>
          <w:szCs w:val="20"/>
        </w:rPr>
        <w:fldChar w:fldCharType="end"/>
      </w:r>
      <w:r w:rsidRPr="009165DB">
        <w:rPr>
          <w:i/>
          <w:iCs/>
          <w:sz w:val="18"/>
          <w:szCs w:val="20"/>
        </w:rPr>
        <w:t>:</w:t>
      </w:r>
      <w:r w:rsidR="007A5021" w:rsidRPr="006D596D">
        <w:rPr>
          <w:i/>
          <w:iCs/>
          <w:sz w:val="18"/>
          <w:szCs w:val="20"/>
        </w:rPr>
        <w:t xml:space="preserve"> Scholarships by Level of Study 2020</w:t>
      </w:r>
      <w:bookmarkEnd w:id="47"/>
    </w:p>
    <w:tbl>
      <w:tblPr>
        <w:tblStyle w:val="GridTable5Dark-Accent1"/>
        <w:tblW w:w="0" w:type="auto"/>
        <w:tblLook w:val="04A0" w:firstRow="1" w:lastRow="0" w:firstColumn="1" w:lastColumn="0" w:noHBand="0" w:noVBand="1"/>
      </w:tblPr>
      <w:tblGrid>
        <w:gridCol w:w="2689"/>
        <w:gridCol w:w="992"/>
      </w:tblGrid>
      <w:tr w:rsidR="007A5021" w:rsidRPr="0068723C" w14:paraId="39528337" w14:textId="77777777" w:rsidTr="00FD0A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62DB9063" w14:textId="3E63572F" w:rsidR="007A5021" w:rsidRPr="0068723C" w:rsidRDefault="007A5021" w:rsidP="0015435E">
            <w:pPr>
              <w:spacing w:after="0" w:line="240" w:lineRule="auto"/>
              <w:jc w:val="center"/>
              <w:rPr>
                <w:rFonts w:asciiTheme="minorHAnsi" w:hAnsiTheme="minorHAnsi"/>
                <w:b w:val="0"/>
                <w:bCs w:val="0"/>
                <w:sz w:val="20"/>
                <w:szCs w:val="20"/>
              </w:rPr>
            </w:pPr>
            <w:r w:rsidRPr="0068723C">
              <w:rPr>
                <w:rFonts w:asciiTheme="minorHAnsi" w:hAnsiTheme="minorHAnsi"/>
                <w:sz w:val="20"/>
                <w:szCs w:val="20"/>
              </w:rPr>
              <w:t xml:space="preserve">Level </w:t>
            </w:r>
            <w:r w:rsidRPr="0068723C">
              <w:rPr>
                <w:rFonts w:asciiTheme="minorHAnsi" w:eastAsia="Times New Roman" w:hAnsiTheme="minorHAnsi" w:cs="Calibri"/>
                <w:sz w:val="20"/>
                <w:szCs w:val="24"/>
                <w:lang w:eastAsia="en-AU"/>
              </w:rPr>
              <w:t>of</w:t>
            </w:r>
            <w:r w:rsidRPr="0068723C">
              <w:rPr>
                <w:rFonts w:asciiTheme="minorHAnsi" w:hAnsiTheme="minorHAnsi"/>
                <w:sz w:val="20"/>
                <w:szCs w:val="20"/>
              </w:rPr>
              <w:t xml:space="preserve"> </w:t>
            </w:r>
            <w:r w:rsidR="00C908E8">
              <w:rPr>
                <w:rFonts w:asciiTheme="minorHAnsi" w:hAnsiTheme="minorHAnsi"/>
                <w:sz w:val="20"/>
                <w:szCs w:val="20"/>
              </w:rPr>
              <w:t>S</w:t>
            </w:r>
            <w:r w:rsidRPr="0068723C">
              <w:rPr>
                <w:rFonts w:asciiTheme="minorHAnsi" w:hAnsiTheme="minorHAnsi"/>
                <w:sz w:val="20"/>
                <w:szCs w:val="20"/>
              </w:rPr>
              <w:t>tudy</w:t>
            </w:r>
          </w:p>
        </w:tc>
        <w:tc>
          <w:tcPr>
            <w:tcW w:w="992" w:type="dxa"/>
            <w:vAlign w:val="center"/>
          </w:tcPr>
          <w:p w14:paraId="1C3F093F" w14:textId="1F73BD17" w:rsidR="007A5021" w:rsidRPr="0068723C" w:rsidRDefault="007A5021" w:rsidP="001543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rPr>
            </w:pPr>
            <w:r w:rsidRPr="0068723C">
              <w:rPr>
                <w:rFonts w:asciiTheme="minorHAnsi" w:hAnsiTheme="minorHAnsi"/>
                <w:sz w:val="20"/>
                <w:szCs w:val="20"/>
              </w:rPr>
              <w:t xml:space="preserve">Number of </w:t>
            </w:r>
            <w:r w:rsidR="00C908E8">
              <w:rPr>
                <w:rFonts w:asciiTheme="minorHAnsi" w:hAnsiTheme="minorHAnsi"/>
                <w:sz w:val="20"/>
                <w:szCs w:val="20"/>
              </w:rPr>
              <w:t>S</w:t>
            </w:r>
            <w:r w:rsidRPr="0068723C">
              <w:rPr>
                <w:rFonts w:asciiTheme="minorHAnsi" w:hAnsiTheme="minorHAnsi"/>
                <w:sz w:val="20"/>
                <w:szCs w:val="20"/>
              </w:rPr>
              <w:t>tudents</w:t>
            </w:r>
          </w:p>
        </w:tc>
      </w:tr>
      <w:tr w:rsidR="007A5021" w:rsidRPr="0068723C" w14:paraId="7C99085E" w14:textId="77777777" w:rsidTr="00FD0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D8099D7" w14:textId="77777777" w:rsidR="007A5021" w:rsidRPr="0068723C" w:rsidRDefault="007A5021" w:rsidP="0015435E">
            <w:pPr>
              <w:spacing w:after="0" w:line="240" w:lineRule="auto"/>
              <w:jc w:val="center"/>
              <w:rPr>
                <w:rFonts w:asciiTheme="minorHAnsi" w:hAnsiTheme="minorHAnsi"/>
                <w:sz w:val="20"/>
                <w:szCs w:val="20"/>
              </w:rPr>
            </w:pPr>
            <w:r w:rsidRPr="0068723C">
              <w:rPr>
                <w:rFonts w:asciiTheme="minorHAnsi" w:hAnsiTheme="minorHAnsi"/>
                <w:sz w:val="20"/>
                <w:szCs w:val="20"/>
              </w:rPr>
              <w:t>Doctorate</w:t>
            </w:r>
          </w:p>
        </w:tc>
        <w:tc>
          <w:tcPr>
            <w:tcW w:w="992" w:type="dxa"/>
            <w:vAlign w:val="center"/>
          </w:tcPr>
          <w:p w14:paraId="399AA42C" w14:textId="77777777" w:rsidR="007A5021" w:rsidRPr="0068723C" w:rsidRDefault="007A5021"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68723C">
              <w:rPr>
                <w:rFonts w:asciiTheme="minorHAnsi" w:hAnsiTheme="minorHAnsi"/>
                <w:sz w:val="20"/>
                <w:szCs w:val="20"/>
              </w:rPr>
              <w:t>1</w:t>
            </w:r>
          </w:p>
        </w:tc>
      </w:tr>
      <w:tr w:rsidR="007A5021" w:rsidRPr="0068723C" w14:paraId="72C2D79D" w14:textId="77777777" w:rsidTr="00FD0ADE">
        <w:tc>
          <w:tcPr>
            <w:cnfStyle w:val="001000000000" w:firstRow="0" w:lastRow="0" w:firstColumn="1" w:lastColumn="0" w:oddVBand="0" w:evenVBand="0" w:oddHBand="0" w:evenHBand="0" w:firstRowFirstColumn="0" w:firstRowLastColumn="0" w:lastRowFirstColumn="0" w:lastRowLastColumn="0"/>
            <w:tcW w:w="2689" w:type="dxa"/>
            <w:vAlign w:val="center"/>
          </w:tcPr>
          <w:p w14:paraId="15E2FCEE" w14:textId="77777777" w:rsidR="007A5021" w:rsidRPr="0068723C" w:rsidRDefault="007A5021" w:rsidP="0015435E">
            <w:pPr>
              <w:spacing w:after="0" w:line="240" w:lineRule="auto"/>
              <w:jc w:val="center"/>
              <w:rPr>
                <w:rFonts w:asciiTheme="minorHAnsi" w:hAnsiTheme="minorHAnsi"/>
                <w:sz w:val="20"/>
                <w:szCs w:val="20"/>
              </w:rPr>
            </w:pPr>
            <w:r w:rsidRPr="0068723C">
              <w:rPr>
                <w:rFonts w:asciiTheme="minorHAnsi" w:hAnsiTheme="minorHAnsi"/>
                <w:sz w:val="20"/>
                <w:szCs w:val="20"/>
              </w:rPr>
              <w:t>Master’s Degree</w:t>
            </w:r>
          </w:p>
        </w:tc>
        <w:tc>
          <w:tcPr>
            <w:tcW w:w="992" w:type="dxa"/>
            <w:vAlign w:val="center"/>
          </w:tcPr>
          <w:p w14:paraId="400DF6D3" w14:textId="77777777" w:rsidR="007A5021" w:rsidRPr="0068723C" w:rsidRDefault="007A5021"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68723C">
              <w:rPr>
                <w:rFonts w:asciiTheme="minorHAnsi" w:hAnsiTheme="minorHAnsi"/>
                <w:sz w:val="20"/>
                <w:szCs w:val="20"/>
              </w:rPr>
              <w:t>6</w:t>
            </w:r>
          </w:p>
        </w:tc>
      </w:tr>
      <w:tr w:rsidR="007A5021" w:rsidRPr="0068723C" w14:paraId="2EE36EFA" w14:textId="77777777" w:rsidTr="00FD0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37D68F82" w14:textId="77777777" w:rsidR="007A5021" w:rsidRPr="0068723C" w:rsidRDefault="007A5021" w:rsidP="0015435E">
            <w:pPr>
              <w:spacing w:after="0" w:line="240" w:lineRule="auto"/>
              <w:jc w:val="center"/>
              <w:rPr>
                <w:rFonts w:asciiTheme="minorHAnsi" w:hAnsiTheme="minorHAnsi"/>
                <w:sz w:val="20"/>
                <w:szCs w:val="20"/>
              </w:rPr>
            </w:pPr>
            <w:r w:rsidRPr="0068723C">
              <w:rPr>
                <w:rFonts w:asciiTheme="minorHAnsi" w:hAnsiTheme="minorHAnsi"/>
                <w:sz w:val="20"/>
                <w:szCs w:val="20"/>
              </w:rPr>
              <w:t>Graduate Diploma</w:t>
            </w:r>
          </w:p>
        </w:tc>
        <w:tc>
          <w:tcPr>
            <w:tcW w:w="992" w:type="dxa"/>
            <w:vAlign w:val="center"/>
          </w:tcPr>
          <w:p w14:paraId="3D4C303D" w14:textId="77777777" w:rsidR="007A5021" w:rsidRPr="0068723C" w:rsidRDefault="007A5021"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68723C">
              <w:rPr>
                <w:rFonts w:asciiTheme="minorHAnsi" w:hAnsiTheme="minorHAnsi"/>
                <w:sz w:val="20"/>
                <w:szCs w:val="20"/>
              </w:rPr>
              <w:t>6</w:t>
            </w:r>
          </w:p>
        </w:tc>
      </w:tr>
      <w:tr w:rsidR="007A5021" w:rsidRPr="0068723C" w14:paraId="436E743C" w14:textId="77777777" w:rsidTr="00FD0ADE">
        <w:tc>
          <w:tcPr>
            <w:cnfStyle w:val="001000000000" w:firstRow="0" w:lastRow="0" w:firstColumn="1" w:lastColumn="0" w:oddVBand="0" w:evenVBand="0" w:oddHBand="0" w:evenHBand="0" w:firstRowFirstColumn="0" w:firstRowLastColumn="0" w:lastRowFirstColumn="0" w:lastRowLastColumn="0"/>
            <w:tcW w:w="2689" w:type="dxa"/>
            <w:vAlign w:val="center"/>
          </w:tcPr>
          <w:p w14:paraId="662525FD" w14:textId="77777777" w:rsidR="007A5021" w:rsidRPr="0068723C" w:rsidRDefault="007A5021" w:rsidP="0015435E">
            <w:pPr>
              <w:spacing w:after="0" w:line="240" w:lineRule="auto"/>
              <w:jc w:val="center"/>
              <w:rPr>
                <w:rFonts w:asciiTheme="minorHAnsi" w:hAnsiTheme="minorHAnsi"/>
                <w:sz w:val="20"/>
                <w:szCs w:val="20"/>
              </w:rPr>
            </w:pPr>
            <w:r w:rsidRPr="0068723C">
              <w:rPr>
                <w:rFonts w:asciiTheme="minorHAnsi" w:hAnsiTheme="minorHAnsi"/>
                <w:sz w:val="20"/>
                <w:szCs w:val="20"/>
              </w:rPr>
              <w:t>Bachelor’s Degree</w:t>
            </w:r>
          </w:p>
        </w:tc>
        <w:tc>
          <w:tcPr>
            <w:tcW w:w="992" w:type="dxa"/>
            <w:vAlign w:val="center"/>
          </w:tcPr>
          <w:p w14:paraId="3A2F4B74" w14:textId="77777777" w:rsidR="007A5021" w:rsidRPr="0068723C" w:rsidRDefault="007A5021"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68723C">
              <w:rPr>
                <w:rFonts w:asciiTheme="minorHAnsi" w:hAnsiTheme="minorHAnsi"/>
                <w:sz w:val="20"/>
                <w:szCs w:val="20"/>
              </w:rPr>
              <w:t>468</w:t>
            </w:r>
          </w:p>
        </w:tc>
      </w:tr>
      <w:tr w:rsidR="007A5021" w:rsidRPr="0068723C" w14:paraId="6F768853" w14:textId="77777777" w:rsidTr="00FD0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F6E0C7E" w14:textId="77777777" w:rsidR="007A5021" w:rsidRPr="0068723C" w:rsidRDefault="007A5021" w:rsidP="0015435E">
            <w:pPr>
              <w:spacing w:after="0" w:line="240" w:lineRule="auto"/>
              <w:jc w:val="center"/>
              <w:rPr>
                <w:rFonts w:asciiTheme="minorHAnsi" w:hAnsiTheme="minorHAnsi"/>
                <w:sz w:val="20"/>
                <w:szCs w:val="20"/>
              </w:rPr>
            </w:pPr>
            <w:r w:rsidRPr="0068723C">
              <w:rPr>
                <w:rFonts w:asciiTheme="minorHAnsi" w:hAnsiTheme="minorHAnsi"/>
                <w:sz w:val="20"/>
                <w:szCs w:val="20"/>
              </w:rPr>
              <w:t>Diploma</w:t>
            </w:r>
          </w:p>
        </w:tc>
        <w:tc>
          <w:tcPr>
            <w:tcW w:w="992" w:type="dxa"/>
            <w:vAlign w:val="center"/>
          </w:tcPr>
          <w:p w14:paraId="3BE230CA" w14:textId="77777777" w:rsidR="007A5021" w:rsidRPr="0068723C" w:rsidRDefault="007A5021"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68723C">
              <w:rPr>
                <w:rFonts w:asciiTheme="minorHAnsi" w:hAnsiTheme="minorHAnsi"/>
                <w:sz w:val="20"/>
                <w:szCs w:val="20"/>
              </w:rPr>
              <w:t>87</w:t>
            </w:r>
          </w:p>
        </w:tc>
      </w:tr>
      <w:tr w:rsidR="007A5021" w:rsidRPr="0068723C" w14:paraId="2BF67CCD" w14:textId="77777777" w:rsidTr="00FD0ADE">
        <w:tc>
          <w:tcPr>
            <w:cnfStyle w:val="001000000000" w:firstRow="0" w:lastRow="0" w:firstColumn="1" w:lastColumn="0" w:oddVBand="0" w:evenVBand="0" w:oddHBand="0" w:evenHBand="0" w:firstRowFirstColumn="0" w:firstRowLastColumn="0" w:lastRowFirstColumn="0" w:lastRowLastColumn="0"/>
            <w:tcW w:w="2689" w:type="dxa"/>
            <w:vAlign w:val="center"/>
          </w:tcPr>
          <w:p w14:paraId="3158DB47" w14:textId="77777777" w:rsidR="007A5021" w:rsidRPr="0068723C" w:rsidRDefault="007A5021" w:rsidP="0015435E">
            <w:pPr>
              <w:spacing w:after="0" w:line="240" w:lineRule="auto"/>
              <w:jc w:val="center"/>
              <w:rPr>
                <w:rFonts w:asciiTheme="minorHAnsi" w:hAnsiTheme="minorHAnsi"/>
                <w:sz w:val="20"/>
                <w:szCs w:val="20"/>
              </w:rPr>
            </w:pPr>
            <w:r w:rsidRPr="0068723C">
              <w:rPr>
                <w:rFonts w:asciiTheme="minorHAnsi" w:hAnsiTheme="minorHAnsi"/>
                <w:sz w:val="20"/>
                <w:szCs w:val="20"/>
              </w:rPr>
              <w:t>Not specified</w:t>
            </w:r>
          </w:p>
        </w:tc>
        <w:tc>
          <w:tcPr>
            <w:tcW w:w="992" w:type="dxa"/>
            <w:vAlign w:val="center"/>
          </w:tcPr>
          <w:p w14:paraId="38E107D6" w14:textId="77777777" w:rsidR="007A5021" w:rsidRPr="0068723C" w:rsidRDefault="007A5021"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68723C">
              <w:rPr>
                <w:rFonts w:asciiTheme="minorHAnsi" w:hAnsiTheme="minorHAnsi"/>
                <w:sz w:val="20"/>
                <w:szCs w:val="20"/>
              </w:rPr>
              <w:t>4</w:t>
            </w:r>
          </w:p>
        </w:tc>
      </w:tr>
      <w:tr w:rsidR="007A5021" w:rsidRPr="0068723C" w14:paraId="092EF558" w14:textId="77777777" w:rsidTr="00FD0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A1E9912" w14:textId="77777777" w:rsidR="007A5021" w:rsidRPr="0068723C" w:rsidRDefault="007A5021" w:rsidP="0015435E">
            <w:pPr>
              <w:spacing w:after="0" w:line="240" w:lineRule="auto"/>
              <w:jc w:val="center"/>
              <w:rPr>
                <w:rFonts w:asciiTheme="minorHAnsi" w:hAnsiTheme="minorHAnsi"/>
                <w:b w:val="0"/>
                <w:bCs w:val="0"/>
                <w:sz w:val="20"/>
                <w:szCs w:val="20"/>
              </w:rPr>
            </w:pPr>
            <w:r w:rsidRPr="0068723C">
              <w:rPr>
                <w:rFonts w:asciiTheme="minorHAnsi" w:hAnsiTheme="minorHAnsi"/>
                <w:sz w:val="20"/>
                <w:szCs w:val="20"/>
              </w:rPr>
              <w:t>Total students</w:t>
            </w:r>
          </w:p>
        </w:tc>
        <w:tc>
          <w:tcPr>
            <w:tcW w:w="992" w:type="dxa"/>
            <w:vAlign w:val="center"/>
          </w:tcPr>
          <w:p w14:paraId="72E2FDC9" w14:textId="77777777" w:rsidR="007A5021" w:rsidRPr="0068723C" w:rsidRDefault="007A5021"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r w:rsidRPr="0068723C">
              <w:rPr>
                <w:rFonts w:asciiTheme="minorHAnsi" w:hAnsiTheme="minorHAnsi"/>
                <w:b/>
                <w:bCs/>
                <w:sz w:val="20"/>
                <w:szCs w:val="20"/>
              </w:rPr>
              <w:fldChar w:fldCharType="begin"/>
            </w:r>
            <w:r w:rsidRPr="0068723C">
              <w:rPr>
                <w:rFonts w:asciiTheme="minorHAnsi" w:hAnsiTheme="minorHAnsi"/>
                <w:b/>
                <w:bCs/>
                <w:sz w:val="20"/>
                <w:szCs w:val="20"/>
              </w:rPr>
              <w:instrText xml:space="preserve"> =SUM(ABOVE) </w:instrText>
            </w:r>
            <w:r w:rsidRPr="0068723C">
              <w:rPr>
                <w:rFonts w:asciiTheme="minorHAnsi" w:hAnsiTheme="minorHAnsi"/>
                <w:b/>
                <w:bCs/>
                <w:sz w:val="20"/>
                <w:szCs w:val="20"/>
              </w:rPr>
              <w:fldChar w:fldCharType="separate"/>
            </w:r>
            <w:r w:rsidRPr="0068723C">
              <w:rPr>
                <w:rFonts w:asciiTheme="minorHAnsi" w:hAnsiTheme="minorHAnsi"/>
                <w:b/>
                <w:bCs/>
                <w:noProof/>
                <w:sz w:val="20"/>
                <w:szCs w:val="20"/>
              </w:rPr>
              <w:t>572</w:t>
            </w:r>
            <w:r w:rsidRPr="0068723C">
              <w:rPr>
                <w:rFonts w:asciiTheme="minorHAnsi" w:hAnsiTheme="minorHAnsi"/>
                <w:b/>
                <w:bCs/>
                <w:sz w:val="20"/>
                <w:szCs w:val="20"/>
              </w:rPr>
              <w:fldChar w:fldCharType="end"/>
            </w:r>
          </w:p>
        </w:tc>
      </w:tr>
    </w:tbl>
    <w:p w14:paraId="6986E50B" w14:textId="77777777" w:rsidR="007A5021" w:rsidRPr="00593BDE" w:rsidRDefault="007A5021" w:rsidP="0015435E">
      <w:pPr>
        <w:spacing w:before="240" w:line="240" w:lineRule="auto"/>
        <w:rPr>
          <w:rFonts w:asciiTheme="minorHAnsi" w:hAnsiTheme="minorHAnsi" w:cstheme="minorHAnsi"/>
        </w:rPr>
      </w:pPr>
      <w:r w:rsidRPr="00593BDE">
        <w:rPr>
          <w:rFonts w:asciiTheme="minorHAnsi" w:hAnsiTheme="minorHAnsi" w:cstheme="minorHAnsi"/>
        </w:rPr>
        <w:t>Below is a breakdown of scholarship recipients by areas of expected employment</w:t>
      </w:r>
      <w:r>
        <w:rPr>
          <w:rFonts w:asciiTheme="minorHAnsi" w:hAnsiTheme="minorHAnsi" w:cstheme="minorHAnsi"/>
        </w:rPr>
        <w:t>.</w:t>
      </w:r>
    </w:p>
    <w:p w14:paraId="770DBA0C" w14:textId="137E73B9" w:rsidR="007A5021" w:rsidRPr="006D596D" w:rsidRDefault="00E957E3" w:rsidP="006D596D">
      <w:pPr>
        <w:pStyle w:val="Tablecontent"/>
        <w:rPr>
          <w:i/>
          <w:iCs/>
          <w:sz w:val="18"/>
          <w:szCs w:val="20"/>
        </w:rPr>
      </w:pPr>
      <w:bookmarkStart w:id="48" w:name="_Toc48750611"/>
      <w:r w:rsidRPr="009165DB">
        <w:rPr>
          <w:i/>
          <w:iCs/>
          <w:sz w:val="18"/>
          <w:szCs w:val="20"/>
        </w:rPr>
        <w:t xml:space="preserve">Table </w:t>
      </w:r>
      <w:r w:rsidRPr="009165DB">
        <w:rPr>
          <w:i/>
          <w:iCs/>
          <w:sz w:val="18"/>
          <w:szCs w:val="20"/>
        </w:rPr>
        <w:fldChar w:fldCharType="begin"/>
      </w:r>
      <w:r w:rsidRPr="009165DB">
        <w:rPr>
          <w:i/>
          <w:iCs/>
          <w:sz w:val="18"/>
          <w:szCs w:val="20"/>
        </w:rPr>
        <w:instrText xml:space="preserve"> SEQ Table \* ARABIC </w:instrText>
      </w:r>
      <w:r w:rsidRPr="009165DB">
        <w:rPr>
          <w:i/>
          <w:iCs/>
          <w:sz w:val="18"/>
          <w:szCs w:val="20"/>
        </w:rPr>
        <w:fldChar w:fldCharType="separate"/>
      </w:r>
      <w:r w:rsidR="00912E1E">
        <w:rPr>
          <w:i/>
          <w:iCs/>
          <w:noProof/>
          <w:sz w:val="18"/>
          <w:szCs w:val="20"/>
        </w:rPr>
        <w:t>14</w:t>
      </w:r>
      <w:r w:rsidRPr="009165DB">
        <w:rPr>
          <w:i/>
          <w:iCs/>
          <w:sz w:val="18"/>
          <w:szCs w:val="20"/>
        </w:rPr>
        <w:fldChar w:fldCharType="end"/>
      </w:r>
      <w:r w:rsidR="007A5021" w:rsidRPr="006D596D">
        <w:rPr>
          <w:i/>
          <w:iCs/>
          <w:sz w:val="18"/>
          <w:szCs w:val="20"/>
        </w:rPr>
        <w:t>: Scholarships by Expected Employment 2020</w:t>
      </w:r>
      <w:bookmarkEnd w:id="48"/>
    </w:p>
    <w:tbl>
      <w:tblPr>
        <w:tblStyle w:val="GridTable5Dark-Accent1"/>
        <w:tblW w:w="0" w:type="auto"/>
        <w:tblLook w:val="04A0" w:firstRow="1" w:lastRow="0" w:firstColumn="1" w:lastColumn="0" w:noHBand="0" w:noVBand="1"/>
      </w:tblPr>
      <w:tblGrid>
        <w:gridCol w:w="2689"/>
        <w:gridCol w:w="992"/>
      </w:tblGrid>
      <w:tr w:rsidR="007A5021" w:rsidRPr="0068723C" w14:paraId="39A84897" w14:textId="77777777" w:rsidTr="00FD0A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64A76381" w14:textId="7F6BD677" w:rsidR="007A5021" w:rsidRPr="0068723C" w:rsidRDefault="007A5021" w:rsidP="0015435E">
            <w:pPr>
              <w:spacing w:after="0" w:line="240" w:lineRule="auto"/>
              <w:jc w:val="center"/>
              <w:rPr>
                <w:rFonts w:asciiTheme="minorHAnsi" w:hAnsiTheme="minorHAnsi"/>
                <w:b w:val="0"/>
                <w:bCs w:val="0"/>
                <w:sz w:val="20"/>
                <w:szCs w:val="20"/>
              </w:rPr>
            </w:pPr>
            <w:r w:rsidRPr="0068723C">
              <w:rPr>
                <w:rFonts w:asciiTheme="minorHAnsi" w:hAnsiTheme="minorHAnsi"/>
                <w:sz w:val="20"/>
                <w:szCs w:val="20"/>
              </w:rPr>
              <w:t xml:space="preserve">Education </w:t>
            </w:r>
            <w:r w:rsidR="00C908E8">
              <w:rPr>
                <w:rFonts w:asciiTheme="minorHAnsi" w:hAnsiTheme="minorHAnsi"/>
                <w:sz w:val="20"/>
                <w:szCs w:val="20"/>
              </w:rPr>
              <w:t>S</w:t>
            </w:r>
            <w:r w:rsidRPr="0068723C">
              <w:rPr>
                <w:rFonts w:asciiTheme="minorHAnsi" w:hAnsiTheme="minorHAnsi"/>
                <w:sz w:val="20"/>
                <w:szCs w:val="20"/>
              </w:rPr>
              <w:t>ub-sector</w:t>
            </w:r>
          </w:p>
        </w:tc>
        <w:tc>
          <w:tcPr>
            <w:tcW w:w="992" w:type="dxa"/>
            <w:vAlign w:val="center"/>
          </w:tcPr>
          <w:p w14:paraId="04A14387" w14:textId="5D04EAB8" w:rsidR="007A5021" w:rsidRPr="0068723C" w:rsidRDefault="007A5021" w:rsidP="001543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0"/>
                <w:szCs w:val="20"/>
              </w:rPr>
            </w:pPr>
            <w:r w:rsidRPr="0068723C">
              <w:rPr>
                <w:rFonts w:asciiTheme="minorHAnsi" w:hAnsiTheme="minorHAnsi"/>
                <w:sz w:val="20"/>
                <w:szCs w:val="20"/>
              </w:rPr>
              <w:t xml:space="preserve">Number of </w:t>
            </w:r>
            <w:r w:rsidR="00C908E8">
              <w:rPr>
                <w:rFonts w:asciiTheme="minorHAnsi" w:hAnsiTheme="minorHAnsi"/>
                <w:sz w:val="20"/>
                <w:szCs w:val="20"/>
              </w:rPr>
              <w:t>S</w:t>
            </w:r>
            <w:r w:rsidRPr="0068723C">
              <w:rPr>
                <w:rFonts w:asciiTheme="minorHAnsi" w:hAnsiTheme="minorHAnsi"/>
                <w:sz w:val="20"/>
                <w:szCs w:val="20"/>
              </w:rPr>
              <w:t>tudents</w:t>
            </w:r>
          </w:p>
        </w:tc>
      </w:tr>
      <w:tr w:rsidR="007A5021" w:rsidRPr="0068723C" w14:paraId="7C9E5782" w14:textId="77777777" w:rsidTr="00FD0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7F5ABB1" w14:textId="77777777" w:rsidR="007A5021" w:rsidRPr="0068723C" w:rsidRDefault="007A5021" w:rsidP="0015435E">
            <w:pPr>
              <w:spacing w:after="0" w:line="240" w:lineRule="auto"/>
              <w:jc w:val="center"/>
              <w:rPr>
                <w:rFonts w:asciiTheme="minorHAnsi" w:hAnsiTheme="minorHAnsi"/>
                <w:sz w:val="20"/>
                <w:szCs w:val="20"/>
              </w:rPr>
            </w:pPr>
            <w:r w:rsidRPr="0068723C">
              <w:rPr>
                <w:rFonts w:asciiTheme="minorHAnsi" w:hAnsiTheme="minorHAnsi"/>
                <w:sz w:val="20"/>
                <w:szCs w:val="20"/>
              </w:rPr>
              <w:t>Early Childhood teacher</w:t>
            </w:r>
          </w:p>
        </w:tc>
        <w:tc>
          <w:tcPr>
            <w:tcW w:w="992" w:type="dxa"/>
            <w:vAlign w:val="center"/>
          </w:tcPr>
          <w:p w14:paraId="76C848D0" w14:textId="77777777" w:rsidR="007A5021" w:rsidRPr="0068723C" w:rsidRDefault="007A5021"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68723C">
              <w:rPr>
                <w:rFonts w:asciiTheme="minorHAnsi" w:hAnsiTheme="minorHAnsi"/>
                <w:sz w:val="20"/>
                <w:szCs w:val="20"/>
              </w:rPr>
              <w:t>15</w:t>
            </w:r>
          </w:p>
        </w:tc>
      </w:tr>
      <w:tr w:rsidR="007A5021" w:rsidRPr="0068723C" w14:paraId="4472F254" w14:textId="77777777" w:rsidTr="00FD0ADE">
        <w:tc>
          <w:tcPr>
            <w:cnfStyle w:val="001000000000" w:firstRow="0" w:lastRow="0" w:firstColumn="1" w:lastColumn="0" w:oddVBand="0" w:evenVBand="0" w:oddHBand="0" w:evenHBand="0" w:firstRowFirstColumn="0" w:firstRowLastColumn="0" w:lastRowFirstColumn="0" w:lastRowLastColumn="0"/>
            <w:tcW w:w="2689" w:type="dxa"/>
            <w:vAlign w:val="center"/>
          </w:tcPr>
          <w:p w14:paraId="6190117B" w14:textId="77777777" w:rsidR="007A5021" w:rsidRPr="0068723C" w:rsidRDefault="007A5021" w:rsidP="0015435E">
            <w:pPr>
              <w:spacing w:after="0" w:line="240" w:lineRule="auto"/>
              <w:jc w:val="center"/>
              <w:rPr>
                <w:rFonts w:asciiTheme="minorHAnsi" w:hAnsiTheme="minorHAnsi"/>
                <w:sz w:val="20"/>
                <w:szCs w:val="20"/>
              </w:rPr>
            </w:pPr>
            <w:r w:rsidRPr="0068723C">
              <w:rPr>
                <w:rFonts w:asciiTheme="minorHAnsi" w:hAnsiTheme="minorHAnsi"/>
                <w:sz w:val="20"/>
                <w:szCs w:val="20"/>
              </w:rPr>
              <w:t>Primary school teacher</w:t>
            </w:r>
          </w:p>
        </w:tc>
        <w:tc>
          <w:tcPr>
            <w:tcW w:w="992" w:type="dxa"/>
            <w:vAlign w:val="center"/>
          </w:tcPr>
          <w:p w14:paraId="6EFB943E" w14:textId="77777777" w:rsidR="007A5021" w:rsidRPr="0068723C" w:rsidRDefault="007A5021"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68723C">
              <w:rPr>
                <w:rFonts w:asciiTheme="minorHAnsi" w:hAnsiTheme="minorHAnsi"/>
                <w:sz w:val="20"/>
                <w:szCs w:val="20"/>
              </w:rPr>
              <w:t>108</w:t>
            </w:r>
          </w:p>
        </w:tc>
      </w:tr>
      <w:tr w:rsidR="007A5021" w:rsidRPr="0068723C" w14:paraId="09411863" w14:textId="77777777" w:rsidTr="00FD0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8C75843" w14:textId="77777777" w:rsidR="007A5021" w:rsidRPr="0068723C" w:rsidRDefault="007A5021" w:rsidP="0015435E">
            <w:pPr>
              <w:spacing w:after="0" w:line="240" w:lineRule="auto"/>
              <w:jc w:val="center"/>
              <w:rPr>
                <w:rFonts w:asciiTheme="minorHAnsi" w:hAnsiTheme="minorHAnsi"/>
                <w:sz w:val="20"/>
                <w:szCs w:val="20"/>
              </w:rPr>
            </w:pPr>
            <w:r w:rsidRPr="0068723C">
              <w:rPr>
                <w:rFonts w:asciiTheme="minorHAnsi" w:hAnsiTheme="minorHAnsi"/>
                <w:sz w:val="20"/>
                <w:szCs w:val="20"/>
              </w:rPr>
              <w:t>Secondary school teacher</w:t>
            </w:r>
          </w:p>
        </w:tc>
        <w:tc>
          <w:tcPr>
            <w:tcW w:w="992" w:type="dxa"/>
            <w:vAlign w:val="center"/>
          </w:tcPr>
          <w:p w14:paraId="6291AA5A" w14:textId="77777777" w:rsidR="007A5021" w:rsidRPr="0068723C" w:rsidRDefault="007A5021"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68723C">
              <w:rPr>
                <w:rFonts w:asciiTheme="minorHAnsi" w:hAnsiTheme="minorHAnsi"/>
                <w:sz w:val="20"/>
                <w:szCs w:val="20"/>
              </w:rPr>
              <w:t>418</w:t>
            </w:r>
          </w:p>
        </w:tc>
      </w:tr>
      <w:tr w:rsidR="007A5021" w:rsidRPr="0068723C" w14:paraId="7DF01DDE" w14:textId="77777777" w:rsidTr="00FD0ADE">
        <w:tc>
          <w:tcPr>
            <w:cnfStyle w:val="001000000000" w:firstRow="0" w:lastRow="0" w:firstColumn="1" w:lastColumn="0" w:oddVBand="0" w:evenVBand="0" w:oddHBand="0" w:evenHBand="0" w:firstRowFirstColumn="0" w:firstRowLastColumn="0" w:lastRowFirstColumn="0" w:lastRowLastColumn="0"/>
            <w:tcW w:w="2689" w:type="dxa"/>
            <w:vAlign w:val="center"/>
          </w:tcPr>
          <w:p w14:paraId="215151B4" w14:textId="77777777" w:rsidR="007A5021" w:rsidRPr="0068723C" w:rsidRDefault="007A5021" w:rsidP="0015435E">
            <w:pPr>
              <w:spacing w:after="0" w:line="240" w:lineRule="auto"/>
              <w:jc w:val="center"/>
              <w:rPr>
                <w:rFonts w:asciiTheme="minorHAnsi" w:hAnsiTheme="minorHAnsi"/>
                <w:sz w:val="20"/>
                <w:szCs w:val="20"/>
              </w:rPr>
            </w:pPr>
            <w:r w:rsidRPr="0068723C">
              <w:rPr>
                <w:rFonts w:asciiTheme="minorHAnsi" w:hAnsiTheme="minorHAnsi"/>
                <w:sz w:val="20"/>
                <w:szCs w:val="20"/>
              </w:rPr>
              <w:t>TVET</w:t>
            </w:r>
          </w:p>
        </w:tc>
        <w:tc>
          <w:tcPr>
            <w:tcW w:w="992" w:type="dxa"/>
            <w:vAlign w:val="center"/>
          </w:tcPr>
          <w:p w14:paraId="47B821A9" w14:textId="77777777" w:rsidR="007A5021" w:rsidRPr="0068723C" w:rsidRDefault="007A5021"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68723C">
              <w:rPr>
                <w:rFonts w:asciiTheme="minorHAnsi" w:hAnsiTheme="minorHAnsi"/>
                <w:sz w:val="20"/>
                <w:szCs w:val="20"/>
              </w:rPr>
              <w:t>3</w:t>
            </w:r>
          </w:p>
        </w:tc>
      </w:tr>
      <w:tr w:rsidR="007A5021" w:rsidRPr="0068723C" w14:paraId="6C241D42" w14:textId="77777777" w:rsidTr="00FD0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FB6C6CE" w14:textId="77777777" w:rsidR="007A5021" w:rsidRPr="0068723C" w:rsidRDefault="007A5021" w:rsidP="0015435E">
            <w:pPr>
              <w:spacing w:after="0" w:line="240" w:lineRule="auto"/>
              <w:jc w:val="center"/>
              <w:rPr>
                <w:rFonts w:asciiTheme="minorHAnsi" w:hAnsiTheme="minorHAnsi"/>
                <w:sz w:val="20"/>
                <w:szCs w:val="20"/>
              </w:rPr>
            </w:pPr>
            <w:r w:rsidRPr="0068723C">
              <w:rPr>
                <w:rFonts w:asciiTheme="minorHAnsi" w:hAnsiTheme="minorHAnsi"/>
                <w:sz w:val="20"/>
                <w:szCs w:val="20"/>
              </w:rPr>
              <w:t>Adult Learning</w:t>
            </w:r>
          </w:p>
        </w:tc>
        <w:tc>
          <w:tcPr>
            <w:tcW w:w="992" w:type="dxa"/>
            <w:vAlign w:val="center"/>
          </w:tcPr>
          <w:p w14:paraId="21F5C21A" w14:textId="77777777" w:rsidR="007A5021" w:rsidRPr="0068723C" w:rsidRDefault="007A5021"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68723C">
              <w:rPr>
                <w:rFonts w:asciiTheme="minorHAnsi" w:hAnsiTheme="minorHAnsi"/>
                <w:sz w:val="20"/>
                <w:szCs w:val="20"/>
              </w:rPr>
              <w:t>2</w:t>
            </w:r>
          </w:p>
        </w:tc>
      </w:tr>
      <w:tr w:rsidR="007A5021" w:rsidRPr="0068723C" w14:paraId="11513632" w14:textId="77777777" w:rsidTr="00FD0ADE">
        <w:tc>
          <w:tcPr>
            <w:cnfStyle w:val="001000000000" w:firstRow="0" w:lastRow="0" w:firstColumn="1" w:lastColumn="0" w:oddVBand="0" w:evenVBand="0" w:oddHBand="0" w:evenHBand="0" w:firstRowFirstColumn="0" w:firstRowLastColumn="0" w:lastRowFirstColumn="0" w:lastRowLastColumn="0"/>
            <w:tcW w:w="2689" w:type="dxa"/>
            <w:vAlign w:val="center"/>
          </w:tcPr>
          <w:p w14:paraId="4083678F" w14:textId="77777777" w:rsidR="007A5021" w:rsidRPr="0068723C" w:rsidRDefault="007A5021" w:rsidP="0015435E">
            <w:pPr>
              <w:spacing w:after="0" w:line="240" w:lineRule="auto"/>
              <w:jc w:val="center"/>
              <w:rPr>
                <w:rFonts w:asciiTheme="minorHAnsi" w:hAnsiTheme="minorHAnsi"/>
                <w:sz w:val="20"/>
                <w:szCs w:val="20"/>
              </w:rPr>
            </w:pPr>
            <w:r w:rsidRPr="0068723C">
              <w:rPr>
                <w:rFonts w:asciiTheme="minorHAnsi" w:hAnsiTheme="minorHAnsi"/>
                <w:sz w:val="20"/>
                <w:szCs w:val="20"/>
              </w:rPr>
              <w:t>Education management</w:t>
            </w:r>
          </w:p>
        </w:tc>
        <w:tc>
          <w:tcPr>
            <w:tcW w:w="992" w:type="dxa"/>
            <w:vAlign w:val="center"/>
          </w:tcPr>
          <w:p w14:paraId="0C28B916" w14:textId="77777777" w:rsidR="007A5021" w:rsidRPr="0068723C" w:rsidRDefault="007A5021"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68723C">
              <w:rPr>
                <w:rFonts w:asciiTheme="minorHAnsi" w:hAnsiTheme="minorHAnsi"/>
                <w:sz w:val="20"/>
                <w:szCs w:val="20"/>
              </w:rPr>
              <w:t>12</w:t>
            </w:r>
          </w:p>
        </w:tc>
      </w:tr>
      <w:tr w:rsidR="007A5021" w:rsidRPr="0068723C" w14:paraId="4884369B" w14:textId="77777777" w:rsidTr="00FD0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398CE4A" w14:textId="77777777" w:rsidR="007A5021" w:rsidRPr="0068723C" w:rsidRDefault="007A5021" w:rsidP="0015435E">
            <w:pPr>
              <w:spacing w:after="0" w:line="240" w:lineRule="auto"/>
              <w:jc w:val="center"/>
              <w:rPr>
                <w:rFonts w:asciiTheme="minorHAnsi" w:hAnsiTheme="minorHAnsi"/>
                <w:sz w:val="20"/>
                <w:szCs w:val="20"/>
              </w:rPr>
            </w:pPr>
            <w:r w:rsidRPr="0068723C">
              <w:rPr>
                <w:rFonts w:asciiTheme="minorHAnsi" w:hAnsiTheme="minorHAnsi"/>
                <w:sz w:val="20"/>
                <w:szCs w:val="20"/>
              </w:rPr>
              <w:t>Not specified</w:t>
            </w:r>
          </w:p>
        </w:tc>
        <w:tc>
          <w:tcPr>
            <w:tcW w:w="992" w:type="dxa"/>
            <w:vAlign w:val="center"/>
          </w:tcPr>
          <w:p w14:paraId="482EDA94" w14:textId="77777777" w:rsidR="007A5021" w:rsidRPr="0068723C" w:rsidRDefault="007A5021" w:rsidP="001543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68723C">
              <w:rPr>
                <w:rFonts w:asciiTheme="minorHAnsi" w:hAnsiTheme="minorHAnsi"/>
                <w:sz w:val="20"/>
                <w:szCs w:val="20"/>
              </w:rPr>
              <w:t>14</w:t>
            </w:r>
          </w:p>
        </w:tc>
      </w:tr>
      <w:tr w:rsidR="007A5021" w:rsidRPr="0068723C" w14:paraId="4897EB84" w14:textId="77777777" w:rsidTr="00FD0ADE">
        <w:tc>
          <w:tcPr>
            <w:cnfStyle w:val="001000000000" w:firstRow="0" w:lastRow="0" w:firstColumn="1" w:lastColumn="0" w:oddVBand="0" w:evenVBand="0" w:oddHBand="0" w:evenHBand="0" w:firstRowFirstColumn="0" w:firstRowLastColumn="0" w:lastRowFirstColumn="0" w:lastRowLastColumn="0"/>
            <w:tcW w:w="2689" w:type="dxa"/>
            <w:vAlign w:val="center"/>
          </w:tcPr>
          <w:p w14:paraId="132FC628" w14:textId="77777777" w:rsidR="007A5021" w:rsidRPr="0068723C" w:rsidRDefault="007A5021" w:rsidP="0015435E">
            <w:pPr>
              <w:spacing w:after="0" w:line="240" w:lineRule="auto"/>
              <w:jc w:val="center"/>
              <w:rPr>
                <w:rFonts w:asciiTheme="minorHAnsi" w:hAnsiTheme="minorHAnsi"/>
                <w:b w:val="0"/>
                <w:bCs w:val="0"/>
                <w:sz w:val="20"/>
                <w:szCs w:val="20"/>
              </w:rPr>
            </w:pPr>
            <w:r w:rsidRPr="0068723C">
              <w:rPr>
                <w:rFonts w:asciiTheme="minorHAnsi" w:hAnsiTheme="minorHAnsi"/>
                <w:sz w:val="20"/>
                <w:szCs w:val="20"/>
              </w:rPr>
              <w:t>Total</w:t>
            </w:r>
            <w:r w:rsidRPr="0068723C">
              <w:rPr>
                <w:rFonts w:asciiTheme="minorHAnsi" w:hAnsiTheme="minorHAnsi"/>
                <w:b w:val="0"/>
                <w:bCs w:val="0"/>
                <w:sz w:val="20"/>
                <w:szCs w:val="20"/>
              </w:rPr>
              <w:t xml:space="preserve"> </w:t>
            </w:r>
            <w:r w:rsidRPr="00B73BED">
              <w:rPr>
                <w:rFonts w:asciiTheme="minorHAnsi" w:hAnsiTheme="minorHAnsi"/>
                <w:sz w:val="20"/>
                <w:szCs w:val="20"/>
              </w:rPr>
              <w:t>students</w:t>
            </w:r>
          </w:p>
        </w:tc>
        <w:tc>
          <w:tcPr>
            <w:tcW w:w="992" w:type="dxa"/>
            <w:vAlign w:val="center"/>
          </w:tcPr>
          <w:p w14:paraId="2AD1AAF3" w14:textId="77777777" w:rsidR="007A5021" w:rsidRPr="0068723C" w:rsidRDefault="007A5021" w:rsidP="001543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68723C">
              <w:rPr>
                <w:rFonts w:asciiTheme="minorHAnsi" w:hAnsiTheme="minorHAnsi"/>
                <w:b/>
                <w:bCs/>
                <w:sz w:val="20"/>
                <w:szCs w:val="20"/>
              </w:rPr>
              <w:fldChar w:fldCharType="begin"/>
            </w:r>
            <w:r w:rsidRPr="0068723C">
              <w:rPr>
                <w:rFonts w:asciiTheme="minorHAnsi" w:hAnsiTheme="minorHAnsi"/>
                <w:b/>
                <w:bCs/>
                <w:sz w:val="20"/>
                <w:szCs w:val="20"/>
              </w:rPr>
              <w:instrText xml:space="preserve"> =SUM(ABOVE) </w:instrText>
            </w:r>
            <w:r w:rsidRPr="0068723C">
              <w:rPr>
                <w:rFonts w:asciiTheme="minorHAnsi" w:hAnsiTheme="minorHAnsi"/>
                <w:b/>
                <w:bCs/>
                <w:sz w:val="20"/>
                <w:szCs w:val="20"/>
              </w:rPr>
              <w:fldChar w:fldCharType="separate"/>
            </w:r>
            <w:r w:rsidRPr="0068723C">
              <w:rPr>
                <w:rFonts w:asciiTheme="minorHAnsi" w:hAnsiTheme="minorHAnsi"/>
                <w:b/>
                <w:bCs/>
                <w:noProof/>
                <w:sz w:val="20"/>
                <w:szCs w:val="20"/>
              </w:rPr>
              <w:t>572</w:t>
            </w:r>
            <w:r w:rsidRPr="0068723C">
              <w:rPr>
                <w:rFonts w:asciiTheme="minorHAnsi" w:hAnsiTheme="minorHAnsi"/>
                <w:b/>
                <w:bCs/>
                <w:sz w:val="20"/>
                <w:szCs w:val="20"/>
              </w:rPr>
              <w:fldChar w:fldCharType="end"/>
            </w:r>
          </w:p>
        </w:tc>
      </w:tr>
    </w:tbl>
    <w:p w14:paraId="20060D23" w14:textId="4DB58B1C" w:rsidR="00B82940" w:rsidRPr="007A5021" w:rsidRDefault="007A5021" w:rsidP="008278B2">
      <w:pPr>
        <w:pStyle w:val="Bodytext11"/>
        <w:spacing w:before="240" w:after="240"/>
        <w:rPr>
          <w:color w:val="1F497D"/>
        </w:rPr>
      </w:pPr>
      <w:r>
        <w:t>It was noted in last year’s PLA assessment that MEHRD budget allocations to scholarships are ‘ring-fenced’, meaning that whatever is not expended on scholarships is not able to be used on other parts of the MEHRD budget, such as basic education. This situation has not changed</w:t>
      </w:r>
      <w:bookmarkEnd w:id="42"/>
      <w:r w:rsidR="00075333">
        <w:t xml:space="preserve"> in 2019</w:t>
      </w:r>
      <w:r>
        <w:t xml:space="preserve"> meaning unspent funds will most likely be returned to consolidated revenue at year’s end. If MEHRD does manage to reduce scholarship expenditure over time there may not be any corresponding advantage to other parts of the education sector, although other parts of the Solomon Islands economy could benefit when funds are returned to consolidated revenue. </w:t>
      </w:r>
    </w:p>
    <w:p w14:paraId="7379BE8B" w14:textId="0463622B" w:rsidR="00B82940" w:rsidRPr="00413324" w:rsidRDefault="008F1320" w:rsidP="00413324">
      <w:pPr>
        <w:pStyle w:val="Heading2"/>
        <w:numPr>
          <w:ilvl w:val="0"/>
          <w:numId w:val="19"/>
        </w:numPr>
        <w:shd w:val="clear" w:color="auto" w:fill="B4C6E7" w:themeFill="accent1" w:themeFillTint="66"/>
        <w:ind w:hanging="720"/>
        <w:rPr>
          <w:rFonts w:asciiTheme="minorHAnsi" w:hAnsiTheme="minorHAnsi" w:cstheme="minorHAnsi"/>
          <w:b/>
          <w:bCs/>
          <w:color w:val="1F4E79" w:themeColor="accent5" w:themeShade="80"/>
          <w:sz w:val="24"/>
          <w:szCs w:val="24"/>
        </w:rPr>
      </w:pPr>
      <w:bookmarkStart w:id="49" w:name="_Toc49858094"/>
      <w:r w:rsidRPr="00413324">
        <w:rPr>
          <w:rFonts w:asciiTheme="minorHAnsi" w:hAnsiTheme="minorHAnsi" w:cstheme="minorHAnsi"/>
          <w:b/>
          <w:bCs/>
          <w:color w:val="1F4E79" w:themeColor="accent5" w:themeShade="80"/>
          <w:sz w:val="24"/>
          <w:szCs w:val="24"/>
        </w:rPr>
        <w:t>Payment Recommendation</w:t>
      </w:r>
      <w:bookmarkEnd w:id="49"/>
    </w:p>
    <w:p w14:paraId="045D2531" w14:textId="5973D43C" w:rsidR="008F1320" w:rsidRDefault="008F1320" w:rsidP="0015435E">
      <w:pPr>
        <w:pStyle w:val="Bodytext11"/>
      </w:pPr>
      <w:bookmarkStart w:id="50" w:name="_Hlk48723907"/>
      <w:r>
        <w:rPr>
          <w:rFonts w:cstheme="minorHAnsi"/>
          <w:lang w:val="en-AU"/>
        </w:rPr>
        <w:t xml:space="preserve">The 2019 EPM includes three priority areas: access, quality, and management systems. The current Direct Funding Arrangement (DFA) allocates a maximum payment of AUD$1,560,000.00 with equal weighting given to each outcome </w:t>
      </w:r>
      <w:proofErr w:type="gramStart"/>
      <w:r>
        <w:rPr>
          <w:rFonts w:cstheme="minorHAnsi"/>
          <w:lang w:val="en-AU"/>
        </w:rPr>
        <w:t>i.e.</w:t>
      </w:r>
      <w:proofErr w:type="gramEnd"/>
      <w:r>
        <w:rPr>
          <w:rFonts w:cstheme="minorHAnsi"/>
          <w:lang w:val="en-AU"/>
        </w:rPr>
        <w:t xml:space="preserve"> 1/8 = $195,000. A percentage of each allocation per outcome is then distributed to achievement towards </w:t>
      </w:r>
      <w:r w:rsidR="00C73F32">
        <w:rPr>
          <w:rFonts w:cstheme="minorHAnsi"/>
          <w:lang w:val="en-AU"/>
        </w:rPr>
        <w:t>14</w:t>
      </w:r>
      <w:r>
        <w:rPr>
          <w:rFonts w:cstheme="minorHAnsi"/>
          <w:lang w:val="en-AU"/>
        </w:rPr>
        <w:t xml:space="preserve"> expected results statements.</w:t>
      </w:r>
      <w:r w:rsidRPr="008F1320">
        <w:rPr>
          <w:lang w:val="en-AU"/>
        </w:rPr>
        <w:t xml:space="preserve"> </w:t>
      </w:r>
      <w:r>
        <w:rPr>
          <w:lang w:val="en-AU"/>
        </w:rPr>
        <w:t>The payment recommendation was calculated by applying weighting to</w:t>
      </w:r>
      <w:r>
        <w:t xml:space="preserve"> the </w:t>
      </w:r>
      <w:r>
        <w:rPr>
          <w:rFonts w:cstheme="minorHAnsi"/>
          <w:lang w:val="en-AU"/>
        </w:rPr>
        <w:t>8 outcomes, 11 performance indicators and 14 expected results statements.</w:t>
      </w:r>
      <w:r w:rsidR="00C00919">
        <w:rPr>
          <w:rFonts w:cstheme="minorHAnsi"/>
          <w:lang w:val="en-AU"/>
        </w:rPr>
        <w:t xml:space="preserve"> </w:t>
      </w:r>
    </w:p>
    <w:p w14:paraId="161A392B" w14:textId="06683048" w:rsidR="005E5A51" w:rsidRPr="008278B2" w:rsidRDefault="007143A9" w:rsidP="008278B2">
      <w:pPr>
        <w:pStyle w:val="Bodytext11"/>
        <w:spacing w:after="240"/>
        <w:rPr>
          <w:rFonts w:cstheme="minorHAnsi"/>
          <w:b/>
          <w:lang w:val="en-AU"/>
        </w:rPr>
      </w:pPr>
      <w:r>
        <w:t>For 2019, b</w:t>
      </w:r>
      <w:proofErr w:type="spellStart"/>
      <w:r>
        <w:rPr>
          <w:rFonts w:cstheme="minorHAnsi"/>
          <w:lang w:val="en-AU"/>
        </w:rPr>
        <w:t>ased</w:t>
      </w:r>
      <w:proofErr w:type="spellEnd"/>
      <w:r>
        <w:rPr>
          <w:rFonts w:cstheme="minorHAnsi"/>
          <w:lang w:val="en-AU"/>
        </w:rPr>
        <w:t xml:space="preserve"> on the evidence received and consultations with relevant officers on the EPM, </w:t>
      </w:r>
      <w:r w:rsidRPr="00237FBA">
        <w:rPr>
          <w:rFonts w:cstheme="minorHAnsi"/>
          <w:b/>
          <w:lang w:val="en-AU"/>
        </w:rPr>
        <w:t xml:space="preserve">the assessor has recommended </w:t>
      </w:r>
      <w:r w:rsidR="009171CE">
        <w:rPr>
          <w:rFonts w:cstheme="minorHAnsi"/>
          <w:b/>
          <w:lang w:val="en-AU"/>
        </w:rPr>
        <w:t>82.3</w:t>
      </w:r>
      <w:r w:rsidRPr="00237FBA">
        <w:rPr>
          <w:rFonts w:cstheme="minorHAnsi"/>
          <w:b/>
          <w:lang w:val="en-AU"/>
        </w:rPr>
        <w:t xml:space="preserve"> per cent </w:t>
      </w:r>
      <w:r>
        <w:rPr>
          <w:rFonts w:cstheme="minorHAnsi"/>
          <w:b/>
          <w:lang w:val="en-AU"/>
        </w:rPr>
        <w:t>of the performance-linked aid payment</w:t>
      </w:r>
      <w:r w:rsidRPr="00237FBA">
        <w:rPr>
          <w:rFonts w:cstheme="minorHAnsi"/>
          <w:b/>
          <w:lang w:val="en-AU"/>
        </w:rPr>
        <w:t xml:space="preserve"> be </w:t>
      </w:r>
      <w:r>
        <w:rPr>
          <w:rFonts w:cstheme="minorHAnsi"/>
          <w:b/>
          <w:lang w:val="en-AU"/>
        </w:rPr>
        <w:t xml:space="preserve">disbursed </w:t>
      </w:r>
      <w:r w:rsidRPr="00237FBA">
        <w:rPr>
          <w:rFonts w:cstheme="minorHAnsi"/>
          <w:b/>
          <w:lang w:val="en-AU"/>
        </w:rPr>
        <w:t>to MEHRD</w:t>
      </w:r>
      <w:r>
        <w:rPr>
          <w:rFonts w:cstheme="minorHAnsi"/>
          <w:b/>
          <w:lang w:val="en-AU"/>
        </w:rPr>
        <w:t>,</w:t>
      </w:r>
      <w:r w:rsidRPr="00237FBA">
        <w:rPr>
          <w:rFonts w:cstheme="minorHAnsi"/>
          <w:b/>
          <w:lang w:val="en-AU"/>
        </w:rPr>
        <w:t xml:space="preserve"> which equates to AUD</w:t>
      </w:r>
      <w:r w:rsidR="00983D4D">
        <w:rPr>
          <w:rFonts w:cstheme="minorHAnsi"/>
          <w:b/>
          <w:lang w:val="en-AU"/>
        </w:rPr>
        <w:t>$</w:t>
      </w:r>
      <w:r w:rsidR="00D9448E">
        <w:rPr>
          <w:rFonts w:cstheme="minorHAnsi"/>
          <w:b/>
          <w:lang w:val="en-AU"/>
        </w:rPr>
        <w:t>1,283,880.00</w:t>
      </w:r>
      <w:r w:rsidR="005E5A51">
        <w:rPr>
          <w:rFonts w:cstheme="minorHAnsi"/>
          <w:b/>
          <w:lang w:val="en-AU"/>
        </w:rPr>
        <w:t>.</w:t>
      </w:r>
    </w:p>
    <w:p w14:paraId="19B5D554" w14:textId="4EF4FBB1" w:rsidR="008E7543" w:rsidRPr="00413324" w:rsidRDefault="00CF1632" w:rsidP="00413324">
      <w:pPr>
        <w:pStyle w:val="Heading2"/>
        <w:numPr>
          <w:ilvl w:val="0"/>
          <w:numId w:val="19"/>
        </w:numPr>
        <w:shd w:val="clear" w:color="auto" w:fill="B4C6E7" w:themeFill="accent1" w:themeFillTint="66"/>
        <w:ind w:hanging="720"/>
        <w:rPr>
          <w:rFonts w:asciiTheme="minorHAnsi" w:hAnsiTheme="minorHAnsi" w:cstheme="minorHAnsi"/>
          <w:b/>
          <w:bCs/>
          <w:color w:val="1F4E79" w:themeColor="accent5" w:themeShade="80"/>
          <w:sz w:val="24"/>
          <w:szCs w:val="24"/>
        </w:rPr>
      </w:pPr>
      <w:bookmarkStart w:id="51" w:name="_Toc49858095"/>
      <w:bookmarkEnd w:id="50"/>
      <w:r w:rsidRPr="00413324">
        <w:rPr>
          <w:rFonts w:asciiTheme="minorHAnsi" w:hAnsiTheme="minorHAnsi" w:cstheme="minorHAnsi"/>
          <w:b/>
          <w:bCs/>
          <w:color w:val="1F4E79" w:themeColor="accent5" w:themeShade="80"/>
          <w:sz w:val="24"/>
          <w:szCs w:val="24"/>
        </w:rPr>
        <w:t>Strengths and Weaknesses of 201</w:t>
      </w:r>
      <w:r w:rsidR="00D1405C" w:rsidRPr="00413324">
        <w:rPr>
          <w:rFonts w:asciiTheme="minorHAnsi" w:hAnsiTheme="minorHAnsi" w:cstheme="minorHAnsi"/>
          <w:b/>
          <w:bCs/>
          <w:color w:val="1F4E79" w:themeColor="accent5" w:themeShade="80"/>
          <w:sz w:val="24"/>
          <w:szCs w:val="24"/>
        </w:rPr>
        <w:t>9</w:t>
      </w:r>
      <w:r w:rsidRPr="00413324">
        <w:rPr>
          <w:rFonts w:asciiTheme="minorHAnsi" w:hAnsiTheme="minorHAnsi" w:cstheme="minorHAnsi"/>
          <w:b/>
          <w:bCs/>
          <w:color w:val="1F4E79" w:themeColor="accent5" w:themeShade="80"/>
          <w:sz w:val="24"/>
          <w:szCs w:val="24"/>
        </w:rPr>
        <w:t xml:space="preserve"> Performance Indicators</w:t>
      </w:r>
      <w:r w:rsidR="00D1405C" w:rsidRPr="00413324">
        <w:rPr>
          <w:rFonts w:asciiTheme="minorHAnsi" w:hAnsiTheme="minorHAnsi" w:cstheme="minorHAnsi"/>
          <w:b/>
          <w:bCs/>
          <w:color w:val="1F4E79" w:themeColor="accent5" w:themeShade="80"/>
          <w:sz w:val="24"/>
          <w:szCs w:val="24"/>
        </w:rPr>
        <w:t xml:space="preserve"> and Targets</w:t>
      </w:r>
      <w:bookmarkEnd w:id="51"/>
    </w:p>
    <w:p w14:paraId="27689729" w14:textId="1087B1AE" w:rsidR="00992C5E" w:rsidRPr="00992C5E" w:rsidRDefault="00992C5E" w:rsidP="0015435E">
      <w:pPr>
        <w:pStyle w:val="Bodytext11"/>
        <w:rPr>
          <w:lang w:val="en-AU"/>
        </w:rPr>
      </w:pPr>
      <w:r w:rsidRPr="00992C5E">
        <w:rPr>
          <w:lang w:val="en-AU"/>
        </w:rPr>
        <w:t xml:space="preserve">This assessment has seen a significant increase in the achievement of </w:t>
      </w:r>
      <w:r>
        <w:rPr>
          <w:lang w:val="en-AU"/>
        </w:rPr>
        <w:t xml:space="preserve">EPM targets compared to previous years. This can be attributed to the strong alignment of the indicators and targets to MEHRD priorities in 2019 and the decrease in the number of indicators and targets from previous years. </w:t>
      </w:r>
    </w:p>
    <w:p w14:paraId="605BB338" w14:textId="1C6205FC" w:rsidR="00992C5E" w:rsidRDefault="00992C5E" w:rsidP="0015435E">
      <w:pPr>
        <w:pStyle w:val="Caption"/>
        <w:keepNext/>
      </w:pPr>
      <w:bookmarkStart w:id="52" w:name="_Toc48725964"/>
      <w:bookmarkStart w:id="53" w:name="_Toc48740674"/>
      <w:r>
        <w:t xml:space="preserve">Figure </w:t>
      </w:r>
      <w:r>
        <w:fldChar w:fldCharType="begin"/>
      </w:r>
      <w:r>
        <w:instrText xml:space="preserve"> SEQ Figure \* ARABIC </w:instrText>
      </w:r>
      <w:r>
        <w:fldChar w:fldCharType="separate"/>
      </w:r>
      <w:r>
        <w:rPr>
          <w:noProof/>
        </w:rPr>
        <w:t>4</w:t>
      </w:r>
      <w:r>
        <w:fldChar w:fldCharType="end"/>
      </w:r>
      <w:r>
        <w:t>: Comparison of Performance Indicators by Year</w:t>
      </w:r>
      <w:bookmarkEnd w:id="52"/>
      <w:bookmarkEnd w:id="53"/>
    </w:p>
    <w:p w14:paraId="613AB861" w14:textId="4E3DA751" w:rsidR="00992C5E" w:rsidRPr="00992C5E" w:rsidRDefault="00992C5E" w:rsidP="0015435E">
      <w:pPr>
        <w:spacing w:line="240" w:lineRule="auto"/>
      </w:pPr>
      <w:r>
        <w:rPr>
          <w:noProof/>
          <w:lang w:val="en-AU" w:eastAsia="en-AU"/>
        </w:rPr>
        <w:drawing>
          <wp:inline distT="0" distB="0" distL="0" distR="0" wp14:anchorId="7F818A98" wp14:editId="5EC7D314">
            <wp:extent cx="4584700" cy="2755900"/>
            <wp:effectExtent l="19050" t="19050" r="25400" b="25400"/>
            <wp:docPr id="3" name="Picture 3" descr="Graph shows comparison of achievement of performance targets by year 2015 to 2019.  From a low base in 2015, it peaks in 2016, drops off again for 2017 and 2018 and then improves again to 80% in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 shows comparison of achievement of performance targets by year 2015 to 2019.  From a low base in 2015, it peaks in 2016, drops off again for 2017 and 2018 and then improves again to 80% in 20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w="12700">
                      <a:solidFill>
                        <a:schemeClr val="accent1">
                          <a:lumMod val="75000"/>
                        </a:schemeClr>
                      </a:solidFill>
                    </a:ln>
                  </pic:spPr>
                </pic:pic>
              </a:graphicData>
            </a:graphic>
          </wp:inline>
        </w:drawing>
      </w:r>
    </w:p>
    <w:tbl>
      <w:tblPr>
        <w:tblStyle w:val="GridTable4-Accent1"/>
        <w:tblW w:w="0" w:type="auto"/>
        <w:tblLook w:val="04A0" w:firstRow="1" w:lastRow="0" w:firstColumn="1" w:lastColumn="0" w:noHBand="0" w:noVBand="1"/>
      </w:tblPr>
      <w:tblGrid>
        <w:gridCol w:w="4508"/>
        <w:gridCol w:w="4508"/>
      </w:tblGrid>
      <w:tr w:rsidR="00572F0C" w:rsidRPr="0085652C" w14:paraId="45A2CD7B" w14:textId="77777777" w:rsidTr="00572F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F65649E" w14:textId="1E7EA458" w:rsidR="00572F0C" w:rsidRPr="0085652C" w:rsidRDefault="00572F0C" w:rsidP="0015435E">
            <w:pPr>
              <w:spacing w:after="0" w:line="240" w:lineRule="auto"/>
              <w:jc w:val="center"/>
              <w:rPr>
                <w:rFonts w:asciiTheme="minorHAnsi" w:eastAsiaTheme="minorHAnsi" w:hAnsiTheme="minorHAnsi" w:cstheme="minorBidi"/>
                <w:sz w:val="20"/>
                <w:szCs w:val="20"/>
                <w:lang w:val="en-AU"/>
              </w:rPr>
            </w:pPr>
            <w:r w:rsidRPr="0085652C">
              <w:rPr>
                <w:rFonts w:asciiTheme="minorHAnsi" w:eastAsiaTheme="minorHAnsi" w:hAnsiTheme="minorHAnsi" w:cstheme="minorBidi"/>
                <w:sz w:val="20"/>
                <w:szCs w:val="20"/>
                <w:lang w:val="en-AU"/>
              </w:rPr>
              <w:t>Strengths</w:t>
            </w:r>
          </w:p>
        </w:tc>
        <w:tc>
          <w:tcPr>
            <w:tcW w:w="4508" w:type="dxa"/>
          </w:tcPr>
          <w:p w14:paraId="4FD1FB4E" w14:textId="30B87505" w:rsidR="00572F0C" w:rsidRPr="0085652C" w:rsidRDefault="00572F0C" w:rsidP="0015435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85652C">
              <w:rPr>
                <w:rFonts w:asciiTheme="minorHAnsi" w:eastAsiaTheme="minorHAnsi" w:hAnsiTheme="minorHAnsi" w:cstheme="minorBidi"/>
                <w:sz w:val="20"/>
                <w:szCs w:val="20"/>
                <w:lang w:val="en-AU"/>
              </w:rPr>
              <w:t>Weaknesses</w:t>
            </w:r>
          </w:p>
        </w:tc>
      </w:tr>
      <w:tr w:rsidR="00572F0C" w:rsidRPr="0085652C" w14:paraId="0CE5E86F" w14:textId="77777777" w:rsidTr="00572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11B1C1FA" w14:textId="6DC4003E" w:rsidR="00572F0C" w:rsidRPr="0085652C" w:rsidRDefault="00572F0C" w:rsidP="0015435E">
            <w:pPr>
              <w:spacing w:after="0" w:line="240" w:lineRule="auto"/>
              <w:rPr>
                <w:rFonts w:asciiTheme="minorHAnsi" w:eastAsiaTheme="minorHAnsi" w:hAnsiTheme="minorHAnsi" w:cstheme="minorBidi"/>
                <w:b w:val="0"/>
                <w:bCs w:val="0"/>
                <w:sz w:val="20"/>
                <w:szCs w:val="20"/>
                <w:lang w:val="en-AU"/>
              </w:rPr>
            </w:pPr>
            <w:r w:rsidRPr="0085652C">
              <w:rPr>
                <w:rFonts w:asciiTheme="minorHAnsi" w:eastAsiaTheme="minorHAnsi" w:hAnsiTheme="minorHAnsi" w:cstheme="minorBidi"/>
                <w:b w:val="0"/>
                <w:bCs w:val="0"/>
                <w:sz w:val="20"/>
                <w:szCs w:val="20"/>
                <w:lang w:val="en-AU"/>
              </w:rPr>
              <w:t xml:space="preserve">Indicators </w:t>
            </w:r>
            <w:r w:rsidR="004F5825" w:rsidRPr="0085652C">
              <w:rPr>
                <w:rFonts w:asciiTheme="minorHAnsi" w:eastAsiaTheme="minorHAnsi" w:hAnsiTheme="minorHAnsi" w:cstheme="minorBidi"/>
                <w:b w:val="0"/>
                <w:bCs w:val="0"/>
                <w:sz w:val="20"/>
                <w:szCs w:val="20"/>
                <w:lang w:val="en-AU"/>
              </w:rPr>
              <w:t xml:space="preserve">were </w:t>
            </w:r>
            <w:r w:rsidRPr="0085652C">
              <w:rPr>
                <w:rFonts w:asciiTheme="minorHAnsi" w:eastAsiaTheme="minorHAnsi" w:hAnsiTheme="minorHAnsi" w:cstheme="minorBidi"/>
                <w:b w:val="0"/>
                <w:bCs w:val="0"/>
                <w:sz w:val="20"/>
                <w:szCs w:val="20"/>
                <w:lang w:val="en-AU"/>
              </w:rPr>
              <w:t>appropriate and targets generally achievable within the constraints in which MEHRD operate</w:t>
            </w:r>
            <w:r w:rsidR="004F5825" w:rsidRPr="0085652C">
              <w:rPr>
                <w:rFonts w:asciiTheme="minorHAnsi" w:eastAsiaTheme="minorHAnsi" w:hAnsiTheme="minorHAnsi" w:cstheme="minorBidi"/>
                <w:b w:val="0"/>
                <w:bCs w:val="0"/>
                <w:sz w:val="20"/>
                <w:szCs w:val="20"/>
                <w:lang w:val="en-AU"/>
              </w:rPr>
              <w:t>d</w:t>
            </w:r>
            <w:r w:rsidRPr="0085652C">
              <w:rPr>
                <w:rFonts w:asciiTheme="minorHAnsi" w:eastAsiaTheme="minorHAnsi" w:hAnsiTheme="minorHAnsi" w:cstheme="minorBidi"/>
                <w:b w:val="0"/>
                <w:bCs w:val="0"/>
                <w:sz w:val="20"/>
                <w:szCs w:val="20"/>
                <w:lang w:val="en-AU"/>
              </w:rPr>
              <w:t>.</w:t>
            </w:r>
          </w:p>
        </w:tc>
        <w:tc>
          <w:tcPr>
            <w:tcW w:w="4508" w:type="dxa"/>
            <w:shd w:val="clear" w:color="auto" w:fill="auto"/>
          </w:tcPr>
          <w:p w14:paraId="6B6B4293" w14:textId="6B17428B" w:rsidR="00572F0C" w:rsidRPr="0085652C" w:rsidRDefault="00B30931" w:rsidP="0015435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85652C">
              <w:rPr>
                <w:rFonts w:asciiTheme="minorHAnsi" w:eastAsiaTheme="minorHAnsi" w:hAnsiTheme="minorHAnsi" w:cstheme="minorBidi"/>
                <w:sz w:val="20"/>
                <w:szCs w:val="20"/>
                <w:lang w:val="en-AU"/>
              </w:rPr>
              <w:t>Many MEHRD officers were not aware of the targets relating to PLA – not incentivised by the process as they were not aware of the targets.</w:t>
            </w:r>
          </w:p>
        </w:tc>
      </w:tr>
      <w:tr w:rsidR="00572F0C" w:rsidRPr="0085652C" w14:paraId="78CA8189" w14:textId="77777777" w:rsidTr="00572F0C">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6B129482" w14:textId="47AF9589" w:rsidR="00572F0C" w:rsidRPr="0085652C" w:rsidRDefault="00572F0C" w:rsidP="0015435E">
            <w:pPr>
              <w:spacing w:after="0" w:line="240" w:lineRule="auto"/>
              <w:rPr>
                <w:rFonts w:asciiTheme="minorHAnsi" w:eastAsiaTheme="minorHAnsi" w:hAnsiTheme="minorHAnsi" w:cstheme="minorBidi"/>
                <w:sz w:val="20"/>
                <w:szCs w:val="20"/>
                <w:lang w:val="en-AU"/>
              </w:rPr>
            </w:pPr>
            <w:r w:rsidRPr="0085652C">
              <w:rPr>
                <w:rFonts w:asciiTheme="minorHAnsi" w:eastAsiaTheme="minorHAnsi" w:hAnsiTheme="minorHAnsi" w:cstheme="minorBidi"/>
                <w:b w:val="0"/>
                <w:bCs w:val="0"/>
                <w:sz w:val="20"/>
                <w:szCs w:val="20"/>
                <w:lang w:val="en-AU"/>
              </w:rPr>
              <w:t>Indicators are intricately linked to the current NEAP and the 2019 AWP.</w:t>
            </w:r>
            <w:r w:rsidR="00B30931" w:rsidRPr="0085652C">
              <w:rPr>
                <w:rFonts w:asciiTheme="minorHAnsi" w:eastAsiaTheme="minorHAnsi" w:hAnsiTheme="minorHAnsi" w:cstheme="minorBidi"/>
                <w:b w:val="0"/>
                <w:bCs w:val="0"/>
                <w:sz w:val="20"/>
                <w:szCs w:val="20"/>
                <w:lang w:val="en-AU"/>
              </w:rPr>
              <w:t xml:space="preserve"> The AWP is MEHRD’s primary source for measuring progress</w:t>
            </w:r>
            <w:r w:rsidR="004F5825" w:rsidRPr="0085652C">
              <w:rPr>
                <w:rFonts w:asciiTheme="minorHAnsi" w:eastAsiaTheme="minorHAnsi" w:hAnsiTheme="minorHAnsi" w:cstheme="minorBidi"/>
                <w:b w:val="0"/>
                <w:bCs w:val="0"/>
                <w:sz w:val="20"/>
                <w:szCs w:val="20"/>
                <w:lang w:val="en-AU"/>
              </w:rPr>
              <w:t xml:space="preserve"> </w:t>
            </w:r>
            <w:proofErr w:type="gramStart"/>
            <w:r w:rsidR="004F5825" w:rsidRPr="0085652C">
              <w:rPr>
                <w:rFonts w:asciiTheme="minorHAnsi" w:eastAsiaTheme="minorHAnsi" w:hAnsiTheme="minorHAnsi" w:cstheme="minorBidi"/>
                <w:b w:val="0"/>
                <w:bCs w:val="0"/>
                <w:sz w:val="20"/>
                <w:szCs w:val="20"/>
                <w:lang w:val="en-AU"/>
              </w:rPr>
              <w:t>i.e.</w:t>
            </w:r>
            <w:proofErr w:type="gramEnd"/>
            <w:r w:rsidR="004F5825" w:rsidRPr="0085652C">
              <w:rPr>
                <w:rFonts w:asciiTheme="minorHAnsi" w:eastAsiaTheme="minorHAnsi" w:hAnsiTheme="minorHAnsi" w:cstheme="minorBidi"/>
                <w:b w:val="0"/>
                <w:bCs w:val="0"/>
                <w:sz w:val="20"/>
                <w:szCs w:val="20"/>
                <w:lang w:val="en-AU"/>
              </w:rPr>
              <w:t xml:space="preserve"> good integration and use of MEHRD systems</w:t>
            </w:r>
            <w:r w:rsidR="00B30931" w:rsidRPr="0085652C">
              <w:rPr>
                <w:rFonts w:asciiTheme="minorHAnsi" w:eastAsiaTheme="minorHAnsi" w:hAnsiTheme="minorHAnsi" w:cstheme="minorBidi"/>
                <w:b w:val="0"/>
                <w:bCs w:val="0"/>
                <w:sz w:val="20"/>
                <w:szCs w:val="20"/>
                <w:lang w:val="en-AU"/>
              </w:rPr>
              <w:t xml:space="preserve">. </w:t>
            </w:r>
          </w:p>
        </w:tc>
        <w:tc>
          <w:tcPr>
            <w:tcW w:w="4508" w:type="dxa"/>
            <w:shd w:val="clear" w:color="auto" w:fill="auto"/>
          </w:tcPr>
          <w:p w14:paraId="42D8232E" w14:textId="03A7950C" w:rsidR="00572F0C" w:rsidRPr="0085652C" w:rsidRDefault="00B30931" w:rsidP="0015435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85652C">
              <w:rPr>
                <w:rFonts w:asciiTheme="minorHAnsi" w:eastAsiaTheme="minorHAnsi" w:hAnsiTheme="minorHAnsi" w:cstheme="minorBidi"/>
                <w:sz w:val="20"/>
                <w:szCs w:val="20"/>
                <w:lang w:val="en-AU"/>
              </w:rPr>
              <w:t xml:space="preserve">Most indicators and measurement of targets rely on data collected and stored in SIEMIS. </w:t>
            </w:r>
            <w:r w:rsidR="00D01F74">
              <w:rPr>
                <w:rFonts w:asciiTheme="minorHAnsi" w:eastAsiaTheme="minorHAnsi" w:hAnsiTheme="minorHAnsi" w:cstheme="minorBidi"/>
                <w:sz w:val="20"/>
                <w:szCs w:val="20"/>
                <w:lang w:val="en-AU"/>
              </w:rPr>
              <w:t xml:space="preserve">Significant improvements over the last couple of years in the efficacy of the data is a positive – but </w:t>
            </w:r>
            <w:r w:rsidRPr="0085652C">
              <w:rPr>
                <w:rFonts w:asciiTheme="minorHAnsi" w:eastAsiaTheme="minorHAnsi" w:hAnsiTheme="minorHAnsi" w:cstheme="minorBidi"/>
                <w:sz w:val="20"/>
                <w:szCs w:val="20"/>
                <w:lang w:val="en-AU"/>
              </w:rPr>
              <w:t>this</w:t>
            </w:r>
            <w:r w:rsidR="00EB1DD0">
              <w:rPr>
                <w:rFonts w:asciiTheme="minorHAnsi" w:eastAsiaTheme="minorHAnsi" w:hAnsiTheme="minorHAnsi" w:cstheme="minorBidi"/>
                <w:sz w:val="20"/>
                <w:szCs w:val="20"/>
                <w:lang w:val="en-AU"/>
              </w:rPr>
              <w:t xml:space="preserve"> also</w:t>
            </w:r>
            <w:r w:rsidRPr="0085652C">
              <w:rPr>
                <w:rFonts w:asciiTheme="minorHAnsi" w:eastAsiaTheme="minorHAnsi" w:hAnsiTheme="minorHAnsi" w:cstheme="minorBidi"/>
                <w:sz w:val="20"/>
                <w:szCs w:val="20"/>
                <w:lang w:val="en-AU"/>
              </w:rPr>
              <w:t xml:space="preserve"> hinders</w:t>
            </w:r>
            <w:r w:rsidR="00D01F74">
              <w:rPr>
                <w:rFonts w:asciiTheme="minorHAnsi" w:eastAsiaTheme="minorHAnsi" w:hAnsiTheme="minorHAnsi" w:cstheme="minorBidi"/>
                <w:sz w:val="20"/>
                <w:szCs w:val="20"/>
                <w:lang w:val="en-AU"/>
              </w:rPr>
              <w:t xml:space="preserve"> the ability to</w:t>
            </w:r>
            <w:r w:rsidRPr="0085652C">
              <w:rPr>
                <w:rFonts w:asciiTheme="minorHAnsi" w:eastAsiaTheme="minorHAnsi" w:hAnsiTheme="minorHAnsi" w:cstheme="minorBidi"/>
                <w:sz w:val="20"/>
                <w:szCs w:val="20"/>
                <w:lang w:val="en-AU"/>
              </w:rPr>
              <w:t xml:space="preserve"> </w:t>
            </w:r>
            <w:r w:rsidR="00D01F74">
              <w:rPr>
                <w:rFonts w:asciiTheme="minorHAnsi" w:eastAsiaTheme="minorHAnsi" w:hAnsiTheme="minorHAnsi" w:cstheme="minorBidi"/>
                <w:sz w:val="20"/>
                <w:szCs w:val="20"/>
                <w:lang w:val="en-AU"/>
              </w:rPr>
              <w:t>undertake reliable long-term data analysis and trends</w:t>
            </w:r>
            <w:r w:rsidRPr="0085652C">
              <w:rPr>
                <w:rFonts w:asciiTheme="minorHAnsi" w:eastAsiaTheme="minorHAnsi" w:hAnsiTheme="minorHAnsi" w:cstheme="minorBidi"/>
                <w:sz w:val="20"/>
                <w:szCs w:val="20"/>
                <w:lang w:val="en-AU"/>
              </w:rPr>
              <w:t>.</w:t>
            </w:r>
            <w:r w:rsidR="00D01F74">
              <w:rPr>
                <w:rFonts w:asciiTheme="minorHAnsi" w:eastAsiaTheme="minorHAnsi" w:hAnsiTheme="minorHAnsi" w:cstheme="minorBidi"/>
                <w:sz w:val="20"/>
                <w:szCs w:val="20"/>
                <w:lang w:val="en-AU"/>
              </w:rPr>
              <w:t xml:space="preserve"> It also puts into question the accuracy of previous years’ data and reporting.</w:t>
            </w:r>
          </w:p>
        </w:tc>
      </w:tr>
      <w:tr w:rsidR="00572F0C" w:rsidRPr="0085652C" w14:paraId="6CE68F89" w14:textId="77777777" w:rsidTr="00572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0BD85F35" w14:textId="658B7ACD" w:rsidR="00572F0C" w:rsidRPr="0085652C" w:rsidRDefault="00572F0C" w:rsidP="0015435E">
            <w:pPr>
              <w:spacing w:after="0" w:line="240" w:lineRule="auto"/>
              <w:rPr>
                <w:rFonts w:asciiTheme="minorHAnsi" w:eastAsiaTheme="minorHAnsi" w:hAnsiTheme="minorHAnsi" w:cstheme="minorBidi"/>
                <w:b w:val="0"/>
                <w:bCs w:val="0"/>
                <w:sz w:val="20"/>
                <w:szCs w:val="20"/>
                <w:lang w:val="en-AU"/>
              </w:rPr>
            </w:pPr>
            <w:r w:rsidRPr="0085652C">
              <w:rPr>
                <w:rFonts w:asciiTheme="minorHAnsi" w:eastAsiaTheme="minorHAnsi" w:hAnsiTheme="minorHAnsi" w:cstheme="minorBidi"/>
                <w:b w:val="0"/>
                <w:bCs w:val="0"/>
                <w:sz w:val="20"/>
                <w:szCs w:val="20"/>
                <w:lang w:val="en-AU"/>
              </w:rPr>
              <w:t>Long term indicators are a good strategy to maintain ‘line of sight’ for NEAP outcomes</w:t>
            </w:r>
            <w:r w:rsidR="00AE6693" w:rsidRPr="0085652C">
              <w:rPr>
                <w:rFonts w:asciiTheme="minorHAnsi" w:eastAsiaTheme="minorHAnsi" w:hAnsiTheme="minorHAnsi" w:cstheme="minorBidi"/>
                <w:b w:val="0"/>
                <w:bCs w:val="0"/>
                <w:sz w:val="20"/>
                <w:szCs w:val="20"/>
                <w:lang w:val="en-AU"/>
              </w:rPr>
              <w:t xml:space="preserve"> and linked to the NEAP and ESF</w:t>
            </w:r>
            <w:r w:rsidRPr="0085652C">
              <w:rPr>
                <w:rFonts w:asciiTheme="minorHAnsi" w:eastAsiaTheme="minorHAnsi" w:hAnsiTheme="minorHAnsi" w:cstheme="minorBidi"/>
                <w:b w:val="0"/>
                <w:bCs w:val="0"/>
                <w:sz w:val="20"/>
                <w:szCs w:val="20"/>
                <w:lang w:val="en-AU"/>
              </w:rPr>
              <w:t>.</w:t>
            </w:r>
          </w:p>
        </w:tc>
        <w:tc>
          <w:tcPr>
            <w:tcW w:w="4508" w:type="dxa"/>
            <w:shd w:val="clear" w:color="auto" w:fill="auto"/>
          </w:tcPr>
          <w:p w14:paraId="06C9203E" w14:textId="33393F42" w:rsidR="00572F0C" w:rsidRPr="0085652C" w:rsidRDefault="00B30931" w:rsidP="0015435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r w:rsidRPr="0085652C">
              <w:rPr>
                <w:rFonts w:asciiTheme="minorHAnsi" w:eastAsiaTheme="minorHAnsi" w:hAnsiTheme="minorHAnsi" w:cstheme="minorBidi"/>
                <w:sz w:val="20"/>
                <w:szCs w:val="20"/>
                <w:lang w:val="en-AU"/>
              </w:rPr>
              <w:t>Strong reliance on quantitative data and almost no capture of qualitative change.</w:t>
            </w:r>
          </w:p>
        </w:tc>
      </w:tr>
      <w:tr w:rsidR="00572F0C" w:rsidRPr="0085652C" w14:paraId="5F98BA56" w14:textId="77777777" w:rsidTr="00572F0C">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641D70A1" w14:textId="0986BD77" w:rsidR="00572F0C" w:rsidRPr="0085652C" w:rsidRDefault="00572F0C" w:rsidP="0015435E">
            <w:pPr>
              <w:spacing w:after="0" w:line="240" w:lineRule="auto"/>
              <w:rPr>
                <w:rFonts w:asciiTheme="minorHAnsi" w:eastAsiaTheme="minorHAnsi" w:hAnsiTheme="minorHAnsi" w:cstheme="minorBidi"/>
                <w:b w:val="0"/>
                <w:bCs w:val="0"/>
                <w:sz w:val="20"/>
                <w:szCs w:val="20"/>
                <w:lang w:val="en-AU"/>
              </w:rPr>
            </w:pPr>
            <w:r w:rsidRPr="0085652C">
              <w:rPr>
                <w:rFonts w:asciiTheme="minorHAnsi" w:eastAsiaTheme="minorHAnsi" w:hAnsiTheme="minorHAnsi" w:cstheme="minorBidi"/>
                <w:b w:val="0"/>
                <w:bCs w:val="0"/>
                <w:sz w:val="20"/>
                <w:szCs w:val="20"/>
                <w:lang w:val="en-AU"/>
              </w:rPr>
              <w:t>Short term indicators were closely related to MEHRD key outputs and</w:t>
            </w:r>
            <w:r w:rsidR="00215AFF" w:rsidRPr="0085652C">
              <w:rPr>
                <w:rFonts w:asciiTheme="minorHAnsi" w:eastAsiaTheme="minorHAnsi" w:hAnsiTheme="minorHAnsi" w:cstheme="minorBidi"/>
                <w:b w:val="0"/>
                <w:bCs w:val="0"/>
                <w:sz w:val="20"/>
                <w:szCs w:val="20"/>
                <w:lang w:val="en-AU"/>
              </w:rPr>
              <w:t xml:space="preserve"> linked to the</w:t>
            </w:r>
            <w:r w:rsidRPr="0085652C">
              <w:rPr>
                <w:rFonts w:asciiTheme="minorHAnsi" w:eastAsiaTheme="minorHAnsi" w:hAnsiTheme="minorHAnsi" w:cstheme="minorBidi"/>
                <w:b w:val="0"/>
                <w:bCs w:val="0"/>
                <w:sz w:val="20"/>
                <w:szCs w:val="20"/>
                <w:lang w:val="en-AU"/>
              </w:rPr>
              <w:t xml:space="preserve"> AWP activities.</w:t>
            </w:r>
          </w:p>
        </w:tc>
        <w:tc>
          <w:tcPr>
            <w:tcW w:w="4508" w:type="dxa"/>
            <w:shd w:val="clear" w:color="auto" w:fill="auto"/>
          </w:tcPr>
          <w:p w14:paraId="5876C60D" w14:textId="5688D200" w:rsidR="00572F0C" w:rsidRPr="0085652C" w:rsidRDefault="000B69ED" w:rsidP="0015435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AU"/>
              </w:rPr>
            </w:pPr>
            <w:r w:rsidRPr="0085652C">
              <w:rPr>
                <w:rFonts w:asciiTheme="minorHAnsi" w:eastAsiaTheme="minorHAnsi" w:hAnsiTheme="minorHAnsi" w:cstheme="minorBidi"/>
                <w:sz w:val="20"/>
                <w:szCs w:val="20"/>
                <w:lang w:val="en-AU"/>
              </w:rPr>
              <w:t>Access to annual data (through SIEMIS) required to measure many of the indicators is not generally available until 12 months after</w:t>
            </w:r>
            <w:r w:rsidR="00A92C24">
              <w:rPr>
                <w:rFonts w:asciiTheme="minorHAnsi" w:eastAsiaTheme="minorHAnsi" w:hAnsiTheme="minorHAnsi" w:cstheme="minorBidi"/>
                <w:sz w:val="20"/>
                <w:szCs w:val="20"/>
                <w:lang w:val="en-AU"/>
              </w:rPr>
              <w:t xml:space="preserve"> the school survey is completed</w:t>
            </w:r>
            <w:r w:rsidRPr="0085652C">
              <w:rPr>
                <w:rFonts w:asciiTheme="minorHAnsi" w:eastAsiaTheme="minorHAnsi" w:hAnsiTheme="minorHAnsi" w:cstheme="minorBidi"/>
                <w:sz w:val="20"/>
                <w:szCs w:val="20"/>
                <w:lang w:val="en-AU"/>
              </w:rPr>
              <w:t xml:space="preserve">. </w:t>
            </w:r>
          </w:p>
        </w:tc>
      </w:tr>
      <w:tr w:rsidR="00572F0C" w:rsidRPr="0085652C" w14:paraId="00B46FCF" w14:textId="77777777" w:rsidTr="00572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01315860" w14:textId="7BC767C0" w:rsidR="00572F0C" w:rsidRPr="0085652C" w:rsidRDefault="00AE1482" w:rsidP="0015435E">
            <w:pPr>
              <w:spacing w:after="0" w:line="240" w:lineRule="auto"/>
              <w:rPr>
                <w:rFonts w:asciiTheme="minorHAnsi" w:eastAsiaTheme="minorHAnsi" w:hAnsiTheme="minorHAnsi" w:cstheme="minorBidi"/>
                <w:b w:val="0"/>
                <w:bCs w:val="0"/>
                <w:sz w:val="20"/>
                <w:szCs w:val="20"/>
                <w:lang w:val="en-AU"/>
              </w:rPr>
            </w:pPr>
            <w:r w:rsidRPr="0085652C">
              <w:rPr>
                <w:rFonts w:asciiTheme="minorHAnsi" w:eastAsiaTheme="minorHAnsi" w:hAnsiTheme="minorHAnsi" w:cstheme="minorBidi"/>
                <w:b w:val="0"/>
                <w:bCs w:val="0"/>
                <w:sz w:val="20"/>
                <w:szCs w:val="20"/>
                <w:lang w:val="en-AU"/>
              </w:rPr>
              <w:t>Less outcomes, less indicators and realistic targets has led to more focused approach and higher achievement of targets.</w:t>
            </w:r>
          </w:p>
        </w:tc>
        <w:tc>
          <w:tcPr>
            <w:tcW w:w="4508" w:type="dxa"/>
            <w:shd w:val="clear" w:color="auto" w:fill="auto"/>
          </w:tcPr>
          <w:p w14:paraId="5D181A43" w14:textId="77777777" w:rsidR="00572F0C" w:rsidRPr="0085652C" w:rsidRDefault="00572F0C" w:rsidP="0015435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AU"/>
              </w:rPr>
            </w:pPr>
          </w:p>
        </w:tc>
      </w:tr>
    </w:tbl>
    <w:p w14:paraId="6CF888F8" w14:textId="01C5E30E" w:rsidR="00CF1632" w:rsidRDefault="00CF1632" w:rsidP="0015435E">
      <w:pPr>
        <w:spacing w:line="240" w:lineRule="auto"/>
      </w:pPr>
    </w:p>
    <w:p w14:paraId="1FA43900" w14:textId="3FDF9FEC" w:rsidR="00D1405C" w:rsidRPr="00413324" w:rsidRDefault="00D1405C" w:rsidP="00413324">
      <w:pPr>
        <w:pStyle w:val="Heading2"/>
        <w:numPr>
          <w:ilvl w:val="0"/>
          <w:numId w:val="19"/>
        </w:numPr>
        <w:shd w:val="clear" w:color="auto" w:fill="B4C6E7" w:themeFill="accent1" w:themeFillTint="66"/>
        <w:ind w:hanging="720"/>
        <w:rPr>
          <w:rFonts w:asciiTheme="minorHAnsi" w:hAnsiTheme="minorHAnsi" w:cstheme="minorHAnsi"/>
          <w:b/>
          <w:bCs/>
          <w:color w:val="1F4E79" w:themeColor="accent5" w:themeShade="80"/>
          <w:sz w:val="24"/>
          <w:szCs w:val="24"/>
        </w:rPr>
      </w:pPr>
      <w:bookmarkStart w:id="54" w:name="_Toc49858096"/>
      <w:r w:rsidRPr="00413324">
        <w:rPr>
          <w:rFonts w:asciiTheme="minorHAnsi" w:hAnsiTheme="minorHAnsi" w:cstheme="minorHAnsi"/>
          <w:b/>
          <w:bCs/>
          <w:color w:val="1F4E79" w:themeColor="accent5" w:themeShade="80"/>
          <w:sz w:val="24"/>
          <w:szCs w:val="24"/>
        </w:rPr>
        <w:t>Future Performance Indicators</w:t>
      </w:r>
      <w:bookmarkEnd w:id="54"/>
    </w:p>
    <w:p w14:paraId="145AA7AF" w14:textId="562044A3" w:rsidR="0060299F" w:rsidRDefault="0060299F" w:rsidP="0015435E">
      <w:pPr>
        <w:spacing w:line="240" w:lineRule="auto"/>
        <w:ind w:left="3"/>
        <w:jc w:val="both"/>
        <w:rPr>
          <w:rFonts w:asciiTheme="minorHAnsi" w:eastAsiaTheme="minorHAnsi" w:hAnsiTheme="minorHAnsi" w:cstheme="minorBidi"/>
          <w:lang w:val="en-AU"/>
        </w:rPr>
      </w:pPr>
      <w:bookmarkStart w:id="55" w:name="_Hlk48727139"/>
      <w:r w:rsidRPr="0060299F">
        <w:rPr>
          <w:rFonts w:asciiTheme="minorHAnsi" w:eastAsiaTheme="minorHAnsi" w:hAnsiTheme="minorHAnsi" w:cstheme="minorBidi"/>
          <w:lang w:val="en-AU"/>
        </w:rPr>
        <w:t xml:space="preserve">The following are suggestions to </w:t>
      </w:r>
      <w:r>
        <w:rPr>
          <w:rFonts w:asciiTheme="minorHAnsi" w:eastAsiaTheme="minorHAnsi" w:hAnsiTheme="minorHAnsi" w:cstheme="minorBidi"/>
          <w:lang w:val="en-AU"/>
        </w:rPr>
        <w:t>inform the development and agreement on EPM indicators and targets for 2020</w:t>
      </w:r>
      <w:r w:rsidR="00ED5E70">
        <w:rPr>
          <w:rFonts w:asciiTheme="minorHAnsi" w:eastAsiaTheme="minorHAnsi" w:hAnsiTheme="minorHAnsi" w:cstheme="minorBidi"/>
          <w:lang w:val="en-AU"/>
        </w:rPr>
        <w:t xml:space="preserve"> and beyond</w:t>
      </w:r>
      <w:r>
        <w:rPr>
          <w:rFonts w:asciiTheme="minorHAnsi" w:eastAsiaTheme="minorHAnsi" w:hAnsiTheme="minorHAnsi" w:cstheme="minorBidi"/>
          <w:lang w:val="en-AU"/>
        </w:rPr>
        <w:t xml:space="preserve">. Obviously, eight months of the year have passed already, so the targets should be commensurate with the context in which MEHRD has operated this year. It should be noted that MEHRD and their many education partners have done a tremendous job in pivoting, </w:t>
      </w:r>
      <w:proofErr w:type="gramStart"/>
      <w:r>
        <w:rPr>
          <w:rFonts w:asciiTheme="minorHAnsi" w:eastAsiaTheme="minorHAnsi" w:hAnsiTheme="minorHAnsi" w:cstheme="minorBidi"/>
          <w:lang w:val="en-AU"/>
        </w:rPr>
        <w:t>realigning</w:t>
      </w:r>
      <w:proofErr w:type="gramEnd"/>
      <w:r>
        <w:rPr>
          <w:rFonts w:asciiTheme="minorHAnsi" w:eastAsiaTheme="minorHAnsi" w:hAnsiTheme="minorHAnsi" w:cstheme="minorBidi"/>
          <w:lang w:val="en-AU"/>
        </w:rPr>
        <w:t xml:space="preserve"> and responding to the many challenges associated with the </w:t>
      </w:r>
      <w:r w:rsidR="00FC0016">
        <w:rPr>
          <w:rFonts w:asciiTheme="minorHAnsi" w:eastAsiaTheme="minorHAnsi" w:hAnsiTheme="minorHAnsi" w:cstheme="minorBidi"/>
          <w:lang w:val="en-AU"/>
        </w:rPr>
        <w:t>COVID-19</w:t>
      </w:r>
      <w:r>
        <w:rPr>
          <w:rFonts w:asciiTheme="minorHAnsi" w:eastAsiaTheme="minorHAnsi" w:hAnsiTheme="minorHAnsi" w:cstheme="minorBidi"/>
          <w:lang w:val="en-AU"/>
        </w:rPr>
        <w:t xml:space="preserve"> pandemic. Their prime ambition </w:t>
      </w:r>
      <w:r w:rsidR="00452DC6">
        <w:rPr>
          <w:rFonts w:asciiTheme="minorHAnsi" w:eastAsiaTheme="minorHAnsi" w:hAnsiTheme="minorHAnsi" w:cstheme="minorBidi"/>
          <w:lang w:val="en-AU"/>
        </w:rPr>
        <w:t>is</w:t>
      </w:r>
      <w:r>
        <w:rPr>
          <w:rFonts w:asciiTheme="minorHAnsi" w:eastAsiaTheme="minorHAnsi" w:hAnsiTheme="minorHAnsi" w:cstheme="minorBidi"/>
          <w:lang w:val="en-AU"/>
        </w:rPr>
        <w:t xml:space="preserve"> to keep schools (children, </w:t>
      </w:r>
      <w:proofErr w:type="gramStart"/>
      <w:r>
        <w:rPr>
          <w:rFonts w:asciiTheme="minorHAnsi" w:eastAsiaTheme="minorHAnsi" w:hAnsiTheme="minorHAnsi" w:cstheme="minorBidi"/>
          <w:lang w:val="en-AU"/>
        </w:rPr>
        <w:t>teachers</w:t>
      </w:r>
      <w:proofErr w:type="gramEnd"/>
      <w:r>
        <w:rPr>
          <w:rFonts w:asciiTheme="minorHAnsi" w:eastAsiaTheme="minorHAnsi" w:hAnsiTheme="minorHAnsi" w:cstheme="minorBidi"/>
          <w:lang w:val="en-AU"/>
        </w:rPr>
        <w:t xml:space="preserve"> and community) safe and to ensure student learning is continued. To this aim they have been </w:t>
      </w:r>
      <w:r w:rsidR="00452DC6">
        <w:rPr>
          <w:rFonts w:asciiTheme="minorHAnsi" w:eastAsiaTheme="minorHAnsi" w:hAnsiTheme="minorHAnsi" w:cstheme="minorBidi"/>
          <w:lang w:val="en-AU"/>
        </w:rPr>
        <w:t>remarkably successful</w:t>
      </w:r>
      <w:r>
        <w:rPr>
          <w:rFonts w:asciiTheme="minorHAnsi" w:eastAsiaTheme="minorHAnsi" w:hAnsiTheme="minorHAnsi" w:cstheme="minorBidi"/>
          <w:lang w:val="en-AU"/>
        </w:rPr>
        <w:t>.</w:t>
      </w:r>
    </w:p>
    <w:bookmarkEnd w:id="55"/>
    <w:p w14:paraId="36813479" w14:textId="2C0B02A8" w:rsidR="00E57F89" w:rsidRDefault="00E57F89" w:rsidP="0015435E">
      <w:pPr>
        <w:spacing w:after="0" w:line="240" w:lineRule="auto"/>
        <w:ind w:left="3"/>
        <w:jc w:val="both"/>
        <w:rPr>
          <w:rFonts w:asciiTheme="minorHAnsi" w:eastAsiaTheme="minorHAnsi" w:hAnsiTheme="minorHAnsi" w:cstheme="minorBidi"/>
          <w:b/>
          <w:bCs/>
          <w:i/>
          <w:iCs/>
          <w:lang w:val="en-AU"/>
        </w:rPr>
      </w:pPr>
      <w:r>
        <w:rPr>
          <w:rFonts w:asciiTheme="minorHAnsi" w:eastAsiaTheme="minorHAnsi" w:hAnsiTheme="minorHAnsi" w:cstheme="minorBidi"/>
          <w:b/>
          <w:bCs/>
          <w:i/>
          <w:iCs/>
          <w:lang w:val="en-AU"/>
        </w:rPr>
        <w:t>Mixture of long-term and short-term indicators</w:t>
      </w:r>
    </w:p>
    <w:p w14:paraId="5DC4F00D" w14:textId="4B6ACC37" w:rsidR="00E57F89" w:rsidRDefault="00E57F89" w:rsidP="0015435E">
      <w:pPr>
        <w:pStyle w:val="ListParagraph"/>
        <w:numPr>
          <w:ilvl w:val="0"/>
          <w:numId w:val="26"/>
        </w:numPr>
        <w:spacing w:after="0" w:line="240" w:lineRule="auto"/>
        <w:ind w:hanging="357"/>
        <w:jc w:val="both"/>
        <w:rPr>
          <w:rFonts w:asciiTheme="minorHAnsi" w:eastAsiaTheme="minorHAnsi" w:hAnsiTheme="minorHAnsi" w:cstheme="minorBidi"/>
          <w:lang w:val="en-AU"/>
        </w:rPr>
      </w:pPr>
      <w:r w:rsidRPr="00E57F89">
        <w:rPr>
          <w:rFonts w:asciiTheme="minorHAnsi" w:eastAsiaTheme="minorHAnsi" w:hAnsiTheme="minorHAnsi" w:cstheme="minorBidi"/>
          <w:lang w:val="en-AU"/>
        </w:rPr>
        <w:t xml:space="preserve">Develop a few strategically critical and agreed </w:t>
      </w:r>
      <w:r w:rsidR="00D72423">
        <w:rPr>
          <w:rFonts w:asciiTheme="minorHAnsi" w:eastAsiaTheme="minorHAnsi" w:hAnsiTheme="minorHAnsi" w:cstheme="minorBidi"/>
          <w:lang w:val="en-AU"/>
        </w:rPr>
        <w:t xml:space="preserve">long-term </w:t>
      </w:r>
      <w:r w:rsidRPr="00E57F89">
        <w:rPr>
          <w:rFonts w:asciiTheme="minorHAnsi" w:eastAsiaTheme="minorHAnsi" w:hAnsiTheme="minorHAnsi" w:cstheme="minorBidi"/>
          <w:lang w:val="en-AU"/>
        </w:rPr>
        <w:t xml:space="preserve">indicators from MEHRD’s NEAP held constant over a realistic timeframe. </w:t>
      </w:r>
      <w:r w:rsidR="00BB42D6">
        <w:rPr>
          <w:rFonts w:asciiTheme="minorHAnsi" w:eastAsiaTheme="minorHAnsi" w:hAnsiTheme="minorHAnsi" w:cstheme="minorBidi"/>
          <w:lang w:val="en-AU"/>
        </w:rPr>
        <w:t xml:space="preserve">Given the current NEAP expires at the </w:t>
      </w:r>
      <w:r w:rsidR="001667CD">
        <w:rPr>
          <w:rFonts w:asciiTheme="minorHAnsi" w:eastAsiaTheme="minorHAnsi" w:hAnsiTheme="minorHAnsi" w:cstheme="minorBidi"/>
          <w:lang w:val="en-AU"/>
        </w:rPr>
        <w:t xml:space="preserve">end </w:t>
      </w:r>
      <w:r w:rsidR="00BB42D6">
        <w:rPr>
          <w:rFonts w:asciiTheme="minorHAnsi" w:eastAsiaTheme="minorHAnsi" w:hAnsiTheme="minorHAnsi" w:cstheme="minorBidi"/>
          <w:lang w:val="en-AU"/>
        </w:rPr>
        <w:t xml:space="preserve">of 2020 and a new NEAP is under development, early indications on long term indicators from the NEAP Design Team could identify likely indicators. </w:t>
      </w:r>
      <w:r w:rsidRPr="00E57F89">
        <w:rPr>
          <w:rFonts w:asciiTheme="minorHAnsi" w:eastAsiaTheme="minorHAnsi" w:hAnsiTheme="minorHAnsi" w:cstheme="minorBidi"/>
          <w:lang w:val="en-AU"/>
        </w:rPr>
        <w:t xml:space="preserve">This would be especially relevant for Access and Quality indicators that typically take longer to show improvements. </w:t>
      </w:r>
      <w:r w:rsidR="00D72423">
        <w:rPr>
          <w:rFonts w:asciiTheme="minorHAnsi" w:eastAsiaTheme="minorHAnsi" w:hAnsiTheme="minorHAnsi" w:cstheme="minorBidi"/>
          <w:lang w:val="en-AU"/>
        </w:rPr>
        <w:t>The current access and quality indicators appear to be relevant and useful and may just need to shift the agreed targets for each year.</w:t>
      </w:r>
    </w:p>
    <w:p w14:paraId="791050DC" w14:textId="1DA23E9C" w:rsidR="00713EC9" w:rsidRDefault="001A3294" w:rsidP="0015435E">
      <w:pPr>
        <w:pStyle w:val="ListParagraph"/>
        <w:numPr>
          <w:ilvl w:val="0"/>
          <w:numId w:val="26"/>
        </w:numPr>
        <w:spacing w:line="240" w:lineRule="auto"/>
        <w:ind w:hanging="357"/>
        <w:jc w:val="both"/>
        <w:rPr>
          <w:rFonts w:asciiTheme="minorHAnsi" w:eastAsiaTheme="minorHAnsi" w:hAnsiTheme="minorHAnsi" w:cstheme="minorBidi"/>
          <w:lang w:val="en-AU"/>
        </w:rPr>
      </w:pPr>
      <w:r w:rsidRPr="001A3294">
        <w:rPr>
          <w:rFonts w:asciiTheme="minorHAnsi" w:eastAsiaTheme="minorHAnsi" w:hAnsiTheme="minorHAnsi" w:cstheme="minorBidi"/>
          <w:lang w:val="en-AU"/>
        </w:rPr>
        <w:t>Identify 3 or 4 shorter-term annual indicators from MEHRD AWP</w:t>
      </w:r>
      <w:r w:rsidR="004B4FDE">
        <w:rPr>
          <w:rFonts w:asciiTheme="minorHAnsi" w:eastAsiaTheme="minorHAnsi" w:hAnsiTheme="minorHAnsi" w:cstheme="minorBidi"/>
          <w:lang w:val="en-AU"/>
        </w:rPr>
        <w:t xml:space="preserve">, </w:t>
      </w:r>
      <w:r w:rsidR="00FC0016">
        <w:rPr>
          <w:rFonts w:asciiTheme="minorHAnsi" w:eastAsiaTheme="minorHAnsi" w:hAnsiTheme="minorHAnsi" w:cstheme="minorBidi"/>
          <w:lang w:val="en-AU"/>
        </w:rPr>
        <w:t>COVID-19</w:t>
      </w:r>
      <w:r w:rsidR="004B4FDE">
        <w:rPr>
          <w:rFonts w:asciiTheme="minorHAnsi" w:eastAsiaTheme="minorHAnsi" w:hAnsiTheme="minorHAnsi" w:cstheme="minorBidi"/>
          <w:lang w:val="en-AU"/>
        </w:rPr>
        <w:t xml:space="preserve"> Response Plan and Student Continuity Learning Plan</w:t>
      </w:r>
      <w:r w:rsidRPr="001A3294">
        <w:rPr>
          <w:rFonts w:asciiTheme="minorHAnsi" w:eastAsiaTheme="minorHAnsi" w:hAnsiTheme="minorHAnsi" w:cstheme="minorBidi"/>
          <w:lang w:val="en-AU"/>
        </w:rPr>
        <w:t xml:space="preserve">. These annual indicators </w:t>
      </w:r>
      <w:r w:rsidR="004B4FDE">
        <w:rPr>
          <w:rFonts w:asciiTheme="minorHAnsi" w:eastAsiaTheme="minorHAnsi" w:hAnsiTheme="minorHAnsi" w:cstheme="minorBidi"/>
          <w:lang w:val="en-AU"/>
        </w:rPr>
        <w:t xml:space="preserve">should cover access, </w:t>
      </w:r>
      <w:proofErr w:type="gramStart"/>
      <w:r w:rsidR="004B4FDE">
        <w:rPr>
          <w:rFonts w:asciiTheme="minorHAnsi" w:eastAsiaTheme="minorHAnsi" w:hAnsiTheme="minorHAnsi" w:cstheme="minorBidi"/>
          <w:lang w:val="en-AU"/>
        </w:rPr>
        <w:t>quality</w:t>
      </w:r>
      <w:proofErr w:type="gramEnd"/>
      <w:r w:rsidR="004B4FDE">
        <w:rPr>
          <w:rFonts w:asciiTheme="minorHAnsi" w:eastAsiaTheme="minorHAnsi" w:hAnsiTheme="minorHAnsi" w:cstheme="minorBidi"/>
          <w:lang w:val="en-AU"/>
        </w:rPr>
        <w:t xml:space="preserve"> and management areas.</w:t>
      </w:r>
      <w:r w:rsidR="00A6040B">
        <w:rPr>
          <w:rFonts w:asciiTheme="minorHAnsi" w:eastAsiaTheme="minorHAnsi" w:hAnsiTheme="minorHAnsi" w:cstheme="minorBidi"/>
          <w:lang w:val="en-AU"/>
        </w:rPr>
        <w:t xml:space="preserve"> Some examples could be: </w:t>
      </w:r>
    </w:p>
    <w:p w14:paraId="54BF0418" w14:textId="6EF85678" w:rsidR="00713EC9" w:rsidRDefault="00713EC9" w:rsidP="0015435E">
      <w:pPr>
        <w:pStyle w:val="ListParagraph"/>
        <w:numPr>
          <w:ilvl w:val="1"/>
          <w:numId w:val="26"/>
        </w:numPr>
        <w:spacing w:line="240" w:lineRule="auto"/>
        <w:jc w:val="both"/>
        <w:rPr>
          <w:rFonts w:asciiTheme="minorHAnsi" w:eastAsiaTheme="minorHAnsi" w:hAnsiTheme="minorHAnsi" w:cstheme="minorBidi"/>
          <w:lang w:val="en-AU"/>
        </w:rPr>
      </w:pPr>
      <w:r>
        <w:rPr>
          <w:rFonts w:asciiTheme="minorHAnsi" w:eastAsiaTheme="minorHAnsi" w:hAnsiTheme="minorHAnsi" w:cstheme="minorBidi"/>
          <w:lang w:val="en-AU"/>
        </w:rPr>
        <w:t>Improvements in grants payment system (disbursement, retirement, PD implemented for MEHRD and/or schools).</w:t>
      </w:r>
    </w:p>
    <w:p w14:paraId="481A3094" w14:textId="30795EFB" w:rsidR="00713EC9" w:rsidRDefault="00713EC9" w:rsidP="0015435E">
      <w:pPr>
        <w:pStyle w:val="ListParagraph"/>
        <w:numPr>
          <w:ilvl w:val="1"/>
          <w:numId w:val="26"/>
        </w:numPr>
        <w:spacing w:line="240" w:lineRule="auto"/>
        <w:jc w:val="both"/>
        <w:rPr>
          <w:rFonts w:asciiTheme="minorHAnsi" w:eastAsiaTheme="minorHAnsi" w:hAnsiTheme="minorHAnsi" w:cstheme="minorBidi"/>
          <w:lang w:val="en-AU"/>
        </w:rPr>
      </w:pPr>
      <w:r>
        <w:rPr>
          <w:rFonts w:asciiTheme="minorHAnsi" w:eastAsiaTheme="minorHAnsi" w:hAnsiTheme="minorHAnsi" w:cstheme="minorBidi"/>
          <w:lang w:val="en-AU"/>
        </w:rPr>
        <w:t>Improvements in SIG scholarships (development and implementation of manual, M&amp;E, data collection and use).</w:t>
      </w:r>
    </w:p>
    <w:p w14:paraId="3B3D7E4D" w14:textId="2099321E" w:rsidR="00713EC9" w:rsidRDefault="00713EC9" w:rsidP="0015435E">
      <w:pPr>
        <w:pStyle w:val="ListParagraph"/>
        <w:numPr>
          <w:ilvl w:val="1"/>
          <w:numId w:val="26"/>
        </w:numPr>
        <w:spacing w:line="240" w:lineRule="auto"/>
        <w:jc w:val="both"/>
        <w:rPr>
          <w:rFonts w:asciiTheme="minorHAnsi" w:eastAsiaTheme="minorHAnsi" w:hAnsiTheme="minorHAnsi" w:cstheme="minorBidi"/>
          <w:lang w:val="en-AU"/>
        </w:rPr>
      </w:pPr>
      <w:r>
        <w:rPr>
          <w:rFonts w:asciiTheme="minorHAnsi" w:eastAsiaTheme="minorHAnsi" w:hAnsiTheme="minorHAnsi" w:cstheme="minorBidi"/>
          <w:lang w:val="en-AU"/>
        </w:rPr>
        <w:t xml:space="preserve">Implementation of WASH activities within the </w:t>
      </w:r>
      <w:r w:rsidR="00FC0016">
        <w:rPr>
          <w:rFonts w:asciiTheme="minorHAnsi" w:eastAsiaTheme="minorHAnsi" w:hAnsiTheme="minorHAnsi" w:cstheme="minorBidi"/>
          <w:lang w:val="en-AU"/>
        </w:rPr>
        <w:t>COVID-19</w:t>
      </w:r>
      <w:r>
        <w:rPr>
          <w:rFonts w:asciiTheme="minorHAnsi" w:eastAsiaTheme="minorHAnsi" w:hAnsiTheme="minorHAnsi" w:cstheme="minorBidi"/>
          <w:lang w:val="en-AU"/>
        </w:rPr>
        <w:t xml:space="preserve"> Response Plan.</w:t>
      </w:r>
    </w:p>
    <w:p w14:paraId="4757F93C" w14:textId="38B06CD9" w:rsidR="00713EC9" w:rsidRDefault="00713EC9" w:rsidP="0015435E">
      <w:pPr>
        <w:pStyle w:val="ListParagraph"/>
        <w:numPr>
          <w:ilvl w:val="1"/>
          <w:numId w:val="26"/>
        </w:numPr>
        <w:spacing w:line="240" w:lineRule="auto"/>
        <w:jc w:val="both"/>
        <w:rPr>
          <w:rFonts w:asciiTheme="minorHAnsi" w:eastAsiaTheme="minorHAnsi" w:hAnsiTheme="minorHAnsi" w:cstheme="minorBidi"/>
          <w:lang w:val="en-AU"/>
        </w:rPr>
      </w:pPr>
      <w:r>
        <w:rPr>
          <w:rFonts w:asciiTheme="minorHAnsi" w:eastAsiaTheme="minorHAnsi" w:hAnsiTheme="minorHAnsi" w:cstheme="minorBidi"/>
          <w:lang w:val="en-AU"/>
        </w:rPr>
        <w:t>Development and use of community-based learning opportunities</w:t>
      </w:r>
      <w:r w:rsidR="00A524F0">
        <w:rPr>
          <w:rFonts w:asciiTheme="minorHAnsi" w:eastAsiaTheme="minorHAnsi" w:hAnsiTheme="minorHAnsi" w:cstheme="minorBidi"/>
          <w:lang w:val="en-AU"/>
        </w:rPr>
        <w:t xml:space="preserve"> (online, radio, newspaper)</w:t>
      </w:r>
      <w:r>
        <w:rPr>
          <w:rFonts w:asciiTheme="minorHAnsi" w:eastAsiaTheme="minorHAnsi" w:hAnsiTheme="minorHAnsi" w:cstheme="minorBidi"/>
          <w:lang w:val="en-AU"/>
        </w:rPr>
        <w:t>.</w:t>
      </w:r>
    </w:p>
    <w:p w14:paraId="468424EA" w14:textId="360F68BE" w:rsidR="00A524F0" w:rsidRPr="00D72423" w:rsidRDefault="00A524F0" w:rsidP="0015435E">
      <w:pPr>
        <w:pStyle w:val="ListParagraph"/>
        <w:numPr>
          <w:ilvl w:val="1"/>
          <w:numId w:val="26"/>
        </w:numPr>
        <w:spacing w:line="240" w:lineRule="auto"/>
        <w:jc w:val="both"/>
        <w:rPr>
          <w:rFonts w:asciiTheme="minorHAnsi" w:eastAsiaTheme="minorHAnsi" w:hAnsiTheme="minorHAnsi" w:cstheme="minorBidi"/>
          <w:lang w:val="en-AU"/>
        </w:rPr>
      </w:pPr>
      <w:r>
        <w:rPr>
          <w:rFonts w:asciiTheme="minorHAnsi" w:eastAsiaTheme="minorHAnsi" w:hAnsiTheme="minorHAnsi" w:cstheme="minorBidi"/>
          <w:lang w:val="en-AU"/>
        </w:rPr>
        <w:t>Development and implementation of EA improvement plans.</w:t>
      </w:r>
    </w:p>
    <w:p w14:paraId="449515C2" w14:textId="168BD810" w:rsidR="00404A40" w:rsidRPr="00404A40" w:rsidRDefault="00404A40" w:rsidP="0015435E">
      <w:pPr>
        <w:spacing w:after="0" w:line="240" w:lineRule="auto"/>
        <w:ind w:left="3"/>
        <w:jc w:val="both"/>
        <w:rPr>
          <w:rFonts w:asciiTheme="minorHAnsi" w:eastAsiaTheme="minorHAnsi" w:hAnsiTheme="minorHAnsi" w:cstheme="minorBidi"/>
          <w:b/>
          <w:bCs/>
          <w:i/>
          <w:iCs/>
          <w:lang w:val="en-AU"/>
        </w:rPr>
      </w:pPr>
      <w:r w:rsidRPr="00404A40">
        <w:rPr>
          <w:rFonts w:asciiTheme="minorHAnsi" w:eastAsiaTheme="minorHAnsi" w:hAnsiTheme="minorHAnsi" w:cstheme="minorBidi"/>
          <w:b/>
          <w:bCs/>
          <w:i/>
          <w:iCs/>
          <w:lang w:val="en-AU"/>
        </w:rPr>
        <w:t xml:space="preserve">Interdependency and </w:t>
      </w:r>
      <w:r>
        <w:rPr>
          <w:rFonts w:asciiTheme="minorHAnsi" w:eastAsiaTheme="minorHAnsi" w:hAnsiTheme="minorHAnsi" w:cstheme="minorBidi"/>
          <w:b/>
          <w:bCs/>
          <w:i/>
          <w:iCs/>
          <w:lang w:val="en-AU"/>
        </w:rPr>
        <w:t>Sequencing</w:t>
      </w:r>
      <w:r w:rsidRPr="00404A40">
        <w:rPr>
          <w:rFonts w:asciiTheme="minorHAnsi" w:eastAsiaTheme="minorHAnsi" w:hAnsiTheme="minorHAnsi" w:cstheme="minorBidi"/>
          <w:b/>
          <w:bCs/>
          <w:i/>
          <w:iCs/>
          <w:lang w:val="en-AU"/>
        </w:rPr>
        <w:t xml:space="preserve"> of Indicators</w:t>
      </w:r>
    </w:p>
    <w:p w14:paraId="303D9924" w14:textId="327DAB70" w:rsidR="00E57F89" w:rsidRPr="00F517D5" w:rsidRDefault="00F517D5" w:rsidP="0015435E">
      <w:pPr>
        <w:pStyle w:val="Bodytext11"/>
        <w:numPr>
          <w:ilvl w:val="0"/>
          <w:numId w:val="27"/>
        </w:numPr>
        <w:rPr>
          <w:lang w:val="en-AU"/>
        </w:rPr>
      </w:pPr>
      <w:r>
        <w:t>I</w:t>
      </w:r>
      <w:r w:rsidR="00404A40">
        <w:t xml:space="preserve">nterdependent indicators are necessary and should perhaps </w:t>
      </w:r>
      <w:r>
        <w:t>be sequenced</w:t>
      </w:r>
      <w:r w:rsidR="00404A40">
        <w:t xml:space="preserve"> over time to achieve a target. For example, the National Educational Bill is linked to other pieces of legislation necessary to implement the Bill such as the Education Regulations and Administrative Instructions.</w:t>
      </w:r>
      <w:r w:rsidR="00BB42D6" w:rsidRPr="00BB42D6">
        <w:rPr>
          <w:rFonts w:eastAsiaTheme="minorHAnsi" w:cstheme="minorBidi"/>
          <w:lang w:val="en-AU"/>
        </w:rPr>
        <w:t xml:space="preserve"> </w:t>
      </w:r>
      <w:r w:rsidR="00BB42D6" w:rsidRPr="00E57F89">
        <w:rPr>
          <w:rFonts w:eastAsiaTheme="minorHAnsi" w:cstheme="minorBidi"/>
          <w:lang w:val="en-AU"/>
        </w:rPr>
        <w:t xml:space="preserve">Interdependent indicators </w:t>
      </w:r>
      <w:r w:rsidR="001667CD">
        <w:rPr>
          <w:rFonts w:eastAsiaTheme="minorHAnsi" w:cstheme="minorBidi"/>
          <w:lang w:val="en-AU"/>
        </w:rPr>
        <w:t>should</w:t>
      </w:r>
      <w:r w:rsidR="00BB42D6" w:rsidRPr="00E57F89">
        <w:rPr>
          <w:rFonts w:eastAsiaTheme="minorHAnsi" w:cstheme="minorBidi"/>
          <w:lang w:val="en-AU"/>
        </w:rPr>
        <w:t xml:space="preserve"> be identified early and </w:t>
      </w:r>
      <w:r>
        <w:rPr>
          <w:rFonts w:eastAsiaTheme="minorHAnsi" w:cstheme="minorBidi"/>
          <w:lang w:val="en-AU"/>
        </w:rPr>
        <w:t>sequenced</w:t>
      </w:r>
      <w:r w:rsidR="00BB42D6" w:rsidRPr="00E57F89">
        <w:rPr>
          <w:rFonts w:eastAsiaTheme="minorHAnsi" w:cstheme="minorBidi"/>
          <w:lang w:val="en-AU"/>
        </w:rPr>
        <w:t>. Payment could be graduated over a 3 to 4-year period (in line with the new ESSP design), with a percentage paid each year on achievements towards a longer-term target. Indicators could track trends over time to include teacher and student performance, transition rates, numbers of certified teachers, numbers of teachers paid on time.</w:t>
      </w:r>
    </w:p>
    <w:p w14:paraId="1DFEB96B" w14:textId="7C99325E" w:rsidR="008C520E" w:rsidRPr="008C520E" w:rsidRDefault="008C520E" w:rsidP="0015435E">
      <w:pPr>
        <w:spacing w:after="0" w:line="240" w:lineRule="auto"/>
        <w:ind w:left="3"/>
        <w:jc w:val="both"/>
        <w:rPr>
          <w:rFonts w:asciiTheme="minorHAnsi" w:eastAsiaTheme="minorHAnsi" w:hAnsiTheme="minorHAnsi" w:cstheme="minorBidi"/>
          <w:b/>
          <w:bCs/>
          <w:i/>
          <w:iCs/>
          <w:lang w:val="en-AU"/>
        </w:rPr>
      </w:pPr>
      <w:r w:rsidRPr="008C520E">
        <w:rPr>
          <w:rFonts w:asciiTheme="minorHAnsi" w:eastAsiaTheme="minorHAnsi" w:hAnsiTheme="minorHAnsi" w:cstheme="minorBidi"/>
          <w:b/>
          <w:bCs/>
          <w:i/>
          <w:iCs/>
          <w:lang w:val="en-AU"/>
        </w:rPr>
        <w:t xml:space="preserve">Recognise and respond </w:t>
      </w:r>
      <w:r w:rsidR="006D0309">
        <w:rPr>
          <w:rFonts w:asciiTheme="minorHAnsi" w:eastAsiaTheme="minorHAnsi" w:hAnsiTheme="minorHAnsi" w:cstheme="minorBidi"/>
          <w:b/>
          <w:bCs/>
          <w:i/>
          <w:iCs/>
          <w:lang w:val="en-AU"/>
        </w:rPr>
        <w:t>realistically within</w:t>
      </w:r>
      <w:r w:rsidRPr="008C520E">
        <w:rPr>
          <w:rFonts w:asciiTheme="minorHAnsi" w:eastAsiaTheme="minorHAnsi" w:hAnsiTheme="minorHAnsi" w:cstheme="minorBidi"/>
          <w:b/>
          <w:bCs/>
          <w:i/>
          <w:iCs/>
          <w:lang w:val="en-AU"/>
        </w:rPr>
        <w:t xml:space="preserve"> the current context</w:t>
      </w:r>
    </w:p>
    <w:p w14:paraId="03D32A90" w14:textId="33429FF1" w:rsidR="008159DD" w:rsidRPr="008159DD" w:rsidRDefault="008159DD" w:rsidP="0015435E">
      <w:pPr>
        <w:pStyle w:val="ListParagraph"/>
        <w:numPr>
          <w:ilvl w:val="0"/>
          <w:numId w:val="26"/>
        </w:numPr>
        <w:spacing w:after="0" w:line="240" w:lineRule="auto"/>
        <w:ind w:hanging="357"/>
        <w:jc w:val="both"/>
        <w:rPr>
          <w:rFonts w:asciiTheme="minorHAnsi" w:eastAsiaTheme="minorHAnsi" w:hAnsiTheme="minorHAnsi" w:cstheme="minorBidi"/>
          <w:lang w:val="en-AU"/>
        </w:rPr>
      </w:pPr>
      <w:r w:rsidRPr="008159DD">
        <w:rPr>
          <w:rFonts w:asciiTheme="minorHAnsi" w:eastAsiaTheme="minorHAnsi" w:hAnsiTheme="minorHAnsi" w:cstheme="minorBidi"/>
          <w:lang w:val="en-AU"/>
        </w:rPr>
        <w:t xml:space="preserve">MEHRD should continue to play a lead role in determining targets, in collaboration with partners. Contextual considerations when setting indicators for </w:t>
      </w:r>
      <w:r w:rsidR="00637CE2">
        <w:rPr>
          <w:rFonts w:asciiTheme="minorHAnsi" w:eastAsiaTheme="minorHAnsi" w:hAnsiTheme="minorHAnsi" w:cstheme="minorBidi"/>
          <w:lang w:val="en-AU"/>
        </w:rPr>
        <w:t xml:space="preserve">this year and </w:t>
      </w:r>
      <w:r w:rsidRPr="008159DD">
        <w:rPr>
          <w:rFonts w:asciiTheme="minorHAnsi" w:eastAsiaTheme="minorHAnsi" w:hAnsiTheme="minorHAnsi" w:cstheme="minorBidi"/>
          <w:lang w:val="en-AU"/>
        </w:rPr>
        <w:t>next year to include:</w:t>
      </w:r>
    </w:p>
    <w:p w14:paraId="571478DB" w14:textId="7F18139C" w:rsidR="008159DD" w:rsidRPr="008159DD" w:rsidRDefault="008159DD" w:rsidP="0015435E">
      <w:pPr>
        <w:pStyle w:val="ListParagraph"/>
        <w:numPr>
          <w:ilvl w:val="1"/>
          <w:numId w:val="25"/>
        </w:numPr>
        <w:spacing w:after="0" w:line="240" w:lineRule="auto"/>
        <w:ind w:hanging="357"/>
        <w:jc w:val="both"/>
        <w:rPr>
          <w:rFonts w:asciiTheme="minorHAnsi" w:eastAsiaTheme="minorHAnsi" w:hAnsiTheme="minorHAnsi" w:cstheme="minorBidi"/>
          <w:lang w:val="en-AU"/>
        </w:rPr>
      </w:pPr>
      <w:r w:rsidRPr="008159DD">
        <w:rPr>
          <w:rFonts w:asciiTheme="minorHAnsi" w:eastAsiaTheme="minorHAnsi" w:hAnsiTheme="minorHAnsi" w:cstheme="minorBidi"/>
          <w:lang w:val="en-AU"/>
        </w:rPr>
        <w:t xml:space="preserve">The </w:t>
      </w:r>
      <w:r w:rsidR="00FC0016">
        <w:rPr>
          <w:rFonts w:asciiTheme="minorHAnsi" w:eastAsiaTheme="minorHAnsi" w:hAnsiTheme="minorHAnsi" w:cstheme="minorBidi"/>
          <w:lang w:val="en-AU"/>
        </w:rPr>
        <w:t>COVID-19</w:t>
      </w:r>
      <w:r w:rsidRPr="008159DD">
        <w:rPr>
          <w:rFonts w:asciiTheme="minorHAnsi" w:eastAsiaTheme="minorHAnsi" w:hAnsiTheme="minorHAnsi" w:cstheme="minorBidi"/>
          <w:lang w:val="en-AU"/>
        </w:rPr>
        <w:t xml:space="preserve"> context – (potential for school closures, constraints to delivering AWP activities)</w:t>
      </w:r>
    </w:p>
    <w:p w14:paraId="476D44C7" w14:textId="1BFD5DD4" w:rsidR="008159DD" w:rsidRPr="008159DD" w:rsidRDefault="008159DD" w:rsidP="0015435E">
      <w:pPr>
        <w:pStyle w:val="ListParagraph"/>
        <w:numPr>
          <w:ilvl w:val="1"/>
          <w:numId w:val="25"/>
        </w:numPr>
        <w:spacing w:after="0" w:line="240" w:lineRule="auto"/>
        <w:ind w:hanging="357"/>
        <w:jc w:val="both"/>
        <w:rPr>
          <w:rFonts w:asciiTheme="minorHAnsi" w:eastAsiaTheme="minorHAnsi" w:hAnsiTheme="minorHAnsi" w:cstheme="minorBidi"/>
          <w:lang w:val="en-AU"/>
        </w:rPr>
      </w:pPr>
      <w:r w:rsidRPr="008159DD">
        <w:rPr>
          <w:rFonts w:asciiTheme="minorHAnsi" w:eastAsiaTheme="minorHAnsi" w:hAnsiTheme="minorHAnsi" w:cstheme="minorBidi"/>
          <w:lang w:val="en-AU"/>
        </w:rPr>
        <w:t xml:space="preserve">Strategy and planning processes in 2020: </w:t>
      </w:r>
      <w:proofErr w:type="gramStart"/>
      <w:r w:rsidRPr="008159DD">
        <w:rPr>
          <w:rFonts w:asciiTheme="minorHAnsi" w:eastAsiaTheme="minorHAnsi" w:hAnsiTheme="minorHAnsi" w:cstheme="minorBidi"/>
          <w:lang w:val="en-AU"/>
        </w:rPr>
        <w:t>i.e.</w:t>
      </w:r>
      <w:proofErr w:type="gramEnd"/>
      <w:r w:rsidRPr="008159DD">
        <w:rPr>
          <w:rFonts w:asciiTheme="minorHAnsi" w:eastAsiaTheme="minorHAnsi" w:hAnsiTheme="minorHAnsi" w:cstheme="minorBidi"/>
          <w:lang w:val="en-AU"/>
        </w:rPr>
        <w:t xml:space="preserve"> planning and reprioritisation processes in the </w:t>
      </w:r>
      <w:r w:rsidR="00FC0016">
        <w:rPr>
          <w:rFonts w:asciiTheme="minorHAnsi" w:eastAsiaTheme="minorHAnsi" w:hAnsiTheme="minorHAnsi" w:cstheme="minorBidi"/>
          <w:lang w:val="en-AU"/>
        </w:rPr>
        <w:t>COVID-19</w:t>
      </w:r>
      <w:r w:rsidRPr="008159DD">
        <w:rPr>
          <w:rFonts w:asciiTheme="minorHAnsi" w:eastAsiaTheme="minorHAnsi" w:hAnsiTheme="minorHAnsi" w:cstheme="minorBidi"/>
          <w:lang w:val="en-AU"/>
        </w:rPr>
        <w:t xml:space="preserve"> context – including learning continuity planning, the next NEAP development.</w:t>
      </w:r>
    </w:p>
    <w:p w14:paraId="0106FAE1" w14:textId="6E2DC4F6" w:rsidR="008159DD" w:rsidRDefault="008159DD" w:rsidP="0015435E">
      <w:pPr>
        <w:pStyle w:val="ListParagraph"/>
        <w:numPr>
          <w:ilvl w:val="1"/>
          <w:numId w:val="25"/>
        </w:numPr>
        <w:spacing w:after="0" w:line="240" w:lineRule="auto"/>
        <w:ind w:hanging="357"/>
        <w:jc w:val="both"/>
        <w:rPr>
          <w:rFonts w:asciiTheme="minorHAnsi" w:eastAsiaTheme="minorHAnsi" w:hAnsiTheme="minorHAnsi" w:cstheme="minorBidi"/>
          <w:lang w:val="en-AU"/>
        </w:rPr>
      </w:pPr>
      <w:r>
        <w:rPr>
          <w:rFonts w:asciiTheme="minorHAnsi" w:eastAsiaTheme="minorHAnsi" w:hAnsiTheme="minorHAnsi" w:cstheme="minorBidi"/>
          <w:lang w:val="en-AU"/>
        </w:rPr>
        <w:t xml:space="preserve">Within the </w:t>
      </w:r>
      <w:r w:rsidR="00FC0016">
        <w:rPr>
          <w:rFonts w:asciiTheme="minorHAnsi" w:eastAsiaTheme="minorHAnsi" w:hAnsiTheme="minorHAnsi" w:cstheme="minorBidi"/>
          <w:lang w:val="en-AU"/>
        </w:rPr>
        <w:t>COVID-19</w:t>
      </w:r>
      <w:r w:rsidRPr="008159DD">
        <w:rPr>
          <w:rFonts w:asciiTheme="minorHAnsi" w:eastAsiaTheme="minorHAnsi" w:hAnsiTheme="minorHAnsi" w:cstheme="minorBidi"/>
          <w:lang w:val="en-AU"/>
        </w:rPr>
        <w:t xml:space="preserve"> context, PLA could be used to incentivise sustained focus on important priority areas that could be at risk of being overlooked </w:t>
      </w:r>
      <w:r w:rsidR="00921A3C" w:rsidRPr="008159DD">
        <w:rPr>
          <w:rFonts w:asciiTheme="minorHAnsi" w:eastAsiaTheme="minorHAnsi" w:hAnsiTheme="minorHAnsi" w:cstheme="minorBidi"/>
          <w:lang w:val="en-AU"/>
        </w:rPr>
        <w:t>because of</w:t>
      </w:r>
      <w:r w:rsidRPr="008159DD">
        <w:rPr>
          <w:rFonts w:asciiTheme="minorHAnsi" w:eastAsiaTheme="minorHAnsi" w:hAnsiTheme="minorHAnsi" w:cstheme="minorBidi"/>
          <w:lang w:val="en-AU"/>
        </w:rPr>
        <w:t xml:space="preserve"> competing </w:t>
      </w:r>
      <w:r w:rsidR="00FC0016">
        <w:rPr>
          <w:rFonts w:asciiTheme="minorHAnsi" w:eastAsiaTheme="minorHAnsi" w:hAnsiTheme="minorHAnsi" w:cstheme="minorBidi"/>
          <w:lang w:val="en-AU"/>
        </w:rPr>
        <w:t>COVID-19</w:t>
      </w:r>
      <w:r w:rsidRPr="008159DD">
        <w:rPr>
          <w:rFonts w:asciiTheme="minorHAnsi" w:eastAsiaTheme="minorHAnsi" w:hAnsiTheme="minorHAnsi" w:cstheme="minorBidi"/>
          <w:lang w:val="en-AU"/>
        </w:rPr>
        <w:t xml:space="preserve"> related priorities. Possibly a consideration for 2021 targets too.</w:t>
      </w:r>
    </w:p>
    <w:p w14:paraId="5210248D" w14:textId="673B879E" w:rsidR="00921A3C" w:rsidRPr="00FD2597" w:rsidRDefault="00FD2597" w:rsidP="0015435E">
      <w:pPr>
        <w:pStyle w:val="ListParagraph"/>
        <w:numPr>
          <w:ilvl w:val="1"/>
          <w:numId w:val="25"/>
        </w:numPr>
        <w:spacing w:line="240" w:lineRule="auto"/>
        <w:ind w:hanging="357"/>
        <w:jc w:val="both"/>
        <w:rPr>
          <w:rFonts w:asciiTheme="minorHAnsi" w:eastAsiaTheme="minorHAnsi" w:hAnsiTheme="minorHAnsi" w:cstheme="minorBidi"/>
          <w:lang w:val="en-AU"/>
        </w:rPr>
      </w:pPr>
      <w:r w:rsidRPr="00FD2597">
        <w:rPr>
          <w:rFonts w:asciiTheme="minorHAnsi" w:eastAsiaTheme="minorHAnsi" w:hAnsiTheme="minorHAnsi" w:cstheme="minorBidi"/>
          <w:lang w:val="en-AU"/>
        </w:rPr>
        <w:t>SIG budget constraints had a significant impact on MEHRD since end of March so this needs to be considered.</w:t>
      </w:r>
      <w:r>
        <w:rPr>
          <w:rFonts w:asciiTheme="minorHAnsi" w:eastAsiaTheme="minorHAnsi" w:hAnsiTheme="minorHAnsi" w:cstheme="minorBidi"/>
          <w:lang w:val="en-AU"/>
        </w:rPr>
        <w:t xml:space="preserve"> </w:t>
      </w:r>
      <w:r w:rsidR="00921A3C" w:rsidRPr="00FD2597">
        <w:rPr>
          <w:rFonts w:asciiTheme="minorHAnsi" w:eastAsiaTheme="minorHAnsi" w:hAnsiTheme="minorHAnsi" w:cstheme="minorBidi"/>
          <w:lang w:val="en-AU"/>
        </w:rPr>
        <w:t xml:space="preserve">SIG forecast GDP has slumped this year and </w:t>
      </w:r>
      <w:r w:rsidR="001667CD">
        <w:rPr>
          <w:rFonts w:asciiTheme="minorHAnsi" w:eastAsiaTheme="minorHAnsi" w:hAnsiTheme="minorHAnsi" w:cstheme="minorBidi"/>
          <w:lang w:val="en-AU"/>
        </w:rPr>
        <w:t xml:space="preserve">this is </w:t>
      </w:r>
      <w:r w:rsidR="00921A3C" w:rsidRPr="00FD2597">
        <w:rPr>
          <w:rFonts w:asciiTheme="minorHAnsi" w:eastAsiaTheme="minorHAnsi" w:hAnsiTheme="minorHAnsi" w:cstheme="minorBidi"/>
          <w:lang w:val="en-AU"/>
        </w:rPr>
        <w:t xml:space="preserve">likely to have an immediate and long-term impact on budget support to education. MEHRD was directed by government to prioritise all spending towards </w:t>
      </w:r>
      <w:r w:rsidR="00FC0016">
        <w:rPr>
          <w:rFonts w:asciiTheme="minorHAnsi" w:eastAsiaTheme="minorHAnsi" w:hAnsiTheme="minorHAnsi" w:cstheme="minorBidi"/>
          <w:lang w:val="en-AU"/>
        </w:rPr>
        <w:t>COVID-19</w:t>
      </w:r>
      <w:r w:rsidR="00921A3C" w:rsidRPr="00FD2597">
        <w:rPr>
          <w:rFonts w:asciiTheme="minorHAnsi" w:eastAsiaTheme="minorHAnsi" w:hAnsiTheme="minorHAnsi" w:cstheme="minorBidi"/>
          <w:lang w:val="en-AU"/>
        </w:rPr>
        <w:t xml:space="preserve"> activities</w:t>
      </w:r>
      <w:r w:rsidRPr="00FD2597">
        <w:rPr>
          <w:rFonts w:asciiTheme="minorHAnsi" w:eastAsiaTheme="minorHAnsi" w:hAnsiTheme="minorHAnsi" w:cstheme="minorBidi"/>
          <w:lang w:val="en-AU"/>
        </w:rPr>
        <w:t>.</w:t>
      </w:r>
    </w:p>
    <w:p w14:paraId="04DF616E" w14:textId="1E486EC3" w:rsidR="008C520E" w:rsidRPr="008C520E" w:rsidRDefault="008C520E" w:rsidP="0015435E">
      <w:pPr>
        <w:spacing w:after="0" w:line="240" w:lineRule="auto"/>
        <w:ind w:left="3"/>
        <w:jc w:val="both"/>
        <w:rPr>
          <w:rFonts w:asciiTheme="minorHAnsi" w:eastAsiaTheme="minorHAnsi" w:hAnsiTheme="minorHAnsi" w:cstheme="minorBidi"/>
          <w:b/>
          <w:bCs/>
          <w:i/>
          <w:iCs/>
          <w:lang w:val="en-AU"/>
        </w:rPr>
      </w:pPr>
      <w:r w:rsidRPr="008C520E">
        <w:rPr>
          <w:rFonts w:asciiTheme="minorHAnsi" w:eastAsiaTheme="minorHAnsi" w:hAnsiTheme="minorHAnsi" w:cstheme="minorBidi"/>
          <w:b/>
          <w:bCs/>
          <w:i/>
          <w:iCs/>
          <w:lang w:val="en-AU"/>
        </w:rPr>
        <w:t xml:space="preserve">Use of </w:t>
      </w:r>
      <w:r w:rsidR="00FC0016">
        <w:rPr>
          <w:rFonts w:asciiTheme="minorHAnsi" w:eastAsiaTheme="minorHAnsi" w:hAnsiTheme="minorHAnsi" w:cstheme="minorBidi"/>
          <w:b/>
          <w:bCs/>
          <w:i/>
          <w:iCs/>
          <w:lang w:val="en-AU"/>
        </w:rPr>
        <w:t>COVID-19</w:t>
      </w:r>
      <w:r w:rsidRPr="008C520E">
        <w:rPr>
          <w:rFonts w:asciiTheme="minorHAnsi" w:eastAsiaTheme="minorHAnsi" w:hAnsiTheme="minorHAnsi" w:cstheme="minorBidi"/>
          <w:b/>
          <w:bCs/>
          <w:i/>
          <w:iCs/>
          <w:lang w:val="en-AU"/>
        </w:rPr>
        <w:t xml:space="preserve"> Scenario Response Plan</w:t>
      </w:r>
    </w:p>
    <w:p w14:paraId="170D4DA4" w14:textId="1764AF13" w:rsidR="003811AB" w:rsidRDefault="00D47740" w:rsidP="0015435E">
      <w:pPr>
        <w:pStyle w:val="ListParagraph"/>
        <w:numPr>
          <w:ilvl w:val="0"/>
          <w:numId w:val="23"/>
        </w:numPr>
        <w:spacing w:line="240" w:lineRule="auto"/>
        <w:ind w:hanging="357"/>
        <w:jc w:val="both"/>
        <w:rPr>
          <w:rFonts w:asciiTheme="minorHAnsi" w:eastAsiaTheme="minorHAnsi" w:hAnsiTheme="minorHAnsi" w:cstheme="minorBidi"/>
          <w:lang w:val="en-AU"/>
        </w:rPr>
      </w:pPr>
      <w:r w:rsidRPr="00BE1A7D">
        <w:rPr>
          <w:rFonts w:asciiTheme="minorHAnsi" w:eastAsiaTheme="minorHAnsi" w:hAnsiTheme="minorHAnsi" w:cstheme="minorBidi"/>
          <w:lang w:val="en-AU"/>
        </w:rPr>
        <w:t xml:space="preserve">Setting </w:t>
      </w:r>
      <w:r w:rsidR="00075333" w:rsidRPr="00BE1A7D">
        <w:rPr>
          <w:rFonts w:asciiTheme="minorHAnsi" w:eastAsiaTheme="minorHAnsi" w:hAnsiTheme="minorHAnsi" w:cstheme="minorBidi"/>
          <w:lang w:val="en-AU"/>
        </w:rPr>
        <w:t xml:space="preserve">and working towards </w:t>
      </w:r>
      <w:r w:rsidRPr="00BE1A7D">
        <w:rPr>
          <w:rFonts w:asciiTheme="minorHAnsi" w:eastAsiaTheme="minorHAnsi" w:hAnsiTheme="minorHAnsi" w:cstheme="minorBidi"/>
          <w:lang w:val="en-AU"/>
        </w:rPr>
        <w:t>targets for 2020 is difficult with</w:t>
      </w:r>
      <w:r w:rsidR="00B30931" w:rsidRPr="00BE1A7D">
        <w:rPr>
          <w:rFonts w:asciiTheme="minorHAnsi" w:eastAsiaTheme="minorHAnsi" w:hAnsiTheme="minorHAnsi" w:cstheme="minorBidi"/>
          <w:lang w:val="en-AU"/>
        </w:rPr>
        <w:t xml:space="preserve">in the </w:t>
      </w:r>
      <w:r w:rsidR="00FC0016">
        <w:rPr>
          <w:rFonts w:asciiTheme="minorHAnsi" w:eastAsiaTheme="minorHAnsi" w:hAnsiTheme="minorHAnsi" w:cstheme="minorBidi"/>
          <w:lang w:val="en-AU"/>
        </w:rPr>
        <w:t>COVID-19</w:t>
      </w:r>
      <w:r w:rsidR="00B30931" w:rsidRPr="00BE1A7D">
        <w:rPr>
          <w:rFonts w:asciiTheme="minorHAnsi" w:eastAsiaTheme="minorHAnsi" w:hAnsiTheme="minorHAnsi" w:cstheme="minorBidi"/>
          <w:lang w:val="en-AU"/>
        </w:rPr>
        <w:t xml:space="preserve"> context</w:t>
      </w:r>
      <w:r w:rsidRPr="00BE1A7D">
        <w:rPr>
          <w:rFonts w:asciiTheme="minorHAnsi" w:eastAsiaTheme="minorHAnsi" w:hAnsiTheme="minorHAnsi" w:cstheme="minorBidi"/>
          <w:lang w:val="en-AU"/>
        </w:rPr>
        <w:t xml:space="preserve">. </w:t>
      </w:r>
      <w:r w:rsidR="00BE1A7D" w:rsidRPr="00BE1A7D">
        <w:rPr>
          <w:rFonts w:asciiTheme="minorHAnsi" w:eastAsiaTheme="minorHAnsi" w:hAnsiTheme="minorHAnsi" w:cstheme="minorBidi"/>
          <w:lang w:val="en-AU"/>
        </w:rPr>
        <w:t xml:space="preserve">Due to the significant impact of the </w:t>
      </w:r>
      <w:r w:rsidR="00FC0016">
        <w:rPr>
          <w:rFonts w:asciiTheme="minorHAnsi" w:eastAsiaTheme="minorHAnsi" w:hAnsiTheme="minorHAnsi" w:cstheme="minorBidi"/>
          <w:lang w:val="en-AU"/>
        </w:rPr>
        <w:t>COVID-19</w:t>
      </w:r>
      <w:r w:rsidR="00BE1A7D" w:rsidRPr="00BE1A7D">
        <w:rPr>
          <w:rFonts w:asciiTheme="minorHAnsi" w:eastAsiaTheme="minorHAnsi" w:hAnsiTheme="minorHAnsi" w:cstheme="minorBidi"/>
          <w:lang w:val="en-AU"/>
        </w:rPr>
        <w:t xml:space="preserve"> there should be some measure of MEHRDs responsiveness and adaptability to this changing condition. </w:t>
      </w:r>
      <w:r w:rsidR="00E17667">
        <w:rPr>
          <w:rFonts w:asciiTheme="minorHAnsi" w:eastAsiaTheme="minorHAnsi" w:hAnsiTheme="minorHAnsi" w:cstheme="minorBidi"/>
          <w:lang w:val="en-AU"/>
        </w:rPr>
        <w:t>T</w:t>
      </w:r>
      <w:r w:rsidR="00E17667" w:rsidRPr="00BE1A7D">
        <w:rPr>
          <w:rFonts w:asciiTheme="minorHAnsi" w:eastAsiaTheme="minorHAnsi" w:hAnsiTheme="minorHAnsi" w:cstheme="minorBidi"/>
          <w:lang w:val="en-AU"/>
        </w:rPr>
        <w:t xml:space="preserve">he MEHRD </w:t>
      </w:r>
      <w:r w:rsidR="00FC0016">
        <w:rPr>
          <w:rFonts w:asciiTheme="minorHAnsi" w:eastAsiaTheme="minorHAnsi" w:hAnsiTheme="minorHAnsi" w:cstheme="minorBidi"/>
          <w:lang w:val="en-AU"/>
        </w:rPr>
        <w:t>COVID-19</w:t>
      </w:r>
      <w:r w:rsidR="00E17667" w:rsidRPr="00BE1A7D">
        <w:rPr>
          <w:rFonts w:asciiTheme="minorHAnsi" w:eastAsiaTheme="minorHAnsi" w:hAnsiTheme="minorHAnsi" w:cstheme="minorBidi"/>
          <w:lang w:val="en-AU"/>
        </w:rPr>
        <w:t xml:space="preserve"> Scenario Response </w:t>
      </w:r>
      <w:r w:rsidR="00413324">
        <w:rPr>
          <w:rFonts w:asciiTheme="minorHAnsi" w:eastAsiaTheme="minorHAnsi" w:hAnsiTheme="minorHAnsi" w:cstheme="minorBidi"/>
          <w:lang w:val="en-AU"/>
        </w:rPr>
        <w:t>P</w:t>
      </w:r>
      <w:r w:rsidR="00E17667" w:rsidRPr="00BE1A7D">
        <w:rPr>
          <w:rFonts w:asciiTheme="minorHAnsi" w:eastAsiaTheme="minorHAnsi" w:hAnsiTheme="minorHAnsi" w:cstheme="minorBidi"/>
          <w:lang w:val="en-AU"/>
        </w:rPr>
        <w:t>lan may provide some goals/activities that could be tracked</w:t>
      </w:r>
      <w:r w:rsidR="00E17667">
        <w:rPr>
          <w:rFonts w:asciiTheme="minorHAnsi" w:eastAsiaTheme="minorHAnsi" w:hAnsiTheme="minorHAnsi" w:cstheme="minorBidi"/>
          <w:lang w:val="en-AU"/>
        </w:rPr>
        <w:t>.</w:t>
      </w:r>
    </w:p>
    <w:p w14:paraId="3046CAFD" w14:textId="63493196" w:rsidR="008C520E" w:rsidRPr="008C520E" w:rsidRDefault="008C520E" w:rsidP="0015435E">
      <w:pPr>
        <w:spacing w:after="0" w:line="240" w:lineRule="auto"/>
        <w:ind w:left="3"/>
        <w:jc w:val="both"/>
        <w:rPr>
          <w:rFonts w:asciiTheme="minorHAnsi" w:eastAsiaTheme="minorHAnsi" w:hAnsiTheme="minorHAnsi" w:cstheme="minorBidi"/>
          <w:b/>
          <w:bCs/>
          <w:i/>
          <w:iCs/>
          <w:lang w:val="en-AU"/>
        </w:rPr>
      </w:pPr>
      <w:r w:rsidRPr="008C520E">
        <w:rPr>
          <w:rFonts w:asciiTheme="minorHAnsi" w:eastAsiaTheme="minorHAnsi" w:hAnsiTheme="minorHAnsi" w:cstheme="minorBidi"/>
          <w:b/>
          <w:bCs/>
          <w:i/>
          <w:iCs/>
          <w:lang w:val="en-AU"/>
        </w:rPr>
        <w:t>Focus on WASH</w:t>
      </w:r>
    </w:p>
    <w:p w14:paraId="733FA014" w14:textId="77777777" w:rsidR="008C520E" w:rsidRDefault="003811AB" w:rsidP="0015435E">
      <w:pPr>
        <w:pStyle w:val="ListParagraph"/>
        <w:numPr>
          <w:ilvl w:val="0"/>
          <w:numId w:val="23"/>
        </w:numPr>
        <w:spacing w:line="240" w:lineRule="auto"/>
        <w:ind w:hanging="357"/>
        <w:jc w:val="both"/>
        <w:rPr>
          <w:rFonts w:asciiTheme="minorHAnsi" w:eastAsiaTheme="minorHAnsi" w:hAnsiTheme="minorHAnsi" w:cstheme="minorBidi"/>
          <w:lang w:val="en-AU"/>
        </w:rPr>
      </w:pPr>
      <w:r w:rsidRPr="003811AB">
        <w:rPr>
          <w:rFonts w:asciiTheme="minorHAnsi" w:eastAsiaTheme="minorHAnsi" w:hAnsiTheme="minorHAnsi" w:cstheme="minorBidi"/>
          <w:lang w:val="en-AU"/>
        </w:rPr>
        <w:t>Improv</w:t>
      </w:r>
      <w:r>
        <w:rPr>
          <w:rFonts w:asciiTheme="minorHAnsi" w:eastAsiaTheme="minorHAnsi" w:hAnsiTheme="minorHAnsi" w:cstheme="minorBidi"/>
          <w:lang w:val="en-AU"/>
        </w:rPr>
        <w:t>ements in</w:t>
      </w:r>
      <w:r w:rsidRPr="003811AB">
        <w:rPr>
          <w:rFonts w:asciiTheme="minorHAnsi" w:eastAsiaTheme="minorHAnsi" w:hAnsiTheme="minorHAnsi" w:cstheme="minorBidi"/>
          <w:lang w:val="en-AU"/>
        </w:rPr>
        <w:t xml:space="preserve"> WASH </w:t>
      </w:r>
      <w:r w:rsidR="008159DD">
        <w:rPr>
          <w:rFonts w:asciiTheme="minorHAnsi" w:eastAsiaTheme="minorHAnsi" w:hAnsiTheme="minorHAnsi" w:cstheme="minorBidi"/>
          <w:lang w:val="en-AU"/>
        </w:rPr>
        <w:t xml:space="preserve">are now a </w:t>
      </w:r>
      <w:r w:rsidR="00E17667">
        <w:rPr>
          <w:rFonts w:asciiTheme="minorHAnsi" w:eastAsiaTheme="minorHAnsi" w:hAnsiTheme="minorHAnsi" w:cstheme="minorBidi"/>
          <w:lang w:val="en-AU"/>
        </w:rPr>
        <w:t>key</w:t>
      </w:r>
      <w:r w:rsidRPr="003811AB">
        <w:rPr>
          <w:rFonts w:asciiTheme="minorHAnsi" w:eastAsiaTheme="minorHAnsi" w:hAnsiTheme="minorHAnsi" w:cstheme="minorBidi"/>
          <w:lang w:val="en-AU"/>
        </w:rPr>
        <w:t xml:space="preserve"> goal from around mid-May – both facilities (</w:t>
      </w:r>
      <w:proofErr w:type="gramStart"/>
      <w:r w:rsidRPr="003811AB">
        <w:rPr>
          <w:rFonts w:asciiTheme="minorHAnsi" w:eastAsiaTheme="minorHAnsi" w:hAnsiTheme="minorHAnsi" w:cstheme="minorBidi"/>
          <w:lang w:val="en-AU"/>
        </w:rPr>
        <w:t>e.g.</w:t>
      </w:r>
      <w:proofErr w:type="gramEnd"/>
      <w:r w:rsidRPr="003811AB">
        <w:rPr>
          <w:rFonts w:asciiTheme="minorHAnsi" w:eastAsiaTheme="minorHAnsi" w:hAnsiTheme="minorHAnsi" w:cstheme="minorBidi"/>
          <w:lang w:val="en-AU"/>
        </w:rPr>
        <w:t xml:space="preserve"> number of hand washing stations) and changing behaviours/increasing awareness for health prevention.</w:t>
      </w:r>
    </w:p>
    <w:p w14:paraId="1FACA3F6" w14:textId="79B3223C" w:rsidR="00BE1A7D" w:rsidRPr="008C520E" w:rsidRDefault="008C520E" w:rsidP="0015435E">
      <w:pPr>
        <w:spacing w:after="0" w:line="240" w:lineRule="auto"/>
        <w:ind w:left="3"/>
        <w:jc w:val="both"/>
        <w:rPr>
          <w:rFonts w:asciiTheme="minorHAnsi" w:eastAsiaTheme="minorHAnsi" w:hAnsiTheme="minorHAnsi" w:cstheme="minorBidi"/>
          <w:lang w:val="en-AU"/>
        </w:rPr>
      </w:pPr>
      <w:r w:rsidRPr="008C520E">
        <w:rPr>
          <w:rFonts w:asciiTheme="minorHAnsi" w:eastAsiaTheme="minorHAnsi" w:hAnsiTheme="minorHAnsi" w:cstheme="minorBidi"/>
          <w:b/>
          <w:bCs/>
          <w:i/>
          <w:iCs/>
          <w:lang w:val="en-AU"/>
        </w:rPr>
        <w:t>MEHRD Revised AWP</w:t>
      </w:r>
      <w:r w:rsidR="003811AB" w:rsidRPr="008C520E">
        <w:rPr>
          <w:rFonts w:asciiTheme="minorHAnsi" w:eastAsiaTheme="minorHAnsi" w:hAnsiTheme="minorHAnsi" w:cstheme="minorBidi"/>
          <w:b/>
          <w:bCs/>
          <w:i/>
          <w:iCs/>
          <w:lang w:val="en-AU"/>
        </w:rPr>
        <w:t xml:space="preserve"> </w:t>
      </w:r>
    </w:p>
    <w:p w14:paraId="5B264DC9" w14:textId="22FDD361" w:rsidR="00B30931" w:rsidRDefault="0017088B" w:rsidP="0085652C">
      <w:pPr>
        <w:pStyle w:val="ListParagraph"/>
        <w:numPr>
          <w:ilvl w:val="0"/>
          <w:numId w:val="23"/>
        </w:numPr>
        <w:spacing w:line="240" w:lineRule="auto"/>
        <w:ind w:hanging="357"/>
        <w:jc w:val="both"/>
        <w:rPr>
          <w:rFonts w:asciiTheme="minorHAnsi" w:eastAsiaTheme="minorHAnsi" w:hAnsiTheme="minorHAnsi" w:cstheme="minorBidi"/>
          <w:lang w:val="en-AU"/>
        </w:rPr>
      </w:pPr>
      <w:r>
        <w:rPr>
          <w:rFonts w:asciiTheme="minorHAnsi" w:eastAsiaTheme="minorHAnsi" w:hAnsiTheme="minorHAnsi" w:cstheme="minorBidi"/>
          <w:lang w:val="en-AU"/>
        </w:rPr>
        <w:t xml:space="preserve">MEHRD revised their AWP in June to include </w:t>
      </w:r>
      <w:r w:rsidR="00FC0016">
        <w:rPr>
          <w:rFonts w:asciiTheme="minorHAnsi" w:eastAsiaTheme="minorHAnsi" w:hAnsiTheme="minorHAnsi" w:cstheme="minorBidi"/>
          <w:lang w:val="en-AU"/>
        </w:rPr>
        <w:t>COVID-19</w:t>
      </w:r>
      <w:r>
        <w:rPr>
          <w:rFonts w:asciiTheme="minorHAnsi" w:eastAsiaTheme="minorHAnsi" w:hAnsiTheme="minorHAnsi" w:cstheme="minorBidi"/>
          <w:lang w:val="en-AU"/>
        </w:rPr>
        <w:t xml:space="preserve"> activities and Learning Continuity activities. The AWP also was modified to align with SIG priorities and budget constraints. It i</w:t>
      </w:r>
      <w:r w:rsidR="00BE1A7D" w:rsidRPr="00BE1A7D">
        <w:rPr>
          <w:rFonts w:asciiTheme="minorHAnsi" w:eastAsiaTheme="minorHAnsi" w:hAnsiTheme="minorHAnsi" w:cstheme="minorBidi"/>
          <w:lang w:val="en-AU"/>
        </w:rPr>
        <w:t xml:space="preserve">s important to track how well MEHRD made progress towards the goals in the revised AWP from mid-year. </w:t>
      </w:r>
    </w:p>
    <w:p w14:paraId="6E987B98" w14:textId="2B8D1F50" w:rsidR="008C520E" w:rsidRPr="008C520E" w:rsidRDefault="008C520E" w:rsidP="0015435E">
      <w:pPr>
        <w:spacing w:after="0" w:line="240" w:lineRule="auto"/>
        <w:jc w:val="both"/>
        <w:rPr>
          <w:rFonts w:asciiTheme="minorHAnsi" w:eastAsiaTheme="minorHAnsi" w:hAnsiTheme="minorHAnsi" w:cstheme="minorBidi"/>
          <w:lang w:val="en-AU"/>
        </w:rPr>
      </w:pPr>
      <w:r w:rsidRPr="008C520E">
        <w:rPr>
          <w:rFonts w:asciiTheme="minorHAnsi" w:eastAsiaTheme="minorHAnsi" w:hAnsiTheme="minorHAnsi" w:cstheme="minorBidi"/>
          <w:b/>
          <w:bCs/>
          <w:i/>
          <w:iCs/>
          <w:lang w:val="en-AU"/>
        </w:rPr>
        <w:t>MEHRD Student Continuity and Learning Plan</w:t>
      </w:r>
    </w:p>
    <w:p w14:paraId="433EEF76" w14:textId="4F2696B6" w:rsidR="00D47740" w:rsidRDefault="00D47740" w:rsidP="0015435E">
      <w:pPr>
        <w:pStyle w:val="ListParagraph"/>
        <w:numPr>
          <w:ilvl w:val="0"/>
          <w:numId w:val="23"/>
        </w:numPr>
        <w:spacing w:line="240" w:lineRule="auto"/>
        <w:ind w:hanging="357"/>
        <w:jc w:val="both"/>
        <w:rPr>
          <w:rFonts w:asciiTheme="minorHAnsi" w:eastAsiaTheme="minorHAnsi" w:hAnsiTheme="minorHAnsi" w:cstheme="minorBidi"/>
          <w:lang w:val="en-AU"/>
        </w:rPr>
      </w:pPr>
      <w:r w:rsidRPr="00733AAE">
        <w:rPr>
          <w:rFonts w:asciiTheme="minorHAnsi" w:eastAsiaTheme="minorHAnsi" w:hAnsiTheme="minorHAnsi" w:cstheme="minorBidi"/>
          <w:lang w:val="en-AU"/>
        </w:rPr>
        <w:t xml:space="preserve">Continuity of learning and new ways of doing things – adaptability, </w:t>
      </w:r>
      <w:r w:rsidR="001667CD">
        <w:rPr>
          <w:rFonts w:asciiTheme="minorHAnsi" w:eastAsiaTheme="minorHAnsi" w:hAnsiTheme="minorHAnsi" w:cstheme="minorBidi"/>
          <w:lang w:val="en-AU"/>
        </w:rPr>
        <w:t>WASH</w:t>
      </w:r>
      <w:r w:rsidRPr="00733AAE">
        <w:rPr>
          <w:rFonts w:asciiTheme="minorHAnsi" w:eastAsiaTheme="minorHAnsi" w:hAnsiTheme="minorHAnsi" w:cstheme="minorBidi"/>
          <w:lang w:val="en-AU"/>
        </w:rPr>
        <w:t xml:space="preserve"> focus, parental involvement and tips, multisectoral/multi-ministerial approaches, are all opportunities to be built on – could </w:t>
      </w:r>
      <w:r w:rsidR="00935AFB">
        <w:rPr>
          <w:rFonts w:asciiTheme="minorHAnsi" w:eastAsiaTheme="minorHAnsi" w:hAnsiTheme="minorHAnsi" w:cstheme="minorBidi"/>
          <w:lang w:val="en-AU"/>
        </w:rPr>
        <w:t>become</w:t>
      </w:r>
      <w:r w:rsidRPr="00733AAE">
        <w:rPr>
          <w:rFonts w:asciiTheme="minorHAnsi" w:eastAsiaTheme="minorHAnsi" w:hAnsiTheme="minorHAnsi" w:cstheme="minorBidi"/>
          <w:lang w:val="en-AU"/>
        </w:rPr>
        <w:t xml:space="preserve"> new targets.</w:t>
      </w:r>
    </w:p>
    <w:p w14:paraId="4F6C8930" w14:textId="20042462" w:rsidR="008C520E" w:rsidRPr="008C520E" w:rsidRDefault="008C520E" w:rsidP="0015435E">
      <w:pPr>
        <w:spacing w:after="0" w:line="240" w:lineRule="auto"/>
        <w:jc w:val="both"/>
        <w:rPr>
          <w:rFonts w:asciiTheme="minorHAnsi" w:eastAsiaTheme="minorHAnsi" w:hAnsiTheme="minorHAnsi" w:cstheme="minorBidi"/>
          <w:b/>
          <w:bCs/>
          <w:i/>
          <w:iCs/>
          <w:lang w:val="en-AU"/>
        </w:rPr>
      </w:pPr>
      <w:r w:rsidRPr="008C520E">
        <w:rPr>
          <w:rFonts w:asciiTheme="minorHAnsi" w:eastAsiaTheme="minorHAnsi" w:hAnsiTheme="minorHAnsi" w:cstheme="minorBidi"/>
          <w:b/>
          <w:bCs/>
          <w:i/>
          <w:iCs/>
          <w:lang w:val="en-AU"/>
        </w:rPr>
        <w:t>Education Authorities’ Improvement Plans</w:t>
      </w:r>
    </w:p>
    <w:p w14:paraId="14E2232F" w14:textId="61416BB0" w:rsidR="001560CC" w:rsidRDefault="001560CC" w:rsidP="0015435E">
      <w:pPr>
        <w:numPr>
          <w:ilvl w:val="0"/>
          <w:numId w:val="14"/>
        </w:numPr>
        <w:spacing w:after="0" w:line="240" w:lineRule="auto"/>
        <w:ind w:hanging="357"/>
        <w:contextualSpacing/>
        <w:jc w:val="both"/>
        <w:rPr>
          <w:rFonts w:asciiTheme="minorHAnsi" w:eastAsiaTheme="minorHAnsi" w:hAnsiTheme="minorHAnsi" w:cstheme="minorBidi"/>
          <w:lang w:val="en-AU"/>
        </w:rPr>
      </w:pPr>
      <w:r w:rsidRPr="001560CC">
        <w:rPr>
          <w:rFonts w:asciiTheme="minorHAnsi" w:eastAsiaTheme="minorHAnsi" w:hAnsiTheme="minorHAnsi" w:cstheme="minorBidi"/>
          <w:lang w:val="en-AU"/>
        </w:rPr>
        <w:t>The implementation of the E</w:t>
      </w:r>
      <w:r w:rsidR="008159DD">
        <w:rPr>
          <w:rFonts w:asciiTheme="minorHAnsi" w:eastAsiaTheme="minorHAnsi" w:hAnsiTheme="minorHAnsi" w:cstheme="minorBidi"/>
          <w:lang w:val="en-AU"/>
        </w:rPr>
        <w:t xml:space="preserve">ducation </w:t>
      </w:r>
      <w:r w:rsidRPr="001560CC">
        <w:rPr>
          <w:rFonts w:asciiTheme="minorHAnsi" w:eastAsiaTheme="minorHAnsi" w:hAnsiTheme="minorHAnsi" w:cstheme="minorBidi"/>
          <w:lang w:val="en-AU"/>
        </w:rPr>
        <w:t>A</w:t>
      </w:r>
      <w:r w:rsidR="008159DD">
        <w:rPr>
          <w:rFonts w:asciiTheme="minorHAnsi" w:eastAsiaTheme="minorHAnsi" w:hAnsiTheme="minorHAnsi" w:cstheme="minorBidi"/>
          <w:lang w:val="en-AU"/>
        </w:rPr>
        <w:t>uthorities’</w:t>
      </w:r>
      <w:r w:rsidRPr="001560CC">
        <w:rPr>
          <w:rFonts w:asciiTheme="minorHAnsi" w:eastAsiaTheme="minorHAnsi" w:hAnsiTheme="minorHAnsi" w:cstheme="minorBidi"/>
          <w:lang w:val="en-AU"/>
        </w:rPr>
        <w:t xml:space="preserve"> Improvement </w:t>
      </w:r>
      <w:r w:rsidR="008159DD">
        <w:rPr>
          <w:rFonts w:asciiTheme="minorHAnsi" w:eastAsiaTheme="minorHAnsi" w:hAnsiTheme="minorHAnsi" w:cstheme="minorBidi"/>
          <w:lang w:val="en-AU"/>
        </w:rPr>
        <w:t>P</w:t>
      </w:r>
      <w:r w:rsidRPr="001560CC">
        <w:rPr>
          <w:rFonts w:asciiTheme="minorHAnsi" w:eastAsiaTheme="minorHAnsi" w:hAnsiTheme="minorHAnsi" w:cstheme="minorBidi"/>
          <w:lang w:val="en-AU"/>
        </w:rPr>
        <w:t>lan</w:t>
      </w:r>
      <w:r w:rsidR="008159DD">
        <w:rPr>
          <w:rFonts w:asciiTheme="minorHAnsi" w:eastAsiaTheme="minorHAnsi" w:hAnsiTheme="minorHAnsi" w:cstheme="minorBidi"/>
          <w:lang w:val="en-AU"/>
        </w:rPr>
        <w:t xml:space="preserve">s </w:t>
      </w:r>
      <w:proofErr w:type="gramStart"/>
      <w:r w:rsidR="008159DD">
        <w:rPr>
          <w:rFonts w:asciiTheme="minorHAnsi" w:eastAsiaTheme="minorHAnsi" w:hAnsiTheme="minorHAnsi" w:cstheme="minorBidi"/>
          <w:lang w:val="en-AU"/>
        </w:rPr>
        <w:t>remain</w:t>
      </w:r>
      <w:proofErr w:type="gramEnd"/>
      <w:r w:rsidR="008159DD">
        <w:rPr>
          <w:rFonts w:asciiTheme="minorHAnsi" w:eastAsiaTheme="minorHAnsi" w:hAnsiTheme="minorHAnsi" w:cstheme="minorBidi"/>
          <w:lang w:val="en-AU"/>
        </w:rPr>
        <w:t xml:space="preserve"> a key priority for MEHRD</w:t>
      </w:r>
      <w:r w:rsidR="008C520E">
        <w:rPr>
          <w:rFonts w:asciiTheme="minorHAnsi" w:eastAsiaTheme="minorHAnsi" w:hAnsiTheme="minorHAnsi" w:cstheme="minorBidi"/>
          <w:lang w:val="en-AU"/>
        </w:rPr>
        <w:t>.</w:t>
      </w:r>
      <w:r w:rsidR="003B16DC">
        <w:rPr>
          <w:rFonts w:asciiTheme="minorHAnsi" w:eastAsiaTheme="minorHAnsi" w:hAnsiTheme="minorHAnsi" w:cstheme="minorBidi"/>
          <w:lang w:val="en-AU"/>
        </w:rPr>
        <w:t xml:space="preserve"> The EAs focus for 2019 shifted from self-assessment and improvement plans to supporting the SISEE phase out implementation. Significant work is</w:t>
      </w:r>
      <w:r w:rsidR="00633A31">
        <w:rPr>
          <w:rFonts w:asciiTheme="minorHAnsi" w:eastAsiaTheme="minorHAnsi" w:hAnsiTheme="minorHAnsi" w:cstheme="minorBidi"/>
          <w:lang w:val="en-AU"/>
        </w:rPr>
        <w:t xml:space="preserve"> also</w:t>
      </w:r>
      <w:r w:rsidR="003B16DC">
        <w:rPr>
          <w:rFonts w:asciiTheme="minorHAnsi" w:eastAsiaTheme="minorHAnsi" w:hAnsiTheme="minorHAnsi" w:cstheme="minorBidi"/>
          <w:lang w:val="en-AU"/>
        </w:rPr>
        <w:t xml:space="preserve"> underway to better integrate</w:t>
      </w:r>
      <w:r w:rsidR="00633A31">
        <w:rPr>
          <w:rFonts w:asciiTheme="minorHAnsi" w:eastAsiaTheme="minorHAnsi" w:hAnsiTheme="minorHAnsi" w:cstheme="minorBidi"/>
          <w:lang w:val="en-AU"/>
        </w:rPr>
        <w:t xml:space="preserve"> the LEAP initiatives into EA planning.</w:t>
      </w:r>
    </w:p>
    <w:p w14:paraId="56ACC617" w14:textId="00D75EF5" w:rsidR="008C520E" w:rsidRPr="008C520E" w:rsidRDefault="008C520E" w:rsidP="0015435E">
      <w:pPr>
        <w:spacing w:before="240" w:after="0" w:line="240" w:lineRule="auto"/>
        <w:jc w:val="both"/>
        <w:rPr>
          <w:rFonts w:asciiTheme="minorHAnsi" w:eastAsiaTheme="minorHAnsi" w:hAnsiTheme="minorHAnsi" w:cstheme="minorBidi"/>
          <w:b/>
          <w:bCs/>
          <w:i/>
          <w:iCs/>
          <w:lang w:val="en-AU"/>
        </w:rPr>
      </w:pPr>
      <w:r w:rsidRPr="008C520E">
        <w:rPr>
          <w:rFonts w:asciiTheme="minorHAnsi" w:eastAsiaTheme="minorHAnsi" w:hAnsiTheme="minorHAnsi" w:cstheme="minorBidi"/>
          <w:b/>
          <w:bCs/>
          <w:i/>
          <w:iCs/>
          <w:lang w:val="en-AU"/>
        </w:rPr>
        <w:t>Set Targets in Advance</w:t>
      </w:r>
    </w:p>
    <w:p w14:paraId="087CD701" w14:textId="06E34B08" w:rsidR="00637CE2" w:rsidRDefault="00637CE2" w:rsidP="0015435E">
      <w:pPr>
        <w:numPr>
          <w:ilvl w:val="0"/>
          <w:numId w:val="14"/>
        </w:numPr>
        <w:spacing w:after="120" w:line="240" w:lineRule="auto"/>
        <w:ind w:left="765" w:hanging="357"/>
        <w:contextualSpacing/>
        <w:jc w:val="both"/>
        <w:rPr>
          <w:rFonts w:asciiTheme="minorHAnsi" w:eastAsiaTheme="minorHAnsi" w:hAnsiTheme="minorHAnsi" w:cstheme="minorBidi"/>
          <w:lang w:val="en-AU"/>
        </w:rPr>
      </w:pPr>
      <w:r>
        <w:rPr>
          <w:rFonts w:asciiTheme="minorHAnsi" w:eastAsiaTheme="minorHAnsi" w:hAnsiTheme="minorHAnsi" w:cstheme="minorBidi"/>
          <w:lang w:val="en-AU"/>
        </w:rPr>
        <w:t>We</w:t>
      </w:r>
      <w:r w:rsidR="00E17667">
        <w:rPr>
          <w:rFonts w:asciiTheme="minorHAnsi" w:eastAsiaTheme="minorHAnsi" w:hAnsiTheme="minorHAnsi" w:cstheme="minorBidi"/>
          <w:lang w:val="en-AU"/>
        </w:rPr>
        <w:t xml:space="preserve"> are</w:t>
      </w:r>
      <w:r>
        <w:rPr>
          <w:rFonts w:asciiTheme="minorHAnsi" w:eastAsiaTheme="minorHAnsi" w:hAnsiTheme="minorHAnsi" w:cstheme="minorBidi"/>
          <w:lang w:val="en-AU"/>
        </w:rPr>
        <w:t xml:space="preserve"> more than</w:t>
      </w:r>
      <w:r w:rsidRPr="00677BE1">
        <w:rPr>
          <w:rFonts w:asciiTheme="minorHAnsi" w:eastAsiaTheme="minorHAnsi" w:hAnsiTheme="minorHAnsi" w:cstheme="minorBidi"/>
          <w:lang w:val="en-AU"/>
        </w:rPr>
        <w:t xml:space="preserve"> halfway through the year and </w:t>
      </w:r>
      <w:r>
        <w:rPr>
          <w:rFonts w:asciiTheme="minorHAnsi" w:eastAsiaTheme="minorHAnsi" w:hAnsiTheme="minorHAnsi" w:cstheme="minorBidi"/>
          <w:lang w:val="en-AU"/>
        </w:rPr>
        <w:t>only commenced the process of setting targets for 2020.</w:t>
      </w:r>
      <w:r w:rsidR="00E17667">
        <w:rPr>
          <w:rFonts w:asciiTheme="minorHAnsi" w:eastAsiaTheme="minorHAnsi" w:hAnsiTheme="minorHAnsi" w:cstheme="minorBidi"/>
          <w:lang w:val="en-AU"/>
        </w:rPr>
        <w:t xml:space="preserve"> </w:t>
      </w:r>
      <w:r>
        <w:rPr>
          <w:rFonts w:asciiTheme="minorHAnsi" w:eastAsiaTheme="minorHAnsi" w:hAnsiTheme="minorHAnsi" w:cstheme="minorBidi"/>
          <w:lang w:val="en-AU"/>
        </w:rPr>
        <w:t xml:space="preserve"> </w:t>
      </w:r>
      <w:r w:rsidRPr="00677BE1">
        <w:rPr>
          <w:rFonts w:asciiTheme="minorHAnsi" w:eastAsiaTheme="minorHAnsi" w:hAnsiTheme="minorHAnsi" w:cstheme="minorBidi"/>
          <w:lang w:val="en-AU"/>
        </w:rPr>
        <w:t xml:space="preserve">To avoid this in the future </w:t>
      </w:r>
      <w:r w:rsidR="003B16DC">
        <w:rPr>
          <w:rFonts w:asciiTheme="minorHAnsi" w:eastAsiaTheme="minorHAnsi" w:hAnsiTheme="minorHAnsi" w:cstheme="minorBidi"/>
          <w:lang w:val="en-AU"/>
        </w:rPr>
        <w:t>perhaps</w:t>
      </w:r>
      <w:r w:rsidRPr="00677BE1">
        <w:rPr>
          <w:rFonts w:asciiTheme="minorHAnsi" w:eastAsiaTheme="minorHAnsi" w:hAnsiTheme="minorHAnsi" w:cstheme="minorBidi"/>
          <w:lang w:val="en-AU"/>
        </w:rPr>
        <w:t xml:space="preserve"> set annual targets for next 3 years</w:t>
      </w:r>
      <w:r w:rsidR="00E17667">
        <w:rPr>
          <w:rFonts w:asciiTheme="minorHAnsi" w:eastAsiaTheme="minorHAnsi" w:hAnsiTheme="minorHAnsi" w:cstheme="minorBidi"/>
          <w:lang w:val="en-AU"/>
        </w:rPr>
        <w:t>.</w:t>
      </w:r>
      <w:r w:rsidRPr="00677BE1">
        <w:rPr>
          <w:rFonts w:asciiTheme="minorHAnsi" w:eastAsiaTheme="minorHAnsi" w:hAnsiTheme="minorHAnsi" w:cstheme="minorBidi"/>
          <w:lang w:val="en-AU"/>
        </w:rPr>
        <w:t xml:space="preserve"> </w:t>
      </w:r>
    </w:p>
    <w:p w14:paraId="2CDF3071" w14:textId="610539F6" w:rsidR="008C520E" w:rsidRPr="008C520E" w:rsidRDefault="008C520E" w:rsidP="0015435E">
      <w:pPr>
        <w:spacing w:before="240" w:after="0" w:line="240" w:lineRule="auto"/>
        <w:jc w:val="both"/>
        <w:rPr>
          <w:rFonts w:asciiTheme="minorHAnsi" w:eastAsiaTheme="minorHAnsi" w:hAnsiTheme="minorHAnsi" w:cstheme="minorBidi"/>
          <w:b/>
          <w:bCs/>
          <w:i/>
          <w:iCs/>
          <w:lang w:val="en-AU"/>
        </w:rPr>
      </w:pPr>
      <w:r w:rsidRPr="008C520E">
        <w:rPr>
          <w:rFonts w:asciiTheme="minorHAnsi" w:eastAsiaTheme="minorHAnsi" w:hAnsiTheme="minorHAnsi" w:cstheme="minorBidi"/>
          <w:b/>
          <w:bCs/>
          <w:i/>
          <w:iCs/>
          <w:lang w:val="en-AU"/>
        </w:rPr>
        <w:t>Consider Partnership, Coordination, Communication Indicators</w:t>
      </w:r>
    </w:p>
    <w:p w14:paraId="32F55911" w14:textId="25687DB3" w:rsidR="00F95B1F" w:rsidRPr="00E17667" w:rsidRDefault="0085652C" w:rsidP="0015435E">
      <w:pPr>
        <w:pStyle w:val="ListParagraph"/>
        <w:numPr>
          <w:ilvl w:val="0"/>
          <w:numId w:val="14"/>
        </w:numPr>
        <w:spacing w:after="0" w:line="240" w:lineRule="auto"/>
        <w:ind w:hanging="357"/>
        <w:jc w:val="both"/>
        <w:rPr>
          <w:rFonts w:asciiTheme="minorHAnsi" w:eastAsiaTheme="minorHAnsi" w:hAnsiTheme="minorHAnsi" w:cstheme="minorBidi"/>
          <w:lang w:val="en-AU"/>
        </w:rPr>
      </w:pPr>
      <w:r>
        <w:rPr>
          <w:rFonts w:asciiTheme="minorHAnsi" w:eastAsiaTheme="minorHAnsi" w:hAnsiTheme="minorHAnsi" w:cstheme="minorBidi"/>
          <w:lang w:val="en-AU"/>
        </w:rPr>
        <w:t xml:space="preserve">Especially in </w:t>
      </w:r>
      <w:r w:rsidR="00F95B1F" w:rsidRPr="00E17667">
        <w:rPr>
          <w:rFonts w:asciiTheme="minorHAnsi" w:eastAsiaTheme="minorHAnsi" w:hAnsiTheme="minorHAnsi" w:cstheme="minorBidi"/>
          <w:lang w:val="en-AU"/>
        </w:rPr>
        <w:t>this time</w:t>
      </w:r>
      <w:r>
        <w:rPr>
          <w:rFonts w:asciiTheme="minorHAnsi" w:eastAsiaTheme="minorHAnsi" w:hAnsiTheme="minorHAnsi" w:cstheme="minorBidi"/>
          <w:lang w:val="en-AU"/>
        </w:rPr>
        <w:t xml:space="preserve"> of change and uncertainty</w:t>
      </w:r>
      <w:r w:rsidR="00F95B1F" w:rsidRPr="00E17667">
        <w:rPr>
          <w:rFonts w:asciiTheme="minorHAnsi" w:eastAsiaTheme="minorHAnsi" w:hAnsiTheme="minorHAnsi" w:cstheme="minorBidi"/>
          <w:lang w:val="en-AU"/>
        </w:rPr>
        <w:t xml:space="preserve"> MEHRD has shown the capacity to form partnerships and work collaboratively across sectors </w:t>
      </w:r>
      <w:r>
        <w:rPr>
          <w:rFonts w:asciiTheme="minorHAnsi" w:eastAsiaTheme="minorHAnsi" w:hAnsiTheme="minorHAnsi" w:cstheme="minorBidi"/>
          <w:lang w:val="en-AU"/>
        </w:rPr>
        <w:t>–</w:t>
      </w:r>
      <w:r w:rsidR="00F95B1F" w:rsidRPr="00E17667">
        <w:rPr>
          <w:rFonts w:asciiTheme="minorHAnsi" w:eastAsiaTheme="minorHAnsi" w:hAnsiTheme="minorHAnsi" w:cstheme="minorBidi"/>
          <w:lang w:val="en-AU"/>
        </w:rPr>
        <w:t xml:space="preserve"> </w:t>
      </w:r>
      <w:r>
        <w:rPr>
          <w:rFonts w:asciiTheme="minorHAnsi" w:eastAsiaTheme="minorHAnsi" w:hAnsiTheme="minorHAnsi" w:cstheme="minorBidi"/>
          <w:lang w:val="en-AU"/>
        </w:rPr>
        <w:t>this may be</w:t>
      </w:r>
      <w:r w:rsidR="00F95B1F" w:rsidRPr="00E17667">
        <w:rPr>
          <w:rFonts w:asciiTheme="minorHAnsi" w:eastAsiaTheme="minorHAnsi" w:hAnsiTheme="minorHAnsi" w:cstheme="minorBidi"/>
          <w:lang w:val="en-AU"/>
        </w:rPr>
        <w:t xml:space="preserve"> an opportunity to recognise and track</w:t>
      </w:r>
      <w:r w:rsidR="003B7934">
        <w:rPr>
          <w:rFonts w:asciiTheme="minorHAnsi" w:eastAsiaTheme="minorHAnsi" w:hAnsiTheme="minorHAnsi" w:cstheme="minorBidi"/>
          <w:lang w:val="en-AU"/>
        </w:rPr>
        <w:t>.</w:t>
      </w:r>
      <w:r w:rsidR="00E17667">
        <w:rPr>
          <w:rFonts w:asciiTheme="minorHAnsi" w:eastAsiaTheme="minorHAnsi" w:hAnsiTheme="minorHAnsi" w:cstheme="minorBidi"/>
          <w:lang w:val="en-AU"/>
        </w:rPr>
        <w:t xml:space="preserve"> This </w:t>
      </w:r>
      <w:r>
        <w:rPr>
          <w:rFonts w:asciiTheme="minorHAnsi" w:eastAsiaTheme="minorHAnsi" w:hAnsiTheme="minorHAnsi" w:cstheme="minorBidi"/>
          <w:lang w:val="en-AU"/>
        </w:rPr>
        <w:t xml:space="preserve">could </w:t>
      </w:r>
      <w:r w:rsidR="00E17667">
        <w:rPr>
          <w:rFonts w:asciiTheme="minorHAnsi" w:eastAsiaTheme="minorHAnsi" w:hAnsiTheme="minorHAnsi" w:cstheme="minorBidi"/>
          <w:lang w:val="en-AU"/>
        </w:rPr>
        <w:t>include</w:t>
      </w:r>
      <w:r w:rsidR="004C025A">
        <w:rPr>
          <w:rFonts w:asciiTheme="minorHAnsi" w:eastAsiaTheme="minorHAnsi" w:hAnsiTheme="minorHAnsi" w:cstheme="minorBidi"/>
          <w:lang w:val="en-AU"/>
        </w:rPr>
        <w:t xml:space="preserve"> </w:t>
      </w:r>
      <w:r w:rsidR="00B97398">
        <w:rPr>
          <w:rFonts w:asciiTheme="minorHAnsi" w:eastAsiaTheme="minorHAnsi" w:hAnsiTheme="minorHAnsi" w:cstheme="minorBidi"/>
          <w:lang w:val="en-AU"/>
        </w:rPr>
        <w:t xml:space="preserve">measuring </w:t>
      </w:r>
      <w:r w:rsidR="004C025A">
        <w:rPr>
          <w:rFonts w:asciiTheme="minorHAnsi" w:eastAsiaTheme="minorHAnsi" w:hAnsiTheme="minorHAnsi" w:cstheme="minorBidi"/>
          <w:lang w:val="en-AU"/>
        </w:rPr>
        <w:t>the performance of</w:t>
      </w:r>
      <w:r w:rsidR="00E17667">
        <w:rPr>
          <w:rFonts w:asciiTheme="minorHAnsi" w:eastAsiaTheme="minorHAnsi" w:hAnsiTheme="minorHAnsi" w:cstheme="minorBidi"/>
          <w:lang w:val="en-AU"/>
        </w:rPr>
        <w:t>:</w:t>
      </w:r>
    </w:p>
    <w:p w14:paraId="43EAE818" w14:textId="408D8251" w:rsidR="00F95B1F" w:rsidRPr="00E17667" w:rsidRDefault="00F95B1F" w:rsidP="0015435E">
      <w:pPr>
        <w:numPr>
          <w:ilvl w:val="1"/>
          <w:numId w:val="16"/>
        </w:numPr>
        <w:spacing w:after="0" w:line="240" w:lineRule="auto"/>
        <w:contextualSpacing/>
        <w:jc w:val="both"/>
        <w:rPr>
          <w:rFonts w:asciiTheme="minorHAnsi" w:eastAsiaTheme="minorHAnsi" w:hAnsiTheme="minorHAnsi" w:cstheme="minorBidi"/>
          <w:lang w:val="en-AU"/>
        </w:rPr>
      </w:pPr>
      <w:r w:rsidRPr="002D1EDF">
        <w:rPr>
          <w:rFonts w:asciiTheme="minorHAnsi" w:eastAsiaTheme="minorHAnsi" w:hAnsiTheme="minorHAnsi" w:cstheme="minorBidi"/>
          <w:lang w:val="en-AU"/>
        </w:rPr>
        <w:t xml:space="preserve">MEHRD-led coordination with development and implementing partners in the education sector – particularly when looking at how learning resources and support can reach all schools/children in a constrained operating environment. </w:t>
      </w:r>
    </w:p>
    <w:p w14:paraId="37642CC8" w14:textId="36B77A97" w:rsidR="00F95B1F" w:rsidRPr="00E17667" w:rsidRDefault="00F95B1F" w:rsidP="0015435E">
      <w:pPr>
        <w:numPr>
          <w:ilvl w:val="1"/>
          <w:numId w:val="16"/>
        </w:numPr>
        <w:spacing w:after="0" w:line="240" w:lineRule="auto"/>
        <w:contextualSpacing/>
        <w:jc w:val="both"/>
        <w:rPr>
          <w:rFonts w:asciiTheme="minorHAnsi" w:eastAsiaTheme="minorHAnsi" w:hAnsiTheme="minorHAnsi" w:cstheme="minorBidi"/>
          <w:lang w:val="en-AU"/>
        </w:rPr>
      </w:pPr>
      <w:r w:rsidRPr="002D1EDF">
        <w:rPr>
          <w:rFonts w:asciiTheme="minorHAnsi" w:eastAsiaTheme="minorHAnsi" w:hAnsiTheme="minorHAnsi" w:cstheme="minorBidi"/>
          <w:lang w:val="en-AU"/>
        </w:rPr>
        <w:t>Maintaining clear communication channels within the sector (for awareness and learning continuity purposes) in the face of contextual constraints.</w:t>
      </w:r>
    </w:p>
    <w:p w14:paraId="0B688135" w14:textId="047DECF9" w:rsidR="00D1405C" w:rsidRPr="008C520E" w:rsidRDefault="00F95B1F" w:rsidP="008278B2">
      <w:pPr>
        <w:numPr>
          <w:ilvl w:val="1"/>
          <w:numId w:val="16"/>
        </w:numPr>
        <w:spacing w:after="240" w:line="240" w:lineRule="auto"/>
        <w:ind w:left="1434" w:hanging="357"/>
        <w:contextualSpacing/>
        <w:jc w:val="both"/>
        <w:rPr>
          <w:rFonts w:asciiTheme="minorHAnsi" w:eastAsiaTheme="minorHAnsi" w:hAnsiTheme="minorHAnsi" w:cstheme="minorBidi"/>
          <w:lang w:val="en-AU"/>
        </w:rPr>
      </w:pPr>
      <w:r w:rsidRPr="002D1EDF">
        <w:rPr>
          <w:rFonts w:asciiTheme="minorHAnsi" w:eastAsiaTheme="minorHAnsi" w:hAnsiTheme="minorHAnsi" w:cstheme="minorBidi"/>
          <w:lang w:val="en-AU"/>
        </w:rPr>
        <w:t xml:space="preserve">Developing and delivering policy/guidelines in key areas like Scholarships management. </w:t>
      </w:r>
    </w:p>
    <w:p w14:paraId="11F3D80F" w14:textId="42CFC4DB" w:rsidR="00CF1632" w:rsidRPr="00413324" w:rsidRDefault="00CF1632" w:rsidP="00413324">
      <w:pPr>
        <w:pStyle w:val="Heading2"/>
        <w:numPr>
          <w:ilvl w:val="0"/>
          <w:numId w:val="19"/>
        </w:numPr>
        <w:shd w:val="clear" w:color="auto" w:fill="B4C6E7" w:themeFill="accent1" w:themeFillTint="66"/>
        <w:ind w:hanging="720"/>
        <w:rPr>
          <w:rFonts w:asciiTheme="minorHAnsi" w:hAnsiTheme="minorHAnsi" w:cstheme="minorHAnsi"/>
          <w:b/>
          <w:bCs/>
          <w:color w:val="1F4E79" w:themeColor="accent5" w:themeShade="80"/>
          <w:sz w:val="24"/>
          <w:szCs w:val="24"/>
        </w:rPr>
      </w:pPr>
      <w:bookmarkStart w:id="56" w:name="_Toc49858097"/>
      <w:r w:rsidRPr="00413324">
        <w:rPr>
          <w:rFonts w:asciiTheme="minorHAnsi" w:hAnsiTheme="minorHAnsi" w:cstheme="minorHAnsi"/>
          <w:b/>
          <w:bCs/>
          <w:color w:val="1F4E79" w:themeColor="accent5" w:themeShade="80"/>
          <w:sz w:val="24"/>
          <w:szCs w:val="24"/>
        </w:rPr>
        <w:t>PLA Approach</w:t>
      </w:r>
      <w:r w:rsidR="00D1405C" w:rsidRPr="00413324">
        <w:rPr>
          <w:rFonts w:asciiTheme="minorHAnsi" w:hAnsiTheme="minorHAnsi" w:cstheme="minorHAnsi"/>
          <w:b/>
          <w:bCs/>
          <w:color w:val="1F4E79" w:themeColor="accent5" w:themeShade="80"/>
          <w:sz w:val="24"/>
          <w:szCs w:val="24"/>
        </w:rPr>
        <w:t xml:space="preserve"> – Suggestions </w:t>
      </w:r>
      <w:r w:rsidR="00F060DC" w:rsidRPr="00413324">
        <w:rPr>
          <w:rFonts w:asciiTheme="minorHAnsi" w:hAnsiTheme="minorHAnsi" w:cstheme="minorHAnsi"/>
          <w:b/>
          <w:bCs/>
          <w:color w:val="1F4E79" w:themeColor="accent5" w:themeShade="80"/>
          <w:sz w:val="24"/>
          <w:szCs w:val="24"/>
        </w:rPr>
        <w:t>for</w:t>
      </w:r>
      <w:r w:rsidR="00D1405C" w:rsidRPr="00413324">
        <w:rPr>
          <w:rFonts w:asciiTheme="minorHAnsi" w:hAnsiTheme="minorHAnsi" w:cstheme="minorHAnsi"/>
          <w:b/>
          <w:bCs/>
          <w:color w:val="1F4E79" w:themeColor="accent5" w:themeShade="80"/>
          <w:sz w:val="24"/>
          <w:szCs w:val="24"/>
        </w:rPr>
        <w:t xml:space="preserve"> Future Direction</w:t>
      </w:r>
      <w:r w:rsidR="00F060DC" w:rsidRPr="00413324">
        <w:rPr>
          <w:rFonts w:asciiTheme="minorHAnsi" w:hAnsiTheme="minorHAnsi" w:cstheme="minorHAnsi"/>
          <w:b/>
          <w:bCs/>
          <w:color w:val="1F4E79" w:themeColor="accent5" w:themeShade="80"/>
          <w:sz w:val="24"/>
          <w:szCs w:val="24"/>
        </w:rPr>
        <w:t>s</w:t>
      </w:r>
      <w:bookmarkEnd w:id="56"/>
    </w:p>
    <w:p w14:paraId="13C6CA70" w14:textId="77777777" w:rsidR="00304A17" w:rsidRPr="00304A17" w:rsidRDefault="00304A17" w:rsidP="00304A17">
      <w:pPr>
        <w:spacing w:after="160" w:line="240" w:lineRule="auto"/>
        <w:contextualSpacing/>
        <w:jc w:val="both"/>
        <w:rPr>
          <w:rFonts w:asciiTheme="minorHAnsi" w:eastAsiaTheme="minorHAnsi" w:hAnsiTheme="minorHAnsi" w:cstheme="minorBidi"/>
          <w:b/>
          <w:bCs/>
          <w:i/>
          <w:iCs/>
          <w:lang w:val="en-AU"/>
        </w:rPr>
      </w:pPr>
      <w:r w:rsidRPr="00304A17">
        <w:rPr>
          <w:rFonts w:asciiTheme="minorHAnsi" w:eastAsiaTheme="minorHAnsi" w:hAnsiTheme="minorHAnsi" w:cstheme="minorBidi"/>
          <w:b/>
          <w:bCs/>
          <w:i/>
          <w:iCs/>
          <w:lang w:val="en-AU"/>
        </w:rPr>
        <w:t>Strengthening the Partnership Approach through the Education Sector Support Program (ESSP)</w:t>
      </w:r>
    </w:p>
    <w:p w14:paraId="4C50EFB2" w14:textId="25CD2810" w:rsidR="00304A17" w:rsidRPr="00304A17" w:rsidRDefault="00304A17" w:rsidP="00304A17">
      <w:pPr>
        <w:spacing w:after="160" w:line="240" w:lineRule="auto"/>
        <w:contextualSpacing/>
        <w:jc w:val="both"/>
        <w:rPr>
          <w:rFonts w:asciiTheme="minorHAnsi" w:eastAsiaTheme="minorHAnsi" w:hAnsiTheme="minorHAnsi" w:cstheme="minorBidi"/>
          <w:lang w:val="en-AU"/>
        </w:rPr>
      </w:pPr>
      <w:r w:rsidRPr="00304A17">
        <w:rPr>
          <w:rFonts w:asciiTheme="minorHAnsi" w:eastAsiaTheme="minorHAnsi" w:hAnsiTheme="minorHAnsi" w:cstheme="minorBidi"/>
          <w:lang w:val="en-AU"/>
        </w:rPr>
        <w:t xml:space="preserve">The PLA assessment is a great opportunity to build and strengthen partnerships between SIG and donors to deliver impactful programs.  However, it is also an opportunity to sit back and review the process in terms of strengthening the program effectiveness across the Education Sector. </w:t>
      </w:r>
    </w:p>
    <w:p w14:paraId="580864AB" w14:textId="77777777" w:rsidR="00304A17" w:rsidRPr="00304A17" w:rsidRDefault="00304A17" w:rsidP="00304A17">
      <w:pPr>
        <w:spacing w:after="120" w:line="240" w:lineRule="auto"/>
        <w:contextualSpacing/>
        <w:jc w:val="both"/>
        <w:rPr>
          <w:rFonts w:asciiTheme="minorHAnsi" w:eastAsiaTheme="minorHAnsi" w:hAnsiTheme="minorHAnsi" w:cstheme="minorBidi"/>
          <w:lang w:val="en-AU"/>
        </w:rPr>
      </w:pPr>
    </w:p>
    <w:p w14:paraId="550AC844" w14:textId="0C475D39" w:rsidR="00304A17" w:rsidRPr="00304A17" w:rsidRDefault="00304A17" w:rsidP="00304A17">
      <w:pPr>
        <w:spacing w:after="160" w:line="240" w:lineRule="auto"/>
        <w:contextualSpacing/>
        <w:jc w:val="both"/>
        <w:rPr>
          <w:rFonts w:asciiTheme="minorHAnsi" w:eastAsiaTheme="minorHAnsi" w:hAnsiTheme="minorHAnsi" w:cstheme="minorBidi"/>
          <w:lang w:val="en-AU"/>
        </w:rPr>
      </w:pPr>
      <w:r w:rsidRPr="00304A17">
        <w:rPr>
          <w:rFonts w:asciiTheme="minorHAnsi" w:eastAsiaTheme="minorHAnsi" w:hAnsiTheme="minorHAnsi" w:cstheme="minorBidi"/>
          <w:lang w:val="en-AU"/>
        </w:rPr>
        <w:t xml:space="preserve">The ESSP </w:t>
      </w:r>
      <w:r w:rsidR="00A03CEE">
        <w:rPr>
          <w:rFonts w:asciiTheme="minorHAnsi" w:eastAsiaTheme="minorHAnsi" w:hAnsiTheme="minorHAnsi" w:cstheme="minorBidi"/>
          <w:lang w:val="en-AU"/>
        </w:rPr>
        <w:t>is</w:t>
      </w:r>
      <w:r w:rsidRPr="00304A17">
        <w:rPr>
          <w:rFonts w:asciiTheme="minorHAnsi" w:eastAsiaTheme="minorHAnsi" w:hAnsiTheme="minorHAnsi" w:cstheme="minorBidi"/>
          <w:lang w:val="en-AU"/>
        </w:rPr>
        <w:t xml:space="preserve"> now being implemented with the appointment of a Team Leader in July</w:t>
      </w:r>
      <w:r w:rsidR="00A03CEE">
        <w:rPr>
          <w:rFonts w:asciiTheme="minorHAnsi" w:eastAsiaTheme="minorHAnsi" w:hAnsiTheme="minorHAnsi" w:cstheme="minorBidi"/>
          <w:lang w:val="en-AU"/>
        </w:rPr>
        <w:t xml:space="preserve"> </w:t>
      </w:r>
      <w:r w:rsidRPr="00304A17">
        <w:rPr>
          <w:rFonts w:asciiTheme="minorHAnsi" w:eastAsiaTheme="minorHAnsi" w:hAnsiTheme="minorHAnsi" w:cstheme="minorBidi"/>
          <w:lang w:val="en-AU"/>
        </w:rPr>
        <w:t xml:space="preserve">2020 and a Program Management Team (PMT) to be recruited later in 2020.  Reflecting on the spirit of the ESSP program design, the ESSP-PMT provides an excellent mechanism to facilitate and coordinate the PLA assessment by strengthening the partnership approach for MEHRD, DFAT and MFAT.    </w:t>
      </w:r>
    </w:p>
    <w:p w14:paraId="19B1B1DF" w14:textId="77777777" w:rsidR="00304A17" w:rsidRPr="00304A17" w:rsidRDefault="00304A17" w:rsidP="00304A17">
      <w:pPr>
        <w:spacing w:after="160" w:line="240" w:lineRule="auto"/>
        <w:contextualSpacing/>
        <w:jc w:val="both"/>
        <w:rPr>
          <w:rFonts w:asciiTheme="minorHAnsi" w:eastAsiaTheme="minorHAnsi" w:hAnsiTheme="minorHAnsi" w:cstheme="minorBidi"/>
          <w:lang w:val="en-AU"/>
        </w:rPr>
      </w:pPr>
    </w:p>
    <w:p w14:paraId="51017155" w14:textId="4A86C195" w:rsidR="00304A17" w:rsidRDefault="00304A17" w:rsidP="00304A17">
      <w:pPr>
        <w:spacing w:before="240" w:after="160" w:line="240" w:lineRule="auto"/>
        <w:contextualSpacing/>
        <w:jc w:val="both"/>
        <w:rPr>
          <w:rFonts w:asciiTheme="minorHAnsi" w:eastAsiaTheme="minorHAnsi" w:hAnsiTheme="minorHAnsi" w:cstheme="minorBidi"/>
          <w:lang w:val="en-AU"/>
        </w:rPr>
      </w:pPr>
      <w:r w:rsidRPr="00304A17">
        <w:rPr>
          <w:rFonts w:asciiTheme="minorHAnsi" w:eastAsiaTheme="minorHAnsi" w:hAnsiTheme="minorHAnsi" w:cstheme="minorBidi"/>
          <w:lang w:val="en-AU"/>
        </w:rPr>
        <w:t>One way to achieve this is through the development of a Monitoring and Evaluation Framework of the ESSP.  The indicators and outcomes developed can be aligned to the agreed Education Performan</w:t>
      </w:r>
      <w:r w:rsidR="00A03CEE">
        <w:rPr>
          <w:rFonts w:asciiTheme="minorHAnsi" w:eastAsiaTheme="minorHAnsi" w:hAnsiTheme="minorHAnsi" w:cstheme="minorBidi"/>
          <w:lang w:val="en-AU"/>
        </w:rPr>
        <w:t>ce</w:t>
      </w:r>
      <w:r w:rsidRPr="00304A17">
        <w:rPr>
          <w:rFonts w:asciiTheme="minorHAnsi" w:eastAsiaTheme="minorHAnsi" w:hAnsiTheme="minorHAnsi" w:cstheme="minorBidi"/>
          <w:lang w:val="en-AU"/>
        </w:rPr>
        <w:t xml:space="preserve"> Matrix or EPM, such that the information being gathered and collated by the PMT can be done at one time and the results are relevant to inform decisions required by the three governments – whether this be funding allocations, resource allocation, improvement in performance or strategic direction of ESSP. </w:t>
      </w:r>
    </w:p>
    <w:p w14:paraId="313701F3" w14:textId="77777777" w:rsidR="00304A17" w:rsidRPr="00304A17" w:rsidRDefault="00304A17" w:rsidP="00304A17">
      <w:pPr>
        <w:spacing w:before="240" w:after="160" w:line="240" w:lineRule="auto"/>
        <w:contextualSpacing/>
        <w:jc w:val="both"/>
        <w:rPr>
          <w:rFonts w:asciiTheme="minorHAnsi" w:eastAsiaTheme="minorHAnsi" w:hAnsiTheme="minorHAnsi" w:cstheme="minorBidi"/>
          <w:lang w:val="en-AU"/>
        </w:rPr>
      </w:pPr>
    </w:p>
    <w:p w14:paraId="42C9317E" w14:textId="1A98F067" w:rsidR="00304A17" w:rsidRPr="00304A17" w:rsidRDefault="00304A17" w:rsidP="00304A17">
      <w:pPr>
        <w:spacing w:before="120" w:after="120" w:line="240" w:lineRule="auto"/>
        <w:contextualSpacing/>
        <w:jc w:val="both"/>
        <w:rPr>
          <w:rFonts w:asciiTheme="minorHAnsi" w:eastAsiaTheme="minorHAnsi" w:hAnsiTheme="minorHAnsi" w:cstheme="minorBidi"/>
          <w:lang w:val="en-AU"/>
        </w:rPr>
      </w:pPr>
      <w:r w:rsidRPr="00304A17">
        <w:rPr>
          <w:rFonts w:asciiTheme="minorHAnsi" w:eastAsiaTheme="minorHAnsi" w:hAnsiTheme="minorHAnsi" w:cstheme="minorBidi"/>
          <w:lang w:val="en-AU"/>
        </w:rPr>
        <w:t xml:space="preserve">The PLA will be modified to become a process that is all encompassing of stakeholders and everyone engaged to provide support in helping MEHRD achieve its ultimate outcomes or goal of improved quality, </w:t>
      </w:r>
      <w:proofErr w:type="gramStart"/>
      <w:r w:rsidRPr="00304A17">
        <w:rPr>
          <w:rFonts w:asciiTheme="minorHAnsi" w:eastAsiaTheme="minorHAnsi" w:hAnsiTheme="minorHAnsi" w:cstheme="minorBidi"/>
          <w:lang w:val="en-AU"/>
        </w:rPr>
        <w:t>access</w:t>
      </w:r>
      <w:proofErr w:type="gramEnd"/>
      <w:r w:rsidRPr="00304A17">
        <w:rPr>
          <w:rFonts w:asciiTheme="minorHAnsi" w:eastAsiaTheme="minorHAnsi" w:hAnsiTheme="minorHAnsi" w:cstheme="minorBidi"/>
          <w:lang w:val="en-AU"/>
        </w:rPr>
        <w:t xml:space="preserve"> and management of the Education Sector. The following s</w:t>
      </w:r>
      <w:r>
        <w:rPr>
          <w:rFonts w:asciiTheme="minorHAnsi" w:eastAsiaTheme="minorHAnsi" w:hAnsiTheme="minorHAnsi" w:cstheme="minorBidi"/>
          <w:lang w:val="en-AU"/>
        </w:rPr>
        <w:t>uggestions</w:t>
      </w:r>
      <w:r w:rsidRPr="00304A17">
        <w:rPr>
          <w:rFonts w:asciiTheme="minorHAnsi" w:eastAsiaTheme="minorHAnsi" w:hAnsiTheme="minorHAnsi" w:cstheme="minorBidi"/>
          <w:lang w:val="en-AU"/>
        </w:rPr>
        <w:t xml:space="preserve"> provide further views that support this partnership approach and the </w:t>
      </w:r>
      <w:r>
        <w:rPr>
          <w:rFonts w:asciiTheme="minorHAnsi" w:eastAsiaTheme="minorHAnsi" w:hAnsiTheme="minorHAnsi" w:cstheme="minorBidi"/>
          <w:lang w:val="en-AU"/>
        </w:rPr>
        <w:t>opportunity</w:t>
      </w:r>
      <w:r w:rsidRPr="00304A17">
        <w:rPr>
          <w:rFonts w:asciiTheme="minorHAnsi" w:eastAsiaTheme="minorHAnsi" w:hAnsiTheme="minorHAnsi" w:cstheme="minorBidi"/>
          <w:lang w:val="en-AU"/>
        </w:rPr>
        <w:t xml:space="preserve"> to strengthen it through ESSP-PMT.</w:t>
      </w:r>
    </w:p>
    <w:p w14:paraId="352FAE16" w14:textId="77777777" w:rsidR="00304A17" w:rsidRPr="00304A17" w:rsidRDefault="00304A17" w:rsidP="0015435E">
      <w:pPr>
        <w:spacing w:after="160" w:line="240" w:lineRule="auto"/>
        <w:contextualSpacing/>
        <w:jc w:val="both"/>
        <w:rPr>
          <w:rFonts w:asciiTheme="minorHAnsi" w:eastAsiaTheme="minorHAnsi" w:hAnsiTheme="minorHAnsi" w:cstheme="minorBidi"/>
          <w:lang w:val="en-AU"/>
        </w:rPr>
      </w:pPr>
    </w:p>
    <w:p w14:paraId="07C59E48" w14:textId="3B7C9367" w:rsidR="0019568A" w:rsidRPr="0019568A" w:rsidRDefault="0019568A" w:rsidP="0015435E">
      <w:pPr>
        <w:spacing w:after="160" w:line="240" w:lineRule="auto"/>
        <w:contextualSpacing/>
        <w:jc w:val="both"/>
        <w:rPr>
          <w:rFonts w:asciiTheme="minorHAnsi" w:eastAsiaTheme="minorHAnsi" w:hAnsiTheme="minorHAnsi" w:cstheme="minorBidi"/>
          <w:lang w:val="en-AU"/>
        </w:rPr>
      </w:pPr>
      <w:r w:rsidRPr="0019568A">
        <w:rPr>
          <w:rFonts w:asciiTheme="minorHAnsi" w:eastAsiaTheme="minorHAnsi" w:hAnsiTheme="minorHAnsi" w:cstheme="minorBidi"/>
          <w:b/>
          <w:bCs/>
          <w:i/>
          <w:iCs/>
          <w:lang w:val="en-AU"/>
        </w:rPr>
        <w:t>Strengthening the evidence through qualitative data</w:t>
      </w:r>
    </w:p>
    <w:p w14:paraId="2F291E76" w14:textId="40D88341" w:rsidR="005C14D1" w:rsidRDefault="00AC4A13" w:rsidP="0015435E">
      <w:pPr>
        <w:spacing w:before="120" w:after="120" w:line="240" w:lineRule="auto"/>
        <w:contextualSpacing/>
        <w:jc w:val="both"/>
        <w:rPr>
          <w:rFonts w:asciiTheme="minorHAnsi" w:eastAsiaTheme="minorHAnsi" w:hAnsiTheme="minorHAnsi" w:cstheme="minorBidi"/>
          <w:lang w:val="en-AU"/>
        </w:rPr>
      </w:pPr>
      <w:r>
        <w:rPr>
          <w:rFonts w:asciiTheme="minorHAnsi" w:eastAsiaTheme="minorHAnsi" w:hAnsiTheme="minorHAnsi" w:cstheme="minorBidi"/>
          <w:lang w:val="en-AU"/>
        </w:rPr>
        <w:t xml:space="preserve">The PLA indicators, targets and data collection process </w:t>
      </w:r>
      <w:proofErr w:type="gramStart"/>
      <w:r>
        <w:rPr>
          <w:rFonts w:asciiTheme="minorHAnsi" w:eastAsiaTheme="minorHAnsi" w:hAnsiTheme="minorHAnsi" w:cstheme="minorBidi"/>
          <w:lang w:val="en-AU"/>
        </w:rPr>
        <w:t>relies</w:t>
      </w:r>
      <w:proofErr w:type="gramEnd"/>
      <w:r>
        <w:rPr>
          <w:rFonts w:asciiTheme="minorHAnsi" w:eastAsiaTheme="minorHAnsi" w:hAnsiTheme="minorHAnsi" w:cstheme="minorBidi"/>
          <w:lang w:val="en-AU"/>
        </w:rPr>
        <w:t xml:space="preserve"> almost entirely upon quantitative data</w:t>
      </w:r>
      <w:r w:rsidR="00E77D22">
        <w:rPr>
          <w:rFonts w:asciiTheme="minorHAnsi" w:eastAsiaTheme="minorHAnsi" w:hAnsiTheme="minorHAnsi" w:cstheme="minorBidi"/>
          <w:lang w:val="en-AU"/>
        </w:rPr>
        <w:t xml:space="preserve"> – this limits the potential to capture and describe the rich ‘stories of change’ through qualitative M&amp;E techniques.</w:t>
      </w:r>
      <w:r w:rsidR="005C14D1" w:rsidRPr="005C14D1">
        <w:rPr>
          <w:rFonts w:asciiTheme="minorHAnsi" w:eastAsiaTheme="minorHAnsi" w:hAnsiTheme="minorHAnsi" w:cstheme="minorBidi"/>
          <w:lang w:val="en-AU"/>
        </w:rPr>
        <w:t xml:space="preserve"> </w:t>
      </w:r>
      <w:r>
        <w:rPr>
          <w:rFonts w:asciiTheme="minorHAnsi" w:eastAsiaTheme="minorHAnsi" w:hAnsiTheme="minorHAnsi" w:cstheme="minorBidi"/>
          <w:lang w:val="en-AU"/>
        </w:rPr>
        <w:t>The consultation process is</w:t>
      </w:r>
      <w:r w:rsidR="0019568A">
        <w:rPr>
          <w:rFonts w:asciiTheme="minorHAnsi" w:eastAsiaTheme="minorHAnsi" w:hAnsiTheme="minorHAnsi" w:cstheme="minorBidi"/>
          <w:lang w:val="en-AU"/>
        </w:rPr>
        <w:t xml:space="preserve"> mainly</w:t>
      </w:r>
      <w:r>
        <w:rPr>
          <w:rFonts w:asciiTheme="minorHAnsi" w:eastAsiaTheme="minorHAnsi" w:hAnsiTheme="minorHAnsi" w:cstheme="minorBidi"/>
          <w:lang w:val="en-AU"/>
        </w:rPr>
        <w:t xml:space="preserve"> focused on verification of quantitative data. </w:t>
      </w:r>
      <w:r w:rsidR="005C14D1" w:rsidRPr="005C14D1">
        <w:rPr>
          <w:rFonts w:asciiTheme="minorHAnsi" w:eastAsiaTheme="minorHAnsi" w:hAnsiTheme="minorHAnsi" w:cstheme="minorBidi"/>
          <w:lang w:val="en-AU"/>
        </w:rPr>
        <w:t>Perhaps areas of research could be agreed and undertaken in the year prior to PLA to feed into the process</w:t>
      </w:r>
      <w:r w:rsidR="00E77D22">
        <w:rPr>
          <w:rFonts w:asciiTheme="minorHAnsi" w:eastAsiaTheme="minorHAnsi" w:hAnsiTheme="minorHAnsi" w:cstheme="minorBidi"/>
          <w:lang w:val="en-AU"/>
        </w:rPr>
        <w:t xml:space="preserve"> and value-add to the quantitative data collection.</w:t>
      </w:r>
    </w:p>
    <w:p w14:paraId="5A104E6C" w14:textId="77777777" w:rsidR="00123455" w:rsidRDefault="00123455" w:rsidP="0015435E">
      <w:pPr>
        <w:spacing w:before="120" w:after="0" w:line="240" w:lineRule="auto"/>
        <w:ind w:left="68"/>
        <w:contextualSpacing/>
        <w:jc w:val="both"/>
        <w:rPr>
          <w:rFonts w:asciiTheme="minorHAnsi" w:eastAsiaTheme="minorHAnsi" w:hAnsiTheme="minorHAnsi" w:cstheme="minorBidi"/>
          <w:b/>
          <w:bCs/>
          <w:i/>
          <w:iCs/>
          <w:lang w:val="en-AU"/>
        </w:rPr>
      </w:pPr>
    </w:p>
    <w:p w14:paraId="537A5375" w14:textId="61141256" w:rsidR="0019568A" w:rsidRPr="0019568A" w:rsidRDefault="0019568A" w:rsidP="0015435E">
      <w:pPr>
        <w:spacing w:before="120" w:after="0" w:line="240" w:lineRule="auto"/>
        <w:contextualSpacing/>
        <w:jc w:val="both"/>
        <w:rPr>
          <w:rFonts w:asciiTheme="minorHAnsi" w:eastAsiaTheme="minorHAnsi" w:hAnsiTheme="minorHAnsi" w:cstheme="minorBidi"/>
          <w:b/>
          <w:bCs/>
          <w:i/>
          <w:iCs/>
          <w:lang w:val="en-AU"/>
        </w:rPr>
      </w:pPr>
      <w:r w:rsidRPr="0019568A">
        <w:rPr>
          <w:rFonts w:asciiTheme="minorHAnsi" w:eastAsiaTheme="minorHAnsi" w:hAnsiTheme="minorHAnsi" w:cstheme="minorBidi"/>
          <w:b/>
          <w:bCs/>
          <w:i/>
          <w:iCs/>
          <w:lang w:val="en-AU"/>
        </w:rPr>
        <w:t>Engaging in PLA as an incentive</w:t>
      </w:r>
    </w:p>
    <w:p w14:paraId="19E21C8D" w14:textId="2A714645" w:rsidR="00AB1D73" w:rsidRDefault="00C066EB" w:rsidP="00F80034">
      <w:pPr>
        <w:spacing w:before="120" w:after="120" w:line="240" w:lineRule="auto"/>
        <w:contextualSpacing/>
        <w:jc w:val="both"/>
        <w:rPr>
          <w:rFonts w:asciiTheme="minorHAnsi" w:eastAsiaTheme="minorHAnsi" w:hAnsiTheme="minorHAnsi" w:cstheme="minorBidi"/>
          <w:iCs/>
          <w:lang w:val="en-AU"/>
        </w:rPr>
      </w:pPr>
      <w:r>
        <w:rPr>
          <w:rFonts w:asciiTheme="minorHAnsi" w:eastAsiaTheme="minorHAnsi" w:hAnsiTheme="minorHAnsi" w:cstheme="minorBidi"/>
          <w:iCs/>
          <w:lang w:val="en-AU"/>
        </w:rPr>
        <w:t>T</w:t>
      </w:r>
      <w:r w:rsidR="005C14D1" w:rsidRPr="005C14D1">
        <w:rPr>
          <w:rFonts w:asciiTheme="minorHAnsi" w:eastAsiaTheme="minorHAnsi" w:hAnsiTheme="minorHAnsi" w:cstheme="minorBidi"/>
          <w:iCs/>
          <w:lang w:val="en-AU"/>
        </w:rPr>
        <w:t>he extent to which it incentivises behaviours</w:t>
      </w:r>
      <w:r>
        <w:rPr>
          <w:rFonts w:asciiTheme="minorHAnsi" w:eastAsiaTheme="minorHAnsi" w:hAnsiTheme="minorHAnsi" w:cstheme="minorBidi"/>
          <w:iCs/>
          <w:lang w:val="en-AU"/>
        </w:rPr>
        <w:t xml:space="preserve"> within MEHRD </w:t>
      </w:r>
      <w:r w:rsidR="00CC0E77">
        <w:rPr>
          <w:rFonts w:asciiTheme="minorHAnsi" w:eastAsiaTheme="minorHAnsi" w:hAnsiTheme="minorHAnsi" w:cstheme="minorBidi"/>
          <w:iCs/>
          <w:lang w:val="en-AU"/>
        </w:rPr>
        <w:t>is</w:t>
      </w:r>
      <w:r>
        <w:rPr>
          <w:rFonts w:asciiTheme="minorHAnsi" w:eastAsiaTheme="minorHAnsi" w:hAnsiTheme="minorHAnsi" w:cstheme="minorBidi"/>
          <w:iCs/>
          <w:lang w:val="en-AU"/>
        </w:rPr>
        <w:t xml:space="preserve"> not </w:t>
      </w:r>
      <w:r w:rsidR="00597DF3">
        <w:rPr>
          <w:rFonts w:asciiTheme="minorHAnsi" w:eastAsiaTheme="minorHAnsi" w:hAnsiTheme="minorHAnsi" w:cstheme="minorBidi"/>
          <w:iCs/>
          <w:lang w:val="en-AU"/>
        </w:rPr>
        <w:t>clear</w:t>
      </w:r>
      <w:r>
        <w:rPr>
          <w:rFonts w:asciiTheme="minorHAnsi" w:eastAsiaTheme="minorHAnsi" w:hAnsiTheme="minorHAnsi" w:cstheme="minorBidi"/>
          <w:iCs/>
          <w:lang w:val="en-AU"/>
        </w:rPr>
        <w:t xml:space="preserve"> but during the consultation process, it became apparent that many MEHRD officers are not aware of the PLA nor the associated indicators and targets</w:t>
      </w:r>
      <w:r w:rsidR="005C14D1" w:rsidRPr="005C14D1">
        <w:rPr>
          <w:rFonts w:asciiTheme="minorHAnsi" w:eastAsiaTheme="minorHAnsi" w:hAnsiTheme="minorHAnsi" w:cstheme="minorBidi"/>
          <w:iCs/>
          <w:lang w:val="en-AU"/>
        </w:rPr>
        <w:t xml:space="preserve">. </w:t>
      </w:r>
      <w:r>
        <w:rPr>
          <w:rFonts w:asciiTheme="minorHAnsi" w:eastAsiaTheme="minorHAnsi" w:hAnsiTheme="minorHAnsi" w:cstheme="minorBidi"/>
          <w:iCs/>
          <w:lang w:val="en-AU"/>
        </w:rPr>
        <w:t>There is no clear</w:t>
      </w:r>
      <w:r w:rsidR="005C14D1" w:rsidRPr="005C14D1">
        <w:rPr>
          <w:rFonts w:asciiTheme="minorHAnsi" w:eastAsiaTheme="minorHAnsi" w:hAnsiTheme="minorHAnsi" w:cstheme="minorBidi"/>
          <w:iCs/>
          <w:lang w:val="en-AU"/>
        </w:rPr>
        <w:t xml:space="preserve"> evidence of a focus to achieve some goals or activities </w:t>
      </w:r>
      <w:r w:rsidR="00DE0045">
        <w:rPr>
          <w:rFonts w:asciiTheme="minorHAnsi" w:eastAsiaTheme="minorHAnsi" w:hAnsiTheme="minorHAnsi" w:cstheme="minorBidi"/>
          <w:iCs/>
          <w:lang w:val="en-AU"/>
        </w:rPr>
        <w:t>as a means</w:t>
      </w:r>
      <w:r w:rsidR="00DF5978">
        <w:rPr>
          <w:rFonts w:asciiTheme="minorHAnsi" w:eastAsiaTheme="minorHAnsi" w:hAnsiTheme="minorHAnsi" w:cstheme="minorBidi"/>
          <w:iCs/>
          <w:lang w:val="en-AU"/>
        </w:rPr>
        <w:t xml:space="preserve"> (incentive)</w:t>
      </w:r>
      <w:r w:rsidR="00DE0045">
        <w:rPr>
          <w:rFonts w:asciiTheme="minorHAnsi" w:eastAsiaTheme="minorHAnsi" w:hAnsiTheme="minorHAnsi" w:cstheme="minorBidi"/>
          <w:iCs/>
          <w:lang w:val="en-AU"/>
        </w:rPr>
        <w:t xml:space="preserve"> to ensure optimal</w:t>
      </w:r>
      <w:r w:rsidR="005C14D1" w:rsidRPr="005C14D1">
        <w:rPr>
          <w:rFonts w:asciiTheme="minorHAnsi" w:eastAsiaTheme="minorHAnsi" w:hAnsiTheme="minorHAnsi" w:cstheme="minorBidi"/>
          <w:iCs/>
          <w:lang w:val="en-AU"/>
        </w:rPr>
        <w:t xml:space="preserve"> </w:t>
      </w:r>
      <w:r>
        <w:rPr>
          <w:rFonts w:asciiTheme="minorHAnsi" w:eastAsiaTheme="minorHAnsi" w:hAnsiTheme="minorHAnsi" w:cstheme="minorBidi"/>
          <w:iCs/>
          <w:lang w:val="en-AU"/>
        </w:rPr>
        <w:t xml:space="preserve">performance payment. This is not to suggest incentivisation </w:t>
      </w:r>
      <w:r w:rsidR="004A4B93">
        <w:rPr>
          <w:rFonts w:asciiTheme="minorHAnsi" w:eastAsiaTheme="minorHAnsi" w:hAnsiTheme="minorHAnsi" w:cstheme="minorBidi"/>
          <w:iCs/>
          <w:lang w:val="en-AU"/>
        </w:rPr>
        <w:t>does not</w:t>
      </w:r>
      <w:r>
        <w:rPr>
          <w:rFonts w:asciiTheme="minorHAnsi" w:eastAsiaTheme="minorHAnsi" w:hAnsiTheme="minorHAnsi" w:cstheme="minorBidi"/>
          <w:iCs/>
          <w:lang w:val="en-AU"/>
        </w:rPr>
        <w:t xml:space="preserve"> work, but that people responsible for </w:t>
      </w:r>
      <w:r w:rsidR="00F80034">
        <w:rPr>
          <w:rFonts w:asciiTheme="minorHAnsi" w:eastAsiaTheme="minorHAnsi" w:hAnsiTheme="minorHAnsi" w:cstheme="minorBidi"/>
          <w:iCs/>
          <w:lang w:val="en-AU"/>
        </w:rPr>
        <w:t>managing and delivering</w:t>
      </w:r>
      <w:r>
        <w:rPr>
          <w:rFonts w:asciiTheme="minorHAnsi" w:eastAsiaTheme="minorHAnsi" w:hAnsiTheme="minorHAnsi" w:cstheme="minorBidi"/>
          <w:iCs/>
          <w:lang w:val="en-AU"/>
        </w:rPr>
        <w:t xml:space="preserve"> the </w:t>
      </w:r>
      <w:r w:rsidR="00F80034">
        <w:rPr>
          <w:rFonts w:asciiTheme="minorHAnsi" w:eastAsiaTheme="minorHAnsi" w:hAnsiTheme="minorHAnsi" w:cstheme="minorBidi"/>
          <w:iCs/>
          <w:lang w:val="en-AU"/>
        </w:rPr>
        <w:t>improvement</w:t>
      </w:r>
      <w:r>
        <w:rPr>
          <w:rFonts w:asciiTheme="minorHAnsi" w:eastAsiaTheme="minorHAnsi" w:hAnsiTheme="minorHAnsi" w:cstheme="minorBidi"/>
          <w:iCs/>
          <w:lang w:val="en-AU"/>
        </w:rPr>
        <w:t xml:space="preserve"> are not aware or engaged in it</w:t>
      </w:r>
      <w:r w:rsidR="00D72423">
        <w:rPr>
          <w:rFonts w:asciiTheme="minorHAnsi" w:eastAsiaTheme="minorHAnsi" w:hAnsiTheme="minorHAnsi" w:cstheme="minorBidi"/>
          <w:iCs/>
          <w:lang w:val="en-AU"/>
        </w:rPr>
        <w:t xml:space="preserve"> and they need to have influence and be in control of the outcomes.</w:t>
      </w:r>
    </w:p>
    <w:p w14:paraId="519745AF" w14:textId="77777777" w:rsidR="00F80034" w:rsidRDefault="00F80034" w:rsidP="00F80034">
      <w:pPr>
        <w:spacing w:before="120" w:after="120" w:line="240" w:lineRule="auto"/>
        <w:contextualSpacing/>
        <w:jc w:val="both"/>
        <w:rPr>
          <w:rFonts w:asciiTheme="minorHAnsi" w:eastAsiaTheme="minorHAnsi" w:hAnsiTheme="minorHAnsi" w:cstheme="minorBidi"/>
          <w:iCs/>
          <w:lang w:val="en-AU"/>
        </w:rPr>
      </w:pPr>
    </w:p>
    <w:p w14:paraId="04240519" w14:textId="2EBD4DD1" w:rsidR="005C14D1" w:rsidRPr="00CC0E77" w:rsidRDefault="00CC0E77" w:rsidP="0015435E">
      <w:pPr>
        <w:spacing w:before="240" w:after="120" w:line="240" w:lineRule="auto"/>
        <w:contextualSpacing/>
        <w:jc w:val="both"/>
        <w:rPr>
          <w:rFonts w:asciiTheme="minorHAnsi" w:eastAsiaTheme="minorHAnsi" w:hAnsiTheme="minorHAnsi" w:cstheme="minorBidi"/>
          <w:iCs/>
          <w:lang w:val="en-AU"/>
        </w:rPr>
      </w:pPr>
      <w:r w:rsidRPr="00AB1D73">
        <w:rPr>
          <w:rFonts w:asciiTheme="minorHAnsi" w:eastAsiaTheme="minorHAnsi" w:hAnsiTheme="minorHAnsi" w:cstheme="minorBidi"/>
          <w:iCs/>
          <w:lang w:val="en-AU"/>
        </w:rPr>
        <w:t xml:space="preserve">There is an opportunity under ESSP to engage with MEHRD officers more deeply to not only set the targets but collaborate on how the targets can be met. </w:t>
      </w:r>
      <w:r w:rsidR="00AB1D73" w:rsidRPr="00AB1D73">
        <w:rPr>
          <w:rFonts w:asciiTheme="minorHAnsi" w:eastAsiaTheme="minorHAnsi" w:hAnsiTheme="minorHAnsi" w:cstheme="minorBidi"/>
          <w:iCs/>
          <w:lang w:val="en-AU"/>
        </w:rPr>
        <w:t xml:space="preserve">One of the assumptions within the ESSP Design is </w:t>
      </w:r>
      <w:r w:rsidR="00AB1D73">
        <w:rPr>
          <w:rFonts w:asciiTheme="minorHAnsi" w:eastAsiaTheme="minorHAnsi" w:hAnsiTheme="minorHAnsi" w:cstheme="minorBidi"/>
          <w:iCs/>
          <w:lang w:val="en-AU"/>
        </w:rPr>
        <w:t>‘</w:t>
      </w:r>
      <w:r w:rsidR="00AB1D73" w:rsidRPr="00AB1D73">
        <w:rPr>
          <w:rFonts w:asciiTheme="minorHAnsi" w:eastAsiaTheme="minorHAnsi" w:hAnsiTheme="minorHAnsi" w:cstheme="minorBidi"/>
          <w:iCs/>
          <w:lang w:val="en-AU"/>
        </w:rPr>
        <w:t>Provision of performance linked funding will incentivise MEHRD/SIG performance</w:t>
      </w:r>
      <w:r w:rsidR="00AB1D73">
        <w:rPr>
          <w:rFonts w:asciiTheme="minorHAnsi" w:eastAsiaTheme="minorHAnsi" w:hAnsiTheme="minorHAnsi" w:cstheme="minorBidi"/>
          <w:iCs/>
          <w:lang w:val="en-AU"/>
        </w:rPr>
        <w:t>’ – testing this assumption (how much does the funding incentivise?) now will assist in developing a baseline</w:t>
      </w:r>
      <w:r w:rsidR="00AB1D73" w:rsidRPr="00AB1D73">
        <w:rPr>
          <w:rFonts w:asciiTheme="minorHAnsi" w:eastAsiaTheme="minorHAnsi" w:hAnsiTheme="minorHAnsi" w:cstheme="minorBidi"/>
          <w:iCs/>
          <w:lang w:val="en-AU"/>
        </w:rPr>
        <w:t xml:space="preserve">. </w:t>
      </w:r>
      <w:r>
        <w:rPr>
          <w:rFonts w:asciiTheme="minorHAnsi" w:eastAsiaTheme="minorHAnsi" w:hAnsiTheme="minorHAnsi" w:cstheme="minorBidi"/>
          <w:lang w:val="en-AU"/>
        </w:rPr>
        <w:t xml:space="preserve">This can also align with the proposed ESSP Capacity </w:t>
      </w:r>
      <w:r w:rsidR="00475B35">
        <w:rPr>
          <w:rFonts w:asciiTheme="minorHAnsi" w:eastAsiaTheme="minorHAnsi" w:hAnsiTheme="minorHAnsi" w:cstheme="minorBidi"/>
          <w:lang w:val="en-AU"/>
        </w:rPr>
        <w:t xml:space="preserve">Development </w:t>
      </w:r>
      <w:r>
        <w:rPr>
          <w:rFonts w:asciiTheme="minorHAnsi" w:eastAsiaTheme="minorHAnsi" w:hAnsiTheme="minorHAnsi" w:cstheme="minorBidi"/>
          <w:lang w:val="en-AU"/>
        </w:rPr>
        <w:t>Framework. ESSP Technical Advisers could become more involved in the process.</w:t>
      </w:r>
      <w:r w:rsidR="005C14D1" w:rsidRPr="0019568A">
        <w:rPr>
          <w:rFonts w:asciiTheme="minorHAnsi" w:eastAsiaTheme="minorHAnsi" w:hAnsiTheme="minorHAnsi" w:cstheme="minorBidi"/>
          <w:lang w:val="en-AU"/>
        </w:rPr>
        <w:t xml:space="preserve"> </w:t>
      </w:r>
    </w:p>
    <w:p w14:paraId="043785C9" w14:textId="77777777" w:rsidR="00123455" w:rsidRDefault="00123455" w:rsidP="0015435E">
      <w:pPr>
        <w:spacing w:before="120" w:after="0" w:line="240" w:lineRule="auto"/>
        <w:contextualSpacing/>
        <w:jc w:val="both"/>
        <w:rPr>
          <w:rFonts w:asciiTheme="minorHAnsi" w:eastAsiaTheme="minorHAnsi" w:hAnsiTheme="minorHAnsi" w:cstheme="minorBidi"/>
          <w:b/>
          <w:bCs/>
          <w:i/>
          <w:iCs/>
          <w:lang w:val="en-AU"/>
        </w:rPr>
      </w:pPr>
    </w:p>
    <w:p w14:paraId="0D9F5239" w14:textId="6017345C" w:rsidR="00123455" w:rsidRPr="00123455" w:rsidRDefault="0087530E" w:rsidP="0015435E">
      <w:pPr>
        <w:spacing w:before="120" w:after="0" w:line="240" w:lineRule="auto"/>
        <w:contextualSpacing/>
        <w:jc w:val="both"/>
        <w:rPr>
          <w:rFonts w:asciiTheme="minorHAnsi" w:eastAsiaTheme="minorHAnsi" w:hAnsiTheme="minorHAnsi" w:cstheme="minorBidi"/>
          <w:b/>
          <w:bCs/>
          <w:i/>
          <w:iCs/>
          <w:lang w:val="en-AU"/>
        </w:rPr>
      </w:pPr>
      <w:r>
        <w:rPr>
          <w:rFonts w:asciiTheme="minorHAnsi" w:eastAsiaTheme="minorHAnsi" w:hAnsiTheme="minorHAnsi" w:cstheme="minorBidi"/>
          <w:b/>
          <w:bCs/>
          <w:i/>
          <w:iCs/>
          <w:lang w:val="en-AU"/>
        </w:rPr>
        <w:t>L</w:t>
      </w:r>
      <w:r w:rsidR="00123455">
        <w:rPr>
          <w:rFonts w:asciiTheme="minorHAnsi" w:eastAsiaTheme="minorHAnsi" w:hAnsiTheme="minorHAnsi" w:cstheme="minorBidi"/>
          <w:b/>
          <w:bCs/>
          <w:i/>
          <w:iCs/>
          <w:lang w:val="en-AU"/>
        </w:rPr>
        <w:t xml:space="preserve">eadership </w:t>
      </w:r>
      <w:r w:rsidR="009E2344">
        <w:rPr>
          <w:rFonts w:asciiTheme="minorHAnsi" w:eastAsiaTheme="minorHAnsi" w:hAnsiTheme="minorHAnsi" w:cstheme="minorBidi"/>
          <w:b/>
          <w:bCs/>
          <w:i/>
          <w:iCs/>
          <w:lang w:val="en-AU"/>
        </w:rPr>
        <w:t>and management of</w:t>
      </w:r>
      <w:r w:rsidR="00123455">
        <w:rPr>
          <w:rFonts w:asciiTheme="minorHAnsi" w:eastAsiaTheme="minorHAnsi" w:hAnsiTheme="minorHAnsi" w:cstheme="minorBidi"/>
          <w:b/>
          <w:bCs/>
          <w:i/>
          <w:iCs/>
          <w:lang w:val="en-AU"/>
        </w:rPr>
        <w:t xml:space="preserve"> PLA</w:t>
      </w:r>
    </w:p>
    <w:p w14:paraId="10070079" w14:textId="046D3400" w:rsidR="00166A32" w:rsidRDefault="00166A32" w:rsidP="006A1780">
      <w:pPr>
        <w:spacing w:before="240" w:after="120" w:line="240" w:lineRule="auto"/>
        <w:contextualSpacing/>
        <w:jc w:val="both"/>
        <w:rPr>
          <w:rFonts w:asciiTheme="minorHAnsi" w:eastAsiaTheme="minorHAnsi" w:hAnsiTheme="minorHAnsi" w:cstheme="minorBidi"/>
          <w:iCs/>
          <w:lang w:val="en-AU"/>
        </w:rPr>
      </w:pPr>
      <w:r w:rsidRPr="006A1780">
        <w:rPr>
          <w:rFonts w:asciiTheme="minorHAnsi" w:eastAsiaTheme="minorHAnsi" w:hAnsiTheme="minorHAnsi" w:cstheme="minorBidi"/>
          <w:iCs/>
          <w:lang w:val="en-AU"/>
        </w:rPr>
        <w:t xml:space="preserve">AHC usually engages a different assessor each year. </w:t>
      </w:r>
      <w:r w:rsidR="0087530E" w:rsidRPr="006A1780">
        <w:rPr>
          <w:rFonts w:asciiTheme="minorHAnsi" w:eastAsiaTheme="minorHAnsi" w:hAnsiTheme="minorHAnsi" w:cstheme="minorBidi"/>
          <w:iCs/>
          <w:lang w:val="en-AU"/>
        </w:rPr>
        <w:t xml:space="preserve">In previous </w:t>
      </w:r>
      <w:r w:rsidR="004A4B93" w:rsidRPr="006A1780">
        <w:rPr>
          <w:rFonts w:asciiTheme="minorHAnsi" w:eastAsiaTheme="minorHAnsi" w:hAnsiTheme="minorHAnsi" w:cstheme="minorBidi"/>
          <w:iCs/>
          <w:lang w:val="en-AU"/>
        </w:rPr>
        <w:t>years,</w:t>
      </w:r>
      <w:r w:rsidR="0087530E" w:rsidRPr="006A1780">
        <w:rPr>
          <w:rFonts w:asciiTheme="minorHAnsi" w:eastAsiaTheme="minorHAnsi" w:hAnsiTheme="minorHAnsi" w:cstheme="minorBidi"/>
          <w:iCs/>
          <w:lang w:val="en-AU"/>
        </w:rPr>
        <w:t xml:space="preserve"> t</w:t>
      </w:r>
      <w:r w:rsidR="00123455" w:rsidRPr="006A1780">
        <w:rPr>
          <w:rFonts w:asciiTheme="minorHAnsi" w:eastAsiaTheme="minorHAnsi" w:hAnsiTheme="minorHAnsi" w:cstheme="minorBidi"/>
          <w:iCs/>
          <w:lang w:val="en-AU"/>
        </w:rPr>
        <w:t xml:space="preserve">he assessor usually spends two weeks to collect and verify data and report the findings. </w:t>
      </w:r>
      <w:r w:rsidRPr="006A1780">
        <w:rPr>
          <w:rFonts w:asciiTheme="minorHAnsi" w:eastAsiaTheme="minorHAnsi" w:hAnsiTheme="minorHAnsi" w:cstheme="minorBidi"/>
          <w:iCs/>
          <w:lang w:val="en-AU"/>
        </w:rPr>
        <w:t xml:space="preserve">As noted </w:t>
      </w:r>
      <w:r w:rsidR="00123455" w:rsidRPr="006A1780">
        <w:rPr>
          <w:rFonts w:asciiTheme="minorHAnsi" w:eastAsiaTheme="minorHAnsi" w:hAnsiTheme="minorHAnsi" w:cstheme="minorBidi"/>
          <w:iCs/>
          <w:lang w:val="en-AU"/>
        </w:rPr>
        <w:t>in previous</w:t>
      </w:r>
      <w:r w:rsidRPr="006A1780">
        <w:rPr>
          <w:rFonts w:asciiTheme="minorHAnsi" w:eastAsiaTheme="minorHAnsi" w:hAnsiTheme="minorHAnsi" w:cstheme="minorBidi"/>
          <w:iCs/>
          <w:lang w:val="en-AU"/>
        </w:rPr>
        <w:t xml:space="preserve"> year</w:t>
      </w:r>
      <w:r w:rsidR="00123455" w:rsidRPr="006A1780">
        <w:rPr>
          <w:rFonts w:asciiTheme="minorHAnsi" w:eastAsiaTheme="minorHAnsi" w:hAnsiTheme="minorHAnsi" w:cstheme="minorBidi"/>
          <w:iCs/>
          <w:lang w:val="en-AU"/>
        </w:rPr>
        <w:t>s</w:t>
      </w:r>
      <w:r w:rsidRPr="006A1780">
        <w:rPr>
          <w:rFonts w:asciiTheme="minorHAnsi" w:eastAsiaTheme="minorHAnsi" w:hAnsiTheme="minorHAnsi" w:cstheme="minorBidi"/>
          <w:iCs/>
          <w:lang w:val="en-AU"/>
        </w:rPr>
        <w:t>, this approach has its advantages</w:t>
      </w:r>
      <w:r w:rsidR="00123455" w:rsidRPr="006A1780">
        <w:rPr>
          <w:rFonts w:asciiTheme="minorHAnsi" w:eastAsiaTheme="minorHAnsi" w:hAnsiTheme="minorHAnsi" w:cstheme="minorBidi"/>
          <w:iCs/>
          <w:lang w:val="en-AU"/>
        </w:rPr>
        <w:t xml:space="preserve"> but lacks continuity and the capacity to fully engage, </w:t>
      </w:r>
      <w:proofErr w:type="gramStart"/>
      <w:r w:rsidR="00123455" w:rsidRPr="006A1780">
        <w:rPr>
          <w:rFonts w:asciiTheme="minorHAnsi" w:eastAsiaTheme="minorHAnsi" w:hAnsiTheme="minorHAnsi" w:cstheme="minorBidi"/>
          <w:iCs/>
          <w:lang w:val="en-AU"/>
        </w:rPr>
        <w:t>collaborate</w:t>
      </w:r>
      <w:proofErr w:type="gramEnd"/>
      <w:r w:rsidR="00123455" w:rsidRPr="006A1780">
        <w:rPr>
          <w:rFonts w:asciiTheme="minorHAnsi" w:eastAsiaTheme="minorHAnsi" w:hAnsiTheme="minorHAnsi" w:cstheme="minorBidi"/>
          <w:iCs/>
          <w:lang w:val="en-AU"/>
        </w:rPr>
        <w:t xml:space="preserve"> and partner on achieving the targets. </w:t>
      </w:r>
      <w:r w:rsidR="0087530E" w:rsidRPr="006A1780">
        <w:rPr>
          <w:rFonts w:asciiTheme="minorHAnsi" w:eastAsiaTheme="minorHAnsi" w:hAnsiTheme="minorHAnsi" w:cstheme="minorBidi"/>
          <w:iCs/>
          <w:lang w:val="en-AU"/>
        </w:rPr>
        <w:t xml:space="preserve">This year’s assessment was delayed partly due to </w:t>
      </w:r>
      <w:r w:rsidR="00FC0016">
        <w:rPr>
          <w:rFonts w:asciiTheme="minorHAnsi" w:eastAsiaTheme="minorHAnsi" w:hAnsiTheme="minorHAnsi" w:cstheme="minorBidi"/>
          <w:iCs/>
          <w:lang w:val="en-AU"/>
        </w:rPr>
        <w:t>COVID-19</w:t>
      </w:r>
      <w:r w:rsidR="0087530E" w:rsidRPr="006A1780">
        <w:rPr>
          <w:rFonts w:asciiTheme="minorHAnsi" w:eastAsiaTheme="minorHAnsi" w:hAnsiTheme="minorHAnsi" w:cstheme="minorBidi"/>
          <w:iCs/>
          <w:lang w:val="en-AU"/>
        </w:rPr>
        <w:t xml:space="preserve"> issues but also because the process took longer due to the collaborative approach undertaken with the SSU M&amp;E Team.</w:t>
      </w:r>
      <w:r w:rsidR="00123455" w:rsidRPr="006A1780">
        <w:rPr>
          <w:rFonts w:asciiTheme="minorHAnsi" w:eastAsiaTheme="minorHAnsi" w:hAnsiTheme="minorHAnsi" w:cstheme="minorBidi"/>
          <w:iCs/>
          <w:lang w:val="en-AU"/>
        </w:rPr>
        <w:t xml:space="preserve"> </w:t>
      </w:r>
      <w:r w:rsidR="00F35C00" w:rsidRPr="006A1780">
        <w:rPr>
          <w:rFonts w:asciiTheme="minorHAnsi" w:eastAsiaTheme="minorHAnsi" w:hAnsiTheme="minorHAnsi" w:cstheme="minorBidi"/>
          <w:iCs/>
          <w:lang w:val="en-AU"/>
        </w:rPr>
        <w:t xml:space="preserve">Last year’s AHC management response suggested the ESSP PMT would take responsibility for managing the PLA this year – delays to the establishment of the PMT has delayed this. </w:t>
      </w:r>
    </w:p>
    <w:p w14:paraId="543A3061" w14:textId="77777777" w:rsidR="006A1780" w:rsidRPr="006A1780" w:rsidRDefault="006A1780" w:rsidP="006A1780">
      <w:pPr>
        <w:spacing w:before="240" w:after="120" w:line="240" w:lineRule="auto"/>
        <w:contextualSpacing/>
        <w:jc w:val="both"/>
        <w:rPr>
          <w:rFonts w:asciiTheme="minorHAnsi" w:eastAsiaTheme="minorHAnsi" w:hAnsiTheme="minorHAnsi" w:cstheme="minorBidi"/>
          <w:iCs/>
          <w:lang w:val="en-AU"/>
        </w:rPr>
      </w:pPr>
    </w:p>
    <w:p w14:paraId="3C3EA4BD" w14:textId="5CC0EAB5" w:rsidR="00D80528" w:rsidRPr="00D80528" w:rsidRDefault="00D80528" w:rsidP="0015435E">
      <w:pPr>
        <w:spacing w:before="120" w:after="0" w:line="240" w:lineRule="auto"/>
        <w:contextualSpacing/>
        <w:jc w:val="both"/>
        <w:rPr>
          <w:rFonts w:asciiTheme="minorHAnsi" w:eastAsiaTheme="minorHAnsi" w:hAnsiTheme="minorHAnsi" w:cstheme="minorBidi"/>
          <w:b/>
          <w:bCs/>
          <w:i/>
          <w:iCs/>
          <w:lang w:val="en-AU"/>
        </w:rPr>
      </w:pPr>
      <w:r w:rsidRPr="00D80528">
        <w:rPr>
          <w:rFonts w:asciiTheme="minorHAnsi" w:eastAsiaTheme="minorHAnsi" w:hAnsiTheme="minorHAnsi" w:cstheme="minorBidi"/>
          <w:b/>
          <w:bCs/>
          <w:i/>
          <w:iCs/>
          <w:lang w:val="en-AU"/>
        </w:rPr>
        <w:t>Assessment as a partnership</w:t>
      </w:r>
    </w:p>
    <w:p w14:paraId="061DBF02" w14:textId="0A8B97B9" w:rsidR="00D80528" w:rsidRDefault="00D80528" w:rsidP="0015435E">
      <w:pPr>
        <w:pStyle w:val="Bodytext11"/>
      </w:pPr>
      <w:r w:rsidRPr="00D80528">
        <w:t xml:space="preserve">In line with the development of indicators in a genuine partnership, the assessment should be carried out in partnership too. This </w:t>
      </w:r>
      <w:r w:rsidR="004A4B93" w:rsidRPr="00D80528">
        <w:t>does not</w:t>
      </w:r>
      <w:r w:rsidRPr="00D80528">
        <w:t xml:space="preserve"> mean the assessor</w:t>
      </w:r>
      <w:r w:rsidR="00281278">
        <w:t xml:space="preserve"> </w:t>
      </w:r>
      <w:r w:rsidRPr="00D80528">
        <w:t xml:space="preserve">is not able to make recommendations with which MEHRD might not agree. </w:t>
      </w:r>
      <w:r w:rsidR="00281278">
        <w:t>The</w:t>
      </w:r>
      <w:r w:rsidRPr="00D80528">
        <w:t xml:space="preserve"> inclu</w:t>
      </w:r>
      <w:r w:rsidR="00281278">
        <w:t xml:space="preserve">sion of SSU M&amp;E officers in the process this year was resoundingly successful both as an opportunity to collaborate but also as </w:t>
      </w:r>
      <w:r w:rsidR="004A4B93">
        <w:t>a particularly useful</w:t>
      </w:r>
      <w:r w:rsidR="00281278">
        <w:t xml:space="preserve"> capacity building activity. The process did not diminish the efficacy of the results – it value added</w:t>
      </w:r>
      <w:r w:rsidR="001B48B0">
        <w:t xml:space="preserve"> and enhanced the capability of MEHRD M&amp;E</w:t>
      </w:r>
      <w:r w:rsidR="00281278">
        <w:t>.</w:t>
      </w:r>
      <w:r w:rsidRPr="00D80528">
        <w:t xml:space="preserve"> </w:t>
      </w:r>
    </w:p>
    <w:p w14:paraId="083DDCD3" w14:textId="4AA0D295" w:rsidR="00166A32" w:rsidRDefault="00166A32" w:rsidP="0015435E">
      <w:pPr>
        <w:spacing w:line="240" w:lineRule="auto"/>
        <w:sectPr w:rsidR="00166A32" w:rsidSect="00E22742">
          <w:headerReference w:type="default" r:id="rId15"/>
          <w:footerReference w:type="default" r:id="rId16"/>
          <w:pgSz w:w="11906" w:h="16838"/>
          <w:pgMar w:top="1440" w:right="1440" w:bottom="1440" w:left="1440" w:header="567" w:footer="708" w:gutter="0"/>
          <w:pgNumType w:start="0"/>
          <w:cols w:space="708"/>
          <w:titlePg/>
          <w:docGrid w:linePitch="360"/>
        </w:sectPr>
      </w:pPr>
    </w:p>
    <w:p w14:paraId="085064F6" w14:textId="3D031A2B" w:rsidR="008E7543" w:rsidRDefault="00ED65C2" w:rsidP="0015435E">
      <w:pPr>
        <w:pStyle w:val="Heading2"/>
        <w:spacing w:line="240" w:lineRule="auto"/>
        <w:rPr>
          <w:rFonts w:asciiTheme="minorHAnsi" w:hAnsiTheme="minorHAnsi" w:cstheme="minorHAnsi"/>
          <w:sz w:val="24"/>
          <w:szCs w:val="24"/>
        </w:rPr>
      </w:pPr>
      <w:bookmarkStart w:id="57" w:name="_Toc49858098"/>
      <w:r>
        <w:rPr>
          <w:rFonts w:asciiTheme="minorHAnsi" w:hAnsiTheme="minorHAnsi" w:cstheme="minorHAnsi"/>
          <w:sz w:val="24"/>
          <w:szCs w:val="24"/>
        </w:rPr>
        <w:t xml:space="preserve">Annex A: </w:t>
      </w:r>
      <w:r w:rsidR="00196319" w:rsidRPr="00196319">
        <w:rPr>
          <w:rFonts w:asciiTheme="minorHAnsi" w:hAnsiTheme="minorHAnsi" w:cstheme="minorHAnsi"/>
          <w:sz w:val="24"/>
          <w:szCs w:val="24"/>
        </w:rPr>
        <w:t>Assessment Table</w:t>
      </w:r>
      <w:r w:rsidR="00196319">
        <w:rPr>
          <w:rFonts w:asciiTheme="minorHAnsi" w:hAnsiTheme="minorHAnsi" w:cstheme="minorHAnsi"/>
          <w:sz w:val="24"/>
          <w:szCs w:val="24"/>
        </w:rPr>
        <w:t xml:space="preserve"> Compilation</w:t>
      </w:r>
      <w:bookmarkEnd w:id="57"/>
    </w:p>
    <w:tbl>
      <w:tblPr>
        <w:tblW w:w="15304"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129"/>
        <w:gridCol w:w="1134"/>
        <w:gridCol w:w="2410"/>
        <w:gridCol w:w="2977"/>
        <w:gridCol w:w="1276"/>
        <w:gridCol w:w="2551"/>
        <w:gridCol w:w="1985"/>
        <w:gridCol w:w="1842"/>
      </w:tblGrid>
      <w:tr w:rsidR="009362A4" w:rsidRPr="00864629" w14:paraId="786A3C62" w14:textId="77777777" w:rsidTr="006046AC">
        <w:trPr>
          <w:cantSplit/>
          <w:jc w:val="center"/>
        </w:trPr>
        <w:tc>
          <w:tcPr>
            <w:tcW w:w="1129" w:type="dxa"/>
            <w:tcBorders>
              <w:bottom w:val="single" w:sz="4" w:space="0" w:color="4472C4" w:themeColor="accent1"/>
              <w:right w:val="single" w:sz="4" w:space="0" w:color="FFFFFF" w:themeColor="background1"/>
            </w:tcBorders>
            <w:shd w:val="clear" w:color="auto" w:fill="4472C4" w:themeFill="accent1"/>
            <w:noWrap/>
            <w:vAlign w:val="center"/>
            <w:hideMark/>
          </w:tcPr>
          <w:p w14:paraId="10151922" w14:textId="77777777" w:rsidR="009362A4" w:rsidRPr="00864629" w:rsidRDefault="009362A4" w:rsidP="0015435E">
            <w:pPr>
              <w:spacing w:after="0" w:line="240" w:lineRule="auto"/>
              <w:jc w:val="center"/>
              <w:rPr>
                <w:rFonts w:ascii="Calibri" w:eastAsia="Times New Roman" w:hAnsi="Calibri" w:cs="Times New Roman"/>
                <w:b/>
                <w:bCs/>
                <w:color w:val="FFFFFF" w:themeColor="background1"/>
                <w:sz w:val="18"/>
                <w:szCs w:val="18"/>
                <w:lang w:val="en-AU"/>
              </w:rPr>
            </w:pPr>
            <w:bookmarkStart w:id="58" w:name="RANGE!A1:I16"/>
            <w:bookmarkStart w:id="59" w:name="_Hlk49421808"/>
            <w:r w:rsidRPr="00864629">
              <w:rPr>
                <w:rFonts w:ascii="Calibri" w:eastAsia="Times New Roman" w:hAnsi="Calibri" w:cs="Times New Roman"/>
                <w:b/>
                <w:bCs/>
                <w:color w:val="FFFFFF" w:themeColor="background1"/>
                <w:sz w:val="18"/>
                <w:szCs w:val="18"/>
                <w:lang w:val="en-AU"/>
              </w:rPr>
              <w:t xml:space="preserve">NEAP </w:t>
            </w:r>
            <w:r>
              <w:rPr>
                <w:rFonts w:ascii="Calibri" w:eastAsia="Times New Roman" w:hAnsi="Calibri" w:cs="Times New Roman"/>
                <w:b/>
                <w:bCs/>
                <w:color w:val="FFFFFF" w:themeColor="background1"/>
                <w:sz w:val="18"/>
                <w:szCs w:val="18"/>
                <w:lang w:val="en-AU"/>
              </w:rPr>
              <w:t xml:space="preserve">2016-20 </w:t>
            </w:r>
            <w:r w:rsidRPr="00864629">
              <w:rPr>
                <w:rFonts w:ascii="Calibri" w:eastAsia="Times New Roman" w:hAnsi="Calibri" w:cs="Times New Roman"/>
                <w:b/>
                <w:bCs/>
                <w:color w:val="FFFFFF" w:themeColor="background1"/>
                <w:sz w:val="18"/>
                <w:szCs w:val="18"/>
                <w:lang w:val="en-AU"/>
              </w:rPr>
              <w:t>Priority</w:t>
            </w:r>
            <w:bookmarkEnd w:id="58"/>
          </w:p>
        </w:tc>
        <w:tc>
          <w:tcPr>
            <w:tcW w:w="1134" w:type="dxa"/>
            <w:tcBorders>
              <w:left w:val="single" w:sz="4" w:space="0" w:color="FFFFFF" w:themeColor="background1"/>
              <w:bottom w:val="single" w:sz="4" w:space="0" w:color="4472C4" w:themeColor="accent1"/>
              <w:right w:val="single" w:sz="4" w:space="0" w:color="FFFFFF" w:themeColor="background1"/>
            </w:tcBorders>
            <w:shd w:val="clear" w:color="auto" w:fill="4472C4" w:themeFill="accent1"/>
            <w:vAlign w:val="center"/>
            <w:hideMark/>
          </w:tcPr>
          <w:p w14:paraId="1471DC7C" w14:textId="77777777" w:rsidR="009362A4" w:rsidRPr="00327E1E" w:rsidRDefault="009362A4" w:rsidP="0015435E">
            <w:pPr>
              <w:spacing w:after="0" w:line="240" w:lineRule="auto"/>
              <w:jc w:val="center"/>
              <w:rPr>
                <w:rFonts w:ascii="Calibri" w:eastAsia="Times New Roman" w:hAnsi="Calibri" w:cs="Times New Roman"/>
                <w:b/>
                <w:bCs/>
                <w:color w:val="FFFFFF" w:themeColor="background1"/>
                <w:sz w:val="18"/>
                <w:szCs w:val="16"/>
                <w:lang w:val="en-AU"/>
              </w:rPr>
            </w:pPr>
            <w:r>
              <w:rPr>
                <w:rFonts w:ascii="Calibri" w:eastAsia="Times New Roman" w:hAnsi="Calibri" w:cs="Times New Roman"/>
                <w:b/>
                <w:bCs/>
                <w:color w:val="FFFFFF" w:themeColor="background1"/>
                <w:sz w:val="18"/>
                <w:szCs w:val="16"/>
                <w:lang w:val="en-AU"/>
              </w:rPr>
              <w:t>RF/MELP</w:t>
            </w:r>
            <w:r>
              <w:rPr>
                <w:rStyle w:val="FootnoteReference"/>
                <w:rFonts w:ascii="Calibri" w:eastAsia="Times New Roman" w:hAnsi="Calibri" w:cs="Times New Roman"/>
                <w:b/>
                <w:bCs/>
                <w:color w:val="FFFFFF" w:themeColor="background1"/>
                <w:sz w:val="18"/>
                <w:szCs w:val="16"/>
                <w:lang w:val="en-AU"/>
              </w:rPr>
              <w:footnoteReference w:id="12"/>
            </w:r>
          </w:p>
          <w:p w14:paraId="6F243E30" w14:textId="77777777" w:rsidR="009362A4" w:rsidRPr="00864629" w:rsidRDefault="009362A4" w:rsidP="0015435E">
            <w:pPr>
              <w:spacing w:after="0" w:line="240" w:lineRule="auto"/>
              <w:jc w:val="center"/>
              <w:rPr>
                <w:rFonts w:ascii="Calibri" w:eastAsia="Times New Roman" w:hAnsi="Calibri" w:cs="Times New Roman"/>
                <w:b/>
                <w:bCs/>
                <w:color w:val="FFFFFF" w:themeColor="background1"/>
                <w:sz w:val="18"/>
                <w:szCs w:val="18"/>
                <w:lang w:val="en-AU"/>
              </w:rPr>
            </w:pPr>
            <w:r>
              <w:rPr>
                <w:rFonts w:ascii="Calibri" w:eastAsia="Times New Roman" w:hAnsi="Calibri" w:cs="Times New Roman"/>
                <w:b/>
                <w:bCs/>
                <w:color w:val="FFFFFF" w:themeColor="background1"/>
                <w:spacing w:val="-6"/>
                <w:sz w:val="18"/>
                <w:szCs w:val="18"/>
                <w:lang w:val="en-AU"/>
              </w:rPr>
              <w:t>(</w:t>
            </w:r>
            <w:r w:rsidRPr="00864629">
              <w:rPr>
                <w:rFonts w:ascii="Calibri" w:eastAsia="Times New Roman" w:hAnsi="Calibri" w:cs="Times New Roman"/>
                <w:b/>
                <w:bCs/>
                <w:color w:val="FFFFFF" w:themeColor="background1"/>
                <w:spacing w:val="-6"/>
                <w:sz w:val="18"/>
                <w:szCs w:val="18"/>
                <w:lang w:val="en-AU"/>
              </w:rPr>
              <w:t>AWP</w:t>
            </w:r>
            <w:r w:rsidRPr="00864629">
              <w:rPr>
                <w:rStyle w:val="FootnoteReference"/>
                <w:rFonts w:ascii="Calibri" w:eastAsia="Times New Roman" w:hAnsi="Calibri" w:cs="Times New Roman"/>
                <w:b/>
                <w:bCs/>
                <w:color w:val="FFFFFF" w:themeColor="background1"/>
                <w:spacing w:val="-6"/>
                <w:sz w:val="18"/>
                <w:szCs w:val="18"/>
                <w:lang w:val="en-AU"/>
              </w:rPr>
              <w:footnoteReference w:id="13"/>
            </w:r>
            <w:r>
              <w:rPr>
                <w:rFonts w:ascii="Calibri" w:eastAsia="Times New Roman" w:hAnsi="Calibri" w:cs="Times New Roman"/>
                <w:b/>
                <w:bCs/>
                <w:color w:val="FFFFFF" w:themeColor="background1"/>
                <w:spacing w:val="-6"/>
                <w:sz w:val="18"/>
                <w:szCs w:val="18"/>
                <w:lang w:val="en-AU"/>
              </w:rPr>
              <w:t xml:space="preserve"> Activity No.)</w:t>
            </w:r>
          </w:p>
        </w:tc>
        <w:tc>
          <w:tcPr>
            <w:tcW w:w="2410" w:type="dxa"/>
            <w:tcBorders>
              <w:left w:val="single" w:sz="4" w:space="0" w:color="FFFFFF" w:themeColor="background1"/>
              <w:bottom w:val="single" w:sz="4" w:space="0" w:color="4472C4" w:themeColor="accent1"/>
              <w:right w:val="single" w:sz="4" w:space="0" w:color="FFFFFF" w:themeColor="background1"/>
            </w:tcBorders>
            <w:shd w:val="clear" w:color="auto" w:fill="4472C4" w:themeFill="accent1"/>
            <w:vAlign w:val="center"/>
            <w:hideMark/>
          </w:tcPr>
          <w:p w14:paraId="5C7299AB" w14:textId="77777777" w:rsidR="009362A4" w:rsidRPr="00864629" w:rsidRDefault="009362A4" w:rsidP="0015435E">
            <w:pPr>
              <w:spacing w:after="0" w:line="240" w:lineRule="auto"/>
              <w:jc w:val="center"/>
              <w:rPr>
                <w:rFonts w:ascii="Calibri" w:eastAsia="Times New Roman" w:hAnsi="Calibri" w:cs="Times New Roman"/>
                <w:b/>
                <w:bCs/>
                <w:color w:val="FFFFFF" w:themeColor="background1"/>
                <w:sz w:val="18"/>
                <w:szCs w:val="18"/>
                <w:lang w:val="en-AU"/>
              </w:rPr>
            </w:pPr>
            <w:r>
              <w:rPr>
                <w:rFonts w:ascii="Calibri" w:eastAsia="Times New Roman" w:hAnsi="Calibri" w:cs="Times New Roman"/>
                <w:b/>
                <w:bCs/>
                <w:color w:val="FFFFFF" w:themeColor="background1"/>
                <w:sz w:val="18"/>
                <w:szCs w:val="18"/>
                <w:lang w:val="en-AU"/>
              </w:rPr>
              <w:t>RF/</w:t>
            </w:r>
            <w:r w:rsidRPr="00864629">
              <w:rPr>
                <w:rFonts w:ascii="Calibri" w:eastAsia="Times New Roman" w:hAnsi="Calibri" w:cs="Times New Roman"/>
                <w:b/>
                <w:bCs/>
                <w:color w:val="FFFFFF" w:themeColor="background1"/>
                <w:sz w:val="18"/>
                <w:szCs w:val="18"/>
                <w:lang w:val="en-AU"/>
              </w:rPr>
              <w:t>MELP Outcome</w:t>
            </w:r>
            <w:r>
              <w:rPr>
                <w:rFonts w:ascii="Calibri" w:eastAsia="Times New Roman" w:hAnsi="Calibri" w:cs="Times New Roman"/>
                <w:b/>
                <w:bCs/>
                <w:color w:val="FFFFFF" w:themeColor="background1"/>
                <w:sz w:val="18"/>
                <w:szCs w:val="18"/>
                <w:lang w:val="en-AU"/>
              </w:rPr>
              <w:t>s</w:t>
            </w:r>
          </w:p>
        </w:tc>
        <w:tc>
          <w:tcPr>
            <w:tcW w:w="2977" w:type="dxa"/>
            <w:tcBorders>
              <w:left w:val="single" w:sz="4" w:space="0" w:color="FFFFFF" w:themeColor="background1"/>
              <w:right w:val="single" w:sz="4" w:space="0" w:color="FFFFFF" w:themeColor="background1"/>
            </w:tcBorders>
            <w:shd w:val="clear" w:color="auto" w:fill="4472C4" w:themeFill="accent1"/>
            <w:vAlign w:val="center"/>
            <w:hideMark/>
          </w:tcPr>
          <w:p w14:paraId="337E140E" w14:textId="77777777" w:rsidR="009362A4" w:rsidRPr="00864629" w:rsidRDefault="009362A4" w:rsidP="0015435E">
            <w:pPr>
              <w:spacing w:after="0" w:line="240" w:lineRule="auto"/>
              <w:jc w:val="center"/>
              <w:rPr>
                <w:rFonts w:ascii="Calibri" w:eastAsia="Times New Roman" w:hAnsi="Calibri" w:cs="Times New Roman"/>
                <w:b/>
                <w:bCs/>
                <w:color w:val="FFFFFF" w:themeColor="background1"/>
                <w:sz w:val="18"/>
                <w:szCs w:val="18"/>
                <w:lang w:val="en-AU"/>
              </w:rPr>
            </w:pPr>
            <w:r>
              <w:rPr>
                <w:rFonts w:ascii="Calibri" w:eastAsia="Times New Roman" w:hAnsi="Calibri" w:cs="Times New Roman"/>
                <w:b/>
                <w:bCs/>
                <w:color w:val="FFFFFF" w:themeColor="background1"/>
                <w:sz w:val="18"/>
                <w:szCs w:val="18"/>
                <w:lang w:val="en-AU"/>
              </w:rPr>
              <w:t xml:space="preserve">Proposed </w:t>
            </w:r>
            <w:r w:rsidRPr="00864629">
              <w:rPr>
                <w:rFonts w:ascii="Calibri" w:eastAsia="Times New Roman" w:hAnsi="Calibri" w:cs="Times New Roman"/>
                <w:b/>
                <w:bCs/>
                <w:color w:val="FFFFFF" w:themeColor="background1"/>
                <w:sz w:val="18"/>
                <w:szCs w:val="18"/>
                <w:lang w:val="en-AU"/>
              </w:rPr>
              <w:t>201</w:t>
            </w:r>
            <w:r>
              <w:rPr>
                <w:rFonts w:ascii="Calibri" w:eastAsia="Times New Roman" w:hAnsi="Calibri" w:cs="Times New Roman"/>
                <w:b/>
                <w:bCs/>
                <w:color w:val="FFFFFF" w:themeColor="background1"/>
                <w:sz w:val="18"/>
                <w:szCs w:val="18"/>
                <w:lang w:val="en-AU"/>
              </w:rPr>
              <w:t>9</w:t>
            </w:r>
            <w:r w:rsidRPr="00864629">
              <w:rPr>
                <w:rFonts w:ascii="Calibri" w:eastAsia="Times New Roman" w:hAnsi="Calibri" w:cs="Times New Roman"/>
                <w:b/>
                <w:bCs/>
                <w:color w:val="FFFFFF" w:themeColor="background1"/>
                <w:sz w:val="18"/>
                <w:szCs w:val="18"/>
                <w:lang w:val="en-AU"/>
              </w:rPr>
              <w:t xml:space="preserve"> </w:t>
            </w:r>
            <w:r>
              <w:rPr>
                <w:rFonts w:ascii="Calibri" w:eastAsia="Times New Roman" w:hAnsi="Calibri" w:cs="Times New Roman"/>
                <w:b/>
                <w:bCs/>
                <w:color w:val="FFFFFF" w:themeColor="background1"/>
                <w:sz w:val="18"/>
                <w:szCs w:val="18"/>
                <w:lang w:val="en-AU"/>
              </w:rPr>
              <w:t xml:space="preserve">Performance </w:t>
            </w:r>
            <w:r w:rsidRPr="00864629">
              <w:rPr>
                <w:rFonts w:ascii="Calibri" w:eastAsia="Times New Roman" w:hAnsi="Calibri" w:cs="Times New Roman"/>
                <w:b/>
                <w:bCs/>
                <w:color w:val="FFFFFF" w:themeColor="background1"/>
                <w:sz w:val="18"/>
                <w:szCs w:val="18"/>
                <w:lang w:val="en-AU"/>
              </w:rPr>
              <w:t>Indicators</w:t>
            </w:r>
            <w:r>
              <w:rPr>
                <w:rFonts w:ascii="Calibri" w:eastAsia="Times New Roman" w:hAnsi="Calibri" w:cs="Times New Roman"/>
                <w:b/>
                <w:bCs/>
                <w:color w:val="FFFFFF" w:themeColor="background1"/>
                <w:sz w:val="18"/>
                <w:szCs w:val="18"/>
                <w:lang w:val="en-AU"/>
              </w:rPr>
              <w:t xml:space="preserve"> &amp; </w:t>
            </w:r>
            <w:r w:rsidRPr="00864629">
              <w:rPr>
                <w:rFonts w:ascii="Calibri" w:eastAsia="Times New Roman" w:hAnsi="Calibri" w:cs="Times New Roman"/>
                <w:b/>
                <w:bCs/>
                <w:color w:val="FFFFFF" w:themeColor="background1"/>
                <w:sz w:val="18"/>
                <w:szCs w:val="18"/>
                <w:lang w:val="en-AU"/>
              </w:rPr>
              <w:t>AWP outputs for Performance Payment</w:t>
            </w:r>
          </w:p>
        </w:tc>
        <w:tc>
          <w:tcPr>
            <w:tcW w:w="1276" w:type="dxa"/>
            <w:tcBorders>
              <w:left w:val="single" w:sz="4" w:space="0" w:color="FFFFFF" w:themeColor="background1"/>
              <w:right w:val="single" w:sz="4" w:space="0" w:color="FFFFFF" w:themeColor="background1"/>
            </w:tcBorders>
            <w:shd w:val="clear" w:color="auto" w:fill="4472C4" w:themeFill="accent1"/>
            <w:vAlign w:val="center"/>
            <w:hideMark/>
          </w:tcPr>
          <w:p w14:paraId="06D43C40" w14:textId="77777777" w:rsidR="009362A4" w:rsidRPr="00864629" w:rsidRDefault="009362A4" w:rsidP="0015435E">
            <w:pPr>
              <w:spacing w:after="0" w:line="240" w:lineRule="auto"/>
              <w:jc w:val="center"/>
              <w:rPr>
                <w:rFonts w:ascii="Calibri" w:eastAsia="Times New Roman" w:hAnsi="Calibri" w:cs="Times New Roman"/>
                <w:b/>
                <w:bCs/>
                <w:color w:val="FFFFFF" w:themeColor="background1"/>
                <w:spacing w:val="-6"/>
                <w:sz w:val="18"/>
                <w:szCs w:val="18"/>
                <w:lang w:val="en-AU"/>
              </w:rPr>
            </w:pPr>
            <w:r>
              <w:rPr>
                <w:rFonts w:ascii="Calibri" w:eastAsia="Times New Roman" w:hAnsi="Calibri" w:cs="Times New Roman"/>
                <w:b/>
                <w:bCs/>
                <w:color w:val="FFFFFF" w:themeColor="background1"/>
                <w:spacing w:val="-6"/>
                <w:sz w:val="18"/>
                <w:szCs w:val="18"/>
                <w:lang w:val="en-AU"/>
              </w:rPr>
              <w:t xml:space="preserve">MEHRD Division </w:t>
            </w:r>
            <w:r w:rsidRPr="00864629">
              <w:rPr>
                <w:rFonts w:ascii="Calibri" w:eastAsia="Times New Roman" w:hAnsi="Calibri" w:cs="Times New Roman"/>
                <w:b/>
                <w:bCs/>
                <w:color w:val="FFFFFF" w:themeColor="background1"/>
                <w:spacing w:val="-6"/>
                <w:sz w:val="18"/>
                <w:szCs w:val="18"/>
                <w:lang w:val="en-AU"/>
              </w:rPr>
              <w:t>Responsible</w:t>
            </w:r>
          </w:p>
        </w:tc>
        <w:tc>
          <w:tcPr>
            <w:tcW w:w="2551" w:type="dxa"/>
            <w:tcBorders>
              <w:left w:val="single" w:sz="4" w:space="0" w:color="FFFFFF" w:themeColor="background1"/>
            </w:tcBorders>
            <w:shd w:val="clear" w:color="auto" w:fill="4472C4" w:themeFill="accent1"/>
            <w:vAlign w:val="center"/>
            <w:hideMark/>
          </w:tcPr>
          <w:p w14:paraId="17180A97" w14:textId="77777777" w:rsidR="009362A4" w:rsidRPr="00864629" w:rsidRDefault="009362A4" w:rsidP="0015435E">
            <w:pPr>
              <w:spacing w:after="0" w:line="240" w:lineRule="auto"/>
              <w:jc w:val="center"/>
              <w:rPr>
                <w:rFonts w:ascii="Calibri" w:eastAsia="Times New Roman" w:hAnsi="Calibri" w:cs="Times New Roman"/>
                <w:b/>
                <w:bCs/>
                <w:color w:val="FFFFFF" w:themeColor="background1"/>
                <w:sz w:val="18"/>
                <w:szCs w:val="18"/>
                <w:lang w:val="en-AU"/>
              </w:rPr>
            </w:pPr>
            <w:r w:rsidRPr="00864629">
              <w:rPr>
                <w:rFonts w:ascii="Calibri" w:eastAsia="Times New Roman" w:hAnsi="Calibri" w:cs="Times New Roman"/>
                <w:b/>
                <w:bCs/>
                <w:color w:val="FFFFFF" w:themeColor="background1"/>
                <w:sz w:val="18"/>
                <w:szCs w:val="18"/>
                <w:lang w:val="en-AU"/>
              </w:rPr>
              <w:t>Expected Results Statements</w:t>
            </w:r>
          </w:p>
        </w:tc>
        <w:tc>
          <w:tcPr>
            <w:tcW w:w="1985" w:type="dxa"/>
            <w:tcBorders>
              <w:left w:val="single" w:sz="4" w:space="0" w:color="FFFFFF" w:themeColor="background1"/>
            </w:tcBorders>
            <w:shd w:val="clear" w:color="auto" w:fill="4472C4" w:themeFill="accent1"/>
            <w:vAlign w:val="center"/>
          </w:tcPr>
          <w:p w14:paraId="105B0432" w14:textId="40B3C5FD" w:rsidR="009362A4" w:rsidRPr="00864629" w:rsidRDefault="009362A4" w:rsidP="0015435E">
            <w:pPr>
              <w:spacing w:after="0" w:line="240" w:lineRule="auto"/>
              <w:jc w:val="center"/>
              <w:rPr>
                <w:rFonts w:ascii="Calibri" w:eastAsia="Times New Roman" w:hAnsi="Calibri" w:cs="Times New Roman"/>
                <w:b/>
                <w:bCs/>
                <w:color w:val="FFFFFF" w:themeColor="background1"/>
                <w:sz w:val="18"/>
                <w:szCs w:val="18"/>
                <w:lang w:val="en-AU"/>
              </w:rPr>
            </w:pPr>
            <w:r>
              <w:rPr>
                <w:rFonts w:ascii="Calibri" w:eastAsia="Times New Roman" w:hAnsi="Calibri" w:cs="Times New Roman"/>
                <w:b/>
                <w:bCs/>
                <w:color w:val="FFFFFF" w:themeColor="background1"/>
                <w:sz w:val="18"/>
                <w:szCs w:val="18"/>
                <w:lang w:val="en-AU"/>
              </w:rPr>
              <w:t>Assessment</w:t>
            </w:r>
          </w:p>
        </w:tc>
        <w:tc>
          <w:tcPr>
            <w:tcW w:w="1842" w:type="dxa"/>
            <w:tcBorders>
              <w:left w:val="single" w:sz="4" w:space="0" w:color="FFFFFF" w:themeColor="background1"/>
            </w:tcBorders>
            <w:shd w:val="clear" w:color="auto" w:fill="4472C4" w:themeFill="accent1"/>
            <w:vAlign w:val="center"/>
          </w:tcPr>
          <w:p w14:paraId="1837544F" w14:textId="77777777" w:rsidR="009362A4" w:rsidRDefault="009362A4" w:rsidP="0015435E">
            <w:pPr>
              <w:spacing w:after="0" w:line="240" w:lineRule="auto"/>
              <w:jc w:val="center"/>
              <w:rPr>
                <w:rFonts w:ascii="Calibri" w:eastAsia="Times New Roman" w:hAnsi="Calibri" w:cs="Times New Roman"/>
                <w:b/>
                <w:bCs/>
                <w:color w:val="FFFFFF" w:themeColor="background1"/>
                <w:sz w:val="18"/>
                <w:szCs w:val="18"/>
                <w:lang w:val="en-AU"/>
              </w:rPr>
            </w:pPr>
            <w:r>
              <w:rPr>
                <w:rFonts w:ascii="Calibri" w:eastAsia="Times New Roman" w:hAnsi="Calibri" w:cs="Times New Roman"/>
                <w:b/>
                <w:bCs/>
                <w:color w:val="FFFFFF" w:themeColor="background1"/>
                <w:sz w:val="18"/>
                <w:szCs w:val="18"/>
                <w:lang w:val="en-AU"/>
              </w:rPr>
              <w:t>Payment</w:t>
            </w:r>
            <w:r w:rsidR="00182379">
              <w:rPr>
                <w:rFonts w:ascii="Calibri" w:eastAsia="Times New Roman" w:hAnsi="Calibri" w:cs="Times New Roman"/>
                <w:b/>
                <w:bCs/>
                <w:color w:val="FFFFFF" w:themeColor="background1"/>
                <w:sz w:val="18"/>
                <w:szCs w:val="18"/>
                <w:lang w:val="en-AU"/>
              </w:rPr>
              <w:t xml:space="preserve"> </w:t>
            </w:r>
          </w:p>
          <w:p w14:paraId="0EBCB4A1" w14:textId="32BA03A9" w:rsidR="00182379" w:rsidRDefault="00182379" w:rsidP="0015435E">
            <w:pPr>
              <w:spacing w:after="0" w:line="240" w:lineRule="auto"/>
              <w:jc w:val="center"/>
              <w:rPr>
                <w:rFonts w:ascii="Calibri" w:eastAsia="Times New Roman" w:hAnsi="Calibri" w:cs="Times New Roman"/>
                <w:b/>
                <w:bCs/>
                <w:color w:val="FFFFFF" w:themeColor="background1"/>
                <w:sz w:val="18"/>
                <w:szCs w:val="18"/>
                <w:lang w:val="en-AU"/>
              </w:rPr>
            </w:pPr>
            <w:r>
              <w:rPr>
                <w:rFonts w:ascii="Calibri" w:eastAsia="Times New Roman" w:hAnsi="Calibri" w:cs="Times New Roman"/>
                <w:b/>
                <w:bCs/>
                <w:color w:val="FFFFFF" w:themeColor="background1"/>
                <w:sz w:val="18"/>
                <w:szCs w:val="18"/>
                <w:lang w:val="en-AU"/>
              </w:rPr>
              <w:t>AUD$</w:t>
            </w:r>
          </w:p>
        </w:tc>
      </w:tr>
      <w:tr w:rsidR="009362A4" w:rsidRPr="00361A09" w14:paraId="415D0F9F" w14:textId="77777777" w:rsidTr="00976E0D">
        <w:trPr>
          <w:cantSplit/>
          <w:jc w:val="center"/>
        </w:trPr>
        <w:tc>
          <w:tcPr>
            <w:tcW w:w="1129" w:type="dxa"/>
            <w:tcBorders>
              <w:bottom w:val="nil"/>
            </w:tcBorders>
            <w:shd w:val="clear" w:color="auto" w:fill="auto"/>
            <w:noWrap/>
            <w:hideMark/>
          </w:tcPr>
          <w:p w14:paraId="1E9B68C6" w14:textId="77777777" w:rsidR="009362A4" w:rsidRPr="00361A09" w:rsidRDefault="009362A4" w:rsidP="0015435E">
            <w:pPr>
              <w:spacing w:after="0" w:line="240" w:lineRule="auto"/>
              <w:rPr>
                <w:rFonts w:ascii="Calibri" w:eastAsia="Times New Roman" w:hAnsi="Calibri" w:cs="Times New Roman"/>
                <w:b/>
                <w:bCs/>
                <w:color w:val="000000"/>
                <w:sz w:val="18"/>
                <w:szCs w:val="18"/>
                <w:lang w:val="en-AU"/>
              </w:rPr>
            </w:pPr>
            <w:r w:rsidRPr="00361A09">
              <w:rPr>
                <w:rFonts w:ascii="Calibri" w:eastAsia="Times New Roman" w:hAnsi="Calibri" w:cs="Times New Roman"/>
                <w:b/>
                <w:bCs/>
                <w:color w:val="000000"/>
                <w:sz w:val="18"/>
                <w:szCs w:val="18"/>
                <w:lang w:val="en-AU"/>
              </w:rPr>
              <w:t>Access</w:t>
            </w:r>
          </w:p>
        </w:tc>
        <w:tc>
          <w:tcPr>
            <w:tcW w:w="1134" w:type="dxa"/>
            <w:tcBorders>
              <w:bottom w:val="nil"/>
            </w:tcBorders>
            <w:shd w:val="clear" w:color="auto" w:fill="auto"/>
            <w:hideMark/>
          </w:tcPr>
          <w:p w14:paraId="4B0F406E" w14:textId="77777777" w:rsidR="009362A4" w:rsidRPr="00361A09" w:rsidRDefault="009362A4" w:rsidP="0015435E">
            <w:pPr>
              <w:spacing w:after="0" w:line="240" w:lineRule="auto"/>
              <w:jc w:val="center"/>
              <w:rPr>
                <w:rFonts w:ascii="Calibri" w:eastAsia="Times New Roman" w:hAnsi="Calibri" w:cs="Times New Roman"/>
                <w:color w:val="000000"/>
                <w:sz w:val="18"/>
                <w:szCs w:val="18"/>
                <w:lang w:val="en-AU"/>
              </w:rPr>
            </w:pPr>
            <w:r w:rsidRPr="00361A09">
              <w:rPr>
                <w:rFonts w:ascii="Calibri" w:eastAsia="Times New Roman" w:hAnsi="Calibri" w:cs="Times New Roman"/>
                <w:color w:val="000000"/>
                <w:sz w:val="18"/>
                <w:szCs w:val="18"/>
                <w:lang w:val="en-AU"/>
              </w:rPr>
              <w:t>EO 1.14</w:t>
            </w:r>
          </w:p>
          <w:p w14:paraId="2327A743" w14:textId="77777777" w:rsidR="009362A4" w:rsidRPr="00361A09" w:rsidRDefault="009362A4" w:rsidP="0015435E">
            <w:pPr>
              <w:spacing w:after="0" w:line="240" w:lineRule="auto"/>
              <w:jc w:val="center"/>
              <w:rPr>
                <w:rFonts w:ascii="Calibri" w:eastAsia="Times New Roman" w:hAnsi="Calibri" w:cs="Times New Roman"/>
                <w:color w:val="000000"/>
                <w:sz w:val="18"/>
                <w:szCs w:val="18"/>
                <w:lang w:val="en-AU"/>
              </w:rPr>
            </w:pPr>
            <w:r w:rsidRPr="00361A09">
              <w:rPr>
                <w:rFonts w:ascii="Calibri" w:eastAsia="Times New Roman" w:hAnsi="Calibri" w:cs="Times New Roman"/>
                <w:color w:val="000000"/>
                <w:sz w:val="18"/>
                <w:szCs w:val="18"/>
                <w:lang w:val="en-AU"/>
              </w:rPr>
              <w:t>(134)</w:t>
            </w:r>
          </w:p>
        </w:tc>
        <w:tc>
          <w:tcPr>
            <w:tcW w:w="2410" w:type="dxa"/>
            <w:tcBorders>
              <w:bottom w:val="nil"/>
            </w:tcBorders>
            <w:shd w:val="clear" w:color="auto" w:fill="auto"/>
            <w:hideMark/>
          </w:tcPr>
          <w:p w14:paraId="43486D03" w14:textId="77777777" w:rsidR="009362A4" w:rsidRPr="00361A09" w:rsidRDefault="009362A4" w:rsidP="0015435E">
            <w:pPr>
              <w:spacing w:after="0" w:line="240" w:lineRule="auto"/>
              <w:rPr>
                <w:rFonts w:ascii="Calibri" w:eastAsia="Times New Roman" w:hAnsi="Calibri" w:cs="Times New Roman"/>
                <w:color w:val="000000" w:themeColor="text1"/>
                <w:sz w:val="18"/>
                <w:szCs w:val="18"/>
                <w:lang w:val="en-AU"/>
              </w:rPr>
            </w:pPr>
            <w:r w:rsidRPr="00361A09">
              <w:rPr>
                <w:rFonts w:ascii="Calibri" w:eastAsia="Times New Roman" w:hAnsi="Calibri" w:cs="Times New Roman"/>
                <w:color w:val="000000" w:themeColor="text1"/>
                <w:sz w:val="18"/>
                <w:szCs w:val="18"/>
                <w:lang w:val="en-AU"/>
              </w:rPr>
              <w:t>1.1 Transition rates by level and gender</w:t>
            </w:r>
          </w:p>
          <w:p w14:paraId="4C8AE45B" w14:textId="77777777" w:rsidR="009362A4" w:rsidRPr="00361A09" w:rsidRDefault="009362A4" w:rsidP="0015435E">
            <w:pPr>
              <w:spacing w:after="0" w:line="240" w:lineRule="auto"/>
              <w:rPr>
                <w:rFonts w:ascii="Calibri" w:eastAsia="Times New Roman" w:hAnsi="Calibri" w:cs="Times New Roman"/>
                <w:color w:val="000000" w:themeColor="text1"/>
                <w:sz w:val="18"/>
                <w:szCs w:val="18"/>
                <w:lang w:val="en-AU"/>
              </w:rPr>
            </w:pPr>
          </w:p>
          <w:p w14:paraId="07674FDA" w14:textId="77777777" w:rsidR="009362A4" w:rsidRPr="00361A09" w:rsidRDefault="009362A4" w:rsidP="0015435E">
            <w:pPr>
              <w:spacing w:after="0" w:line="240" w:lineRule="auto"/>
              <w:rPr>
                <w:rFonts w:ascii="Calibri" w:eastAsia="Times New Roman" w:hAnsi="Calibri" w:cs="Times New Roman"/>
                <w:color w:val="000000" w:themeColor="text1"/>
                <w:sz w:val="18"/>
                <w:szCs w:val="18"/>
                <w:lang w:val="en-AU"/>
              </w:rPr>
            </w:pPr>
            <w:r w:rsidRPr="00361A09">
              <w:rPr>
                <w:rFonts w:ascii="Calibri" w:eastAsia="Times New Roman" w:hAnsi="Calibri" w:cs="Times New Roman"/>
                <w:color w:val="000000" w:themeColor="text1"/>
                <w:sz w:val="18"/>
                <w:szCs w:val="18"/>
                <w:lang w:val="en-AU"/>
              </w:rPr>
              <w:t>SIG Policy to end SISEE</w:t>
            </w:r>
          </w:p>
        </w:tc>
        <w:tc>
          <w:tcPr>
            <w:tcW w:w="2977" w:type="dxa"/>
            <w:shd w:val="clear" w:color="auto" w:fill="auto"/>
            <w:hideMark/>
          </w:tcPr>
          <w:p w14:paraId="216F1B0A" w14:textId="77777777" w:rsidR="009362A4" w:rsidRPr="00361A09" w:rsidRDefault="009362A4" w:rsidP="0015435E">
            <w:pPr>
              <w:spacing w:after="0" w:line="240" w:lineRule="auto"/>
              <w:rPr>
                <w:rFonts w:ascii="Calibri" w:eastAsia="Times New Roman" w:hAnsi="Calibri" w:cs="Times New Roman"/>
                <w:color w:val="000000" w:themeColor="text1"/>
                <w:sz w:val="18"/>
                <w:szCs w:val="18"/>
                <w:lang w:val="en-AU"/>
              </w:rPr>
            </w:pPr>
            <w:proofErr w:type="gramStart"/>
            <w:r w:rsidRPr="00361A09">
              <w:rPr>
                <w:rFonts w:ascii="Calibri" w:eastAsia="Times New Roman" w:hAnsi="Calibri" w:cs="Times New Roman"/>
                <w:color w:val="000000" w:themeColor="text1"/>
                <w:sz w:val="18"/>
                <w:szCs w:val="18"/>
                <w:lang w:val="en-AU"/>
              </w:rPr>
              <w:t>1.1.1  By</w:t>
            </w:r>
            <w:proofErr w:type="gramEnd"/>
            <w:r w:rsidRPr="00361A09">
              <w:rPr>
                <w:rFonts w:ascii="Calibri" w:eastAsia="Times New Roman" w:hAnsi="Calibri" w:cs="Times New Roman"/>
                <w:color w:val="000000" w:themeColor="text1"/>
                <w:sz w:val="18"/>
                <w:szCs w:val="18"/>
                <w:lang w:val="en-AU"/>
              </w:rPr>
              <w:t xml:space="preserve"> the end of 2019, the Solomon Islands Secondary Entrance Exam (SISEE) is terminated, and a plan to cater for increased Year 7 enrolments as of 2020 are developed, approved by SMT and socialised with EAs</w:t>
            </w:r>
          </w:p>
        </w:tc>
        <w:tc>
          <w:tcPr>
            <w:tcW w:w="1276" w:type="dxa"/>
            <w:shd w:val="clear" w:color="auto" w:fill="auto"/>
            <w:hideMark/>
          </w:tcPr>
          <w:p w14:paraId="3E6D14FE" w14:textId="77777777" w:rsidR="009362A4" w:rsidRPr="00361A09" w:rsidRDefault="009362A4" w:rsidP="0015435E">
            <w:pPr>
              <w:spacing w:after="0" w:line="240" w:lineRule="auto"/>
              <w:rPr>
                <w:rFonts w:ascii="Calibri" w:eastAsia="Times New Roman" w:hAnsi="Calibri" w:cs="Times New Roman"/>
                <w:color w:val="000000"/>
                <w:sz w:val="18"/>
                <w:szCs w:val="18"/>
                <w:lang w:val="en-AU"/>
              </w:rPr>
            </w:pPr>
            <w:r>
              <w:rPr>
                <w:rFonts w:ascii="Calibri" w:eastAsia="Times New Roman" w:hAnsi="Calibri" w:cs="Times New Roman"/>
                <w:color w:val="000000"/>
                <w:sz w:val="18"/>
                <w:szCs w:val="18"/>
                <w:lang w:val="en-AU"/>
              </w:rPr>
              <w:t>SISEE TASKFORCE</w:t>
            </w:r>
          </w:p>
        </w:tc>
        <w:tc>
          <w:tcPr>
            <w:tcW w:w="2551" w:type="dxa"/>
            <w:shd w:val="clear" w:color="auto" w:fill="auto"/>
            <w:hideMark/>
          </w:tcPr>
          <w:p w14:paraId="04271953" w14:textId="3A4DCB94" w:rsidR="009362A4" w:rsidRPr="009362A4" w:rsidRDefault="009362A4" w:rsidP="0015435E">
            <w:pPr>
              <w:pStyle w:val="ListParagraph"/>
              <w:numPr>
                <w:ilvl w:val="0"/>
                <w:numId w:val="9"/>
              </w:numPr>
              <w:spacing w:after="40" w:line="240" w:lineRule="auto"/>
              <w:contextualSpacing w:val="0"/>
              <w:rPr>
                <w:rFonts w:ascii="Calibri" w:eastAsia="Times New Roman" w:hAnsi="Calibri" w:cs="Times New Roman"/>
                <w:color w:val="000000" w:themeColor="text1"/>
                <w:sz w:val="18"/>
                <w:szCs w:val="18"/>
                <w:lang w:val="en-AU"/>
              </w:rPr>
            </w:pPr>
            <w:r w:rsidRPr="00361A09">
              <w:rPr>
                <w:rFonts w:ascii="Calibri" w:eastAsia="Times New Roman" w:hAnsi="Calibri" w:cs="Times New Roman"/>
                <w:color w:val="000000" w:themeColor="text1"/>
                <w:sz w:val="18"/>
                <w:szCs w:val="18"/>
                <w:lang w:val="en-AU"/>
              </w:rPr>
              <w:t>SISEE does go ahead (60%)</w:t>
            </w:r>
          </w:p>
          <w:p w14:paraId="73CBCD9C" w14:textId="04F2397F" w:rsidR="009362A4" w:rsidRPr="009362A4" w:rsidRDefault="009362A4" w:rsidP="0015435E">
            <w:pPr>
              <w:pStyle w:val="ListParagraph"/>
              <w:numPr>
                <w:ilvl w:val="0"/>
                <w:numId w:val="9"/>
              </w:numPr>
              <w:spacing w:after="40" w:line="240" w:lineRule="auto"/>
              <w:contextualSpacing w:val="0"/>
              <w:rPr>
                <w:rFonts w:ascii="Calibri" w:eastAsia="Times New Roman" w:hAnsi="Calibri" w:cs="Times New Roman"/>
                <w:color w:val="000000" w:themeColor="text1"/>
                <w:sz w:val="18"/>
                <w:szCs w:val="18"/>
                <w:lang w:val="en-AU"/>
              </w:rPr>
            </w:pPr>
            <w:r w:rsidRPr="00361A09">
              <w:rPr>
                <w:rFonts w:ascii="Calibri" w:eastAsia="Times New Roman" w:hAnsi="Calibri" w:cs="Times New Roman"/>
                <w:color w:val="000000" w:themeColor="text1"/>
                <w:sz w:val="18"/>
                <w:szCs w:val="18"/>
                <w:lang w:val="en-AU"/>
              </w:rPr>
              <w:t>SMT Minute endorsing </w:t>
            </w:r>
            <w:r>
              <w:rPr>
                <w:rFonts w:ascii="Calibri" w:eastAsia="Times New Roman" w:hAnsi="Calibri" w:cs="Times New Roman"/>
                <w:color w:val="000000" w:themeColor="text1"/>
                <w:sz w:val="18"/>
                <w:szCs w:val="18"/>
                <w:lang w:val="en-AU"/>
              </w:rPr>
              <w:t>SISEE Implementation Framework</w:t>
            </w:r>
            <w:r w:rsidRPr="00361A09">
              <w:rPr>
                <w:rFonts w:ascii="Calibri" w:eastAsia="Times New Roman" w:hAnsi="Calibri" w:cs="Times New Roman"/>
                <w:color w:val="000000" w:themeColor="text1"/>
                <w:sz w:val="18"/>
                <w:szCs w:val="18"/>
                <w:lang w:val="en-AU"/>
              </w:rPr>
              <w:t xml:space="preserve"> (20%)</w:t>
            </w:r>
          </w:p>
          <w:p w14:paraId="6C9BD154" w14:textId="77777777" w:rsidR="009362A4" w:rsidRPr="00361A09" w:rsidRDefault="009362A4" w:rsidP="0015435E">
            <w:pPr>
              <w:pStyle w:val="ListParagraph"/>
              <w:numPr>
                <w:ilvl w:val="0"/>
                <w:numId w:val="9"/>
              </w:numPr>
              <w:spacing w:after="40" w:line="240" w:lineRule="auto"/>
              <w:contextualSpacing w:val="0"/>
              <w:rPr>
                <w:rFonts w:ascii="Calibri" w:eastAsia="Times New Roman" w:hAnsi="Calibri" w:cs="Times New Roman"/>
                <w:color w:val="000000" w:themeColor="text1"/>
                <w:sz w:val="18"/>
                <w:szCs w:val="18"/>
                <w:lang w:val="en-AU"/>
              </w:rPr>
            </w:pPr>
            <w:r w:rsidRPr="00361A09">
              <w:rPr>
                <w:rFonts w:ascii="Calibri" w:eastAsia="Times New Roman" w:hAnsi="Calibri" w:cs="Times New Roman"/>
                <w:color w:val="000000" w:themeColor="text1"/>
                <w:sz w:val="18"/>
                <w:szCs w:val="18"/>
                <w:lang w:val="en-AU"/>
              </w:rPr>
              <w:t>EAs socialisation completed (10%)</w:t>
            </w:r>
          </w:p>
        </w:tc>
        <w:tc>
          <w:tcPr>
            <w:tcW w:w="1985" w:type="dxa"/>
          </w:tcPr>
          <w:p w14:paraId="36881D45" w14:textId="30CE7D00" w:rsidR="009362A4" w:rsidRDefault="009362A4" w:rsidP="0015435E">
            <w:pPr>
              <w:pStyle w:val="ListParagraph"/>
              <w:numPr>
                <w:ilvl w:val="0"/>
                <w:numId w:val="9"/>
              </w:numPr>
              <w:spacing w:after="40" w:line="240" w:lineRule="auto"/>
              <w:contextualSpacing w:val="0"/>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100% (of 60%)</w:t>
            </w:r>
          </w:p>
          <w:p w14:paraId="7C9E36D9" w14:textId="5B947615" w:rsidR="009362A4" w:rsidRDefault="009362A4" w:rsidP="0015435E">
            <w:pPr>
              <w:pStyle w:val="ListParagraph"/>
              <w:numPr>
                <w:ilvl w:val="0"/>
                <w:numId w:val="9"/>
              </w:numPr>
              <w:spacing w:after="40" w:line="240" w:lineRule="auto"/>
              <w:contextualSpacing w:val="0"/>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100% (of 20%)</w:t>
            </w:r>
          </w:p>
          <w:p w14:paraId="6982DF44" w14:textId="06D62CAD" w:rsidR="009362A4" w:rsidRDefault="009362A4" w:rsidP="0015435E">
            <w:pPr>
              <w:spacing w:after="40" w:line="240" w:lineRule="auto"/>
              <w:rPr>
                <w:rFonts w:ascii="Calibri" w:eastAsia="Times New Roman" w:hAnsi="Calibri" w:cs="Times New Roman"/>
                <w:color w:val="000000" w:themeColor="text1"/>
                <w:sz w:val="18"/>
                <w:szCs w:val="18"/>
                <w:lang w:val="en-AU"/>
              </w:rPr>
            </w:pPr>
          </w:p>
          <w:p w14:paraId="617C967A" w14:textId="03A5B7EA" w:rsidR="009362A4" w:rsidRDefault="009362A4" w:rsidP="0015435E">
            <w:pPr>
              <w:spacing w:after="40" w:line="240" w:lineRule="auto"/>
              <w:rPr>
                <w:rFonts w:ascii="Calibri" w:eastAsia="Times New Roman" w:hAnsi="Calibri" w:cs="Times New Roman"/>
                <w:color w:val="000000" w:themeColor="text1"/>
                <w:sz w:val="18"/>
                <w:szCs w:val="18"/>
                <w:lang w:val="en-AU"/>
              </w:rPr>
            </w:pPr>
          </w:p>
          <w:p w14:paraId="078D4D93" w14:textId="52E5B168" w:rsidR="009362A4" w:rsidRDefault="009362A4" w:rsidP="0015435E">
            <w:pPr>
              <w:spacing w:after="40" w:line="240" w:lineRule="auto"/>
              <w:rPr>
                <w:rFonts w:ascii="Calibri" w:eastAsia="Times New Roman" w:hAnsi="Calibri" w:cs="Times New Roman"/>
                <w:color w:val="000000" w:themeColor="text1"/>
                <w:sz w:val="18"/>
                <w:szCs w:val="18"/>
                <w:lang w:val="en-AU"/>
              </w:rPr>
            </w:pPr>
          </w:p>
          <w:p w14:paraId="6CE80827" w14:textId="0587C1FF" w:rsidR="009362A4" w:rsidRDefault="009362A4" w:rsidP="0015435E">
            <w:pPr>
              <w:pStyle w:val="ListParagraph"/>
              <w:numPr>
                <w:ilvl w:val="0"/>
                <w:numId w:val="9"/>
              </w:numPr>
              <w:spacing w:after="40" w:line="240" w:lineRule="auto"/>
              <w:contextualSpacing w:val="0"/>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100% (of 10%)</w:t>
            </w:r>
          </w:p>
          <w:p w14:paraId="30BA86DE" w14:textId="1CA123D3" w:rsidR="009362A4" w:rsidRPr="009362A4" w:rsidRDefault="009362A4" w:rsidP="0015435E">
            <w:pPr>
              <w:spacing w:after="40" w:line="240" w:lineRule="auto"/>
              <w:rPr>
                <w:rFonts w:ascii="Calibri" w:eastAsia="Times New Roman" w:hAnsi="Calibri" w:cs="Times New Roman"/>
                <w:color w:val="000000" w:themeColor="text1"/>
                <w:sz w:val="18"/>
                <w:szCs w:val="18"/>
                <w:lang w:val="en-AU"/>
              </w:rPr>
            </w:pPr>
          </w:p>
        </w:tc>
        <w:tc>
          <w:tcPr>
            <w:tcW w:w="1842" w:type="dxa"/>
            <w:vAlign w:val="center"/>
          </w:tcPr>
          <w:p w14:paraId="7ED4B628" w14:textId="03EDDCCC" w:rsidR="00182379" w:rsidRPr="00182379" w:rsidRDefault="009771E1" w:rsidP="0015435E">
            <w:pPr>
              <w:pStyle w:val="ListParagraph"/>
              <w:numPr>
                <w:ilvl w:val="0"/>
                <w:numId w:val="9"/>
              </w:numPr>
              <w:spacing w:after="40" w:line="240" w:lineRule="auto"/>
              <w:contextualSpacing w:val="0"/>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175,</w:t>
            </w:r>
            <w:r w:rsidR="00F9298E">
              <w:rPr>
                <w:rFonts w:ascii="Calibri" w:eastAsia="Times New Roman" w:hAnsi="Calibri" w:cs="Times New Roman"/>
                <w:color w:val="000000" w:themeColor="text1"/>
                <w:sz w:val="18"/>
                <w:szCs w:val="18"/>
                <w:lang w:val="en-AU"/>
              </w:rPr>
              <w:t>5</w:t>
            </w:r>
            <w:r>
              <w:rPr>
                <w:rFonts w:ascii="Calibri" w:eastAsia="Times New Roman" w:hAnsi="Calibri" w:cs="Times New Roman"/>
                <w:color w:val="000000" w:themeColor="text1"/>
                <w:sz w:val="18"/>
                <w:szCs w:val="18"/>
                <w:lang w:val="en-AU"/>
              </w:rPr>
              <w:t>00.00</w:t>
            </w:r>
          </w:p>
        </w:tc>
      </w:tr>
      <w:tr w:rsidR="009362A4" w:rsidRPr="00145309" w14:paraId="22B2236E" w14:textId="77777777" w:rsidTr="006046AC">
        <w:trPr>
          <w:cantSplit/>
          <w:jc w:val="center"/>
        </w:trPr>
        <w:tc>
          <w:tcPr>
            <w:tcW w:w="1129" w:type="dxa"/>
            <w:tcBorders>
              <w:top w:val="nil"/>
            </w:tcBorders>
            <w:shd w:val="clear" w:color="auto" w:fill="auto"/>
            <w:noWrap/>
          </w:tcPr>
          <w:p w14:paraId="2A2D209A" w14:textId="77777777" w:rsidR="009362A4" w:rsidRPr="00361A09" w:rsidRDefault="009362A4" w:rsidP="0015435E">
            <w:pPr>
              <w:spacing w:after="0" w:line="240" w:lineRule="auto"/>
              <w:rPr>
                <w:rFonts w:ascii="Calibri" w:eastAsia="Times New Roman" w:hAnsi="Calibri" w:cs="Times New Roman"/>
                <w:b/>
                <w:bCs/>
                <w:color w:val="000000"/>
                <w:sz w:val="18"/>
                <w:szCs w:val="18"/>
                <w:lang w:val="en-AU"/>
              </w:rPr>
            </w:pPr>
          </w:p>
        </w:tc>
        <w:tc>
          <w:tcPr>
            <w:tcW w:w="1134" w:type="dxa"/>
            <w:tcBorders>
              <w:top w:val="nil"/>
            </w:tcBorders>
            <w:shd w:val="clear" w:color="auto" w:fill="auto"/>
          </w:tcPr>
          <w:p w14:paraId="2048859F" w14:textId="77777777" w:rsidR="009362A4" w:rsidRPr="00361A09" w:rsidRDefault="009362A4" w:rsidP="0015435E">
            <w:pPr>
              <w:spacing w:after="0" w:line="240" w:lineRule="auto"/>
              <w:jc w:val="center"/>
              <w:rPr>
                <w:rFonts w:ascii="Calibri" w:eastAsia="Times New Roman" w:hAnsi="Calibri" w:cs="Times New Roman"/>
                <w:color w:val="000000"/>
                <w:sz w:val="18"/>
                <w:szCs w:val="18"/>
                <w:lang w:val="en-AU"/>
              </w:rPr>
            </w:pPr>
          </w:p>
        </w:tc>
        <w:tc>
          <w:tcPr>
            <w:tcW w:w="2410" w:type="dxa"/>
            <w:tcBorders>
              <w:top w:val="nil"/>
            </w:tcBorders>
            <w:shd w:val="clear" w:color="auto" w:fill="auto"/>
          </w:tcPr>
          <w:p w14:paraId="193AD7CA" w14:textId="77777777" w:rsidR="009362A4" w:rsidRPr="00361A09" w:rsidRDefault="009362A4" w:rsidP="0015435E">
            <w:pPr>
              <w:spacing w:after="0" w:line="240" w:lineRule="auto"/>
              <w:rPr>
                <w:rFonts w:ascii="Calibri" w:eastAsia="Times New Roman" w:hAnsi="Calibri" w:cs="Times New Roman"/>
                <w:color w:val="000000" w:themeColor="text1"/>
                <w:sz w:val="18"/>
                <w:szCs w:val="18"/>
                <w:lang w:val="en-AU"/>
              </w:rPr>
            </w:pPr>
          </w:p>
        </w:tc>
        <w:tc>
          <w:tcPr>
            <w:tcW w:w="2977" w:type="dxa"/>
            <w:shd w:val="clear" w:color="auto" w:fill="auto"/>
          </w:tcPr>
          <w:p w14:paraId="01752E9D" w14:textId="77777777" w:rsidR="009362A4" w:rsidRPr="00361A09" w:rsidRDefault="009362A4" w:rsidP="0015435E">
            <w:pPr>
              <w:spacing w:after="0" w:line="240" w:lineRule="auto"/>
              <w:rPr>
                <w:rFonts w:ascii="Calibri" w:eastAsia="Times New Roman" w:hAnsi="Calibri" w:cs="Times New Roman"/>
                <w:color w:val="000000" w:themeColor="text1"/>
                <w:sz w:val="18"/>
                <w:szCs w:val="18"/>
                <w:lang w:val="en-AU"/>
              </w:rPr>
            </w:pPr>
            <w:r w:rsidRPr="00361A09">
              <w:rPr>
                <w:rFonts w:ascii="Calibri" w:eastAsia="Times New Roman" w:hAnsi="Calibri" w:cs="Times New Roman"/>
                <w:color w:val="000000" w:themeColor="text1"/>
                <w:sz w:val="18"/>
                <w:szCs w:val="18"/>
                <w:lang w:val="en-AU"/>
              </w:rPr>
              <w:t>1.1.2   Transition rates for year 6 to 7 from 2018 to 2019 show an increase over year 6 to 7 transition rates from 2017 to 2018</w:t>
            </w:r>
          </w:p>
        </w:tc>
        <w:tc>
          <w:tcPr>
            <w:tcW w:w="1276" w:type="dxa"/>
            <w:shd w:val="clear" w:color="auto" w:fill="auto"/>
          </w:tcPr>
          <w:p w14:paraId="0789E26E" w14:textId="77777777" w:rsidR="009362A4" w:rsidRPr="00361A09" w:rsidRDefault="009362A4" w:rsidP="0015435E">
            <w:pPr>
              <w:spacing w:after="0" w:line="240" w:lineRule="auto"/>
              <w:rPr>
                <w:rFonts w:ascii="Calibri" w:eastAsia="Times New Roman" w:hAnsi="Calibri" w:cs="Times New Roman"/>
                <w:color w:val="000000"/>
                <w:sz w:val="18"/>
                <w:szCs w:val="18"/>
                <w:lang w:val="en-AU"/>
              </w:rPr>
            </w:pPr>
            <w:r>
              <w:rPr>
                <w:rFonts w:ascii="Calibri" w:eastAsia="Times New Roman" w:hAnsi="Calibri" w:cs="Times New Roman"/>
                <w:color w:val="000000"/>
                <w:sz w:val="18"/>
                <w:szCs w:val="18"/>
                <w:lang w:val="en-AU"/>
              </w:rPr>
              <w:t>SISEE TASKFORCE</w:t>
            </w:r>
          </w:p>
        </w:tc>
        <w:tc>
          <w:tcPr>
            <w:tcW w:w="2551" w:type="dxa"/>
            <w:shd w:val="clear" w:color="auto" w:fill="auto"/>
          </w:tcPr>
          <w:p w14:paraId="4FC03B93" w14:textId="77777777" w:rsidR="009362A4" w:rsidRPr="00361A09" w:rsidRDefault="009362A4" w:rsidP="0015435E">
            <w:pPr>
              <w:pStyle w:val="ListParagraph"/>
              <w:numPr>
                <w:ilvl w:val="0"/>
                <w:numId w:val="9"/>
              </w:numPr>
              <w:spacing w:after="40" w:line="240" w:lineRule="auto"/>
              <w:contextualSpacing w:val="0"/>
              <w:rPr>
                <w:rFonts w:ascii="Calibri" w:eastAsia="Times New Roman" w:hAnsi="Calibri" w:cs="Times New Roman"/>
                <w:color w:val="000000" w:themeColor="text1"/>
                <w:sz w:val="18"/>
                <w:szCs w:val="18"/>
                <w:lang w:val="en-AU"/>
              </w:rPr>
            </w:pPr>
            <w:r w:rsidRPr="00361A09">
              <w:rPr>
                <w:rFonts w:ascii="Calibri" w:eastAsia="Times New Roman" w:hAnsi="Calibri" w:cs="Times New Roman"/>
                <w:color w:val="000000" w:themeColor="text1"/>
                <w:sz w:val="18"/>
                <w:szCs w:val="18"/>
                <w:lang w:val="en-AU"/>
              </w:rPr>
              <w:t>Transition Rates increase (10%)</w:t>
            </w:r>
          </w:p>
        </w:tc>
        <w:tc>
          <w:tcPr>
            <w:tcW w:w="1985" w:type="dxa"/>
          </w:tcPr>
          <w:p w14:paraId="1CBA62CA" w14:textId="7CA08B61" w:rsidR="009362A4" w:rsidRPr="00361A09" w:rsidRDefault="00346330" w:rsidP="0015435E">
            <w:pPr>
              <w:pStyle w:val="ListParagraph"/>
              <w:numPr>
                <w:ilvl w:val="0"/>
                <w:numId w:val="9"/>
              </w:numPr>
              <w:spacing w:after="40" w:line="240" w:lineRule="auto"/>
              <w:contextualSpacing w:val="0"/>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100% (of 10%)</w:t>
            </w:r>
          </w:p>
        </w:tc>
        <w:tc>
          <w:tcPr>
            <w:tcW w:w="1842" w:type="dxa"/>
          </w:tcPr>
          <w:p w14:paraId="356C9C3A" w14:textId="2099E438" w:rsidR="009362A4" w:rsidRDefault="00182379" w:rsidP="0015435E">
            <w:pPr>
              <w:pStyle w:val="ListParagraph"/>
              <w:numPr>
                <w:ilvl w:val="0"/>
                <w:numId w:val="9"/>
              </w:numPr>
              <w:spacing w:after="40" w:line="240" w:lineRule="auto"/>
              <w:contextualSpacing w:val="0"/>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19,500.00</w:t>
            </w:r>
          </w:p>
        </w:tc>
      </w:tr>
      <w:tr w:rsidR="009362A4" w:rsidRPr="00145309" w14:paraId="4CDBE79C" w14:textId="77777777" w:rsidTr="006046AC">
        <w:trPr>
          <w:cantSplit/>
          <w:jc w:val="center"/>
        </w:trPr>
        <w:tc>
          <w:tcPr>
            <w:tcW w:w="1129" w:type="dxa"/>
            <w:shd w:val="clear" w:color="auto" w:fill="auto"/>
            <w:noWrap/>
            <w:hideMark/>
          </w:tcPr>
          <w:p w14:paraId="2705FBF1" w14:textId="77777777" w:rsidR="009362A4" w:rsidRPr="00361A09" w:rsidRDefault="009362A4" w:rsidP="0015435E">
            <w:pPr>
              <w:spacing w:after="0" w:line="240" w:lineRule="auto"/>
              <w:rPr>
                <w:rFonts w:ascii="Calibri" w:eastAsia="Times New Roman" w:hAnsi="Calibri" w:cs="Times New Roman"/>
                <w:b/>
                <w:bCs/>
                <w:color w:val="000000"/>
                <w:sz w:val="18"/>
                <w:szCs w:val="18"/>
                <w:lang w:val="en-AU"/>
              </w:rPr>
            </w:pPr>
            <w:r w:rsidRPr="00361A09">
              <w:rPr>
                <w:rFonts w:ascii="Calibri" w:eastAsia="Times New Roman" w:hAnsi="Calibri" w:cs="Times New Roman"/>
                <w:b/>
                <w:bCs/>
                <w:color w:val="000000"/>
                <w:sz w:val="18"/>
                <w:szCs w:val="18"/>
                <w:lang w:val="en-AU"/>
              </w:rPr>
              <w:t>Quality</w:t>
            </w:r>
          </w:p>
        </w:tc>
        <w:tc>
          <w:tcPr>
            <w:tcW w:w="1134" w:type="dxa"/>
            <w:shd w:val="clear" w:color="auto" w:fill="auto"/>
            <w:hideMark/>
          </w:tcPr>
          <w:p w14:paraId="2B9F233F" w14:textId="77777777" w:rsidR="009362A4" w:rsidRPr="00361A09" w:rsidRDefault="009362A4" w:rsidP="0015435E">
            <w:pPr>
              <w:spacing w:after="0" w:line="240" w:lineRule="auto"/>
              <w:jc w:val="center"/>
              <w:rPr>
                <w:rFonts w:ascii="Calibri" w:eastAsia="Times New Roman" w:hAnsi="Calibri" w:cs="Times New Roman"/>
                <w:color w:val="000000"/>
                <w:sz w:val="18"/>
                <w:szCs w:val="18"/>
                <w:lang w:val="en-AU"/>
              </w:rPr>
            </w:pPr>
            <w:r w:rsidRPr="00361A09">
              <w:rPr>
                <w:rFonts w:ascii="Calibri" w:eastAsia="Times New Roman" w:hAnsi="Calibri" w:cs="Times New Roman"/>
                <w:color w:val="000000"/>
                <w:sz w:val="18"/>
                <w:szCs w:val="18"/>
                <w:lang w:val="en-AU"/>
              </w:rPr>
              <w:t>IO3</w:t>
            </w:r>
          </w:p>
          <w:p w14:paraId="1317E16F" w14:textId="77777777" w:rsidR="009362A4" w:rsidRPr="00361A09" w:rsidRDefault="009362A4" w:rsidP="0015435E">
            <w:pPr>
              <w:spacing w:after="0" w:line="240" w:lineRule="auto"/>
              <w:jc w:val="center"/>
              <w:rPr>
                <w:rFonts w:ascii="Calibri" w:eastAsia="Times New Roman" w:hAnsi="Calibri" w:cs="Times New Roman"/>
                <w:color w:val="000000"/>
                <w:sz w:val="18"/>
                <w:szCs w:val="18"/>
                <w:lang w:val="en-AU"/>
              </w:rPr>
            </w:pPr>
            <w:r w:rsidRPr="00361A09">
              <w:rPr>
                <w:rFonts w:ascii="Calibri" w:eastAsia="Times New Roman" w:hAnsi="Calibri" w:cs="Times New Roman"/>
                <w:color w:val="000000"/>
                <w:sz w:val="18"/>
                <w:szCs w:val="18"/>
                <w:lang w:val="en-AU"/>
              </w:rPr>
              <w:t>(165)</w:t>
            </w:r>
          </w:p>
        </w:tc>
        <w:tc>
          <w:tcPr>
            <w:tcW w:w="2410" w:type="dxa"/>
            <w:shd w:val="clear" w:color="auto" w:fill="auto"/>
            <w:hideMark/>
          </w:tcPr>
          <w:p w14:paraId="163025FC" w14:textId="77777777" w:rsidR="009362A4" w:rsidRPr="00361A09" w:rsidRDefault="009362A4" w:rsidP="0015435E">
            <w:pPr>
              <w:spacing w:after="0" w:line="240" w:lineRule="auto"/>
              <w:rPr>
                <w:rFonts w:ascii="Calibri" w:eastAsia="Times New Roman" w:hAnsi="Calibri" w:cs="Times New Roman"/>
                <w:color w:val="000000" w:themeColor="text1"/>
                <w:sz w:val="18"/>
                <w:szCs w:val="18"/>
                <w:lang w:val="en-AU"/>
              </w:rPr>
            </w:pPr>
            <w:r w:rsidRPr="00361A09">
              <w:rPr>
                <w:rFonts w:ascii="Calibri" w:eastAsia="Times New Roman" w:hAnsi="Calibri" w:cs="Times New Roman"/>
                <w:color w:val="000000" w:themeColor="text1"/>
                <w:sz w:val="18"/>
                <w:szCs w:val="18"/>
                <w:lang w:val="en-AU"/>
              </w:rPr>
              <w:t>2.1 More teachers using new improved curriculum</w:t>
            </w:r>
          </w:p>
        </w:tc>
        <w:tc>
          <w:tcPr>
            <w:tcW w:w="2977" w:type="dxa"/>
            <w:shd w:val="clear" w:color="auto" w:fill="auto"/>
            <w:hideMark/>
          </w:tcPr>
          <w:p w14:paraId="502DF309" w14:textId="77777777" w:rsidR="009362A4" w:rsidRPr="00361A09" w:rsidRDefault="009362A4" w:rsidP="0015435E">
            <w:pPr>
              <w:spacing w:after="0" w:line="240" w:lineRule="auto"/>
              <w:rPr>
                <w:rFonts w:ascii="Calibri" w:eastAsia="Times New Roman" w:hAnsi="Calibri" w:cs="Times New Roman"/>
                <w:color w:val="000000" w:themeColor="text1"/>
                <w:sz w:val="18"/>
                <w:szCs w:val="18"/>
                <w:lang w:val="en-AU"/>
              </w:rPr>
            </w:pPr>
            <w:proofErr w:type="gramStart"/>
            <w:r w:rsidRPr="00361A09">
              <w:rPr>
                <w:rFonts w:ascii="Calibri" w:eastAsia="Times New Roman" w:hAnsi="Calibri" w:cs="Times New Roman"/>
                <w:color w:val="000000" w:themeColor="text1"/>
                <w:sz w:val="18"/>
                <w:szCs w:val="18"/>
                <w:lang w:val="en-AU"/>
              </w:rPr>
              <w:t>2.1.1  By</w:t>
            </w:r>
            <w:proofErr w:type="gramEnd"/>
            <w:r w:rsidRPr="00361A09">
              <w:rPr>
                <w:rFonts w:ascii="Calibri" w:eastAsia="Times New Roman" w:hAnsi="Calibri" w:cs="Times New Roman"/>
                <w:color w:val="000000" w:themeColor="text1"/>
                <w:sz w:val="18"/>
                <w:szCs w:val="18"/>
                <w:lang w:val="en-AU"/>
              </w:rPr>
              <w:t xml:space="preserve"> the end of 2019, roll out of the Pre-Primary Year (PPY) Curriculum and training to the 7 remaining provinces completed and evaluated (i.e. Temotu, Makira, Central, Choiseul, Western, and </w:t>
            </w:r>
            <w:proofErr w:type="spellStart"/>
            <w:r w:rsidRPr="00361A09">
              <w:rPr>
                <w:rFonts w:ascii="Calibri" w:eastAsia="Times New Roman" w:hAnsi="Calibri" w:cs="Times New Roman"/>
                <w:color w:val="000000" w:themeColor="text1"/>
                <w:sz w:val="18"/>
                <w:szCs w:val="18"/>
                <w:lang w:val="en-AU"/>
              </w:rPr>
              <w:t>Rennell</w:t>
            </w:r>
            <w:proofErr w:type="spellEnd"/>
            <w:r w:rsidRPr="00361A09">
              <w:rPr>
                <w:rFonts w:ascii="Calibri" w:eastAsia="Times New Roman" w:hAnsi="Calibri" w:cs="Times New Roman"/>
                <w:color w:val="000000" w:themeColor="text1"/>
                <w:sz w:val="18"/>
                <w:szCs w:val="18"/>
                <w:lang w:val="en-AU"/>
              </w:rPr>
              <w:t xml:space="preserve"> &amp; Bellona) </w:t>
            </w:r>
          </w:p>
        </w:tc>
        <w:tc>
          <w:tcPr>
            <w:tcW w:w="1276" w:type="dxa"/>
            <w:shd w:val="clear" w:color="auto" w:fill="auto"/>
            <w:hideMark/>
          </w:tcPr>
          <w:p w14:paraId="0DD18CD8" w14:textId="77777777" w:rsidR="009362A4" w:rsidRPr="00361A09" w:rsidRDefault="009362A4" w:rsidP="0015435E">
            <w:pPr>
              <w:spacing w:after="0" w:line="240" w:lineRule="auto"/>
              <w:rPr>
                <w:rFonts w:ascii="Calibri" w:eastAsia="Times New Roman" w:hAnsi="Calibri" w:cs="Times New Roman"/>
                <w:color w:val="000000"/>
                <w:sz w:val="18"/>
                <w:szCs w:val="18"/>
                <w:lang w:val="en-AU"/>
              </w:rPr>
            </w:pPr>
            <w:r>
              <w:rPr>
                <w:rFonts w:ascii="Calibri" w:eastAsia="Times New Roman" w:hAnsi="Calibri" w:cs="Times New Roman"/>
                <w:color w:val="000000"/>
                <w:sz w:val="18"/>
                <w:szCs w:val="18"/>
                <w:lang w:val="en-AU"/>
              </w:rPr>
              <w:t>TPDD/</w:t>
            </w:r>
            <w:r w:rsidRPr="00D40917">
              <w:rPr>
                <w:rFonts w:ascii="Calibri" w:eastAsia="Times New Roman" w:hAnsi="Calibri" w:cs="Times New Roman"/>
                <w:color w:val="000000" w:themeColor="text1"/>
                <w:sz w:val="18"/>
                <w:szCs w:val="18"/>
                <w:lang w:val="en-AU"/>
              </w:rPr>
              <w:t>LPMU</w:t>
            </w:r>
          </w:p>
        </w:tc>
        <w:tc>
          <w:tcPr>
            <w:tcW w:w="2551" w:type="dxa"/>
            <w:shd w:val="clear" w:color="auto" w:fill="auto"/>
            <w:noWrap/>
            <w:hideMark/>
          </w:tcPr>
          <w:p w14:paraId="3B14F583" w14:textId="77777777" w:rsidR="009362A4" w:rsidRPr="00361A09" w:rsidRDefault="009362A4" w:rsidP="0015435E">
            <w:pPr>
              <w:pStyle w:val="ListParagraph"/>
              <w:numPr>
                <w:ilvl w:val="0"/>
                <w:numId w:val="10"/>
              </w:numPr>
              <w:spacing w:afterLines="40" w:after="96" w:line="240" w:lineRule="auto"/>
              <w:ind w:left="316" w:hanging="284"/>
              <w:contextualSpacing w:val="0"/>
              <w:rPr>
                <w:rFonts w:ascii="Calibri" w:eastAsia="Times New Roman" w:hAnsi="Calibri" w:cs="Times New Roman"/>
                <w:color w:val="000000" w:themeColor="text1"/>
                <w:sz w:val="18"/>
                <w:szCs w:val="18"/>
                <w:lang w:val="en-AU"/>
              </w:rPr>
            </w:pPr>
            <w:r w:rsidRPr="00361A09">
              <w:rPr>
                <w:rFonts w:ascii="Calibri" w:eastAsia="Times New Roman" w:hAnsi="Calibri" w:cs="Times New Roman"/>
                <w:color w:val="000000" w:themeColor="text1"/>
                <w:sz w:val="18"/>
                <w:szCs w:val="18"/>
                <w:lang w:val="en-AU"/>
              </w:rPr>
              <w:t>PPY Monitoring Report received by MEHRD and UNICEF (100%)</w:t>
            </w:r>
          </w:p>
          <w:p w14:paraId="2E1B8187" w14:textId="77777777" w:rsidR="009362A4" w:rsidRPr="00361A09" w:rsidRDefault="009362A4" w:rsidP="0015435E">
            <w:pPr>
              <w:spacing w:afterLines="40" w:after="96" w:line="240" w:lineRule="auto"/>
              <w:ind w:left="32"/>
              <w:rPr>
                <w:rFonts w:ascii="Calibri" w:eastAsia="Times New Roman" w:hAnsi="Calibri" w:cs="Times New Roman"/>
                <w:color w:val="000000" w:themeColor="text1"/>
                <w:sz w:val="18"/>
                <w:szCs w:val="18"/>
                <w:lang w:val="en-AU"/>
              </w:rPr>
            </w:pPr>
            <w:r w:rsidRPr="00361A09">
              <w:rPr>
                <w:rFonts w:ascii="Calibri" w:eastAsia="Times New Roman" w:hAnsi="Calibri" w:cs="Times New Roman"/>
                <w:color w:val="000000" w:themeColor="text1"/>
                <w:sz w:val="18"/>
                <w:szCs w:val="18"/>
                <w:lang w:val="en-AU"/>
              </w:rPr>
              <w:t xml:space="preserve"> </w:t>
            </w:r>
          </w:p>
        </w:tc>
        <w:tc>
          <w:tcPr>
            <w:tcW w:w="1985" w:type="dxa"/>
          </w:tcPr>
          <w:p w14:paraId="7044D0D6" w14:textId="6B70C81C" w:rsidR="009362A4" w:rsidRPr="00361A09" w:rsidRDefault="001E568E" w:rsidP="0015435E">
            <w:pPr>
              <w:pStyle w:val="ListParagraph"/>
              <w:numPr>
                <w:ilvl w:val="0"/>
                <w:numId w:val="10"/>
              </w:numPr>
              <w:spacing w:afterLines="40" w:after="96" w:line="240" w:lineRule="auto"/>
              <w:ind w:left="316" w:hanging="284"/>
              <w:contextualSpacing w:val="0"/>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75% (of 100%)</w:t>
            </w:r>
          </w:p>
        </w:tc>
        <w:tc>
          <w:tcPr>
            <w:tcW w:w="1842" w:type="dxa"/>
          </w:tcPr>
          <w:p w14:paraId="1B0C95CF" w14:textId="3C4FEB0E" w:rsidR="009362A4" w:rsidRDefault="009A6CD9" w:rsidP="0015435E">
            <w:pPr>
              <w:pStyle w:val="ListParagraph"/>
              <w:numPr>
                <w:ilvl w:val="0"/>
                <w:numId w:val="10"/>
              </w:numPr>
              <w:spacing w:afterLines="40" w:after="96" w:line="240" w:lineRule="auto"/>
              <w:ind w:left="316" w:hanging="284"/>
              <w:contextualSpacing w:val="0"/>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146,250.00</w:t>
            </w:r>
          </w:p>
        </w:tc>
      </w:tr>
      <w:tr w:rsidR="009362A4" w:rsidRPr="00145309" w14:paraId="0C57EC96" w14:textId="77777777" w:rsidTr="006046AC">
        <w:trPr>
          <w:cantSplit/>
          <w:jc w:val="center"/>
        </w:trPr>
        <w:tc>
          <w:tcPr>
            <w:tcW w:w="1129" w:type="dxa"/>
            <w:shd w:val="clear" w:color="auto" w:fill="auto"/>
            <w:noWrap/>
            <w:hideMark/>
          </w:tcPr>
          <w:p w14:paraId="2B513B77" w14:textId="77777777" w:rsidR="009362A4" w:rsidRPr="00361A09" w:rsidRDefault="009362A4" w:rsidP="0015435E">
            <w:pPr>
              <w:spacing w:after="0" w:line="240" w:lineRule="auto"/>
              <w:rPr>
                <w:rFonts w:ascii="Calibri" w:eastAsia="Times New Roman" w:hAnsi="Calibri" w:cs="Times New Roman"/>
                <w:b/>
                <w:bCs/>
                <w:color w:val="000000"/>
                <w:sz w:val="18"/>
                <w:szCs w:val="18"/>
                <w:lang w:val="en-AU"/>
              </w:rPr>
            </w:pPr>
            <w:r w:rsidRPr="00361A09">
              <w:rPr>
                <w:rFonts w:ascii="Calibri" w:eastAsia="Times New Roman" w:hAnsi="Calibri" w:cs="Times New Roman"/>
                <w:b/>
                <w:bCs/>
                <w:color w:val="000000"/>
                <w:sz w:val="18"/>
                <w:szCs w:val="18"/>
                <w:lang w:val="en-AU"/>
              </w:rPr>
              <w:t> Quality</w:t>
            </w:r>
          </w:p>
        </w:tc>
        <w:tc>
          <w:tcPr>
            <w:tcW w:w="1134" w:type="dxa"/>
            <w:shd w:val="clear" w:color="auto" w:fill="auto"/>
            <w:hideMark/>
          </w:tcPr>
          <w:p w14:paraId="66631E5E" w14:textId="77777777" w:rsidR="009362A4" w:rsidRPr="00361A09" w:rsidRDefault="009362A4" w:rsidP="0015435E">
            <w:pPr>
              <w:spacing w:after="0" w:line="240" w:lineRule="auto"/>
              <w:jc w:val="center"/>
              <w:rPr>
                <w:rFonts w:ascii="Calibri" w:eastAsia="Times New Roman" w:hAnsi="Calibri" w:cs="Times New Roman"/>
                <w:color w:val="000000" w:themeColor="text1"/>
                <w:sz w:val="18"/>
                <w:szCs w:val="18"/>
                <w:lang w:val="en-AU"/>
              </w:rPr>
            </w:pPr>
            <w:r w:rsidRPr="00361A09">
              <w:rPr>
                <w:rFonts w:ascii="Calibri" w:eastAsia="Times New Roman" w:hAnsi="Calibri" w:cs="Times New Roman"/>
                <w:color w:val="000000" w:themeColor="text1"/>
                <w:sz w:val="18"/>
                <w:szCs w:val="18"/>
                <w:lang w:val="en-AU"/>
              </w:rPr>
              <w:t>EO 2.1; EO 2.2</w:t>
            </w:r>
          </w:p>
          <w:p w14:paraId="0390E9B3" w14:textId="77777777" w:rsidR="009362A4" w:rsidRPr="00361A09" w:rsidRDefault="009362A4" w:rsidP="0015435E">
            <w:pPr>
              <w:spacing w:after="0" w:line="240" w:lineRule="auto"/>
              <w:jc w:val="center"/>
              <w:rPr>
                <w:rFonts w:ascii="Calibri" w:eastAsia="Times New Roman" w:hAnsi="Calibri" w:cs="Times New Roman"/>
                <w:color w:val="4472C4"/>
                <w:sz w:val="18"/>
                <w:szCs w:val="18"/>
                <w:lang w:val="en-AU"/>
              </w:rPr>
            </w:pPr>
            <w:r w:rsidRPr="00361A09">
              <w:rPr>
                <w:rFonts w:ascii="Calibri" w:eastAsia="Times New Roman" w:hAnsi="Calibri" w:cs="Times New Roman"/>
                <w:color w:val="000000" w:themeColor="text1"/>
                <w:sz w:val="18"/>
                <w:szCs w:val="18"/>
                <w:lang w:val="en-AU"/>
              </w:rPr>
              <w:t>(122)</w:t>
            </w:r>
          </w:p>
        </w:tc>
        <w:tc>
          <w:tcPr>
            <w:tcW w:w="2410" w:type="dxa"/>
            <w:shd w:val="clear" w:color="auto" w:fill="auto"/>
            <w:hideMark/>
          </w:tcPr>
          <w:p w14:paraId="69621A91" w14:textId="77777777" w:rsidR="009362A4" w:rsidRPr="00361A09" w:rsidRDefault="009362A4" w:rsidP="0015435E">
            <w:pPr>
              <w:spacing w:after="0" w:line="240" w:lineRule="auto"/>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2.2</w:t>
            </w:r>
            <w:r w:rsidRPr="00361A09">
              <w:rPr>
                <w:rFonts w:ascii="Calibri" w:eastAsia="Times New Roman" w:hAnsi="Calibri" w:cs="Times New Roman"/>
                <w:color w:val="000000" w:themeColor="text1"/>
                <w:sz w:val="18"/>
                <w:szCs w:val="18"/>
                <w:lang w:val="en-AU"/>
              </w:rPr>
              <w:t xml:space="preserve"> Number of students achieving at or above the expected literacy and numeracy level</w:t>
            </w:r>
          </w:p>
        </w:tc>
        <w:tc>
          <w:tcPr>
            <w:tcW w:w="2977" w:type="dxa"/>
            <w:shd w:val="clear" w:color="auto" w:fill="auto"/>
            <w:hideMark/>
          </w:tcPr>
          <w:p w14:paraId="73A222C3" w14:textId="77777777" w:rsidR="009362A4" w:rsidRPr="00361A09" w:rsidRDefault="009362A4" w:rsidP="0015435E">
            <w:pPr>
              <w:spacing w:after="0" w:line="240" w:lineRule="auto"/>
              <w:rPr>
                <w:rFonts w:ascii="Calibri" w:eastAsia="Times New Roman" w:hAnsi="Calibri" w:cs="Times New Roman"/>
                <w:color w:val="000000" w:themeColor="text1"/>
                <w:sz w:val="18"/>
                <w:szCs w:val="18"/>
                <w:lang w:val="en-AU"/>
              </w:rPr>
            </w:pPr>
            <w:proofErr w:type="gramStart"/>
            <w:r>
              <w:rPr>
                <w:rFonts w:ascii="Calibri" w:eastAsia="Times New Roman" w:hAnsi="Calibri" w:cs="Times New Roman"/>
                <w:color w:val="000000" w:themeColor="text1"/>
                <w:sz w:val="18"/>
                <w:szCs w:val="18"/>
                <w:lang w:val="en-AU"/>
              </w:rPr>
              <w:t>2.2</w:t>
            </w:r>
            <w:r w:rsidRPr="00361A09">
              <w:rPr>
                <w:rFonts w:ascii="Calibri" w:eastAsia="Times New Roman" w:hAnsi="Calibri" w:cs="Times New Roman"/>
                <w:color w:val="000000" w:themeColor="text1"/>
                <w:sz w:val="18"/>
                <w:szCs w:val="18"/>
                <w:lang w:val="en-AU"/>
              </w:rPr>
              <w:t>.1  By</w:t>
            </w:r>
            <w:proofErr w:type="gramEnd"/>
            <w:r w:rsidRPr="00361A09">
              <w:rPr>
                <w:rFonts w:ascii="Calibri" w:eastAsia="Times New Roman" w:hAnsi="Calibri" w:cs="Times New Roman"/>
                <w:color w:val="000000" w:themeColor="text1"/>
                <w:sz w:val="18"/>
                <w:szCs w:val="18"/>
                <w:lang w:val="en-AU"/>
              </w:rPr>
              <w:t xml:space="preserve"> the end of 2019, 2019 SISTA test review and main study conducted</w:t>
            </w:r>
          </w:p>
          <w:p w14:paraId="2E1C76DF" w14:textId="77777777" w:rsidR="009362A4" w:rsidRPr="00361A09" w:rsidRDefault="009362A4" w:rsidP="0015435E">
            <w:pPr>
              <w:spacing w:after="0" w:line="240" w:lineRule="auto"/>
              <w:rPr>
                <w:rFonts w:ascii="Calibri" w:eastAsia="Times New Roman" w:hAnsi="Calibri" w:cs="Times New Roman"/>
                <w:color w:val="000000" w:themeColor="text1"/>
                <w:sz w:val="18"/>
                <w:szCs w:val="18"/>
                <w:lang w:val="en-AU"/>
              </w:rPr>
            </w:pPr>
          </w:p>
          <w:p w14:paraId="15090F5F" w14:textId="77777777" w:rsidR="009362A4" w:rsidRPr="00361A09" w:rsidRDefault="009362A4" w:rsidP="0015435E">
            <w:pPr>
              <w:spacing w:after="0" w:line="240" w:lineRule="auto"/>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2.2</w:t>
            </w:r>
            <w:r w:rsidRPr="00361A09">
              <w:rPr>
                <w:rFonts w:ascii="Calibri" w:eastAsia="Times New Roman" w:hAnsi="Calibri" w:cs="Times New Roman"/>
                <w:color w:val="000000" w:themeColor="text1"/>
                <w:sz w:val="18"/>
                <w:szCs w:val="18"/>
                <w:lang w:val="en-AU"/>
              </w:rPr>
              <w:t>.2 By the end of 2019, PILNA 2018 test results disseminated through school visits, Education Authorities, and online</w:t>
            </w:r>
          </w:p>
        </w:tc>
        <w:tc>
          <w:tcPr>
            <w:tcW w:w="1276" w:type="dxa"/>
            <w:shd w:val="clear" w:color="auto" w:fill="auto"/>
            <w:hideMark/>
          </w:tcPr>
          <w:p w14:paraId="179F787F" w14:textId="77777777" w:rsidR="009362A4" w:rsidRPr="00361A09" w:rsidRDefault="009362A4" w:rsidP="0015435E">
            <w:pPr>
              <w:spacing w:after="0" w:line="240" w:lineRule="auto"/>
              <w:rPr>
                <w:rFonts w:ascii="Calibri" w:eastAsia="Times New Roman" w:hAnsi="Calibri" w:cs="Times New Roman"/>
                <w:color w:val="000000"/>
                <w:sz w:val="18"/>
                <w:szCs w:val="18"/>
                <w:lang w:val="en-AU"/>
              </w:rPr>
            </w:pPr>
            <w:r w:rsidRPr="00361A09">
              <w:rPr>
                <w:rFonts w:ascii="Calibri" w:eastAsia="Times New Roman" w:hAnsi="Calibri" w:cs="Times New Roman"/>
                <w:color w:val="000000"/>
                <w:sz w:val="18"/>
                <w:szCs w:val="18"/>
                <w:lang w:val="en-AU"/>
              </w:rPr>
              <w:t xml:space="preserve">NEAD </w:t>
            </w:r>
          </w:p>
        </w:tc>
        <w:tc>
          <w:tcPr>
            <w:tcW w:w="2551" w:type="dxa"/>
            <w:shd w:val="clear" w:color="auto" w:fill="auto"/>
            <w:hideMark/>
          </w:tcPr>
          <w:p w14:paraId="5BDE5077" w14:textId="77777777" w:rsidR="009362A4" w:rsidRPr="00361A09" w:rsidRDefault="009362A4" w:rsidP="0015435E">
            <w:pPr>
              <w:pStyle w:val="ListParagraph"/>
              <w:numPr>
                <w:ilvl w:val="0"/>
                <w:numId w:val="8"/>
              </w:numPr>
              <w:spacing w:after="40" w:line="240" w:lineRule="auto"/>
              <w:ind w:left="360"/>
              <w:contextualSpacing w:val="0"/>
              <w:rPr>
                <w:rFonts w:ascii="Calibri" w:eastAsia="Times New Roman" w:hAnsi="Calibri" w:cs="Times New Roman"/>
                <w:color w:val="000000" w:themeColor="text1"/>
                <w:sz w:val="18"/>
                <w:szCs w:val="18"/>
                <w:lang w:val="en-AU"/>
              </w:rPr>
            </w:pPr>
            <w:r w:rsidRPr="00361A09">
              <w:rPr>
                <w:rFonts w:ascii="Calibri" w:eastAsia="Times New Roman" w:hAnsi="Calibri" w:cs="Times New Roman"/>
                <w:color w:val="000000" w:themeColor="text1"/>
                <w:sz w:val="18"/>
                <w:szCs w:val="18"/>
                <w:lang w:val="en-AU"/>
              </w:rPr>
              <w:t>Evidence of 2019 SISTA test review and main study having been conducted (50%)</w:t>
            </w:r>
          </w:p>
          <w:p w14:paraId="7AC1C523" w14:textId="77777777" w:rsidR="009362A4" w:rsidRPr="00361A09" w:rsidRDefault="009362A4" w:rsidP="0015435E">
            <w:pPr>
              <w:pStyle w:val="ListParagraph"/>
              <w:numPr>
                <w:ilvl w:val="0"/>
                <w:numId w:val="8"/>
              </w:numPr>
              <w:spacing w:after="40" w:line="240" w:lineRule="auto"/>
              <w:ind w:left="360"/>
              <w:contextualSpacing w:val="0"/>
              <w:rPr>
                <w:rFonts w:ascii="Calibri" w:eastAsia="Times New Roman" w:hAnsi="Calibri" w:cs="Times New Roman"/>
                <w:color w:val="000000" w:themeColor="text1"/>
                <w:sz w:val="18"/>
                <w:szCs w:val="18"/>
                <w:lang w:val="en-AU"/>
              </w:rPr>
            </w:pPr>
            <w:r w:rsidRPr="00361A09">
              <w:rPr>
                <w:rFonts w:ascii="Calibri" w:eastAsia="Times New Roman" w:hAnsi="Calibri" w:cs="Times New Roman"/>
                <w:color w:val="000000" w:themeColor="text1"/>
                <w:sz w:val="18"/>
                <w:szCs w:val="18"/>
                <w:lang w:val="en-AU"/>
              </w:rPr>
              <w:t>Evidence of PILNA 2018 dissemination to national, provincial and school level (</w:t>
            </w:r>
            <w:proofErr w:type="gramStart"/>
            <w:r w:rsidRPr="00361A09">
              <w:rPr>
                <w:rFonts w:ascii="Calibri" w:eastAsia="Times New Roman" w:hAnsi="Calibri" w:cs="Times New Roman"/>
                <w:color w:val="000000" w:themeColor="text1"/>
                <w:sz w:val="18"/>
                <w:szCs w:val="18"/>
                <w:lang w:val="en-AU"/>
              </w:rPr>
              <w:t>e.g.</w:t>
            </w:r>
            <w:proofErr w:type="gramEnd"/>
            <w:r w:rsidRPr="00361A09">
              <w:rPr>
                <w:rFonts w:ascii="Calibri" w:eastAsia="Times New Roman" w:hAnsi="Calibri" w:cs="Times New Roman"/>
                <w:color w:val="000000" w:themeColor="text1"/>
                <w:sz w:val="18"/>
                <w:szCs w:val="18"/>
                <w:lang w:val="en-AU"/>
              </w:rPr>
              <w:t xml:space="preserve"> meeting minutes, back to office reports) (50%)</w:t>
            </w:r>
          </w:p>
          <w:p w14:paraId="76B4BCBC" w14:textId="77777777" w:rsidR="009362A4" w:rsidRPr="00361A09" w:rsidRDefault="009362A4" w:rsidP="0015435E">
            <w:pPr>
              <w:spacing w:after="40" w:line="240" w:lineRule="auto"/>
              <w:rPr>
                <w:rFonts w:ascii="Calibri" w:eastAsia="Times New Roman" w:hAnsi="Calibri" w:cs="Times New Roman"/>
                <w:color w:val="000000" w:themeColor="text1"/>
                <w:sz w:val="18"/>
                <w:szCs w:val="18"/>
                <w:lang w:val="en-AU"/>
              </w:rPr>
            </w:pPr>
          </w:p>
        </w:tc>
        <w:tc>
          <w:tcPr>
            <w:tcW w:w="1985" w:type="dxa"/>
          </w:tcPr>
          <w:p w14:paraId="78F49E9A" w14:textId="77777777" w:rsidR="009362A4" w:rsidRDefault="001E568E" w:rsidP="0015435E">
            <w:pPr>
              <w:pStyle w:val="ListParagraph"/>
              <w:numPr>
                <w:ilvl w:val="0"/>
                <w:numId w:val="8"/>
              </w:numPr>
              <w:spacing w:after="40" w:line="240" w:lineRule="auto"/>
              <w:ind w:left="360"/>
              <w:contextualSpacing w:val="0"/>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100% (of 50%)</w:t>
            </w:r>
          </w:p>
          <w:p w14:paraId="3DCC8ED1" w14:textId="77777777" w:rsidR="001E568E" w:rsidRDefault="001E568E" w:rsidP="0015435E">
            <w:pPr>
              <w:spacing w:after="40" w:line="240" w:lineRule="auto"/>
              <w:rPr>
                <w:rFonts w:ascii="Calibri" w:eastAsia="Times New Roman" w:hAnsi="Calibri" w:cs="Times New Roman"/>
                <w:color w:val="000000" w:themeColor="text1"/>
                <w:sz w:val="18"/>
                <w:szCs w:val="18"/>
                <w:lang w:val="en-AU"/>
              </w:rPr>
            </w:pPr>
          </w:p>
          <w:p w14:paraId="0234EE78" w14:textId="77777777" w:rsidR="001E568E" w:rsidRDefault="001E568E" w:rsidP="0015435E">
            <w:pPr>
              <w:spacing w:after="40" w:line="240" w:lineRule="auto"/>
              <w:rPr>
                <w:rFonts w:ascii="Calibri" w:eastAsia="Times New Roman" w:hAnsi="Calibri" w:cs="Times New Roman"/>
                <w:color w:val="000000" w:themeColor="text1"/>
                <w:sz w:val="18"/>
                <w:szCs w:val="18"/>
                <w:lang w:val="en-AU"/>
              </w:rPr>
            </w:pPr>
          </w:p>
          <w:p w14:paraId="1534F656" w14:textId="2CC3DF55" w:rsidR="001E568E" w:rsidRPr="001E568E" w:rsidRDefault="001E568E" w:rsidP="0015435E">
            <w:pPr>
              <w:pStyle w:val="ListParagraph"/>
              <w:numPr>
                <w:ilvl w:val="0"/>
                <w:numId w:val="8"/>
              </w:numPr>
              <w:spacing w:after="40" w:line="240" w:lineRule="auto"/>
              <w:ind w:left="360"/>
              <w:contextualSpacing w:val="0"/>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50% (of 50%)</w:t>
            </w:r>
          </w:p>
        </w:tc>
        <w:tc>
          <w:tcPr>
            <w:tcW w:w="1842" w:type="dxa"/>
          </w:tcPr>
          <w:p w14:paraId="380D36D6" w14:textId="77777777" w:rsidR="009362A4" w:rsidRDefault="00F720A5" w:rsidP="0015435E">
            <w:pPr>
              <w:pStyle w:val="ListParagraph"/>
              <w:numPr>
                <w:ilvl w:val="0"/>
                <w:numId w:val="8"/>
              </w:numPr>
              <w:spacing w:after="40" w:line="240" w:lineRule="auto"/>
              <w:ind w:left="360"/>
              <w:contextualSpacing w:val="0"/>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97,500.00</w:t>
            </w:r>
          </w:p>
          <w:p w14:paraId="6676212C" w14:textId="77777777" w:rsidR="00F720A5" w:rsidRDefault="00F720A5" w:rsidP="0015435E">
            <w:pPr>
              <w:spacing w:after="40" w:line="240" w:lineRule="auto"/>
              <w:rPr>
                <w:rFonts w:ascii="Calibri" w:eastAsia="Times New Roman" w:hAnsi="Calibri" w:cs="Times New Roman"/>
                <w:color w:val="000000" w:themeColor="text1"/>
                <w:sz w:val="18"/>
                <w:szCs w:val="18"/>
                <w:lang w:val="en-AU"/>
              </w:rPr>
            </w:pPr>
          </w:p>
          <w:p w14:paraId="1E304E88" w14:textId="77777777" w:rsidR="00F720A5" w:rsidRDefault="00F720A5" w:rsidP="0015435E">
            <w:pPr>
              <w:spacing w:after="40" w:line="240" w:lineRule="auto"/>
              <w:rPr>
                <w:rFonts w:ascii="Calibri" w:eastAsia="Times New Roman" w:hAnsi="Calibri" w:cs="Times New Roman"/>
                <w:color w:val="000000" w:themeColor="text1"/>
                <w:sz w:val="18"/>
                <w:szCs w:val="18"/>
                <w:lang w:val="en-AU"/>
              </w:rPr>
            </w:pPr>
          </w:p>
          <w:p w14:paraId="2BDB04E7" w14:textId="0E4702AD" w:rsidR="00F720A5" w:rsidRPr="00F720A5" w:rsidRDefault="00F720A5" w:rsidP="0015435E">
            <w:pPr>
              <w:pStyle w:val="ListParagraph"/>
              <w:numPr>
                <w:ilvl w:val="0"/>
                <w:numId w:val="8"/>
              </w:numPr>
              <w:spacing w:after="40" w:line="240" w:lineRule="auto"/>
              <w:ind w:left="360"/>
              <w:contextualSpacing w:val="0"/>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48,750.00</w:t>
            </w:r>
          </w:p>
        </w:tc>
      </w:tr>
      <w:tr w:rsidR="009362A4" w:rsidRPr="00145309" w14:paraId="2944B063" w14:textId="77777777" w:rsidTr="006046AC">
        <w:trPr>
          <w:cantSplit/>
          <w:jc w:val="center"/>
        </w:trPr>
        <w:tc>
          <w:tcPr>
            <w:tcW w:w="1129" w:type="dxa"/>
            <w:shd w:val="clear" w:color="auto" w:fill="auto"/>
            <w:noWrap/>
          </w:tcPr>
          <w:p w14:paraId="241BE1BA" w14:textId="77777777" w:rsidR="009362A4" w:rsidRPr="00361A09" w:rsidRDefault="009362A4" w:rsidP="0015435E">
            <w:pPr>
              <w:spacing w:after="0" w:line="240" w:lineRule="auto"/>
              <w:rPr>
                <w:rFonts w:ascii="Calibri" w:eastAsia="Times New Roman" w:hAnsi="Calibri" w:cs="Times New Roman"/>
                <w:b/>
                <w:bCs/>
                <w:color w:val="000000"/>
                <w:sz w:val="18"/>
                <w:szCs w:val="18"/>
                <w:lang w:val="en-AU"/>
              </w:rPr>
            </w:pPr>
            <w:r w:rsidRPr="00361A09">
              <w:rPr>
                <w:rFonts w:ascii="Calibri" w:eastAsia="Times New Roman" w:hAnsi="Calibri" w:cs="Times New Roman"/>
                <w:b/>
                <w:bCs/>
                <w:color w:val="000000"/>
                <w:sz w:val="18"/>
                <w:szCs w:val="18"/>
                <w:lang w:val="en-AU"/>
              </w:rPr>
              <w:t>Quality</w:t>
            </w:r>
          </w:p>
        </w:tc>
        <w:tc>
          <w:tcPr>
            <w:tcW w:w="1134" w:type="dxa"/>
            <w:shd w:val="clear" w:color="auto" w:fill="auto"/>
          </w:tcPr>
          <w:p w14:paraId="5CAF6EFD" w14:textId="77777777" w:rsidR="009362A4" w:rsidRPr="00361A09" w:rsidRDefault="009362A4" w:rsidP="0015435E">
            <w:pPr>
              <w:spacing w:after="0" w:line="240" w:lineRule="auto"/>
              <w:jc w:val="center"/>
              <w:rPr>
                <w:rFonts w:ascii="Calibri" w:eastAsia="Times New Roman" w:hAnsi="Calibri" w:cs="Times New Roman"/>
                <w:color w:val="000000"/>
                <w:sz w:val="18"/>
                <w:szCs w:val="18"/>
                <w:lang w:val="en-AU"/>
              </w:rPr>
            </w:pPr>
            <w:r w:rsidRPr="00361A09">
              <w:rPr>
                <w:rFonts w:ascii="Calibri" w:eastAsia="Times New Roman" w:hAnsi="Calibri" w:cs="Times New Roman"/>
                <w:color w:val="000000"/>
                <w:sz w:val="18"/>
                <w:szCs w:val="18"/>
                <w:lang w:val="en-AU"/>
              </w:rPr>
              <w:t>EO 2.5</w:t>
            </w:r>
          </w:p>
          <w:p w14:paraId="5141D89E" w14:textId="77777777" w:rsidR="009362A4" w:rsidRPr="00361A09" w:rsidRDefault="009362A4" w:rsidP="0015435E">
            <w:pPr>
              <w:spacing w:after="0" w:line="240" w:lineRule="auto"/>
              <w:jc w:val="center"/>
              <w:rPr>
                <w:rFonts w:ascii="Calibri" w:eastAsia="Times New Roman" w:hAnsi="Calibri" w:cs="Times New Roman"/>
                <w:color w:val="000000"/>
                <w:sz w:val="18"/>
                <w:szCs w:val="18"/>
                <w:lang w:val="en-AU"/>
              </w:rPr>
            </w:pPr>
            <w:r w:rsidRPr="00361A09">
              <w:rPr>
                <w:rFonts w:ascii="Calibri" w:eastAsia="Times New Roman" w:hAnsi="Calibri" w:cs="Times New Roman"/>
                <w:color w:val="000000"/>
                <w:sz w:val="18"/>
                <w:szCs w:val="18"/>
                <w:lang w:val="en-AU"/>
              </w:rPr>
              <w:t>(163-164, 175)</w:t>
            </w:r>
          </w:p>
        </w:tc>
        <w:tc>
          <w:tcPr>
            <w:tcW w:w="2410" w:type="dxa"/>
            <w:shd w:val="clear" w:color="auto" w:fill="auto"/>
          </w:tcPr>
          <w:p w14:paraId="66201723" w14:textId="77777777" w:rsidR="009362A4" w:rsidRPr="00361A09" w:rsidRDefault="009362A4" w:rsidP="0015435E">
            <w:pPr>
              <w:spacing w:after="0" w:line="240" w:lineRule="auto"/>
              <w:rPr>
                <w:rFonts w:ascii="Calibri" w:eastAsia="Times New Roman" w:hAnsi="Calibri" w:cs="Times New Roman"/>
                <w:color w:val="000000"/>
                <w:sz w:val="18"/>
                <w:szCs w:val="18"/>
                <w:lang w:val="en-AU"/>
              </w:rPr>
            </w:pPr>
            <w:r>
              <w:rPr>
                <w:rFonts w:ascii="Calibri" w:eastAsia="Times New Roman" w:hAnsi="Calibri" w:cs="Times New Roman"/>
                <w:color w:val="000000" w:themeColor="text1"/>
                <w:sz w:val="18"/>
                <w:szCs w:val="18"/>
                <w:lang w:val="en-AU"/>
              </w:rPr>
              <w:t>2.3</w:t>
            </w:r>
            <w:r w:rsidRPr="00361A09">
              <w:rPr>
                <w:rFonts w:ascii="Calibri" w:eastAsia="Times New Roman" w:hAnsi="Calibri" w:cs="Times New Roman"/>
                <w:color w:val="000000" w:themeColor="text1"/>
                <w:sz w:val="18"/>
                <w:szCs w:val="18"/>
                <w:lang w:val="en-AU"/>
              </w:rPr>
              <w:t xml:space="preserve"> Percentage of certified (trained) teachers by gender</w:t>
            </w:r>
          </w:p>
        </w:tc>
        <w:tc>
          <w:tcPr>
            <w:tcW w:w="2977" w:type="dxa"/>
            <w:shd w:val="clear" w:color="auto" w:fill="auto"/>
          </w:tcPr>
          <w:p w14:paraId="78248F93" w14:textId="77777777" w:rsidR="009362A4" w:rsidRPr="00361A09" w:rsidRDefault="009362A4" w:rsidP="0015435E">
            <w:pPr>
              <w:spacing w:after="0" w:line="240" w:lineRule="auto"/>
              <w:rPr>
                <w:rFonts w:ascii="Calibri" w:eastAsia="Times New Roman" w:hAnsi="Calibri" w:cs="Times New Roman"/>
                <w:color w:val="000000" w:themeColor="text1"/>
                <w:sz w:val="18"/>
                <w:szCs w:val="18"/>
                <w:lang w:val="en-AU"/>
              </w:rPr>
            </w:pPr>
            <w:proofErr w:type="gramStart"/>
            <w:r>
              <w:rPr>
                <w:rFonts w:ascii="Calibri" w:eastAsia="Times New Roman" w:hAnsi="Calibri" w:cs="Times New Roman"/>
                <w:color w:val="000000" w:themeColor="text1"/>
                <w:sz w:val="18"/>
                <w:szCs w:val="18"/>
                <w:lang w:val="en-AU"/>
              </w:rPr>
              <w:t>2.3</w:t>
            </w:r>
            <w:r w:rsidRPr="00361A09">
              <w:rPr>
                <w:rFonts w:ascii="Calibri" w:eastAsia="Times New Roman" w:hAnsi="Calibri" w:cs="Times New Roman"/>
                <w:color w:val="000000" w:themeColor="text1"/>
                <w:sz w:val="18"/>
                <w:szCs w:val="18"/>
                <w:lang w:val="en-AU"/>
              </w:rPr>
              <w:t>.1  By</w:t>
            </w:r>
            <w:proofErr w:type="gramEnd"/>
            <w:r w:rsidRPr="00361A09">
              <w:rPr>
                <w:rFonts w:ascii="Calibri" w:eastAsia="Times New Roman" w:hAnsi="Calibri" w:cs="Times New Roman"/>
                <w:color w:val="000000" w:themeColor="text1"/>
                <w:sz w:val="18"/>
                <w:szCs w:val="18"/>
                <w:lang w:val="en-AU"/>
              </w:rPr>
              <w:t xml:space="preserve"> the end of 2019, delivery of USP Certificate in Teaching Primary (courses ED152 and ED100) to be rolled out in Choiseul and Western provinces, and completed in Makira Province</w:t>
            </w:r>
          </w:p>
          <w:p w14:paraId="2DA4EFE4" w14:textId="77777777" w:rsidR="009362A4" w:rsidRPr="00361A09" w:rsidRDefault="009362A4" w:rsidP="0015435E">
            <w:pPr>
              <w:spacing w:after="0" w:line="240" w:lineRule="auto"/>
              <w:rPr>
                <w:rFonts w:ascii="Calibri" w:eastAsia="Times New Roman" w:hAnsi="Calibri" w:cs="Times New Roman"/>
                <w:color w:val="000000" w:themeColor="text1"/>
                <w:sz w:val="18"/>
                <w:szCs w:val="18"/>
                <w:lang w:val="en-AU"/>
              </w:rPr>
            </w:pPr>
          </w:p>
        </w:tc>
        <w:tc>
          <w:tcPr>
            <w:tcW w:w="1276" w:type="dxa"/>
            <w:shd w:val="clear" w:color="auto" w:fill="auto"/>
          </w:tcPr>
          <w:p w14:paraId="2B93D07A" w14:textId="77777777" w:rsidR="009362A4" w:rsidRPr="00361A09" w:rsidRDefault="009362A4" w:rsidP="0015435E">
            <w:pPr>
              <w:spacing w:after="0" w:line="240" w:lineRule="auto"/>
              <w:rPr>
                <w:rFonts w:ascii="Calibri" w:eastAsia="Times New Roman" w:hAnsi="Calibri" w:cs="Times New Roman"/>
                <w:color w:val="000000"/>
                <w:sz w:val="18"/>
                <w:szCs w:val="18"/>
                <w:lang w:val="en-AU"/>
              </w:rPr>
            </w:pPr>
            <w:r w:rsidRPr="00361A09">
              <w:rPr>
                <w:rFonts w:ascii="Calibri" w:eastAsia="Times New Roman" w:hAnsi="Calibri" w:cs="Times New Roman"/>
                <w:color w:val="000000"/>
                <w:sz w:val="18"/>
                <w:szCs w:val="18"/>
                <w:lang w:val="en-AU"/>
              </w:rPr>
              <w:t>TPDD</w:t>
            </w:r>
          </w:p>
          <w:p w14:paraId="60B19935" w14:textId="77777777" w:rsidR="009362A4" w:rsidRPr="00361A09" w:rsidRDefault="009362A4" w:rsidP="0015435E">
            <w:pPr>
              <w:spacing w:after="0" w:line="240" w:lineRule="auto"/>
              <w:rPr>
                <w:rFonts w:ascii="Calibri" w:eastAsia="Times New Roman" w:hAnsi="Calibri" w:cs="Times New Roman"/>
                <w:color w:val="000000"/>
                <w:sz w:val="18"/>
                <w:szCs w:val="18"/>
                <w:lang w:val="en-AU"/>
              </w:rPr>
            </w:pPr>
          </w:p>
          <w:p w14:paraId="184F6BA2" w14:textId="77777777" w:rsidR="009362A4" w:rsidRPr="00361A09" w:rsidRDefault="009362A4" w:rsidP="0015435E">
            <w:pPr>
              <w:spacing w:after="0" w:line="240" w:lineRule="auto"/>
              <w:rPr>
                <w:rFonts w:ascii="Calibri" w:eastAsia="Times New Roman" w:hAnsi="Calibri" w:cs="Times New Roman"/>
                <w:color w:val="000000"/>
                <w:sz w:val="18"/>
                <w:szCs w:val="18"/>
                <w:lang w:val="en-AU"/>
              </w:rPr>
            </w:pPr>
          </w:p>
          <w:p w14:paraId="39E0F67A" w14:textId="77777777" w:rsidR="009362A4" w:rsidRPr="00361A09" w:rsidRDefault="009362A4" w:rsidP="0015435E">
            <w:pPr>
              <w:spacing w:after="0" w:line="240" w:lineRule="auto"/>
              <w:rPr>
                <w:rFonts w:ascii="Calibri" w:eastAsia="Times New Roman" w:hAnsi="Calibri" w:cs="Times New Roman"/>
                <w:color w:val="000000"/>
                <w:sz w:val="18"/>
                <w:szCs w:val="18"/>
                <w:lang w:val="en-AU"/>
              </w:rPr>
            </w:pPr>
          </w:p>
          <w:p w14:paraId="065C6AE2" w14:textId="77777777" w:rsidR="009362A4" w:rsidRPr="00361A09" w:rsidRDefault="009362A4" w:rsidP="0015435E">
            <w:pPr>
              <w:spacing w:after="0" w:line="240" w:lineRule="auto"/>
              <w:rPr>
                <w:rFonts w:ascii="Calibri" w:eastAsia="Times New Roman" w:hAnsi="Calibri" w:cs="Times New Roman"/>
                <w:color w:val="000000"/>
                <w:sz w:val="18"/>
                <w:szCs w:val="18"/>
                <w:lang w:val="en-AU"/>
              </w:rPr>
            </w:pPr>
          </w:p>
          <w:p w14:paraId="227D1B4C" w14:textId="77777777" w:rsidR="009362A4" w:rsidRPr="00361A09" w:rsidRDefault="009362A4" w:rsidP="0015435E">
            <w:pPr>
              <w:spacing w:after="0" w:line="240" w:lineRule="auto"/>
              <w:rPr>
                <w:rFonts w:ascii="Calibri" w:eastAsia="Times New Roman" w:hAnsi="Calibri" w:cs="Times New Roman"/>
                <w:color w:val="000000"/>
                <w:sz w:val="18"/>
                <w:szCs w:val="18"/>
                <w:lang w:val="en-AU"/>
              </w:rPr>
            </w:pPr>
          </w:p>
        </w:tc>
        <w:tc>
          <w:tcPr>
            <w:tcW w:w="2551" w:type="dxa"/>
            <w:shd w:val="clear" w:color="auto" w:fill="auto"/>
          </w:tcPr>
          <w:p w14:paraId="348CF91E" w14:textId="77777777" w:rsidR="009362A4" w:rsidRPr="00361A09" w:rsidRDefault="009362A4" w:rsidP="0015435E">
            <w:pPr>
              <w:pStyle w:val="ListParagraph"/>
              <w:numPr>
                <w:ilvl w:val="0"/>
                <w:numId w:val="11"/>
              </w:numPr>
              <w:spacing w:after="40" w:line="240" w:lineRule="auto"/>
              <w:ind w:left="316" w:hanging="284"/>
              <w:contextualSpacing w:val="0"/>
              <w:rPr>
                <w:rFonts w:ascii="Calibri" w:eastAsia="Times New Roman" w:hAnsi="Calibri" w:cs="Times New Roman"/>
                <w:color w:val="000000" w:themeColor="text1"/>
                <w:sz w:val="18"/>
                <w:szCs w:val="18"/>
                <w:lang w:val="en-AU"/>
              </w:rPr>
            </w:pPr>
            <w:r w:rsidRPr="00361A09">
              <w:rPr>
                <w:rFonts w:ascii="Calibri" w:eastAsia="Times New Roman" w:hAnsi="Calibri" w:cs="Times New Roman"/>
                <w:color w:val="000000" w:themeColor="text1"/>
                <w:sz w:val="18"/>
                <w:szCs w:val="18"/>
                <w:lang w:val="en-AU"/>
              </w:rPr>
              <w:t>Untrained teachers in Choiseul and Western provinces complete both courses (</w:t>
            </w:r>
            <w:r>
              <w:rPr>
                <w:rFonts w:ascii="Calibri" w:eastAsia="Times New Roman" w:hAnsi="Calibri" w:cs="Times New Roman"/>
                <w:color w:val="000000" w:themeColor="text1"/>
                <w:sz w:val="18"/>
                <w:szCs w:val="18"/>
                <w:lang w:val="en-AU"/>
              </w:rPr>
              <w:t>67</w:t>
            </w:r>
            <w:r w:rsidRPr="00361A09">
              <w:rPr>
                <w:rFonts w:ascii="Calibri" w:eastAsia="Times New Roman" w:hAnsi="Calibri" w:cs="Times New Roman"/>
                <w:color w:val="000000" w:themeColor="text1"/>
                <w:sz w:val="18"/>
                <w:szCs w:val="18"/>
                <w:lang w:val="en-AU"/>
              </w:rPr>
              <w:t>%)</w:t>
            </w:r>
          </w:p>
          <w:p w14:paraId="1F3DCAD1" w14:textId="77777777" w:rsidR="009362A4" w:rsidRPr="00DB61A9" w:rsidRDefault="009362A4" w:rsidP="0015435E">
            <w:pPr>
              <w:pStyle w:val="ListParagraph"/>
              <w:numPr>
                <w:ilvl w:val="0"/>
                <w:numId w:val="11"/>
              </w:numPr>
              <w:spacing w:after="40" w:line="240" w:lineRule="auto"/>
              <w:ind w:left="316" w:hanging="284"/>
              <w:contextualSpacing w:val="0"/>
              <w:rPr>
                <w:rFonts w:ascii="Calibri" w:eastAsia="Times New Roman" w:hAnsi="Calibri" w:cs="Times New Roman"/>
                <w:color w:val="000000" w:themeColor="text1"/>
                <w:sz w:val="18"/>
                <w:szCs w:val="18"/>
                <w:lang w:val="en-AU"/>
              </w:rPr>
            </w:pPr>
            <w:r w:rsidRPr="00361A09">
              <w:rPr>
                <w:rFonts w:ascii="Calibri" w:eastAsia="Times New Roman" w:hAnsi="Calibri" w:cs="Times New Roman"/>
                <w:color w:val="000000" w:themeColor="text1"/>
                <w:sz w:val="18"/>
                <w:szCs w:val="18"/>
                <w:lang w:val="en-AU"/>
              </w:rPr>
              <w:t>Cohort of untrained teacher</w:t>
            </w:r>
            <w:r>
              <w:rPr>
                <w:rFonts w:ascii="Calibri" w:eastAsia="Times New Roman" w:hAnsi="Calibri" w:cs="Times New Roman"/>
                <w:color w:val="000000" w:themeColor="text1"/>
                <w:sz w:val="18"/>
                <w:szCs w:val="18"/>
                <w:lang w:val="en-AU"/>
              </w:rPr>
              <w:t>s in Makira Province complete their studies (33</w:t>
            </w:r>
            <w:r w:rsidRPr="00361A09">
              <w:rPr>
                <w:rFonts w:ascii="Calibri" w:eastAsia="Times New Roman" w:hAnsi="Calibri" w:cs="Times New Roman"/>
                <w:color w:val="000000" w:themeColor="text1"/>
                <w:sz w:val="18"/>
                <w:szCs w:val="18"/>
                <w:lang w:val="en-AU"/>
              </w:rPr>
              <w:t>%)</w:t>
            </w:r>
          </w:p>
        </w:tc>
        <w:tc>
          <w:tcPr>
            <w:tcW w:w="1985" w:type="dxa"/>
          </w:tcPr>
          <w:p w14:paraId="0BBCE026" w14:textId="77777777" w:rsidR="009362A4" w:rsidRDefault="001E568E" w:rsidP="0015435E">
            <w:pPr>
              <w:pStyle w:val="ListParagraph"/>
              <w:numPr>
                <w:ilvl w:val="0"/>
                <w:numId w:val="11"/>
              </w:numPr>
              <w:spacing w:after="40" w:line="240" w:lineRule="auto"/>
              <w:ind w:left="316" w:hanging="284"/>
              <w:contextualSpacing w:val="0"/>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75% (of 67%)</w:t>
            </w:r>
          </w:p>
          <w:p w14:paraId="708F1D18" w14:textId="77777777" w:rsidR="001E568E" w:rsidRDefault="001E568E" w:rsidP="0015435E">
            <w:pPr>
              <w:spacing w:after="40" w:line="240" w:lineRule="auto"/>
              <w:rPr>
                <w:rFonts w:ascii="Calibri" w:eastAsia="Times New Roman" w:hAnsi="Calibri" w:cs="Times New Roman"/>
                <w:color w:val="000000" w:themeColor="text1"/>
                <w:sz w:val="18"/>
                <w:szCs w:val="18"/>
                <w:lang w:val="en-AU"/>
              </w:rPr>
            </w:pPr>
          </w:p>
          <w:p w14:paraId="122C70E2" w14:textId="77777777" w:rsidR="001E568E" w:rsidRDefault="001E568E" w:rsidP="0015435E">
            <w:pPr>
              <w:spacing w:after="40" w:line="240" w:lineRule="auto"/>
              <w:rPr>
                <w:rFonts w:ascii="Calibri" w:eastAsia="Times New Roman" w:hAnsi="Calibri" w:cs="Times New Roman"/>
                <w:color w:val="000000" w:themeColor="text1"/>
                <w:sz w:val="18"/>
                <w:szCs w:val="18"/>
                <w:lang w:val="en-AU"/>
              </w:rPr>
            </w:pPr>
          </w:p>
          <w:p w14:paraId="07220836" w14:textId="77777777" w:rsidR="001E568E" w:rsidRDefault="001E568E" w:rsidP="0015435E">
            <w:pPr>
              <w:spacing w:after="40" w:line="240" w:lineRule="auto"/>
              <w:rPr>
                <w:rFonts w:ascii="Calibri" w:eastAsia="Times New Roman" w:hAnsi="Calibri" w:cs="Times New Roman"/>
                <w:color w:val="000000" w:themeColor="text1"/>
                <w:sz w:val="18"/>
                <w:szCs w:val="18"/>
                <w:lang w:val="en-AU"/>
              </w:rPr>
            </w:pPr>
          </w:p>
          <w:p w14:paraId="209A8261" w14:textId="3972AE6C" w:rsidR="001E568E" w:rsidRPr="001E568E" w:rsidRDefault="001E568E" w:rsidP="0015435E">
            <w:pPr>
              <w:pStyle w:val="ListParagraph"/>
              <w:numPr>
                <w:ilvl w:val="0"/>
                <w:numId w:val="11"/>
              </w:numPr>
              <w:spacing w:after="40" w:line="240" w:lineRule="auto"/>
              <w:ind w:left="316" w:hanging="284"/>
              <w:contextualSpacing w:val="0"/>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100% (of 33%)</w:t>
            </w:r>
          </w:p>
        </w:tc>
        <w:tc>
          <w:tcPr>
            <w:tcW w:w="1842" w:type="dxa"/>
          </w:tcPr>
          <w:p w14:paraId="62887D88" w14:textId="661907E4" w:rsidR="00F720A5" w:rsidRPr="00F720A5" w:rsidRDefault="00976E0D" w:rsidP="0015435E">
            <w:pPr>
              <w:pStyle w:val="ListParagraph"/>
              <w:numPr>
                <w:ilvl w:val="0"/>
                <w:numId w:val="11"/>
              </w:numPr>
              <w:spacing w:after="40" w:line="240" w:lineRule="auto"/>
              <w:ind w:left="316" w:hanging="284"/>
              <w:contextualSpacing w:val="0"/>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162,337.50</w:t>
            </w:r>
          </w:p>
        </w:tc>
      </w:tr>
      <w:tr w:rsidR="009362A4" w:rsidRPr="00145309" w14:paraId="7A78DC4D" w14:textId="77777777" w:rsidTr="006046AC">
        <w:trPr>
          <w:cantSplit/>
          <w:jc w:val="center"/>
        </w:trPr>
        <w:tc>
          <w:tcPr>
            <w:tcW w:w="1129" w:type="dxa"/>
            <w:shd w:val="clear" w:color="auto" w:fill="auto"/>
            <w:noWrap/>
          </w:tcPr>
          <w:p w14:paraId="4B2F819B" w14:textId="77777777" w:rsidR="009362A4" w:rsidRPr="00361A09" w:rsidRDefault="009362A4" w:rsidP="0015435E">
            <w:pPr>
              <w:spacing w:after="0" w:line="240" w:lineRule="auto"/>
              <w:rPr>
                <w:rFonts w:ascii="Calibri" w:eastAsia="Times New Roman" w:hAnsi="Calibri" w:cs="Times New Roman"/>
                <w:b/>
                <w:bCs/>
                <w:color w:val="000000"/>
                <w:sz w:val="18"/>
                <w:szCs w:val="18"/>
                <w:lang w:val="en-AU"/>
              </w:rPr>
            </w:pPr>
            <w:r w:rsidRPr="00361A09">
              <w:rPr>
                <w:rFonts w:ascii="Calibri" w:eastAsia="Times New Roman" w:hAnsi="Calibri" w:cs="Times New Roman"/>
                <w:b/>
                <w:bCs/>
                <w:color w:val="000000"/>
                <w:sz w:val="18"/>
                <w:szCs w:val="18"/>
                <w:lang w:val="en-AU"/>
              </w:rPr>
              <w:t>Management systems</w:t>
            </w:r>
          </w:p>
        </w:tc>
        <w:tc>
          <w:tcPr>
            <w:tcW w:w="1134" w:type="dxa"/>
            <w:shd w:val="clear" w:color="auto" w:fill="auto"/>
          </w:tcPr>
          <w:p w14:paraId="788C079F" w14:textId="77777777" w:rsidR="009362A4" w:rsidRPr="00361A09" w:rsidRDefault="009362A4" w:rsidP="0015435E">
            <w:pPr>
              <w:spacing w:after="0" w:line="240" w:lineRule="auto"/>
              <w:jc w:val="center"/>
              <w:rPr>
                <w:rFonts w:ascii="Calibri" w:eastAsia="Times New Roman" w:hAnsi="Calibri" w:cs="Times New Roman"/>
                <w:color w:val="000000"/>
                <w:sz w:val="18"/>
                <w:szCs w:val="18"/>
                <w:lang w:val="en-AU"/>
              </w:rPr>
            </w:pPr>
            <w:r w:rsidRPr="00361A09">
              <w:rPr>
                <w:rFonts w:ascii="Calibri" w:eastAsia="Times New Roman" w:hAnsi="Calibri" w:cs="Times New Roman"/>
                <w:color w:val="000000"/>
                <w:sz w:val="18"/>
                <w:szCs w:val="18"/>
                <w:lang w:val="en-AU"/>
              </w:rPr>
              <w:t>EO 3</w:t>
            </w:r>
          </w:p>
          <w:p w14:paraId="2F0D69AE" w14:textId="77777777" w:rsidR="009362A4" w:rsidRPr="00361A09" w:rsidRDefault="009362A4" w:rsidP="0015435E">
            <w:pPr>
              <w:spacing w:after="0" w:line="240" w:lineRule="auto"/>
              <w:jc w:val="center"/>
              <w:rPr>
                <w:rFonts w:ascii="Calibri" w:eastAsia="Times New Roman" w:hAnsi="Calibri" w:cs="Times New Roman"/>
                <w:color w:val="000000"/>
                <w:sz w:val="18"/>
                <w:szCs w:val="18"/>
                <w:lang w:val="en-AU"/>
              </w:rPr>
            </w:pPr>
            <w:r w:rsidRPr="00361A09">
              <w:rPr>
                <w:rFonts w:ascii="Calibri" w:eastAsia="Times New Roman" w:hAnsi="Calibri" w:cs="Times New Roman"/>
                <w:color w:val="000000"/>
                <w:sz w:val="18"/>
                <w:szCs w:val="18"/>
                <w:lang w:val="en-AU"/>
              </w:rPr>
              <w:t>(55-56)</w:t>
            </w:r>
          </w:p>
          <w:p w14:paraId="309C090F" w14:textId="77777777" w:rsidR="009362A4" w:rsidRPr="00361A09" w:rsidRDefault="009362A4" w:rsidP="0015435E">
            <w:pPr>
              <w:spacing w:after="0" w:line="240" w:lineRule="auto"/>
              <w:jc w:val="center"/>
              <w:rPr>
                <w:rFonts w:ascii="Calibri" w:eastAsia="Times New Roman" w:hAnsi="Calibri" w:cs="Times New Roman"/>
                <w:color w:val="000000"/>
                <w:sz w:val="18"/>
                <w:szCs w:val="18"/>
                <w:lang w:val="en-AU"/>
              </w:rPr>
            </w:pPr>
            <w:r w:rsidRPr="00361A09">
              <w:rPr>
                <w:rFonts w:ascii="Calibri" w:eastAsia="Times New Roman" w:hAnsi="Calibri" w:cs="Times New Roman"/>
                <w:color w:val="000000"/>
                <w:sz w:val="18"/>
                <w:szCs w:val="18"/>
                <w:lang w:val="en-AU"/>
              </w:rPr>
              <w:t>TBA</w:t>
            </w:r>
          </w:p>
        </w:tc>
        <w:tc>
          <w:tcPr>
            <w:tcW w:w="2410" w:type="dxa"/>
            <w:shd w:val="clear" w:color="auto" w:fill="auto"/>
          </w:tcPr>
          <w:p w14:paraId="6D145DE9" w14:textId="77777777" w:rsidR="009362A4" w:rsidRPr="00361A09" w:rsidRDefault="009362A4" w:rsidP="0015435E">
            <w:pPr>
              <w:spacing w:after="0" w:line="240" w:lineRule="auto"/>
              <w:rPr>
                <w:rFonts w:ascii="Calibri" w:eastAsia="Times New Roman" w:hAnsi="Calibri" w:cs="Times New Roman"/>
                <w:color w:val="000000" w:themeColor="text1"/>
                <w:sz w:val="18"/>
                <w:szCs w:val="18"/>
                <w:lang w:val="en-AU"/>
              </w:rPr>
            </w:pPr>
            <w:r w:rsidRPr="00361A09">
              <w:rPr>
                <w:rFonts w:ascii="Calibri" w:eastAsia="Times New Roman" w:hAnsi="Calibri" w:cs="Times New Roman"/>
                <w:color w:val="000000" w:themeColor="text1"/>
                <w:sz w:val="18"/>
                <w:szCs w:val="18"/>
                <w:lang w:val="en-AU"/>
              </w:rPr>
              <w:t>3</w:t>
            </w:r>
            <w:r>
              <w:rPr>
                <w:rFonts w:ascii="Calibri" w:eastAsia="Times New Roman" w:hAnsi="Calibri" w:cs="Times New Roman"/>
                <w:color w:val="000000" w:themeColor="text1"/>
                <w:sz w:val="18"/>
                <w:szCs w:val="18"/>
                <w:lang w:val="en-AU"/>
              </w:rPr>
              <w:t>.1 Retirement percentage of 2019</w:t>
            </w:r>
            <w:r w:rsidRPr="00361A09">
              <w:rPr>
                <w:rFonts w:ascii="Calibri" w:eastAsia="Times New Roman" w:hAnsi="Calibri" w:cs="Times New Roman"/>
                <w:color w:val="000000" w:themeColor="text1"/>
                <w:sz w:val="18"/>
                <w:szCs w:val="18"/>
                <w:lang w:val="en-AU"/>
              </w:rPr>
              <w:t xml:space="preserve"> Second </w:t>
            </w:r>
            <w:proofErr w:type="gramStart"/>
            <w:r w:rsidRPr="00361A09">
              <w:rPr>
                <w:rFonts w:ascii="Calibri" w:eastAsia="Times New Roman" w:hAnsi="Calibri" w:cs="Times New Roman"/>
                <w:color w:val="000000" w:themeColor="text1"/>
                <w:sz w:val="18"/>
                <w:szCs w:val="18"/>
                <w:lang w:val="en-AU"/>
              </w:rPr>
              <w:t>Biannual  School</w:t>
            </w:r>
            <w:proofErr w:type="gramEnd"/>
            <w:r w:rsidRPr="00361A09">
              <w:rPr>
                <w:rFonts w:ascii="Calibri" w:eastAsia="Times New Roman" w:hAnsi="Calibri" w:cs="Times New Roman"/>
                <w:color w:val="000000" w:themeColor="text1"/>
                <w:sz w:val="18"/>
                <w:szCs w:val="18"/>
                <w:lang w:val="en-AU"/>
              </w:rPr>
              <w:t xml:space="preserve"> Grants improved and 2019 first tranche disbursement on time</w:t>
            </w:r>
          </w:p>
        </w:tc>
        <w:tc>
          <w:tcPr>
            <w:tcW w:w="2977" w:type="dxa"/>
            <w:shd w:val="clear" w:color="auto" w:fill="auto"/>
          </w:tcPr>
          <w:p w14:paraId="4163AF34" w14:textId="77777777" w:rsidR="009362A4" w:rsidRDefault="009362A4" w:rsidP="0015435E">
            <w:pPr>
              <w:spacing w:after="0" w:line="240" w:lineRule="auto"/>
              <w:rPr>
                <w:rFonts w:ascii="Calibri" w:eastAsia="Times New Roman" w:hAnsi="Calibri" w:cs="Times New Roman"/>
                <w:color w:val="000000" w:themeColor="text1"/>
                <w:sz w:val="18"/>
                <w:szCs w:val="18"/>
                <w:lang w:val="en-AU"/>
              </w:rPr>
            </w:pPr>
            <w:proofErr w:type="gramStart"/>
            <w:r w:rsidRPr="00361A09">
              <w:rPr>
                <w:rFonts w:ascii="Calibri" w:eastAsia="Times New Roman" w:hAnsi="Calibri" w:cs="Times New Roman"/>
                <w:color w:val="000000" w:themeColor="text1"/>
                <w:sz w:val="18"/>
                <w:szCs w:val="18"/>
                <w:lang w:val="en-AU"/>
              </w:rPr>
              <w:t>3.1.1  At</w:t>
            </w:r>
            <w:proofErr w:type="gramEnd"/>
            <w:r w:rsidRPr="00361A09">
              <w:rPr>
                <w:rFonts w:ascii="Calibri" w:eastAsia="Times New Roman" w:hAnsi="Calibri" w:cs="Times New Roman"/>
                <w:color w:val="000000" w:themeColor="text1"/>
                <w:sz w:val="18"/>
                <w:szCs w:val="18"/>
                <w:lang w:val="en-AU"/>
              </w:rPr>
              <w:t xml:space="preserve"> least 65% of 2019 School grants are retired by 31 March 2020 (2019 Second Biannual)</w:t>
            </w:r>
          </w:p>
          <w:p w14:paraId="28452599" w14:textId="77777777" w:rsidR="009362A4" w:rsidRDefault="009362A4" w:rsidP="0015435E">
            <w:pPr>
              <w:spacing w:after="0" w:line="240" w:lineRule="auto"/>
              <w:rPr>
                <w:rFonts w:ascii="Calibri" w:eastAsia="Times New Roman" w:hAnsi="Calibri" w:cs="Times New Roman"/>
                <w:color w:val="000000" w:themeColor="text1"/>
                <w:sz w:val="18"/>
                <w:szCs w:val="18"/>
                <w:lang w:val="en-AU"/>
              </w:rPr>
            </w:pPr>
          </w:p>
          <w:p w14:paraId="7FC031E6" w14:textId="77777777" w:rsidR="009362A4" w:rsidRPr="00361A09" w:rsidRDefault="009362A4" w:rsidP="0015435E">
            <w:pPr>
              <w:spacing w:after="0" w:line="240" w:lineRule="auto"/>
              <w:rPr>
                <w:rFonts w:ascii="Calibri" w:eastAsia="Times New Roman" w:hAnsi="Calibri" w:cs="Times New Roman"/>
                <w:color w:val="000000" w:themeColor="text1"/>
                <w:sz w:val="18"/>
                <w:szCs w:val="18"/>
                <w:lang w:val="en-AU"/>
              </w:rPr>
            </w:pPr>
            <w:r w:rsidRPr="00831631">
              <w:rPr>
                <w:rFonts w:ascii="Calibri" w:eastAsia="Times New Roman" w:hAnsi="Calibri" w:cs="Times New Roman"/>
                <w:color w:val="000000" w:themeColor="text1"/>
                <w:sz w:val="18"/>
                <w:szCs w:val="18"/>
                <w:lang w:val="en-AU"/>
              </w:rPr>
              <w:t>3.1.2.  At least 85% received the first tranche of t</w:t>
            </w:r>
            <w:r>
              <w:rPr>
                <w:rFonts w:ascii="Calibri" w:eastAsia="Times New Roman" w:hAnsi="Calibri" w:cs="Times New Roman"/>
                <w:color w:val="000000" w:themeColor="text1"/>
                <w:sz w:val="18"/>
                <w:szCs w:val="18"/>
                <w:lang w:val="en-AU"/>
              </w:rPr>
              <w:t>heir 2020 grant by 31 March 2020</w:t>
            </w:r>
          </w:p>
          <w:p w14:paraId="0B474429" w14:textId="77777777" w:rsidR="009362A4" w:rsidRPr="00361A09" w:rsidRDefault="009362A4" w:rsidP="0015435E">
            <w:pPr>
              <w:spacing w:after="0" w:line="240" w:lineRule="auto"/>
              <w:rPr>
                <w:rFonts w:ascii="Calibri" w:eastAsia="Times New Roman" w:hAnsi="Calibri" w:cs="Times New Roman"/>
                <w:color w:val="000000" w:themeColor="text1"/>
                <w:sz w:val="18"/>
                <w:szCs w:val="18"/>
                <w:lang w:val="en-AU"/>
              </w:rPr>
            </w:pPr>
          </w:p>
          <w:p w14:paraId="480E9942" w14:textId="77777777" w:rsidR="009362A4" w:rsidRPr="00361A09" w:rsidRDefault="009362A4" w:rsidP="0015435E">
            <w:pPr>
              <w:spacing w:after="0" w:line="240" w:lineRule="auto"/>
              <w:rPr>
                <w:rFonts w:ascii="Calibri" w:eastAsia="Times New Roman" w:hAnsi="Calibri" w:cs="Times New Roman"/>
                <w:color w:val="000000" w:themeColor="text1"/>
                <w:sz w:val="18"/>
                <w:szCs w:val="18"/>
                <w:lang w:val="en-AU"/>
              </w:rPr>
            </w:pPr>
          </w:p>
        </w:tc>
        <w:tc>
          <w:tcPr>
            <w:tcW w:w="1276" w:type="dxa"/>
            <w:shd w:val="clear" w:color="auto" w:fill="auto"/>
          </w:tcPr>
          <w:p w14:paraId="731A53F0" w14:textId="77777777" w:rsidR="009362A4" w:rsidRPr="00361A09" w:rsidRDefault="009362A4" w:rsidP="0015435E">
            <w:pPr>
              <w:spacing w:after="0" w:line="240" w:lineRule="auto"/>
              <w:rPr>
                <w:rFonts w:ascii="Calibri" w:eastAsia="Times New Roman" w:hAnsi="Calibri" w:cs="Times New Roman"/>
                <w:color w:val="000000"/>
                <w:sz w:val="18"/>
                <w:szCs w:val="18"/>
                <w:lang w:val="en-AU"/>
              </w:rPr>
            </w:pPr>
            <w:r w:rsidRPr="00361A09">
              <w:rPr>
                <w:rFonts w:ascii="Calibri" w:eastAsia="Times New Roman" w:hAnsi="Calibri" w:cs="Times New Roman"/>
                <w:color w:val="000000"/>
                <w:sz w:val="18"/>
                <w:szCs w:val="18"/>
                <w:lang w:val="en-AU"/>
              </w:rPr>
              <w:t>Grants Division/ Finance</w:t>
            </w:r>
          </w:p>
        </w:tc>
        <w:tc>
          <w:tcPr>
            <w:tcW w:w="2551" w:type="dxa"/>
            <w:shd w:val="clear" w:color="auto" w:fill="auto"/>
          </w:tcPr>
          <w:p w14:paraId="54130BA8" w14:textId="77777777" w:rsidR="009362A4" w:rsidRDefault="009362A4" w:rsidP="0015435E">
            <w:pPr>
              <w:pStyle w:val="ListParagraph"/>
              <w:numPr>
                <w:ilvl w:val="0"/>
                <w:numId w:val="11"/>
              </w:numPr>
              <w:spacing w:after="40" w:line="240" w:lineRule="auto"/>
              <w:ind w:left="360"/>
              <w:contextualSpacing w:val="0"/>
              <w:rPr>
                <w:rFonts w:ascii="Calibri" w:eastAsia="Times New Roman" w:hAnsi="Calibri" w:cs="Times New Roman"/>
                <w:iCs/>
                <w:color w:val="000000" w:themeColor="text1"/>
                <w:sz w:val="18"/>
                <w:szCs w:val="18"/>
                <w:lang w:val="en-AU"/>
              </w:rPr>
            </w:pPr>
            <w:r w:rsidRPr="00831631">
              <w:rPr>
                <w:rFonts w:ascii="Calibri" w:eastAsia="Times New Roman" w:hAnsi="Calibri" w:cs="Times New Roman"/>
                <w:iCs/>
                <w:color w:val="000000" w:themeColor="text1"/>
                <w:sz w:val="18"/>
                <w:szCs w:val="18"/>
                <w:lang w:val="en-AU"/>
              </w:rPr>
              <w:t xml:space="preserve">MEHRD Acquittal report for Primary, Secondary, TVET as </w:t>
            </w:r>
            <w:proofErr w:type="gramStart"/>
            <w:r w:rsidRPr="00831631">
              <w:rPr>
                <w:rFonts w:ascii="Calibri" w:eastAsia="Times New Roman" w:hAnsi="Calibri" w:cs="Times New Roman"/>
                <w:iCs/>
                <w:color w:val="000000" w:themeColor="text1"/>
                <w:sz w:val="18"/>
                <w:szCs w:val="18"/>
                <w:lang w:val="en-AU"/>
              </w:rPr>
              <w:t>at</w:t>
            </w:r>
            <w:proofErr w:type="gramEnd"/>
            <w:r w:rsidRPr="00831631">
              <w:rPr>
                <w:rFonts w:ascii="Calibri" w:eastAsia="Times New Roman" w:hAnsi="Calibri" w:cs="Times New Roman"/>
                <w:iCs/>
                <w:color w:val="000000" w:themeColor="text1"/>
                <w:sz w:val="18"/>
                <w:szCs w:val="18"/>
                <w:lang w:val="en-AU"/>
              </w:rPr>
              <w:t xml:space="preserve"> 31 Ma</w:t>
            </w:r>
            <w:r>
              <w:rPr>
                <w:rFonts w:ascii="Calibri" w:eastAsia="Times New Roman" w:hAnsi="Calibri" w:cs="Times New Roman"/>
                <w:iCs/>
                <w:color w:val="000000" w:themeColor="text1"/>
                <w:sz w:val="18"/>
                <w:szCs w:val="18"/>
                <w:lang w:val="en-AU"/>
              </w:rPr>
              <w:t>rch 2020 – retirements (50%)</w:t>
            </w:r>
          </w:p>
          <w:p w14:paraId="79B31467" w14:textId="77777777" w:rsidR="009362A4" w:rsidRPr="00831631" w:rsidRDefault="009362A4" w:rsidP="0015435E">
            <w:pPr>
              <w:pStyle w:val="ListParagraph"/>
              <w:numPr>
                <w:ilvl w:val="0"/>
                <w:numId w:val="11"/>
              </w:numPr>
              <w:spacing w:after="40" w:line="240" w:lineRule="auto"/>
              <w:ind w:left="360"/>
              <w:contextualSpacing w:val="0"/>
              <w:rPr>
                <w:rFonts w:ascii="Calibri" w:eastAsia="Times New Roman" w:hAnsi="Calibri" w:cs="Times New Roman"/>
                <w:iCs/>
                <w:color w:val="000000" w:themeColor="text1"/>
                <w:sz w:val="18"/>
                <w:szCs w:val="18"/>
                <w:lang w:val="en-AU"/>
              </w:rPr>
            </w:pPr>
            <w:r w:rsidRPr="00831631">
              <w:rPr>
                <w:rFonts w:ascii="Calibri" w:eastAsia="Times New Roman" w:hAnsi="Calibri" w:cs="Times New Roman"/>
                <w:iCs/>
                <w:color w:val="000000" w:themeColor="text1"/>
                <w:sz w:val="18"/>
                <w:szCs w:val="18"/>
                <w:lang w:val="en-AU"/>
              </w:rPr>
              <w:t>MERHD Acquittal report for Primary, Sec</w:t>
            </w:r>
            <w:r>
              <w:rPr>
                <w:rFonts w:ascii="Calibri" w:eastAsia="Times New Roman" w:hAnsi="Calibri" w:cs="Times New Roman"/>
                <w:iCs/>
                <w:color w:val="000000" w:themeColor="text1"/>
                <w:sz w:val="18"/>
                <w:szCs w:val="18"/>
                <w:lang w:val="en-AU"/>
              </w:rPr>
              <w:t xml:space="preserve">ondary, TVET as </w:t>
            </w:r>
            <w:proofErr w:type="gramStart"/>
            <w:r>
              <w:rPr>
                <w:rFonts w:ascii="Calibri" w:eastAsia="Times New Roman" w:hAnsi="Calibri" w:cs="Times New Roman"/>
                <w:iCs/>
                <w:color w:val="000000" w:themeColor="text1"/>
                <w:sz w:val="18"/>
                <w:szCs w:val="18"/>
                <w:lang w:val="en-AU"/>
              </w:rPr>
              <w:t>at</w:t>
            </w:r>
            <w:proofErr w:type="gramEnd"/>
            <w:r>
              <w:rPr>
                <w:rFonts w:ascii="Calibri" w:eastAsia="Times New Roman" w:hAnsi="Calibri" w:cs="Times New Roman"/>
                <w:iCs/>
                <w:color w:val="000000" w:themeColor="text1"/>
                <w:sz w:val="18"/>
                <w:szCs w:val="18"/>
                <w:lang w:val="en-AU"/>
              </w:rPr>
              <w:t xml:space="preserve"> 31 March 2020</w:t>
            </w:r>
            <w:r w:rsidRPr="00831631">
              <w:rPr>
                <w:rFonts w:ascii="Calibri" w:eastAsia="Times New Roman" w:hAnsi="Calibri" w:cs="Times New Roman"/>
                <w:iCs/>
                <w:color w:val="000000" w:themeColor="text1"/>
                <w:sz w:val="18"/>
                <w:szCs w:val="18"/>
                <w:lang w:val="en-AU"/>
              </w:rPr>
              <w:t xml:space="preserve"> - disbur</w:t>
            </w:r>
            <w:r>
              <w:rPr>
                <w:rFonts w:ascii="Calibri" w:eastAsia="Times New Roman" w:hAnsi="Calibri" w:cs="Times New Roman"/>
                <w:iCs/>
                <w:color w:val="000000" w:themeColor="text1"/>
                <w:sz w:val="18"/>
                <w:szCs w:val="18"/>
                <w:lang w:val="en-AU"/>
              </w:rPr>
              <w:t>sement of first tranche for 2020</w:t>
            </w:r>
            <w:r w:rsidRPr="00831631">
              <w:rPr>
                <w:rFonts w:ascii="Calibri" w:eastAsia="Times New Roman" w:hAnsi="Calibri" w:cs="Times New Roman"/>
                <w:iCs/>
                <w:color w:val="000000" w:themeColor="text1"/>
                <w:sz w:val="18"/>
                <w:szCs w:val="18"/>
                <w:lang w:val="en-AU"/>
              </w:rPr>
              <w:t xml:space="preserve"> (50%) (NB: ECCE to be phased out) </w:t>
            </w:r>
          </w:p>
        </w:tc>
        <w:tc>
          <w:tcPr>
            <w:tcW w:w="1985" w:type="dxa"/>
          </w:tcPr>
          <w:p w14:paraId="6622B498" w14:textId="1A67A935" w:rsidR="009362A4" w:rsidRDefault="001E568E" w:rsidP="0015435E">
            <w:pPr>
              <w:pStyle w:val="ListParagraph"/>
              <w:numPr>
                <w:ilvl w:val="0"/>
                <w:numId w:val="11"/>
              </w:numPr>
              <w:spacing w:after="40" w:line="240" w:lineRule="auto"/>
              <w:ind w:left="360"/>
              <w:contextualSpacing w:val="0"/>
              <w:rPr>
                <w:rFonts w:ascii="Calibri" w:eastAsia="Times New Roman" w:hAnsi="Calibri" w:cs="Times New Roman"/>
                <w:iCs/>
                <w:color w:val="000000" w:themeColor="text1"/>
                <w:sz w:val="18"/>
                <w:szCs w:val="18"/>
                <w:lang w:val="en-AU"/>
              </w:rPr>
            </w:pPr>
            <w:r>
              <w:rPr>
                <w:rFonts w:ascii="Calibri" w:eastAsia="Times New Roman" w:hAnsi="Calibri" w:cs="Times New Roman"/>
                <w:iCs/>
                <w:color w:val="000000" w:themeColor="text1"/>
                <w:sz w:val="18"/>
                <w:szCs w:val="18"/>
                <w:lang w:val="en-AU"/>
              </w:rPr>
              <w:t>0% (of 50%)</w:t>
            </w:r>
          </w:p>
          <w:p w14:paraId="15D31113" w14:textId="756F7AA4" w:rsidR="001E568E" w:rsidRDefault="001E568E" w:rsidP="0015435E">
            <w:pPr>
              <w:spacing w:after="40" w:line="240" w:lineRule="auto"/>
              <w:rPr>
                <w:rFonts w:ascii="Calibri" w:eastAsia="Times New Roman" w:hAnsi="Calibri" w:cs="Times New Roman"/>
                <w:iCs/>
                <w:color w:val="000000" w:themeColor="text1"/>
                <w:sz w:val="18"/>
                <w:szCs w:val="18"/>
                <w:lang w:val="en-AU"/>
              </w:rPr>
            </w:pPr>
          </w:p>
          <w:p w14:paraId="50C0ECAC" w14:textId="14446F82" w:rsidR="001E568E" w:rsidRDefault="001E568E" w:rsidP="0015435E">
            <w:pPr>
              <w:spacing w:after="40" w:line="240" w:lineRule="auto"/>
              <w:rPr>
                <w:rFonts w:ascii="Calibri" w:eastAsia="Times New Roman" w:hAnsi="Calibri" w:cs="Times New Roman"/>
                <w:iCs/>
                <w:color w:val="000000" w:themeColor="text1"/>
                <w:sz w:val="18"/>
                <w:szCs w:val="18"/>
                <w:lang w:val="en-AU"/>
              </w:rPr>
            </w:pPr>
          </w:p>
          <w:p w14:paraId="20768CB8" w14:textId="7F01350C" w:rsidR="001E568E" w:rsidRDefault="001E568E" w:rsidP="0015435E">
            <w:pPr>
              <w:spacing w:after="40" w:line="240" w:lineRule="auto"/>
              <w:rPr>
                <w:rFonts w:ascii="Calibri" w:eastAsia="Times New Roman" w:hAnsi="Calibri" w:cs="Times New Roman"/>
                <w:iCs/>
                <w:color w:val="000000" w:themeColor="text1"/>
                <w:sz w:val="18"/>
                <w:szCs w:val="18"/>
                <w:lang w:val="en-AU"/>
              </w:rPr>
            </w:pPr>
          </w:p>
          <w:p w14:paraId="6C5D1521" w14:textId="762EF9BB" w:rsidR="001E568E" w:rsidRPr="001E568E" w:rsidRDefault="001E568E" w:rsidP="0015435E">
            <w:pPr>
              <w:pStyle w:val="ListParagraph"/>
              <w:numPr>
                <w:ilvl w:val="0"/>
                <w:numId w:val="11"/>
              </w:numPr>
              <w:spacing w:after="40" w:line="240" w:lineRule="auto"/>
              <w:ind w:left="360"/>
              <w:contextualSpacing w:val="0"/>
              <w:rPr>
                <w:rFonts w:ascii="Calibri" w:eastAsia="Times New Roman" w:hAnsi="Calibri" w:cs="Times New Roman"/>
                <w:iCs/>
                <w:color w:val="000000" w:themeColor="text1"/>
                <w:sz w:val="18"/>
                <w:szCs w:val="18"/>
                <w:lang w:val="en-AU"/>
              </w:rPr>
            </w:pPr>
            <w:r>
              <w:rPr>
                <w:rFonts w:ascii="Calibri" w:eastAsia="Times New Roman" w:hAnsi="Calibri" w:cs="Times New Roman"/>
                <w:iCs/>
                <w:color w:val="000000" w:themeColor="text1"/>
                <w:sz w:val="18"/>
                <w:szCs w:val="18"/>
                <w:lang w:val="en-AU"/>
              </w:rPr>
              <w:t>100% (of 50%)</w:t>
            </w:r>
          </w:p>
          <w:p w14:paraId="5C770AC0" w14:textId="77777777" w:rsidR="009362A4" w:rsidRDefault="009362A4" w:rsidP="0015435E">
            <w:pPr>
              <w:spacing w:after="40" w:line="240" w:lineRule="auto"/>
              <w:rPr>
                <w:rFonts w:ascii="Calibri" w:eastAsia="Times New Roman" w:hAnsi="Calibri" w:cs="Times New Roman"/>
                <w:iCs/>
                <w:color w:val="000000" w:themeColor="text1"/>
                <w:sz w:val="18"/>
                <w:szCs w:val="18"/>
                <w:lang w:val="en-AU"/>
              </w:rPr>
            </w:pPr>
          </w:p>
          <w:p w14:paraId="5DE4584A" w14:textId="77777777" w:rsidR="009362A4" w:rsidRPr="00A8591E" w:rsidRDefault="009362A4" w:rsidP="0015435E">
            <w:pPr>
              <w:spacing w:after="40" w:line="240" w:lineRule="auto"/>
              <w:rPr>
                <w:rFonts w:ascii="Calibri" w:eastAsia="Times New Roman" w:hAnsi="Calibri" w:cs="Times New Roman"/>
                <w:iCs/>
                <w:color w:val="000000" w:themeColor="text1"/>
                <w:sz w:val="18"/>
                <w:szCs w:val="18"/>
                <w:lang w:val="en-AU"/>
              </w:rPr>
            </w:pPr>
          </w:p>
        </w:tc>
        <w:tc>
          <w:tcPr>
            <w:tcW w:w="1842" w:type="dxa"/>
          </w:tcPr>
          <w:p w14:paraId="0900E884" w14:textId="202FE22B" w:rsidR="00F720A5" w:rsidRDefault="002E2FCD" w:rsidP="0015435E">
            <w:pPr>
              <w:spacing w:after="40" w:line="240" w:lineRule="auto"/>
              <w:rPr>
                <w:rFonts w:ascii="Calibri" w:eastAsia="Times New Roman" w:hAnsi="Calibri" w:cs="Times New Roman"/>
                <w:iCs/>
                <w:color w:val="000000" w:themeColor="text1"/>
                <w:sz w:val="18"/>
                <w:szCs w:val="18"/>
                <w:lang w:val="en-AU"/>
              </w:rPr>
            </w:pPr>
            <w:r>
              <w:rPr>
                <w:rFonts w:ascii="Calibri" w:eastAsia="Times New Roman" w:hAnsi="Calibri" w:cs="Times New Roman"/>
                <w:iCs/>
                <w:color w:val="000000" w:themeColor="text1"/>
                <w:sz w:val="18"/>
                <w:szCs w:val="18"/>
                <w:lang w:val="en-AU"/>
              </w:rPr>
              <w:t>-</w:t>
            </w:r>
          </w:p>
          <w:p w14:paraId="1DBCBE0A" w14:textId="77777777" w:rsidR="00F720A5" w:rsidRDefault="00F720A5" w:rsidP="0015435E">
            <w:pPr>
              <w:spacing w:after="40" w:line="240" w:lineRule="auto"/>
              <w:rPr>
                <w:rFonts w:ascii="Calibri" w:eastAsia="Times New Roman" w:hAnsi="Calibri" w:cs="Times New Roman"/>
                <w:iCs/>
                <w:color w:val="000000" w:themeColor="text1"/>
                <w:sz w:val="18"/>
                <w:szCs w:val="18"/>
                <w:lang w:val="en-AU"/>
              </w:rPr>
            </w:pPr>
          </w:p>
          <w:p w14:paraId="01310E19" w14:textId="77777777" w:rsidR="00F720A5" w:rsidRDefault="00F720A5" w:rsidP="0015435E">
            <w:pPr>
              <w:spacing w:after="40" w:line="240" w:lineRule="auto"/>
              <w:rPr>
                <w:rFonts w:ascii="Calibri" w:eastAsia="Times New Roman" w:hAnsi="Calibri" w:cs="Times New Roman"/>
                <w:iCs/>
                <w:color w:val="000000" w:themeColor="text1"/>
                <w:sz w:val="18"/>
                <w:szCs w:val="18"/>
                <w:lang w:val="en-AU"/>
              </w:rPr>
            </w:pPr>
          </w:p>
          <w:p w14:paraId="1C1C0858" w14:textId="3A910952" w:rsidR="00F720A5" w:rsidRPr="00F720A5" w:rsidRDefault="00F720A5" w:rsidP="0015435E">
            <w:pPr>
              <w:pStyle w:val="ListParagraph"/>
              <w:numPr>
                <w:ilvl w:val="0"/>
                <w:numId w:val="11"/>
              </w:numPr>
              <w:spacing w:after="40" w:line="240" w:lineRule="auto"/>
              <w:ind w:left="360"/>
              <w:contextualSpacing w:val="0"/>
              <w:rPr>
                <w:rFonts w:ascii="Calibri" w:eastAsia="Times New Roman" w:hAnsi="Calibri" w:cs="Times New Roman"/>
                <w:iCs/>
                <w:color w:val="000000" w:themeColor="text1"/>
                <w:sz w:val="18"/>
                <w:szCs w:val="18"/>
                <w:lang w:val="en-AU"/>
              </w:rPr>
            </w:pPr>
            <w:r>
              <w:rPr>
                <w:rFonts w:ascii="Calibri" w:eastAsia="Times New Roman" w:hAnsi="Calibri" w:cs="Times New Roman"/>
                <w:iCs/>
                <w:color w:val="000000" w:themeColor="text1"/>
                <w:sz w:val="18"/>
                <w:szCs w:val="18"/>
                <w:lang w:val="en-AU"/>
              </w:rPr>
              <w:t>97,500.00</w:t>
            </w:r>
          </w:p>
        </w:tc>
      </w:tr>
      <w:tr w:rsidR="009362A4" w:rsidRPr="00145309" w14:paraId="177A12C7" w14:textId="77777777" w:rsidTr="006046AC">
        <w:trPr>
          <w:cantSplit/>
          <w:jc w:val="center"/>
        </w:trPr>
        <w:tc>
          <w:tcPr>
            <w:tcW w:w="1129" w:type="dxa"/>
            <w:shd w:val="clear" w:color="auto" w:fill="auto"/>
            <w:hideMark/>
          </w:tcPr>
          <w:p w14:paraId="09A868FE" w14:textId="77777777" w:rsidR="009362A4" w:rsidRPr="00361A09" w:rsidRDefault="009362A4" w:rsidP="0015435E">
            <w:pPr>
              <w:spacing w:after="0" w:line="240" w:lineRule="auto"/>
              <w:rPr>
                <w:rFonts w:ascii="Calibri" w:eastAsia="Times New Roman" w:hAnsi="Calibri" w:cs="Times New Roman"/>
                <w:b/>
                <w:bCs/>
                <w:color w:val="000000"/>
                <w:sz w:val="18"/>
                <w:szCs w:val="18"/>
                <w:lang w:val="en-AU"/>
              </w:rPr>
            </w:pPr>
            <w:r w:rsidRPr="00361A09">
              <w:rPr>
                <w:rFonts w:ascii="Calibri" w:eastAsia="Times New Roman" w:hAnsi="Calibri" w:cs="Times New Roman"/>
                <w:b/>
                <w:bCs/>
                <w:color w:val="000000"/>
                <w:sz w:val="18"/>
                <w:szCs w:val="18"/>
                <w:lang w:val="en-AU"/>
              </w:rPr>
              <w:t>Management systems</w:t>
            </w:r>
          </w:p>
        </w:tc>
        <w:tc>
          <w:tcPr>
            <w:tcW w:w="1134" w:type="dxa"/>
            <w:shd w:val="clear" w:color="auto" w:fill="auto"/>
            <w:hideMark/>
          </w:tcPr>
          <w:p w14:paraId="1CD084DC" w14:textId="77777777" w:rsidR="009362A4" w:rsidRPr="00361A09" w:rsidRDefault="009362A4" w:rsidP="0015435E">
            <w:pPr>
              <w:spacing w:after="0" w:line="240" w:lineRule="auto"/>
              <w:jc w:val="center"/>
              <w:rPr>
                <w:rFonts w:ascii="Calibri" w:eastAsia="Times New Roman" w:hAnsi="Calibri" w:cs="Times New Roman"/>
                <w:color w:val="000000" w:themeColor="text1"/>
                <w:sz w:val="18"/>
                <w:szCs w:val="18"/>
                <w:lang w:val="en-AU"/>
              </w:rPr>
            </w:pPr>
            <w:r w:rsidRPr="00361A09">
              <w:rPr>
                <w:rFonts w:ascii="Calibri" w:eastAsia="Times New Roman" w:hAnsi="Calibri" w:cs="Times New Roman"/>
                <w:color w:val="000000" w:themeColor="text1"/>
                <w:sz w:val="18"/>
                <w:szCs w:val="18"/>
                <w:lang w:val="en-AU"/>
              </w:rPr>
              <w:t>IO8</w:t>
            </w:r>
          </w:p>
          <w:p w14:paraId="0685A253" w14:textId="77777777" w:rsidR="009362A4" w:rsidRPr="00361A09" w:rsidRDefault="009362A4" w:rsidP="0015435E">
            <w:pPr>
              <w:spacing w:after="0" w:line="240" w:lineRule="auto"/>
              <w:jc w:val="center"/>
              <w:rPr>
                <w:rFonts w:ascii="Calibri" w:eastAsia="Times New Roman" w:hAnsi="Calibri" w:cs="Times New Roman"/>
                <w:color w:val="000000" w:themeColor="text1"/>
                <w:sz w:val="18"/>
                <w:szCs w:val="18"/>
                <w:lang w:val="en-AU"/>
              </w:rPr>
            </w:pPr>
            <w:r w:rsidRPr="00361A09">
              <w:rPr>
                <w:rFonts w:ascii="Calibri" w:eastAsia="Times New Roman" w:hAnsi="Calibri" w:cs="Times New Roman"/>
                <w:color w:val="000000" w:themeColor="text1"/>
                <w:sz w:val="18"/>
                <w:szCs w:val="18"/>
                <w:lang w:val="en-AU"/>
              </w:rPr>
              <w:t>(40)</w:t>
            </w:r>
          </w:p>
        </w:tc>
        <w:tc>
          <w:tcPr>
            <w:tcW w:w="2410" w:type="dxa"/>
            <w:shd w:val="clear" w:color="auto" w:fill="auto"/>
            <w:hideMark/>
          </w:tcPr>
          <w:p w14:paraId="4FB0F8AF" w14:textId="77777777" w:rsidR="009362A4" w:rsidRPr="00361A09" w:rsidRDefault="009362A4" w:rsidP="0015435E">
            <w:pPr>
              <w:spacing w:after="0" w:line="240" w:lineRule="auto"/>
              <w:rPr>
                <w:rFonts w:ascii="Calibri" w:eastAsia="Times New Roman" w:hAnsi="Calibri" w:cs="Times New Roman"/>
                <w:color w:val="000000" w:themeColor="text1"/>
                <w:sz w:val="18"/>
                <w:szCs w:val="18"/>
                <w:lang w:val="en-AU"/>
              </w:rPr>
            </w:pPr>
            <w:proofErr w:type="gramStart"/>
            <w:r>
              <w:rPr>
                <w:rFonts w:ascii="Calibri" w:eastAsia="Times New Roman" w:hAnsi="Calibri" w:cs="Times New Roman"/>
                <w:color w:val="000000" w:themeColor="text1"/>
                <w:sz w:val="18"/>
                <w:szCs w:val="18"/>
                <w:lang w:val="en-AU"/>
              </w:rPr>
              <w:t>3.2</w:t>
            </w:r>
            <w:r w:rsidRPr="00361A09">
              <w:rPr>
                <w:rFonts w:ascii="Calibri" w:eastAsia="Times New Roman" w:hAnsi="Calibri" w:cs="Times New Roman"/>
                <w:color w:val="000000" w:themeColor="text1"/>
                <w:sz w:val="18"/>
                <w:szCs w:val="18"/>
                <w:lang w:val="en-AU"/>
              </w:rPr>
              <w:t xml:space="preserve">  Education</w:t>
            </w:r>
            <w:proofErr w:type="gramEnd"/>
            <w:r w:rsidRPr="00361A09">
              <w:rPr>
                <w:rFonts w:ascii="Calibri" w:eastAsia="Times New Roman" w:hAnsi="Calibri" w:cs="Times New Roman"/>
                <w:color w:val="000000" w:themeColor="text1"/>
                <w:sz w:val="18"/>
                <w:szCs w:val="18"/>
                <w:lang w:val="en-AU"/>
              </w:rPr>
              <w:t xml:space="preserve"> Authorities operate to agreed standards</w:t>
            </w:r>
          </w:p>
        </w:tc>
        <w:tc>
          <w:tcPr>
            <w:tcW w:w="2977" w:type="dxa"/>
            <w:shd w:val="clear" w:color="auto" w:fill="auto"/>
            <w:hideMark/>
          </w:tcPr>
          <w:p w14:paraId="534123B2" w14:textId="77777777" w:rsidR="009362A4" w:rsidRPr="00361A09" w:rsidRDefault="009362A4" w:rsidP="0015435E">
            <w:pPr>
              <w:spacing w:after="0" w:line="240" w:lineRule="auto"/>
              <w:rPr>
                <w:rFonts w:ascii="Calibri" w:eastAsia="Times New Roman" w:hAnsi="Calibri" w:cs="Times New Roman"/>
                <w:color w:val="000000" w:themeColor="text1"/>
                <w:sz w:val="18"/>
                <w:szCs w:val="18"/>
                <w:lang w:val="en-AU"/>
              </w:rPr>
            </w:pPr>
            <w:r>
              <w:rPr>
                <w:rFonts w:ascii="Calibri (Body)" w:eastAsia="Times New Roman" w:hAnsi="Calibri (Body)" w:cs="Times New Roman"/>
                <w:color w:val="000000" w:themeColor="text1"/>
                <w:sz w:val="18"/>
                <w:szCs w:val="18"/>
                <w:lang w:val="en-AU"/>
              </w:rPr>
              <w:t>3.2</w:t>
            </w:r>
            <w:r w:rsidRPr="00361A09">
              <w:rPr>
                <w:rFonts w:ascii="Calibri (Body)" w:eastAsia="Times New Roman" w:hAnsi="Calibri (Body)" w:cs="Times New Roman"/>
                <w:color w:val="000000" w:themeColor="text1"/>
                <w:sz w:val="18"/>
                <w:szCs w:val="18"/>
                <w:lang w:val="en-AU"/>
              </w:rPr>
              <w:t xml:space="preserve">.1 By the end of 2019, </w:t>
            </w:r>
            <w:proofErr w:type="gramStart"/>
            <w:r w:rsidRPr="00361A09">
              <w:rPr>
                <w:rFonts w:ascii="Calibri" w:eastAsia="Times New Roman" w:hAnsi="Calibri" w:cs="Times New Roman"/>
                <w:color w:val="000000" w:themeColor="text1"/>
                <w:sz w:val="18"/>
                <w:szCs w:val="18"/>
                <w:lang w:val="en-AU"/>
              </w:rPr>
              <w:t>analysis</w:t>
            </w:r>
            <w:proofErr w:type="gramEnd"/>
            <w:r w:rsidRPr="00361A09">
              <w:rPr>
                <w:rFonts w:ascii="Calibri" w:eastAsia="Times New Roman" w:hAnsi="Calibri" w:cs="Times New Roman"/>
                <w:color w:val="000000" w:themeColor="text1"/>
                <w:sz w:val="18"/>
                <w:szCs w:val="18"/>
                <w:lang w:val="en-AU"/>
              </w:rPr>
              <w:t xml:space="preserve"> and peer review of initial EAs self-assessments completed, with results and feedback on usage shared at EA conference</w:t>
            </w:r>
          </w:p>
        </w:tc>
        <w:tc>
          <w:tcPr>
            <w:tcW w:w="1276" w:type="dxa"/>
            <w:shd w:val="clear" w:color="auto" w:fill="auto"/>
            <w:hideMark/>
          </w:tcPr>
          <w:p w14:paraId="05034081" w14:textId="77777777" w:rsidR="009362A4" w:rsidRPr="00361A09" w:rsidRDefault="009362A4" w:rsidP="0015435E">
            <w:pPr>
              <w:spacing w:after="0" w:line="240" w:lineRule="auto"/>
              <w:rPr>
                <w:rFonts w:ascii="Calibri" w:eastAsia="Times New Roman" w:hAnsi="Calibri" w:cs="Times New Roman"/>
                <w:color w:val="000000" w:themeColor="text1"/>
                <w:sz w:val="18"/>
                <w:szCs w:val="18"/>
                <w:lang w:val="en-AU"/>
              </w:rPr>
            </w:pPr>
            <w:r w:rsidRPr="00361A09">
              <w:rPr>
                <w:rFonts w:ascii="Calibri" w:eastAsia="Times New Roman" w:hAnsi="Calibri" w:cs="Times New Roman"/>
                <w:color w:val="000000" w:themeColor="text1"/>
                <w:sz w:val="18"/>
                <w:szCs w:val="18"/>
                <w:lang w:val="en-AU"/>
              </w:rPr>
              <w:t>EACI</w:t>
            </w:r>
          </w:p>
        </w:tc>
        <w:tc>
          <w:tcPr>
            <w:tcW w:w="2551" w:type="dxa"/>
            <w:shd w:val="clear" w:color="auto" w:fill="auto"/>
            <w:hideMark/>
          </w:tcPr>
          <w:p w14:paraId="68CE4A5C" w14:textId="77777777" w:rsidR="009362A4" w:rsidRPr="00361A09" w:rsidRDefault="009362A4" w:rsidP="0015435E">
            <w:pPr>
              <w:pStyle w:val="ListParagraph"/>
              <w:numPr>
                <w:ilvl w:val="0"/>
                <w:numId w:val="12"/>
              </w:numPr>
              <w:spacing w:after="40" w:line="240" w:lineRule="auto"/>
              <w:contextualSpacing w:val="0"/>
              <w:rPr>
                <w:rFonts w:ascii="Calibri" w:eastAsia="Times New Roman" w:hAnsi="Calibri" w:cs="Times New Roman"/>
                <w:color w:val="000000" w:themeColor="text1"/>
                <w:sz w:val="18"/>
                <w:szCs w:val="18"/>
                <w:lang w:val="en-AU"/>
              </w:rPr>
            </w:pPr>
            <w:r w:rsidRPr="00361A09">
              <w:rPr>
                <w:rFonts w:ascii="Calibri" w:eastAsia="Times New Roman" w:hAnsi="Calibri" w:cs="Times New Roman"/>
                <w:color w:val="000000" w:themeColor="text1"/>
                <w:sz w:val="18"/>
                <w:szCs w:val="18"/>
                <w:lang w:val="en-AU"/>
              </w:rPr>
              <w:t xml:space="preserve">Analysis and peer review of initial self-assessments completed and shared to EAs </w:t>
            </w:r>
            <w:r>
              <w:rPr>
                <w:rFonts w:ascii="Calibri" w:eastAsia="Times New Roman" w:hAnsi="Calibri" w:cs="Times New Roman"/>
                <w:color w:val="000000" w:themeColor="text1"/>
                <w:sz w:val="18"/>
                <w:szCs w:val="18"/>
                <w:lang w:val="en-AU"/>
              </w:rPr>
              <w:t>by EACI (10</w:t>
            </w:r>
            <w:r w:rsidRPr="00361A09">
              <w:rPr>
                <w:rFonts w:ascii="Calibri" w:eastAsia="Times New Roman" w:hAnsi="Calibri" w:cs="Times New Roman"/>
                <w:color w:val="000000" w:themeColor="text1"/>
                <w:sz w:val="18"/>
                <w:szCs w:val="18"/>
                <w:lang w:val="en-AU"/>
              </w:rPr>
              <w:t>0%)</w:t>
            </w:r>
          </w:p>
        </w:tc>
        <w:tc>
          <w:tcPr>
            <w:tcW w:w="1985" w:type="dxa"/>
          </w:tcPr>
          <w:p w14:paraId="4D079FC9" w14:textId="0388712A" w:rsidR="009362A4" w:rsidRPr="00361A09" w:rsidRDefault="001E568E" w:rsidP="0015435E">
            <w:pPr>
              <w:pStyle w:val="ListParagraph"/>
              <w:numPr>
                <w:ilvl w:val="0"/>
                <w:numId w:val="12"/>
              </w:numPr>
              <w:spacing w:after="40" w:line="240" w:lineRule="auto"/>
              <w:contextualSpacing w:val="0"/>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75% (of 100%)</w:t>
            </w:r>
          </w:p>
        </w:tc>
        <w:tc>
          <w:tcPr>
            <w:tcW w:w="1842" w:type="dxa"/>
          </w:tcPr>
          <w:p w14:paraId="3889BF3B" w14:textId="2B1964A7" w:rsidR="009362A4" w:rsidRDefault="00F720A5" w:rsidP="0015435E">
            <w:pPr>
              <w:pStyle w:val="ListParagraph"/>
              <w:numPr>
                <w:ilvl w:val="0"/>
                <w:numId w:val="12"/>
              </w:numPr>
              <w:spacing w:after="40" w:line="240" w:lineRule="auto"/>
              <w:contextualSpacing w:val="0"/>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146,250.00</w:t>
            </w:r>
          </w:p>
        </w:tc>
      </w:tr>
      <w:tr w:rsidR="009362A4" w:rsidRPr="00145309" w14:paraId="6283F94B" w14:textId="77777777" w:rsidTr="006046AC">
        <w:trPr>
          <w:cantSplit/>
          <w:jc w:val="center"/>
        </w:trPr>
        <w:tc>
          <w:tcPr>
            <w:tcW w:w="11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hideMark/>
          </w:tcPr>
          <w:p w14:paraId="412F15B0" w14:textId="77777777" w:rsidR="009362A4" w:rsidRPr="00831631" w:rsidRDefault="009362A4" w:rsidP="0015435E">
            <w:pPr>
              <w:spacing w:after="0" w:line="240" w:lineRule="auto"/>
              <w:rPr>
                <w:rFonts w:ascii="Calibri" w:eastAsia="Times New Roman" w:hAnsi="Calibri" w:cs="Times New Roman"/>
                <w:b/>
                <w:bCs/>
                <w:color w:val="000000"/>
                <w:sz w:val="18"/>
                <w:szCs w:val="18"/>
                <w:lang w:val="en-AU"/>
              </w:rPr>
            </w:pPr>
            <w:r w:rsidRPr="00831631">
              <w:rPr>
                <w:rFonts w:ascii="Calibri" w:eastAsia="Times New Roman" w:hAnsi="Calibri" w:cs="Times New Roman"/>
                <w:b/>
                <w:bCs/>
                <w:color w:val="000000"/>
                <w:sz w:val="18"/>
                <w:szCs w:val="18"/>
                <w:lang w:val="en-AU"/>
              </w:rPr>
              <w:t>Management systems</w:t>
            </w:r>
          </w:p>
        </w:tc>
        <w:tc>
          <w:tcPr>
            <w:tcW w:w="113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hideMark/>
          </w:tcPr>
          <w:p w14:paraId="465FE005" w14:textId="77777777" w:rsidR="009362A4" w:rsidRPr="00831631" w:rsidRDefault="009362A4" w:rsidP="0015435E">
            <w:pPr>
              <w:spacing w:after="0" w:line="240" w:lineRule="auto"/>
              <w:jc w:val="center"/>
              <w:rPr>
                <w:rFonts w:ascii="Calibri" w:eastAsia="Times New Roman" w:hAnsi="Calibri" w:cs="Times New Roman"/>
                <w:color w:val="000000" w:themeColor="text1"/>
                <w:sz w:val="18"/>
                <w:szCs w:val="18"/>
                <w:lang w:val="en-AU"/>
              </w:rPr>
            </w:pPr>
            <w:r w:rsidRPr="00831631">
              <w:rPr>
                <w:rFonts w:ascii="Calibri" w:eastAsia="Times New Roman" w:hAnsi="Calibri" w:cs="Times New Roman"/>
                <w:color w:val="000000" w:themeColor="text1"/>
                <w:sz w:val="18"/>
                <w:szCs w:val="18"/>
                <w:lang w:val="en-AU"/>
              </w:rPr>
              <w:t>EO 3.6</w:t>
            </w:r>
          </w:p>
        </w:tc>
        <w:tc>
          <w:tcPr>
            <w:tcW w:w="24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hideMark/>
          </w:tcPr>
          <w:p w14:paraId="67220CE9" w14:textId="77777777" w:rsidR="009362A4" w:rsidRPr="00831631" w:rsidRDefault="009362A4" w:rsidP="0015435E">
            <w:pPr>
              <w:spacing w:after="0" w:line="240" w:lineRule="auto"/>
              <w:rPr>
                <w:rFonts w:ascii="Calibri" w:eastAsia="Times New Roman" w:hAnsi="Calibri" w:cs="Times New Roman"/>
                <w:color w:val="000000" w:themeColor="text1"/>
                <w:sz w:val="18"/>
                <w:szCs w:val="18"/>
                <w:lang w:val="en-AU"/>
              </w:rPr>
            </w:pPr>
            <w:proofErr w:type="gramStart"/>
            <w:r>
              <w:rPr>
                <w:rFonts w:ascii="Calibri" w:eastAsia="Times New Roman" w:hAnsi="Calibri" w:cs="Times New Roman"/>
                <w:color w:val="000000" w:themeColor="text1"/>
                <w:sz w:val="18"/>
                <w:szCs w:val="18"/>
                <w:lang w:val="en-AU"/>
              </w:rPr>
              <w:t>3.3</w:t>
            </w:r>
            <w:r w:rsidRPr="00831631">
              <w:rPr>
                <w:rFonts w:ascii="Calibri" w:eastAsia="Times New Roman" w:hAnsi="Calibri" w:cs="Times New Roman"/>
                <w:color w:val="000000" w:themeColor="text1"/>
                <w:sz w:val="18"/>
                <w:szCs w:val="18"/>
                <w:lang w:val="en-AU"/>
              </w:rPr>
              <w:t xml:space="preserve">  The</w:t>
            </w:r>
            <w:proofErr w:type="gramEnd"/>
            <w:r w:rsidRPr="00831631">
              <w:rPr>
                <w:rFonts w:ascii="Calibri" w:eastAsia="Times New Roman" w:hAnsi="Calibri" w:cs="Times New Roman"/>
                <w:color w:val="000000" w:themeColor="text1"/>
                <w:sz w:val="18"/>
                <w:szCs w:val="18"/>
                <w:lang w:val="en-AU"/>
              </w:rPr>
              <w:t xml:space="preserve"> 2019 recurrent expenditure for Basic Education is maintained or improved</w:t>
            </w:r>
          </w:p>
        </w:tc>
        <w:tc>
          <w:tcPr>
            <w:tcW w:w="2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hideMark/>
          </w:tcPr>
          <w:p w14:paraId="20563278" w14:textId="77777777" w:rsidR="009362A4" w:rsidRPr="00831631" w:rsidRDefault="009362A4" w:rsidP="0015435E">
            <w:pPr>
              <w:spacing w:after="0" w:line="240" w:lineRule="auto"/>
              <w:rPr>
                <w:rFonts w:ascii="Calibri (Body)" w:eastAsia="Times New Roman" w:hAnsi="Calibri (Body)" w:cs="Times New Roman"/>
                <w:color w:val="000000" w:themeColor="text1"/>
                <w:sz w:val="18"/>
                <w:szCs w:val="18"/>
                <w:lang w:val="en-AU"/>
              </w:rPr>
            </w:pPr>
            <w:proofErr w:type="gramStart"/>
            <w:r>
              <w:rPr>
                <w:rFonts w:ascii="Calibri (Body)" w:eastAsia="Times New Roman" w:hAnsi="Calibri (Body)" w:cs="Times New Roman"/>
                <w:color w:val="000000" w:themeColor="text1"/>
                <w:sz w:val="18"/>
                <w:szCs w:val="18"/>
                <w:lang w:val="en-AU"/>
              </w:rPr>
              <w:t>3.3</w:t>
            </w:r>
            <w:r w:rsidRPr="00831631">
              <w:rPr>
                <w:rFonts w:ascii="Calibri (Body)" w:eastAsia="Times New Roman" w:hAnsi="Calibri (Body)" w:cs="Times New Roman"/>
                <w:color w:val="000000" w:themeColor="text1"/>
                <w:sz w:val="18"/>
                <w:szCs w:val="18"/>
                <w:lang w:val="en-AU"/>
              </w:rPr>
              <w:t>.1  Recurrent</w:t>
            </w:r>
            <w:proofErr w:type="gramEnd"/>
            <w:r w:rsidRPr="00831631">
              <w:rPr>
                <w:rFonts w:ascii="Calibri (Body)" w:eastAsia="Times New Roman" w:hAnsi="Calibri (Body)" w:cs="Times New Roman"/>
                <w:color w:val="000000" w:themeColor="text1"/>
                <w:sz w:val="18"/>
                <w:szCs w:val="18"/>
                <w:lang w:val="en-AU"/>
              </w:rPr>
              <w:t xml:space="preserve"> expenditure for per-unit cost per student at Primary and Secondary School in 2019 is equal or greater than 2018</w:t>
            </w:r>
          </w:p>
        </w:tc>
        <w:tc>
          <w:tcPr>
            <w:tcW w:w="127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hideMark/>
          </w:tcPr>
          <w:p w14:paraId="25DAE7AF" w14:textId="77777777" w:rsidR="009362A4" w:rsidRPr="00831631" w:rsidRDefault="009362A4" w:rsidP="0015435E">
            <w:pPr>
              <w:spacing w:after="0" w:line="240" w:lineRule="auto"/>
              <w:rPr>
                <w:rFonts w:ascii="Calibri" w:eastAsia="Times New Roman" w:hAnsi="Calibri" w:cs="Times New Roman"/>
                <w:color w:val="000000" w:themeColor="text1"/>
                <w:sz w:val="18"/>
                <w:szCs w:val="18"/>
                <w:lang w:val="en-AU"/>
              </w:rPr>
            </w:pPr>
            <w:r w:rsidRPr="00831631">
              <w:rPr>
                <w:rFonts w:ascii="Calibri" w:eastAsia="Times New Roman" w:hAnsi="Calibri" w:cs="Times New Roman"/>
                <w:color w:val="000000" w:themeColor="text1"/>
                <w:sz w:val="18"/>
                <w:szCs w:val="18"/>
                <w:lang w:val="en-AU"/>
              </w:rPr>
              <w:t>Finance</w:t>
            </w:r>
          </w:p>
        </w:tc>
        <w:tc>
          <w:tcPr>
            <w:tcW w:w="255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hideMark/>
          </w:tcPr>
          <w:p w14:paraId="59F6DFFE" w14:textId="77777777" w:rsidR="009362A4" w:rsidRPr="00831631" w:rsidRDefault="009362A4" w:rsidP="0015435E">
            <w:pPr>
              <w:pStyle w:val="ListParagraph"/>
              <w:numPr>
                <w:ilvl w:val="0"/>
                <w:numId w:val="12"/>
              </w:numPr>
              <w:spacing w:after="40" w:line="240" w:lineRule="auto"/>
              <w:contextualSpacing w:val="0"/>
              <w:rPr>
                <w:rFonts w:ascii="Calibri" w:eastAsia="Times New Roman" w:hAnsi="Calibri" w:cs="Times New Roman"/>
                <w:color w:val="000000" w:themeColor="text1"/>
                <w:sz w:val="18"/>
                <w:szCs w:val="18"/>
                <w:lang w:val="en-AU"/>
              </w:rPr>
            </w:pPr>
            <w:r w:rsidRPr="00831631">
              <w:rPr>
                <w:rFonts w:ascii="Calibri" w:eastAsia="Times New Roman" w:hAnsi="Calibri" w:cs="Times New Roman"/>
                <w:color w:val="000000" w:themeColor="text1"/>
                <w:sz w:val="18"/>
                <w:szCs w:val="18"/>
                <w:lang w:val="en-AU"/>
              </w:rPr>
              <w:t>Calculate using real prices, recurrent allocation includes primary (50%) and secondary (50%) grant component. (2019 Annual Report, expenditure report (actuals)</w:t>
            </w:r>
          </w:p>
          <w:p w14:paraId="6EFBEEAF" w14:textId="77777777" w:rsidR="009362A4" w:rsidRPr="00831631" w:rsidRDefault="009362A4" w:rsidP="0015435E">
            <w:pPr>
              <w:pStyle w:val="ListParagraph"/>
              <w:spacing w:line="240" w:lineRule="auto"/>
              <w:ind w:left="360" w:hanging="360"/>
              <w:rPr>
                <w:rFonts w:ascii="Calibri" w:eastAsia="Times New Roman" w:hAnsi="Calibri" w:cs="Times New Roman"/>
                <w:color w:val="000000" w:themeColor="text1"/>
                <w:sz w:val="18"/>
                <w:szCs w:val="18"/>
                <w:lang w:val="en-AU"/>
              </w:rPr>
            </w:pPr>
          </w:p>
        </w:tc>
        <w:tc>
          <w:tcPr>
            <w:tcW w:w="19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200A07E" w14:textId="3ACE333C" w:rsidR="009362A4" w:rsidRPr="002F7F56" w:rsidRDefault="001E568E" w:rsidP="0015435E">
            <w:pPr>
              <w:pStyle w:val="ListParagraph"/>
              <w:numPr>
                <w:ilvl w:val="0"/>
                <w:numId w:val="12"/>
              </w:numPr>
              <w:spacing w:after="40" w:line="240" w:lineRule="auto"/>
              <w:contextualSpacing w:val="0"/>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100% (of 100%)</w:t>
            </w:r>
          </w:p>
        </w:tc>
        <w:tc>
          <w:tcPr>
            <w:tcW w:w="184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19D16B" w14:textId="6F46760D" w:rsidR="009362A4" w:rsidRDefault="00F720A5" w:rsidP="0015435E">
            <w:pPr>
              <w:pStyle w:val="ListParagraph"/>
              <w:numPr>
                <w:ilvl w:val="0"/>
                <w:numId w:val="12"/>
              </w:numPr>
              <w:spacing w:after="40" w:line="240" w:lineRule="auto"/>
              <w:contextualSpacing w:val="0"/>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195,500.00</w:t>
            </w:r>
          </w:p>
        </w:tc>
      </w:tr>
      <w:tr w:rsidR="009362A4" w:rsidRPr="00145309" w14:paraId="022703A9" w14:textId="77777777" w:rsidTr="006046AC">
        <w:trPr>
          <w:cantSplit/>
          <w:jc w:val="center"/>
        </w:trPr>
        <w:tc>
          <w:tcPr>
            <w:tcW w:w="11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hideMark/>
          </w:tcPr>
          <w:p w14:paraId="7BFFA329" w14:textId="77777777" w:rsidR="009362A4" w:rsidRPr="005A3456" w:rsidRDefault="009362A4" w:rsidP="0015435E">
            <w:pPr>
              <w:spacing w:after="0" w:line="240" w:lineRule="auto"/>
              <w:rPr>
                <w:rFonts w:ascii="Calibri" w:eastAsia="Times New Roman" w:hAnsi="Calibri" w:cs="Times New Roman"/>
                <w:b/>
                <w:bCs/>
                <w:color w:val="000000"/>
                <w:sz w:val="18"/>
                <w:szCs w:val="18"/>
                <w:lang w:val="en-AU"/>
              </w:rPr>
            </w:pPr>
            <w:r w:rsidRPr="005A3456">
              <w:rPr>
                <w:rFonts w:ascii="Calibri" w:eastAsia="Times New Roman" w:hAnsi="Calibri" w:cs="Times New Roman"/>
                <w:b/>
                <w:bCs/>
                <w:color w:val="000000"/>
                <w:sz w:val="18"/>
                <w:szCs w:val="18"/>
                <w:lang w:val="en-AU"/>
              </w:rPr>
              <w:t>Management systems</w:t>
            </w:r>
          </w:p>
        </w:tc>
        <w:tc>
          <w:tcPr>
            <w:tcW w:w="113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hideMark/>
          </w:tcPr>
          <w:p w14:paraId="192351D6" w14:textId="77777777" w:rsidR="009362A4" w:rsidRPr="005A3456" w:rsidRDefault="009362A4" w:rsidP="0015435E">
            <w:pPr>
              <w:spacing w:after="0" w:line="240" w:lineRule="auto"/>
              <w:jc w:val="center"/>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 xml:space="preserve">Anticipated </w:t>
            </w:r>
            <w:r w:rsidRPr="005A3456">
              <w:rPr>
                <w:rFonts w:ascii="Calibri" w:eastAsia="Times New Roman" w:hAnsi="Calibri" w:cs="Times New Roman"/>
                <w:color w:val="000000" w:themeColor="text1"/>
                <w:sz w:val="18"/>
                <w:szCs w:val="18"/>
                <w:lang w:val="en-AU"/>
              </w:rPr>
              <w:t>DFA</w:t>
            </w:r>
            <w:r>
              <w:rPr>
                <w:rFonts w:ascii="Calibri" w:eastAsia="Times New Roman" w:hAnsi="Calibri" w:cs="Times New Roman"/>
                <w:color w:val="000000" w:themeColor="text1"/>
                <w:sz w:val="18"/>
                <w:szCs w:val="18"/>
                <w:lang w:val="en-AU"/>
              </w:rPr>
              <w:t xml:space="preserve"> condition</w:t>
            </w:r>
          </w:p>
        </w:tc>
        <w:tc>
          <w:tcPr>
            <w:tcW w:w="24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hideMark/>
          </w:tcPr>
          <w:p w14:paraId="7B072E9E" w14:textId="77777777" w:rsidR="009362A4" w:rsidRPr="005A3456" w:rsidRDefault="009362A4" w:rsidP="0015435E">
            <w:pPr>
              <w:spacing w:after="0" w:line="240" w:lineRule="auto"/>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3.4</w:t>
            </w:r>
            <w:r w:rsidRPr="005A3456">
              <w:rPr>
                <w:rFonts w:ascii="Calibri" w:eastAsia="Times New Roman" w:hAnsi="Calibri" w:cs="Times New Roman"/>
                <w:color w:val="000000" w:themeColor="text1"/>
                <w:sz w:val="18"/>
                <w:szCs w:val="18"/>
                <w:lang w:val="en-AU"/>
              </w:rPr>
              <w:t xml:space="preserve"> Solomon Islands Government scholarships budgeting and expenditure is sustainable</w:t>
            </w:r>
          </w:p>
        </w:tc>
        <w:tc>
          <w:tcPr>
            <w:tcW w:w="2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hideMark/>
          </w:tcPr>
          <w:p w14:paraId="5D946639" w14:textId="77777777" w:rsidR="009362A4" w:rsidRPr="005A3456" w:rsidRDefault="009362A4" w:rsidP="0015435E">
            <w:pPr>
              <w:spacing w:after="0" w:line="240" w:lineRule="auto"/>
              <w:rPr>
                <w:rFonts w:ascii="Calibri (Body)" w:eastAsia="Times New Roman" w:hAnsi="Calibri (Body)" w:cs="Times New Roman"/>
                <w:color w:val="000000" w:themeColor="text1"/>
                <w:sz w:val="18"/>
                <w:szCs w:val="18"/>
                <w:lang w:val="en-AU"/>
              </w:rPr>
            </w:pPr>
            <w:r>
              <w:rPr>
                <w:rFonts w:ascii="Calibri (Body)" w:eastAsia="Times New Roman" w:hAnsi="Calibri (Body)" w:cs="Times New Roman"/>
                <w:color w:val="000000" w:themeColor="text1"/>
                <w:sz w:val="18"/>
                <w:szCs w:val="18"/>
                <w:lang w:val="en-AU"/>
              </w:rPr>
              <w:t>3.4</w:t>
            </w:r>
            <w:r w:rsidRPr="005A3456">
              <w:rPr>
                <w:rFonts w:ascii="Calibri (Body)" w:eastAsia="Times New Roman" w:hAnsi="Calibri (Body)" w:cs="Times New Roman"/>
                <w:color w:val="000000" w:themeColor="text1"/>
                <w:sz w:val="18"/>
                <w:szCs w:val="18"/>
                <w:lang w:val="en-AU"/>
              </w:rPr>
              <w:t>.1 2019 MEHRD Scholarship expenditure is not higher than 2018 MEHRD Scholarship expenditure</w:t>
            </w:r>
          </w:p>
          <w:p w14:paraId="2122783E" w14:textId="77777777" w:rsidR="009362A4" w:rsidRPr="005A3456" w:rsidRDefault="009362A4" w:rsidP="0015435E">
            <w:pPr>
              <w:spacing w:after="0" w:line="240" w:lineRule="auto"/>
              <w:rPr>
                <w:rFonts w:ascii="Calibri (Body)" w:eastAsia="Times New Roman" w:hAnsi="Calibri (Body)" w:cs="Times New Roman"/>
                <w:color w:val="000000" w:themeColor="text1"/>
                <w:sz w:val="18"/>
                <w:szCs w:val="18"/>
                <w:lang w:val="en-AU"/>
              </w:rPr>
            </w:pPr>
          </w:p>
          <w:p w14:paraId="426BACB4" w14:textId="77777777" w:rsidR="009362A4" w:rsidRPr="005A3456" w:rsidRDefault="009362A4" w:rsidP="0015435E">
            <w:pPr>
              <w:spacing w:after="0" w:line="240" w:lineRule="auto"/>
              <w:rPr>
                <w:rFonts w:ascii="Calibri (Body)" w:eastAsia="Times New Roman" w:hAnsi="Calibri (Body)" w:cs="Times New Roman"/>
                <w:color w:val="000000" w:themeColor="text1"/>
                <w:sz w:val="18"/>
                <w:szCs w:val="18"/>
                <w:lang w:val="en-AU"/>
              </w:rPr>
            </w:pPr>
          </w:p>
        </w:tc>
        <w:tc>
          <w:tcPr>
            <w:tcW w:w="127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hideMark/>
          </w:tcPr>
          <w:p w14:paraId="37CD487D" w14:textId="77777777" w:rsidR="009362A4" w:rsidRPr="005A3456" w:rsidRDefault="009362A4" w:rsidP="0015435E">
            <w:pPr>
              <w:spacing w:after="0" w:line="240" w:lineRule="auto"/>
              <w:rPr>
                <w:rFonts w:ascii="Calibri" w:eastAsia="Times New Roman" w:hAnsi="Calibri" w:cs="Times New Roman"/>
                <w:color w:val="000000" w:themeColor="text1"/>
                <w:sz w:val="18"/>
                <w:szCs w:val="18"/>
                <w:lang w:val="en-AU"/>
              </w:rPr>
            </w:pPr>
            <w:r w:rsidRPr="005A3456">
              <w:rPr>
                <w:rFonts w:ascii="Calibri" w:eastAsia="Times New Roman" w:hAnsi="Calibri" w:cs="Times New Roman"/>
                <w:color w:val="000000" w:themeColor="text1"/>
                <w:sz w:val="18"/>
                <w:szCs w:val="18"/>
                <w:lang w:val="en-AU"/>
              </w:rPr>
              <w:t>Finance</w:t>
            </w:r>
          </w:p>
        </w:tc>
        <w:tc>
          <w:tcPr>
            <w:tcW w:w="255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hideMark/>
          </w:tcPr>
          <w:p w14:paraId="5962A7BE" w14:textId="77777777" w:rsidR="009362A4" w:rsidRPr="005A3456" w:rsidRDefault="009362A4" w:rsidP="0015435E">
            <w:pPr>
              <w:pStyle w:val="ListParagraph"/>
              <w:numPr>
                <w:ilvl w:val="0"/>
                <w:numId w:val="12"/>
              </w:numPr>
              <w:spacing w:after="40" w:line="240" w:lineRule="auto"/>
              <w:contextualSpacing w:val="0"/>
              <w:rPr>
                <w:rFonts w:ascii="Calibri" w:eastAsia="Times New Roman" w:hAnsi="Calibri" w:cs="Times New Roman"/>
                <w:color w:val="000000" w:themeColor="text1"/>
                <w:sz w:val="18"/>
                <w:szCs w:val="18"/>
                <w:lang w:val="en-AU"/>
              </w:rPr>
            </w:pPr>
            <w:r w:rsidRPr="005A3456">
              <w:rPr>
                <w:rFonts w:ascii="Calibri" w:eastAsia="Times New Roman" w:hAnsi="Calibri" w:cs="Times New Roman"/>
                <w:color w:val="000000" w:themeColor="text1"/>
                <w:sz w:val="18"/>
                <w:szCs w:val="18"/>
                <w:lang w:val="en-AU"/>
              </w:rPr>
              <w:t>SIEMIS Expenditure Report as per 2019 Annual Report (100%)</w:t>
            </w:r>
          </w:p>
        </w:tc>
        <w:tc>
          <w:tcPr>
            <w:tcW w:w="19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CA170A" w14:textId="69435301" w:rsidR="009362A4" w:rsidRPr="005A3456" w:rsidRDefault="001E568E" w:rsidP="0015435E">
            <w:pPr>
              <w:pStyle w:val="ListParagraph"/>
              <w:numPr>
                <w:ilvl w:val="0"/>
                <w:numId w:val="12"/>
              </w:numPr>
              <w:spacing w:after="40" w:line="240" w:lineRule="auto"/>
              <w:contextualSpacing w:val="0"/>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100% (of 100%)</w:t>
            </w:r>
          </w:p>
        </w:tc>
        <w:tc>
          <w:tcPr>
            <w:tcW w:w="184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E2AD81" w14:textId="3C79C6D3" w:rsidR="009362A4" w:rsidRDefault="00F720A5" w:rsidP="0015435E">
            <w:pPr>
              <w:pStyle w:val="ListParagraph"/>
              <w:numPr>
                <w:ilvl w:val="0"/>
                <w:numId w:val="12"/>
              </w:numPr>
              <w:spacing w:after="40" w:line="240" w:lineRule="auto"/>
              <w:contextualSpacing w:val="0"/>
              <w:rPr>
                <w:rFonts w:ascii="Calibri" w:eastAsia="Times New Roman" w:hAnsi="Calibri" w:cs="Times New Roman"/>
                <w:color w:val="000000" w:themeColor="text1"/>
                <w:sz w:val="18"/>
                <w:szCs w:val="18"/>
                <w:lang w:val="en-AU"/>
              </w:rPr>
            </w:pPr>
            <w:r>
              <w:rPr>
                <w:rFonts w:ascii="Calibri" w:eastAsia="Times New Roman" w:hAnsi="Calibri" w:cs="Times New Roman"/>
                <w:color w:val="000000" w:themeColor="text1"/>
                <w:sz w:val="18"/>
                <w:szCs w:val="18"/>
                <w:lang w:val="en-AU"/>
              </w:rPr>
              <w:t>195,500.00</w:t>
            </w:r>
          </w:p>
        </w:tc>
      </w:tr>
      <w:bookmarkEnd w:id="59"/>
    </w:tbl>
    <w:p w14:paraId="54E55A36" w14:textId="77777777" w:rsidR="009362A4" w:rsidRPr="009362A4" w:rsidRDefault="009362A4" w:rsidP="0015435E">
      <w:pPr>
        <w:spacing w:line="240" w:lineRule="auto"/>
      </w:pPr>
    </w:p>
    <w:p w14:paraId="6DE7EFCA" w14:textId="77777777" w:rsidR="00195CEB" w:rsidRDefault="00195CEB" w:rsidP="0015435E">
      <w:pPr>
        <w:spacing w:line="240" w:lineRule="auto"/>
        <w:sectPr w:rsidR="00195CEB" w:rsidSect="009362A4">
          <w:pgSz w:w="16838" w:h="11906" w:orient="landscape"/>
          <w:pgMar w:top="1440" w:right="1440" w:bottom="1440" w:left="1440" w:header="709" w:footer="709" w:gutter="0"/>
          <w:cols w:space="708"/>
          <w:docGrid w:linePitch="360"/>
        </w:sectPr>
      </w:pPr>
    </w:p>
    <w:p w14:paraId="53B8842F" w14:textId="1B9087AE" w:rsidR="00D9194A" w:rsidRDefault="00ED65C2" w:rsidP="0015435E">
      <w:pPr>
        <w:pStyle w:val="Heading2"/>
        <w:spacing w:line="240" w:lineRule="auto"/>
      </w:pPr>
      <w:bookmarkStart w:id="60" w:name="_Toc49858099"/>
      <w:r>
        <w:rPr>
          <w:rFonts w:asciiTheme="minorHAnsi" w:hAnsiTheme="minorHAnsi" w:cstheme="minorHAnsi"/>
          <w:sz w:val="24"/>
          <w:szCs w:val="24"/>
        </w:rPr>
        <w:t xml:space="preserve">Annex B: </w:t>
      </w:r>
      <w:r w:rsidRPr="00ED65C2">
        <w:rPr>
          <w:rFonts w:asciiTheme="minorHAnsi" w:hAnsiTheme="minorHAnsi" w:cstheme="minorHAnsi"/>
          <w:sz w:val="24"/>
          <w:szCs w:val="24"/>
        </w:rPr>
        <w:t>Documents</w:t>
      </w:r>
      <w:r>
        <w:rPr>
          <w:rFonts w:asciiTheme="minorHAnsi" w:hAnsiTheme="minorHAnsi" w:cstheme="minorHAnsi"/>
          <w:sz w:val="24"/>
          <w:szCs w:val="24"/>
        </w:rPr>
        <w:t xml:space="preserve"> Reviewed</w:t>
      </w:r>
      <w:bookmarkEnd w:id="60"/>
    </w:p>
    <w:tbl>
      <w:tblPr>
        <w:tblStyle w:val="TableGrid"/>
        <w:tblW w:w="9072"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7275"/>
        <w:gridCol w:w="1797"/>
      </w:tblGrid>
      <w:tr w:rsidR="00ED65C2" w:rsidRPr="00145309" w14:paraId="3E47E181" w14:textId="77777777" w:rsidTr="00ED65C2">
        <w:tc>
          <w:tcPr>
            <w:tcW w:w="7275" w:type="dxa"/>
            <w:tcBorders>
              <w:right w:val="single" w:sz="4" w:space="0" w:color="FFFFFF" w:themeColor="background1"/>
            </w:tcBorders>
            <w:shd w:val="clear" w:color="auto" w:fill="4472C4" w:themeFill="accent1"/>
          </w:tcPr>
          <w:p w14:paraId="33FD77FD" w14:textId="77777777" w:rsidR="00ED65C2" w:rsidRPr="00145309" w:rsidRDefault="00ED65C2" w:rsidP="0015435E">
            <w:pPr>
              <w:pStyle w:val="Bodytext11"/>
              <w:spacing w:before="40" w:after="40"/>
              <w:jc w:val="center"/>
              <w:rPr>
                <w:rFonts w:cstheme="minorHAnsi"/>
                <w:b/>
                <w:color w:val="FFFFFF" w:themeColor="background1"/>
                <w:lang w:val="en-AU"/>
              </w:rPr>
            </w:pPr>
            <w:r w:rsidRPr="00145309">
              <w:rPr>
                <w:rFonts w:cstheme="minorHAnsi"/>
                <w:b/>
                <w:color w:val="FFFFFF" w:themeColor="background1"/>
                <w:lang w:val="en-AU"/>
              </w:rPr>
              <w:t>Document</w:t>
            </w:r>
            <w:r>
              <w:rPr>
                <w:rFonts w:cstheme="minorHAnsi"/>
                <w:b/>
                <w:color w:val="FFFFFF" w:themeColor="background1"/>
                <w:lang w:val="en-AU"/>
              </w:rPr>
              <w:t>s Reviewed</w:t>
            </w:r>
          </w:p>
        </w:tc>
        <w:tc>
          <w:tcPr>
            <w:tcW w:w="1797" w:type="dxa"/>
            <w:tcBorders>
              <w:left w:val="single" w:sz="4" w:space="0" w:color="FFFFFF" w:themeColor="background1"/>
            </w:tcBorders>
            <w:shd w:val="clear" w:color="auto" w:fill="4472C4" w:themeFill="accent1"/>
          </w:tcPr>
          <w:p w14:paraId="1DF0E9D9" w14:textId="77777777" w:rsidR="00ED65C2" w:rsidRPr="00145309" w:rsidRDefault="00ED65C2" w:rsidP="0015435E">
            <w:pPr>
              <w:pStyle w:val="Bodytext11"/>
              <w:spacing w:before="40" w:after="40"/>
              <w:jc w:val="center"/>
              <w:rPr>
                <w:rFonts w:cstheme="minorHAnsi"/>
                <w:b/>
                <w:color w:val="FFFFFF" w:themeColor="background1"/>
                <w:lang w:val="en-AU"/>
              </w:rPr>
            </w:pPr>
            <w:r w:rsidRPr="00145309">
              <w:rPr>
                <w:rFonts w:cstheme="minorHAnsi"/>
                <w:b/>
                <w:color w:val="FFFFFF" w:themeColor="background1"/>
                <w:lang w:val="en-AU"/>
              </w:rPr>
              <w:t>Source</w:t>
            </w:r>
          </w:p>
        </w:tc>
      </w:tr>
      <w:tr w:rsidR="00ED65C2" w:rsidRPr="009E4264" w14:paraId="0748D180" w14:textId="77777777" w:rsidTr="00ED65C2">
        <w:tc>
          <w:tcPr>
            <w:tcW w:w="7275" w:type="dxa"/>
          </w:tcPr>
          <w:p w14:paraId="66A2EA20" w14:textId="77777777" w:rsidR="00ED65C2" w:rsidRPr="00A47FC7" w:rsidRDefault="00ED65C2" w:rsidP="0015435E">
            <w:pPr>
              <w:pStyle w:val="Tablecontent"/>
              <w:rPr>
                <w:rFonts w:cstheme="minorHAnsi"/>
                <w:color w:val="000000" w:themeColor="text1"/>
              </w:rPr>
            </w:pPr>
            <w:r w:rsidRPr="00A47FC7">
              <w:rPr>
                <w:rFonts w:cstheme="minorHAnsi"/>
                <w:color w:val="000000" w:themeColor="text1"/>
              </w:rPr>
              <w:t>Central Bank of Solomon Islands, 201</w:t>
            </w:r>
            <w:r>
              <w:rPr>
                <w:rFonts w:cstheme="minorHAnsi"/>
                <w:color w:val="000000" w:themeColor="text1"/>
              </w:rPr>
              <w:t>9</w:t>
            </w:r>
            <w:r w:rsidRPr="00A47FC7">
              <w:rPr>
                <w:rFonts w:cstheme="minorHAnsi"/>
                <w:color w:val="000000" w:themeColor="text1"/>
              </w:rPr>
              <w:t xml:space="preserve"> Annual Report</w:t>
            </w:r>
          </w:p>
        </w:tc>
        <w:tc>
          <w:tcPr>
            <w:tcW w:w="1797" w:type="dxa"/>
          </w:tcPr>
          <w:p w14:paraId="12FCCCC8" w14:textId="77777777" w:rsidR="00ED65C2" w:rsidRPr="009E4264" w:rsidRDefault="00ED65C2" w:rsidP="0015435E">
            <w:pPr>
              <w:pStyle w:val="Tablecontent"/>
              <w:rPr>
                <w:rFonts w:cstheme="minorHAnsi"/>
              </w:rPr>
            </w:pPr>
            <w:r>
              <w:rPr>
                <w:rFonts w:cstheme="minorHAnsi"/>
              </w:rPr>
              <w:t>MOFT</w:t>
            </w:r>
          </w:p>
        </w:tc>
      </w:tr>
      <w:tr w:rsidR="00ED65C2" w:rsidRPr="009E4264" w14:paraId="7F3CDD9B" w14:textId="77777777" w:rsidTr="00ED65C2">
        <w:tc>
          <w:tcPr>
            <w:tcW w:w="7275" w:type="dxa"/>
          </w:tcPr>
          <w:p w14:paraId="0F99E1DC" w14:textId="77777777" w:rsidR="00ED65C2" w:rsidRPr="009E4264" w:rsidRDefault="00ED65C2" w:rsidP="0015435E">
            <w:pPr>
              <w:pStyle w:val="Tablecontent"/>
              <w:rPr>
                <w:rFonts w:cstheme="minorHAnsi"/>
              </w:rPr>
            </w:pPr>
            <w:r w:rsidRPr="009E4264">
              <w:rPr>
                <w:rFonts w:cstheme="minorHAnsi"/>
              </w:rPr>
              <w:t>Direct Funding Agreement between the Government of Australia and Solomon Islands Government</w:t>
            </w:r>
          </w:p>
        </w:tc>
        <w:tc>
          <w:tcPr>
            <w:tcW w:w="1797" w:type="dxa"/>
          </w:tcPr>
          <w:p w14:paraId="1D7A7DE8" w14:textId="77777777" w:rsidR="00ED65C2" w:rsidRPr="009E4264" w:rsidRDefault="00ED65C2" w:rsidP="0015435E">
            <w:pPr>
              <w:pStyle w:val="Tablecontent"/>
              <w:rPr>
                <w:rFonts w:cstheme="minorHAnsi"/>
              </w:rPr>
            </w:pPr>
            <w:r>
              <w:rPr>
                <w:rFonts w:cstheme="minorHAnsi"/>
              </w:rPr>
              <w:t>AHC</w:t>
            </w:r>
          </w:p>
        </w:tc>
      </w:tr>
      <w:tr w:rsidR="00ED65C2" w:rsidRPr="009E4264" w14:paraId="2F5606E0" w14:textId="77777777" w:rsidTr="00ED65C2">
        <w:tc>
          <w:tcPr>
            <w:tcW w:w="7275" w:type="dxa"/>
          </w:tcPr>
          <w:p w14:paraId="5D0E8994" w14:textId="77777777" w:rsidR="00ED65C2" w:rsidRPr="009E4264" w:rsidRDefault="00ED65C2" w:rsidP="0015435E">
            <w:pPr>
              <w:pStyle w:val="Tablecontent"/>
              <w:rPr>
                <w:rFonts w:cstheme="minorHAnsi"/>
              </w:rPr>
            </w:pPr>
            <w:r>
              <w:rPr>
                <w:rFonts w:cstheme="minorHAnsi"/>
              </w:rPr>
              <w:t>Education Authority Conference November 2019 Report</w:t>
            </w:r>
          </w:p>
        </w:tc>
        <w:tc>
          <w:tcPr>
            <w:tcW w:w="1797" w:type="dxa"/>
          </w:tcPr>
          <w:p w14:paraId="11C0DFCA" w14:textId="77777777" w:rsidR="00ED65C2" w:rsidRDefault="00ED65C2" w:rsidP="0015435E">
            <w:pPr>
              <w:pStyle w:val="Tablecontent"/>
              <w:rPr>
                <w:rFonts w:cstheme="minorHAnsi"/>
              </w:rPr>
            </w:pPr>
            <w:r>
              <w:rPr>
                <w:rFonts w:cstheme="minorHAnsi"/>
              </w:rPr>
              <w:t>MEHRD</w:t>
            </w:r>
          </w:p>
        </w:tc>
      </w:tr>
      <w:tr w:rsidR="00ED65C2" w:rsidRPr="009E4264" w14:paraId="3AC514B4" w14:textId="77777777" w:rsidTr="00ED65C2">
        <w:tc>
          <w:tcPr>
            <w:tcW w:w="7275" w:type="dxa"/>
          </w:tcPr>
          <w:p w14:paraId="12528596" w14:textId="77777777" w:rsidR="00ED65C2" w:rsidRPr="009C5906" w:rsidRDefault="00ED65C2" w:rsidP="0015435E">
            <w:pPr>
              <w:pStyle w:val="Tablecontent"/>
              <w:rPr>
                <w:rFonts w:cstheme="minorHAnsi"/>
                <w:iCs/>
                <w:color w:val="000000" w:themeColor="text1"/>
              </w:rPr>
            </w:pPr>
            <w:r w:rsidRPr="009C5906">
              <w:rPr>
                <w:iCs/>
              </w:rPr>
              <w:t xml:space="preserve">Education Sector Program 2: Basic Education Component Independent Mid-Term Review. </w:t>
            </w:r>
          </w:p>
        </w:tc>
        <w:tc>
          <w:tcPr>
            <w:tcW w:w="1797" w:type="dxa"/>
          </w:tcPr>
          <w:p w14:paraId="02DB868A" w14:textId="77777777" w:rsidR="00ED65C2" w:rsidRDefault="00ED65C2" w:rsidP="0015435E">
            <w:pPr>
              <w:pStyle w:val="Tablecontent"/>
              <w:rPr>
                <w:rFonts w:cstheme="minorHAnsi"/>
              </w:rPr>
            </w:pPr>
            <w:r>
              <w:rPr>
                <w:rFonts w:cstheme="minorHAnsi"/>
              </w:rPr>
              <w:t>AHC</w:t>
            </w:r>
          </w:p>
        </w:tc>
      </w:tr>
      <w:tr w:rsidR="00ED65C2" w:rsidRPr="009E4264" w14:paraId="01842FBC" w14:textId="77777777" w:rsidTr="00ED65C2">
        <w:tc>
          <w:tcPr>
            <w:tcW w:w="7275" w:type="dxa"/>
          </w:tcPr>
          <w:p w14:paraId="35B81C8E" w14:textId="77777777" w:rsidR="00ED65C2" w:rsidRPr="009C5906" w:rsidRDefault="00ED65C2" w:rsidP="0015435E">
            <w:pPr>
              <w:pStyle w:val="Tablecontent"/>
              <w:rPr>
                <w:iCs/>
              </w:rPr>
            </w:pPr>
            <w:r>
              <w:rPr>
                <w:iCs/>
              </w:rPr>
              <w:t>LEAP Final Implementation Report 2019</w:t>
            </w:r>
          </w:p>
        </w:tc>
        <w:tc>
          <w:tcPr>
            <w:tcW w:w="1797" w:type="dxa"/>
          </w:tcPr>
          <w:p w14:paraId="732C31EC" w14:textId="77777777" w:rsidR="00ED65C2" w:rsidRDefault="00ED65C2" w:rsidP="0015435E">
            <w:pPr>
              <w:pStyle w:val="Tablecontent"/>
              <w:rPr>
                <w:rFonts w:cstheme="minorHAnsi"/>
              </w:rPr>
            </w:pPr>
            <w:r>
              <w:rPr>
                <w:rFonts w:cstheme="minorHAnsi"/>
              </w:rPr>
              <w:t>LEAP Team</w:t>
            </w:r>
          </w:p>
        </w:tc>
      </w:tr>
      <w:tr w:rsidR="00ED65C2" w:rsidRPr="009E4264" w14:paraId="047814A0" w14:textId="77777777" w:rsidTr="00ED65C2">
        <w:tc>
          <w:tcPr>
            <w:tcW w:w="7275" w:type="dxa"/>
          </w:tcPr>
          <w:p w14:paraId="472802A8" w14:textId="77777777" w:rsidR="00ED65C2" w:rsidRPr="009E4264" w:rsidRDefault="00ED65C2" w:rsidP="0015435E">
            <w:pPr>
              <w:pStyle w:val="Tablecontent"/>
              <w:rPr>
                <w:rFonts w:cstheme="minorHAnsi"/>
              </w:rPr>
            </w:pPr>
            <w:r>
              <w:rPr>
                <w:rFonts w:cstheme="minorHAnsi"/>
              </w:rPr>
              <w:t>MEHRD Annual Joint Review Report (December 2019)</w:t>
            </w:r>
          </w:p>
        </w:tc>
        <w:tc>
          <w:tcPr>
            <w:tcW w:w="1797" w:type="dxa"/>
          </w:tcPr>
          <w:p w14:paraId="64FACC2F" w14:textId="77777777" w:rsidR="00ED65C2" w:rsidRPr="009E4264" w:rsidRDefault="00ED65C2" w:rsidP="0015435E">
            <w:pPr>
              <w:pStyle w:val="Tablecontent"/>
              <w:rPr>
                <w:rFonts w:cstheme="minorHAnsi"/>
              </w:rPr>
            </w:pPr>
            <w:r>
              <w:rPr>
                <w:rFonts w:cstheme="minorHAnsi"/>
              </w:rPr>
              <w:t>MEHRD</w:t>
            </w:r>
          </w:p>
        </w:tc>
      </w:tr>
      <w:tr w:rsidR="00ED65C2" w:rsidRPr="009E4264" w14:paraId="4980757F" w14:textId="77777777" w:rsidTr="00ED65C2">
        <w:tc>
          <w:tcPr>
            <w:tcW w:w="7275" w:type="dxa"/>
          </w:tcPr>
          <w:p w14:paraId="0DBBE0AC" w14:textId="77777777" w:rsidR="00ED65C2" w:rsidRPr="009E4264" w:rsidRDefault="00ED65C2" w:rsidP="0015435E">
            <w:pPr>
              <w:pStyle w:val="Tablecontent"/>
              <w:rPr>
                <w:rFonts w:cstheme="minorHAnsi"/>
              </w:rPr>
            </w:pPr>
            <w:r w:rsidRPr="009E4264">
              <w:rPr>
                <w:rFonts w:cstheme="minorHAnsi"/>
              </w:rPr>
              <w:t>MEHRD 201</w:t>
            </w:r>
            <w:r>
              <w:rPr>
                <w:rFonts w:cstheme="minorHAnsi"/>
              </w:rPr>
              <w:t>9</w:t>
            </w:r>
            <w:r w:rsidRPr="009E4264">
              <w:rPr>
                <w:rFonts w:cstheme="minorHAnsi"/>
              </w:rPr>
              <w:t xml:space="preserve"> Quarter 1</w:t>
            </w:r>
            <w:r>
              <w:rPr>
                <w:rFonts w:cstheme="minorHAnsi"/>
              </w:rPr>
              <w:t>,2,3</w:t>
            </w:r>
            <w:r w:rsidRPr="009E4264">
              <w:rPr>
                <w:rFonts w:cstheme="minorHAnsi"/>
              </w:rPr>
              <w:t xml:space="preserve"> </w:t>
            </w:r>
            <w:r>
              <w:rPr>
                <w:rFonts w:cstheme="minorHAnsi"/>
              </w:rPr>
              <w:t xml:space="preserve">Progress </w:t>
            </w:r>
            <w:r w:rsidRPr="009E4264">
              <w:rPr>
                <w:rFonts w:cstheme="minorHAnsi"/>
              </w:rPr>
              <w:t>Report</w:t>
            </w:r>
            <w:r>
              <w:rPr>
                <w:rFonts w:cstheme="minorHAnsi"/>
              </w:rPr>
              <w:t>s</w:t>
            </w:r>
          </w:p>
        </w:tc>
        <w:tc>
          <w:tcPr>
            <w:tcW w:w="1797" w:type="dxa"/>
          </w:tcPr>
          <w:p w14:paraId="7BA6CFD7" w14:textId="77777777" w:rsidR="00ED65C2" w:rsidRPr="009E4264" w:rsidRDefault="00ED65C2" w:rsidP="0015435E">
            <w:pPr>
              <w:pStyle w:val="Tablecontent"/>
              <w:rPr>
                <w:rFonts w:cstheme="minorHAnsi"/>
              </w:rPr>
            </w:pPr>
            <w:r w:rsidRPr="009E4264">
              <w:rPr>
                <w:rFonts w:cstheme="minorHAnsi"/>
              </w:rPr>
              <w:t>MEHRD</w:t>
            </w:r>
          </w:p>
        </w:tc>
      </w:tr>
      <w:tr w:rsidR="00ED65C2" w:rsidRPr="009E4264" w14:paraId="6E73119C" w14:textId="77777777" w:rsidTr="00ED65C2">
        <w:tc>
          <w:tcPr>
            <w:tcW w:w="7275" w:type="dxa"/>
          </w:tcPr>
          <w:p w14:paraId="602875DB" w14:textId="77777777" w:rsidR="00ED65C2" w:rsidRPr="009E4264" w:rsidRDefault="00ED65C2" w:rsidP="0015435E">
            <w:pPr>
              <w:pStyle w:val="Tablecontent"/>
              <w:rPr>
                <w:rFonts w:cstheme="minorHAnsi"/>
              </w:rPr>
            </w:pPr>
            <w:r>
              <w:rPr>
                <w:rFonts w:cstheme="minorHAnsi"/>
              </w:rPr>
              <w:t>MEHRD 2020 Quarter 1 Progress Report</w:t>
            </w:r>
          </w:p>
        </w:tc>
        <w:tc>
          <w:tcPr>
            <w:tcW w:w="1797" w:type="dxa"/>
          </w:tcPr>
          <w:p w14:paraId="0B3E41E8" w14:textId="77777777" w:rsidR="00ED65C2" w:rsidRPr="009E4264" w:rsidRDefault="00ED65C2" w:rsidP="0015435E">
            <w:pPr>
              <w:pStyle w:val="Tablecontent"/>
              <w:rPr>
                <w:rFonts w:cstheme="minorHAnsi"/>
              </w:rPr>
            </w:pPr>
            <w:r>
              <w:rPr>
                <w:rFonts w:cstheme="minorHAnsi"/>
              </w:rPr>
              <w:t>MEHRD</w:t>
            </w:r>
          </w:p>
        </w:tc>
      </w:tr>
      <w:tr w:rsidR="00ED65C2" w:rsidRPr="009E4264" w14:paraId="10050AE0" w14:textId="77777777" w:rsidTr="00ED65C2">
        <w:tc>
          <w:tcPr>
            <w:tcW w:w="7275" w:type="dxa"/>
          </w:tcPr>
          <w:p w14:paraId="4F776D94" w14:textId="77777777" w:rsidR="00ED65C2" w:rsidRDefault="00ED65C2" w:rsidP="0015435E">
            <w:pPr>
              <w:pStyle w:val="Tablecontent"/>
              <w:rPr>
                <w:rFonts w:cstheme="minorHAnsi"/>
              </w:rPr>
            </w:pPr>
            <w:r>
              <w:rPr>
                <w:rFonts w:cstheme="minorHAnsi"/>
              </w:rPr>
              <w:t>MEHRD Language and Literacy Pilots’ Report and Recommendations (draft June 2020)</w:t>
            </w:r>
          </w:p>
        </w:tc>
        <w:tc>
          <w:tcPr>
            <w:tcW w:w="1797" w:type="dxa"/>
          </w:tcPr>
          <w:p w14:paraId="33B3B3CA" w14:textId="77777777" w:rsidR="00ED65C2" w:rsidRDefault="00ED65C2" w:rsidP="0015435E">
            <w:pPr>
              <w:pStyle w:val="Tablecontent"/>
              <w:rPr>
                <w:rFonts w:cstheme="minorHAnsi"/>
              </w:rPr>
            </w:pPr>
            <w:r>
              <w:rPr>
                <w:rFonts w:cstheme="minorHAnsi"/>
              </w:rPr>
              <w:t>MEHRD</w:t>
            </w:r>
          </w:p>
        </w:tc>
      </w:tr>
      <w:tr w:rsidR="00ED65C2" w:rsidRPr="009E4264" w14:paraId="255028B5" w14:textId="77777777" w:rsidTr="00ED65C2">
        <w:tc>
          <w:tcPr>
            <w:tcW w:w="7275" w:type="dxa"/>
          </w:tcPr>
          <w:p w14:paraId="2C7EF996" w14:textId="77777777" w:rsidR="00ED65C2" w:rsidRPr="009E4264" w:rsidRDefault="00ED65C2" w:rsidP="0015435E">
            <w:pPr>
              <w:pStyle w:val="Tablecontent"/>
              <w:rPr>
                <w:rFonts w:cstheme="minorHAnsi"/>
              </w:rPr>
            </w:pPr>
            <w:r>
              <w:rPr>
                <w:rFonts w:cstheme="minorHAnsi"/>
              </w:rPr>
              <w:t>MEHRD Monitoring, Evaluation and Learning Plan 2017 to 2020</w:t>
            </w:r>
          </w:p>
        </w:tc>
        <w:tc>
          <w:tcPr>
            <w:tcW w:w="1797" w:type="dxa"/>
          </w:tcPr>
          <w:p w14:paraId="1E39AA8A" w14:textId="77777777" w:rsidR="00ED65C2" w:rsidRPr="009E4264" w:rsidRDefault="00ED65C2" w:rsidP="0015435E">
            <w:pPr>
              <w:pStyle w:val="Tablecontent"/>
              <w:rPr>
                <w:rFonts w:cstheme="minorHAnsi"/>
              </w:rPr>
            </w:pPr>
            <w:r>
              <w:rPr>
                <w:rFonts w:cstheme="minorHAnsi"/>
              </w:rPr>
              <w:t>MEHRD</w:t>
            </w:r>
          </w:p>
        </w:tc>
      </w:tr>
      <w:tr w:rsidR="00ED65C2" w:rsidRPr="009E4264" w14:paraId="36691B70" w14:textId="77777777" w:rsidTr="00ED65C2">
        <w:tc>
          <w:tcPr>
            <w:tcW w:w="7275" w:type="dxa"/>
          </w:tcPr>
          <w:p w14:paraId="0F36608E" w14:textId="77777777" w:rsidR="00ED65C2" w:rsidRDefault="00ED65C2" w:rsidP="0015435E">
            <w:pPr>
              <w:pStyle w:val="Tablecontent"/>
              <w:rPr>
                <w:rFonts w:cstheme="minorHAnsi"/>
              </w:rPr>
            </w:pPr>
            <w:proofErr w:type="gramStart"/>
            <w:r w:rsidRPr="00823415">
              <w:rPr>
                <w:rFonts w:cstheme="minorHAnsi"/>
              </w:rPr>
              <w:t>MEHRD  Pilot</w:t>
            </w:r>
            <w:proofErr w:type="gramEnd"/>
            <w:r w:rsidRPr="00823415">
              <w:rPr>
                <w:rFonts w:cstheme="minorHAnsi"/>
              </w:rPr>
              <w:t xml:space="preserve"> Vernacular Education Programme </w:t>
            </w:r>
          </w:p>
        </w:tc>
        <w:tc>
          <w:tcPr>
            <w:tcW w:w="1797" w:type="dxa"/>
          </w:tcPr>
          <w:p w14:paraId="3422CEED" w14:textId="77777777" w:rsidR="00ED65C2" w:rsidRDefault="00ED65C2" w:rsidP="0015435E">
            <w:pPr>
              <w:pStyle w:val="Tablecontent"/>
              <w:rPr>
                <w:rFonts w:cstheme="minorHAnsi"/>
              </w:rPr>
            </w:pPr>
            <w:r>
              <w:rPr>
                <w:rFonts w:cstheme="minorHAnsi"/>
              </w:rPr>
              <w:t>MEHRD</w:t>
            </w:r>
          </w:p>
        </w:tc>
      </w:tr>
      <w:tr w:rsidR="00ED65C2" w:rsidRPr="009E4264" w14:paraId="6F244D21" w14:textId="77777777" w:rsidTr="00ED65C2">
        <w:tc>
          <w:tcPr>
            <w:tcW w:w="7275" w:type="dxa"/>
          </w:tcPr>
          <w:p w14:paraId="794E5A25" w14:textId="77777777" w:rsidR="00ED65C2" w:rsidRPr="009E4264" w:rsidRDefault="00ED65C2" w:rsidP="0015435E">
            <w:pPr>
              <w:pStyle w:val="Tablecontent"/>
              <w:rPr>
                <w:rFonts w:cstheme="minorHAnsi"/>
              </w:rPr>
            </w:pPr>
            <w:r w:rsidRPr="009E4264">
              <w:rPr>
                <w:rFonts w:cstheme="minorHAnsi"/>
              </w:rPr>
              <w:t>MEH</w:t>
            </w:r>
            <w:r>
              <w:rPr>
                <w:rFonts w:cstheme="minorHAnsi"/>
              </w:rPr>
              <w:t>R</w:t>
            </w:r>
            <w:r w:rsidRPr="009E4264">
              <w:rPr>
                <w:rFonts w:cstheme="minorHAnsi"/>
              </w:rPr>
              <w:t>D Annual Work Plan 201</w:t>
            </w:r>
            <w:r>
              <w:rPr>
                <w:rFonts w:cstheme="minorHAnsi"/>
              </w:rPr>
              <w:t>9, 2020</w:t>
            </w:r>
          </w:p>
        </w:tc>
        <w:tc>
          <w:tcPr>
            <w:tcW w:w="1797" w:type="dxa"/>
          </w:tcPr>
          <w:p w14:paraId="4DE54210" w14:textId="77777777" w:rsidR="00ED65C2" w:rsidRPr="009E4264" w:rsidRDefault="00ED65C2" w:rsidP="0015435E">
            <w:pPr>
              <w:pStyle w:val="Tablecontent"/>
              <w:rPr>
                <w:rFonts w:cstheme="minorHAnsi"/>
              </w:rPr>
            </w:pPr>
            <w:r w:rsidRPr="009E4264">
              <w:rPr>
                <w:rFonts w:cstheme="minorHAnsi"/>
              </w:rPr>
              <w:t>MEHRD</w:t>
            </w:r>
          </w:p>
        </w:tc>
      </w:tr>
      <w:tr w:rsidR="00ED65C2" w:rsidRPr="009E4264" w14:paraId="01190854" w14:textId="77777777" w:rsidTr="00ED65C2">
        <w:tc>
          <w:tcPr>
            <w:tcW w:w="7275" w:type="dxa"/>
          </w:tcPr>
          <w:p w14:paraId="5EAFEBB7" w14:textId="77777777" w:rsidR="00ED65C2" w:rsidRDefault="00ED65C2" w:rsidP="0015435E">
            <w:pPr>
              <w:pStyle w:val="Tablecontent"/>
            </w:pPr>
            <w:r>
              <w:t>NEAP 2016-2020 Mid-NEAP Review Findings (December 2018)</w:t>
            </w:r>
          </w:p>
        </w:tc>
        <w:tc>
          <w:tcPr>
            <w:tcW w:w="1797" w:type="dxa"/>
          </w:tcPr>
          <w:p w14:paraId="1DF2A7B8" w14:textId="77777777" w:rsidR="00ED65C2" w:rsidRDefault="00ED65C2" w:rsidP="0015435E">
            <w:pPr>
              <w:pStyle w:val="Tablecontent"/>
              <w:rPr>
                <w:rFonts w:cstheme="minorHAnsi"/>
              </w:rPr>
            </w:pPr>
            <w:r>
              <w:rPr>
                <w:rFonts w:cstheme="minorHAnsi"/>
              </w:rPr>
              <w:t>MEHRD</w:t>
            </w:r>
          </w:p>
        </w:tc>
      </w:tr>
      <w:tr w:rsidR="00ED65C2" w:rsidRPr="009E4264" w14:paraId="0B4C3BEB" w14:textId="77777777" w:rsidTr="00ED65C2">
        <w:tc>
          <w:tcPr>
            <w:tcW w:w="7275" w:type="dxa"/>
          </w:tcPr>
          <w:p w14:paraId="386120C2" w14:textId="77777777" w:rsidR="00ED65C2" w:rsidRPr="009E4264" w:rsidRDefault="00ED65C2" w:rsidP="0015435E">
            <w:pPr>
              <w:pStyle w:val="Tablecontent"/>
              <w:rPr>
                <w:rFonts w:cstheme="minorHAnsi"/>
              </w:rPr>
            </w:pPr>
            <w:r w:rsidRPr="009E4264">
              <w:rPr>
                <w:rFonts w:cstheme="minorHAnsi"/>
              </w:rPr>
              <w:t>National Education Action Plan 2016</w:t>
            </w:r>
            <w:r w:rsidRPr="006135D1">
              <w:rPr>
                <w:rFonts w:cstheme="minorHAnsi"/>
              </w:rPr>
              <w:t>–</w:t>
            </w:r>
            <w:r w:rsidRPr="009E4264">
              <w:rPr>
                <w:rFonts w:cstheme="minorHAnsi"/>
              </w:rPr>
              <w:t>2020</w:t>
            </w:r>
          </w:p>
        </w:tc>
        <w:tc>
          <w:tcPr>
            <w:tcW w:w="1797" w:type="dxa"/>
          </w:tcPr>
          <w:p w14:paraId="01328CB2" w14:textId="77777777" w:rsidR="00ED65C2" w:rsidRPr="009E4264" w:rsidRDefault="00ED65C2" w:rsidP="0015435E">
            <w:pPr>
              <w:pStyle w:val="Tablecontent"/>
              <w:rPr>
                <w:rFonts w:cstheme="minorHAnsi"/>
              </w:rPr>
            </w:pPr>
            <w:r w:rsidRPr="009E4264">
              <w:rPr>
                <w:rFonts w:cstheme="minorHAnsi"/>
              </w:rPr>
              <w:t>MEHRD</w:t>
            </w:r>
          </w:p>
        </w:tc>
      </w:tr>
      <w:tr w:rsidR="00ED65C2" w:rsidRPr="009E4264" w14:paraId="5726D3D8" w14:textId="77777777" w:rsidTr="00ED65C2">
        <w:tc>
          <w:tcPr>
            <w:tcW w:w="7275" w:type="dxa"/>
          </w:tcPr>
          <w:p w14:paraId="06A36325" w14:textId="77777777" w:rsidR="00ED65C2" w:rsidRPr="009E4264" w:rsidRDefault="00ED65C2" w:rsidP="0015435E">
            <w:pPr>
              <w:pStyle w:val="Tablecontent"/>
              <w:rPr>
                <w:rFonts w:cstheme="minorHAnsi"/>
              </w:rPr>
            </w:pPr>
            <w:r w:rsidRPr="006135D1">
              <w:rPr>
                <w:rFonts w:cstheme="minorHAnsi"/>
              </w:rPr>
              <w:t>National Education Action Plan 2016–2020 Implementation Framework</w:t>
            </w:r>
          </w:p>
        </w:tc>
        <w:tc>
          <w:tcPr>
            <w:tcW w:w="1797" w:type="dxa"/>
          </w:tcPr>
          <w:p w14:paraId="451F26F8" w14:textId="77777777" w:rsidR="00ED65C2" w:rsidRPr="009E4264" w:rsidRDefault="00ED65C2" w:rsidP="0015435E">
            <w:pPr>
              <w:pStyle w:val="Tablecontent"/>
              <w:rPr>
                <w:rFonts w:cstheme="minorHAnsi"/>
              </w:rPr>
            </w:pPr>
            <w:r w:rsidRPr="009E4264">
              <w:rPr>
                <w:rFonts w:cstheme="minorHAnsi"/>
              </w:rPr>
              <w:t>MEHRD</w:t>
            </w:r>
          </w:p>
        </w:tc>
      </w:tr>
      <w:tr w:rsidR="00ED65C2" w:rsidRPr="009E4264" w14:paraId="652C3F62" w14:textId="77777777" w:rsidTr="00ED65C2">
        <w:tc>
          <w:tcPr>
            <w:tcW w:w="7275" w:type="dxa"/>
          </w:tcPr>
          <w:p w14:paraId="0799DC3D" w14:textId="77777777" w:rsidR="00ED65C2" w:rsidRPr="009E4264" w:rsidRDefault="00ED65C2" w:rsidP="0015435E">
            <w:pPr>
              <w:pStyle w:val="Tablecontent"/>
              <w:rPr>
                <w:rFonts w:cstheme="minorHAnsi"/>
              </w:rPr>
            </w:pPr>
            <w:r w:rsidRPr="009E4264">
              <w:rPr>
                <w:rFonts w:cstheme="minorHAnsi"/>
              </w:rPr>
              <w:t>Performance Assessment Report 2015 &amp; 2016, 2017</w:t>
            </w:r>
            <w:r>
              <w:rPr>
                <w:rFonts w:cstheme="minorHAnsi"/>
              </w:rPr>
              <w:t>, 2018, 2019 (draft)</w:t>
            </w:r>
          </w:p>
        </w:tc>
        <w:tc>
          <w:tcPr>
            <w:tcW w:w="1797" w:type="dxa"/>
          </w:tcPr>
          <w:p w14:paraId="34A2D0AD" w14:textId="77777777" w:rsidR="00ED65C2" w:rsidRPr="009E4264" w:rsidRDefault="00ED65C2" w:rsidP="0015435E">
            <w:pPr>
              <w:pStyle w:val="Tablecontent"/>
              <w:rPr>
                <w:rFonts w:cstheme="minorHAnsi"/>
              </w:rPr>
            </w:pPr>
            <w:r w:rsidRPr="009E4264">
              <w:rPr>
                <w:rFonts w:cstheme="minorHAnsi"/>
              </w:rPr>
              <w:t>MEHRD</w:t>
            </w:r>
          </w:p>
        </w:tc>
      </w:tr>
      <w:tr w:rsidR="00ED65C2" w:rsidRPr="009E4264" w14:paraId="251EFE21" w14:textId="77777777" w:rsidTr="00ED65C2">
        <w:tc>
          <w:tcPr>
            <w:tcW w:w="7275" w:type="dxa"/>
          </w:tcPr>
          <w:p w14:paraId="6D8877D4" w14:textId="77777777" w:rsidR="00ED65C2" w:rsidRPr="00A47FC7" w:rsidRDefault="00ED65C2" w:rsidP="0015435E">
            <w:pPr>
              <w:pStyle w:val="Tablecontent"/>
              <w:rPr>
                <w:rFonts w:cstheme="minorHAnsi"/>
                <w:color w:val="000000" w:themeColor="text1"/>
              </w:rPr>
            </w:pPr>
            <w:r w:rsidRPr="00A47FC7">
              <w:rPr>
                <w:rFonts w:cstheme="minorHAnsi"/>
                <w:color w:val="000000" w:themeColor="text1"/>
              </w:rPr>
              <w:t>S</w:t>
            </w:r>
            <w:r>
              <w:rPr>
                <w:rFonts w:cstheme="minorHAnsi"/>
                <w:color w:val="000000" w:themeColor="text1"/>
              </w:rPr>
              <w:t>olomon Islands Government</w:t>
            </w:r>
            <w:r w:rsidRPr="00A47FC7">
              <w:rPr>
                <w:rFonts w:cstheme="minorHAnsi"/>
                <w:color w:val="000000" w:themeColor="text1"/>
              </w:rPr>
              <w:t xml:space="preserve"> Recurrent Estimates 201</w:t>
            </w:r>
            <w:r>
              <w:rPr>
                <w:rFonts w:cstheme="minorHAnsi"/>
                <w:color w:val="000000" w:themeColor="text1"/>
              </w:rPr>
              <w:t>9, 2020</w:t>
            </w:r>
          </w:p>
        </w:tc>
        <w:tc>
          <w:tcPr>
            <w:tcW w:w="1797" w:type="dxa"/>
          </w:tcPr>
          <w:p w14:paraId="2769E911" w14:textId="77777777" w:rsidR="00ED65C2" w:rsidRPr="009E4264" w:rsidRDefault="00ED65C2" w:rsidP="0015435E">
            <w:pPr>
              <w:pStyle w:val="Tablecontent"/>
              <w:rPr>
                <w:rFonts w:cstheme="minorHAnsi"/>
              </w:rPr>
            </w:pPr>
            <w:r>
              <w:rPr>
                <w:rFonts w:cstheme="minorHAnsi"/>
              </w:rPr>
              <w:t>MOFT</w:t>
            </w:r>
          </w:p>
        </w:tc>
      </w:tr>
      <w:tr w:rsidR="00ED65C2" w:rsidRPr="009E4264" w14:paraId="5D69AFCD" w14:textId="77777777" w:rsidTr="00ED65C2">
        <w:tc>
          <w:tcPr>
            <w:tcW w:w="7275" w:type="dxa"/>
          </w:tcPr>
          <w:p w14:paraId="3108005F" w14:textId="77777777" w:rsidR="00ED65C2" w:rsidRPr="00A47FC7" w:rsidRDefault="00ED65C2" w:rsidP="0015435E">
            <w:pPr>
              <w:pStyle w:val="Tablecontent"/>
              <w:rPr>
                <w:rFonts w:cstheme="minorHAnsi"/>
                <w:color w:val="000000" w:themeColor="text1"/>
              </w:rPr>
            </w:pPr>
            <w:r w:rsidRPr="00A47FC7">
              <w:rPr>
                <w:rFonts w:cstheme="minorHAnsi"/>
                <w:color w:val="000000" w:themeColor="text1"/>
              </w:rPr>
              <w:t>Solomon Islands National Disability Inclusive Education Policy 2016–2020 (Draft)</w:t>
            </w:r>
          </w:p>
        </w:tc>
        <w:tc>
          <w:tcPr>
            <w:tcW w:w="1797" w:type="dxa"/>
          </w:tcPr>
          <w:p w14:paraId="1B0301D3" w14:textId="77777777" w:rsidR="00ED65C2" w:rsidRPr="009E4264" w:rsidRDefault="00ED65C2" w:rsidP="0015435E">
            <w:pPr>
              <w:pStyle w:val="Tablecontent"/>
              <w:rPr>
                <w:rFonts w:cstheme="minorHAnsi"/>
              </w:rPr>
            </w:pPr>
            <w:r w:rsidRPr="009E4264">
              <w:rPr>
                <w:rFonts w:cstheme="minorHAnsi"/>
              </w:rPr>
              <w:t>MEHRD</w:t>
            </w:r>
          </w:p>
        </w:tc>
      </w:tr>
      <w:tr w:rsidR="00ED65C2" w:rsidRPr="009E4264" w14:paraId="3BF14112" w14:textId="77777777" w:rsidTr="00ED65C2">
        <w:tc>
          <w:tcPr>
            <w:tcW w:w="7275" w:type="dxa"/>
          </w:tcPr>
          <w:p w14:paraId="3A8A357F" w14:textId="77777777" w:rsidR="00ED65C2" w:rsidRPr="00A47FC7" w:rsidRDefault="00ED65C2" w:rsidP="0015435E">
            <w:pPr>
              <w:pStyle w:val="Tablecontent"/>
              <w:rPr>
                <w:rFonts w:cstheme="minorHAnsi"/>
                <w:color w:val="000000" w:themeColor="text1"/>
              </w:rPr>
            </w:pPr>
            <w:r>
              <w:rPr>
                <w:rFonts w:cstheme="minorHAnsi"/>
                <w:color w:val="000000" w:themeColor="text1"/>
              </w:rPr>
              <w:t xml:space="preserve">Solomon Islands National Inclusive Education Implementation Framework </w:t>
            </w:r>
          </w:p>
        </w:tc>
        <w:tc>
          <w:tcPr>
            <w:tcW w:w="1797" w:type="dxa"/>
          </w:tcPr>
          <w:p w14:paraId="633323CC" w14:textId="77777777" w:rsidR="00ED65C2" w:rsidRPr="009E4264" w:rsidRDefault="00ED65C2" w:rsidP="0015435E">
            <w:pPr>
              <w:pStyle w:val="Tablecontent"/>
              <w:rPr>
                <w:rFonts w:cstheme="minorHAnsi"/>
              </w:rPr>
            </w:pPr>
            <w:r>
              <w:rPr>
                <w:rFonts w:cstheme="minorHAnsi"/>
              </w:rPr>
              <w:t>MEHRD</w:t>
            </w:r>
          </w:p>
        </w:tc>
      </w:tr>
      <w:tr w:rsidR="00ED65C2" w:rsidRPr="009E4264" w14:paraId="454FB3DC" w14:textId="77777777" w:rsidTr="00ED65C2">
        <w:tc>
          <w:tcPr>
            <w:tcW w:w="7275" w:type="dxa"/>
          </w:tcPr>
          <w:p w14:paraId="315A21F6" w14:textId="77777777" w:rsidR="00ED65C2" w:rsidRPr="00A47FC7" w:rsidRDefault="00ED65C2" w:rsidP="0015435E">
            <w:pPr>
              <w:pStyle w:val="Tablecontent"/>
              <w:rPr>
                <w:rFonts w:cstheme="minorHAnsi"/>
                <w:color w:val="000000" w:themeColor="text1"/>
              </w:rPr>
            </w:pPr>
            <w:r w:rsidRPr="00A47FC7">
              <w:rPr>
                <w:rFonts w:cstheme="minorHAnsi"/>
                <w:color w:val="000000" w:themeColor="text1"/>
              </w:rPr>
              <w:t>Solomon Islands Gender Equality in Education Policy 2018-2022 (Draft)</w:t>
            </w:r>
          </w:p>
        </w:tc>
        <w:tc>
          <w:tcPr>
            <w:tcW w:w="1797" w:type="dxa"/>
          </w:tcPr>
          <w:p w14:paraId="69D5ACB6" w14:textId="77777777" w:rsidR="00ED65C2" w:rsidRPr="009E4264" w:rsidRDefault="00ED65C2" w:rsidP="0015435E">
            <w:pPr>
              <w:pStyle w:val="Tablecontent"/>
              <w:rPr>
                <w:rFonts w:cstheme="minorHAnsi"/>
              </w:rPr>
            </w:pPr>
            <w:r w:rsidRPr="009E4264">
              <w:rPr>
                <w:rFonts w:cstheme="minorHAnsi"/>
              </w:rPr>
              <w:t>MEHRD</w:t>
            </w:r>
          </w:p>
        </w:tc>
      </w:tr>
      <w:tr w:rsidR="00ED65C2" w:rsidRPr="009E4264" w14:paraId="0599A012" w14:textId="77777777" w:rsidTr="00ED65C2">
        <w:tc>
          <w:tcPr>
            <w:tcW w:w="7275" w:type="dxa"/>
          </w:tcPr>
          <w:p w14:paraId="1DB3CE6C" w14:textId="77777777" w:rsidR="00ED65C2" w:rsidRPr="00A47FC7" w:rsidRDefault="00ED65C2" w:rsidP="0015435E">
            <w:pPr>
              <w:pStyle w:val="Tablecontent"/>
              <w:rPr>
                <w:rFonts w:cstheme="minorHAnsi"/>
                <w:color w:val="000000" w:themeColor="text1"/>
              </w:rPr>
            </w:pPr>
            <w:r w:rsidRPr="00113A00">
              <w:t>Solomon Islands Joint Education Sector Support Program Design 2019-2023</w:t>
            </w:r>
          </w:p>
        </w:tc>
        <w:tc>
          <w:tcPr>
            <w:tcW w:w="1797" w:type="dxa"/>
          </w:tcPr>
          <w:p w14:paraId="1602D45D" w14:textId="77777777" w:rsidR="00ED65C2" w:rsidRPr="009E4264" w:rsidRDefault="00ED65C2" w:rsidP="0015435E">
            <w:pPr>
              <w:pStyle w:val="Tablecontent"/>
              <w:rPr>
                <w:rFonts w:cstheme="minorHAnsi"/>
              </w:rPr>
            </w:pPr>
            <w:r>
              <w:t>MFAT/DFAT</w:t>
            </w:r>
          </w:p>
        </w:tc>
      </w:tr>
      <w:tr w:rsidR="00ED65C2" w:rsidRPr="009E4264" w14:paraId="4074C485" w14:textId="77777777" w:rsidTr="00ED65C2">
        <w:tc>
          <w:tcPr>
            <w:tcW w:w="7275" w:type="dxa"/>
          </w:tcPr>
          <w:p w14:paraId="719E936D" w14:textId="77777777" w:rsidR="00ED65C2" w:rsidRPr="00A47FC7" w:rsidRDefault="00ED65C2" w:rsidP="0015435E">
            <w:pPr>
              <w:pStyle w:val="Tablecontent"/>
              <w:rPr>
                <w:rFonts w:cstheme="minorHAnsi"/>
                <w:color w:val="000000" w:themeColor="text1"/>
              </w:rPr>
            </w:pPr>
            <w:r w:rsidRPr="00A47FC7">
              <w:rPr>
                <w:rFonts w:cstheme="minorHAnsi"/>
                <w:color w:val="000000" w:themeColor="text1"/>
              </w:rPr>
              <w:t>Solomon Islands SISTA Report 201</w:t>
            </w:r>
            <w:r>
              <w:rPr>
                <w:rFonts w:cstheme="minorHAnsi"/>
                <w:color w:val="000000" w:themeColor="text1"/>
              </w:rPr>
              <w:t>8</w:t>
            </w:r>
          </w:p>
        </w:tc>
        <w:tc>
          <w:tcPr>
            <w:tcW w:w="1797" w:type="dxa"/>
          </w:tcPr>
          <w:p w14:paraId="6B8AA1F9" w14:textId="77777777" w:rsidR="00ED65C2" w:rsidRDefault="00ED65C2" w:rsidP="0015435E">
            <w:pPr>
              <w:pStyle w:val="Tablecontent"/>
              <w:rPr>
                <w:rFonts w:cstheme="minorHAnsi"/>
              </w:rPr>
            </w:pPr>
            <w:r>
              <w:rPr>
                <w:rFonts w:cstheme="minorHAnsi"/>
              </w:rPr>
              <w:t>MEHRD</w:t>
            </w:r>
          </w:p>
        </w:tc>
      </w:tr>
      <w:tr w:rsidR="00ED65C2" w:rsidRPr="009E4264" w14:paraId="2354790E" w14:textId="77777777" w:rsidTr="00ED65C2">
        <w:tc>
          <w:tcPr>
            <w:tcW w:w="7275" w:type="dxa"/>
          </w:tcPr>
          <w:p w14:paraId="5AA3EDEB" w14:textId="77777777" w:rsidR="00ED65C2" w:rsidRPr="00A47FC7" w:rsidRDefault="00ED65C2" w:rsidP="0015435E">
            <w:pPr>
              <w:pStyle w:val="Tablecontent"/>
              <w:rPr>
                <w:rFonts w:cstheme="minorHAnsi"/>
                <w:color w:val="000000" w:themeColor="text1"/>
              </w:rPr>
            </w:pPr>
            <w:r>
              <w:rPr>
                <w:rFonts w:cstheme="minorHAnsi"/>
                <w:color w:val="000000" w:themeColor="text1"/>
              </w:rPr>
              <w:t>Solomon Islands PILNA Report 2019</w:t>
            </w:r>
          </w:p>
        </w:tc>
        <w:tc>
          <w:tcPr>
            <w:tcW w:w="1797" w:type="dxa"/>
          </w:tcPr>
          <w:p w14:paraId="5DEB34C6" w14:textId="77777777" w:rsidR="00ED65C2" w:rsidRDefault="00ED65C2" w:rsidP="0015435E">
            <w:pPr>
              <w:pStyle w:val="Tablecontent"/>
              <w:rPr>
                <w:rFonts w:cstheme="minorHAnsi"/>
              </w:rPr>
            </w:pPr>
            <w:r>
              <w:rPr>
                <w:rFonts w:cstheme="minorHAnsi"/>
              </w:rPr>
              <w:t>MEHRD</w:t>
            </w:r>
          </w:p>
        </w:tc>
      </w:tr>
      <w:tr w:rsidR="00ED65C2" w:rsidRPr="009E4264" w14:paraId="03A41DE4" w14:textId="77777777" w:rsidTr="00ED65C2">
        <w:tc>
          <w:tcPr>
            <w:tcW w:w="7275" w:type="dxa"/>
          </w:tcPr>
          <w:p w14:paraId="7AB4E1DA" w14:textId="77777777" w:rsidR="00ED65C2" w:rsidRDefault="00ED65C2" w:rsidP="0015435E">
            <w:pPr>
              <w:pStyle w:val="Tablecontent"/>
            </w:pPr>
            <w:r>
              <w:t xml:space="preserve">Solomon Islands Draft Education Bill Key Elements Report (June 2020) </w:t>
            </w:r>
          </w:p>
        </w:tc>
        <w:tc>
          <w:tcPr>
            <w:tcW w:w="1797" w:type="dxa"/>
          </w:tcPr>
          <w:p w14:paraId="08496B40" w14:textId="77777777" w:rsidR="00ED65C2" w:rsidRDefault="00ED65C2" w:rsidP="0015435E">
            <w:pPr>
              <w:pStyle w:val="Tablecontent"/>
              <w:rPr>
                <w:rFonts w:cstheme="minorHAnsi"/>
              </w:rPr>
            </w:pPr>
            <w:r>
              <w:rPr>
                <w:rFonts w:cstheme="minorHAnsi"/>
              </w:rPr>
              <w:t>MEHRD</w:t>
            </w:r>
          </w:p>
        </w:tc>
      </w:tr>
      <w:tr w:rsidR="00ED65C2" w:rsidRPr="009E4264" w14:paraId="3C2FDC32" w14:textId="77777777" w:rsidTr="00ED65C2">
        <w:tc>
          <w:tcPr>
            <w:tcW w:w="7275" w:type="dxa"/>
          </w:tcPr>
          <w:p w14:paraId="4A1B6AAD" w14:textId="77777777" w:rsidR="00ED65C2" w:rsidRPr="009E4264" w:rsidRDefault="00ED65C2" w:rsidP="0015435E">
            <w:pPr>
              <w:pStyle w:val="Tablecontent"/>
              <w:rPr>
                <w:rFonts w:cstheme="minorHAnsi"/>
                <w:highlight w:val="yellow"/>
              </w:rPr>
            </w:pPr>
            <w:r w:rsidRPr="006135D1">
              <w:rPr>
                <w:rFonts w:cstheme="minorHAnsi"/>
              </w:rPr>
              <w:t>Solomon Islands Education Sector Statement of Partnership Principles between Solomon Islands Government and Development Partners 2016–2020</w:t>
            </w:r>
          </w:p>
        </w:tc>
        <w:tc>
          <w:tcPr>
            <w:tcW w:w="1797" w:type="dxa"/>
          </w:tcPr>
          <w:p w14:paraId="18D84731" w14:textId="77777777" w:rsidR="00ED65C2" w:rsidRPr="009E4264" w:rsidRDefault="00ED65C2" w:rsidP="0015435E">
            <w:pPr>
              <w:pStyle w:val="Tablecontent"/>
              <w:rPr>
                <w:rFonts w:cstheme="minorHAnsi"/>
              </w:rPr>
            </w:pPr>
            <w:r>
              <w:rPr>
                <w:rFonts w:cstheme="minorHAnsi"/>
              </w:rPr>
              <w:t>AHC</w:t>
            </w:r>
          </w:p>
        </w:tc>
      </w:tr>
      <w:tr w:rsidR="00ED65C2" w:rsidRPr="009E4264" w14:paraId="5795A301" w14:textId="77777777" w:rsidTr="00ED65C2">
        <w:tc>
          <w:tcPr>
            <w:tcW w:w="7275" w:type="dxa"/>
          </w:tcPr>
          <w:p w14:paraId="131F4940" w14:textId="77777777" w:rsidR="00ED65C2" w:rsidRPr="009E4264" w:rsidRDefault="00ED65C2" w:rsidP="0015435E">
            <w:pPr>
              <w:pStyle w:val="Tablecontent"/>
              <w:rPr>
                <w:rFonts w:cstheme="minorHAnsi"/>
              </w:rPr>
            </w:pPr>
            <w:r w:rsidRPr="009E4264">
              <w:rPr>
                <w:rFonts w:cstheme="minorHAnsi"/>
              </w:rPr>
              <w:t xml:space="preserve">Solomon Islands Education Sector Support Program </w:t>
            </w:r>
            <w:r>
              <w:rPr>
                <w:rFonts w:cstheme="minorHAnsi"/>
              </w:rPr>
              <w:br/>
            </w:r>
            <w:r w:rsidRPr="009E4264">
              <w:rPr>
                <w:rFonts w:cstheme="minorHAnsi"/>
              </w:rPr>
              <w:t>Independent Performance Assessment 201</w:t>
            </w:r>
            <w:r>
              <w:rPr>
                <w:rFonts w:cstheme="minorHAnsi"/>
              </w:rPr>
              <w:t>6, 2017, 2018</w:t>
            </w:r>
          </w:p>
        </w:tc>
        <w:tc>
          <w:tcPr>
            <w:tcW w:w="1797" w:type="dxa"/>
          </w:tcPr>
          <w:p w14:paraId="3249E2FC" w14:textId="77777777" w:rsidR="00ED65C2" w:rsidRPr="009E4264" w:rsidRDefault="00ED65C2" w:rsidP="0015435E">
            <w:pPr>
              <w:pStyle w:val="Tablecontent"/>
              <w:rPr>
                <w:rFonts w:cstheme="minorHAnsi"/>
              </w:rPr>
            </w:pPr>
            <w:r>
              <w:rPr>
                <w:rFonts w:cstheme="minorHAnsi"/>
              </w:rPr>
              <w:t>AHC</w:t>
            </w:r>
          </w:p>
        </w:tc>
      </w:tr>
      <w:tr w:rsidR="00ED65C2" w:rsidRPr="009E4264" w14:paraId="4CE2F161" w14:textId="77777777" w:rsidTr="00ED65C2">
        <w:tc>
          <w:tcPr>
            <w:tcW w:w="7275" w:type="dxa"/>
          </w:tcPr>
          <w:p w14:paraId="229B45D1" w14:textId="77777777" w:rsidR="00ED65C2" w:rsidRPr="009E4264" w:rsidRDefault="00ED65C2" w:rsidP="0015435E">
            <w:pPr>
              <w:pStyle w:val="Tablecontent"/>
              <w:rPr>
                <w:rFonts w:cstheme="minorHAnsi"/>
              </w:rPr>
            </w:pPr>
            <w:r>
              <w:rPr>
                <w:rFonts w:cstheme="minorHAnsi"/>
              </w:rPr>
              <w:t>Solomon Islands Education Sector Statement of Partnership Principles 2016-2020</w:t>
            </w:r>
          </w:p>
        </w:tc>
        <w:tc>
          <w:tcPr>
            <w:tcW w:w="1797" w:type="dxa"/>
          </w:tcPr>
          <w:p w14:paraId="39D21E58" w14:textId="77777777" w:rsidR="00ED65C2" w:rsidRPr="009E4264" w:rsidRDefault="00ED65C2" w:rsidP="0015435E">
            <w:pPr>
              <w:pStyle w:val="Tablecontent"/>
              <w:rPr>
                <w:rFonts w:cstheme="minorHAnsi"/>
              </w:rPr>
            </w:pPr>
            <w:r>
              <w:rPr>
                <w:rFonts w:cstheme="minorHAnsi"/>
              </w:rPr>
              <w:t>AHC</w:t>
            </w:r>
          </w:p>
        </w:tc>
      </w:tr>
      <w:tr w:rsidR="00ED65C2" w:rsidRPr="009E4264" w14:paraId="42D536E7" w14:textId="77777777" w:rsidTr="00ED65C2">
        <w:tc>
          <w:tcPr>
            <w:tcW w:w="7275" w:type="dxa"/>
          </w:tcPr>
          <w:p w14:paraId="39530728" w14:textId="77777777" w:rsidR="00ED65C2" w:rsidRPr="009E4264" w:rsidRDefault="00ED65C2" w:rsidP="0015435E">
            <w:pPr>
              <w:pStyle w:val="Tablecontent"/>
              <w:rPr>
                <w:rFonts w:cstheme="minorHAnsi"/>
              </w:rPr>
            </w:pPr>
            <w:r>
              <w:rPr>
                <w:rFonts w:cstheme="minorHAnsi"/>
              </w:rPr>
              <w:t>Whole School Inspection Review and Recommendations (May 2019)</w:t>
            </w:r>
          </w:p>
        </w:tc>
        <w:tc>
          <w:tcPr>
            <w:tcW w:w="1797" w:type="dxa"/>
          </w:tcPr>
          <w:p w14:paraId="4146591B" w14:textId="77777777" w:rsidR="00ED65C2" w:rsidRDefault="00ED65C2" w:rsidP="0015435E">
            <w:pPr>
              <w:pStyle w:val="Tablecontent"/>
              <w:rPr>
                <w:rFonts w:cstheme="minorHAnsi"/>
              </w:rPr>
            </w:pPr>
            <w:r>
              <w:rPr>
                <w:rFonts w:cstheme="minorHAnsi"/>
              </w:rPr>
              <w:t>MEHRD</w:t>
            </w:r>
          </w:p>
        </w:tc>
      </w:tr>
    </w:tbl>
    <w:p w14:paraId="2E4854C5" w14:textId="10EDB1CC" w:rsidR="00253542" w:rsidRDefault="00253542" w:rsidP="0015435E">
      <w:pPr>
        <w:spacing w:line="240" w:lineRule="auto"/>
      </w:pPr>
    </w:p>
    <w:p w14:paraId="09CA9FED" w14:textId="77777777" w:rsidR="00474014" w:rsidRDefault="00474014" w:rsidP="0015435E">
      <w:pPr>
        <w:spacing w:line="240" w:lineRule="auto"/>
      </w:pPr>
    </w:p>
    <w:p w14:paraId="256381ED" w14:textId="77777777" w:rsidR="0036075A" w:rsidRDefault="0036075A" w:rsidP="0015435E">
      <w:pPr>
        <w:pStyle w:val="Heading2"/>
        <w:spacing w:line="240" w:lineRule="auto"/>
        <w:rPr>
          <w:rFonts w:asciiTheme="minorHAnsi" w:hAnsiTheme="minorHAnsi" w:cstheme="minorHAnsi"/>
          <w:sz w:val="24"/>
          <w:szCs w:val="24"/>
        </w:rPr>
      </w:pPr>
    </w:p>
    <w:p w14:paraId="28A8C9A6" w14:textId="0D4EDC3B" w:rsidR="00253542" w:rsidRPr="00ED65C2" w:rsidRDefault="00D45AED" w:rsidP="0015435E">
      <w:pPr>
        <w:pStyle w:val="Heading2"/>
        <w:spacing w:line="240" w:lineRule="auto"/>
        <w:rPr>
          <w:rFonts w:asciiTheme="minorHAnsi" w:hAnsiTheme="minorHAnsi" w:cstheme="minorHAnsi"/>
          <w:sz w:val="24"/>
          <w:szCs w:val="24"/>
        </w:rPr>
      </w:pPr>
      <w:bookmarkStart w:id="61" w:name="_Toc49858100"/>
      <w:r>
        <w:rPr>
          <w:rFonts w:asciiTheme="minorHAnsi" w:hAnsiTheme="minorHAnsi" w:cstheme="minorHAnsi"/>
          <w:sz w:val="24"/>
          <w:szCs w:val="24"/>
        </w:rPr>
        <w:t xml:space="preserve">Annex C: </w:t>
      </w:r>
      <w:r w:rsidR="00253542" w:rsidRPr="00ED65C2">
        <w:rPr>
          <w:rFonts w:asciiTheme="minorHAnsi" w:hAnsiTheme="minorHAnsi" w:cstheme="minorHAnsi"/>
          <w:sz w:val="24"/>
          <w:szCs w:val="24"/>
        </w:rPr>
        <w:t>Assessor Terms of Reference</w:t>
      </w:r>
      <w:bookmarkEnd w:id="61"/>
    </w:p>
    <w:p w14:paraId="270AE2E3" w14:textId="77777777" w:rsidR="00D45AED" w:rsidRPr="00D45AED" w:rsidRDefault="00D45AED" w:rsidP="0015435E">
      <w:pPr>
        <w:spacing w:after="120" w:line="240" w:lineRule="auto"/>
        <w:jc w:val="center"/>
        <w:rPr>
          <w:rFonts w:asciiTheme="minorHAnsi" w:hAnsiTheme="minorHAnsi" w:cstheme="minorHAnsi"/>
          <w:b/>
          <w:bCs/>
          <w:color w:val="000000" w:themeColor="text1"/>
        </w:rPr>
      </w:pPr>
      <w:r w:rsidRPr="00D45AED">
        <w:rPr>
          <w:rFonts w:asciiTheme="minorHAnsi" w:hAnsiTheme="minorHAnsi" w:cstheme="minorHAnsi"/>
          <w:b/>
          <w:bCs/>
          <w:color w:val="000000" w:themeColor="text1"/>
        </w:rPr>
        <w:t>Solomon Islands Education Sector Program 2 Performance-Linked Aid Payment</w:t>
      </w:r>
    </w:p>
    <w:p w14:paraId="67AEEE09" w14:textId="77777777" w:rsidR="00D45AED" w:rsidRPr="00D45AED" w:rsidRDefault="00D45AED" w:rsidP="0015435E">
      <w:pPr>
        <w:spacing w:after="120" w:line="240" w:lineRule="auto"/>
        <w:jc w:val="center"/>
        <w:rPr>
          <w:rFonts w:asciiTheme="minorHAnsi" w:hAnsiTheme="minorHAnsi" w:cstheme="minorHAnsi"/>
          <w:b/>
          <w:bCs/>
          <w:color w:val="000000" w:themeColor="text1"/>
        </w:rPr>
      </w:pPr>
      <w:r w:rsidRPr="00D45AED">
        <w:rPr>
          <w:rFonts w:asciiTheme="minorHAnsi" w:hAnsiTheme="minorHAnsi" w:cstheme="minorHAnsi"/>
          <w:b/>
          <w:bCs/>
          <w:color w:val="000000" w:themeColor="text1"/>
        </w:rPr>
        <w:t>Assessors’ Terms of Reference 2019 Assessment</w:t>
      </w:r>
    </w:p>
    <w:p w14:paraId="3CEECBBA" w14:textId="722B89E9" w:rsidR="00D45AED" w:rsidRPr="00D45AED" w:rsidRDefault="00D45AED" w:rsidP="0015435E">
      <w:pPr>
        <w:spacing w:after="120" w:line="240" w:lineRule="auto"/>
        <w:jc w:val="both"/>
        <w:rPr>
          <w:rFonts w:asciiTheme="minorHAnsi" w:hAnsiTheme="minorHAnsi" w:cstheme="minorHAnsi"/>
          <w:color w:val="000000" w:themeColor="text1"/>
        </w:rPr>
      </w:pPr>
      <w:r w:rsidRPr="00D45AED">
        <w:rPr>
          <w:rFonts w:asciiTheme="minorHAnsi" w:hAnsiTheme="minorHAnsi" w:cstheme="minorHAnsi"/>
          <w:color w:val="000000" w:themeColor="text1"/>
        </w:rPr>
        <w:t xml:space="preserve">Australia and the Solomon Islands Government agreed to set annual targets in an Education Performance Matrix attached to the Direct Funding Agreement (DFA) that links performance-linked aid payments to achievement of the agreed targets. An incentive payment is provided yearly to the Ministry of Education and Human Resource Development’s (MEHRD) on the achievement of annually agreed targets set out in the Education Performance Matrix. The aim of these payments is to </w:t>
      </w:r>
      <w:r w:rsidR="004A4B93" w:rsidRPr="00D45AED">
        <w:rPr>
          <w:rFonts w:asciiTheme="minorHAnsi" w:hAnsiTheme="minorHAnsi" w:cstheme="minorHAnsi"/>
          <w:color w:val="000000" w:themeColor="text1"/>
        </w:rPr>
        <w:t>incentivize</w:t>
      </w:r>
      <w:r w:rsidRPr="00D45AED">
        <w:rPr>
          <w:rFonts w:asciiTheme="minorHAnsi" w:hAnsiTheme="minorHAnsi" w:cstheme="minorHAnsi"/>
          <w:color w:val="000000" w:themeColor="text1"/>
        </w:rPr>
        <w:t xml:space="preserve"> performance of the education sector.</w:t>
      </w:r>
    </w:p>
    <w:p w14:paraId="300A6D19" w14:textId="77777777" w:rsidR="00D45AED" w:rsidRPr="00D45AED" w:rsidRDefault="00D45AED" w:rsidP="0015435E">
      <w:pPr>
        <w:spacing w:after="120" w:line="240" w:lineRule="auto"/>
        <w:jc w:val="both"/>
        <w:rPr>
          <w:rFonts w:asciiTheme="minorHAnsi" w:hAnsiTheme="minorHAnsi" w:cstheme="minorHAnsi"/>
          <w:color w:val="000000" w:themeColor="text1"/>
        </w:rPr>
      </w:pPr>
      <w:r w:rsidRPr="00D45AED">
        <w:rPr>
          <w:rFonts w:asciiTheme="minorHAnsi" w:hAnsiTheme="minorHAnsi" w:cstheme="minorHAnsi"/>
          <w:color w:val="000000" w:themeColor="text1"/>
        </w:rPr>
        <w:t xml:space="preserve">In previous years, an Independent Assessor conducted a review of the performance against the agreed Education Performance Matrix and made recommendations on the percentage for the performance-linked aid payment and recommend targets. This year the assessment process is being undertaken by the MEHRD M&amp;E Advisor in collaboration with the SSU M&amp;E Team. </w:t>
      </w:r>
    </w:p>
    <w:p w14:paraId="1B081959" w14:textId="38475FC9" w:rsidR="00D45AED" w:rsidRPr="00D45AED" w:rsidRDefault="00D45AED" w:rsidP="0015435E">
      <w:pPr>
        <w:spacing w:after="120" w:line="240" w:lineRule="auto"/>
        <w:jc w:val="both"/>
        <w:rPr>
          <w:rFonts w:asciiTheme="minorHAnsi" w:hAnsiTheme="minorHAnsi" w:cstheme="minorHAnsi"/>
          <w:color w:val="000000" w:themeColor="text1"/>
        </w:rPr>
      </w:pPr>
      <w:r w:rsidRPr="00D45AED">
        <w:rPr>
          <w:rFonts w:asciiTheme="minorHAnsi" w:hAnsiTheme="minorHAnsi" w:cstheme="minorHAnsi"/>
          <w:color w:val="000000" w:themeColor="text1"/>
        </w:rPr>
        <w:t xml:space="preserve">The assessment process is usually held in June, prior to the annual MEHRD Mid-Year Review (MYR) meeting providing timely input into monitoring of progress and establishing priorities for the coming year. The MYR meeting was not held this year and the PLA assessment delayed due to the </w:t>
      </w:r>
      <w:r w:rsidR="00FC0016">
        <w:rPr>
          <w:rFonts w:asciiTheme="minorHAnsi" w:hAnsiTheme="minorHAnsi" w:cstheme="minorHAnsi"/>
          <w:color w:val="000000" w:themeColor="text1"/>
        </w:rPr>
        <w:t>COVID-19</w:t>
      </w:r>
      <w:r w:rsidRPr="00D45AED">
        <w:rPr>
          <w:rFonts w:asciiTheme="minorHAnsi" w:hAnsiTheme="minorHAnsi" w:cstheme="minorHAnsi"/>
          <w:color w:val="000000" w:themeColor="text1"/>
        </w:rPr>
        <w:t xml:space="preserve"> pandemic disruption. Nonetheless, the assessment results will still provide timely input into the NEAP 2021-2025 planning process and identifying priorities for 2021.</w:t>
      </w:r>
    </w:p>
    <w:p w14:paraId="20C126D4" w14:textId="77777777" w:rsidR="00D45AED" w:rsidRPr="00D45AED" w:rsidRDefault="00D45AED" w:rsidP="0015435E">
      <w:pPr>
        <w:spacing w:line="240" w:lineRule="auto"/>
        <w:rPr>
          <w:rFonts w:asciiTheme="minorHAnsi" w:hAnsiTheme="minorHAnsi" w:cstheme="minorHAnsi"/>
          <w:color w:val="000000" w:themeColor="text1"/>
        </w:rPr>
      </w:pPr>
      <w:r w:rsidRPr="00D45AED">
        <w:rPr>
          <w:rFonts w:asciiTheme="minorHAnsi" w:hAnsiTheme="minorHAnsi" w:cstheme="minorHAnsi"/>
          <w:color w:val="000000" w:themeColor="text1"/>
        </w:rPr>
        <w:t xml:space="preserve">The assessor will provide advice to all parties on the payment of the performance component of the education sector budget support, specifically:  </w:t>
      </w:r>
    </w:p>
    <w:p w14:paraId="2CFB4F09" w14:textId="77777777" w:rsidR="00D45AED" w:rsidRPr="00D45AED" w:rsidRDefault="00D45AED" w:rsidP="0015435E">
      <w:pPr>
        <w:numPr>
          <w:ilvl w:val="0"/>
          <w:numId w:val="18"/>
        </w:numPr>
        <w:spacing w:after="0" w:line="240" w:lineRule="auto"/>
        <w:contextualSpacing/>
        <w:rPr>
          <w:rFonts w:asciiTheme="minorHAnsi" w:hAnsiTheme="minorHAnsi" w:cstheme="minorHAnsi"/>
          <w:color w:val="000000" w:themeColor="text1"/>
        </w:rPr>
      </w:pPr>
      <w:r w:rsidRPr="00D45AED">
        <w:rPr>
          <w:rFonts w:asciiTheme="minorHAnsi" w:hAnsiTheme="minorHAnsi" w:cstheme="minorHAnsi"/>
          <w:color w:val="000000" w:themeColor="text1"/>
        </w:rPr>
        <w:t>Review SIG performance against the agreed milestones in the 2019 Education Performance Matrix.</w:t>
      </w:r>
    </w:p>
    <w:p w14:paraId="4013D2B4" w14:textId="77777777" w:rsidR="00D45AED" w:rsidRPr="00D45AED" w:rsidRDefault="00D45AED" w:rsidP="0015435E">
      <w:pPr>
        <w:numPr>
          <w:ilvl w:val="0"/>
          <w:numId w:val="18"/>
        </w:numPr>
        <w:spacing w:after="0" w:line="240" w:lineRule="auto"/>
        <w:contextualSpacing/>
        <w:rPr>
          <w:rFonts w:asciiTheme="minorHAnsi" w:hAnsiTheme="minorHAnsi" w:cstheme="minorHAnsi"/>
          <w:color w:val="000000" w:themeColor="text1"/>
        </w:rPr>
      </w:pPr>
      <w:r w:rsidRPr="00D45AED">
        <w:rPr>
          <w:rFonts w:asciiTheme="minorHAnsi" w:hAnsiTheme="minorHAnsi" w:cstheme="minorHAnsi"/>
          <w:color w:val="000000" w:themeColor="text1"/>
        </w:rPr>
        <w:t>Provide a recommendation of what performance-linked aid payment should be made based on the SIG’s performance.</w:t>
      </w:r>
    </w:p>
    <w:p w14:paraId="53871357" w14:textId="77777777" w:rsidR="00D45AED" w:rsidRPr="00D45AED" w:rsidRDefault="00D45AED" w:rsidP="0015435E">
      <w:pPr>
        <w:numPr>
          <w:ilvl w:val="0"/>
          <w:numId w:val="18"/>
        </w:numPr>
        <w:spacing w:after="0" w:line="240" w:lineRule="auto"/>
        <w:contextualSpacing/>
        <w:rPr>
          <w:rFonts w:asciiTheme="minorHAnsi" w:hAnsiTheme="minorHAnsi" w:cstheme="minorHAnsi"/>
          <w:color w:val="000000" w:themeColor="text1"/>
        </w:rPr>
      </w:pPr>
      <w:r w:rsidRPr="00D45AED">
        <w:rPr>
          <w:rFonts w:asciiTheme="minorHAnsi" w:hAnsiTheme="minorHAnsi" w:cstheme="minorHAnsi"/>
          <w:color w:val="000000" w:themeColor="text1"/>
        </w:rPr>
        <w:t>Collaborate with MEHRD SSU M&amp;E officers as much as possible in the process as a capacity building opportunity.</w:t>
      </w:r>
    </w:p>
    <w:p w14:paraId="7FFDC32C" w14:textId="192EA1FB" w:rsidR="00D45AED" w:rsidRPr="00D45AED" w:rsidRDefault="00D45AED" w:rsidP="0015435E">
      <w:pPr>
        <w:numPr>
          <w:ilvl w:val="0"/>
          <w:numId w:val="18"/>
        </w:numPr>
        <w:spacing w:line="240" w:lineRule="auto"/>
        <w:contextualSpacing/>
        <w:rPr>
          <w:rFonts w:asciiTheme="minorHAnsi" w:hAnsiTheme="minorHAnsi" w:cstheme="minorHAnsi"/>
          <w:color w:val="000000"/>
        </w:rPr>
      </w:pPr>
      <w:r w:rsidRPr="00D45AED">
        <w:rPr>
          <w:rFonts w:asciiTheme="minorHAnsi" w:hAnsiTheme="minorHAnsi" w:cstheme="minorHAnsi"/>
          <w:color w:val="000000" w:themeColor="text1"/>
        </w:rPr>
        <w:t xml:space="preserve">Provide advice on indicators for 2021 informed by: priority policy reforms; the Education Sector Program 2; and the SIG/MEHRD </w:t>
      </w:r>
      <w:r w:rsidR="00FC0016">
        <w:rPr>
          <w:rFonts w:asciiTheme="minorHAnsi" w:hAnsiTheme="minorHAnsi" w:cstheme="minorHAnsi"/>
          <w:color w:val="000000" w:themeColor="text1"/>
        </w:rPr>
        <w:t>COVID-19</w:t>
      </w:r>
      <w:r w:rsidRPr="00D45AED">
        <w:rPr>
          <w:rFonts w:asciiTheme="minorHAnsi" w:hAnsiTheme="minorHAnsi" w:cstheme="minorHAnsi"/>
          <w:color w:val="000000" w:themeColor="text1"/>
        </w:rPr>
        <w:t xml:space="preserve"> Pandemic Response.</w:t>
      </w:r>
    </w:p>
    <w:p w14:paraId="37E77746" w14:textId="03ADB1E8" w:rsidR="00C76A86" w:rsidRDefault="00C76A86" w:rsidP="0015435E">
      <w:pPr>
        <w:spacing w:line="240" w:lineRule="auto"/>
      </w:pPr>
    </w:p>
    <w:sectPr w:rsidR="00C76A86" w:rsidSect="00195CE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0CFF1" w14:textId="77777777" w:rsidR="00B67C94" w:rsidRDefault="00B67C94" w:rsidP="003973F8">
      <w:pPr>
        <w:spacing w:after="0" w:line="240" w:lineRule="auto"/>
      </w:pPr>
      <w:r>
        <w:separator/>
      </w:r>
    </w:p>
  </w:endnote>
  <w:endnote w:type="continuationSeparator" w:id="0">
    <w:p w14:paraId="40649FED" w14:textId="77777777" w:rsidR="00B67C94" w:rsidRDefault="00B67C94" w:rsidP="0039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altName w:val="Calibri"/>
    <w:charset w:val="00"/>
    <w:family w:val="auto"/>
    <w:pitch w:val="variable"/>
    <w:sig w:usb0="00000001"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5460186"/>
      <w:docPartObj>
        <w:docPartGallery w:val="Page Numbers (Bottom of Page)"/>
        <w:docPartUnique/>
      </w:docPartObj>
    </w:sdtPr>
    <w:sdtEndPr>
      <w:rPr>
        <w:noProof/>
      </w:rPr>
    </w:sdtEndPr>
    <w:sdtContent>
      <w:p w14:paraId="30727CF0" w14:textId="09F86F16" w:rsidR="00B67C94" w:rsidRDefault="00B67C94">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72C6CD05" w14:textId="77777777" w:rsidR="00B67C94" w:rsidRDefault="00B67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09D5F" w14:textId="77777777" w:rsidR="00B67C94" w:rsidRDefault="00B67C94" w:rsidP="003973F8">
      <w:pPr>
        <w:spacing w:after="0" w:line="240" w:lineRule="auto"/>
      </w:pPr>
      <w:r>
        <w:separator/>
      </w:r>
    </w:p>
  </w:footnote>
  <w:footnote w:type="continuationSeparator" w:id="0">
    <w:p w14:paraId="42BC8631" w14:textId="77777777" w:rsidR="00B67C94" w:rsidRDefault="00B67C94" w:rsidP="003973F8">
      <w:pPr>
        <w:spacing w:after="0" w:line="240" w:lineRule="auto"/>
      </w:pPr>
      <w:r>
        <w:continuationSeparator/>
      </w:r>
    </w:p>
  </w:footnote>
  <w:footnote w:id="1">
    <w:p w14:paraId="1AD21AF7" w14:textId="67DE1E9F" w:rsidR="00B67C94" w:rsidRPr="001A26AC" w:rsidRDefault="00B67C94">
      <w:pPr>
        <w:pStyle w:val="FootnoteText"/>
        <w:rPr>
          <w:lang w:val="en-AU"/>
        </w:rPr>
      </w:pPr>
      <w:r>
        <w:rPr>
          <w:rStyle w:val="FootnoteReference"/>
        </w:rPr>
        <w:footnoteRef/>
      </w:r>
      <w:r>
        <w:t xml:space="preserve"> </w:t>
      </w:r>
      <w:r>
        <w:rPr>
          <w:lang w:val="en-AU"/>
        </w:rPr>
        <w:t>Targets are referred to as Expected Result Statements in the 2019 EPM.</w:t>
      </w:r>
    </w:p>
  </w:footnote>
  <w:footnote w:id="2">
    <w:p w14:paraId="0BACDBE8" w14:textId="79432C73" w:rsidR="00B67C94" w:rsidRPr="00710694" w:rsidRDefault="00B67C94">
      <w:pPr>
        <w:pStyle w:val="FootnoteText"/>
        <w:rPr>
          <w:lang w:val="en-AU"/>
        </w:rPr>
      </w:pPr>
      <w:r>
        <w:rPr>
          <w:rStyle w:val="FootnoteReference"/>
        </w:rPr>
        <w:footnoteRef/>
      </w:r>
      <w:r>
        <w:t xml:space="preserve"> </w:t>
      </w:r>
      <w:r>
        <w:rPr>
          <w:lang w:val="en-AU"/>
        </w:rPr>
        <w:t>See Annex A: Assessment Compilation Table for full details.</w:t>
      </w:r>
    </w:p>
  </w:footnote>
  <w:footnote w:id="3">
    <w:p w14:paraId="77357F8D" w14:textId="261A42DF" w:rsidR="00B67C94" w:rsidRPr="00576351" w:rsidRDefault="00B67C94" w:rsidP="003973F8">
      <w:pPr>
        <w:pStyle w:val="FootnoteText"/>
        <w:rPr>
          <w:lang w:val="en-AU"/>
        </w:rPr>
      </w:pPr>
      <w:r>
        <w:rPr>
          <w:rStyle w:val="FootnoteReference"/>
        </w:rPr>
        <w:footnoteRef/>
      </w:r>
      <w:r>
        <w:t xml:space="preserve"> The </w:t>
      </w:r>
      <w:r>
        <w:rPr>
          <w:bCs/>
        </w:rPr>
        <w:t>school survey data collection process was revised in 2019 and included the collection of students’ names and birthdates for the first time.</w:t>
      </w:r>
      <w:r w:rsidRPr="00576351">
        <w:rPr>
          <w:bCs/>
        </w:rPr>
        <w:t xml:space="preserve"> </w:t>
      </w:r>
      <w:r>
        <w:rPr>
          <w:bCs/>
        </w:rPr>
        <w:t>2019 saw a decrease in gross enrolment overall numbers by 7,826 students (2019 Annual Report draft).</w:t>
      </w:r>
    </w:p>
  </w:footnote>
  <w:footnote w:id="4">
    <w:p w14:paraId="5A6B3570" w14:textId="77777777" w:rsidR="00B67C94" w:rsidRPr="00D75311" w:rsidRDefault="00B67C94" w:rsidP="003973F8">
      <w:pPr>
        <w:pStyle w:val="FootnoteText"/>
        <w:rPr>
          <w:lang w:val="en-AU"/>
        </w:rPr>
      </w:pPr>
      <w:r>
        <w:rPr>
          <w:rStyle w:val="FootnoteReference"/>
        </w:rPr>
        <w:footnoteRef/>
      </w:r>
      <w:r>
        <w:t xml:space="preserve"> MEHRD </w:t>
      </w:r>
      <w:r>
        <w:rPr>
          <w:lang w:val="en-AU"/>
        </w:rPr>
        <w:t xml:space="preserve">Performance Assessment Report (draft) 2019. </w:t>
      </w:r>
    </w:p>
  </w:footnote>
  <w:footnote w:id="5">
    <w:p w14:paraId="5DEDF535" w14:textId="77777777" w:rsidR="00B67C94" w:rsidRPr="008B5503" w:rsidRDefault="00B67C94" w:rsidP="003973F8">
      <w:pPr>
        <w:pStyle w:val="FootnoteText"/>
        <w:rPr>
          <w:lang w:val="en-AU"/>
        </w:rPr>
      </w:pPr>
      <w:r>
        <w:rPr>
          <w:rStyle w:val="FootnoteReference"/>
        </w:rPr>
        <w:footnoteRef/>
      </w:r>
      <w:r>
        <w:t xml:space="preserve"> </w:t>
      </w:r>
      <w:r>
        <w:rPr>
          <w:lang w:val="en-AU"/>
        </w:rPr>
        <w:t>Girls’ survival rate is generally slightly below boys across the school years (SIEMIS 2019).</w:t>
      </w:r>
    </w:p>
  </w:footnote>
  <w:footnote w:id="6">
    <w:p w14:paraId="61B4622A" w14:textId="0EFF0CA4" w:rsidR="00B67C94" w:rsidRPr="00877110" w:rsidRDefault="00B67C94">
      <w:pPr>
        <w:pStyle w:val="FootnoteText"/>
        <w:rPr>
          <w:lang w:val="en-AU"/>
        </w:rPr>
      </w:pPr>
      <w:r>
        <w:rPr>
          <w:rStyle w:val="FootnoteReference"/>
        </w:rPr>
        <w:footnoteRef/>
      </w:r>
      <w:r>
        <w:t xml:space="preserve"> </w:t>
      </w:r>
      <w:r>
        <w:rPr>
          <w:lang w:val="en-AU"/>
        </w:rPr>
        <w:t>The reliability of previous SIEMIS data is questionable but there appears to be a general long-term trend.</w:t>
      </w:r>
    </w:p>
  </w:footnote>
  <w:footnote w:id="7">
    <w:p w14:paraId="0CE4E533" w14:textId="4130BB8E" w:rsidR="00B67C94" w:rsidRPr="00D3190F" w:rsidRDefault="00B67C94" w:rsidP="003973F8">
      <w:pPr>
        <w:pStyle w:val="FootnoteText"/>
        <w:rPr>
          <w:lang w:val="en-AU"/>
        </w:rPr>
      </w:pPr>
      <w:r>
        <w:rPr>
          <w:rStyle w:val="FootnoteReference"/>
        </w:rPr>
        <w:footnoteRef/>
      </w:r>
      <w:r>
        <w:t xml:space="preserve"> </w:t>
      </w:r>
      <w:r>
        <w:rPr>
          <w:lang w:val="en-AU"/>
        </w:rPr>
        <w:t>SISEE Implementation Framework endorsed by MEHRD SMT in July 2019.</w:t>
      </w:r>
    </w:p>
  </w:footnote>
  <w:footnote w:id="8">
    <w:p w14:paraId="44397B11" w14:textId="77777777" w:rsidR="00B67C94" w:rsidRPr="008677DB" w:rsidRDefault="00B67C94" w:rsidP="003973F8">
      <w:pPr>
        <w:pStyle w:val="FootnoteText"/>
        <w:rPr>
          <w:lang w:val="en-AU"/>
        </w:rPr>
      </w:pPr>
      <w:r>
        <w:rPr>
          <w:rStyle w:val="FootnoteReference"/>
        </w:rPr>
        <w:footnoteRef/>
      </w:r>
      <w:r>
        <w:t xml:space="preserve"> </w:t>
      </w:r>
      <w:r>
        <w:rPr>
          <w:lang w:val="en-AU"/>
        </w:rPr>
        <w:t>Data to be validated using 2020 school census survey results.</w:t>
      </w:r>
    </w:p>
  </w:footnote>
  <w:footnote w:id="9">
    <w:p w14:paraId="3D5BA044" w14:textId="6450C1A4" w:rsidR="00B67C94" w:rsidRPr="00877110" w:rsidRDefault="00B67C94">
      <w:pPr>
        <w:pStyle w:val="FootnoteText"/>
        <w:rPr>
          <w:lang w:val="en-AU"/>
        </w:rPr>
      </w:pPr>
      <w:r>
        <w:rPr>
          <w:rStyle w:val="FootnoteReference"/>
        </w:rPr>
        <w:footnoteRef/>
      </w:r>
      <w:r>
        <w:t xml:space="preserve"> Only 6 remaining Provinces were identified.</w:t>
      </w:r>
    </w:p>
  </w:footnote>
  <w:footnote w:id="10">
    <w:p w14:paraId="0E9697A0" w14:textId="4FA4A69F" w:rsidR="00B67C94" w:rsidRPr="00A13059" w:rsidRDefault="00B67C94">
      <w:pPr>
        <w:pStyle w:val="FootnoteText"/>
        <w:rPr>
          <w:lang w:val="en-AU"/>
        </w:rPr>
      </w:pPr>
      <w:r>
        <w:rPr>
          <w:rStyle w:val="FootnoteReference"/>
        </w:rPr>
        <w:footnoteRef/>
      </w:r>
      <w:r>
        <w:t xml:space="preserve"> </w:t>
      </w:r>
      <w:r>
        <w:rPr>
          <w:lang w:val="en-AU"/>
        </w:rPr>
        <w:t>Finance data in this table were estimates provided by MEHRD Finance Division at the time of report preparation. No adjustment for annual inflation CBSI 2019 Annual Report states 1.8% inflation for 2019.</w:t>
      </w:r>
    </w:p>
  </w:footnote>
  <w:footnote w:id="11">
    <w:p w14:paraId="5DE28F5B" w14:textId="365AEE46" w:rsidR="00B67C94" w:rsidRPr="00D37A48" w:rsidRDefault="00B67C94">
      <w:pPr>
        <w:pStyle w:val="FootnoteText"/>
        <w:rPr>
          <w:lang w:val="en-AU"/>
        </w:rPr>
      </w:pPr>
      <w:r>
        <w:rPr>
          <w:rStyle w:val="FootnoteReference"/>
        </w:rPr>
        <w:footnoteRef/>
      </w:r>
      <w:r>
        <w:t xml:space="preserve"> </w:t>
      </w:r>
      <w:r>
        <w:rPr>
          <w:lang w:val="en-AU"/>
        </w:rPr>
        <w:t xml:space="preserve">Awarded </w:t>
      </w:r>
      <w:proofErr w:type="gramStart"/>
      <w:r>
        <w:rPr>
          <w:lang w:val="en-AU"/>
        </w:rPr>
        <w:t>on</w:t>
      </w:r>
      <w:proofErr w:type="gramEnd"/>
      <w:r>
        <w:rPr>
          <w:lang w:val="en-AU"/>
        </w:rPr>
        <w:t xml:space="preserve"> 2019 to commence studies in 2020.</w:t>
      </w:r>
    </w:p>
  </w:footnote>
  <w:footnote w:id="12">
    <w:p w14:paraId="2DC41D0C" w14:textId="77777777" w:rsidR="00B67C94" w:rsidRPr="00281256" w:rsidRDefault="00B67C94" w:rsidP="009362A4">
      <w:pPr>
        <w:pStyle w:val="FootnoteText"/>
        <w:rPr>
          <w:lang w:val="en-AU"/>
        </w:rPr>
      </w:pPr>
      <w:r>
        <w:rPr>
          <w:rStyle w:val="FootnoteReference"/>
        </w:rPr>
        <w:footnoteRef/>
      </w:r>
      <w:r>
        <w:t xml:space="preserve"> </w:t>
      </w:r>
      <w:r>
        <w:rPr>
          <w:lang w:val="en-AU"/>
        </w:rPr>
        <w:t>References relate to items in the official MEHRD Results Framework (</w:t>
      </w:r>
      <w:proofErr w:type="gramStart"/>
      <w:r>
        <w:rPr>
          <w:lang w:val="en-AU"/>
        </w:rPr>
        <w:t>i.e.</w:t>
      </w:r>
      <w:proofErr w:type="gramEnd"/>
      <w:r>
        <w:rPr>
          <w:lang w:val="en-AU"/>
        </w:rPr>
        <w:t xml:space="preserve"> as also detailed in the MEL Plan version 2). EO = End Outcome | IO = Intermediate Outcome</w:t>
      </w:r>
    </w:p>
  </w:footnote>
  <w:footnote w:id="13">
    <w:p w14:paraId="579B271B" w14:textId="77777777" w:rsidR="00B67C94" w:rsidRPr="008167FC" w:rsidRDefault="00B67C94" w:rsidP="009362A4">
      <w:pPr>
        <w:pStyle w:val="FootnoteText"/>
        <w:rPr>
          <w:rFonts w:asciiTheme="minorHAnsi" w:hAnsiTheme="minorHAnsi" w:cstheme="minorHAnsi"/>
          <w:szCs w:val="18"/>
          <w:lang w:val="en-AU"/>
        </w:rPr>
      </w:pPr>
      <w:r w:rsidRPr="008167FC">
        <w:rPr>
          <w:rStyle w:val="FootnoteReference"/>
          <w:rFonts w:asciiTheme="minorHAnsi" w:hAnsiTheme="minorHAnsi" w:cstheme="minorHAnsi"/>
          <w:szCs w:val="18"/>
        </w:rPr>
        <w:footnoteRef/>
      </w:r>
      <w:r w:rsidRPr="008167FC">
        <w:rPr>
          <w:rFonts w:asciiTheme="minorHAnsi" w:hAnsiTheme="minorHAnsi" w:cstheme="minorHAnsi"/>
          <w:szCs w:val="18"/>
        </w:rPr>
        <w:t xml:space="preserve"> </w:t>
      </w:r>
      <w:r>
        <w:rPr>
          <w:rFonts w:asciiTheme="minorHAnsi" w:hAnsiTheme="minorHAnsi" w:cstheme="minorHAnsi"/>
          <w:szCs w:val="18"/>
        </w:rPr>
        <w:t xml:space="preserve">References relate to the </w:t>
      </w:r>
      <w:r>
        <w:rPr>
          <w:rFonts w:asciiTheme="minorHAnsi" w:hAnsiTheme="minorHAnsi" w:cstheme="minorHAnsi"/>
          <w:szCs w:val="18"/>
          <w:lang w:val="en-AU"/>
        </w:rPr>
        <w:t xml:space="preserve">2019 </w:t>
      </w:r>
      <w:r w:rsidRPr="008167FC">
        <w:rPr>
          <w:rFonts w:asciiTheme="minorHAnsi" w:hAnsiTheme="minorHAnsi" w:cstheme="minorHAnsi"/>
          <w:szCs w:val="18"/>
          <w:lang w:val="en-AU"/>
        </w:rPr>
        <w:t>Annual Work Plan</w:t>
      </w:r>
      <w:r>
        <w:rPr>
          <w:rFonts w:asciiTheme="minorHAnsi" w:hAnsiTheme="minorHAnsi" w:cstheme="minorHAnsi"/>
          <w:szCs w:val="18"/>
          <w:lang w:val="en-AU"/>
        </w:rPr>
        <w:t xml:space="preserve"> (AWP)</w:t>
      </w:r>
      <w:r w:rsidRPr="008167FC">
        <w:rPr>
          <w:rFonts w:asciiTheme="minorHAnsi" w:hAnsiTheme="minorHAnsi" w:cstheme="minorHAnsi"/>
          <w:szCs w:val="18"/>
          <w:lang w:val="en-AU"/>
        </w:rPr>
        <w:t xml:space="preserve"> Activity number</w:t>
      </w:r>
      <w:r>
        <w:rPr>
          <w:rFonts w:asciiTheme="minorHAnsi" w:hAnsiTheme="minorHAnsi" w:cstheme="minorHAnsi"/>
          <w:szCs w:val="18"/>
          <w:lang w:val="en-AU"/>
        </w:rPr>
        <w:t xml:space="preserve">. </w:t>
      </w:r>
      <w:r w:rsidRPr="008167FC">
        <w:rPr>
          <w:rFonts w:asciiTheme="minorHAnsi" w:hAnsiTheme="minorHAnsi" w:cstheme="minorHAnsi"/>
          <w:szCs w:val="18"/>
          <w:lang w:val="en-AU"/>
        </w:rPr>
        <w:t>TBA (to be advised) refers to indicators that currently have no Annual Work Plan reference</w:t>
      </w:r>
      <w:r>
        <w:rPr>
          <w:rFonts w:asciiTheme="minorHAnsi" w:hAnsiTheme="minorHAnsi" w:cstheme="minorHAnsi"/>
          <w:szCs w:val="18"/>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A5AA8" w14:textId="3C862DE7" w:rsidR="00B67C94" w:rsidRPr="00E22742" w:rsidRDefault="00B67C94" w:rsidP="00E22742">
    <w:pPr>
      <w:jc w:val="center"/>
      <w:rPr>
        <w:rFonts w:asciiTheme="minorHAnsi" w:hAnsiTheme="minorHAnsi" w:cstheme="minorHAnsi"/>
        <w:b/>
        <w:bCs/>
        <w:color w:val="4472C4" w:themeColor="accent1"/>
        <w:sz w:val="20"/>
        <w:szCs w:val="20"/>
      </w:rPr>
    </w:pPr>
    <w:r>
      <w:rPr>
        <w:rFonts w:asciiTheme="minorHAnsi" w:hAnsiTheme="minorHAnsi" w:cstheme="minorHAnsi"/>
        <w:b/>
        <w:bCs/>
        <w:color w:val="4472C4" w:themeColor="accent1"/>
        <w:sz w:val="20"/>
        <w:szCs w:val="20"/>
      </w:rPr>
      <w:t xml:space="preserve">ESSP </w:t>
    </w:r>
    <w:r w:rsidRPr="00E22742">
      <w:rPr>
        <w:rFonts w:asciiTheme="minorHAnsi" w:hAnsiTheme="minorHAnsi" w:cstheme="minorHAnsi"/>
        <w:b/>
        <w:bCs/>
        <w:color w:val="4472C4" w:themeColor="accent1"/>
        <w:sz w:val="20"/>
        <w:szCs w:val="20"/>
      </w:rPr>
      <w:t>PERFORMANCE LINKED AID ASSESSMENT REPORT</w:t>
    </w:r>
    <w:r>
      <w:rPr>
        <w:rFonts w:asciiTheme="minorHAnsi" w:hAnsiTheme="minorHAnsi" w:cstheme="minorHAnsi"/>
        <w:b/>
        <w:bCs/>
        <w:color w:val="4472C4" w:themeColor="accent1"/>
        <w:sz w:val="20"/>
        <w:szCs w:val="20"/>
      </w:rPr>
      <w:t xml:space="preserve"> 2019</w:t>
    </w:r>
  </w:p>
  <w:p w14:paraId="170ED5F3" w14:textId="68148966" w:rsidR="00B67C94" w:rsidRDefault="00B67C94">
    <w:pPr>
      <w:pStyle w:val="Header"/>
    </w:pPr>
  </w:p>
  <w:p w14:paraId="1F471693" w14:textId="1C9CA42C" w:rsidR="00B67C94" w:rsidRDefault="00B67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1FEB"/>
    <w:multiLevelType w:val="hybridMultilevel"/>
    <w:tmpl w:val="52C25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F2A55"/>
    <w:multiLevelType w:val="hybridMultilevel"/>
    <w:tmpl w:val="6A5E2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2407EC"/>
    <w:multiLevelType w:val="hybridMultilevel"/>
    <w:tmpl w:val="55AC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4A17D5"/>
    <w:multiLevelType w:val="hybridMultilevel"/>
    <w:tmpl w:val="DF88E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7436C0"/>
    <w:multiLevelType w:val="hybridMultilevel"/>
    <w:tmpl w:val="2FA422AA"/>
    <w:lvl w:ilvl="0" w:tplc="0C090001">
      <w:start w:val="1"/>
      <w:numFmt w:val="bullet"/>
      <w:lvlText w:val=""/>
      <w:lvlJc w:val="left"/>
      <w:pPr>
        <w:ind w:left="663" w:hanging="360"/>
      </w:pPr>
      <w:rPr>
        <w:rFonts w:ascii="Symbol" w:hAnsi="Symbol" w:hint="default"/>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5" w15:restartNumberingAfterBreak="0">
    <w:nsid w:val="15B31B8C"/>
    <w:multiLevelType w:val="hybridMultilevel"/>
    <w:tmpl w:val="FA5E9C56"/>
    <w:lvl w:ilvl="0" w:tplc="0C090001">
      <w:start w:val="1"/>
      <w:numFmt w:val="bullet"/>
      <w:lvlText w:val=""/>
      <w:lvlJc w:val="left"/>
      <w:pPr>
        <w:ind w:left="663" w:hanging="360"/>
      </w:pPr>
      <w:rPr>
        <w:rFonts w:ascii="Symbol" w:hAnsi="Symbol" w:hint="default"/>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6" w15:restartNumberingAfterBreak="0">
    <w:nsid w:val="1C162E66"/>
    <w:multiLevelType w:val="hybridMultilevel"/>
    <w:tmpl w:val="7BA034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717A39"/>
    <w:multiLevelType w:val="hybridMultilevel"/>
    <w:tmpl w:val="35ECF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174E4D"/>
    <w:multiLevelType w:val="hybridMultilevel"/>
    <w:tmpl w:val="97507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C733FA"/>
    <w:multiLevelType w:val="hybridMultilevel"/>
    <w:tmpl w:val="EE8C3814"/>
    <w:lvl w:ilvl="0" w:tplc="9E40739E">
      <w:start w:val="30"/>
      <w:numFmt w:val="bullet"/>
      <w:lvlText w:val="-"/>
      <w:lvlJc w:val="left"/>
      <w:pPr>
        <w:ind w:left="720" w:hanging="360"/>
      </w:pPr>
      <w:rPr>
        <w:rFonts w:ascii="Calibri" w:eastAsiaTheme="minorHAnsi" w:hAnsi="Calibri" w:cs="Calibri" w:hint="default"/>
      </w:rPr>
    </w:lvl>
    <w:lvl w:ilvl="1" w:tplc="E8B4BE88">
      <w:start w:val="1"/>
      <w:numFmt w:val="bullet"/>
      <w:lvlText w:val="o"/>
      <w:lvlJc w:val="left"/>
      <w:pPr>
        <w:ind w:left="1440" w:hanging="360"/>
      </w:pPr>
      <w:rPr>
        <w:rFonts w:ascii="Courier New" w:hAnsi="Courier New" w:cs="Courier New" w:hint="default"/>
      </w:rPr>
    </w:lvl>
    <w:lvl w:ilvl="2" w:tplc="EB5E3BF2" w:tentative="1">
      <w:start w:val="1"/>
      <w:numFmt w:val="bullet"/>
      <w:lvlText w:val=""/>
      <w:lvlJc w:val="left"/>
      <w:pPr>
        <w:ind w:left="2160" w:hanging="360"/>
      </w:pPr>
      <w:rPr>
        <w:rFonts w:ascii="Wingdings" w:hAnsi="Wingdings" w:hint="default"/>
      </w:rPr>
    </w:lvl>
    <w:lvl w:ilvl="3" w:tplc="3C84262C" w:tentative="1">
      <w:start w:val="1"/>
      <w:numFmt w:val="bullet"/>
      <w:lvlText w:val=""/>
      <w:lvlJc w:val="left"/>
      <w:pPr>
        <w:ind w:left="2880" w:hanging="360"/>
      </w:pPr>
      <w:rPr>
        <w:rFonts w:ascii="Symbol" w:hAnsi="Symbol" w:hint="default"/>
      </w:rPr>
    </w:lvl>
    <w:lvl w:ilvl="4" w:tplc="CA500740" w:tentative="1">
      <w:start w:val="1"/>
      <w:numFmt w:val="bullet"/>
      <w:lvlText w:val="o"/>
      <w:lvlJc w:val="left"/>
      <w:pPr>
        <w:ind w:left="3600" w:hanging="360"/>
      </w:pPr>
      <w:rPr>
        <w:rFonts w:ascii="Courier New" w:hAnsi="Courier New" w:cs="Courier New" w:hint="default"/>
      </w:rPr>
    </w:lvl>
    <w:lvl w:ilvl="5" w:tplc="85020F2E" w:tentative="1">
      <w:start w:val="1"/>
      <w:numFmt w:val="bullet"/>
      <w:lvlText w:val=""/>
      <w:lvlJc w:val="left"/>
      <w:pPr>
        <w:ind w:left="4320" w:hanging="360"/>
      </w:pPr>
      <w:rPr>
        <w:rFonts w:ascii="Wingdings" w:hAnsi="Wingdings" w:hint="default"/>
      </w:rPr>
    </w:lvl>
    <w:lvl w:ilvl="6" w:tplc="B34854A0" w:tentative="1">
      <w:start w:val="1"/>
      <w:numFmt w:val="bullet"/>
      <w:lvlText w:val=""/>
      <w:lvlJc w:val="left"/>
      <w:pPr>
        <w:ind w:left="5040" w:hanging="360"/>
      </w:pPr>
      <w:rPr>
        <w:rFonts w:ascii="Symbol" w:hAnsi="Symbol" w:hint="default"/>
      </w:rPr>
    </w:lvl>
    <w:lvl w:ilvl="7" w:tplc="EDAC6EE0" w:tentative="1">
      <w:start w:val="1"/>
      <w:numFmt w:val="bullet"/>
      <w:lvlText w:val="o"/>
      <w:lvlJc w:val="left"/>
      <w:pPr>
        <w:ind w:left="5760" w:hanging="360"/>
      </w:pPr>
      <w:rPr>
        <w:rFonts w:ascii="Courier New" w:hAnsi="Courier New" w:cs="Courier New" w:hint="default"/>
      </w:rPr>
    </w:lvl>
    <w:lvl w:ilvl="8" w:tplc="FF7E4904" w:tentative="1">
      <w:start w:val="1"/>
      <w:numFmt w:val="bullet"/>
      <w:lvlText w:val=""/>
      <w:lvlJc w:val="left"/>
      <w:pPr>
        <w:ind w:left="6480" w:hanging="360"/>
      </w:pPr>
      <w:rPr>
        <w:rFonts w:ascii="Wingdings" w:hAnsi="Wingdings" w:hint="default"/>
      </w:rPr>
    </w:lvl>
  </w:abstractNum>
  <w:abstractNum w:abstractNumId="10" w15:restartNumberingAfterBreak="0">
    <w:nsid w:val="2C6E205B"/>
    <w:multiLevelType w:val="hybridMultilevel"/>
    <w:tmpl w:val="15D043AC"/>
    <w:lvl w:ilvl="0" w:tplc="0C090001">
      <w:start w:val="1"/>
      <w:numFmt w:val="bullet"/>
      <w:lvlText w:val=""/>
      <w:lvlJc w:val="left"/>
      <w:pPr>
        <w:ind w:left="663" w:hanging="360"/>
      </w:pPr>
      <w:rPr>
        <w:rFonts w:ascii="Symbol" w:hAnsi="Symbol" w:hint="default"/>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11" w15:restartNumberingAfterBreak="0">
    <w:nsid w:val="2C7D7AC9"/>
    <w:multiLevelType w:val="hybridMultilevel"/>
    <w:tmpl w:val="9C4CA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A32F4C"/>
    <w:multiLevelType w:val="hybridMultilevel"/>
    <w:tmpl w:val="665AECFA"/>
    <w:lvl w:ilvl="0" w:tplc="0C090001">
      <w:start w:val="1"/>
      <w:numFmt w:val="bullet"/>
      <w:lvlText w:val=""/>
      <w:lvlJc w:val="left"/>
      <w:pPr>
        <w:ind w:left="663" w:hanging="360"/>
      </w:pPr>
      <w:rPr>
        <w:rFonts w:ascii="Symbol" w:hAnsi="Symbol" w:hint="default"/>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13" w15:restartNumberingAfterBreak="0">
    <w:nsid w:val="3658135D"/>
    <w:multiLevelType w:val="hybridMultilevel"/>
    <w:tmpl w:val="39EC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806DC"/>
    <w:multiLevelType w:val="hybridMultilevel"/>
    <w:tmpl w:val="CEF87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C0CE7"/>
    <w:multiLevelType w:val="hybridMultilevel"/>
    <w:tmpl w:val="C0D2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506EC"/>
    <w:multiLevelType w:val="hybridMultilevel"/>
    <w:tmpl w:val="4678F8D8"/>
    <w:lvl w:ilvl="0" w:tplc="C8202A5C">
      <w:start w:val="30"/>
      <w:numFmt w:val="bullet"/>
      <w:lvlText w:val="-"/>
      <w:lvlJc w:val="left"/>
      <w:pPr>
        <w:ind w:left="720" w:hanging="360"/>
      </w:pPr>
      <w:rPr>
        <w:rFonts w:ascii="Calibri" w:eastAsiaTheme="minorHAnsi" w:hAnsi="Calibri" w:cs="Calibri" w:hint="default"/>
      </w:rPr>
    </w:lvl>
    <w:lvl w:ilvl="1" w:tplc="51209E98">
      <w:start w:val="1"/>
      <w:numFmt w:val="bullet"/>
      <w:lvlText w:val="o"/>
      <w:lvlJc w:val="left"/>
      <w:pPr>
        <w:ind w:left="1440" w:hanging="360"/>
      </w:pPr>
      <w:rPr>
        <w:rFonts w:ascii="Courier New" w:hAnsi="Courier New" w:cs="Courier New" w:hint="default"/>
      </w:rPr>
    </w:lvl>
    <w:lvl w:ilvl="2" w:tplc="9AD09246" w:tentative="1">
      <w:start w:val="1"/>
      <w:numFmt w:val="bullet"/>
      <w:lvlText w:val=""/>
      <w:lvlJc w:val="left"/>
      <w:pPr>
        <w:ind w:left="2160" w:hanging="360"/>
      </w:pPr>
      <w:rPr>
        <w:rFonts w:ascii="Wingdings" w:hAnsi="Wingdings" w:hint="default"/>
      </w:rPr>
    </w:lvl>
    <w:lvl w:ilvl="3" w:tplc="1A5479FA" w:tentative="1">
      <w:start w:val="1"/>
      <w:numFmt w:val="bullet"/>
      <w:lvlText w:val=""/>
      <w:lvlJc w:val="left"/>
      <w:pPr>
        <w:ind w:left="2880" w:hanging="360"/>
      </w:pPr>
      <w:rPr>
        <w:rFonts w:ascii="Symbol" w:hAnsi="Symbol" w:hint="default"/>
      </w:rPr>
    </w:lvl>
    <w:lvl w:ilvl="4" w:tplc="0DB89152" w:tentative="1">
      <w:start w:val="1"/>
      <w:numFmt w:val="bullet"/>
      <w:lvlText w:val="o"/>
      <w:lvlJc w:val="left"/>
      <w:pPr>
        <w:ind w:left="3600" w:hanging="360"/>
      </w:pPr>
      <w:rPr>
        <w:rFonts w:ascii="Courier New" w:hAnsi="Courier New" w:cs="Courier New" w:hint="default"/>
      </w:rPr>
    </w:lvl>
    <w:lvl w:ilvl="5" w:tplc="8B86F7D2" w:tentative="1">
      <w:start w:val="1"/>
      <w:numFmt w:val="bullet"/>
      <w:lvlText w:val=""/>
      <w:lvlJc w:val="left"/>
      <w:pPr>
        <w:ind w:left="4320" w:hanging="360"/>
      </w:pPr>
      <w:rPr>
        <w:rFonts w:ascii="Wingdings" w:hAnsi="Wingdings" w:hint="default"/>
      </w:rPr>
    </w:lvl>
    <w:lvl w:ilvl="6" w:tplc="E3D03438" w:tentative="1">
      <w:start w:val="1"/>
      <w:numFmt w:val="bullet"/>
      <w:lvlText w:val=""/>
      <w:lvlJc w:val="left"/>
      <w:pPr>
        <w:ind w:left="5040" w:hanging="360"/>
      </w:pPr>
      <w:rPr>
        <w:rFonts w:ascii="Symbol" w:hAnsi="Symbol" w:hint="default"/>
      </w:rPr>
    </w:lvl>
    <w:lvl w:ilvl="7" w:tplc="C7DA8DEE" w:tentative="1">
      <w:start w:val="1"/>
      <w:numFmt w:val="bullet"/>
      <w:lvlText w:val="o"/>
      <w:lvlJc w:val="left"/>
      <w:pPr>
        <w:ind w:left="5760" w:hanging="360"/>
      </w:pPr>
      <w:rPr>
        <w:rFonts w:ascii="Courier New" w:hAnsi="Courier New" w:cs="Courier New" w:hint="default"/>
      </w:rPr>
    </w:lvl>
    <w:lvl w:ilvl="8" w:tplc="5060F504" w:tentative="1">
      <w:start w:val="1"/>
      <w:numFmt w:val="bullet"/>
      <w:lvlText w:val=""/>
      <w:lvlJc w:val="left"/>
      <w:pPr>
        <w:ind w:left="6480" w:hanging="360"/>
      </w:pPr>
      <w:rPr>
        <w:rFonts w:ascii="Wingdings" w:hAnsi="Wingdings" w:hint="default"/>
      </w:rPr>
    </w:lvl>
  </w:abstractNum>
  <w:abstractNum w:abstractNumId="17" w15:restartNumberingAfterBreak="0">
    <w:nsid w:val="422E0DF5"/>
    <w:multiLevelType w:val="hybridMultilevel"/>
    <w:tmpl w:val="59D4A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1E5D25"/>
    <w:multiLevelType w:val="hybridMultilevel"/>
    <w:tmpl w:val="5F40AE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062DB5"/>
    <w:multiLevelType w:val="hybridMultilevel"/>
    <w:tmpl w:val="01AC8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9B7EAC"/>
    <w:multiLevelType w:val="hybridMultilevel"/>
    <w:tmpl w:val="7EC81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AC003B"/>
    <w:multiLevelType w:val="hybridMultilevel"/>
    <w:tmpl w:val="FF8A0F06"/>
    <w:lvl w:ilvl="0" w:tplc="0C090001">
      <w:start w:val="1"/>
      <w:numFmt w:val="bullet"/>
      <w:lvlText w:val=""/>
      <w:lvlJc w:val="left"/>
      <w:pPr>
        <w:ind w:left="663" w:hanging="360"/>
      </w:pPr>
      <w:rPr>
        <w:rFonts w:ascii="Symbol" w:hAnsi="Symbol" w:hint="default"/>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22" w15:restartNumberingAfterBreak="0">
    <w:nsid w:val="5D4D112D"/>
    <w:multiLevelType w:val="hybridMultilevel"/>
    <w:tmpl w:val="DC009D2C"/>
    <w:lvl w:ilvl="0" w:tplc="0C090001">
      <w:start w:val="1"/>
      <w:numFmt w:val="bullet"/>
      <w:lvlText w:val=""/>
      <w:lvlJc w:val="left"/>
      <w:pPr>
        <w:ind w:left="766" w:hanging="360"/>
      </w:pPr>
      <w:rPr>
        <w:rFonts w:ascii="Symbol" w:hAnsi="Symbol" w:hint="default"/>
      </w:rPr>
    </w:lvl>
    <w:lvl w:ilvl="1" w:tplc="0C090019" w:tentative="1">
      <w:start w:val="1"/>
      <w:numFmt w:val="lowerLetter"/>
      <w:lvlText w:val="%2."/>
      <w:lvlJc w:val="left"/>
      <w:pPr>
        <w:ind w:left="1486" w:hanging="360"/>
      </w:pPr>
    </w:lvl>
    <w:lvl w:ilvl="2" w:tplc="0C09001B" w:tentative="1">
      <w:start w:val="1"/>
      <w:numFmt w:val="lowerRoman"/>
      <w:lvlText w:val="%3."/>
      <w:lvlJc w:val="right"/>
      <w:pPr>
        <w:ind w:left="2206" w:hanging="180"/>
      </w:pPr>
    </w:lvl>
    <w:lvl w:ilvl="3" w:tplc="0C09000F" w:tentative="1">
      <w:start w:val="1"/>
      <w:numFmt w:val="decimal"/>
      <w:lvlText w:val="%4."/>
      <w:lvlJc w:val="left"/>
      <w:pPr>
        <w:ind w:left="2926" w:hanging="360"/>
      </w:pPr>
    </w:lvl>
    <w:lvl w:ilvl="4" w:tplc="0C090019" w:tentative="1">
      <w:start w:val="1"/>
      <w:numFmt w:val="lowerLetter"/>
      <w:lvlText w:val="%5."/>
      <w:lvlJc w:val="left"/>
      <w:pPr>
        <w:ind w:left="3646" w:hanging="360"/>
      </w:pPr>
    </w:lvl>
    <w:lvl w:ilvl="5" w:tplc="0C09001B" w:tentative="1">
      <w:start w:val="1"/>
      <w:numFmt w:val="lowerRoman"/>
      <w:lvlText w:val="%6."/>
      <w:lvlJc w:val="right"/>
      <w:pPr>
        <w:ind w:left="4366" w:hanging="180"/>
      </w:pPr>
    </w:lvl>
    <w:lvl w:ilvl="6" w:tplc="0C09000F" w:tentative="1">
      <w:start w:val="1"/>
      <w:numFmt w:val="decimal"/>
      <w:lvlText w:val="%7."/>
      <w:lvlJc w:val="left"/>
      <w:pPr>
        <w:ind w:left="5086" w:hanging="360"/>
      </w:pPr>
    </w:lvl>
    <w:lvl w:ilvl="7" w:tplc="0C090019" w:tentative="1">
      <w:start w:val="1"/>
      <w:numFmt w:val="lowerLetter"/>
      <w:lvlText w:val="%8."/>
      <w:lvlJc w:val="left"/>
      <w:pPr>
        <w:ind w:left="5806" w:hanging="360"/>
      </w:pPr>
    </w:lvl>
    <w:lvl w:ilvl="8" w:tplc="0C09001B" w:tentative="1">
      <w:start w:val="1"/>
      <w:numFmt w:val="lowerRoman"/>
      <w:lvlText w:val="%9."/>
      <w:lvlJc w:val="right"/>
      <w:pPr>
        <w:ind w:left="6526" w:hanging="180"/>
      </w:pPr>
    </w:lvl>
  </w:abstractNum>
  <w:abstractNum w:abstractNumId="23" w15:restartNumberingAfterBreak="0">
    <w:nsid w:val="5F132E8E"/>
    <w:multiLevelType w:val="hybridMultilevel"/>
    <w:tmpl w:val="FEDA77D0"/>
    <w:lvl w:ilvl="0" w:tplc="EE46BB68">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171540"/>
    <w:multiLevelType w:val="hybridMultilevel"/>
    <w:tmpl w:val="DF72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F1F2E"/>
    <w:multiLevelType w:val="hybridMultilevel"/>
    <w:tmpl w:val="B56C8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382D0A"/>
    <w:multiLevelType w:val="hybridMultilevel"/>
    <w:tmpl w:val="0E427F3C"/>
    <w:lvl w:ilvl="0" w:tplc="9FF64488">
      <w:start w:val="1"/>
      <w:numFmt w:val="bullet"/>
      <w:lvlText w:val="•"/>
      <w:lvlJc w:val="left"/>
      <w:pPr>
        <w:ind w:left="708"/>
      </w:pPr>
      <w:rPr>
        <w:rFonts w:ascii="Arial" w:eastAsia="Arial" w:hAnsi="Arial" w:cs="Arial"/>
        <w:b w:val="0"/>
        <w:i w:val="0"/>
        <w:strike w:val="0"/>
        <w:dstrike w:val="0"/>
        <w:color w:val="F07820"/>
        <w:sz w:val="22"/>
        <w:szCs w:val="22"/>
        <w:u w:val="none" w:color="000000"/>
        <w:bdr w:val="none" w:sz="0" w:space="0" w:color="auto"/>
        <w:shd w:val="clear" w:color="auto" w:fill="auto"/>
        <w:vertAlign w:val="baseline"/>
      </w:rPr>
    </w:lvl>
    <w:lvl w:ilvl="1" w:tplc="7226989A">
      <w:start w:val="1"/>
      <w:numFmt w:val="bullet"/>
      <w:lvlText w:val="o"/>
      <w:lvlJc w:val="left"/>
      <w:pPr>
        <w:ind w:left="1438"/>
      </w:pPr>
      <w:rPr>
        <w:rFonts w:ascii="Segoe UI Symbol" w:eastAsia="Segoe UI Symbol" w:hAnsi="Segoe UI Symbol" w:cs="Segoe UI Symbol"/>
        <w:b w:val="0"/>
        <w:i w:val="0"/>
        <w:strike w:val="0"/>
        <w:dstrike w:val="0"/>
        <w:color w:val="F07820"/>
        <w:sz w:val="22"/>
        <w:szCs w:val="22"/>
        <w:u w:val="none" w:color="000000"/>
        <w:bdr w:val="none" w:sz="0" w:space="0" w:color="auto"/>
        <w:shd w:val="clear" w:color="auto" w:fill="auto"/>
        <w:vertAlign w:val="baseline"/>
      </w:rPr>
    </w:lvl>
    <w:lvl w:ilvl="2" w:tplc="C5249196">
      <w:start w:val="1"/>
      <w:numFmt w:val="bullet"/>
      <w:lvlText w:val="▪"/>
      <w:lvlJc w:val="left"/>
      <w:pPr>
        <w:ind w:left="2158"/>
      </w:pPr>
      <w:rPr>
        <w:rFonts w:ascii="Segoe UI Symbol" w:eastAsia="Segoe UI Symbol" w:hAnsi="Segoe UI Symbol" w:cs="Segoe UI Symbol"/>
        <w:b w:val="0"/>
        <w:i w:val="0"/>
        <w:strike w:val="0"/>
        <w:dstrike w:val="0"/>
        <w:color w:val="F07820"/>
        <w:sz w:val="22"/>
        <w:szCs w:val="22"/>
        <w:u w:val="none" w:color="000000"/>
        <w:bdr w:val="none" w:sz="0" w:space="0" w:color="auto"/>
        <w:shd w:val="clear" w:color="auto" w:fill="auto"/>
        <w:vertAlign w:val="baseline"/>
      </w:rPr>
    </w:lvl>
    <w:lvl w:ilvl="3" w:tplc="9F7A9E5C">
      <w:start w:val="1"/>
      <w:numFmt w:val="bullet"/>
      <w:lvlText w:val="•"/>
      <w:lvlJc w:val="left"/>
      <w:pPr>
        <w:ind w:left="2878"/>
      </w:pPr>
      <w:rPr>
        <w:rFonts w:ascii="Arial" w:eastAsia="Arial" w:hAnsi="Arial" w:cs="Arial"/>
        <w:b w:val="0"/>
        <w:i w:val="0"/>
        <w:strike w:val="0"/>
        <w:dstrike w:val="0"/>
        <w:color w:val="F07820"/>
        <w:sz w:val="22"/>
        <w:szCs w:val="22"/>
        <w:u w:val="none" w:color="000000"/>
        <w:bdr w:val="none" w:sz="0" w:space="0" w:color="auto"/>
        <w:shd w:val="clear" w:color="auto" w:fill="auto"/>
        <w:vertAlign w:val="baseline"/>
      </w:rPr>
    </w:lvl>
    <w:lvl w:ilvl="4" w:tplc="CB72612E">
      <w:start w:val="1"/>
      <w:numFmt w:val="bullet"/>
      <w:lvlText w:val="o"/>
      <w:lvlJc w:val="left"/>
      <w:pPr>
        <w:ind w:left="3598"/>
      </w:pPr>
      <w:rPr>
        <w:rFonts w:ascii="Segoe UI Symbol" w:eastAsia="Segoe UI Symbol" w:hAnsi="Segoe UI Symbol" w:cs="Segoe UI Symbol"/>
        <w:b w:val="0"/>
        <w:i w:val="0"/>
        <w:strike w:val="0"/>
        <w:dstrike w:val="0"/>
        <w:color w:val="F07820"/>
        <w:sz w:val="22"/>
        <w:szCs w:val="22"/>
        <w:u w:val="none" w:color="000000"/>
        <w:bdr w:val="none" w:sz="0" w:space="0" w:color="auto"/>
        <w:shd w:val="clear" w:color="auto" w:fill="auto"/>
        <w:vertAlign w:val="baseline"/>
      </w:rPr>
    </w:lvl>
    <w:lvl w:ilvl="5" w:tplc="B420B7D2">
      <w:start w:val="1"/>
      <w:numFmt w:val="bullet"/>
      <w:lvlText w:val="▪"/>
      <w:lvlJc w:val="left"/>
      <w:pPr>
        <w:ind w:left="4318"/>
      </w:pPr>
      <w:rPr>
        <w:rFonts w:ascii="Segoe UI Symbol" w:eastAsia="Segoe UI Symbol" w:hAnsi="Segoe UI Symbol" w:cs="Segoe UI Symbol"/>
        <w:b w:val="0"/>
        <w:i w:val="0"/>
        <w:strike w:val="0"/>
        <w:dstrike w:val="0"/>
        <w:color w:val="F07820"/>
        <w:sz w:val="22"/>
        <w:szCs w:val="22"/>
        <w:u w:val="none" w:color="000000"/>
        <w:bdr w:val="none" w:sz="0" w:space="0" w:color="auto"/>
        <w:shd w:val="clear" w:color="auto" w:fill="auto"/>
        <w:vertAlign w:val="baseline"/>
      </w:rPr>
    </w:lvl>
    <w:lvl w:ilvl="6" w:tplc="7870D624">
      <w:start w:val="1"/>
      <w:numFmt w:val="bullet"/>
      <w:lvlText w:val="•"/>
      <w:lvlJc w:val="left"/>
      <w:pPr>
        <w:ind w:left="5038"/>
      </w:pPr>
      <w:rPr>
        <w:rFonts w:ascii="Arial" w:eastAsia="Arial" w:hAnsi="Arial" w:cs="Arial"/>
        <w:b w:val="0"/>
        <w:i w:val="0"/>
        <w:strike w:val="0"/>
        <w:dstrike w:val="0"/>
        <w:color w:val="F07820"/>
        <w:sz w:val="22"/>
        <w:szCs w:val="22"/>
        <w:u w:val="none" w:color="000000"/>
        <w:bdr w:val="none" w:sz="0" w:space="0" w:color="auto"/>
        <w:shd w:val="clear" w:color="auto" w:fill="auto"/>
        <w:vertAlign w:val="baseline"/>
      </w:rPr>
    </w:lvl>
    <w:lvl w:ilvl="7" w:tplc="A172333C">
      <w:start w:val="1"/>
      <w:numFmt w:val="bullet"/>
      <w:lvlText w:val="o"/>
      <w:lvlJc w:val="left"/>
      <w:pPr>
        <w:ind w:left="5758"/>
      </w:pPr>
      <w:rPr>
        <w:rFonts w:ascii="Segoe UI Symbol" w:eastAsia="Segoe UI Symbol" w:hAnsi="Segoe UI Symbol" w:cs="Segoe UI Symbol"/>
        <w:b w:val="0"/>
        <w:i w:val="0"/>
        <w:strike w:val="0"/>
        <w:dstrike w:val="0"/>
        <w:color w:val="F07820"/>
        <w:sz w:val="22"/>
        <w:szCs w:val="22"/>
        <w:u w:val="none" w:color="000000"/>
        <w:bdr w:val="none" w:sz="0" w:space="0" w:color="auto"/>
        <w:shd w:val="clear" w:color="auto" w:fill="auto"/>
        <w:vertAlign w:val="baseline"/>
      </w:rPr>
    </w:lvl>
    <w:lvl w:ilvl="8" w:tplc="FE7C5D96">
      <w:start w:val="1"/>
      <w:numFmt w:val="bullet"/>
      <w:lvlText w:val="▪"/>
      <w:lvlJc w:val="left"/>
      <w:pPr>
        <w:ind w:left="6478"/>
      </w:pPr>
      <w:rPr>
        <w:rFonts w:ascii="Segoe UI Symbol" w:eastAsia="Segoe UI Symbol" w:hAnsi="Segoe UI Symbol" w:cs="Segoe UI Symbol"/>
        <w:b w:val="0"/>
        <w:i w:val="0"/>
        <w:strike w:val="0"/>
        <w:dstrike w:val="0"/>
        <w:color w:val="F07820"/>
        <w:sz w:val="22"/>
        <w:szCs w:val="22"/>
        <w:u w:val="none" w:color="000000"/>
        <w:bdr w:val="none" w:sz="0" w:space="0" w:color="auto"/>
        <w:shd w:val="clear" w:color="auto" w:fill="auto"/>
        <w:vertAlign w:val="baseline"/>
      </w:rPr>
    </w:lvl>
  </w:abstractNum>
  <w:abstractNum w:abstractNumId="27" w15:restartNumberingAfterBreak="0">
    <w:nsid w:val="69E55024"/>
    <w:multiLevelType w:val="hybridMultilevel"/>
    <w:tmpl w:val="F138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B546E2"/>
    <w:multiLevelType w:val="hybridMultilevel"/>
    <w:tmpl w:val="378EAA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5E2A78"/>
    <w:multiLevelType w:val="hybridMultilevel"/>
    <w:tmpl w:val="F53EE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10"/>
  </w:num>
  <w:num w:numId="4">
    <w:abstractNumId w:val="4"/>
  </w:num>
  <w:num w:numId="5">
    <w:abstractNumId w:val="5"/>
  </w:num>
  <w:num w:numId="6">
    <w:abstractNumId w:val="21"/>
  </w:num>
  <w:num w:numId="7">
    <w:abstractNumId w:val="8"/>
  </w:num>
  <w:num w:numId="8">
    <w:abstractNumId w:val="24"/>
  </w:num>
  <w:num w:numId="9">
    <w:abstractNumId w:val="14"/>
  </w:num>
  <w:num w:numId="10">
    <w:abstractNumId w:val="15"/>
  </w:num>
  <w:num w:numId="11">
    <w:abstractNumId w:val="27"/>
  </w:num>
  <w:num w:numId="12">
    <w:abstractNumId w:val="25"/>
  </w:num>
  <w:num w:numId="13">
    <w:abstractNumId w:val="3"/>
  </w:num>
  <w:num w:numId="14">
    <w:abstractNumId w:val="22"/>
  </w:num>
  <w:num w:numId="15">
    <w:abstractNumId w:val="16"/>
  </w:num>
  <w:num w:numId="16">
    <w:abstractNumId w:val="9"/>
  </w:num>
  <w:num w:numId="17">
    <w:abstractNumId w:val="20"/>
  </w:num>
  <w:num w:numId="18">
    <w:abstractNumId w:val="23"/>
  </w:num>
  <w:num w:numId="19">
    <w:abstractNumId w:val="19"/>
  </w:num>
  <w:num w:numId="20">
    <w:abstractNumId w:val="28"/>
  </w:num>
  <w:num w:numId="21">
    <w:abstractNumId w:val="1"/>
  </w:num>
  <w:num w:numId="22">
    <w:abstractNumId w:val="11"/>
  </w:num>
  <w:num w:numId="23">
    <w:abstractNumId w:val="7"/>
  </w:num>
  <w:num w:numId="24">
    <w:abstractNumId w:val="0"/>
  </w:num>
  <w:num w:numId="25">
    <w:abstractNumId w:val="6"/>
  </w:num>
  <w:num w:numId="26">
    <w:abstractNumId w:val="18"/>
  </w:num>
  <w:num w:numId="27">
    <w:abstractNumId w:val="2"/>
  </w:num>
  <w:num w:numId="28">
    <w:abstractNumId w:val="26"/>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F8"/>
    <w:rsid w:val="00004924"/>
    <w:rsid w:val="0000708D"/>
    <w:rsid w:val="00011F9C"/>
    <w:rsid w:val="00025CDF"/>
    <w:rsid w:val="00026D5C"/>
    <w:rsid w:val="0003257A"/>
    <w:rsid w:val="00034245"/>
    <w:rsid w:val="00037C58"/>
    <w:rsid w:val="0004296B"/>
    <w:rsid w:val="00043DC8"/>
    <w:rsid w:val="000460D7"/>
    <w:rsid w:val="00053695"/>
    <w:rsid w:val="00060FDF"/>
    <w:rsid w:val="00075333"/>
    <w:rsid w:val="00087146"/>
    <w:rsid w:val="000A2850"/>
    <w:rsid w:val="000B69ED"/>
    <w:rsid w:val="000B6EFE"/>
    <w:rsid w:val="000C095B"/>
    <w:rsid w:val="000C29BD"/>
    <w:rsid w:val="000C4BE9"/>
    <w:rsid w:val="000D04A9"/>
    <w:rsid w:val="000D7C0E"/>
    <w:rsid w:val="000E07E6"/>
    <w:rsid w:val="000F2042"/>
    <w:rsid w:val="0010209B"/>
    <w:rsid w:val="0011107A"/>
    <w:rsid w:val="00120D39"/>
    <w:rsid w:val="0012193F"/>
    <w:rsid w:val="00123455"/>
    <w:rsid w:val="00135EA7"/>
    <w:rsid w:val="00141AD2"/>
    <w:rsid w:val="001435C6"/>
    <w:rsid w:val="00144427"/>
    <w:rsid w:val="001445C0"/>
    <w:rsid w:val="0015435E"/>
    <w:rsid w:val="001560CC"/>
    <w:rsid w:val="0015689B"/>
    <w:rsid w:val="00164F06"/>
    <w:rsid w:val="001667CD"/>
    <w:rsid w:val="00166A32"/>
    <w:rsid w:val="0017088B"/>
    <w:rsid w:val="0017547A"/>
    <w:rsid w:val="00175B82"/>
    <w:rsid w:val="00182379"/>
    <w:rsid w:val="00184558"/>
    <w:rsid w:val="00184947"/>
    <w:rsid w:val="00191B36"/>
    <w:rsid w:val="00194D64"/>
    <w:rsid w:val="0019568A"/>
    <w:rsid w:val="00195CEB"/>
    <w:rsid w:val="00196319"/>
    <w:rsid w:val="001A26AC"/>
    <w:rsid w:val="001A3294"/>
    <w:rsid w:val="001A32EA"/>
    <w:rsid w:val="001A3925"/>
    <w:rsid w:val="001A5343"/>
    <w:rsid w:val="001B48B0"/>
    <w:rsid w:val="001C0C5D"/>
    <w:rsid w:val="001C5CA4"/>
    <w:rsid w:val="001C6A23"/>
    <w:rsid w:val="001C7993"/>
    <w:rsid w:val="001D210C"/>
    <w:rsid w:val="001E3155"/>
    <w:rsid w:val="001E39CF"/>
    <w:rsid w:val="001E451A"/>
    <w:rsid w:val="001E568E"/>
    <w:rsid w:val="001F2E3D"/>
    <w:rsid w:val="001F3DDC"/>
    <w:rsid w:val="0020349D"/>
    <w:rsid w:val="00203AEC"/>
    <w:rsid w:val="0021034B"/>
    <w:rsid w:val="00215AFF"/>
    <w:rsid w:val="00216EDA"/>
    <w:rsid w:val="002245F8"/>
    <w:rsid w:val="00230386"/>
    <w:rsid w:val="00232F5B"/>
    <w:rsid w:val="002346F6"/>
    <w:rsid w:val="002447EE"/>
    <w:rsid w:val="00246265"/>
    <w:rsid w:val="00253542"/>
    <w:rsid w:val="002549F0"/>
    <w:rsid w:val="00261904"/>
    <w:rsid w:val="00265E45"/>
    <w:rsid w:val="002704FB"/>
    <w:rsid w:val="00270665"/>
    <w:rsid w:val="00281278"/>
    <w:rsid w:val="002868FA"/>
    <w:rsid w:val="0028710D"/>
    <w:rsid w:val="002921EF"/>
    <w:rsid w:val="00292D52"/>
    <w:rsid w:val="002937F9"/>
    <w:rsid w:val="00294306"/>
    <w:rsid w:val="002953A4"/>
    <w:rsid w:val="002A100C"/>
    <w:rsid w:val="002A55E4"/>
    <w:rsid w:val="002B049D"/>
    <w:rsid w:val="002B5306"/>
    <w:rsid w:val="002C41F0"/>
    <w:rsid w:val="002D1EDF"/>
    <w:rsid w:val="002D5DC9"/>
    <w:rsid w:val="002E2D74"/>
    <w:rsid w:val="002E2FCD"/>
    <w:rsid w:val="002E5667"/>
    <w:rsid w:val="002F32D6"/>
    <w:rsid w:val="00303548"/>
    <w:rsid w:val="00304A17"/>
    <w:rsid w:val="00311F36"/>
    <w:rsid w:val="00321DC2"/>
    <w:rsid w:val="00323662"/>
    <w:rsid w:val="00335B21"/>
    <w:rsid w:val="00341CBB"/>
    <w:rsid w:val="00346330"/>
    <w:rsid w:val="00347C15"/>
    <w:rsid w:val="0036075A"/>
    <w:rsid w:val="00360FBA"/>
    <w:rsid w:val="0036197D"/>
    <w:rsid w:val="00363ECD"/>
    <w:rsid w:val="0037286A"/>
    <w:rsid w:val="003773D8"/>
    <w:rsid w:val="003811AB"/>
    <w:rsid w:val="003973F8"/>
    <w:rsid w:val="003A2E76"/>
    <w:rsid w:val="003B16DC"/>
    <w:rsid w:val="003B3944"/>
    <w:rsid w:val="003B5080"/>
    <w:rsid w:val="003B7934"/>
    <w:rsid w:val="003C5362"/>
    <w:rsid w:val="003E1738"/>
    <w:rsid w:val="003F690A"/>
    <w:rsid w:val="00404A40"/>
    <w:rsid w:val="00413324"/>
    <w:rsid w:val="00414C38"/>
    <w:rsid w:val="00424AE0"/>
    <w:rsid w:val="004258BA"/>
    <w:rsid w:val="00430149"/>
    <w:rsid w:val="00433472"/>
    <w:rsid w:val="00450A48"/>
    <w:rsid w:val="00452DC6"/>
    <w:rsid w:val="0046199E"/>
    <w:rsid w:val="004707BB"/>
    <w:rsid w:val="0047113B"/>
    <w:rsid w:val="00473EF0"/>
    <w:rsid w:val="00474014"/>
    <w:rsid w:val="00475005"/>
    <w:rsid w:val="00475B35"/>
    <w:rsid w:val="00475F6D"/>
    <w:rsid w:val="00485E88"/>
    <w:rsid w:val="00486BDD"/>
    <w:rsid w:val="00491733"/>
    <w:rsid w:val="00494E5C"/>
    <w:rsid w:val="00495E7E"/>
    <w:rsid w:val="0049700B"/>
    <w:rsid w:val="00497E94"/>
    <w:rsid w:val="004A4B93"/>
    <w:rsid w:val="004A5750"/>
    <w:rsid w:val="004B4FDE"/>
    <w:rsid w:val="004C025A"/>
    <w:rsid w:val="004C0E6B"/>
    <w:rsid w:val="004D7EAE"/>
    <w:rsid w:val="004E2E64"/>
    <w:rsid w:val="004F0780"/>
    <w:rsid w:val="004F3DCE"/>
    <w:rsid w:val="004F5825"/>
    <w:rsid w:val="00516331"/>
    <w:rsid w:val="00533CC7"/>
    <w:rsid w:val="0053403A"/>
    <w:rsid w:val="00543B74"/>
    <w:rsid w:val="00561D11"/>
    <w:rsid w:val="00566482"/>
    <w:rsid w:val="00566571"/>
    <w:rsid w:val="005701FD"/>
    <w:rsid w:val="00570B43"/>
    <w:rsid w:val="00572F0C"/>
    <w:rsid w:val="00574703"/>
    <w:rsid w:val="005777AC"/>
    <w:rsid w:val="00582114"/>
    <w:rsid w:val="00583E19"/>
    <w:rsid w:val="00583FF2"/>
    <w:rsid w:val="00587BAF"/>
    <w:rsid w:val="00593BDE"/>
    <w:rsid w:val="00597DF3"/>
    <w:rsid w:val="005B07B5"/>
    <w:rsid w:val="005B3617"/>
    <w:rsid w:val="005B4829"/>
    <w:rsid w:val="005C14D1"/>
    <w:rsid w:val="005C4813"/>
    <w:rsid w:val="005C4DE4"/>
    <w:rsid w:val="005C5F91"/>
    <w:rsid w:val="005D1F17"/>
    <w:rsid w:val="005E5A51"/>
    <w:rsid w:val="005E601D"/>
    <w:rsid w:val="005E6037"/>
    <w:rsid w:val="005F50AA"/>
    <w:rsid w:val="005F6471"/>
    <w:rsid w:val="0060299F"/>
    <w:rsid w:val="00604118"/>
    <w:rsid w:val="006046AC"/>
    <w:rsid w:val="00606901"/>
    <w:rsid w:val="00607864"/>
    <w:rsid w:val="00613485"/>
    <w:rsid w:val="00613F2F"/>
    <w:rsid w:val="00627C97"/>
    <w:rsid w:val="00633A31"/>
    <w:rsid w:val="00635255"/>
    <w:rsid w:val="00637CE2"/>
    <w:rsid w:val="006408D7"/>
    <w:rsid w:val="0064489E"/>
    <w:rsid w:val="006507BD"/>
    <w:rsid w:val="006555EE"/>
    <w:rsid w:val="00663816"/>
    <w:rsid w:val="00677B48"/>
    <w:rsid w:val="00677BE1"/>
    <w:rsid w:val="00677E29"/>
    <w:rsid w:val="006843FA"/>
    <w:rsid w:val="0068723C"/>
    <w:rsid w:val="00695F40"/>
    <w:rsid w:val="006A08DE"/>
    <w:rsid w:val="006A1780"/>
    <w:rsid w:val="006A3BD9"/>
    <w:rsid w:val="006A66C3"/>
    <w:rsid w:val="006B15AD"/>
    <w:rsid w:val="006C376D"/>
    <w:rsid w:val="006D0309"/>
    <w:rsid w:val="006D596D"/>
    <w:rsid w:val="00700ED9"/>
    <w:rsid w:val="00710694"/>
    <w:rsid w:val="00711371"/>
    <w:rsid w:val="00713EC9"/>
    <w:rsid w:val="007143A9"/>
    <w:rsid w:val="00715F29"/>
    <w:rsid w:val="00733AAE"/>
    <w:rsid w:val="00733FDC"/>
    <w:rsid w:val="007345A1"/>
    <w:rsid w:val="0073761D"/>
    <w:rsid w:val="00747CFC"/>
    <w:rsid w:val="0076475C"/>
    <w:rsid w:val="007722DE"/>
    <w:rsid w:val="00773305"/>
    <w:rsid w:val="0077471C"/>
    <w:rsid w:val="00786940"/>
    <w:rsid w:val="007A5021"/>
    <w:rsid w:val="007B07B1"/>
    <w:rsid w:val="007B0A74"/>
    <w:rsid w:val="007C3795"/>
    <w:rsid w:val="007C43FC"/>
    <w:rsid w:val="007E5ADF"/>
    <w:rsid w:val="008062E2"/>
    <w:rsid w:val="00811BAE"/>
    <w:rsid w:val="0081501B"/>
    <w:rsid w:val="008159DD"/>
    <w:rsid w:val="00823415"/>
    <w:rsid w:val="00824CD5"/>
    <w:rsid w:val="008278B2"/>
    <w:rsid w:val="008436DD"/>
    <w:rsid w:val="00843C7E"/>
    <w:rsid w:val="00846EE5"/>
    <w:rsid w:val="00851990"/>
    <w:rsid w:val="00851E5F"/>
    <w:rsid w:val="0085652C"/>
    <w:rsid w:val="0087530E"/>
    <w:rsid w:val="00877110"/>
    <w:rsid w:val="0088118B"/>
    <w:rsid w:val="00881962"/>
    <w:rsid w:val="00881D70"/>
    <w:rsid w:val="00894BB2"/>
    <w:rsid w:val="008B3EEE"/>
    <w:rsid w:val="008B42A3"/>
    <w:rsid w:val="008C0E2D"/>
    <w:rsid w:val="008C520E"/>
    <w:rsid w:val="008D12C1"/>
    <w:rsid w:val="008D34AA"/>
    <w:rsid w:val="008E4D27"/>
    <w:rsid w:val="008E702E"/>
    <w:rsid w:val="008E7543"/>
    <w:rsid w:val="008F0611"/>
    <w:rsid w:val="008F1320"/>
    <w:rsid w:val="008F3519"/>
    <w:rsid w:val="00906177"/>
    <w:rsid w:val="00912E1E"/>
    <w:rsid w:val="009165DB"/>
    <w:rsid w:val="009171CE"/>
    <w:rsid w:val="00921A3C"/>
    <w:rsid w:val="0092214D"/>
    <w:rsid w:val="009228CD"/>
    <w:rsid w:val="0092324B"/>
    <w:rsid w:val="00927939"/>
    <w:rsid w:val="009357B4"/>
    <w:rsid w:val="009359F7"/>
    <w:rsid w:val="00935AFB"/>
    <w:rsid w:val="009362A4"/>
    <w:rsid w:val="00954EC3"/>
    <w:rsid w:val="009631C7"/>
    <w:rsid w:val="00974901"/>
    <w:rsid w:val="00976E0D"/>
    <w:rsid w:val="009771E1"/>
    <w:rsid w:val="00977B04"/>
    <w:rsid w:val="00983D4D"/>
    <w:rsid w:val="00992C5E"/>
    <w:rsid w:val="009A6CD9"/>
    <w:rsid w:val="009A7129"/>
    <w:rsid w:val="009C4B7F"/>
    <w:rsid w:val="009C50E2"/>
    <w:rsid w:val="009C5906"/>
    <w:rsid w:val="009D04CC"/>
    <w:rsid w:val="009D3CB4"/>
    <w:rsid w:val="009D4B67"/>
    <w:rsid w:val="009E2344"/>
    <w:rsid w:val="009E3B31"/>
    <w:rsid w:val="009F6DC0"/>
    <w:rsid w:val="00A03CEE"/>
    <w:rsid w:val="00A05C00"/>
    <w:rsid w:val="00A13059"/>
    <w:rsid w:val="00A247FE"/>
    <w:rsid w:val="00A248D4"/>
    <w:rsid w:val="00A34E96"/>
    <w:rsid w:val="00A402E5"/>
    <w:rsid w:val="00A438CA"/>
    <w:rsid w:val="00A43DFC"/>
    <w:rsid w:val="00A519BB"/>
    <w:rsid w:val="00A524F0"/>
    <w:rsid w:val="00A53194"/>
    <w:rsid w:val="00A539C2"/>
    <w:rsid w:val="00A6040B"/>
    <w:rsid w:val="00A62FB3"/>
    <w:rsid w:val="00A7315F"/>
    <w:rsid w:val="00A74063"/>
    <w:rsid w:val="00A747BF"/>
    <w:rsid w:val="00A76720"/>
    <w:rsid w:val="00A80B7B"/>
    <w:rsid w:val="00A82F2E"/>
    <w:rsid w:val="00A92C24"/>
    <w:rsid w:val="00AA6418"/>
    <w:rsid w:val="00AB1D73"/>
    <w:rsid w:val="00AC4A13"/>
    <w:rsid w:val="00AC4D26"/>
    <w:rsid w:val="00AD4881"/>
    <w:rsid w:val="00AD4948"/>
    <w:rsid w:val="00AE1482"/>
    <w:rsid w:val="00AE1FD5"/>
    <w:rsid w:val="00AE6693"/>
    <w:rsid w:val="00AF14EA"/>
    <w:rsid w:val="00AF6258"/>
    <w:rsid w:val="00B10E5A"/>
    <w:rsid w:val="00B17885"/>
    <w:rsid w:val="00B30931"/>
    <w:rsid w:val="00B347C3"/>
    <w:rsid w:val="00B362AB"/>
    <w:rsid w:val="00B37242"/>
    <w:rsid w:val="00B46AA0"/>
    <w:rsid w:val="00B51746"/>
    <w:rsid w:val="00B52E08"/>
    <w:rsid w:val="00B56419"/>
    <w:rsid w:val="00B5799A"/>
    <w:rsid w:val="00B62321"/>
    <w:rsid w:val="00B6287C"/>
    <w:rsid w:val="00B62989"/>
    <w:rsid w:val="00B62F9E"/>
    <w:rsid w:val="00B656E2"/>
    <w:rsid w:val="00B67C94"/>
    <w:rsid w:val="00B73BED"/>
    <w:rsid w:val="00B815C5"/>
    <w:rsid w:val="00B82940"/>
    <w:rsid w:val="00B95E71"/>
    <w:rsid w:val="00B97398"/>
    <w:rsid w:val="00BB3352"/>
    <w:rsid w:val="00BB3850"/>
    <w:rsid w:val="00BB42D6"/>
    <w:rsid w:val="00BB5302"/>
    <w:rsid w:val="00BB5F2A"/>
    <w:rsid w:val="00BC441B"/>
    <w:rsid w:val="00BC64A8"/>
    <w:rsid w:val="00BC7B3B"/>
    <w:rsid w:val="00BD0BC6"/>
    <w:rsid w:val="00BD12B9"/>
    <w:rsid w:val="00BD5E73"/>
    <w:rsid w:val="00BE1A7D"/>
    <w:rsid w:val="00BE2991"/>
    <w:rsid w:val="00BE3BF2"/>
    <w:rsid w:val="00C00919"/>
    <w:rsid w:val="00C0446E"/>
    <w:rsid w:val="00C066EB"/>
    <w:rsid w:val="00C26E6E"/>
    <w:rsid w:val="00C30634"/>
    <w:rsid w:val="00C57DC8"/>
    <w:rsid w:val="00C73F32"/>
    <w:rsid w:val="00C7441F"/>
    <w:rsid w:val="00C76A86"/>
    <w:rsid w:val="00C908E8"/>
    <w:rsid w:val="00CA0DD5"/>
    <w:rsid w:val="00CA0EA3"/>
    <w:rsid w:val="00CA2618"/>
    <w:rsid w:val="00CA3E1E"/>
    <w:rsid w:val="00CC0E77"/>
    <w:rsid w:val="00CD0E90"/>
    <w:rsid w:val="00CD33DC"/>
    <w:rsid w:val="00CE0362"/>
    <w:rsid w:val="00CF1632"/>
    <w:rsid w:val="00CF341E"/>
    <w:rsid w:val="00D01F74"/>
    <w:rsid w:val="00D0439F"/>
    <w:rsid w:val="00D13DDC"/>
    <w:rsid w:val="00D1405C"/>
    <w:rsid w:val="00D14BF5"/>
    <w:rsid w:val="00D20F32"/>
    <w:rsid w:val="00D23110"/>
    <w:rsid w:val="00D36F8C"/>
    <w:rsid w:val="00D37A48"/>
    <w:rsid w:val="00D42742"/>
    <w:rsid w:val="00D45AED"/>
    <w:rsid w:val="00D47740"/>
    <w:rsid w:val="00D53D46"/>
    <w:rsid w:val="00D72423"/>
    <w:rsid w:val="00D72ED4"/>
    <w:rsid w:val="00D74C71"/>
    <w:rsid w:val="00D7518F"/>
    <w:rsid w:val="00D80528"/>
    <w:rsid w:val="00D8143B"/>
    <w:rsid w:val="00D91076"/>
    <w:rsid w:val="00D9194A"/>
    <w:rsid w:val="00D91F90"/>
    <w:rsid w:val="00D9448E"/>
    <w:rsid w:val="00DA1F3C"/>
    <w:rsid w:val="00DA2BAA"/>
    <w:rsid w:val="00DD284F"/>
    <w:rsid w:val="00DD2AC3"/>
    <w:rsid w:val="00DD3E1C"/>
    <w:rsid w:val="00DE0045"/>
    <w:rsid w:val="00DE096E"/>
    <w:rsid w:val="00DE099B"/>
    <w:rsid w:val="00DE6161"/>
    <w:rsid w:val="00DF07DA"/>
    <w:rsid w:val="00DF5978"/>
    <w:rsid w:val="00DF5EE1"/>
    <w:rsid w:val="00DF6CEE"/>
    <w:rsid w:val="00E0189D"/>
    <w:rsid w:val="00E05440"/>
    <w:rsid w:val="00E160A8"/>
    <w:rsid w:val="00E17136"/>
    <w:rsid w:val="00E17667"/>
    <w:rsid w:val="00E22742"/>
    <w:rsid w:val="00E25DD2"/>
    <w:rsid w:val="00E3008B"/>
    <w:rsid w:val="00E30313"/>
    <w:rsid w:val="00E460B2"/>
    <w:rsid w:val="00E46984"/>
    <w:rsid w:val="00E56E79"/>
    <w:rsid w:val="00E57F89"/>
    <w:rsid w:val="00E6521F"/>
    <w:rsid w:val="00E668A4"/>
    <w:rsid w:val="00E67A6B"/>
    <w:rsid w:val="00E70B3A"/>
    <w:rsid w:val="00E71CBE"/>
    <w:rsid w:val="00E77D22"/>
    <w:rsid w:val="00E87284"/>
    <w:rsid w:val="00E87F08"/>
    <w:rsid w:val="00E9148C"/>
    <w:rsid w:val="00E957E3"/>
    <w:rsid w:val="00E95B7D"/>
    <w:rsid w:val="00E965E0"/>
    <w:rsid w:val="00EA0894"/>
    <w:rsid w:val="00EA489C"/>
    <w:rsid w:val="00EB1DD0"/>
    <w:rsid w:val="00EB4457"/>
    <w:rsid w:val="00EB71B1"/>
    <w:rsid w:val="00ED03A6"/>
    <w:rsid w:val="00ED5E70"/>
    <w:rsid w:val="00ED65C2"/>
    <w:rsid w:val="00EE283C"/>
    <w:rsid w:val="00EE3D38"/>
    <w:rsid w:val="00EF2F96"/>
    <w:rsid w:val="00EF32D8"/>
    <w:rsid w:val="00F03A21"/>
    <w:rsid w:val="00F060DC"/>
    <w:rsid w:val="00F060EB"/>
    <w:rsid w:val="00F06CE2"/>
    <w:rsid w:val="00F07814"/>
    <w:rsid w:val="00F10E87"/>
    <w:rsid w:val="00F146C3"/>
    <w:rsid w:val="00F20E05"/>
    <w:rsid w:val="00F25364"/>
    <w:rsid w:val="00F26D20"/>
    <w:rsid w:val="00F303EC"/>
    <w:rsid w:val="00F312D5"/>
    <w:rsid w:val="00F32535"/>
    <w:rsid w:val="00F35801"/>
    <w:rsid w:val="00F35C00"/>
    <w:rsid w:val="00F419E5"/>
    <w:rsid w:val="00F517D5"/>
    <w:rsid w:val="00F66FBC"/>
    <w:rsid w:val="00F720A5"/>
    <w:rsid w:val="00F80034"/>
    <w:rsid w:val="00F80C45"/>
    <w:rsid w:val="00F80F79"/>
    <w:rsid w:val="00F815E2"/>
    <w:rsid w:val="00F823C7"/>
    <w:rsid w:val="00F9298E"/>
    <w:rsid w:val="00F95B1F"/>
    <w:rsid w:val="00F9734F"/>
    <w:rsid w:val="00FA4132"/>
    <w:rsid w:val="00FA7735"/>
    <w:rsid w:val="00FC0016"/>
    <w:rsid w:val="00FC6E6F"/>
    <w:rsid w:val="00FD0ADE"/>
    <w:rsid w:val="00FD10E6"/>
    <w:rsid w:val="00FD2597"/>
    <w:rsid w:val="00FD7E33"/>
    <w:rsid w:val="00FE3651"/>
    <w:rsid w:val="00FF7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E5FA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E1E"/>
    <w:pPr>
      <w:spacing w:after="200" w:line="276" w:lineRule="auto"/>
    </w:pPr>
    <w:rPr>
      <w:rFonts w:asciiTheme="majorHAnsi" w:eastAsiaTheme="majorEastAsia" w:hAnsiTheme="majorHAnsi" w:cstheme="majorBidi"/>
      <w:lang w:val="en-US"/>
    </w:rPr>
  </w:style>
  <w:style w:type="paragraph" w:styleId="Heading1">
    <w:name w:val="heading 1"/>
    <w:basedOn w:val="Normal"/>
    <w:next w:val="Normal"/>
    <w:link w:val="Heading1Char"/>
    <w:uiPriority w:val="9"/>
    <w:qFormat/>
    <w:rsid w:val="003973F8"/>
    <w:pPr>
      <w:spacing w:before="480"/>
      <w:contextualSpacing/>
      <w:outlineLvl w:val="0"/>
    </w:pPr>
    <w:rPr>
      <w:rFonts w:asciiTheme="minorHAnsi" w:hAnsiTheme="minorHAnsi" w:cs="Times New Roman (Headings CS)"/>
      <w:b/>
      <w:color w:val="4472C4" w:themeColor="accent1"/>
      <w:spacing w:val="5"/>
      <w:sz w:val="32"/>
      <w:szCs w:val="36"/>
      <w:lang w:val="en-AU"/>
    </w:rPr>
  </w:style>
  <w:style w:type="paragraph" w:styleId="Heading2">
    <w:name w:val="heading 2"/>
    <w:basedOn w:val="Normal"/>
    <w:next w:val="Normal"/>
    <w:link w:val="Heading2Char"/>
    <w:uiPriority w:val="9"/>
    <w:unhideWhenUsed/>
    <w:qFormat/>
    <w:rsid w:val="003973F8"/>
    <w:pPr>
      <w:keepNext/>
      <w:keepLines/>
      <w:spacing w:before="40" w:after="0"/>
      <w:outlineLvl w:val="1"/>
    </w:pPr>
    <w:rPr>
      <w:color w:val="2F5496" w:themeColor="accent1" w:themeShade="BF"/>
      <w:sz w:val="26"/>
      <w:szCs w:val="26"/>
    </w:rPr>
  </w:style>
  <w:style w:type="paragraph" w:styleId="Heading3">
    <w:name w:val="heading 3"/>
    <w:basedOn w:val="Normal"/>
    <w:next w:val="Normal"/>
    <w:link w:val="Heading3Char"/>
    <w:uiPriority w:val="9"/>
    <w:unhideWhenUsed/>
    <w:qFormat/>
    <w:rsid w:val="00270665"/>
    <w:pPr>
      <w:keepNext/>
      <w:keepLines/>
      <w:spacing w:before="40" w:after="0"/>
      <w:outlineLvl w:val="2"/>
    </w:pPr>
    <w:rPr>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3F8"/>
    <w:rPr>
      <w:rFonts w:eastAsiaTheme="majorEastAsia" w:cs="Times New Roman (Headings CS)"/>
      <w:b/>
      <w:color w:val="4472C4" w:themeColor="accent1"/>
      <w:spacing w:val="5"/>
      <w:sz w:val="32"/>
      <w:szCs w:val="36"/>
    </w:rPr>
  </w:style>
  <w:style w:type="paragraph" w:customStyle="1" w:styleId="Bodytext11">
    <w:name w:val="Body text 11"/>
    <w:basedOn w:val="Normal"/>
    <w:qFormat/>
    <w:rsid w:val="003973F8"/>
    <w:pPr>
      <w:spacing w:line="240" w:lineRule="auto"/>
      <w:jc w:val="both"/>
    </w:pPr>
    <w:rPr>
      <w:rFonts w:asciiTheme="minorHAnsi" w:hAnsiTheme="minorHAnsi"/>
    </w:rPr>
  </w:style>
  <w:style w:type="paragraph" w:styleId="ListParagraph">
    <w:name w:val="List Paragraph"/>
    <w:aliases w:val="Bullets,Bullet paras,List Paragraph1,Recommendation,List Paragraph11,L,CV text,Table text,F5 List Paragraph,Dot pt,List Paragraph111,Medium Grid 1 - Accent 21,Numbered Paragraph,Bullet List,FooterText,List Paragraph2,COOP,numbered,列出段落"/>
    <w:basedOn w:val="Normal"/>
    <w:link w:val="ListParagraphChar"/>
    <w:uiPriority w:val="34"/>
    <w:qFormat/>
    <w:rsid w:val="003973F8"/>
    <w:pPr>
      <w:ind w:left="720"/>
      <w:contextualSpacing/>
    </w:pPr>
  </w:style>
  <w:style w:type="character" w:customStyle="1" w:styleId="valuetext1">
    <w:name w:val="valuetext1"/>
    <w:rsid w:val="003973F8"/>
    <w:rPr>
      <w:color w:val="0000CD"/>
    </w:rPr>
  </w:style>
  <w:style w:type="paragraph" w:styleId="FootnoteText">
    <w:name w:val="footnote text"/>
    <w:basedOn w:val="Normal"/>
    <w:link w:val="FootnoteTextChar"/>
    <w:rsid w:val="003973F8"/>
    <w:pPr>
      <w:spacing w:after="40" w:line="240" w:lineRule="auto"/>
    </w:pPr>
    <w:rPr>
      <w:rFonts w:ascii="Calibri" w:eastAsiaTheme="minorEastAsia" w:hAnsi="Calibri" w:cs="Times New Roman"/>
      <w:sz w:val="18"/>
      <w:szCs w:val="20"/>
      <w:lang w:val="en-NZ"/>
    </w:rPr>
  </w:style>
  <w:style w:type="character" w:customStyle="1" w:styleId="FootnoteTextChar">
    <w:name w:val="Footnote Text Char"/>
    <w:basedOn w:val="DefaultParagraphFont"/>
    <w:link w:val="FootnoteText"/>
    <w:rsid w:val="003973F8"/>
    <w:rPr>
      <w:rFonts w:ascii="Calibri" w:eastAsiaTheme="minorEastAsia" w:hAnsi="Calibri" w:cs="Times New Roman"/>
      <w:sz w:val="18"/>
      <w:szCs w:val="20"/>
      <w:lang w:val="en-NZ"/>
    </w:rPr>
  </w:style>
  <w:style w:type="character" w:styleId="FootnoteReference">
    <w:name w:val="footnote reference"/>
    <w:aliases w:val="Normal + Font:9 Point,Superscript 3 Point Times,ftref,(NECG) Footnote Reference,Ref,de nota al pie,FnR-ANZDEC,Fußnotenzeichen DISS,fr,16 Point,Superscript 6 Point,Footnote Ref in FtNote,SUPERS,BVI fnr,Footnote Reference1"/>
    <w:uiPriority w:val="99"/>
    <w:rsid w:val="003973F8"/>
    <w:rPr>
      <w:vertAlign w:val="superscript"/>
    </w:rPr>
  </w:style>
  <w:style w:type="character" w:customStyle="1" w:styleId="ListParagraphChar">
    <w:name w:val="List Paragraph Char"/>
    <w:aliases w:val="Bullets Char,Bullet paras Char,List Paragraph1 Char,Recommendation Char,List Paragraph11 Char,L Char,CV text Char,Table text Char,F5 List Paragraph Char,Dot pt Char,List Paragraph111 Char,Medium Grid 1 - Accent 21 Char,COOP Char"/>
    <w:link w:val="ListParagraph"/>
    <w:uiPriority w:val="34"/>
    <w:qFormat/>
    <w:locked/>
    <w:rsid w:val="003973F8"/>
    <w:rPr>
      <w:rFonts w:asciiTheme="majorHAnsi" w:eastAsiaTheme="majorEastAsia" w:hAnsiTheme="majorHAnsi" w:cstheme="majorBidi"/>
      <w:lang w:val="en-US"/>
    </w:rPr>
  </w:style>
  <w:style w:type="character" w:customStyle="1" w:styleId="Heading2Char">
    <w:name w:val="Heading 2 Char"/>
    <w:basedOn w:val="DefaultParagraphFont"/>
    <w:link w:val="Heading2"/>
    <w:uiPriority w:val="9"/>
    <w:rsid w:val="003973F8"/>
    <w:rPr>
      <w:rFonts w:asciiTheme="majorHAnsi" w:eastAsiaTheme="majorEastAsia" w:hAnsiTheme="majorHAnsi" w:cstheme="majorBidi"/>
      <w:color w:val="2F5496" w:themeColor="accent1" w:themeShade="BF"/>
      <w:sz w:val="26"/>
      <w:szCs w:val="26"/>
      <w:lang w:val="en-US"/>
    </w:rPr>
  </w:style>
  <w:style w:type="paragraph" w:styleId="Caption">
    <w:name w:val="caption"/>
    <w:basedOn w:val="Normal"/>
    <w:next w:val="Normal"/>
    <w:uiPriority w:val="35"/>
    <w:unhideWhenUsed/>
    <w:qFormat/>
    <w:rsid w:val="00DA2BAA"/>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8D1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2C1"/>
    <w:rPr>
      <w:rFonts w:ascii="Segoe UI" w:eastAsiaTheme="majorEastAsia" w:hAnsi="Segoe UI" w:cs="Segoe UI"/>
      <w:sz w:val="18"/>
      <w:szCs w:val="18"/>
      <w:lang w:val="en-US"/>
    </w:rPr>
  </w:style>
  <w:style w:type="table" w:customStyle="1" w:styleId="GridTable4-Accent11">
    <w:name w:val="Grid Table 4 - Accent 11"/>
    <w:basedOn w:val="TableNormal"/>
    <w:uiPriority w:val="49"/>
    <w:rsid w:val="008D12C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5C48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Header">
    <w:name w:val="header"/>
    <w:basedOn w:val="Normal"/>
    <w:link w:val="HeaderChar"/>
    <w:uiPriority w:val="99"/>
    <w:unhideWhenUsed/>
    <w:rsid w:val="00733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FDC"/>
    <w:rPr>
      <w:rFonts w:asciiTheme="majorHAnsi" w:eastAsiaTheme="majorEastAsia" w:hAnsiTheme="majorHAnsi" w:cstheme="majorBidi"/>
      <w:lang w:val="en-US"/>
    </w:rPr>
  </w:style>
  <w:style w:type="paragraph" w:styleId="Footer">
    <w:name w:val="footer"/>
    <w:basedOn w:val="Normal"/>
    <w:link w:val="FooterChar"/>
    <w:uiPriority w:val="99"/>
    <w:unhideWhenUsed/>
    <w:rsid w:val="00733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FDC"/>
    <w:rPr>
      <w:rFonts w:asciiTheme="majorHAnsi" w:eastAsiaTheme="majorEastAsia" w:hAnsiTheme="majorHAnsi" w:cstheme="majorBidi"/>
      <w:lang w:val="en-US"/>
    </w:rPr>
  </w:style>
  <w:style w:type="table" w:styleId="TableGrid">
    <w:name w:val="Table Grid"/>
    <w:basedOn w:val="TableNormal"/>
    <w:uiPriority w:val="39"/>
    <w:rsid w:val="00203AEC"/>
    <w:pPr>
      <w:spacing w:after="0" w:line="240" w:lineRule="auto"/>
    </w:pPr>
    <w:rPr>
      <w:rFonts w:asciiTheme="majorHAnsi" w:eastAsiaTheme="majorEastAsia" w:hAnsiTheme="majorHAnsi" w:cstheme="maj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
    <w:name w:val="Table content"/>
    <w:basedOn w:val="Bodytext11"/>
    <w:qFormat/>
    <w:rsid w:val="00203AEC"/>
    <w:pPr>
      <w:spacing w:before="60" w:after="60"/>
      <w:jc w:val="left"/>
    </w:pPr>
    <w:rPr>
      <w:sz w:val="20"/>
      <w:lang w:val="en-AU"/>
    </w:rPr>
  </w:style>
  <w:style w:type="character" w:styleId="CommentReference">
    <w:name w:val="annotation reference"/>
    <w:basedOn w:val="DefaultParagraphFont"/>
    <w:uiPriority w:val="99"/>
    <w:semiHidden/>
    <w:unhideWhenUsed/>
    <w:rsid w:val="00261904"/>
    <w:rPr>
      <w:sz w:val="16"/>
      <w:szCs w:val="16"/>
    </w:rPr>
  </w:style>
  <w:style w:type="paragraph" w:styleId="CommentText">
    <w:name w:val="annotation text"/>
    <w:basedOn w:val="Normal"/>
    <w:link w:val="CommentTextChar"/>
    <w:uiPriority w:val="99"/>
    <w:semiHidden/>
    <w:unhideWhenUsed/>
    <w:rsid w:val="00261904"/>
    <w:pPr>
      <w:spacing w:line="240" w:lineRule="auto"/>
    </w:pPr>
    <w:rPr>
      <w:sz w:val="20"/>
      <w:szCs w:val="20"/>
    </w:rPr>
  </w:style>
  <w:style w:type="character" w:customStyle="1" w:styleId="CommentTextChar">
    <w:name w:val="Comment Text Char"/>
    <w:basedOn w:val="DefaultParagraphFont"/>
    <w:link w:val="CommentText"/>
    <w:uiPriority w:val="99"/>
    <w:semiHidden/>
    <w:rsid w:val="00261904"/>
    <w:rPr>
      <w:rFonts w:asciiTheme="majorHAnsi" w:eastAsiaTheme="majorEastAsia" w:hAnsiTheme="majorHAnsi" w:cstheme="majorBidi"/>
      <w:sz w:val="20"/>
      <w:szCs w:val="20"/>
      <w:lang w:val="en-US"/>
    </w:rPr>
  </w:style>
  <w:style w:type="paragraph" w:styleId="CommentSubject">
    <w:name w:val="annotation subject"/>
    <w:basedOn w:val="CommentText"/>
    <w:next w:val="CommentText"/>
    <w:link w:val="CommentSubjectChar"/>
    <w:uiPriority w:val="99"/>
    <w:semiHidden/>
    <w:unhideWhenUsed/>
    <w:rsid w:val="00261904"/>
    <w:rPr>
      <w:b/>
      <w:bCs/>
    </w:rPr>
  </w:style>
  <w:style w:type="character" w:customStyle="1" w:styleId="CommentSubjectChar">
    <w:name w:val="Comment Subject Char"/>
    <w:basedOn w:val="CommentTextChar"/>
    <w:link w:val="CommentSubject"/>
    <w:uiPriority w:val="99"/>
    <w:semiHidden/>
    <w:rsid w:val="00261904"/>
    <w:rPr>
      <w:rFonts w:asciiTheme="majorHAnsi" w:eastAsiaTheme="majorEastAsia" w:hAnsiTheme="majorHAnsi" w:cstheme="majorBidi"/>
      <w:b/>
      <w:bCs/>
      <w:sz w:val="20"/>
      <w:szCs w:val="20"/>
      <w:lang w:val="en-US"/>
    </w:rPr>
  </w:style>
  <w:style w:type="paragraph" w:styleId="TOC2">
    <w:name w:val="toc 2"/>
    <w:basedOn w:val="Normal"/>
    <w:next w:val="Normal"/>
    <w:autoRedefine/>
    <w:uiPriority w:val="39"/>
    <w:unhideWhenUsed/>
    <w:rsid w:val="00CF1632"/>
    <w:pPr>
      <w:tabs>
        <w:tab w:val="left" w:pos="880"/>
        <w:tab w:val="right" w:leader="dot" w:pos="9010"/>
      </w:tabs>
      <w:spacing w:before="120" w:after="0"/>
      <w:ind w:left="220"/>
    </w:pPr>
    <w:rPr>
      <w:rFonts w:asciiTheme="minorHAnsi" w:hAnsiTheme="minorHAnsi"/>
      <w:b/>
      <w:iCs/>
      <w:noProof/>
      <w:sz w:val="20"/>
      <w:szCs w:val="20"/>
    </w:rPr>
  </w:style>
  <w:style w:type="character" w:styleId="Hyperlink">
    <w:name w:val="Hyperlink"/>
    <w:basedOn w:val="DefaultParagraphFont"/>
    <w:uiPriority w:val="99"/>
    <w:unhideWhenUsed/>
    <w:rsid w:val="00CF1632"/>
    <w:rPr>
      <w:color w:val="0563C1" w:themeColor="hyperlink"/>
      <w:u w:val="single"/>
    </w:rPr>
  </w:style>
  <w:style w:type="paragraph" w:styleId="NoSpacing">
    <w:name w:val="No Spacing"/>
    <w:link w:val="NoSpacingChar"/>
    <w:uiPriority w:val="1"/>
    <w:qFormat/>
    <w:rsid w:val="0027066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70665"/>
    <w:rPr>
      <w:rFonts w:eastAsiaTheme="minorEastAsia"/>
      <w:lang w:val="en-US"/>
    </w:rPr>
  </w:style>
  <w:style w:type="character" w:customStyle="1" w:styleId="Heading3Char">
    <w:name w:val="Heading 3 Char"/>
    <w:basedOn w:val="DefaultParagraphFont"/>
    <w:link w:val="Heading3"/>
    <w:uiPriority w:val="9"/>
    <w:rsid w:val="00270665"/>
    <w:rPr>
      <w:rFonts w:asciiTheme="majorHAnsi" w:eastAsiaTheme="majorEastAsia" w:hAnsiTheme="majorHAnsi" w:cstheme="majorBidi"/>
      <w:color w:val="1F3763" w:themeColor="accent1" w:themeShade="7F"/>
      <w:sz w:val="24"/>
      <w:szCs w:val="24"/>
      <w:lang w:val="en-US"/>
    </w:rPr>
  </w:style>
  <w:style w:type="paragraph" w:styleId="TOCHeading">
    <w:name w:val="TOC Heading"/>
    <w:basedOn w:val="Heading1"/>
    <w:next w:val="Normal"/>
    <w:uiPriority w:val="39"/>
    <w:unhideWhenUsed/>
    <w:qFormat/>
    <w:rsid w:val="002868FA"/>
    <w:pPr>
      <w:keepNext/>
      <w:keepLines/>
      <w:spacing w:before="240" w:after="0" w:line="259" w:lineRule="auto"/>
      <w:contextualSpacing w:val="0"/>
      <w:outlineLvl w:val="9"/>
    </w:pPr>
    <w:rPr>
      <w:rFonts w:asciiTheme="majorHAnsi" w:hAnsiTheme="majorHAnsi" w:cstheme="majorBidi"/>
      <w:b w:val="0"/>
      <w:color w:val="2F5496" w:themeColor="accent1" w:themeShade="BF"/>
      <w:spacing w:val="0"/>
      <w:szCs w:val="32"/>
      <w:lang w:val="en-US"/>
    </w:rPr>
  </w:style>
  <w:style w:type="table" w:customStyle="1" w:styleId="TableGrid1">
    <w:name w:val="Table Grid1"/>
    <w:basedOn w:val="TableNormal"/>
    <w:next w:val="TableGrid"/>
    <w:uiPriority w:val="39"/>
    <w:rsid w:val="00D45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30634"/>
    <w:pPr>
      <w:spacing w:after="100"/>
      <w:ind w:left="440"/>
    </w:pPr>
  </w:style>
  <w:style w:type="paragraph" w:styleId="TableofFigures">
    <w:name w:val="table of figures"/>
    <w:basedOn w:val="Normal"/>
    <w:next w:val="Normal"/>
    <w:uiPriority w:val="99"/>
    <w:unhideWhenUsed/>
    <w:rsid w:val="00FD0ADE"/>
    <w:pPr>
      <w:spacing w:after="0"/>
    </w:pPr>
  </w:style>
  <w:style w:type="table" w:styleId="GridTable4-Accent1">
    <w:name w:val="Grid Table 4 Accent 1"/>
    <w:basedOn w:val="TableNormal"/>
    <w:uiPriority w:val="49"/>
    <w:rsid w:val="00572F0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1">
    <w:name w:val="toc 1"/>
    <w:basedOn w:val="Normal"/>
    <w:next w:val="Normal"/>
    <w:autoRedefine/>
    <w:uiPriority w:val="39"/>
    <w:unhideWhenUsed/>
    <w:rsid w:val="00F20E0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679583">
      <w:bodyDiv w:val="1"/>
      <w:marLeft w:val="0"/>
      <w:marRight w:val="0"/>
      <w:marTop w:val="0"/>
      <w:marBottom w:val="0"/>
      <w:divBdr>
        <w:top w:val="none" w:sz="0" w:space="0" w:color="auto"/>
        <w:left w:val="none" w:sz="0" w:space="0" w:color="auto"/>
        <w:bottom w:val="none" w:sz="0" w:space="0" w:color="auto"/>
        <w:right w:val="none" w:sz="0" w:space="0" w:color="auto"/>
      </w:divBdr>
    </w:div>
    <w:div w:id="476843787">
      <w:bodyDiv w:val="1"/>
      <w:marLeft w:val="0"/>
      <w:marRight w:val="0"/>
      <w:marTop w:val="0"/>
      <w:marBottom w:val="0"/>
      <w:divBdr>
        <w:top w:val="none" w:sz="0" w:space="0" w:color="auto"/>
        <w:left w:val="none" w:sz="0" w:space="0" w:color="auto"/>
        <w:bottom w:val="none" w:sz="0" w:space="0" w:color="auto"/>
        <w:right w:val="none" w:sz="0" w:space="0" w:color="auto"/>
      </w:divBdr>
    </w:div>
    <w:div w:id="17616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808DF9-D8CC-4D7A-8BF9-57CA8FC8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10322</Words>
  <Characters>56966</Characters>
  <Application>Microsoft Office Word</Application>
  <DocSecurity>0</DocSecurity>
  <Lines>1768</Lines>
  <Paragraphs>939</Paragraphs>
  <ScaleCrop>false</ScaleCrop>
  <Company/>
  <LinksUpToDate>false</LinksUpToDate>
  <CharactersWithSpaces>66950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2021-12-14T22:40:00Z</dcterms:created>
  <dcterms:modified xsi:type="dcterms:W3CDTF">2021-12-14T22:40:00Z</dcterms:modified>
  <cp:category/>
</cp:coreProperties>
</file>