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14"/>
        </w:rPr>
      </w:pPr>
    </w:p>
    <w:p>
      <w:pPr>
        <w:pStyle w:val="BodyText"/>
        <w:spacing w:before="44" w:after="55"/>
        <w:ind w:left="120"/>
      </w:pPr>
      <w:r>
        <w:rPr>
          <w:color w:val="445469"/>
        </w:rPr>
        <w:t>Solomon</w:t>
      </w:r>
      <w:r>
        <w:rPr>
          <w:color w:val="445469"/>
          <w:spacing w:val="-7"/>
        </w:rPr>
        <w:t> </w:t>
      </w:r>
      <w:r>
        <w:rPr>
          <w:color w:val="445469"/>
        </w:rPr>
        <w:t>Islands</w:t>
      </w:r>
      <w:r>
        <w:rPr>
          <w:color w:val="445469"/>
          <w:spacing w:val="-5"/>
        </w:rPr>
        <w:t> </w:t>
      </w:r>
      <w:r>
        <w:rPr>
          <w:color w:val="445469"/>
        </w:rPr>
        <w:t>Growth</w:t>
      </w:r>
      <w:r>
        <w:rPr>
          <w:color w:val="445469"/>
          <w:spacing w:val="-4"/>
        </w:rPr>
        <w:t> </w:t>
      </w:r>
      <w:r>
        <w:rPr>
          <w:color w:val="445469"/>
        </w:rPr>
        <w:t>Program</w:t>
      </w:r>
      <w:r>
        <w:rPr>
          <w:color w:val="445469"/>
          <w:spacing w:val="-5"/>
        </w:rPr>
        <w:t> </w:t>
      </w:r>
      <w:r>
        <w:rPr>
          <w:color w:val="445469"/>
        </w:rPr>
        <w:t>(SIGP)</w:t>
      </w:r>
      <w:r>
        <w:rPr>
          <w:color w:val="445469"/>
          <w:spacing w:val="-6"/>
        </w:rPr>
        <w:t> </w:t>
      </w:r>
      <w:r>
        <w:rPr>
          <w:color w:val="445469"/>
        </w:rPr>
        <w:t>Mid-Term</w:t>
      </w:r>
      <w:r>
        <w:rPr>
          <w:color w:val="445469"/>
          <w:spacing w:val="-3"/>
        </w:rPr>
        <w:t> </w:t>
      </w:r>
      <w:r>
        <w:rPr>
          <w:color w:val="445469"/>
        </w:rPr>
        <w:t>Review</w:t>
      </w:r>
      <w:r>
        <w:rPr>
          <w:color w:val="445469"/>
          <w:spacing w:val="-6"/>
        </w:rPr>
        <w:t> </w:t>
      </w:r>
      <w:r>
        <w:rPr>
          <w:color w:val="445469"/>
        </w:rPr>
        <w:t>Recommendations</w:t>
      </w:r>
      <w:r>
        <w:rPr>
          <w:color w:val="445469"/>
          <w:spacing w:val="-3"/>
        </w:rPr>
        <w:t> </w:t>
      </w:r>
      <w:r>
        <w:rPr>
          <w:color w:val="445469"/>
        </w:rPr>
        <w:t>and</w:t>
      </w:r>
      <w:r>
        <w:rPr>
          <w:color w:val="445469"/>
          <w:spacing w:val="-6"/>
        </w:rPr>
        <w:t> </w:t>
      </w:r>
      <w:r>
        <w:rPr>
          <w:color w:val="445469"/>
        </w:rPr>
        <w:t>Management</w:t>
      </w:r>
      <w:r>
        <w:rPr>
          <w:color w:val="445469"/>
          <w:spacing w:val="-3"/>
        </w:rPr>
        <w:t> </w:t>
      </w:r>
      <w:r>
        <w:rPr>
          <w:color w:val="445469"/>
          <w:spacing w:val="-2"/>
        </w:rPr>
        <w:t>Response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1560"/>
        <w:gridCol w:w="6804"/>
      </w:tblGrid>
      <w:tr>
        <w:trPr>
          <w:trHeight w:val="771" w:hRule="atLeast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tabs>
                <w:tab w:pos="4233" w:val="left" w:leader="none"/>
                <w:tab w:pos="5791" w:val="left" w:leader="none"/>
                <w:tab w:pos="10471" w:val="left" w:leader="none"/>
              </w:tabs>
              <w:spacing w:before="126"/>
              <w:ind w:left="12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Response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Explanation</w:t>
            </w:r>
            <w:r>
              <w:rPr>
                <w:b/>
                <w:color w:val="FFFFFF"/>
                <w:sz w:val="22"/>
              </w:rPr>
              <w:tab/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3715" w:hRule="atLeast"/>
        </w:trPr>
        <w:tc>
          <w:tcPr>
            <w:tcW w:w="4118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9"/>
                <w:sz w:val="22"/>
              </w:rPr>
              <w:t> </w:t>
            </w:r>
            <w:r>
              <w:rPr>
                <w:b/>
                <w:color w:val="445469"/>
                <w:spacing w:val="-10"/>
                <w:sz w:val="22"/>
              </w:rPr>
              <w:t>1</w:t>
            </w:r>
          </w:p>
          <w:p>
            <w:pPr>
              <w:pStyle w:val="TableParagraph"/>
              <w:spacing w:before="120"/>
              <w:ind w:left="122" w:right="180"/>
              <w:rPr>
                <w:sz w:val="22"/>
              </w:rPr>
            </w:pPr>
            <w:r>
              <w:rPr>
                <w:color w:val="445469"/>
                <w:sz w:val="22"/>
              </w:rPr>
              <w:t>Managers and implementers of SIGP activities should</w:t>
            </w:r>
            <w:r>
              <w:rPr>
                <w:color w:val="445469"/>
                <w:spacing w:val="-2"/>
                <w:sz w:val="22"/>
              </w:rPr>
              <w:t> </w:t>
            </w:r>
            <w:r>
              <w:rPr>
                <w:color w:val="445469"/>
                <w:sz w:val="22"/>
              </w:rPr>
              <w:t>continue to</w:t>
            </w:r>
            <w:r>
              <w:rPr>
                <w:color w:val="445469"/>
                <w:spacing w:val="-2"/>
                <w:sz w:val="22"/>
              </w:rPr>
              <w:t> </w:t>
            </w:r>
            <w:r>
              <w:rPr>
                <w:color w:val="445469"/>
                <w:sz w:val="22"/>
              </w:rPr>
              <w:t>maintain an awareness of other activities in the program</w:t>
            </w:r>
            <w:r>
              <w:rPr>
                <w:color w:val="445469"/>
                <w:spacing w:val="-9"/>
                <w:sz w:val="22"/>
              </w:rPr>
              <w:t> </w:t>
            </w:r>
            <w:r>
              <w:rPr>
                <w:color w:val="445469"/>
                <w:sz w:val="22"/>
              </w:rPr>
              <w:t>and</w:t>
            </w:r>
            <w:r>
              <w:rPr>
                <w:color w:val="445469"/>
                <w:spacing w:val="-9"/>
                <w:sz w:val="22"/>
              </w:rPr>
              <w:t> </w:t>
            </w:r>
            <w:r>
              <w:rPr>
                <w:color w:val="445469"/>
                <w:sz w:val="22"/>
              </w:rPr>
              <w:t>take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advantage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of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potential linkages that may emerge in the future.</w:t>
            </w:r>
          </w:p>
        </w:tc>
        <w:tc>
          <w:tcPr>
            <w:tcW w:w="1560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445469"/>
                <w:spacing w:val="-2"/>
                <w:sz w:val="22"/>
              </w:rPr>
              <w:t>Agree</w:t>
            </w:r>
          </w:p>
        </w:tc>
        <w:tc>
          <w:tcPr>
            <w:tcW w:w="680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tabs>
                <w:tab w:pos="4793" w:val="left" w:leader="none"/>
              </w:tabs>
              <w:ind w:left="113"/>
              <w:rPr>
                <w:sz w:val="22"/>
              </w:rPr>
            </w:pPr>
            <w:r>
              <w:rPr>
                <w:color w:val="445469"/>
                <w:sz w:val="22"/>
              </w:rPr>
              <w:t>DFAT </w:t>
            </w:r>
            <w:r>
              <w:rPr>
                <w:color w:val="445469"/>
                <w:spacing w:val="-2"/>
                <w:sz w:val="22"/>
              </w:rPr>
              <w:t>agrees.</w:t>
            </w:r>
            <w:r>
              <w:rPr>
                <w:color w:val="445469"/>
                <w:sz w:val="22"/>
              </w:rPr>
              <w:tab/>
              <w:t>DFAT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z w:val="22"/>
              </w:rPr>
              <w:t>program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pacing w:val="-5"/>
                <w:sz w:val="22"/>
              </w:rPr>
              <w:t>and</w:t>
            </w:r>
          </w:p>
          <w:p>
            <w:pPr>
              <w:pStyle w:val="TableParagraph"/>
              <w:spacing w:before="0"/>
              <w:ind w:left="4793" w:right="99"/>
              <w:rPr>
                <w:sz w:val="22"/>
              </w:rPr>
            </w:pPr>
            <w:r>
              <w:rPr>
                <w:color w:val="445469"/>
                <w:sz w:val="22"/>
              </w:rPr>
              <w:t>activity managers</w:t>
            </w:r>
            <w:r>
              <w:rPr>
                <w:color w:val="445469"/>
                <w:spacing w:val="40"/>
                <w:sz w:val="22"/>
              </w:rPr>
              <w:t> </w:t>
            </w:r>
            <w:r>
              <w:rPr>
                <w:color w:val="445469"/>
                <w:sz w:val="22"/>
              </w:rPr>
              <w:t>will continue to be aware of and take advantage of potential linkages. Collaboration and visibility of activities will be strengthened through regular SIGP specific meetings, chaired by the SIGP investment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manager.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1"/>
        <w:rPr>
          <w:b/>
          <w:sz w:val="2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1560"/>
        <w:gridCol w:w="6804"/>
      </w:tblGrid>
      <w:tr>
        <w:trPr>
          <w:trHeight w:val="770" w:hRule="atLeast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tabs>
                <w:tab w:pos="4233" w:val="left" w:leader="none"/>
                <w:tab w:pos="5791" w:val="left" w:leader="none"/>
                <w:tab w:pos="10471" w:val="left" w:leader="none"/>
              </w:tabs>
              <w:spacing w:before="126"/>
              <w:ind w:left="12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Response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Explanation</w:t>
            </w:r>
            <w:r>
              <w:rPr>
                <w:b/>
                <w:color w:val="FFFFFF"/>
                <w:sz w:val="22"/>
              </w:rPr>
              <w:tab/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2076" w:hRule="atLeast"/>
        </w:trPr>
        <w:tc>
          <w:tcPr>
            <w:tcW w:w="4118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9"/>
                <w:sz w:val="22"/>
              </w:rPr>
              <w:t> </w:t>
            </w:r>
            <w:r>
              <w:rPr>
                <w:b/>
                <w:color w:val="445469"/>
                <w:spacing w:val="-10"/>
                <w:sz w:val="22"/>
              </w:rPr>
              <w:t>2</w:t>
            </w:r>
          </w:p>
          <w:p>
            <w:pPr>
              <w:pStyle w:val="TableParagraph"/>
              <w:spacing w:before="117"/>
              <w:ind w:left="122" w:right="180"/>
              <w:rPr>
                <w:sz w:val="22"/>
              </w:rPr>
            </w:pPr>
            <w:r>
              <w:rPr>
                <w:color w:val="445469"/>
                <w:sz w:val="22"/>
              </w:rPr>
              <w:t>A small Steering Committee should be established for Strongim Bisnis and technical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support</w:t>
            </w:r>
            <w:r>
              <w:rPr>
                <w:color w:val="445469"/>
                <w:spacing w:val="-6"/>
                <w:sz w:val="22"/>
              </w:rPr>
              <w:t> </w:t>
            </w:r>
            <w:r>
              <w:rPr>
                <w:color w:val="445469"/>
                <w:sz w:val="22"/>
              </w:rPr>
              <w:t>engaged</w:t>
            </w:r>
            <w:r>
              <w:rPr>
                <w:color w:val="445469"/>
                <w:spacing w:val="-11"/>
                <w:sz w:val="22"/>
              </w:rPr>
              <w:t> </w:t>
            </w:r>
            <w:r>
              <w:rPr>
                <w:color w:val="445469"/>
                <w:sz w:val="22"/>
              </w:rPr>
              <w:t>to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assist</w:t>
            </w:r>
            <w:r>
              <w:rPr>
                <w:color w:val="445469"/>
                <w:spacing w:val="-9"/>
                <w:sz w:val="22"/>
              </w:rPr>
              <w:t> </w:t>
            </w:r>
            <w:r>
              <w:rPr>
                <w:color w:val="445469"/>
                <w:sz w:val="22"/>
              </w:rPr>
              <w:t>the AHC in managing the activity.</w:t>
            </w:r>
          </w:p>
        </w:tc>
        <w:tc>
          <w:tcPr>
            <w:tcW w:w="1560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445469"/>
                <w:spacing w:val="-2"/>
                <w:sz w:val="22"/>
              </w:rPr>
              <w:t>Agree</w:t>
            </w:r>
          </w:p>
        </w:tc>
        <w:tc>
          <w:tcPr>
            <w:tcW w:w="680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tabs>
                <w:tab w:pos="4793" w:val="left" w:leader="none"/>
              </w:tabs>
              <w:spacing w:before="105"/>
              <w:ind w:left="113" w:right="115"/>
              <w:rPr>
                <w:sz w:val="22"/>
              </w:rPr>
            </w:pPr>
            <w:r>
              <w:rPr>
                <w:color w:val="445469"/>
                <w:sz w:val="22"/>
              </w:rPr>
              <w:t>DFAT will establish a Steering Committee for</w:t>
              <w:tab/>
              <w:t>DFAT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Strongim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Bisnis Strongim</w:t>
            </w:r>
            <w:r>
              <w:rPr>
                <w:color w:val="445469"/>
                <w:spacing w:val="-4"/>
                <w:sz w:val="22"/>
              </w:rPr>
              <w:t> </w:t>
            </w:r>
            <w:r>
              <w:rPr>
                <w:color w:val="445469"/>
                <w:sz w:val="22"/>
              </w:rPr>
              <w:t>Bisnis</w:t>
            </w:r>
            <w:r>
              <w:rPr>
                <w:color w:val="445469"/>
                <w:spacing w:val="-2"/>
                <w:sz w:val="22"/>
              </w:rPr>
              <w:t> </w:t>
            </w:r>
            <w:r>
              <w:rPr>
                <w:color w:val="445469"/>
                <w:sz w:val="22"/>
              </w:rPr>
              <w:t>in</w:t>
            </w:r>
            <w:r>
              <w:rPr>
                <w:color w:val="445469"/>
                <w:spacing w:val="-4"/>
                <w:sz w:val="22"/>
              </w:rPr>
              <w:t> 2019.</w:t>
            </w:r>
            <w:r>
              <w:rPr>
                <w:color w:val="445469"/>
                <w:sz w:val="22"/>
              </w:rPr>
              <w:tab/>
              <w:t>program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and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pacing w:val="-2"/>
                <w:sz w:val="22"/>
              </w:rPr>
              <w:t>activity</w:t>
            </w:r>
          </w:p>
          <w:p>
            <w:pPr>
              <w:pStyle w:val="TableParagraph"/>
              <w:spacing w:before="1"/>
              <w:ind w:left="4793" w:right="421"/>
              <w:rPr>
                <w:sz w:val="22"/>
              </w:rPr>
            </w:pPr>
            <w:r>
              <w:rPr>
                <w:color w:val="445469"/>
                <w:sz w:val="22"/>
              </w:rPr>
              <w:t>manager will establish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Steering Committee in Q2 </w:t>
            </w:r>
            <w:r>
              <w:rPr>
                <w:color w:val="445469"/>
                <w:spacing w:val="-2"/>
                <w:sz w:val="22"/>
              </w:rPr>
              <w:t>2019.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1340" w:bottom="280" w:left="1320" w:right="2420"/>
        </w:sectPr>
      </w:pPr>
    </w:p>
    <w:p>
      <w:pPr>
        <w:spacing w:line="240" w:lineRule="auto" w:before="3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1560"/>
        <w:gridCol w:w="6804"/>
      </w:tblGrid>
      <w:tr>
        <w:trPr>
          <w:trHeight w:val="768" w:hRule="atLeast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tabs>
                <w:tab w:pos="4233" w:val="left" w:leader="none"/>
                <w:tab w:pos="5791" w:val="left" w:leader="none"/>
                <w:tab w:pos="10471" w:val="left" w:leader="none"/>
              </w:tabs>
              <w:spacing w:before="126"/>
              <w:ind w:left="12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Response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Explanation</w:t>
            </w:r>
            <w:r>
              <w:rPr>
                <w:b/>
                <w:color w:val="FFFFFF"/>
                <w:sz w:val="22"/>
              </w:rPr>
              <w:tab/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1778" w:hRule="atLeast"/>
        </w:trPr>
        <w:tc>
          <w:tcPr>
            <w:tcW w:w="4118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80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tabs>
                <w:tab w:pos="4793" w:val="left" w:leader="none"/>
              </w:tabs>
              <w:spacing w:before="48"/>
              <w:ind w:left="113" w:right="103"/>
              <w:jc w:val="right"/>
              <w:rPr>
                <w:sz w:val="22"/>
              </w:rPr>
            </w:pPr>
            <w:r>
              <w:rPr>
                <w:color w:val="445469"/>
                <w:sz w:val="22"/>
              </w:rPr>
              <w:t>The DFAT activity manager of Strongim Bisnis will</w:t>
              <w:tab/>
              <w:t>DFAT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Strongim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Bisnis engage technical support for the activity when</w:t>
              <w:tab/>
              <w:t>program and activity the need arises.</w:t>
              <w:tab/>
              <w:t>manager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will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procure technical support on</w:t>
            </w:r>
          </w:p>
          <w:p>
            <w:pPr>
              <w:pStyle w:val="TableParagraph"/>
              <w:spacing w:before="1"/>
              <w:ind w:left="4793"/>
              <w:rPr>
                <w:sz w:val="22"/>
              </w:rPr>
            </w:pPr>
            <w:r>
              <w:rPr>
                <w:color w:val="445469"/>
                <w:sz w:val="22"/>
              </w:rPr>
              <w:t>a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needs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basis,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as </w:t>
            </w:r>
            <w:r>
              <w:rPr>
                <w:color w:val="445469"/>
                <w:spacing w:val="-2"/>
                <w:sz w:val="22"/>
              </w:rPr>
              <w:t>required.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560"/>
        <w:gridCol w:w="4603"/>
        <w:gridCol w:w="2200"/>
      </w:tblGrid>
      <w:tr>
        <w:trPr>
          <w:trHeight w:val="771" w:hRule="atLeast"/>
        </w:trPr>
        <w:tc>
          <w:tcPr>
            <w:tcW w:w="4111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</w:p>
        </w:tc>
        <w:tc>
          <w:tcPr>
            <w:tcW w:w="1560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Response</w:t>
            </w:r>
          </w:p>
        </w:tc>
        <w:tc>
          <w:tcPr>
            <w:tcW w:w="4603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Explanation</w:t>
            </w:r>
          </w:p>
        </w:tc>
        <w:tc>
          <w:tcPr>
            <w:tcW w:w="2200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8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2911" w:hRule="atLeast"/>
        </w:trPr>
        <w:tc>
          <w:tcPr>
            <w:tcW w:w="4111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9"/>
                <w:sz w:val="22"/>
              </w:rPr>
              <w:t> </w:t>
            </w:r>
            <w:r>
              <w:rPr>
                <w:b/>
                <w:color w:val="445469"/>
                <w:spacing w:val="-10"/>
                <w:sz w:val="22"/>
              </w:rPr>
              <w:t>3</w:t>
            </w:r>
          </w:p>
          <w:p>
            <w:pPr>
              <w:pStyle w:val="TableParagraph"/>
              <w:spacing w:before="120"/>
              <w:ind w:right="133"/>
              <w:rPr>
                <w:sz w:val="22"/>
              </w:rPr>
            </w:pPr>
            <w:r>
              <w:rPr>
                <w:color w:val="445469"/>
                <w:sz w:val="22"/>
              </w:rPr>
              <w:t>Part-time technical assistance should be available to the SIGP Program Manager to develop missing or incomplete management systems, to review, identify additional needs and interpret data and other</w:t>
            </w:r>
            <w:r>
              <w:rPr>
                <w:color w:val="445469"/>
                <w:spacing w:val="-10"/>
                <w:sz w:val="22"/>
              </w:rPr>
              <w:t> </w:t>
            </w:r>
            <w:r>
              <w:rPr>
                <w:color w:val="445469"/>
                <w:sz w:val="22"/>
              </w:rPr>
              <w:t>content</w:t>
            </w:r>
            <w:r>
              <w:rPr>
                <w:color w:val="445469"/>
                <w:spacing w:val="-9"/>
                <w:sz w:val="22"/>
              </w:rPr>
              <w:t> </w:t>
            </w:r>
            <w:r>
              <w:rPr>
                <w:color w:val="445469"/>
                <w:sz w:val="22"/>
              </w:rPr>
              <w:t>of</w:t>
            </w:r>
            <w:r>
              <w:rPr>
                <w:color w:val="445469"/>
                <w:spacing w:val="-10"/>
                <w:sz w:val="22"/>
              </w:rPr>
              <w:t> </w:t>
            </w:r>
            <w:r>
              <w:rPr>
                <w:color w:val="445469"/>
                <w:sz w:val="22"/>
              </w:rPr>
              <w:t>management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information systems and to assist in the preparation and review of reports.</w:t>
            </w:r>
          </w:p>
        </w:tc>
        <w:tc>
          <w:tcPr>
            <w:tcW w:w="1560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45469"/>
                <w:spacing w:val="-2"/>
                <w:sz w:val="22"/>
              </w:rPr>
              <w:t>Agree</w:t>
            </w:r>
          </w:p>
        </w:tc>
        <w:tc>
          <w:tcPr>
            <w:tcW w:w="4603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445469"/>
                <w:sz w:val="22"/>
              </w:rPr>
              <w:t>With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the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conclusion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of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the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Program</w:t>
            </w:r>
            <w:r>
              <w:rPr>
                <w:color w:val="445469"/>
                <w:spacing w:val="-4"/>
                <w:sz w:val="22"/>
              </w:rPr>
              <w:t> </w:t>
            </w:r>
            <w:r>
              <w:rPr>
                <w:color w:val="445469"/>
                <w:sz w:val="22"/>
              </w:rPr>
              <w:t>Coordinator position, the Program Manager will look to procure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technical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z w:val="22"/>
              </w:rPr>
              <w:t>support for the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activity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where the need arises.</w:t>
            </w:r>
          </w:p>
        </w:tc>
        <w:tc>
          <w:tcPr>
            <w:tcW w:w="2200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ind w:left="182" w:right="134"/>
              <w:rPr>
                <w:sz w:val="22"/>
              </w:rPr>
            </w:pPr>
            <w:r>
              <w:rPr>
                <w:color w:val="445469"/>
                <w:sz w:val="22"/>
              </w:rPr>
              <w:t>DFAT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will ensure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the 2019/20 budget contains an allocation for technical assistance. DFAT SIGP program and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activity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manager to procure technical support on a needs basis, as required.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320" w:right="24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560"/>
        <w:gridCol w:w="4649"/>
        <w:gridCol w:w="2155"/>
      </w:tblGrid>
      <w:tr>
        <w:trPr>
          <w:trHeight w:val="768" w:hRule="atLeast"/>
        </w:trPr>
        <w:tc>
          <w:tcPr>
            <w:tcW w:w="4111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</w:p>
        </w:tc>
        <w:tc>
          <w:tcPr>
            <w:tcW w:w="1560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Response</w:t>
            </w:r>
          </w:p>
        </w:tc>
        <w:tc>
          <w:tcPr>
            <w:tcW w:w="4649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Explanation</w:t>
            </w:r>
          </w:p>
        </w:tc>
        <w:tc>
          <w:tcPr>
            <w:tcW w:w="2155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4486" w:hRule="atLeast"/>
        </w:trPr>
        <w:tc>
          <w:tcPr>
            <w:tcW w:w="4111" w:type="dxa"/>
            <w:tcBorders>
              <w:top w:val="single" w:sz="36" w:space="0" w:color="000000"/>
            </w:tcBorders>
            <w:shd w:val="clear" w:color="auto" w:fill="E6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6"/>
                <w:sz w:val="22"/>
              </w:rPr>
              <w:t> </w:t>
            </w:r>
            <w:r>
              <w:rPr>
                <w:b/>
                <w:color w:val="445469"/>
                <w:sz w:val="22"/>
              </w:rPr>
              <w:t>4</w:t>
            </w:r>
            <w:r>
              <w:rPr>
                <w:b/>
                <w:color w:val="445469"/>
                <w:spacing w:val="-3"/>
                <w:sz w:val="22"/>
              </w:rPr>
              <w:t> </w:t>
            </w:r>
            <w:r>
              <w:rPr>
                <w:b/>
                <w:color w:val="445469"/>
                <w:spacing w:val="-5"/>
                <w:sz w:val="22"/>
              </w:rPr>
              <w:t>(i)</w:t>
            </w:r>
          </w:p>
          <w:p>
            <w:pPr>
              <w:pStyle w:val="TableParagraph"/>
              <w:spacing w:before="120"/>
              <w:ind w:right="129"/>
              <w:rPr>
                <w:sz w:val="22"/>
              </w:rPr>
            </w:pPr>
            <w:r>
              <w:rPr>
                <w:color w:val="445469"/>
                <w:sz w:val="22"/>
              </w:rPr>
              <w:t>Regarding M&amp;E: at the activity level, M&amp;E arrangements could be enhanced by the inclusion of outcome evaluations for the East</w:t>
            </w:r>
            <w:r>
              <w:rPr>
                <w:color w:val="445469"/>
                <w:spacing w:val="-4"/>
                <w:sz w:val="22"/>
              </w:rPr>
              <w:t> </w:t>
            </w:r>
            <w:r>
              <w:rPr>
                <w:color w:val="445469"/>
                <w:sz w:val="22"/>
              </w:rPr>
              <w:t>Guadalcanal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Road</w:t>
            </w:r>
            <w:r>
              <w:rPr>
                <w:color w:val="445469"/>
                <w:spacing w:val="-9"/>
                <w:sz w:val="22"/>
              </w:rPr>
              <w:t> </w:t>
            </w:r>
            <w:r>
              <w:rPr>
                <w:color w:val="445469"/>
                <w:sz w:val="22"/>
              </w:rPr>
              <w:t>and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Bridges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Project, Gizo Market Redevelopment and support to the ERU and by ensuring the M&amp;E system for Strongim Bisnis is put into </w:t>
            </w:r>
            <w:r>
              <w:rPr>
                <w:color w:val="445469"/>
                <w:spacing w:val="-2"/>
                <w:sz w:val="22"/>
              </w:rPr>
              <w:t>operation;</w:t>
            </w:r>
          </w:p>
        </w:tc>
        <w:tc>
          <w:tcPr>
            <w:tcW w:w="1560" w:type="dxa"/>
            <w:tcBorders>
              <w:top w:val="single" w:sz="36" w:space="0" w:color="000000"/>
            </w:tcBorders>
            <w:shd w:val="clear" w:color="auto" w:fill="FFBF00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45469"/>
                <w:sz w:val="22"/>
              </w:rPr>
              <w:t>Agree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z w:val="22"/>
              </w:rPr>
              <w:t>in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pacing w:val="-4"/>
                <w:sz w:val="22"/>
              </w:rPr>
              <w:t>part</w:t>
            </w:r>
          </w:p>
        </w:tc>
        <w:tc>
          <w:tcPr>
            <w:tcW w:w="4649" w:type="dxa"/>
            <w:tcBorders>
              <w:top w:val="single" w:sz="36" w:space="0" w:color="000000"/>
            </w:tcBorders>
            <w:shd w:val="clear" w:color="auto" w:fill="DDE9F6"/>
          </w:tcPr>
          <w:p>
            <w:pPr>
              <w:pStyle w:val="TableParagraph"/>
              <w:ind w:left="105" w:right="108"/>
              <w:rPr>
                <w:sz w:val="22"/>
              </w:rPr>
            </w:pPr>
            <w:r>
              <w:rPr>
                <w:color w:val="445469"/>
                <w:sz w:val="22"/>
              </w:rPr>
              <w:t>The Asian Development Bank (ADB), as technical lead on the Sustainable Transport Infrastructure Improvement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Project</w:t>
            </w:r>
            <w:r>
              <w:rPr>
                <w:color w:val="445469"/>
                <w:spacing w:val="-2"/>
                <w:sz w:val="22"/>
              </w:rPr>
              <w:t> </w:t>
            </w:r>
            <w:r>
              <w:rPr>
                <w:color w:val="445469"/>
                <w:sz w:val="22"/>
              </w:rPr>
              <w:t>(STIIP), recently conducted a</w:t>
            </w:r>
            <w:r>
              <w:rPr>
                <w:color w:val="445469"/>
                <w:spacing w:val="-4"/>
                <w:sz w:val="22"/>
              </w:rPr>
              <w:t> </w:t>
            </w:r>
            <w:r>
              <w:rPr>
                <w:color w:val="445469"/>
                <w:sz w:val="22"/>
              </w:rPr>
              <w:t>mid-term</w:t>
            </w:r>
            <w:r>
              <w:rPr>
                <w:color w:val="445469"/>
                <w:spacing w:val="-6"/>
                <w:sz w:val="22"/>
              </w:rPr>
              <w:t> </w:t>
            </w:r>
            <w:r>
              <w:rPr>
                <w:color w:val="445469"/>
                <w:sz w:val="22"/>
              </w:rPr>
              <w:t>review</w:t>
            </w:r>
            <w:r>
              <w:rPr>
                <w:color w:val="445469"/>
                <w:spacing w:val="-6"/>
                <w:sz w:val="22"/>
              </w:rPr>
              <w:t> </w:t>
            </w:r>
            <w:r>
              <w:rPr>
                <w:color w:val="445469"/>
                <w:sz w:val="22"/>
              </w:rPr>
              <w:t>of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STIIP,</w:t>
            </w:r>
            <w:r>
              <w:rPr>
                <w:color w:val="445469"/>
                <w:spacing w:val="-6"/>
                <w:sz w:val="22"/>
              </w:rPr>
              <w:t> </w:t>
            </w:r>
            <w:r>
              <w:rPr>
                <w:color w:val="445469"/>
                <w:sz w:val="22"/>
              </w:rPr>
              <w:t>which</w:t>
            </w:r>
            <w:r>
              <w:rPr>
                <w:color w:val="445469"/>
                <w:spacing w:val="-6"/>
                <w:sz w:val="22"/>
              </w:rPr>
              <w:t> </w:t>
            </w:r>
            <w:r>
              <w:rPr>
                <w:color w:val="445469"/>
                <w:sz w:val="22"/>
              </w:rPr>
              <w:t>considered</w:t>
            </w:r>
            <w:r>
              <w:rPr>
                <w:color w:val="445469"/>
                <w:spacing w:val="-6"/>
                <w:sz w:val="22"/>
              </w:rPr>
              <w:t> </w:t>
            </w:r>
            <w:r>
              <w:rPr>
                <w:color w:val="445469"/>
                <w:sz w:val="22"/>
              </w:rPr>
              <w:t>the East Guadalcanal Road and Bridges Project. The ADB will similarly undertake the end of program assessment at the conclusion on STIIP in 2021.</w:t>
            </w:r>
          </w:p>
          <w:p>
            <w:pPr>
              <w:pStyle w:val="TableParagraph"/>
              <w:spacing w:before="119"/>
              <w:ind w:left="105"/>
              <w:rPr>
                <w:sz w:val="22"/>
              </w:rPr>
            </w:pPr>
            <w:r>
              <w:rPr>
                <w:color w:val="445469"/>
                <w:sz w:val="22"/>
              </w:rPr>
              <w:t>DFAT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will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integrate</w:t>
            </w:r>
            <w:r>
              <w:rPr>
                <w:color w:val="445469"/>
                <w:spacing w:val="-2"/>
                <w:sz w:val="22"/>
              </w:rPr>
              <w:t> </w:t>
            </w:r>
            <w:r>
              <w:rPr>
                <w:color w:val="445469"/>
                <w:sz w:val="22"/>
              </w:rPr>
              <w:t>the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ERU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advisers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into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Honiara Post’s Governance program. M&amp;E of ERU outcomes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will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then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be carried out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by the existing management arrangements of the Governance </w:t>
            </w:r>
            <w:r>
              <w:rPr>
                <w:color w:val="445469"/>
                <w:spacing w:val="-2"/>
                <w:sz w:val="22"/>
              </w:rPr>
              <w:t>program.</w:t>
            </w:r>
          </w:p>
        </w:tc>
        <w:tc>
          <w:tcPr>
            <w:tcW w:w="2155" w:type="dxa"/>
            <w:tcBorders>
              <w:top w:val="single" w:sz="36" w:space="0" w:color="000000"/>
            </w:tcBorders>
            <w:shd w:val="clear" w:color="auto" w:fill="DDE9F6"/>
          </w:tcPr>
          <w:p>
            <w:pPr>
              <w:pStyle w:val="TableParagraph"/>
              <w:ind w:left="136" w:right="162"/>
              <w:rPr>
                <w:sz w:val="22"/>
              </w:rPr>
            </w:pPr>
            <w:r>
              <w:rPr>
                <w:color w:val="445469"/>
                <w:sz w:val="22"/>
              </w:rPr>
              <w:t>The relevant DFAT program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and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activity managers will undertake outcome evaluations for:</w:t>
            </w:r>
            <w:r>
              <w:rPr>
                <w:color w:val="445469"/>
                <w:spacing w:val="-2"/>
                <w:sz w:val="22"/>
              </w:rPr>
              <w:t> </w:t>
            </w:r>
            <w:r>
              <w:rPr>
                <w:color w:val="445469"/>
                <w:sz w:val="22"/>
              </w:rPr>
              <w:t>East Guadalcanal Roads and Bridges project as part of STIIP completion, Gizo </w:t>
            </w:r>
            <w:r>
              <w:rPr>
                <w:color w:val="445469"/>
                <w:spacing w:val="-2"/>
                <w:sz w:val="22"/>
              </w:rPr>
              <w:t>Market </w:t>
            </w:r>
            <w:r>
              <w:rPr>
                <w:color w:val="445469"/>
                <w:sz w:val="22"/>
              </w:rPr>
              <w:t>Redevelopment and support to the ERU in accordance with DFAT’s Monitoring and Evaluation </w:t>
            </w:r>
            <w:r>
              <w:rPr>
                <w:color w:val="445469"/>
                <w:spacing w:val="-2"/>
                <w:sz w:val="22"/>
              </w:rPr>
              <w:t>Standards.</w:t>
            </w:r>
          </w:p>
        </w:tc>
      </w:tr>
      <w:tr>
        <w:trPr>
          <w:trHeight w:val="1230" w:hRule="atLeast"/>
        </w:trPr>
        <w:tc>
          <w:tcPr>
            <w:tcW w:w="4111" w:type="dxa"/>
            <w:tcBorders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445469"/>
            </w:tcBorders>
            <w:shd w:val="clear" w:color="auto" w:fill="FFBF0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649" w:type="dxa"/>
            <w:tcBorders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155" w:type="dxa"/>
            <w:tcBorders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spacing w:before="40"/>
              <w:ind w:left="136" w:right="178"/>
              <w:rPr>
                <w:sz w:val="22"/>
              </w:rPr>
            </w:pPr>
            <w:r>
              <w:rPr>
                <w:color w:val="445469"/>
                <w:sz w:val="22"/>
              </w:rPr>
              <w:t>DFAT will ensure that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Strongim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Bisnis puts into operation its M&amp;E system.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320" w:right="2420"/>
        </w:sectPr>
      </w:pPr>
    </w:p>
    <w:p>
      <w:pPr>
        <w:spacing w:line="240" w:lineRule="auto" w:before="3"/>
        <w:rPr>
          <w:b/>
          <w:sz w:val="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560"/>
        <w:gridCol w:w="4590"/>
        <w:gridCol w:w="2215"/>
      </w:tblGrid>
      <w:tr>
        <w:trPr>
          <w:trHeight w:val="768" w:hRule="atLeast"/>
        </w:trPr>
        <w:tc>
          <w:tcPr>
            <w:tcW w:w="4111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</w:p>
        </w:tc>
        <w:tc>
          <w:tcPr>
            <w:tcW w:w="1560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Response</w:t>
            </w:r>
          </w:p>
        </w:tc>
        <w:tc>
          <w:tcPr>
            <w:tcW w:w="4590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Explanation</w:t>
            </w:r>
          </w:p>
        </w:tc>
        <w:tc>
          <w:tcPr>
            <w:tcW w:w="2215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9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1323" w:hRule="atLeast"/>
        </w:trPr>
        <w:tc>
          <w:tcPr>
            <w:tcW w:w="4111" w:type="dxa"/>
            <w:tcBorders>
              <w:top w:val="single" w:sz="36" w:space="0" w:color="000000"/>
            </w:tcBorders>
            <w:shd w:val="clear" w:color="auto" w:fill="E6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8"/>
                <w:sz w:val="22"/>
              </w:rPr>
              <w:t> </w:t>
            </w:r>
            <w:r>
              <w:rPr>
                <w:b/>
                <w:color w:val="445469"/>
                <w:sz w:val="22"/>
              </w:rPr>
              <w:t>4</w:t>
            </w:r>
            <w:r>
              <w:rPr>
                <w:b/>
                <w:color w:val="445469"/>
                <w:spacing w:val="-3"/>
                <w:sz w:val="22"/>
              </w:rPr>
              <w:t> </w:t>
            </w:r>
            <w:r>
              <w:rPr>
                <w:b/>
                <w:color w:val="445469"/>
                <w:spacing w:val="-4"/>
                <w:sz w:val="22"/>
              </w:rPr>
              <w:t>(ii)</w:t>
            </w:r>
          </w:p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color w:val="445469"/>
                <w:sz w:val="22"/>
              </w:rPr>
              <w:t>Regarding M&amp;E: at the SIGP level, consideration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should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be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given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to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focussing the AQC on the four largest activities.</w:t>
            </w:r>
          </w:p>
        </w:tc>
        <w:tc>
          <w:tcPr>
            <w:tcW w:w="1560" w:type="dxa"/>
            <w:tcBorders>
              <w:top w:val="single" w:sz="36" w:space="0" w:color="000000"/>
            </w:tcBorders>
            <w:shd w:val="clear" w:color="auto" w:fill="91CF50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45469"/>
                <w:spacing w:val="-2"/>
                <w:sz w:val="22"/>
              </w:rPr>
              <w:t>Agree</w:t>
            </w:r>
          </w:p>
        </w:tc>
        <w:tc>
          <w:tcPr>
            <w:tcW w:w="4590" w:type="dxa"/>
            <w:tcBorders>
              <w:top w:val="single" w:sz="36" w:space="0" w:color="000000"/>
            </w:tcBorders>
            <w:shd w:val="clear" w:color="auto" w:fill="DDE9F6"/>
          </w:tcPr>
          <w:p>
            <w:pPr>
              <w:pStyle w:val="TableParagraph"/>
              <w:ind w:left="105" w:right="40"/>
              <w:rPr>
                <w:sz w:val="22"/>
              </w:rPr>
            </w:pPr>
            <w:r>
              <w:rPr>
                <w:color w:val="445469"/>
                <w:sz w:val="22"/>
              </w:rPr>
              <w:t>DFAT agrees. This will simplify the overall AQC and avoid onerous reporting requirements for very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small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activities,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which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would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otherwise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not require an AQC to be prepared.</w:t>
            </w:r>
          </w:p>
        </w:tc>
        <w:tc>
          <w:tcPr>
            <w:tcW w:w="2215" w:type="dxa"/>
            <w:tcBorders>
              <w:top w:val="single" w:sz="36" w:space="0" w:color="000000"/>
            </w:tcBorders>
            <w:shd w:val="clear" w:color="auto" w:fill="DDE9F6"/>
          </w:tcPr>
          <w:p>
            <w:pPr>
              <w:pStyle w:val="TableParagraph"/>
              <w:ind w:left="195" w:right="153"/>
              <w:rPr>
                <w:sz w:val="22"/>
              </w:rPr>
            </w:pPr>
            <w:r>
              <w:rPr>
                <w:color w:val="445469"/>
                <w:sz w:val="22"/>
              </w:rPr>
              <w:t>2018 AQC to focus on the four largest activities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(value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AUD 3million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z w:val="22"/>
              </w:rPr>
              <w:t>and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pacing w:val="-2"/>
                <w:sz w:val="22"/>
              </w:rPr>
              <w:t>above):</w:t>
            </w:r>
          </w:p>
        </w:tc>
      </w:tr>
      <w:tr>
        <w:trPr>
          <w:trHeight w:val="1708" w:hRule="atLeast"/>
        </w:trPr>
        <w:tc>
          <w:tcPr>
            <w:tcW w:w="4111" w:type="dxa"/>
            <w:tcBorders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445469"/>
            </w:tcBorders>
            <w:shd w:val="clear" w:color="auto" w:fill="91CF5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590" w:type="dxa"/>
            <w:tcBorders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15" w:type="dxa"/>
            <w:tcBorders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spacing w:line="249" w:lineRule="exact" w:before="0"/>
              <w:ind w:left="195"/>
              <w:rPr>
                <w:sz w:val="22"/>
              </w:rPr>
            </w:pPr>
            <w:r>
              <w:rPr>
                <w:color w:val="445469"/>
                <w:sz w:val="22"/>
              </w:rPr>
              <w:t>Tina</w:t>
            </w:r>
            <w:r>
              <w:rPr>
                <w:color w:val="445469"/>
                <w:spacing w:val="-2"/>
                <w:sz w:val="22"/>
              </w:rPr>
              <w:t> River</w:t>
            </w:r>
          </w:p>
          <w:p>
            <w:pPr>
              <w:pStyle w:val="TableParagraph"/>
              <w:spacing w:before="0"/>
              <w:ind w:left="195" w:right="10"/>
              <w:rPr>
                <w:sz w:val="22"/>
              </w:rPr>
            </w:pPr>
            <w:r>
              <w:rPr>
                <w:color w:val="445469"/>
                <w:sz w:val="22"/>
              </w:rPr>
              <w:t>Hydropower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Project, Strongim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Bisnis,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Gizo Market and East Guadalcanal Roads and Bridges Project.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320" w:right="24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4"/>
        <w:gridCol w:w="1552"/>
        <w:gridCol w:w="4648"/>
        <w:gridCol w:w="2123"/>
      </w:tblGrid>
      <w:tr>
        <w:trPr>
          <w:trHeight w:val="768" w:hRule="atLeast"/>
        </w:trPr>
        <w:tc>
          <w:tcPr>
            <w:tcW w:w="4094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</w:p>
        </w:tc>
        <w:tc>
          <w:tcPr>
            <w:tcW w:w="1552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Response</w:t>
            </w:r>
          </w:p>
        </w:tc>
        <w:tc>
          <w:tcPr>
            <w:tcW w:w="4648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Explanation</w:t>
            </w:r>
          </w:p>
        </w:tc>
        <w:tc>
          <w:tcPr>
            <w:tcW w:w="2123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5371" w:hRule="atLeast"/>
        </w:trPr>
        <w:tc>
          <w:tcPr>
            <w:tcW w:w="409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6"/>
                <w:sz w:val="22"/>
              </w:rPr>
              <w:t> </w:t>
            </w:r>
            <w:r>
              <w:rPr>
                <w:b/>
                <w:color w:val="445469"/>
                <w:sz w:val="22"/>
              </w:rPr>
              <w:t>4</w:t>
            </w:r>
            <w:r>
              <w:rPr>
                <w:b/>
                <w:color w:val="445469"/>
                <w:spacing w:val="-3"/>
                <w:sz w:val="22"/>
              </w:rPr>
              <w:t> </w:t>
            </w:r>
            <w:r>
              <w:rPr>
                <w:b/>
                <w:color w:val="445469"/>
                <w:spacing w:val="-2"/>
                <w:sz w:val="22"/>
              </w:rPr>
              <w:t>(iii)</w:t>
            </w:r>
          </w:p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color w:val="445469"/>
                <w:sz w:val="22"/>
              </w:rPr>
              <w:t>Regarding M&amp;E: (iii) at the portfolio level, the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PAF</w:t>
            </w:r>
            <w:r>
              <w:rPr>
                <w:color w:val="445469"/>
                <w:spacing w:val="-6"/>
                <w:sz w:val="22"/>
              </w:rPr>
              <w:t> </w:t>
            </w:r>
            <w:r>
              <w:rPr>
                <w:color w:val="445469"/>
                <w:sz w:val="22"/>
              </w:rPr>
              <w:t>requires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nuancing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to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better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reflect the complexities inherent in measuring economic empowerment in the Solomon Islands context, particularly for women.</w:t>
            </w:r>
          </w:p>
        </w:tc>
        <w:tc>
          <w:tcPr>
            <w:tcW w:w="1552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FFBF00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45469"/>
                <w:sz w:val="22"/>
              </w:rPr>
              <w:t>Agree</w:t>
            </w:r>
            <w:r>
              <w:rPr>
                <w:color w:val="445469"/>
                <w:spacing w:val="-3"/>
                <w:sz w:val="22"/>
              </w:rPr>
              <w:t> </w:t>
            </w:r>
            <w:r>
              <w:rPr>
                <w:color w:val="445469"/>
                <w:sz w:val="22"/>
              </w:rPr>
              <w:t>in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pacing w:val="-4"/>
                <w:sz w:val="22"/>
              </w:rPr>
              <w:t>part</w:t>
            </w:r>
          </w:p>
        </w:tc>
        <w:tc>
          <w:tcPr>
            <w:tcW w:w="4648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ind w:left="106" w:right="115"/>
              <w:rPr>
                <w:sz w:val="22"/>
              </w:rPr>
            </w:pPr>
            <w:r>
              <w:rPr>
                <w:color w:val="445469"/>
                <w:sz w:val="22"/>
              </w:rPr>
              <w:t>The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current</w:t>
            </w:r>
            <w:r>
              <w:rPr>
                <w:color w:val="445469"/>
                <w:spacing w:val="-10"/>
                <w:sz w:val="22"/>
              </w:rPr>
              <w:t> </w:t>
            </w:r>
            <w:r>
              <w:rPr>
                <w:color w:val="445469"/>
                <w:sz w:val="22"/>
              </w:rPr>
              <w:t>Performance</w:t>
            </w:r>
            <w:r>
              <w:rPr>
                <w:color w:val="445469"/>
                <w:spacing w:val="-8"/>
                <w:sz w:val="22"/>
              </w:rPr>
              <w:t> </w:t>
            </w:r>
            <w:r>
              <w:rPr>
                <w:color w:val="445469"/>
                <w:sz w:val="22"/>
              </w:rPr>
              <w:t>Assessment</w:t>
            </w:r>
            <w:r>
              <w:rPr>
                <w:color w:val="445469"/>
                <w:spacing w:val="-10"/>
                <w:sz w:val="22"/>
              </w:rPr>
              <w:t> </w:t>
            </w:r>
            <w:r>
              <w:rPr>
                <w:color w:val="445469"/>
                <w:sz w:val="22"/>
              </w:rPr>
              <w:t>Framework (PAF) was reviewed in 2018. As part of the new Aid Investment Plan (AIP) 2019 – 2023, a new</w:t>
            </w:r>
            <w:r>
              <w:rPr>
                <w:color w:val="445469"/>
                <w:spacing w:val="40"/>
                <w:sz w:val="22"/>
              </w:rPr>
              <w:t> </w:t>
            </w:r>
            <w:r>
              <w:rPr>
                <w:color w:val="445469"/>
                <w:sz w:val="22"/>
              </w:rPr>
              <w:t>PAF will be developed, and in its formulation, DFAT will consider how to better measure economic empowerment in the Solomon Islands </w:t>
            </w:r>
            <w:r>
              <w:rPr>
                <w:color w:val="445469"/>
                <w:spacing w:val="-2"/>
                <w:sz w:val="22"/>
              </w:rPr>
              <w:t>context.</w:t>
            </w:r>
          </w:p>
        </w:tc>
        <w:tc>
          <w:tcPr>
            <w:tcW w:w="2123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ind w:left="117" w:right="58"/>
              <w:rPr>
                <w:sz w:val="22"/>
              </w:rPr>
            </w:pPr>
            <w:r>
              <w:rPr>
                <w:color w:val="445469"/>
                <w:sz w:val="22"/>
              </w:rPr>
              <w:t>DFAT will develop a new PAF as part of the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AIP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(2019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–2023)</w:t>
            </w:r>
          </w:p>
          <w:p>
            <w:pPr>
              <w:pStyle w:val="TableParagraph"/>
              <w:spacing w:before="0"/>
              <w:ind w:left="117"/>
              <w:rPr>
                <w:sz w:val="22"/>
              </w:rPr>
            </w:pPr>
            <w:r>
              <w:rPr>
                <w:color w:val="445469"/>
                <w:sz w:val="22"/>
              </w:rPr>
              <w:t>in</w:t>
            </w:r>
            <w:r>
              <w:rPr>
                <w:color w:val="445469"/>
                <w:spacing w:val="-2"/>
                <w:sz w:val="22"/>
              </w:rPr>
              <w:t> </w:t>
            </w:r>
            <w:r>
              <w:rPr>
                <w:color w:val="445469"/>
                <w:sz w:val="22"/>
              </w:rPr>
              <w:t>Q3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pacing w:val="-2"/>
                <w:sz w:val="22"/>
              </w:rPr>
              <w:t>2019.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340" w:bottom="280" w:left="1320" w:right="2420"/>
        </w:sectPr>
      </w:pPr>
    </w:p>
    <w:p>
      <w:pPr>
        <w:spacing w:line="240" w:lineRule="auto" w:before="3"/>
        <w:rPr>
          <w:b/>
          <w:sz w:val="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560"/>
        <w:gridCol w:w="6804"/>
      </w:tblGrid>
      <w:tr>
        <w:trPr>
          <w:trHeight w:val="1320" w:hRule="atLeast"/>
        </w:trPr>
        <w:tc>
          <w:tcPr>
            <w:tcW w:w="4111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</w:p>
        </w:tc>
        <w:tc>
          <w:tcPr>
            <w:tcW w:w="1560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spacing w:before="126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Response</w:t>
            </w:r>
          </w:p>
        </w:tc>
        <w:tc>
          <w:tcPr>
            <w:tcW w:w="6804" w:type="dxa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tabs>
                <w:tab w:pos="4785" w:val="left" w:leader="none"/>
              </w:tabs>
              <w:spacing w:before="126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Explanation</w:t>
            </w:r>
            <w:r>
              <w:rPr>
                <w:b/>
                <w:color w:val="FFFFFF"/>
                <w:sz w:val="22"/>
              </w:rPr>
              <w:tab/>
              <w:t>Action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plan</w:t>
            </w:r>
          </w:p>
        </w:tc>
      </w:tr>
      <w:tr>
        <w:trPr>
          <w:trHeight w:val="2347" w:hRule="atLeast"/>
        </w:trPr>
        <w:tc>
          <w:tcPr>
            <w:tcW w:w="4111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9"/>
                <w:sz w:val="22"/>
              </w:rPr>
              <w:t> </w:t>
            </w:r>
            <w:r>
              <w:rPr>
                <w:b/>
                <w:color w:val="445469"/>
                <w:spacing w:val="-10"/>
                <w:sz w:val="22"/>
              </w:rPr>
              <w:t>5</w:t>
            </w:r>
          </w:p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color w:val="445469"/>
                <w:sz w:val="22"/>
              </w:rPr>
              <w:t>SIGP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should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not</w:t>
            </w:r>
            <w:r>
              <w:rPr>
                <w:color w:val="445469"/>
                <w:spacing w:val="-4"/>
                <w:sz w:val="22"/>
              </w:rPr>
              <w:t> </w:t>
            </w:r>
            <w:r>
              <w:rPr>
                <w:color w:val="445469"/>
                <w:sz w:val="22"/>
              </w:rPr>
              <w:t>be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extended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in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its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present form beyond its current term given the absence of identifiable benefits accruing from the current aggregation of activities into the program.</w:t>
            </w:r>
          </w:p>
        </w:tc>
        <w:tc>
          <w:tcPr>
            <w:tcW w:w="1560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color w:val="445469"/>
                <w:spacing w:val="-2"/>
                <w:sz w:val="22"/>
              </w:rPr>
              <w:t>Agree</w:t>
            </w:r>
          </w:p>
        </w:tc>
        <w:tc>
          <w:tcPr>
            <w:tcW w:w="680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tabs>
                <w:tab w:pos="4785" w:val="left" w:leader="none"/>
              </w:tabs>
              <w:ind w:left="105" w:right="147"/>
              <w:rPr>
                <w:sz w:val="22"/>
              </w:rPr>
            </w:pPr>
            <w:r>
              <w:rPr>
                <w:color w:val="445469"/>
                <w:sz w:val="22"/>
              </w:rPr>
              <w:t>DFAT agrees that SIGP should not be extended in</w:t>
              <w:tab/>
              <w:t>DFAT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will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commence its current form, although specific activities in</w:t>
              <w:tab/>
              <w:t>design of a new</w:t>
            </w:r>
          </w:p>
          <w:p>
            <w:pPr>
              <w:pStyle w:val="TableParagraph"/>
              <w:tabs>
                <w:tab w:pos="4785" w:val="left" w:leader="none"/>
              </w:tabs>
              <w:spacing w:before="0"/>
              <w:ind w:left="4785" w:right="145" w:hanging="4680"/>
              <w:rPr>
                <w:sz w:val="22"/>
              </w:rPr>
            </w:pPr>
            <w:r>
              <w:rPr>
                <w:color w:val="445469"/>
                <w:sz w:val="22"/>
              </w:rPr>
              <w:t>SIGP may continue beyond 2020.</w:t>
              <w:tab/>
              <w:t>economic growth program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in</w:t>
            </w:r>
            <w:r>
              <w:rPr>
                <w:color w:val="445469"/>
                <w:spacing w:val="-12"/>
                <w:sz w:val="22"/>
              </w:rPr>
              <w:t> </w:t>
            </w:r>
            <w:r>
              <w:rPr>
                <w:color w:val="445469"/>
                <w:sz w:val="22"/>
              </w:rPr>
              <w:t>2019</w:t>
            </w:r>
            <w:r>
              <w:rPr>
                <w:color w:val="445469"/>
                <w:spacing w:val="-9"/>
                <w:sz w:val="22"/>
              </w:rPr>
              <w:t> </w:t>
            </w:r>
            <w:r>
              <w:rPr>
                <w:color w:val="445469"/>
                <w:sz w:val="22"/>
              </w:rPr>
              <w:t>and manage the closure of SIGP in 2020.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8"/>
        <w:gridCol w:w="1560"/>
        <w:gridCol w:w="6804"/>
      </w:tblGrid>
      <w:tr>
        <w:trPr>
          <w:trHeight w:val="1335" w:hRule="atLeast"/>
        </w:trPr>
        <w:tc>
          <w:tcPr>
            <w:tcW w:w="12482" w:type="dxa"/>
            <w:gridSpan w:val="3"/>
            <w:tcBorders>
              <w:bottom w:val="single" w:sz="36" w:space="0" w:color="000000"/>
            </w:tcBorders>
            <w:shd w:val="clear" w:color="auto" w:fill="5B9AD4"/>
          </w:tcPr>
          <w:p>
            <w:pPr>
              <w:pStyle w:val="TableParagraph"/>
              <w:tabs>
                <w:tab w:pos="4233" w:val="left" w:leader="none"/>
                <w:tab w:pos="5791" w:val="left" w:leader="none"/>
                <w:tab w:pos="10471" w:val="left" w:leader="none"/>
              </w:tabs>
              <w:spacing w:before="126"/>
              <w:ind w:left="12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Recommendation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Response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Explanation</w:t>
            </w:r>
            <w:r>
              <w:rPr>
                <w:b/>
                <w:color w:val="FFFFFF"/>
                <w:sz w:val="22"/>
              </w:rPr>
              <w:tab/>
              <w:t>Action</w:t>
            </w:r>
            <w:r>
              <w:rPr>
                <w:b/>
                <w:color w:val="FFFFFF"/>
                <w:spacing w:val="-4"/>
                <w:sz w:val="22"/>
              </w:rPr>
              <w:t> plan</w:t>
            </w:r>
          </w:p>
        </w:tc>
      </w:tr>
      <w:tr>
        <w:trPr>
          <w:trHeight w:val="1956" w:hRule="atLeast"/>
        </w:trPr>
        <w:tc>
          <w:tcPr>
            <w:tcW w:w="4118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E6E6E6"/>
          </w:tcPr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445469"/>
                <w:sz w:val="22"/>
              </w:rPr>
              <w:t>Recommendation</w:t>
            </w:r>
            <w:r>
              <w:rPr>
                <w:b/>
                <w:color w:val="445469"/>
                <w:spacing w:val="-9"/>
                <w:sz w:val="22"/>
              </w:rPr>
              <w:t> </w:t>
            </w:r>
            <w:r>
              <w:rPr>
                <w:b/>
                <w:color w:val="445469"/>
                <w:spacing w:val="-10"/>
                <w:sz w:val="22"/>
              </w:rPr>
              <w:t>6</w:t>
            </w:r>
          </w:p>
          <w:p>
            <w:pPr>
              <w:pStyle w:val="TableParagraph"/>
              <w:spacing w:before="120"/>
              <w:ind w:left="122" w:right="165"/>
              <w:rPr>
                <w:sz w:val="22"/>
              </w:rPr>
            </w:pPr>
            <w:r>
              <w:rPr>
                <w:color w:val="445469"/>
                <w:sz w:val="22"/>
              </w:rPr>
              <w:t>There is an urgent need to commence the purposeful development of a set of investments and activities for the economic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growth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portfolio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of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the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AHC</w:t>
            </w:r>
            <w:r>
              <w:rPr>
                <w:color w:val="445469"/>
                <w:spacing w:val="-7"/>
                <w:sz w:val="22"/>
              </w:rPr>
              <w:t> </w:t>
            </w:r>
            <w:r>
              <w:rPr>
                <w:color w:val="445469"/>
                <w:sz w:val="22"/>
              </w:rPr>
              <w:t>that can commence in mid-2020.</w:t>
            </w:r>
          </w:p>
        </w:tc>
        <w:tc>
          <w:tcPr>
            <w:tcW w:w="1560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91CF50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445469"/>
                <w:spacing w:val="-2"/>
                <w:sz w:val="22"/>
              </w:rPr>
              <w:t>Agree</w:t>
            </w:r>
          </w:p>
        </w:tc>
        <w:tc>
          <w:tcPr>
            <w:tcW w:w="6804" w:type="dxa"/>
            <w:tcBorders>
              <w:top w:val="single" w:sz="36" w:space="0" w:color="000000"/>
              <w:bottom w:val="single" w:sz="4" w:space="0" w:color="445469"/>
            </w:tcBorders>
            <w:shd w:val="clear" w:color="auto" w:fill="DDE9F6"/>
          </w:tcPr>
          <w:p>
            <w:pPr>
              <w:pStyle w:val="TableParagraph"/>
              <w:tabs>
                <w:tab w:pos="4793" w:val="left" w:leader="none"/>
              </w:tabs>
              <w:ind w:left="113" w:right="213"/>
              <w:rPr>
                <w:sz w:val="22"/>
              </w:rPr>
            </w:pPr>
            <w:r>
              <w:rPr>
                <w:color w:val="445469"/>
                <w:sz w:val="22"/>
              </w:rPr>
              <w:t>DFAT will commence work on designs for the</w:t>
              <w:tab/>
              <w:t>DFAT will progress economic portfolio pending finalisation of the AIP</w:t>
              <w:tab/>
              <w:t>design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work</w:t>
            </w:r>
            <w:r>
              <w:rPr>
                <w:color w:val="445469"/>
                <w:spacing w:val="-9"/>
                <w:sz w:val="22"/>
              </w:rPr>
              <w:t> </w:t>
            </w:r>
            <w:r>
              <w:rPr>
                <w:color w:val="445469"/>
                <w:sz w:val="22"/>
              </w:rPr>
              <w:t>in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2019 2019</w:t>
            </w:r>
            <w:r>
              <w:rPr>
                <w:color w:val="445469"/>
                <w:spacing w:val="-1"/>
                <w:sz w:val="22"/>
              </w:rPr>
              <w:t> </w:t>
            </w:r>
            <w:r>
              <w:rPr>
                <w:color w:val="445469"/>
                <w:sz w:val="22"/>
              </w:rPr>
              <w:t>-</w:t>
            </w:r>
            <w:r>
              <w:rPr>
                <w:color w:val="445469"/>
                <w:spacing w:val="-4"/>
                <w:sz w:val="22"/>
              </w:rPr>
              <w:t> </w:t>
            </w:r>
            <w:r>
              <w:rPr>
                <w:color w:val="445469"/>
                <w:spacing w:val="-2"/>
                <w:sz w:val="22"/>
              </w:rPr>
              <w:t>2023.</w:t>
            </w:r>
            <w:r>
              <w:rPr>
                <w:color w:val="445469"/>
                <w:sz w:val="22"/>
              </w:rPr>
              <w:tab/>
              <w:t>for</w:t>
            </w:r>
            <w:r>
              <w:rPr>
                <w:color w:val="445469"/>
                <w:spacing w:val="-5"/>
                <w:sz w:val="22"/>
              </w:rPr>
              <w:t> </w:t>
            </w:r>
            <w:r>
              <w:rPr>
                <w:color w:val="445469"/>
                <w:sz w:val="22"/>
              </w:rPr>
              <w:t>future</w:t>
            </w:r>
            <w:r>
              <w:rPr>
                <w:color w:val="445469"/>
                <w:spacing w:val="-2"/>
                <w:sz w:val="22"/>
              </w:rPr>
              <w:t> economic</w:t>
            </w:r>
          </w:p>
          <w:p>
            <w:pPr>
              <w:pStyle w:val="TableParagraph"/>
              <w:spacing w:before="0"/>
              <w:ind w:left="4793" w:right="519"/>
              <w:rPr>
                <w:sz w:val="22"/>
              </w:rPr>
            </w:pPr>
            <w:r>
              <w:rPr>
                <w:color w:val="445469"/>
                <w:sz w:val="22"/>
              </w:rPr>
              <w:t>growth</w:t>
            </w:r>
            <w:r>
              <w:rPr>
                <w:color w:val="445469"/>
                <w:spacing w:val="-13"/>
                <w:sz w:val="22"/>
              </w:rPr>
              <w:t> </w:t>
            </w:r>
            <w:r>
              <w:rPr>
                <w:color w:val="445469"/>
                <w:sz w:val="22"/>
              </w:rPr>
              <w:t>activities beyond SIGP.</w:t>
            </w:r>
          </w:p>
        </w:tc>
      </w:tr>
    </w:tbl>
    <w:sectPr>
      <w:pgSz w:w="16840" w:h="11910" w:orient="landscape"/>
      <w:pgMar w:top="1340" w:bottom="280" w:left="13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8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</dc:creator>
  <dc:title>Microsoft Word - Solomon Islands Growth Program MTR Management Response.(FINAL 16 Jan 2019).DOCX</dc:title>
  <dcterms:created xsi:type="dcterms:W3CDTF">2023-03-19T23:14:38Z</dcterms:created>
  <dcterms:modified xsi:type="dcterms:W3CDTF">2023-03-19T23:14:38Z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2023-03-19T00:00:00Z</vt:filetime>
  </property>
  <property fmtid="{D5CDD505-2E9C-101B-9397-08002B2CF9AE}" pid="4" name="Producer">
    <vt:lpwstr>Microsoft: Print To PDF</vt:lpwstr>
  </property>
</Properties>
</file>