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ABE8" w14:textId="77777777" w:rsidR="006828D0" w:rsidRPr="00C9404A" w:rsidRDefault="006828D0" w:rsidP="006828D0">
      <w:pPr>
        <w:autoSpaceDE w:val="0"/>
        <w:autoSpaceDN w:val="0"/>
        <w:adjustRightInd w:val="0"/>
        <w:rPr>
          <w:rFonts w:ascii="Garamond" w:hAnsi="Garamond"/>
          <w:b/>
        </w:rPr>
      </w:pPr>
      <w:r w:rsidRPr="00C9404A">
        <w:rPr>
          <w:rFonts w:ascii="Garamond" w:hAnsi="Garamond"/>
          <w:b/>
        </w:rPr>
        <w:t>Independent Performance Assessment</w:t>
      </w:r>
    </w:p>
    <w:p w14:paraId="792BD83E" w14:textId="77777777" w:rsidR="006828D0" w:rsidRPr="00C9404A" w:rsidRDefault="006828D0" w:rsidP="006828D0">
      <w:pPr>
        <w:autoSpaceDE w:val="0"/>
        <w:autoSpaceDN w:val="0"/>
        <w:adjustRightInd w:val="0"/>
        <w:rPr>
          <w:rFonts w:ascii="Garamond" w:hAnsi="Garamond"/>
          <w:b/>
        </w:rPr>
      </w:pPr>
      <w:r w:rsidRPr="00C9404A">
        <w:rPr>
          <w:rFonts w:ascii="Garamond" w:hAnsi="Garamond"/>
          <w:b/>
        </w:rPr>
        <w:t>Solomon Islands – He</w:t>
      </w:r>
      <w:r w:rsidR="00B45F56" w:rsidRPr="00C9404A">
        <w:rPr>
          <w:rFonts w:ascii="Garamond" w:hAnsi="Garamond"/>
          <w:b/>
        </w:rPr>
        <w:t xml:space="preserve">alth Sector Support Program </w:t>
      </w:r>
      <w:r w:rsidR="00C9404A" w:rsidRPr="00C9404A">
        <w:rPr>
          <w:rFonts w:ascii="Garamond" w:hAnsi="Garamond"/>
          <w:b/>
        </w:rPr>
        <w:t xml:space="preserve">Phase 3 </w:t>
      </w:r>
      <w:r w:rsidR="00B45F56" w:rsidRPr="00C9404A">
        <w:rPr>
          <w:rFonts w:ascii="Garamond" w:hAnsi="Garamond"/>
          <w:b/>
        </w:rPr>
        <w:t>201</w:t>
      </w:r>
      <w:r w:rsidR="00C9404A" w:rsidRPr="00C9404A">
        <w:rPr>
          <w:rFonts w:ascii="Garamond" w:hAnsi="Garamond"/>
          <w:b/>
        </w:rPr>
        <w:t>8</w:t>
      </w:r>
    </w:p>
    <w:p w14:paraId="2213B11F" w14:textId="77777777" w:rsidR="006828D0" w:rsidRPr="00C9404A" w:rsidRDefault="006828D0" w:rsidP="006828D0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687EA9A2" w14:textId="77777777" w:rsidR="006828D0" w:rsidRPr="00C9404A" w:rsidRDefault="006828D0" w:rsidP="006828D0">
      <w:pPr>
        <w:autoSpaceDE w:val="0"/>
        <w:autoSpaceDN w:val="0"/>
        <w:adjustRightInd w:val="0"/>
        <w:rPr>
          <w:rFonts w:ascii="Garamond" w:hAnsi="Garamond"/>
          <w:b/>
        </w:rPr>
      </w:pPr>
      <w:r w:rsidRPr="00C9404A">
        <w:rPr>
          <w:rFonts w:ascii="Garamond" w:hAnsi="Garamond"/>
          <w:b/>
        </w:rPr>
        <w:t>Management Response</w:t>
      </w:r>
    </w:p>
    <w:p w14:paraId="5E3E8E9B" w14:textId="77777777" w:rsidR="006828D0" w:rsidRPr="00C9404A" w:rsidRDefault="006828D0" w:rsidP="006828D0">
      <w:pPr>
        <w:pStyle w:val="BodyText"/>
        <w:rPr>
          <w:rFonts w:ascii="Garamond" w:hAnsi="Garamond" w:cs="Times New Roman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1"/>
        <w:gridCol w:w="5223"/>
      </w:tblGrid>
      <w:tr w:rsidR="006828D0" w:rsidRPr="00C9404A" w14:paraId="3F2FA393" w14:textId="77777777" w:rsidTr="00A60011">
        <w:tc>
          <w:tcPr>
            <w:tcW w:w="2199" w:type="pct"/>
          </w:tcPr>
          <w:p w14:paraId="20F1B996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  <w:u w:val="single"/>
              </w:rPr>
            </w:pPr>
            <w:r w:rsidRPr="00C9404A">
              <w:rPr>
                <w:rFonts w:ascii="Garamond" w:hAnsi="Garamond" w:cs="Times New Roman"/>
                <w:color w:val="000000"/>
                <w:u w:val="single"/>
              </w:rPr>
              <w:t>Performance linked funding (PLF)</w:t>
            </w:r>
          </w:p>
          <w:p w14:paraId="74696AD5" w14:textId="77777777" w:rsidR="00A60011" w:rsidRDefault="00A60011" w:rsidP="006828D0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  <w:p w14:paraId="0B346831" w14:textId="77777777" w:rsidR="00A60011" w:rsidRDefault="006828D0" w:rsidP="006828D0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>The review found that M</w:t>
            </w:r>
            <w:r w:rsidR="00587086" w:rsidRPr="00C9404A">
              <w:rPr>
                <w:rFonts w:ascii="Garamond" w:hAnsi="Garamond" w:cs="Times New Roman"/>
                <w:color w:val="000000"/>
              </w:rPr>
              <w:t xml:space="preserve">inistry of </w:t>
            </w:r>
            <w:r w:rsidRPr="00C9404A">
              <w:rPr>
                <w:rFonts w:ascii="Garamond" w:hAnsi="Garamond" w:cs="Times New Roman"/>
                <w:color w:val="000000"/>
              </w:rPr>
              <w:t>H</w:t>
            </w:r>
            <w:r w:rsidR="00587086" w:rsidRPr="00C9404A">
              <w:rPr>
                <w:rFonts w:ascii="Garamond" w:hAnsi="Garamond" w:cs="Times New Roman"/>
                <w:color w:val="000000"/>
              </w:rPr>
              <w:t xml:space="preserve">ealth and </w:t>
            </w:r>
            <w:r w:rsidRPr="00C9404A">
              <w:rPr>
                <w:rFonts w:ascii="Garamond" w:hAnsi="Garamond" w:cs="Times New Roman"/>
                <w:color w:val="000000"/>
              </w:rPr>
              <w:t>M</w:t>
            </w:r>
            <w:r w:rsidR="00587086" w:rsidRPr="00C9404A">
              <w:rPr>
                <w:rFonts w:ascii="Garamond" w:hAnsi="Garamond" w:cs="Times New Roman"/>
                <w:color w:val="000000"/>
              </w:rPr>
              <w:t xml:space="preserve">edical </w:t>
            </w:r>
            <w:r w:rsidRPr="00C9404A">
              <w:rPr>
                <w:rFonts w:ascii="Garamond" w:hAnsi="Garamond" w:cs="Times New Roman"/>
                <w:color w:val="000000"/>
              </w:rPr>
              <w:t>S</w:t>
            </w:r>
            <w:r w:rsidR="00587086" w:rsidRPr="00C9404A">
              <w:rPr>
                <w:rFonts w:ascii="Garamond" w:hAnsi="Garamond" w:cs="Times New Roman"/>
                <w:color w:val="000000"/>
              </w:rPr>
              <w:t>ervices (MHMS)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 ach</w:t>
            </w:r>
            <w:r w:rsidR="006F4E79" w:rsidRPr="00C9404A">
              <w:rPr>
                <w:rFonts w:ascii="Garamond" w:hAnsi="Garamond" w:cs="Times New Roman"/>
                <w:color w:val="000000"/>
              </w:rPr>
              <w:t>ieved a</w:t>
            </w:r>
            <w:r w:rsidR="00A60011">
              <w:rPr>
                <w:rFonts w:ascii="Garamond" w:hAnsi="Garamond" w:cs="Times New Roman"/>
                <w:color w:val="000000"/>
              </w:rPr>
              <w:t>n</w:t>
            </w:r>
            <w:r w:rsidR="006F4E79" w:rsidRPr="00C9404A">
              <w:rPr>
                <w:rFonts w:ascii="Garamond" w:hAnsi="Garamond" w:cs="Times New Roman"/>
                <w:color w:val="000000"/>
              </w:rPr>
              <w:t xml:space="preserve"> </w:t>
            </w:r>
            <w:r w:rsidR="00A60011">
              <w:rPr>
                <w:rFonts w:ascii="Garamond" w:hAnsi="Garamond" w:cs="Times New Roman"/>
                <w:color w:val="000000"/>
              </w:rPr>
              <w:t xml:space="preserve">overall </w:t>
            </w:r>
            <w:r w:rsidR="006F4E79" w:rsidRPr="00C9404A">
              <w:rPr>
                <w:rFonts w:ascii="Garamond" w:hAnsi="Garamond" w:cs="Times New Roman"/>
                <w:color w:val="000000"/>
              </w:rPr>
              <w:t>performance rating of 6</w:t>
            </w:r>
            <w:r w:rsidR="00A60011">
              <w:rPr>
                <w:rFonts w:ascii="Garamond" w:hAnsi="Garamond" w:cs="Times New Roman"/>
                <w:color w:val="000000"/>
              </w:rPr>
              <w:t>5</w:t>
            </w:r>
            <w:r w:rsidRPr="00C9404A">
              <w:rPr>
                <w:rFonts w:ascii="Garamond" w:hAnsi="Garamond" w:cs="Times New Roman"/>
                <w:color w:val="000000"/>
              </w:rPr>
              <w:t>% against the agreed targets and indicators.</w:t>
            </w:r>
            <w:r w:rsidR="00A60011">
              <w:rPr>
                <w:rFonts w:ascii="Garamond" w:hAnsi="Garamond" w:cs="Times New Roman"/>
                <w:color w:val="000000"/>
              </w:rPr>
              <w:t xml:space="preserve"> </w:t>
            </w:r>
            <w:r w:rsidR="00A60011" w:rsidRPr="00A60011">
              <w:rPr>
                <w:rFonts w:ascii="Garamond" w:hAnsi="Garamond" w:cs="Times New Roman"/>
                <w:color w:val="000000"/>
              </w:rPr>
              <w:t>Performance at the national level was 67% (measured against health reform and human resources, health information systems, public financial management, services) and at the provincial level was 67% (measured against planning and monitoring, outreach, and services and health status)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  </w:t>
            </w:r>
          </w:p>
          <w:p w14:paraId="748DC82F" w14:textId="77777777" w:rsidR="00A60011" w:rsidRDefault="00A60011" w:rsidP="006828D0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  <w:p w14:paraId="7E45AF9A" w14:textId="77777777" w:rsidR="0046638A" w:rsidRPr="00C9404A" w:rsidRDefault="006828D0" w:rsidP="006828D0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>The recommendation was that AUD1,</w:t>
            </w:r>
            <w:r w:rsidR="00481382">
              <w:rPr>
                <w:rFonts w:ascii="Garamond" w:hAnsi="Garamond" w:cs="Times New Roman"/>
                <w:color w:val="000000"/>
              </w:rPr>
              <w:t xml:space="preserve">733,662.43 </w:t>
            </w:r>
            <w:r w:rsidRPr="00C9404A">
              <w:rPr>
                <w:rFonts w:ascii="Garamond" w:hAnsi="Garamond" w:cs="Times New Roman"/>
                <w:color w:val="000000"/>
              </w:rPr>
              <w:t>of a possible AUD</w:t>
            </w:r>
            <w:r w:rsidR="00481382">
              <w:rPr>
                <w:rFonts w:ascii="Garamond" w:hAnsi="Garamond" w:cs="Times New Roman"/>
                <w:color w:val="000000"/>
              </w:rPr>
              <w:t xml:space="preserve">2,665,700 </w:t>
            </w:r>
            <w:r w:rsidRPr="00C9404A">
              <w:rPr>
                <w:rFonts w:ascii="Garamond" w:hAnsi="Garamond" w:cs="Times New Roman"/>
                <w:color w:val="000000"/>
              </w:rPr>
              <w:t>be paid to MHMS as PLF.</w:t>
            </w:r>
          </w:p>
          <w:p w14:paraId="526EA2F3" w14:textId="77777777" w:rsidR="006828D0" w:rsidRPr="00C9404A" w:rsidRDefault="006828D0" w:rsidP="006828D0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2801" w:type="pct"/>
          </w:tcPr>
          <w:p w14:paraId="796E35CA" w14:textId="77777777" w:rsidR="0046638A" w:rsidRPr="00C9404A" w:rsidRDefault="0046638A" w:rsidP="00587086">
            <w:pPr>
              <w:pStyle w:val="BodyText"/>
              <w:rPr>
                <w:rFonts w:ascii="Garamond" w:hAnsi="Garamond" w:cs="Times New Roman"/>
                <w:i/>
                <w:color w:val="000000"/>
              </w:rPr>
            </w:pPr>
            <w:r w:rsidRPr="00C9404A">
              <w:rPr>
                <w:rFonts w:ascii="Garamond" w:hAnsi="Garamond" w:cs="Times New Roman"/>
                <w:i/>
                <w:color w:val="000000"/>
              </w:rPr>
              <w:t xml:space="preserve">Assessment against performance indicators agreed </w:t>
            </w:r>
          </w:p>
          <w:p w14:paraId="14128DB5" w14:textId="77777777" w:rsidR="0046638A" w:rsidRPr="00C9404A" w:rsidRDefault="0046638A" w:rsidP="00587086">
            <w:pPr>
              <w:pStyle w:val="BodyText"/>
              <w:rPr>
                <w:rFonts w:ascii="Garamond" w:hAnsi="Garamond" w:cs="Times New Roman"/>
                <w:i/>
                <w:color w:val="000000"/>
              </w:rPr>
            </w:pPr>
          </w:p>
          <w:p w14:paraId="26D30E08" w14:textId="77777777" w:rsidR="00481382" w:rsidRPr="00C9404A" w:rsidRDefault="001813A2" w:rsidP="00481382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1813A2">
              <w:rPr>
                <w:rFonts w:ascii="Garamond" w:hAnsi="Garamond" w:cs="Times New Roman"/>
                <w:color w:val="000000"/>
              </w:rPr>
              <w:t>Australia has provided performanc</w:t>
            </w:r>
            <w:r>
              <w:rPr>
                <w:rFonts w:ascii="Garamond" w:hAnsi="Garamond" w:cs="Times New Roman"/>
                <w:color w:val="000000"/>
              </w:rPr>
              <w:t xml:space="preserve">e linked funding of AUD1,733,662.43 </w:t>
            </w:r>
            <w:r w:rsidRPr="001813A2">
              <w:rPr>
                <w:rFonts w:ascii="Garamond" w:hAnsi="Garamond" w:cs="Times New Roman"/>
                <w:color w:val="000000"/>
              </w:rPr>
              <w:t>to the Ministry of Health and Medical Services, in line with the recommendations of the Independent Assessor.</w:t>
            </w:r>
          </w:p>
          <w:p w14:paraId="09CE0201" w14:textId="77777777" w:rsidR="0046638A" w:rsidRPr="00C9404A" w:rsidRDefault="0046638A" w:rsidP="0046638A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 xml:space="preserve"> </w:t>
            </w:r>
          </w:p>
        </w:tc>
      </w:tr>
      <w:tr w:rsidR="006828D0" w:rsidRPr="00C9404A" w14:paraId="3AA7A82F" w14:textId="77777777" w:rsidTr="00A60011">
        <w:tc>
          <w:tcPr>
            <w:tcW w:w="2199" w:type="pct"/>
          </w:tcPr>
          <w:p w14:paraId="21A3159F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  <w:u w:val="single"/>
              </w:rPr>
            </w:pPr>
            <w:r w:rsidRPr="00C9404A">
              <w:rPr>
                <w:rFonts w:ascii="Garamond" w:hAnsi="Garamond" w:cs="Times New Roman"/>
                <w:color w:val="000000"/>
                <w:u w:val="single"/>
              </w:rPr>
              <w:t>Operational recommendations to MHMS</w:t>
            </w:r>
          </w:p>
          <w:p w14:paraId="088138BA" w14:textId="77777777" w:rsidR="00A60011" w:rsidRDefault="00A60011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  <w:p w14:paraId="6069E161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 xml:space="preserve">The review makes a range of operational recommendations </w:t>
            </w:r>
            <w:r w:rsidR="00375938" w:rsidRPr="00C9404A">
              <w:rPr>
                <w:rFonts w:ascii="Garamond" w:hAnsi="Garamond" w:cs="Times New Roman"/>
                <w:color w:val="000000"/>
              </w:rPr>
              <w:t xml:space="preserve">for 2018 </w:t>
            </w:r>
            <w:r w:rsidRPr="00C9404A">
              <w:rPr>
                <w:rFonts w:ascii="Garamond" w:hAnsi="Garamond" w:cs="Times New Roman"/>
                <w:color w:val="000000"/>
              </w:rPr>
              <w:t>to MHMS to improve its performance in relation to targets and indicators.</w:t>
            </w:r>
          </w:p>
        </w:tc>
        <w:tc>
          <w:tcPr>
            <w:tcW w:w="2801" w:type="pct"/>
          </w:tcPr>
          <w:p w14:paraId="58F82DB7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i/>
                <w:color w:val="000000"/>
              </w:rPr>
            </w:pPr>
            <w:r w:rsidRPr="00C9404A">
              <w:rPr>
                <w:rFonts w:ascii="Garamond" w:hAnsi="Garamond" w:cs="Times New Roman"/>
                <w:i/>
                <w:color w:val="000000"/>
              </w:rPr>
              <w:t>Subject to MHMS decision</w:t>
            </w:r>
            <w:r w:rsidR="00375938" w:rsidRPr="00C9404A">
              <w:rPr>
                <w:rFonts w:ascii="Garamond" w:hAnsi="Garamond" w:cs="Times New Roman"/>
                <w:i/>
                <w:color w:val="000000"/>
              </w:rPr>
              <w:t xml:space="preserve"> - Agreed</w:t>
            </w:r>
            <w:r w:rsidRPr="00C9404A">
              <w:rPr>
                <w:rFonts w:ascii="Garamond" w:hAnsi="Garamond" w:cs="Times New Roman"/>
                <w:i/>
                <w:color w:val="000000"/>
              </w:rPr>
              <w:t>.</w:t>
            </w:r>
          </w:p>
          <w:p w14:paraId="43FE9966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  <w:p w14:paraId="194FC8AE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 xml:space="preserve">Australia supports the operational recommendations </w:t>
            </w:r>
            <w:r w:rsidR="00375938" w:rsidRPr="00C9404A">
              <w:rPr>
                <w:rFonts w:ascii="Garamond" w:hAnsi="Garamond" w:cs="Times New Roman"/>
                <w:color w:val="000000"/>
              </w:rPr>
              <w:t xml:space="preserve">for 2018 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set out </w:t>
            </w:r>
            <w:r w:rsidR="00C71115" w:rsidRPr="00C9404A">
              <w:rPr>
                <w:rFonts w:ascii="Garamond" w:hAnsi="Garamond" w:cs="Times New Roman"/>
                <w:color w:val="000000"/>
              </w:rPr>
              <w:t xml:space="preserve">in the Independent Assessment.  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These recommendations were discussed </w:t>
            </w:r>
            <w:r w:rsidR="00375938" w:rsidRPr="00C9404A">
              <w:rPr>
                <w:rFonts w:ascii="Garamond" w:hAnsi="Garamond" w:cs="Times New Roman"/>
                <w:color w:val="000000"/>
              </w:rPr>
              <w:t xml:space="preserve">with </w:t>
            </w:r>
            <w:r w:rsidR="00DB107D" w:rsidRPr="00C9404A">
              <w:rPr>
                <w:rFonts w:ascii="Garamond" w:hAnsi="Garamond" w:cs="Times New Roman"/>
                <w:color w:val="000000"/>
              </w:rPr>
              <w:t>Australian Government</w:t>
            </w:r>
            <w:r w:rsidR="00375938" w:rsidRPr="00C9404A">
              <w:rPr>
                <w:rFonts w:ascii="Garamond" w:hAnsi="Garamond" w:cs="Times New Roman"/>
                <w:color w:val="000000"/>
              </w:rPr>
              <w:t xml:space="preserve">, MHMS executives and at </w:t>
            </w:r>
            <w:r w:rsidRPr="00C9404A">
              <w:rPr>
                <w:rFonts w:ascii="Garamond" w:hAnsi="Garamond" w:cs="Times New Roman"/>
                <w:color w:val="000000"/>
              </w:rPr>
              <w:t>the Joint Annual Performance Review on</w:t>
            </w:r>
            <w:r w:rsidR="001813A2">
              <w:rPr>
                <w:rFonts w:ascii="Garamond" w:hAnsi="Garamond" w:cs="Times New Roman"/>
                <w:color w:val="000000"/>
              </w:rPr>
              <w:t xml:space="preserve"> 6 May </w:t>
            </w:r>
            <w:r w:rsidR="00375938" w:rsidRPr="00C9404A">
              <w:rPr>
                <w:rFonts w:ascii="Garamond" w:hAnsi="Garamond" w:cs="Times New Roman"/>
                <w:color w:val="000000"/>
              </w:rPr>
              <w:t>April 201</w:t>
            </w:r>
            <w:r w:rsidR="001813A2">
              <w:rPr>
                <w:rFonts w:ascii="Garamond" w:hAnsi="Garamond" w:cs="Times New Roman"/>
                <w:color w:val="000000"/>
              </w:rPr>
              <w:t>9</w:t>
            </w:r>
            <w:r w:rsidRPr="00C9404A">
              <w:rPr>
                <w:rFonts w:ascii="Garamond" w:hAnsi="Garamond" w:cs="Times New Roman"/>
                <w:color w:val="000000"/>
              </w:rPr>
              <w:t>.</w:t>
            </w:r>
            <w:r w:rsidR="001813A2">
              <w:rPr>
                <w:rFonts w:ascii="Garamond" w:hAnsi="Garamond" w:cs="Times New Roman"/>
                <w:color w:val="000000"/>
              </w:rPr>
              <w:t xml:space="preserve"> 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MHMS have </w:t>
            </w:r>
            <w:r w:rsidR="00FD4B5F" w:rsidRPr="00C9404A">
              <w:rPr>
                <w:rFonts w:ascii="Garamond" w:hAnsi="Garamond" w:cs="Times New Roman"/>
                <w:color w:val="000000"/>
              </w:rPr>
              <w:t>endorsed the recommendations of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 the Indep</w:t>
            </w:r>
            <w:r w:rsidR="001813A2">
              <w:rPr>
                <w:rFonts w:ascii="Garamond" w:hAnsi="Garamond" w:cs="Times New Roman"/>
                <w:color w:val="000000"/>
              </w:rPr>
              <w:t xml:space="preserve">endent Performance Assessment. </w:t>
            </w:r>
            <w:r w:rsidRPr="00C9404A">
              <w:rPr>
                <w:rFonts w:ascii="Garamond" w:hAnsi="Garamond" w:cs="Times New Roman"/>
                <w:color w:val="000000"/>
              </w:rPr>
              <w:t>We will continue discussion with MHMS on progress on these actions, including ways in which Australia may provide support.</w:t>
            </w:r>
          </w:p>
          <w:p w14:paraId="24D280E5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</w:tc>
      </w:tr>
      <w:tr w:rsidR="006828D0" w:rsidRPr="00C9404A" w14:paraId="19C9F824" w14:textId="77777777" w:rsidTr="00A60011">
        <w:tc>
          <w:tcPr>
            <w:tcW w:w="2199" w:type="pct"/>
          </w:tcPr>
          <w:p w14:paraId="4CEBE87E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  <w:u w:val="single"/>
              </w:rPr>
            </w:pPr>
            <w:r w:rsidRPr="00C9404A">
              <w:rPr>
                <w:rFonts w:ascii="Garamond" w:hAnsi="Garamond" w:cs="Times New Roman"/>
                <w:color w:val="000000"/>
                <w:u w:val="single"/>
              </w:rPr>
              <w:t>Payment li</w:t>
            </w:r>
            <w:r w:rsidR="00C9404A">
              <w:rPr>
                <w:rFonts w:ascii="Garamond" w:hAnsi="Garamond" w:cs="Times New Roman"/>
                <w:color w:val="000000"/>
                <w:u w:val="single"/>
              </w:rPr>
              <w:t>nked performance indicators 2019</w:t>
            </w:r>
          </w:p>
          <w:p w14:paraId="11430650" w14:textId="77777777" w:rsidR="00A60011" w:rsidRDefault="00A60011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  <w:p w14:paraId="5355EB0D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>The review recommends a set of</w:t>
            </w:r>
            <w:r w:rsidR="00C9404A">
              <w:rPr>
                <w:rFonts w:ascii="Garamond" w:hAnsi="Garamond" w:cs="Times New Roman"/>
                <w:color w:val="000000"/>
              </w:rPr>
              <w:t xml:space="preserve"> targets and indicators for 2019</w:t>
            </w:r>
          </w:p>
          <w:p w14:paraId="22273036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2801" w:type="pct"/>
          </w:tcPr>
          <w:p w14:paraId="54713CF7" w14:textId="77777777" w:rsidR="006828D0" w:rsidRPr="00C9404A" w:rsidRDefault="001813A2" w:rsidP="00020611">
            <w:pPr>
              <w:pStyle w:val="BodyText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i/>
                <w:color w:val="000000"/>
              </w:rPr>
              <w:t>Subject to agreement between Australia and MHMS</w:t>
            </w:r>
          </w:p>
          <w:p w14:paraId="173CB629" w14:textId="77777777" w:rsidR="006828D0" w:rsidRPr="00C9404A" w:rsidRDefault="006828D0" w:rsidP="00020611">
            <w:pPr>
              <w:pStyle w:val="BodyText"/>
              <w:rPr>
                <w:rFonts w:ascii="Garamond" w:hAnsi="Garamond" w:cs="Times New Roman"/>
                <w:i/>
                <w:color w:val="000000"/>
              </w:rPr>
            </w:pPr>
          </w:p>
          <w:p w14:paraId="0F2501FD" w14:textId="77777777" w:rsidR="006828D0" w:rsidRPr="00C9404A" w:rsidRDefault="006828D0" w:rsidP="0081215A">
            <w:pPr>
              <w:pStyle w:val="BodyText"/>
              <w:rPr>
                <w:rFonts w:ascii="Garamond" w:hAnsi="Garamond" w:cs="Times New Roman"/>
                <w:color w:val="000000"/>
              </w:rPr>
            </w:pPr>
            <w:r w:rsidRPr="00C9404A">
              <w:rPr>
                <w:rFonts w:ascii="Garamond" w:hAnsi="Garamond" w:cs="Times New Roman"/>
                <w:color w:val="000000"/>
              </w:rPr>
              <w:t>Australia welcomes the recommendations for 201</w:t>
            </w:r>
            <w:r w:rsidR="001813A2">
              <w:rPr>
                <w:rFonts w:ascii="Garamond" w:hAnsi="Garamond" w:cs="Times New Roman"/>
                <w:color w:val="000000"/>
              </w:rPr>
              <w:t>9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 performance indicators and targets.  As noted, in the report, the 201</w:t>
            </w:r>
            <w:r w:rsidR="001813A2">
              <w:rPr>
                <w:rFonts w:ascii="Garamond" w:hAnsi="Garamond" w:cs="Times New Roman"/>
                <w:color w:val="000000"/>
              </w:rPr>
              <w:t>9</w:t>
            </w:r>
            <w:r w:rsidRPr="00C9404A">
              <w:rPr>
                <w:rFonts w:ascii="Garamond" w:hAnsi="Garamond" w:cs="Times New Roman"/>
                <w:color w:val="000000"/>
              </w:rPr>
              <w:t xml:space="preserve"> indicators were discussed </w:t>
            </w:r>
            <w:r w:rsidR="001813A2">
              <w:rPr>
                <w:rFonts w:ascii="Garamond" w:hAnsi="Garamond" w:cs="Times New Roman"/>
                <w:color w:val="000000"/>
              </w:rPr>
              <w:t xml:space="preserve">and broadly agreed </w:t>
            </w:r>
            <w:r w:rsidRPr="00C9404A">
              <w:rPr>
                <w:rFonts w:ascii="Garamond" w:hAnsi="Garamond" w:cs="Times New Roman"/>
                <w:color w:val="000000"/>
              </w:rPr>
              <w:t>at a meeting with the Independent Assessor, MHMS Executi</w:t>
            </w:r>
            <w:r w:rsidR="001813A2">
              <w:rPr>
                <w:rFonts w:ascii="Garamond" w:hAnsi="Garamond" w:cs="Times New Roman"/>
                <w:color w:val="000000"/>
              </w:rPr>
              <w:t>ve and Australian Government on 6 May 2019</w:t>
            </w:r>
            <w:r w:rsidRPr="00C9404A">
              <w:rPr>
                <w:rFonts w:ascii="Garamond" w:hAnsi="Garamond" w:cs="Times New Roman"/>
                <w:color w:val="000000"/>
              </w:rPr>
              <w:t>.</w:t>
            </w:r>
            <w:r w:rsidR="001813A2">
              <w:rPr>
                <w:rFonts w:ascii="Garamond" w:hAnsi="Garamond" w:cs="Times New Roman"/>
                <w:color w:val="000000"/>
              </w:rPr>
              <w:t xml:space="preserve"> </w:t>
            </w:r>
            <w:r w:rsidR="00FD4B5F" w:rsidRPr="00C9404A">
              <w:rPr>
                <w:rFonts w:ascii="Garamond" w:hAnsi="Garamond" w:cs="Times New Roman"/>
                <w:color w:val="000000"/>
              </w:rPr>
              <w:t xml:space="preserve">While </w:t>
            </w:r>
            <w:proofErr w:type="gramStart"/>
            <w:r w:rsidR="00FD4B5F" w:rsidRPr="00C9404A">
              <w:rPr>
                <w:rFonts w:ascii="Garamond" w:hAnsi="Garamond" w:cs="Times New Roman"/>
                <w:color w:val="000000"/>
              </w:rPr>
              <w:t>the majority of</w:t>
            </w:r>
            <w:proofErr w:type="gramEnd"/>
            <w:r w:rsidR="00FD4B5F" w:rsidRPr="00C9404A">
              <w:rPr>
                <w:rFonts w:ascii="Garamond" w:hAnsi="Garamond" w:cs="Times New Roman"/>
                <w:color w:val="000000"/>
              </w:rPr>
              <w:t xml:space="preserve"> indicators relating to health </w:t>
            </w:r>
            <w:r w:rsidR="001813A2">
              <w:rPr>
                <w:rFonts w:ascii="Garamond" w:hAnsi="Garamond" w:cs="Times New Roman"/>
                <w:color w:val="000000"/>
              </w:rPr>
              <w:t>service delivery remain unchanged</w:t>
            </w:r>
            <w:r w:rsidR="009A2873">
              <w:rPr>
                <w:rFonts w:ascii="Garamond" w:hAnsi="Garamond" w:cs="Times New Roman"/>
                <w:color w:val="000000"/>
              </w:rPr>
              <w:t xml:space="preserve">, </w:t>
            </w:r>
            <w:r w:rsidR="0081215A">
              <w:rPr>
                <w:rFonts w:ascii="Garamond" w:hAnsi="Garamond" w:cs="Times New Roman"/>
                <w:color w:val="000000"/>
              </w:rPr>
              <w:t xml:space="preserve">some are unchanged and </w:t>
            </w:r>
            <w:r w:rsidR="009A2873">
              <w:rPr>
                <w:rFonts w:ascii="Garamond" w:hAnsi="Garamond" w:cs="Times New Roman"/>
                <w:color w:val="000000"/>
              </w:rPr>
              <w:t>new indicators have been added, such as, Organisational Structure, Role Delineation Policy Implementation, Maternal Deaths, Maternal Death Reviews Addressing NCDs and GBV training.</w:t>
            </w:r>
            <w:r w:rsidR="0081215A">
              <w:rPr>
                <w:rFonts w:ascii="Garamond" w:hAnsi="Garamond" w:cs="Times New Roman"/>
                <w:color w:val="000000"/>
              </w:rPr>
              <w:t xml:space="preserve"> Further consultation between </w:t>
            </w:r>
            <w:r w:rsidR="0081215A">
              <w:rPr>
                <w:rFonts w:ascii="Garamond" w:hAnsi="Garamond" w:cs="Times New Roman"/>
                <w:color w:val="000000"/>
              </w:rPr>
              <w:lastRenderedPageBreak/>
              <w:t>MHMS and Australia is required to agree on the remaining agreed 2019 PLF indicators.</w:t>
            </w:r>
          </w:p>
        </w:tc>
      </w:tr>
    </w:tbl>
    <w:p w14:paraId="74413D83" w14:textId="77777777" w:rsidR="009F0A3C" w:rsidRPr="00C9404A" w:rsidRDefault="006828D0" w:rsidP="006828D0">
      <w:pPr>
        <w:pStyle w:val="BodyText"/>
        <w:rPr>
          <w:rFonts w:ascii="Garamond" w:hAnsi="Garamond" w:cs="Times New Roman"/>
        </w:rPr>
      </w:pPr>
      <w:r w:rsidRPr="00C9404A">
        <w:rPr>
          <w:rFonts w:ascii="Garamond" w:hAnsi="Garamond" w:cs="Times New Roman"/>
          <w:color w:val="000000"/>
        </w:rPr>
        <w:lastRenderedPageBreak/>
        <w:t xml:space="preserve"> </w:t>
      </w:r>
    </w:p>
    <w:sectPr w:rsidR="009F0A3C" w:rsidRPr="00C9404A" w:rsidSect="00691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567" w:right="1135" w:bottom="1440" w:left="1440" w:header="720" w:footer="1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4E3D" w14:textId="77777777" w:rsidR="003623D9" w:rsidRDefault="003623D9">
      <w:r>
        <w:separator/>
      </w:r>
    </w:p>
  </w:endnote>
  <w:endnote w:type="continuationSeparator" w:id="0">
    <w:p w14:paraId="4069E6B0" w14:textId="77777777" w:rsidR="003623D9" w:rsidRDefault="0036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A9A3" w14:textId="77777777" w:rsidR="00D5237F" w:rsidRDefault="00D52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7C6" w14:textId="77777777" w:rsidR="00D5237F" w:rsidRDefault="00D52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786E" w14:textId="77777777" w:rsidR="00D5237F" w:rsidRDefault="00D52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51A6" w14:textId="77777777" w:rsidR="003623D9" w:rsidRDefault="003623D9">
      <w:r>
        <w:separator/>
      </w:r>
    </w:p>
  </w:footnote>
  <w:footnote w:type="continuationSeparator" w:id="0">
    <w:p w14:paraId="4E405980" w14:textId="77777777" w:rsidR="003623D9" w:rsidRDefault="0036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0CB3" w14:textId="77777777" w:rsidR="00D5237F" w:rsidRDefault="00D52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162D" w14:textId="77777777" w:rsidR="00D10C86" w:rsidRDefault="003623D9">
    <w:pPr>
      <w:pStyle w:val="Header"/>
    </w:pPr>
  </w:p>
  <w:p w14:paraId="07F8784B" w14:textId="77777777" w:rsidR="00D10C86" w:rsidRDefault="003623D9">
    <w:pPr>
      <w:pStyle w:val="Header"/>
    </w:pPr>
  </w:p>
  <w:p w14:paraId="622B94B5" w14:textId="77777777" w:rsidR="00D10C86" w:rsidRDefault="00362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CB07" w14:textId="77777777" w:rsidR="00D5237F" w:rsidRDefault="00D52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D0"/>
    <w:rsid w:val="000844EF"/>
    <w:rsid w:val="00132D69"/>
    <w:rsid w:val="00136F7F"/>
    <w:rsid w:val="001419C7"/>
    <w:rsid w:val="001813A2"/>
    <w:rsid w:val="001836C3"/>
    <w:rsid w:val="001A1103"/>
    <w:rsid w:val="00246055"/>
    <w:rsid w:val="00251E78"/>
    <w:rsid w:val="00264410"/>
    <w:rsid w:val="00274D28"/>
    <w:rsid w:val="002F72CD"/>
    <w:rsid w:val="00353366"/>
    <w:rsid w:val="003623D9"/>
    <w:rsid w:val="00375938"/>
    <w:rsid w:val="00416559"/>
    <w:rsid w:val="0046638A"/>
    <w:rsid w:val="00481382"/>
    <w:rsid w:val="00525C32"/>
    <w:rsid w:val="00584562"/>
    <w:rsid w:val="00587086"/>
    <w:rsid w:val="005C27BD"/>
    <w:rsid w:val="006828D0"/>
    <w:rsid w:val="00691B04"/>
    <w:rsid w:val="006F4E79"/>
    <w:rsid w:val="006F6E24"/>
    <w:rsid w:val="00711A10"/>
    <w:rsid w:val="00747514"/>
    <w:rsid w:val="007E2563"/>
    <w:rsid w:val="00804F90"/>
    <w:rsid w:val="0081215A"/>
    <w:rsid w:val="00886E69"/>
    <w:rsid w:val="009A2873"/>
    <w:rsid w:val="009E0CC6"/>
    <w:rsid w:val="009E5A06"/>
    <w:rsid w:val="00A0600A"/>
    <w:rsid w:val="00A45F59"/>
    <w:rsid w:val="00A60011"/>
    <w:rsid w:val="00A64BC3"/>
    <w:rsid w:val="00B25C88"/>
    <w:rsid w:val="00B45F56"/>
    <w:rsid w:val="00B93384"/>
    <w:rsid w:val="00BA6D50"/>
    <w:rsid w:val="00C509D1"/>
    <w:rsid w:val="00C71115"/>
    <w:rsid w:val="00C9404A"/>
    <w:rsid w:val="00C96D87"/>
    <w:rsid w:val="00CB095F"/>
    <w:rsid w:val="00D5237F"/>
    <w:rsid w:val="00DB107D"/>
    <w:rsid w:val="00EE3238"/>
    <w:rsid w:val="00F76093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1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8D0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82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6828D0"/>
    <w:pPr>
      <w:autoSpaceDE w:val="0"/>
      <w:autoSpaceDN w:val="0"/>
      <w:adjustRightInd w:val="0"/>
    </w:pPr>
    <w:rPr>
      <w:rFonts w:ascii="Arial" w:eastAsia="Calibri" w:hAnsi="Arial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828D0"/>
    <w:rPr>
      <w:rFonts w:ascii="Arial" w:eastAsia="Calibri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682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10"/>
    <w:rPr>
      <w:rFonts w:ascii="Segoe UI" w:eastAsia="Times New Roman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91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B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AB592-BBD0-46E0-AAAC-CF9F1EC5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DF4AE-9C29-43DB-85F0-325267A3D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DF47C-8B74-4ED1-BCBB-BBDDF909E7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2054</Characters>
  <Application>Microsoft Office Word</Application>
  <DocSecurity>0</DocSecurity>
  <Lines>74</Lines>
  <Paragraphs>16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2022-11-17T03:24:00Z</dcterms:created>
  <dcterms:modified xsi:type="dcterms:W3CDTF">2023-02-20T00:26:00Z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1fca4e9a-eb06-443f-a0c4-1cf598e95623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1266300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PM_ProtectiveMarkingImage_Header">
    <vt:lpwstr>C:\Program Files (x86)\Common Files\janusNET Shared\janusSEAL\Images\DocumentSlashBlue.png</vt:lpwstr>
  </property>
  <property fmtid="{D5CDD505-2E9C-101B-9397-08002B2CF9AE}" pid="11" name="PM_Caveats_Count">
    <vt:lpwstr>0</vt:lpwstr>
  </property>
  <property fmtid="{D5CDD505-2E9C-101B-9397-08002B2CF9AE}" pid="12" name="PM_DisplayValueSecClassificationWithQualifier">
    <vt:lpwstr>UNOFFICIAL</vt:lpwstr>
  </property>
  <property fmtid="{D5CDD505-2E9C-101B-9397-08002B2CF9AE}" pid="13" name="PM_Qualifier">
    <vt:lpwstr/>
  </property>
  <property fmtid="{D5CDD505-2E9C-101B-9397-08002B2CF9AE}" pid="14" name="PM_SecurityClassification">
    <vt:lpwstr>UNOFFICIAL</vt:lpwstr>
  </property>
  <property fmtid="{D5CDD505-2E9C-101B-9397-08002B2CF9AE}" pid="15" name="PM_InsertionValue">
    <vt:lpwstr>UNOFFICIAL</vt:lpwstr>
  </property>
  <property fmtid="{D5CDD505-2E9C-101B-9397-08002B2CF9AE}" pid="16" name="PM_Originating_FileId">
    <vt:lpwstr>64F7A22D04C04B25976F353E3A308FCD</vt:lpwstr>
  </property>
  <property fmtid="{D5CDD505-2E9C-101B-9397-08002B2CF9AE}" pid="17" name="PM_ProtectiveMarkingValue_Footer">
    <vt:lpwstr>UNOFFICIAL</vt:lpwstr>
  </property>
  <property fmtid="{D5CDD505-2E9C-101B-9397-08002B2CF9AE}" pid="18" name="PM_Originator_Hash_SHA1">
    <vt:lpwstr>76C0933BBA71422379E9A96123DD079FFBE12C57</vt:lpwstr>
  </property>
  <property fmtid="{D5CDD505-2E9C-101B-9397-08002B2CF9AE}" pid="19" name="PM_OriginationTimeStamp">
    <vt:lpwstr>2023-02-20T00:26:17Z</vt:lpwstr>
  </property>
  <property fmtid="{D5CDD505-2E9C-101B-9397-08002B2CF9AE}" pid="20" name="PM_ProtectiveMarkingValue_Header">
    <vt:lpwstr>UNOFFICIAL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PM_Display">
    <vt:lpwstr>UNOFFICIAL</vt:lpwstr>
  </property>
  <property fmtid="{D5CDD505-2E9C-101B-9397-08002B2CF9AE}" pid="27" name="PMUuid">
    <vt:lpwstr>E1361484-89D3-5259-96FC-8942BCC53599</vt:lpwstr>
  </property>
  <property fmtid="{D5CDD505-2E9C-101B-9397-08002B2CF9AE}" pid="28" name="PMUuidVer">
    <vt:lpwstr>2022.1</vt:lpwstr>
  </property>
  <property fmtid="{D5CDD505-2E9C-101B-9397-08002B2CF9AE}" pid="29" name="PM_Hash_Version">
    <vt:lpwstr>2018.0</vt:lpwstr>
  </property>
  <property fmtid="{D5CDD505-2E9C-101B-9397-08002B2CF9AE}" pid="30" name="PM_Hash_Salt_Prev">
    <vt:lpwstr>AD08BF58B2D1D9EBC24ED080A21C9C04</vt:lpwstr>
  </property>
  <property fmtid="{D5CDD505-2E9C-101B-9397-08002B2CF9AE}" pid="31" name="PM_Hash_Salt">
    <vt:lpwstr>1035B8C751A06D1FC74A13E668D4C851</vt:lpwstr>
  </property>
  <property fmtid="{D5CDD505-2E9C-101B-9397-08002B2CF9AE}" pid="32" name="PM_Hash_SHA1">
    <vt:lpwstr>F8DAEF6EC27D1C1401BC0CDAE8A587E31FC522CF</vt:lpwstr>
  </property>
  <property fmtid="{D5CDD505-2E9C-101B-9397-08002B2CF9AE}" pid="33" name="PM_OriginatorUserAccountName_SHA256">
    <vt:lpwstr>7D0DCFF25950E674F28670F01919F7E2549FC8A8612F2AF00D21B085785C2A84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PM_SecurityClassification_Prev">
    <vt:lpwstr>UNOFFICIAL</vt:lpwstr>
  </property>
  <property fmtid="{D5CDD505-2E9C-101B-9397-08002B2CF9AE}" pid="36" name="PM_Qualifier_Prev">
    <vt:lpwstr/>
  </property>
</Properties>
</file>