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E6714" w14:textId="77777777" w:rsidR="00230777" w:rsidRPr="00867443" w:rsidRDefault="00230777" w:rsidP="00230777">
      <w:pPr>
        <w:pStyle w:val="Title"/>
        <w:rPr>
          <w:sz w:val="16"/>
          <w:szCs w:val="16"/>
        </w:rPr>
      </w:pPr>
    </w:p>
    <w:p w14:paraId="79357089" w14:textId="77777777" w:rsidR="00494F98" w:rsidRDefault="00494F98" w:rsidP="00EB398C">
      <w:pPr>
        <w:pStyle w:val="Title"/>
        <w:rPr>
          <w:sz w:val="36"/>
          <w:szCs w:val="36"/>
        </w:rPr>
      </w:pPr>
    </w:p>
    <w:p w14:paraId="122B24CB" w14:textId="77777777" w:rsidR="00EB398C" w:rsidRDefault="00494F98" w:rsidP="00EB398C">
      <w:pPr>
        <w:pStyle w:val="Title"/>
        <w:rPr>
          <w:sz w:val="36"/>
          <w:szCs w:val="36"/>
        </w:rPr>
      </w:pPr>
      <w:r>
        <w:rPr>
          <w:sz w:val="36"/>
          <w:szCs w:val="36"/>
        </w:rPr>
        <w:t xml:space="preserve">2019-20 </w:t>
      </w:r>
      <w:r w:rsidR="009351C4">
        <w:rPr>
          <w:sz w:val="36"/>
          <w:szCs w:val="36"/>
        </w:rPr>
        <w:t>SOLOMON ISLANDS</w:t>
      </w:r>
      <w:r w:rsidR="00235EAB">
        <w:rPr>
          <w:sz w:val="36"/>
          <w:szCs w:val="36"/>
        </w:rPr>
        <w:t xml:space="preserve"> </w:t>
      </w:r>
      <w:r w:rsidR="004C5598">
        <w:rPr>
          <w:sz w:val="36"/>
          <w:szCs w:val="36"/>
        </w:rPr>
        <w:t>development program progress report</w:t>
      </w:r>
      <w:r w:rsidR="00660121">
        <w:rPr>
          <w:sz w:val="36"/>
          <w:szCs w:val="36"/>
        </w:rPr>
        <w:t xml:space="preserve">  </w:t>
      </w:r>
    </w:p>
    <w:p w14:paraId="1C2F3E50" w14:textId="77777777" w:rsidR="00452298" w:rsidRDefault="00230777" w:rsidP="00EB398C">
      <w:pPr>
        <w:pStyle w:val="Title"/>
        <w:rPr>
          <w:noProof/>
          <w:sz w:val="36"/>
          <w:szCs w:val="36"/>
          <w:lang w:val="en-AU" w:eastAsia="en-AU"/>
        </w:rPr>
        <w:sectPr w:rsidR="00452298" w:rsidSect="002B0289">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66"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122.3&#10;Regional – 25.3&#10;Global – 11.6&#10;Other Government Departments – 15.3&#10;Total Australian ODA – 174.4&#10;Note. Actual expenditure is expected to be available in December 2020&#10;"/>
      </w:tblPr>
      <w:tblGrid>
        <w:gridCol w:w="3715"/>
        <w:gridCol w:w="1551"/>
      </w:tblGrid>
      <w:tr w:rsidR="00D36449" w14:paraId="49D7EEAE" w14:textId="77777777" w:rsidTr="00F857E7">
        <w:trPr>
          <w:trHeight w:hRule="exact" w:val="851"/>
        </w:trPr>
        <w:tc>
          <w:tcPr>
            <w:tcW w:w="3715" w:type="dxa"/>
            <w:shd w:val="clear" w:color="auto" w:fill="C1E7E0" w:themeFill="accent1" w:themeFillTint="66"/>
            <w:vAlign w:val="center"/>
          </w:tcPr>
          <w:p w14:paraId="79E77E93" w14:textId="77777777" w:rsidR="00D36449" w:rsidRPr="00BF270A" w:rsidRDefault="00D36449" w:rsidP="00F857E7">
            <w:pPr>
              <w:pStyle w:val="NormalWeb"/>
              <w:spacing w:before="120" w:beforeAutospacing="0" w:after="60" w:afterAutospacing="0" w:line="200" w:lineRule="exact"/>
              <w:jc w:val="center"/>
              <w:rPr>
                <w:rFonts w:asciiTheme="minorHAnsi" w:hAnsiTheme="minorHAnsi" w:cstheme="minorHAnsi"/>
                <w:b/>
                <w:bCs/>
                <w:kern w:val="24"/>
                <w:sz w:val="22"/>
                <w:szCs w:val="20"/>
              </w:rPr>
            </w:pPr>
            <w:r w:rsidRPr="00BF270A">
              <w:rPr>
                <w:rFonts w:asciiTheme="minorHAnsi" w:hAnsiTheme="minorHAnsi" w:cstheme="minorHAnsi"/>
                <w:b/>
                <w:sz w:val="22"/>
              </w:rPr>
              <w:t>Program Budget</w:t>
            </w:r>
          </w:p>
        </w:tc>
        <w:tc>
          <w:tcPr>
            <w:tcW w:w="1551" w:type="dxa"/>
            <w:shd w:val="clear" w:color="auto" w:fill="C1E7E0" w:themeFill="accent1" w:themeFillTint="66"/>
            <w:vAlign w:val="center"/>
          </w:tcPr>
          <w:p w14:paraId="40EFC7FC" w14:textId="77777777" w:rsidR="00D36449" w:rsidRPr="006040BB" w:rsidRDefault="00D36449" w:rsidP="00F857E7">
            <w:pPr>
              <w:pStyle w:val="NormalWeb"/>
              <w:spacing w:before="120" w:beforeAutospacing="0" w:after="60" w:afterAutospacing="0" w:line="200" w:lineRule="exact"/>
              <w:jc w:val="center"/>
              <w:rPr>
                <w:rFonts w:asciiTheme="minorHAnsi" w:hAnsiTheme="minorHAnsi" w:cs="Calibri"/>
                <w:b/>
                <w:bCs/>
                <w:kern w:val="24"/>
                <w:sz w:val="20"/>
                <w:szCs w:val="20"/>
              </w:rPr>
            </w:pPr>
            <w:r w:rsidRPr="006040BB">
              <w:rPr>
                <w:rFonts w:asciiTheme="minorHAnsi" w:hAnsiTheme="minorHAnsi" w:cs="Calibri"/>
                <w:b/>
                <w:bCs/>
                <w:kern w:val="24"/>
                <w:sz w:val="20"/>
                <w:szCs w:val="20"/>
              </w:rPr>
              <w:t>2019-20 Budget Estimate ($m)</w:t>
            </w:r>
            <w:r w:rsidRPr="00363A88">
              <w:rPr>
                <w:rFonts w:asciiTheme="minorHAnsi" w:hAnsiTheme="minorHAnsi" w:cs="Calibri"/>
                <w:b/>
                <w:bCs/>
                <w:kern w:val="24"/>
                <w:sz w:val="20"/>
                <w:szCs w:val="20"/>
                <w:vertAlign w:val="superscript"/>
              </w:rPr>
              <w:t>*</w:t>
            </w:r>
          </w:p>
        </w:tc>
      </w:tr>
      <w:tr w:rsidR="00D36449" w14:paraId="37956EA4" w14:textId="77777777" w:rsidTr="00F857E7">
        <w:trPr>
          <w:trHeight w:hRule="exact" w:val="454"/>
        </w:trPr>
        <w:tc>
          <w:tcPr>
            <w:tcW w:w="3715" w:type="dxa"/>
            <w:shd w:val="clear" w:color="auto" w:fill="auto"/>
            <w:vAlign w:val="bottom"/>
          </w:tcPr>
          <w:p w14:paraId="7BEC64C5" w14:textId="77777777" w:rsidR="00D36449" w:rsidRDefault="00D36449"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Bilateral</w:t>
            </w:r>
          </w:p>
        </w:tc>
        <w:tc>
          <w:tcPr>
            <w:tcW w:w="1551" w:type="dxa"/>
            <w:vAlign w:val="bottom"/>
          </w:tcPr>
          <w:p w14:paraId="36E2D86C" w14:textId="77777777" w:rsidR="00D36449" w:rsidRDefault="00D36449"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122.3</w:t>
            </w:r>
          </w:p>
        </w:tc>
      </w:tr>
      <w:tr w:rsidR="00D36449" w14:paraId="5443872A" w14:textId="77777777" w:rsidTr="00F857E7">
        <w:trPr>
          <w:trHeight w:hRule="exact" w:val="454"/>
        </w:trPr>
        <w:tc>
          <w:tcPr>
            <w:tcW w:w="3715" w:type="dxa"/>
            <w:shd w:val="clear" w:color="auto" w:fill="auto"/>
            <w:vAlign w:val="bottom"/>
          </w:tcPr>
          <w:p w14:paraId="7AC26763" w14:textId="77777777" w:rsidR="00D36449" w:rsidRDefault="00D36449"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Regional</w:t>
            </w:r>
          </w:p>
        </w:tc>
        <w:tc>
          <w:tcPr>
            <w:tcW w:w="1551" w:type="dxa"/>
            <w:vAlign w:val="bottom"/>
          </w:tcPr>
          <w:p w14:paraId="0F052AB1" w14:textId="77777777" w:rsidR="00D36449" w:rsidRDefault="00D36449"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25.3</w:t>
            </w:r>
          </w:p>
        </w:tc>
      </w:tr>
      <w:tr w:rsidR="00D36449" w14:paraId="0286BD50" w14:textId="77777777" w:rsidTr="00F857E7">
        <w:trPr>
          <w:trHeight w:hRule="exact" w:val="454"/>
        </w:trPr>
        <w:tc>
          <w:tcPr>
            <w:tcW w:w="3715" w:type="dxa"/>
            <w:shd w:val="clear" w:color="auto" w:fill="auto"/>
            <w:vAlign w:val="bottom"/>
          </w:tcPr>
          <w:p w14:paraId="3DA53F4F" w14:textId="77777777" w:rsidR="00D36449" w:rsidRDefault="00D36449"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Global</w:t>
            </w:r>
          </w:p>
        </w:tc>
        <w:tc>
          <w:tcPr>
            <w:tcW w:w="1551" w:type="dxa"/>
            <w:vAlign w:val="bottom"/>
          </w:tcPr>
          <w:p w14:paraId="077A8681" w14:textId="77777777" w:rsidR="00D36449" w:rsidRDefault="00D36449"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11.6</w:t>
            </w:r>
          </w:p>
        </w:tc>
      </w:tr>
      <w:tr w:rsidR="00D36449" w14:paraId="31B0FD27" w14:textId="77777777" w:rsidTr="00F857E7">
        <w:trPr>
          <w:trHeight w:hRule="exact" w:val="454"/>
        </w:trPr>
        <w:tc>
          <w:tcPr>
            <w:tcW w:w="3715" w:type="dxa"/>
            <w:shd w:val="clear" w:color="auto" w:fill="auto"/>
            <w:vAlign w:val="bottom"/>
          </w:tcPr>
          <w:p w14:paraId="06194D41" w14:textId="77777777" w:rsidR="00D36449" w:rsidRDefault="00D36449"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Other Government Departments</w:t>
            </w:r>
          </w:p>
        </w:tc>
        <w:tc>
          <w:tcPr>
            <w:tcW w:w="1551" w:type="dxa"/>
            <w:vAlign w:val="bottom"/>
          </w:tcPr>
          <w:p w14:paraId="13B56A05" w14:textId="77777777" w:rsidR="00D36449" w:rsidRDefault="00D36449"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15.3</w:t>
            </w:r>
          </w:p>
        </w:tc>
      </w:tr>
      <w:tr w:rsidR="00D36449" w14:paraId="56C1C6AE" w14:textId="77777777" w:rsidTr="00F857E7">
        <w:trPr>
          <w:trHeight w:hRule="exact" w:val="454"/>
        </w:trPr>
        <w:tc>
          <w:tcPr>
            <w:tcW w:w="3715" w:type="dxa"/>
            <w:tcBorders>
              <w:bottom w:val="single" w:sz="2" w:space="0" w:color="65C5B4" w:themeColor="accent1"/>
            </w:tcBorders>
            <w:shd w:val="clear" w:color="auto" w:fill="auto"/>
            <w:vAlign w:val="bottom"/>
          </w:tcPr>
          <w:p w14:paraId="6DEC865D" w14:textId="77777777" w:rsidR="00D36449" w:rsidRDefault="00D36449" w:rsidP="00F857E7">
            <w:pPr>
              <w:pStyle w:val="NormalWeb"/>
              <w:spacing w:before="20" w:beforeAutospacing="0" w:after="20" w:afterAutospacing="0"/>
              <w:rPr>
                <w:rFonts w:ascii="Arial" w:hAnsi="Arial" w:cs="Arial"/>
                <w:sz w:val="36"/>
                <w:szCs w:val="36"/>
              </w:rPr>
            </w:pPr>
            <w:r>
              <w:rPr>
                <w:rFonts w:ascii="Calibri" w:hAnsi="Calibri" w:cs="Calibri"/>
                <w:b/>
                <w:bCs/>
                <w:color w:val="000000" w:themeColor="dark1"/>
                <w:kern w:val="24"/>
                <w:sz w:val="20"/>
                <w:szCs w:val="20"/>
              </w:rPr>
              <w:t>Total Australian ODA to Solomon Islands</w:t>
            </w:r>
          </w:p>
        </w:tc>
        <w:tc>
          <w:tcPr>
            <w:tcW w:w="1551" w:type="dxa"/>
            <w:tcBorders>
              <w:bottom w:val="single" w:sz="2" w:space="0" w:color="65C5B4" w:themeColor="accent1"/>
            </w:tcBorders>
            <w:vAlign w:val="bottom"/>
          </w:tcPr>
          <w:p w14:paraId="25EB8108" w14:textId="77777777" w:rsidR="00D36449" w:rsidRPr="006040BB" w:rsidRDefault="00D36449" w:rsidP="00F857E7">
            <w:pPr>
              <w:pStyle w:val="NormalWeb"/>
              <w:spacing w:before="20" w:beforeAutospacing="0" w:after="20" w:afterAutospacing="0"/>
              <w:ind w:right="172"/>
              <w:jc w:val="right"/>
              <w:rPr>
                <w:rFonts w:ascii="Calibri" w:hAnsi="Calibri" w:cs="Calibri"/>
                <w:b/>
                <w:bCs/>
                <w:color w:val="000000" w:themeColor="dark1"/>
                <w:kern w:val="24"/>
                <w:sz w:val="20"/>
                <w:szCs w:val="20"/>
              </w:rPr>
            </w:pPr>
            <w:r w:rsidRPr="006040BB">
              <w:rPr>
                <w:rFonts w:ascii="Calibri" w:hAnsi="Calibri" w:cs="Calibri"/>
                <w:b/>
                <w:bCs/>
                <w:color w:val="000000" w:themeColor="dark1"/>
                <w:kern w:val="24"/>
                <w:sz w:val="20"/>
                <w:szCs w:val="20"/>
              </w:rPr>
              <w:t>174.4</w:t>
            </w:r>
          </w:p>
        </w:tc>
      </w:tr>
    </w:tbl>
    <w:p w14:paraId="36F179D8" w14:textId="26D12B51" w:rsidR="00D36449" w:rsidRPr="002314A6" w:rsidRDefault="00D36449" w:rsidP="00D36449">
      <w:pPr>
        <w:spacing w:before="0" w:line="240" w:lineRule="auto"/>
        <w:rPr>
          <w:rFonts w:cstheme="minorHAnsi"/>
          <w:sz w:val="16"/>
          <w:szCs w:val="16"/>
        </w:rPr>
      </w:pPr>
      <w:r w:rsidRPr="002314A6">
        <w:rPr>
          <w:rFonts w:cstheme="minorHAnsi"/>
          <w:bCs/>
          <w:color w:val="000000" w:themeColor="dark1"/>
          <w:kern w:val="24"/>
          <w:sz w:val="16"/>
          <w:szCs w:val="16"/>
        </w:rPr>
        <w:t>*Actual expenditure is expected to be available in December 2020</w:t>
      </w:r>
    </w:p>
    <w:p w14:paraId="25E7075B" w14:textId="3BC6AB8A" w:rsidR="00452298" w:rsidRDefault="00D36449" w:rsidP="00494F98">
      <w:pPr>
        <w:spacing w:before="0" w:after="0"/>
      </w:pPr>
      <w:r>
        <w:rPr>
          <w:noProof/>
          <w:lang w:val="en-AU" w:eastAsia="en-AU"/>
        </w:rPr>
        <w:drawing>
          <wp:inline distT="0" distB="0" distL="0" distR="0" wp14:anchorId="4FAF9058" wp14:editId="69CDFF8C">
            <wp:extent cx="3298825" cy="2037953"/>
            <wp:effectExtent l="0" t="0" r="0" b="635"/>
            <wp:docPr id="1" name="Picture 1" descr="Infrastructure and trade – 40%&#10;Agriculture, fisheries and water – 2%&#10;Governance – 28%&#10;Education – 14%&#10;Health – 13%&#10;Building resilience – 2%&#10;General development support – 1%&#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4719" cy="2041594"/>
                    </a:xfrm>
                    <a:prstGeom prst="rect">
                      <a:avLst/>
                    </a:prstGeom>
                    <a:noFill/>
                  </pic:spPr>
                </pic:pic>
              </a:graphicData>
            </a:graphic>
          </wp:inline>
        </w:drawing>
      </w:r>
    </w:p>
    <w:p w14:paraId="7E81F08B" w14:textId="7846E151" w:rsidR="00D36449" w:rsidRDefault="00D36449" w:rsidP="00494F98">
      <w:pPr>
        <w:spacing w:before="0" w:after="0"/>
      </w:pPr>
    </w:p>
    <w:p w14:paraId="523EC727" w14:textId="77777777" w:rsidR="00D36449" w:rsidRPr="00452298" w:rsidRDefault="00D36449" w:rsidP="00494F98">
      <w:pPr>
        <w:spacing w:before="0" w:after="0"/>
        <w:sectPr w:rsidR="00D36449" w:rsidRPr="00452298" w:rsidSect="00D36449">
          <w:type w:val="continuous"/>
          <w:pgSz w:w="11906" w:h="16838" w:code="9"/>
          <w:pgMar w:top="1701" w:right="140" w:bottom="1418" w:left="709" w:header="142" w:footer="493" w:gutter="0"/>
          <w:cols w:num="2" w:space="397"/>
          <w:titlePg/>
          <w:docGrid w:linePitch="360"/>
        </w:sectPr>
      </w:pPr>
    </w:p>
    <w:p w14:paraId="2B11E79B" w14:textId="77777777" w:rsidR="00593285" w:rsidRDefault="00593285" w:rsidP="00593285">
      <w:pPr>
        <w:rPr>
          <w:b/>
        </w:rPr>
      </w:pPr>
      <w:r>
        <w:rPr>
          <w:b/>
          <w:sz w:val="24"/>
        </w:rPr>
        <w:t>COVID-19 Development Response</w:t>
      </w:r>
      <w:r>
        <w:rPr>
          <w:b/>
        </w:rPr>
        <w:tab/>
      </w:r>
    </w:p>
    <w:p w14:paraId="68EEEBF7" w14:textId="2CB4DB46" w:rsidR="007A1884" w:rsidRPr="001453DA" w:rsidRDefault="000E6809" w:rsidP="001453DA">
      <w:pPr>
        <w:pStyle w:val="ListParagraph"/>
        <w:numPr>
          <w:ilvl w:val="0"/>
          <w:numId w:val="11"/>
        </w:numPr>
        <w:suppressAutoHyphens w:val="0"/>
        <w:spacing w:before="0" w:after="0" w:line="240" w:lineRule="auto"/>
        <w:rPr>
          <w:color w:val="auto"/>
        </w:rPr>
      </w:pPr>
      <w:r w:rsidRPr="001453DA">
        <w:rPr>
          <w:color w:val="auto"/>
          <w:lang w:val="en-AU"/>
        </w:rPr>
        <w:t xml:space="preserve">Australia is the largest development </w:t>
      </w:r>
      <w:r w:rsidR="001453DA" w:rsidRPr="001453DA">
        <w:rPr>
          <w:color w:val="auto"/>
          <w:lang w:val="en-AU"/>
        </w:rPr>
        <w:t>partner</w:t>
      </w:r>
      <w:r w:rsidRPr="00061FDC">
        <w:rPr>
          <w:color w:val="auto"/>
          <w:lang w:val="en-AU"/>
        </w:rPr>
        <w:t xml:space="preserve"> </w:t>
      </w:r>
      <w:r w:rsidR="001453DA" w:rsidRPr="00061FDC">
        <w:rPr>
          <w:color w:val="auto"/>
          <w:lang w:val="en-AU"/>
        </w:rPr>
        <w:t>with</w:t>
      </w:r>
      <w:r w:rsidRPr="001453DA">
        <w:rPr>
          <w:color w:val="auto"/>
          <w:lang w:val="en-AU"/>
        </w:rPr>
        <w:t xml:space="preserve"> </w:t>
      </w:r>
      <w:r w:rsidR="001453DA" w:rsidRPr="001453DA">
        <w:rPr>
          <w:color w:val="auto"/>
          <w:lang w:val="en-AU"/>
        </w:rPr>
        <w:t xml:space="preserve">the </w:t>
      </w:r>
      <w:r w:rsidRPr="00061FDC">
        <w:rPr>
          <w:color w:val="auto"/>
          <w:lang w:val="en-AU"/>
        </w:rPr>
        <w:t xml:space="preserve">Solomon Islands and </w:t>
      </w:r>
      <w:r w:rsidR="009D72E6" w:rsidRPr="001453DA">
        <w:rPr>
          <w:color w:val="auto"/>
          <w:lang w:val="en-AU"/>
        </w:rPr>
        <w:t>we have</w:t>
      </w:r>
      <w:r w:rsidR="007A1884" w:rsidRPr="001453DA">
        <w:rPr>
          <w:color w:val="auto"/>
          <w:lang w:val="en-AU"/>
        </w:rPr>
        <w:t xml:space="preserve"> pivoted </w:t>
      </w:r>
      <w:r w:rsidR="009D72E6" w:rsidRPr="001453DA">
        <w:rPr>
          <w:color w:val="auto"/>
          <w:lang w:val="en-AU"/>
        </w:rPr>
        <w:t xml:space="preserve">our </w:t>
      </w:r>
      <w:r w:rsidR="007A1884" w:rsidRPr="001453DA">
        <w:rPr>
          <w:color w:val="auto"/>
          <w:lang w:val="en-AU"/>
        </w:rPr>
        <w:t xml:space="preserve">aid program to </w:t>
      </w:r>
      <w:r w:rsidR="001453DA">
        <w:rPr>
          <w:color w:val="auto"/>
          <w:lang w:val="en-AU"/>
        </w:rPr>
        <w:t>support</w:t>
      </w:r>
      <w:r w:rsidR="009D72E6" w:rsidRPr="001453DA">
        <w:rPr>
          <w:color w:val="auto"/>
          <w:lang w:val="en-AU"/>
        </w:rPr>
        <w:t xml:space="preserve"> </w:t>
      </w:r>
      <w:r w:rsidR="002A2413" w:rsidRPr="001453DA">
        <w:rPr>
          <w:color w:val="auto"/>
          <w:lang w:val="en-AU"/>
        </w:rPr>
        <w:t>Solomon Islands to respond</w:t>
      </w:r>
      <w:r w:rsidR="009D72E6" w:rsidRPr="001453DA">
        <w:rPr>
          <w:color w:val="auto"/>
          <w:lang w:val="en-AU"/>
        </w:rPr>
        <w:t xml:space="preserve"> to the</w:t>
      </w:r>
      <w:r w:rsidR="007A1884" w:rsidRPr="001453DA">
        <w:rPr>
          <w:color w:val="auto"/>
          <w:lang w:val="en-AU"/>
        </w:rPr>
        <w:t xml:space="preserve"> challenges of COVID-19.</w:t>
      </w:r>
      <w:r w:rsidR="009D72E6" w:rsidRPr="001453DA">
        <w:rPr>
          <w:color w:val="auto"/>
          <w:lang w:val="en-AU"/>
        </w:rPr>
        <w:t xml:space="preserve"> As part of this assistance, Australia provided a $13 million package in direct budget support</w:t>
      </w:r>
      <w:r w:rsidR="002A2413" w:rsidRPr="001453DA">
        <w:rPr>
          <w:color w:val="auto"/>
          <w:lang w:val="en-AU"/>
        </w:rPr>
        <w:t xml:space="preserve"> – with </w:t>
      </w:r>
      <w:r w:rsidR="009D72E6" w:rsidRPr="001453DA">
        <w:rPr>
          <w:color w:val="auto"/>
          <w:lang w:val="en-AU"/>
        </w:rPr>
        <w:t>$8 million allocated to health and $5 million to economic stimulus – and tailored its existing assistance to help meet Solomon Islands’ response priorities.</w:t>
      </w:r>
      <w:r w:rsidR="007A1884" w:rsidRPr="001453DA">
        <w:rPr>
          <w:color w:val="auto"/>
          <w:lang w:val="en-AU"/>
        </w:rPr>
        <w:t xml:space="preserve"> </w:t>
      </w:r>
    </w:p>
    <w:p w14:paraId="30DF4796" w14:textId="314CE419" w:rsidR="002F1850" w:rsidRPr="001453DA" w:rsidRDefault="00DB0A24" w:rsidP="001453DA">
      <w:pPr>
        <w:pStyle w:val="ListParagraph"/>
        <w:numPr>
          <w:ilvl w:val="0"/>
          <w:numId w:val="11"/>
        </w:numPr>
        <w:suppressAutoHyphens w:val="0"/>
        <w:spacing w:before="0" w:after="0" w:line="240" w:lineRule="auto"/>
        <w:rPr>
          <w:color w:val="auto"/>
        </w:rPr>
      </w:pPr>
      <w:r w:rsidRPr="001453DA">
        <w:rPr>
          <w:color w:val="auto"/>
        </w:rPr>
        <w:t xml:space="preserve">As the largest </w:t>
      </w:r>
      <w:r w:rsidR="00D422D9" w:rsidRPr="001453DA">
        <w:rPr>
          <w:color w:val="auto"/>
        </w:rPr>
        <w:t xml:space="preserve">health sector </w:t>
      </w:r>
      <w:r w:rsidR="006D6AA4" w:rsidRPr="001453DA">
        <w:rPr>
          <w:color w:val="auto"/>
        </w:rPr>
        <w:t>partner</w:t>
      </w:r>
      <w:r w:rsidR="00D422D9" w:rsidRPr="001453DA">
        <w:rPr>
          <w:color w:val="auto"/>
        </w:rPr>
        <w:t>,</w:t>
      </w:r>
      <w:r w:rsidRPr="001453DA">
        <w:rPr>
          <w:color w:val="auto"/>
        </w:rPr>
        <w:t xml:space="preserve"> Australia has led support for Solomon Islands’ </w:t>
      </w:r>
      <w:r w:rsidRPr="00CD1ECE">
        <w:rPr>
          <w:color w:val="auto"/>
        </w:rPr>
        <w:t xml:space="preserve">COVID-19 preparedness and response, </w:t>
      </w:r>
      <w:r w:rsidRPr="001453DA">
        <w:rPr>
          <w:color w:val="auto"/>
        </w:rPr>
        <w:t xml:space="preserve">assisting </w:t>
      </w:r>
      <w:r w:rsidR="002F1850" w:rsidRPr="001453DA">
        <w:rPr>
          <w:color w:val="auto"/>
        </w:rPr>
        <w:t>Solomon Islands</w:t>
      </w:r>
      <w:r w:rsidR="001B79DC" w:rsidRPr="001453DA">
        <w:rPr>
          <w:color w:val="auto"/>
        </w:rPr>
        <w:t xml:space="preserve"> to</w:t>
      </w:r>
      <w:r w:rsidR="002F1850" w:rsidRPr="001453DA">
        <w:rPr>
          <w:color w:val="auto"/>
        </w:rPr>
        <w:t xml:space="preserve"> </w:t>
      </w:r>
      <w:r w:rsidRPr="001453DA">
        <w:rPr>
          <w:color w:val="auto"/>
        </w:rPr>
        <w:t>complete</w:t>
      </w:r>
      <w:r w:rsidR="002F1850" w:rsidRPr="001453DA">
        <w:rPr>
          <w:color w:val="auto"/>
        </w:rPr>
        <w:t xml:space="preserve"> a COVID-19 Preparedness and Response Plan, </w:t>
      </w:r>
      <w:r w:rsidRPr="001453DA">
        <w:rPr>
          <w:color w:val="auto"/>
        </w:rPr>
        <w:t xml:space="preserve">including </w:t>
      </w:r>
      <w:r w:rsidR="00883477" w:rsidRPr="001453DA">
        <w:rPr>
          <w:color w:val="auto"/>
        </w:rPr>
        <w:t>training in surveillance and</w:t>
      </w:r>
      <w:r w:rsidR="002F1850" w:rsidRPr="001453DA">
        <w:rPr>
          <w:color w:val="auto"/>
        </w:rPr>
        <w:t xml:space="preserve"> infection control</w:t>
      </w:r>
      <w:r w:rsidR="00883477" w:rsidRPr="001453DA">
        <w:rPr>
          <w:color w:val="auto"/>
        </w:rPr>
        <w:t>,</w:t>
      </w:r>
      <w:r w:rsidR="002F1850" w:rsidRPr="001453DA">
        <w:rPr>
          <w:color w:val="auto"/>
        </w:rPr>
        <w:t xml:space="preserve"> and COVID-19 clinical guidelines.</w:t>
      </w:r>
    </w:p>
    <w:p w14:paraId="622FB36F" w14:textId="02FF826E" w:rsidR="00DB0A24" w:rsidRPr="001453DA" w:rsidRDefault="009D72E6" w:rsidP="001453DA">
      <w:pPr>
        <w:pStyle w:val="ListParagraph"/>
        <w:numPr>
          <w:ilvl w:val="0"/>
          <w:numId w:val="11"/>
        </w:numPr>
        <w:suppressAutoHyphens w:val="0"/>
        <w:spacing w:before="0" w:after="0" w:line="240" w:lineRule="auto"/>
        <w:rPr>
          <w:color w:val="auto"/>
        </w:rPr>
      </w:pPr>
      <w:r w:rsidRPr="001453DA">
        <w:rPr>
          <w:color w:val="auto"/>
        </w:rPr>
        <w:t>Australia has provided tar</w:t>
      </w:r>
      <w:r w:rsidR="00DB40A2" w:rsidRPr="001453DA">
        <w:rPr>
          <w:color w:val="auto"/>
        </w:rPr>
        <w:t>gete</w:t>
      </w:r>
      <w:r w:rsidRPr="001453DA">
        <w:rPr>
          <w:color w:val="auto"/>
        </w:rPr>
        <w:t>d</w:t>
      </w:r>
      <w:r w:rsidR="00DB0A24" w:rsidRPr="001453DA">
        <w:rPr>
          <w:color w:val="auto"/>
        </w:rPr>
        <w:t xml:space="preserve"> </w:t>
      </w:r>
      <w:r w:rsidR="00703B97" w:rsidRPr="001453DA">
        <w:rPr>
          <w:color w:val="auto"/>
        </w:rPr>
        <w:t xml:space="preserve">support for </w:t>
      </w:r>
      <w:r w:rsidR="00DB0A24" w:rsidRPr="001453DA">
        <w:rPr>
          <w:color w:val="auto"/>
        </w:rPr>
        <w:t xml:space="preserve">preparedness and response </w:t>
      </w:r>
      <w:r w:rsidR="00CD6EE1" w:rsidRPr="001453DA">
        <w:rPr>
          <w:color w:val="auto"/>
        </w:rPr>
        <w:t xml:space="preserve">through </w:t>
      </w:r>
      <w:r w:rsidRPr="001453DA">
        <w:rPr>
          <w:color w:val="auto"/>
        </w:rPr>
        <w:t xml:space="preserve">national and </w:t>
      </w:r>
      <w:r w:rsidR="00DB0A24" w:rsidRPr="001453DA">
        <w:rPr>
          <w:color w:val="auto"/>
        </w:rPr>
        <w:t xml:space="preserve">provincial health training and health infrastructure upgrades, </w:t>
      </w:r>
      <w:r w:rsidR="001B79DC" w:rsidRPr="001453DA">
        <w:rPr>
          <w:color w:val="auto"/>
        </w:rPr>
        <w:t>including</w:t>
      </w:r>
      <w:r w:rsidR="00DB0A24" w:rsidRPr="001453DA">
        <w:rPr>
          <w:color w:val="auto"/>
        </w:rPr>
        <w:t xml:space="preserve"> building a quarantine facility at Honiara International Airport.</w:t>
      </w:r>
    </w:p>
    <w:p w14:paraId="5B038842" w14:textId="65E81E13" w:rsidR="00A534A8" w:rsidRPr="001453DA" w:rsidRDefault="00DB0A24" w:rsidP="001453DA">
      <w:pPr>
        <w:pStyle w:val="ListParagraph"/>
        <w:numPr>
          <w:ilvl w:val="0"/>
          <w:numId w:val="11"/>
        </w:numPr>
        <w:suppressAutoHyphens w:val="0"/>
        <w:spacing w:before="0" w:after="0" w:line="240" w:lineRule="auto"/>
        <w:rPr>
          <w:color w:val="auto"/>
        </w:rPr>
      </w:pPr>
      <w:r w:rsidRPr="001453DA">
        <w:rPr>
          <w:color w:val="auto"/>
        </w:rPr>
        <w:t xml:space="preserve">Australia </w:t>
      </w:r>
      <w:r w:rsidR="00CD6EE1" w:rsidRPr="001453DA">
        <w:rPr>
          <w:color w:val="auto"/>
        </w:rPr>
        <w:t xml:space="preserve">enabled </w:t>
      </w:r>
      <w:r w:rsidRPr="001453DA">
        <w:rPr>
          <w:color w:val="auto"/>
        </w:rPr>
        <w:t xml:space="preserve">Solomon Islands’ testing ability by providing a qPCR COVID-19 testing machine </w:t>
      </w:r>
      <w:r w:rsidR="00A534A8" w:rsidRPr="001453DA">
        <w:rPr>
          <w:color w:val="auto"/>
        </w:rPr>
        <w:t xml:space="preserve">with ongoing technical support </w:t>
      </w:r>
      <w:r w:rsidRPr="001453DA">
        <w:rPr>
          <w:color w:val="auto"/>
        </w:rPr>
        <w:t>and GeneXpert COVID-19 testing cartridges.</w:t>
      </w:r>
    </w:p>
    <w:p w14:paraId="318F369A" w14:textId="387123BF" w:rsidR="00DB0A24" w:rsidRPr="001453DA" w:rsidRDefault="00DB0A24" w:rsidP="001453DA">
      <w:pPr>
        <w:pStyle w:val="ListParagraph"/>
        <w:numPr>
          <w:ilvl w:val="0"/>
          <w:numId w:val="11"/>
        </w:numPr>
        <w:suppressAutoHyphens w:val="0"/>
        <w:spacing w:before="0" w:after="0" w:line="240" w:lineRule="auto"/>
        <w:rPr>
          <w:color w:val="auto"/>
        </w:rPr>
      </w:pPr>
      <w:r w:rsidRPr="001453DA">
        <w:rPr>
          <w:color w:val="auto"/>
        </w:rPr>
        <w:t>Australia funded the upgrade of the National Referral Hospital’s testing laboratory to support improved</w:t>
      </w:r>
      <w:r w:rsidR="00A534A8" w:rsidRPr="001453DA">
        <w:rPr>
          <w:color w:val="auto"/>
        </w:rPr>
        <w:t xml:space="preserve"> testing</w:t>
      </w:r>
      <w:r w:rsidRPr="001453DA">
        <w:rPr>
          <w:color w:val="auto"/>
        </w:rPr>
        <w:t>.</w:t>
      </w:r>
      <w:r w:rsidR="00A534A8" w:rsidRPr="001453DA">
        <w:rPr>
          <w:color w:val="auto"/>
        </w:rPr>
        <w:t xml:space="preserve"> </w:t>
      </w:r>
      <w:r w:rsidRPr="001453DA">
        <w:rPr>
          <w:color w:val="auto"/>
        </w:rPr>
        <w:t xml:space="preserve">Australia provided five new </w:t>
      </w:r>
      <w:r w:rsidRPr="001453DA">
        <w:rPr>
          <w:color w:val="auto"/>
        </w:rPr>
        <w:t xml:space="preserve">ventilators, distributed to </w:t>
      </w:r>
      <w:r w:rsidR="00703B97" w:rsidRPr="001453DA">
        <w:rPr>
          <w:color w:val="auto"/>
        </w:rPr>
        <w:t xml:space="preserve">hospitals </w:t>
      </w:r>
      <w:r w:rsidR="007A1884" w:rsidRPr="001453DA">
        <w:rPr>
          <w:color w:val="auto"/>
        </w:rPr>
        <w:t xml:space="preserve">and clinics in </w:t>
      </w:r>
      <w:r w:rsidRPr="001453DA">
        <w:rPr>
          <w:color w:val="auto"/>
        </w:rPr>
        <w:t xml:space="preserve">Honiara, Malaita and Western Province. </w:t>
      </w:r>
    </w:p>
    <w:p w14:paraId="37B0327B" w14:textId="4191847F" w:rsidR="00A534A8" w:rsidRPr="001453DA" w:rsidRDefault="007A1884" w:rsidP="001453DA">
      <w:pPr>
        <w:pStyle w:val="ListParagraph"/>
        <w:numPr>
          <w:ilvl w:val="0"/>
          <w:numId w:val="11"/>
        </w:numPr>
        <w:spacing w:after="0" w:line="254" w:lineRule="auto"/>
        <w:rPr>
          <w:rFonts w:cstheme="minorHAnsi"/>
          <w:color w:val="auto"/>
          <w:lang w:val="en-AU"/>
        </w:rPr>
      </w:pPr>
      <w:r w:rsidRPr="001453DA">
        <w:rPr>
          <w:color w:val="auto"/>
        </w:rPr>
        <w:t xml:space="preserve">Australia </w:t>
      </w:r>
      <w:r w:rsidR="00480369" w:rsidRPr="001453DA">
        <w:rPr>
          <w:color w:val="auto"/>
        </w:rPr>
        <w:t xml:space="preserve">supported </w:t>
      </w:r>
      <w:r w:rsidRPr="001453DA">
        <w:rPr>
          <w:color w:val="auto"/>
        </w:rPr>
        <w:t xml:space="preserve">the delivery of essential services </w:t>
      </w:r>
      <w:r w:rsidR="00480369" w:rsidRPr="001453DA">
        <w:rPr>
          <w:color w:val="auto"/>
        </w:rPr>
        <w:t>by assisting</w:t>
      </w:r>
      <w:r w:rsidR="002F1850" w:rsidRPr="001453DA">
        <w:rPr>
          <w:color w:val="auto"/>
        </w:rPr>
        <w:t xml:space="preserve"> government state owned enterprises</w:t>
      </w:r>
      <w:r w:rsidR="00CD6EE1" w:rsidRPr="001453DA">
        <w:rPr>
          <w:color w:val="auto"/>
        </w:rPr>
        <w:t>, including</w:t>
      </w:r>
      <w:r w:rsidR="002F1850" w:rsidRPr="001453DA">
        <w:rPr>
          <w:color w:val="auto"/>
        </w:rPr>
        <w:t xml:space="preserve"> Solomon Water</w:t>
      </w:r>
      <w:r w:rsidRPr="001453DA">
        <w:rPr>
          <w:color w:val="auto"/>
        </w:rPr>
        <w:t xml:space="preserve">. </w:t>
      </w:r>
    </w:p>
    <w:p w14:paraId="7D8D6E19" w14:textId="77777777" w:rsidR="002F1850" w:rsidRPr="001453DA" w:rsidRDefault="00A534A8" w:rsidP="001453DA">
      <w:pPr>
        <w:pStyle w:val="ListParagraph"/>
        <w:numPr>
          <w:ilvl w:val="0"/>
          <w:numId w:val="11"/>
        </w:numPr>
        <w:spacing w:after="0" w:line="254" w:lineRule="auto"/>
        <w:rPr>
          <w:rFonts w:cstheme="minorHAnsi"/>
          <w:color w:val="auto"/>
          <w:lang w:val="en-AU"/>
        </w:rPr>
      </w:pPr>
      <w:r w:rsidRPr="001453DA">
        <w:rPr>
          <w:rFonts w:cstheme="minorHAnsi"/>
          <w:color w:val="auto"/>
          <w:lang w:val="en-AU"/>
        </w:rPr>
        <w:t xml:space="preserve">To ensure at-risk women and children could continue to receive assistance during COVID-19 lockdowns, Australia refurbished </w:t>
      </w:r>
      <w:proofErr w:type="spellStart"/>
      <w:r w:rsidRPr="001453DA">
        <w:rPr>
          <w:rFonts w:cstheme="minorHAnsi"/>
          <w:color w:val="auto"/>
          <w:lang w:val="en-AU"/>
        </w:rPr>
        <w:t>Seif</w:t>
      </w:r>
      <w:proofErr w:type="spellEnd"/>
      <w:r w:rsidRPr="001453DA">
        <w:rPr>
          <w:rFonts w:cstheme="minorHAnsi"/>
          <w:color w:val="auto"/>
          <w:lang w:val="en-AU"/>
        </w:rPr>
        <w:t xml:space="preserve"> </w:t>
      </w:r>
      <w:proofErr w:type="spellStart"/>
      <w:r w:rsidRPr="001453DA">
        <w:rPr>
          <w:rFonts w:cstheme="minorHAnsi"/>
          <w:color w:val="auto"/>
          <w:lang w:val="en-AU"/>
        </w:rPr>
        <w:t>Ples</w:t>
      </w:r>
      <w:proofErr w:type="spellEnd"/>
      <w:r w:rsidRPr="001453DA">
        <w:rPr>
          <w:rFonts w:cstheme="minorHAnsi"/>
          <w:color w:val="auto"/>
          <w:lang w:val="en-AU"/>
        </w:rPr>
        <w:t xml:space="preserve"> Domestic Violence Centre, </w:t>
      </w:r>
      <w:r w:rsidR="001B79DC" w:rsidRPr="001453DA">
        <w:rPr>
          <w:rFonts w:cstheme="minorHAnsi"/>
          <w:color w:val="auto"/>
          <w:lang w:val="en-AU"/>
        </w:rPr>
        <w:t>and</w:t>
      </w:r>
      <w:r w:rsidR="00883477" w:rsidRPr="001453DA">
        <w:rPr>
          <w:rFonts w:cstheme="minorHAnsi"/>
          <w:color w:val="auto"/>
          <w:lang w:val="en-AU"/>
        </w:rPr>
        <w:t xml:space="preserve"> </w:t>
      </w:r>
      <w:r w:rsidR="001B79DC" w:rsidRPr="001453DA">
        <w:rPr>
          <w:rFonts w:cstheme="minorHAnsi"/>
          <w:color w:val="auto"/>
          <w:lang w:val="en-AU"/>
        </w:rPr>
        <w:t>provided</w:t>
      </w:r>
      <w:r w:rsidRPr="001453DA">
        <w:rPr>
          <w:rFonts w:cstheme="minorHAnsi"/>
          <w:color w:val="auto"/>
          <w:lang w:val="en-AU"/>
        </w:rPr>
        <w:t xml:space="preserve"> </w:t>
      </w:r>
      <w:r w:rsidR="001B79DC" w:rsidRPr="001453DA">
        <w:rPr>
          <w:rFonts w:cstheme="minorHAnsi"/>
          <w:color w:val="auto"/>
          <w:lang w:val="en-AU"/>
        </w:rPr>
        <w:t>essential</w:t>
      </w:r>
      <w:r w:rsidRPr="001453DA">
        <w:rPr>
          <w:rFonts w:cstheme="minorHAnsi"/>
          <w:color w:val="auto"/>
          <w:lang w:val="en-AU"/>
        </w:rPr>
        <w:t xml:space="preserve"> communication devices and fuel for </w:t>
      </w:r>
      <w:r w:rsidR="00883477" w:rsidRPr="001453DA">
        <w:rPr>
          <w:rFonts w:cstheme="minorHAnsi"/>
          <w:color w:val="auto"/>
          <w:lang w:val="en-AU"/>
        </w:rPr>
        <w:t xml:space="preserve">trained </w:t>
      </w:r>
      <w:r w:rsidRPr="001453DA">
        <w:rPr>
          <w:rFonts w:cstheme="minorHAnsi"/>
          <w:color w:val="auto"/>
          <w:lang w:val="en-AU"/>
        </w:rPr>
        <w:t xml:space="preserve">staff to provide vital services.   </w:t>
      </w:r>
    </w:p>
    <w:p w14:paraId="35C5B7FC" w14:textId="0810FE25" w:rsidR="00593285" w:rsidRPr="001453DA" w:rsidRDefault="00593285" w:rsidP="001453DA">
      <w:pPr>
        <w:pStyle w:val="ListParagraph"/>
        <w:numPr>
          <w:ilvl w:val="0"/>
          <w:numId w:val="11"/>
        </w:numPr>
        <w:suppressAutoHyphens w:val="0"/>
        <w:spacing w:before="0" w:after="0" w:line="240" w:lineRule="auto"/>
        <w:rPr>
          <w:color w:val="auto"/>
        </w:rPr>
      </w:pPr>
      <w:r w:rsidRPr="001453DA">
        <w:rPr>
          <w:color w:val="auto"/>
        </w:rPr>
        <w:t xml:space="preserve">Australia assisted Solomon Islands to secure its western border and prevent the </w:t>
      </w:r>
      <w:r w:rsidR="00ED3867" w:rsidRPr="001453DA">
        <w:rPr>
          <w:color w:val="auto"/>
        </w:rPr>
        <w:t xml:space="preserve">potential importation of </w:t>
      </w:r>
      <w:r w:rsidR="00DF7AD3" w:rsidRPr="001453DA">
        <w:rPr>
          <w:color w:val="auto"/>
        </w:rPr>
        <w:t>COVID-19</w:t>
      </w:r>
      <w:r w:rsidR="00DE703F" w:rsidRPr="001453DA">
        <w:rPr>
          <w:color w:val="auto"/>
        </w:rPr>
        <w:t xml:space="preserve"> </w:t>
      </w:r>
      <w:r w:rsidR="00DF7AD3" w:rsidRPr="001453DA">
        <w:rPr>
          <w:color w:val="auto"/>
        </w:rPr>
        <w:t xml:space="preserve">through the </w:t>
      </w:r>
      <w:r w:rsidRPr="001453DA">
        <w:rPr>
          <w:color w:val="auto"/>
        </w:rPr>
        <w:t>Defence Cooperation Program</w:t>
      </w:r>
      <w:r w:rsidR="00CD6EE1" w:rsidRPr="001453DA">
        <w:rPr>
          <w:color w:val="auto"/>
        </w:rPr>
        <w:t xml:space="preserve"> </w:t>
      </w:r>
      <w:r w:rsidR="00DE703F" w:rsidRPr="001453DA">
        <w:rPr>
          <w:color w:val="auto"/>
        </w:rPr>
        <w:t xml:space="preserve">and </w:t>
      </w:r>
      <w:r w:rsidR="00CD6EE1" w:rsidRPr="001453DA">
        <w:rPr>
          <w:color w:val="auto"/>
        </w:rPr>
        <w:t xml:space="preserve">support </w:t>
      </w:r>
      <w:r w:rsidR="00DE703F" w:rsidRPr="001453DA">
        <w:rPr>
          <w:color w:val="auto"/>
        </w:rPr>
        <w:t xml:space="preserve">to </w:t>
      </w:r>
      <w:r w:rsidRPr="001453DA">
        <w:rPr>
          <w:color w:val="auto"/>
        </w:rPr>
        <w:t>the Royal Solomon Islands Police Force (RSIPF) to improve surveillance capability</w:t>
      </w:r>
      <w:r w:rsidR="007A1884" w:rsidRPr="001453DA">
        <w:rPr>
          <w:color w:val="auto"/>
        </w:rPr>
        <w:t xml:space="preserve">. Australia funded </w:t>
      </w:r>
      <w:r w:rsidRPr="001453DA">
        <w:rPr>
          <w:color w:val="auto"/>
        </w:rPr>
        <w:t>increased patrol boat rotations</w:t>
      </w:r>
      <w:r w:rsidR="007A1884" w:rsidRPr="001453DA">
        <w:rPr>
          <w:color w:val="auto"/>
        </w:rPr>
        <w:t xml:space="preserve">, </w:t>
      </w:r>
      <w:r w:rsidRPr="001453DA">
        <w:rPr>
          <w:color w:val="auto"/>
        </w:rPr>
        <w:t>additional aluminium fast boats and tents</w:t>
      </w:r>
      <w:r w:rsidR="007A1884" w:rsidRPr="001453DA">
        <w:rPr>
          <w:color w:val="auto"/>
        </w:rPr>
        <w:t xml:space="preserve"> </w:t>
      </w:r>
      <w:r w:rsidRPr="001453DA">
        <w:rPr>
          <w:color w:val="auto"/>
        </w:rPr>
        <w:t>and improv</w:t>
      </w:r>
      <w:r w:rsidR="007A1884" w:rsidRPr="001453DA">
        <w:rPr>
          <w:color w:val="auto"/>
        </w:rPr>
        <w:t>ed</w:t>
      </w:r>
      <w:r w:rsidRPr="001453DA">
        <w:rPr>
          <w:color w:val="auto"/>
        </w:rPr>
        <w:t xml:space="preserve"> radio communications capability.</w:t>
      </w:r>
    </w:p>
    <w:p w14:paraId="7D2FFE9B" w14:textId="131B45E2" w:rsidR="00B821F5" w:rsidRPr="001453DA" w:rsidRDefault="007A1884" w:rsidP="001453DA">
      <w:pPr>
        <w:pStyle w:val="ListParagraph"/>
        <w:numPr>
          <w:ilvl w:val="0"/>
          <w:numId w:val="11"/>
        </w:numPr>
        <w:suppressAutoHyphens w:val="0"/>
        <w:spacing w:before="0" w:after="0" w:line="240" w:lineRule="auto"/>
        <w:rPr>
          <w:color w:val="auto"/>
        </w:rPr>
      </w:pPr>
      <w:r w:rsidRPr="001453DA">
        <w:rPr>
          <w:color w:val="auto"/>
        </w:rPr>
        <w:t xml:space="preserve">Australia </w:t>
      </w:r>
      <w:r w:rsidR="00DE703F" w:rsidRPr="001453DA">
        <w:rPr>
          <w:color w:val="auto"/>
        </w:rPr>
        <w:t>supported</w:t>
      </w:r>
      <w:r w:rsidRPr="001453DA">
        <w:rPr>
          <w:color w:val="auto"/>
        </w:rPr>
        <w:t xml:space="preserve"> the</w:t>
      </w:r>
      <w:r w:rsidR="00FF5B02" w:rsidRPr="001453DA">
        <w:rPr>
          <w:color w:val="auto"/>
        </w:rPr>
        <w:t xml:space="preserve"> National Disaster Management Office through a new Disaster Management and COVID Preparedness project to </w:t>
      </w:r>
      <w:r w:rsidR="00ED3867" w:rsidRPr="001453DA">
        <w:rPr>
          <w:color w:val="auto"/>
        </w:rPr>
        <w:t>strengthen</w:t>
      </w:r>
      <w:r w:rsidR="00EC63B6" w:rsidRPr="001453DA">
        <w:rPr>
          <w:color w:val="auto"/>
        </w:rPr>
        <w:t xml:space="preserve"> </w:t>
      </w:r>
      <w:r w:rsidR="00ED3867" w:rsidRPr="001453DA">
        <w:rPr>
          <w:color w:val="auto"/>
        </w:rPr>
        <w:t>response coordination</w:t>
      </w:r>
      <w:r w:rsidR="00EC63B6" w:rsidRPr="001453DA">
        <w:rPr>
          <w:color w:val="auto"/>
        </w:rPr>
        <w:t xml:space="preserve"> at national and </w:t>
      </w:r>
      <w:r w:rsidR="00FF5B02" w:rsidRPr="001453DA">
        <w:rPr>
          <w:color w:val="auto"/>
        </w:rPr>
        <w:t xml:space="preserve">provincial </w:t>
      </w:r>
      <w:r w:rsidR="00EC63B6" w:rsidRPr="001453DA">
        <w:rPr>
          <w:color w:val="auto"/>
        </w:rPr>
        <w:t>levels</w:t>
      </w:r>
      <w:r w:rsidR="00480369" w:rsidRPr="001453DA">
        <w:rPr>
          <w:color w:val="auto"/>
        </w:rPr>
        <w:t xml:space="preserve"> and provide specific </w:t>
      </w:r>
      <w:r w:rsidR="00DE703F" w:rsidRPr="001453DA">
        <w:rPr>
          <w:color w:val="auto"/>
        </w:rPr>
        <w:t xml:space="preserve">procurement </w:t>
      </w:r>
      <w:r w:rsidR="00480369" w:rsidRPr="001453DA">
        <w:rPr>
          <w:color w:val="auto"/>
        </w:rPr>
        <w:t>support</w:t>
      </w:r>
      <w:r w:rsidR="00DE703F" w:rsidRPr="001453DA">
        <w:rPr>
          <w:color w:val="auto"/>
        </w:rPr>
        <w:t>, including</w:t>
      </w:r>
      <w:r w:rsidR="00480369" w:rsidRPr="001453DA">
        <w:rPr>
          <w:color w:val="auto"/>
        </w:rPr>
        <w:t xml:space="preserve"> two boats to allow transport of relief supplies in Choiseul and Western Province.</w:t>
      </w:r>
    </w:p>
    <w:p w14:paraId="6562EEB9" w14:textId="1F6D194F" w:rsidR="00B7084F" w:rsidRDefault="00B7084F" w:rsidP="00B821F5">
      <w:pPr>
        <w:pStyle w:val="ListParagraph"/>
        <w:suppressAutoHyphens w:val="0"/>
        <w:spacing w:before="0" w:after="0" w:line="240" w:lineRule="auto"/>
        <w:ind w:left="360"/>
        <w:rPr>
          <w:color w:val="auto"/>
        </w:rPr>
      </w:pPr>
    </w:p>
    <w:p w14:paraId="580118D4" w14:textId="77777777" w:rsidR="00D36449" w:rsidRDefault="00D36449" w:rsidP="00B7084F">
      <w:pPr>
        <w:suppressAutoHyphens w:val="0"/>
        <w:spacing w:before="0" w:after="0" w:line="240" w:lineRule="auto"/>
        <w:rPr>
          <w:b/>
          <w:sz w:val="24"/>
        </w:rPr>
      </w:pPr>
    </w:p>
    <w:p w14:paraId="65C2E01E" w14:textId="77777777" w:rsidR="00D36449" w:rsidRDefault="00D36449" w:rsidP="00B7084F">
      <w:pPr>
        <w:suppressAutoHyphens w:val="0"/>
        <w:spacing w:before="0" w:after="0" w:line="240" w:lineRule="auto"/>
        <w:rPr>
          <w:b/>
          <w:sz w:val="24"/>
        </w:rPr>
      </w:pPr>
    </w:p>
    <w:p w14:paraId="35478C20" w14:textId="1D050CA5" w:rsidR="00593285" w:rsidRPr="00B7084F" w:rsidRDefault="00593285" w:rsidP="00B7084F">
      <w:pPr>
        <w:suppressAutoHyphens w:val="0"/>
        <w:spacing w:before="0" w:after="0" w:line="240" w:lineRule="auto"/>
        <w:rPr>
          <w:b/>
          <w:sz w:val="24"/>
        </w:rPr>
      </w:pPr>
      <w:r w:rsidRPr="00B7084F">
        <w:rPr>
          <w:b/>
          <w:sz w:val="24"/>
        </w:rPr>
        <w:lastRenderedPageBreak/>
        <w:t>Other program highlights</w:t>
      </w:r>
    </w:p>
    <w:p w14:paraId="14D77F5E" w14:textId="77777777" w:rsidR="00A534A8" w:rsidRPr="001453DA" w:rsidRDefault="001B79DC" w:rsidP="001453DA">
      <w:pPr>
        <w:pStyle w:val="ListParagraph"/>
        <w:numPr>
          <w:ilvl w:val="0"/>
          <w:numId w:val="12"/>
        </w:numPr>
        <w:spacing w:after="0" w:line="254" w:lineRule="auto"/>
        <w:ind w:left="170" w:hanging="170"/>
        <w:rPr>
          <w:rFonts w:cstheme="minorHAnsi"/>
          <w:color w:val="auto"/>
          <w:lang w:val="en-AU"/>
        </w:rPr>
      </w:pPr>
      <w:r w:rsidRPr="001453DA">
        <w:rPr>
          <w:rFonts w:cstheme="minorHAnsi"/>
          <w:color w:val="auto"/>
          <w:lang w:val="en-AU"/>
        </w:rPr>
        <w:t>Australia’s</w:t>
      </w:r>
      <w:r w:rsidR="00B26705" w:rsidRPr="001453DA">
        <w:rPr>
          <w:rFonts w:cstheme="minorHAnsi"/>
          <w:color w:val="auto"/>
          <w:lang w:val="en-AU"/>
        </w:rPr>
        <w:t xml:space="preserve"> support enabled </w:t>
      </w:r>
      <w:r w:rsidR="000E6809" w:rsidRPr="001453DA">
        <w:rPr>
          <w:rFonts w:cstheme="minorHAnsi"/>
          <w:color w:val="auto"/>
          <w:lang w:val="en-AU"/>
        </w:rPr>
        <w:t xml:space="preserve">reliable and affordable internet </w:t>
      </w:r>
      <w:r w:rsidR="00DF7AD3" w:rsidRPr="001453DA">
        <w:rPr>
          <w:rFonts w:cstheme="minorHAnsi"/>
          <w:color w:val="auto"/>
          <w:lang w:val="en-AU"/>
        </w:rPr>
        <w:t>via</w:t>
      </w:r>
      <w:r w:rsidR="000E6809" w:rsidRPr="001453DA">
        <w:rPr>
          <w:rFonts w:cstheme="minorHAnsi"/>
          <w:color w:val="auto"/>
          <w:lang w:val="en-AU"/>
        </w:rPr>
        <w:t xml:space="preserve"> </w:t>
      </w:r>
      <w:r w:rsidR="00B26705" w:rsidRPr="001453DA">
        <w:rPr>
          <w:rFonts w:cstheme="minorHAnsi"/>
          <w:color w:val="auto"/>
          <w:lang w:val="en-AU"/>
        </w:rPr>
        <w:t xml:space="preserve">Solomon Islands’ connection to the </w:t>
      </w:r>
      <w:r w:rsidR="00DF7AD3" w:rsidRPr="001453DA">
        <w:rPr>
          <w:rFonts w:cstheme="minorHAnsi"/>
          <w:color w:val="auto"/>
          <w:lang w:val="en-AU"/>
        </w:rPr>
        <w:t xml:space="preserve">undersea telecommunications </w:t>
      </w:r>
      <w:r w:rsidR="00B26705" w:rsidRPr="001453DA">
        <w:rPr>
          <w:rFonts w:cstheme="minorHAnsi"/>
          <w:color w:val="auto"/>
          <w:lang w:val="en-AU"/>
        </w:rPr>
        <w:t>Coral Sea Cable linking the Solomon Isla</w:t>
      </w:r>
      <w:r w:rsidR="000E6809" w:rsidRPr="001453DA">
        <w:rPr>
          <w:rFonts w:cstheme="minorHAnsi"/>
          <w:color w:val="auto"/>
          <w:lang w:val="en-AU"/>
        </w:rPr>
        <w:t>nds Domestic Network to Sydney</w:t>
      </w:r>
      <w:r w:rsidR="00B26705" w:rsidRPr="001453DA">
        <w:rPr>
          <w:rFonts w:cstheme="minorHAnsi"/>
          <w:color w:val="auto"/>
          <w:lang w:val="en-AU"/>
        </w:rPr>
        <w:t>. </w:t>
      </w:r>
    </w:p>
    <w:p w14:paraId="2A3E0786" w14:textId="0D8A44D7" w:rsidR="00593285" w:rsidRPr="001453DA" w:rsidRDefault="00593285" w:rsidP="001453DA">
      <w:pPr>
        <w:pStyle w:val="ListParagraph"/>
        <w:numPr>
          <w:ilvl w:val="0"/>
          <w:numId w:val="12"/>
        </w:numPr>
        <w:spacing w:after="0" w:line="254" w:lineRule="auto"/>
        <w:ind w:left="170" w:hanging="170"/>
        <w:rPr>
          <w:rFonts w:cstheme="minorHAnsi"/>
          <w:color w:val="auto"/>
          <w:lang w:val="en-AU"/>
        </w:rPr>
      </w:pPr>
      <w:r w:rsidRPr="001453DA">
        <w:rPr>
          <w:rFonts w:cstheme="minorHAnsi"/>
          <w:color w:val="auto"/>
          <w:lang w:val="en-AU"/>
        </w:rPr>
        <w:t>Australia support</w:t>
      </w:r>
      <w:r w:rsidR="0097165B" w:rsidRPr="001453DA">
        <w:rPr>
          <w:rFonts w:cstheme="minorHAnsi"/>
          <w:color w:val="auto"/>
          <w:lang w:val="en-AU"/>
        </w:rPr>
        <w:t>ed</w:t>
      </w:r>
      <w:r w:rsidRPr="001453DA">
        <w:rPr>
          <w:rFonts w:cstheme="minorHAnsi"/>
          <w:color w:val="auto"/>
          <w:lang w:val="en-AU"/>
        </w:rPr>
        <w:t xml:space="preserve"> </w:t>
      </w:r>
      <w:r w:rsidR="0097165B" w:rsidRPr="001453DA">
        <w:rPr>
          <w:rFonts w:cstheme="minorHAnsi"/>
          <w:color w:val="auto"/>
          <w:lang w:val="en-AU"/>
        </w:rPr>
        <w:t xml:space="preserve">the Solomon Islands Government to finalise commercial </w:t>
      </w:r>
      <w:r w:rsidR="00D716C8" w:rsidRPr="001453DA">
        <w:rPr>
          <w:rFonts w:cstheme="minorHAnsi"/>
          <w:color w:val="auto"/>
          <w:lang w:val="en-AU"/>
        </w:rPr>
        <w:t xml:space="preserve">construction </w:t>
      </w:r>
      <w:r w:rsidR="0097165B" w:rsidRPr="001453DA">
        <w:rPr>
          <w:rFonts w:cstheme="minorHAnsi"/>
          <w:color w:val="auto"/>
          <w:lang w:val="en-AU"/>
        </w:rPr>
        <w:t xml:space="preserve">negotiations </w:t>
      </w:r>
      <w:r w:rsidR="00B821F5" w:rsidRPr="001453DA">
        <w:rPr>
          <w:rFonts w:cstheme="minorHAnsi"/>
          <w:color w:val="auto"/>
          <w:lang w:val="en-AU"/>
        </w:rPr>
        <w:t>on</w:t>
      </w:r>
      <w:r w:rsidR="0097165B" w:rsidRPr="001453DA">
        <w:rPr>
          <w:rFonts w:cstheme="minorHAnsi"/>
          <w:color w:val="auto"/>
          <w:lang w:val="en-AU"/>
        </w:rPr>
        <w:t xml:space="preserve"> </w:t>
      </w:r>
      <w:r w:rsidR="00B821F5" w:rsidRPr="001453DA">
        <w:rPr>
          <w:rFonts w:cstheme="minorHAnsi"/>
          <w:color w:val="auto"/>
          <w:lang w:val="en-AU"/>
        </w:rPr>
        <w:t xml:space="preserve">the </w:t>
      </w:r>
      <w:r w:rsidRPr="001453DA">
        <w:rPr>
          <w:rFonts w:cstheme="minorHAnsi"/>
          <w:color w:val="auto"/>
          <w:lang w:val="en-AU"/>
        </w:rPr>
        <w:t>Tina River Hydropower Project,</w:t>
      </w:r>
      <w:r w:rsidR="0097165B" w:rsidRPr="001453DA">
        <w:rPr>
          <w:rFonts w:cstheme="minorHAnsi"/>
          <w:color w:val="auto"/>
          <w:lang w:val="en-AU"/>
        </w:rPr>
        <w:t xml:space="preserve"> a significant milestone in the project’s ten ye</w:t>
      </w:r>
      <w:r w:rsidR="00B821F5" w:rsidRPr="001453DA">
        <w:rPr>
          <w:rFonts w:cstheme="minorHAnsi"/>
          <w:color w:val="auto"/>
          <w:lang w:val="en-AU"/>
        </w:rPr>
        <w:t xml:space="preserve">ar history. </w:t>
      </w:r>
      <w:r w:rsidR="0097165B" w:rsidRPr="001453DA">
        <w:rPr>
          <w:rFonts w:cstheme="minorHAnsi"/>
          <w:color w:val="auto"/>
          <w:lang w:val="en-AU"/>
        </w:rPr>
        <w:t>Australia is the project’s largest grant financier with a</w:t>
      </w:r>
      <w:r w:rsidR="00C719C2" w:rsidRPr="001453DA">
        <w:rPr>
          <w:rFonts w:cstheme="minorHAnsi"/>
          <w:color w:val="auto"/>
          <w:lang w:val="en-AU"/>
        </w:rPr>
        <w:t xml:space="preserve">n investment of </w:t>
      </w:r>
      <w:r w:rsidR="009D72E6" w:rsidRPr="001453DA">
        <w:rPr>
          <w:rFonts w:cstheme="minorHAnsi"/>
          <w:color w:val="auto"/>
          <w:lang w:val="en-AU"/>
        </w:rPr>
        <w:t>$28</w:t>
      </w:r>
      <w:r w:rsidR="00C719C2" w:rsidRPr="001453DA">
        <w:rPr>
          <w:rFonts w:cstheme="minorHAnsi"/>
          <w:color w:val="auto"/>
          <w:lang w:val="en-AU"/>
        </w:rPr>
        <w:t>.4 million.</w:t>
      </w:r>
    </w:p>
    <w:p w14:paraId="28B3795F" w14:textId="1AC6BEB1" w:rsidR="000E6809" w:rsidRPr="001453DA" w:rsidRDefault="000E6809" w:rsidP="001453DA">
      <w:pPr>
        <w:pStyle w:val="ListParagraph"/>
        <w:numPr>
          <w:ilvl w:val="0"/>
          <w:numId w:val="12"/>
        </w:numPr>
        <w:spacing w:after="0" w:line="254" w:lineRule="auto"/>
        <w:ind w:left="170" w:hanging="170"/>
        <w:rPr>
          <w:rFonts w:cstheme="minorHAnsi"/>
          <w:color w:val="auto"/>
          <w:lang w:val="en-AU"/>
        </w:rPr>
      </w:pPr>
      <w:r w:rsidRPr="001453DA">
        <w:rPr>
          <w:rFonts w:cstheme="minorHAnsi"/>
          <w:color w:val="auto"/>
          <w:lang w:val="en-AU"/>
        </w:rPr>
        <w:t xml:space="preserve">Australia </w:t>
      </w:r>
      <w:r w:rsidR="00127061" w:rsidRPr="001453DA">
        <w:rPr>
          <w:rFonts w:cstheme="minorHAnsi"/>
          <w:color w:val="auto"/>
          <w:lang w:val="en-AU"/>
        </w:rPr>
        <w:t xml:space="preserve">funded </w:t>
      </w:r>
      <w:r w:rsidR="00CD6EE1" w:rsidRPr="001453DA">
        <w:rPr>
          <w:rFonts w:cstheme="minorHAnsi"/>
          <w:color w:val="auto"/>
          <w:lang w:val="en-AU"/>
        </w:rPr>
        <w:t>the Solomon Islands Comptroller of General Customs</w:t>
      </w:r>
      <w:r w:rsidR="00127061" w:rsidRPr="001453DA">
        <w:rPr>
          <w:rFonts w:cstheme="minorHAnsi"/>
          <w:color w:val="auto"/>
          <w:lang w:val="en-AU"/>
        </w:rPr>
        <w:t xml:space="preserve">, </w:t>
      </w:r>
      <w:r w:rsidR="00480369" w:rsidRPr="001453DA">
        <w:rPr>
          <w:rFonts w:cstheme="minorHAnsi"/>
          <w:color w:val="auto"/>
          <w:lang w:val="en-AU"/>
        </w:rPr>
        <w:t>under whom</w:t>
      </w:r>
      <w:r w:rsidR="00CD6EE1" w:rsidRPr="001453DA">
        <w:rPr>
          <w:rFonts w:cstheme="minorHAnsi"/>
          <w:color w:val="auto"/>
          <w:lang w:val="en-AU"/>
        </w:rPr>
        <w:t xml:space="preserve"> the ex</w:t>
      </w:r>
      <w:r w:rsidRPr="001453DA">
        <w:rPr>
          <w:rFonts w:cstheme="minorHAnsi"/>
          <w:color w:val="auto"/>
          <w:lang w:val="en-AU"/>
        </w:rPr>
        <w:t xml:space="preserve">ternal revenue collection </w:t>
      </w:r>
      <w:r w:rsidR="00DE703F" w:rsidRPr="001453DA">
        <w:rPr>
          <w:rFonts w:cstheme="minorHAnsi"/>
          <w:color w:val="auto"/>
          <w:lang w:val="en-AU"/>
        </w:rPr>
        <w:t>exceeded</w:t>
      </w:r>
      <w:r w:rsidRPr="001453DA">
        <w:rPr>
          <w:rFonts w:cstheme="minorHAnsi"/>
          <w:color w:val="auto"/>
          <w:lang w:val="en-AU"/>
        </w:rPr>
        <w:t xml:space="preserve"> targets by seven per cent</w:t>
      </w:r>
      <w:r w:rsidR="00CD6EE1" w:rsidRPr="001453DA">
        <w:rPr>
          <w:rFonts w:cstheme="minorHAnsi"/>
          <w:color w:val="auto"/>
          <w:lang w:val="en-AU"/>
        </w:rPr>
        <w:t xml:space="preserve"> </w:t>
      </w:r>
      <w:r w:rsidR="00480369" w:rsidRPr="001453DA">
        <w:rPr>
          <w:rFonts w:cstheme="minorHAnsi"/>
          <w:color w:val="auto"/>
          <w:lang w:val="en-AU"/>
        </w:rPr>
        <w:t>in 2019</w:t>
      </w:r>
      <w:r w:rsidRPr="001453DA">
        <w:rPr>
          <w:rFonts w:cstheme="minorHAnsi"/>
          <w:color w:val="auto"/>
          <w:lang w:val="en-AU"/>
        </w:rPr>
        <w:t xml:space="preserve">. </w:t>
      </w:r>
    </w:p>
    <w:p w14:paraId="0843F540" w14:textId="252F6131" w:rsidR="005C742E" w:rsidRPr="001453DA" w:rsidRDefault="00993572" w:rsidP="001453DA">
      <w:pPr>
        <w:pStyle w:val="ListParagraph"/>
        <w:numPr>
          <w:ilvl w:val="0"/>
          <w:numId w:val="12"/>
        </w:numPr>
        <w:spacing w:after="0" w:line="254" w:lineRule="auto"/>
        <w:ind w:left="170" w:hanging="170"/>
        <w:rPr>
          <w:rFonts w:cstheme="minorHAnsi"/>
          <w:color w:val="auto"/>
          <w:lang w:val="en-AU"/>
        </w:rPr>
      </w:pPr>
      <w:r w:rsidRPr="001453DA">
        <w:rPr>
          <w:rFonts w:cstheme="minorHAnsi"/>
          <w:color w:val="auto"/>
          <w:lang w:val="en-AU"/>
        </w:rPr>
        <w:t>Performance against annual targets under Australia’s Health Sector Support Program remained stable at around 65</w:t>
      </w:r>
      <w:r w:rsidR="00CD6EE1" w:rsidRPr="001453DA">
        <w:rPr>
          <w:rFonts w:cstheme="minorHAnsi"/>
          <w:color w:val="auto"/>
          <w:lang w:val="en-AU"/>
        </w:rPr>
        <w:t xml:space="preserve"> per cent</w:t>
      </w:r>
      <w:r w:rsidRPr="001453DA">
        <w:rPr>
          <w:rFonts w:cstheme="minorHAnsi"/>
          <w:color w:val="auto"/>
          <w:lang w:val="en-AU"/>
        </w:rPr>
        <w:t xml:space="preserve"> achieved. These targets reflect a mixture of health system strengthening and service delivery indicators.</w:t>
      </w:r>
      <w:r w:rsidR="00127061" w:rsidRPr="001453DA">
        <w:rPr>
          <w:rFonts w:cstheme="minorHAnsi"/>
          <w:color w:val="auto"/>
          <w:lang w:val="en-AU"/>
        </w:rPr>
        <w:t xml:space="preserve"> </w:t>
      </w:r>
      <w:r w:rsidR="00A8315E" w:rsidRPr="001453DA">
        <w:rPr>
          <w:rFonts w:cstheme="minorHAnsi"/>
          <w:color w:val="auto"/>
          <w:lang w:val="en-AU"/>
        </w:rPr>
        <w:t>There were appreciable improvements in performance at provincial level a</w:t>
      </w:r>
      <w:r w:rsidR="00DE703F" w:rsidRPr="001453DA">
        <w:rPr>
          <w:rFonts w:cstheme="minorHAnsi"/>
          <w:color w:val="auto"/>
          <w:lang w:val="en-AU"/>
        </w:rPr>
        <w:t>nd in the health budget process,</w:t>
      </w:r>
      <w:r w:rsidR="00A8315E" w:rsidRPr="001453DA">
        <w:rPr>
          <w:rFonts w:cstheme="minorHAnsi"/>
          <w:color w:val="auto"/>
          <w:lang w:val="en-AU"/>
        </w:rPr>
        <w:t xml:space="preserve"> and a rise in the contraceptive prevalence rate. </w:t>
      </w:r>
    </w:p>
    <w:p w14:paraId="32245385" w14:textId="2A370C29" w:rsidR="00A8315E" w:rsidRPr="001453DA" w:rsidRDefault="00D716C8" w:rsidP="001453DA">
      <w:pPr>
        <w:pStyle w:val="ListParagraph"/>
        <w:numPr>
          <w:ilvl w:val="0"/>
          <w:numId w:val="12"/>
        </w:numPr>
        <w:spacing w:after="0" w:line="254" w:lineRule="auto"/>
        <w:ind w:left="170" w:hanging="170"/>
        <w:rPr>
          <w:rFonts w:cstheme="minorHAnsi"/>
          <w:color w:val="auto"/>
          <w:lang w:val="en-AU"/>
        </w:rPr>
      </w:pPr>
      <w:r w:rsidRPr="001453DA">
        <w:rPr>
          <w:rFonts w:cstheme="minorHAnsi"/>
          <w:color w:val="auto"/>
          <w:lang w:val="en-AU"/>
        </w:rPr>
        <w:t xml:space="preserve">Australian-funded training </w:t>
      </w:r>
      <w:r w:rsidR="00DE703F" w:rsidRPr="001453DA">
        <w:rPr>
          <w:rFonts w:cstheme="minorHAnsi"/>
          <w:color w:val="auto"/>
          <w:lang w:val="en-AU"/>
        </w:rPr>
        <w:t xml:space="preserve">has </w:t>
      </w:r>
      <w:r w:rsidR="00A8315E" w:rsidRPr="001453DA">
        <w:rPr>
          <w:rFonts w:cstheme="minorHAnsi"/>
          <w:color w:val="auto"/>
          <w:lang w:val="en-AU"/>
        </w:rPr>
        <w:t xml:space="preserve">resulted in 66 new doctors registered in Solomon Islands since 2015. This increase in qualified doctors </w:t>
      </w:r>
      <w:r w:rsidRPr="001453DA">
        <w:rPr>
          <w:rFonts w:cstheme="minorHAnsi"/>
          <w:color w:val="auto"/>
          <w:lang w:val="en-AU"/>
        </w:rPr>
        <w:t>has improved the quality of health services</w:t>
      </w:r>
      <w:r w:rsidR="00A8315E" w:rsidRPr="001453DA">
        <w:rPr>
          <w:rFonts w:cstheme="minorHAnsi"/>
          <w:color w:val="auto"/>
          <w:lang w:val="en-AU"/>
        </w:rPr>
        <w:t xml:space="preserve">, with 13 </w:t>
      </w:r>
      <w:r w:rsidRPr="001453DA">
        <w:rPr>
          <w:rFonts w:cstheme="minorHAnsi"/>
          <w:color w:val="auto"/>
          <w:lang w:val="en-AU"/>
        </w:rPr>
        <w:t>additional</w:t>
      </w:r>
      <w:r w:rsidR="00A8315E" w:rsidRPr="001453DA">
        <w:rPr>
          <w:rFonts w:cstheme="minorHAnsi"/>
          <w:color w:val="auto"/>
          <w:lang w:val="en-AU"/>
        </w:rPr>
        <w:t xml:space="preserve"> doctors posted to provincial health facilities in 2019 (</w:t>
      </w:r>
      <w:r w:rsidRPr="001453DA">
        <w:rPr>
          <w:rFonts w:cstheme="minorHAnsi"/>
          <w:color w:val="auto"/>
          <w:lang w:val="en-AU"/>
        </w:rPr>
        <w:t>a 45</w:t>
      </w:r>
      <w:r w:rsidR="003E0825" w:rsidRPr="001453DA">
        <w:rPr>
          <w:rFonts w:cstheme="minorHAnsi"/>
          <w:color w:val="auto"/>
          <w:lang w:val="en-AU"/>
        </w:rPr>
        <w:t xml:space="preserve"> per cent </w:t>
      </w:r>
      <w:r w:rsidRPr="001453DA">
        <w:rPr>
          <w:rFonts w:cstheme="minorHAnsi"/>
          <w:color w:val="auto"/>
          <w:lang w:val="en-AU"/>
        </w:rPr>
        <w:t>increase on 2018</w:t>
      </w:r>
      <w:r w:rsidR="00A8315E" w:rsidRPr="001453DA">
        <w:rPr>
          <w:rFonts w:cstheme="minorHAnsi"/>
          <w:color w:val="auto"/>
          <w:lang w:val="en-AU"/>
        </w:rPr>
        <w:t>).</w:t>
      </w:r>
    </w:p>
    <w:p w14:paraId="36A4E2CB" w14:textId="77777777" w:rsidR="00883477" w:rsidRPr="001453DA" w:rsidRDefault="00A8315E" w:rsidP="001453DA">
      <w:pPr>
        <w:pStyle w:val="ListParagraph"/>
        <w:numPr>
          <w:ilvl w:val="0"/>
          <w:numId w:val="12"/>
        </w:numPr>
        <w:spacing w:after="0" w:line="254" w:lineRule="auto"/>
        <w:ind w:left="170" w:hanging="170"/>
        <w:rPr>
          <w:rFonts w:cstheme="minorHAnsi"/>
          <w:color w:val="auto"/>
          <w:lang w:val="en-AU"/>
        </w:rPr>
      </w:pPr>
      <w:r w:rsidRPr="001453DA">
        <w:rPr>
          <w:rFonts w:cstheme="minorHAnsi"/>
          <w:color w:val="auto"/>
          <w:lang w:val="en-AU"/>
        </w:rPr>
        <w:t>Australia</w:t>
      </w:r>
      <w:r w:rsidR="005C742E" w:rsidRPr="001453DA">
        <w:rPr>
          <w:rFonts w:cstheme="minorHAnsi"/>
          <w:color w:val="auto"/>
          <w:lang w:val="en-AU"/>
        </w:rPr>
        <w:t>’s</w:t>
      </w:r>
      <w:r w:rsidRPr="001453DA">
        <w:rPr>
          <w:rFonts w:cstheme="minorHAnsi"/>
          <w:color w:val="auto"/>
          <w:lang w:val="en-AU"/>
        </w:rPr>
        <w:t xml:space="preserve"> Education Sector Support Program </w:t>
      </w:r>
      <w:r w:rsidR="00883477" w:rsidRPr="001453DA">
        <w:rPr>
          <w:rFonts w:cstheme="minorHAnsi"/>
          <w:color w:val="auto"/>
          <w:lang w:val="en-AU"/>
        </w:rPr>
        <w:t xml:space="preserve">contributed to </w:t>
      </w:r>
      <w:r w:rsidR="00D716C8" w:rsidRPr="001453DA">
        <w:rPr>
          <w:rFonts w:cstheme="minorHAnsi"/>
          <w:color w:val="auto"/>
          <w:lang w:val="en-AU"/>
        </w:rPr>
        <w:t xml:space="preserve">improved primary </w:t>
      </w:r>
      <w:r w:rsidR="00883477" w:rsidRPr="001453DA">
        <w:rPr>
          <w:rFonts w:cstheme="minorHAnsi"/>
          <w:color w:val="auto"/>
          <w:lang w:val="en-AU"/>
        </w:rPr>
        <w:t xml:space="preserve">literacy and numeracy results in regional tests and </w:t>
      </w:r>
      <w:r w:rsidR="00D716C8" w:rsidRPr="001453DA">
        <w:rPr>
          <w:rFonts w:cstheme="minorHAnsi"/>
          <w:color w:val="auto"/>
          <w:lang w:val="en-AU"/>
        </w:rPr>
        <w:t>supported the construction</w:t>
      </w:r>
      <w:r w:rsidR="00883477" w:rsidRPr="001453DA">
        <w:rPr>
          <w:rFonts w:cstheme="minorHAnsi"/>
          <w:color w:val="auto"/>
          <w:lang w:val="en-AU"/>
        </w:rPr>
        <w:t xml:space="preserve"> of four girls’ dormitories and ablution blocks, one science lab and three class</w:t>
      </w:r>
      <w:r w:rsidR="00D716C8" w:rsidRPr="001453DA">
        <w:rPr>
          <w:rFonts w:cstheme="minorHAnsi"/>
          <w:color w:val="auto"/>
          <w:lang w:val="en-AU"/>
        </w:rPr>
        <w:t xml:space="preserve">rooms and </w:t>
      </w:r>
      <w:r w:rsidR="00883477" w:rsidRPr="001453DA">
        <w:rPr>
          <w:rFonts w:cstheme="minorHAnsi"/>
          <w:color w:val="auto"/>
          <w:lang w:val="en-AU"/>
        </w:rPr>
        <w:t>repairs on eight school b</w:t>
      </w:r>
      <w:r w:rsidR="00C40ED2" w:rsidRPr="001453DA">
        <w:rPr>
          <w:rFonts w:cstheme="minorHAnsi"/>
          <w:color w:val="auto"/>
          <w:lang w:val="en-AU"/>
        </w:rPr>
        <w:t xml:space="preserve">uildings. </w:t>
      </w:r>
    </w:p>
    <w:p w14:paraId="6E9D588A" w14:textId="39AF7EDE" w:rsidR="00C719C2" w:rsidRPr="001453DA" w:rsidRDefault="00CD6EE1" w:rsidP="001453DA">
      <w:pPr>
        <w:pStyle w:val="ListParagraph"/>
        <w:numPr>
          <w:ilvl w:val="0"/>
          <w:numId w:val="12"/>
        </w:numPr>
        <w:spacing w:after="0" w:line="254" w:lineRule="auto"/>
        <w:ind w:left="170" w:hanging="170"/>
        <w:rPr>
          <w:rFonts w:cstheme="minorHAnsi"/>
          <w:color w:val="auto"/>
          <w:lang w:val="en-AU"/>
        </w:rPr>
      </w:pPr>
      <w:r w:rsidRPr="001453DA">
        <w:rPr>
          <w:rFonts w:cstheme="minorHAnsi"/>
          <w:color w:val="auto"/>
          <w:lang w:val="en-AU"/>
        </w:rPr>
        <w:t>Australia’s support for the coconut, cocoa and tourism sectors resulted in an increased income of $1,096 for more than 300 households in 2019</w:t>
      </w:r>
      <w:r w:rsidR="00C719C2" w:rsidRPr="001453DA">
        <w:rPr>
          <w:rFonts w:cstheme="minorHAnsi"/>
          <w:color w:val="auto"/>
          <w:lang w:val="en-AU"/>
        </w:rPr>
        <w:t xml:space="preserve">. </w:t>
      </w:r>
    </w:p>
    <w:p w14:paraId="255A9B53" w14:textId="77777777" w:rsidR="00D716C8" w:rsidRPr="001453DA" w:rsidRDefault="00D716C8" w:rsidP="001453DA">
      <w:pPr>
        <w:pStyle w:val="ListParagraph"/>
        <w:numPr>
          <w:ilvl w:val="0"/>
          <w:numId w:val="12"/>
        </w:numPr>
        <w:spacing w:after="0" w:line="254" w:lineRule="auto"/>
        <w:ind w:left="170" w:hanging="170"/>
        <w:rPr>
          <w:rFonts w:cstheme="minorHAnsi"/>
          <w:color w:val="auto"/>
          <w:lang w:val="en-AU"/>
        </w:rPr>
      </w:pPr>
      <w:r w:rsidRPr="001453DA">
        <w:rPr>
          <w:rFonts w:cstheme="minorHAnsi"/>
          <w:color w:val="auto"/>
          <w:lang w:val="en-AU"/>
        </w:rPr>
        <w:t xml:space="preserve">Australia’s Rural Development Program improved provincial services including water supply, </w:t>
      </w:r>
      <w:r w:rsidR="008658CF" w:rsidRPr="001453DA">
        <w:rPr>
          <w:rFonts w:cstheme="minorHAnsi"/>
          <w:color w:val="auto"/>
          <w:lang w:val="en-AU"/>
        </w:rPr>
        <w:t>village halls and market houses,</w:t>
      </w:r>
      <w:r w:rsidRPr="001453DA">
        <w:rPr>
          <w:rFonts w:cstheme="minorHAnsi"/>
          <w:color w:val="auto"/>
          <w:lang w:val="en-AU"/>
        </w:rPr>
        <w:t xml:space="preserve"> and established 35 linkages between producers and market outlets. By 2020, 9,945 male and 8,977 female members of farming households were engaged in </w:t>
      </w:r>
      <w:r w:rsidRPr="001453DA">
        <w:rPr>
          <w:rFonts w:cstheme="minorHAnsi"/>
          <w:color w:val="auto"/>
          <w:lang w:val="en-AU"/>
        </w:rPr>
        <w:t>productive partnerships with commercial enterprises.</w:t>
      </w:r>
    </w:p>
    <w:p w14:paraId="0C89D679" w14:textId="5259D53D" w:rsidR="00123A90" w:rsidRPr="001453DA" w:rsidRDefault="00123A90" w:rsidP="001453DA">
      <w:pPr>
        <w:pStyle w:val="ListParagraph"/>
        <w:numPr>
          <w:ilvl w:val="0"/>
          <w:numId w:val="12"/>
        </w:numPr>
        <w:spacing w:after="0" w:line="254" w:lineRule="auto"/>
        <w:ind w:left="170" w:hanging="170"/>
        <w:rPr>
          <w:rFonts w:cstheme="minorHAnsi"/>
          <w:color w:val="auto"/>
          <w:lang w:val="en-AU"/>
        </w:rPr>
      </w:pPr>
      <w:r w:rsidRPr="001453DA">
        <w:rPr>
          <w:rFonts w:cstheme="minorHAnsi"/>
          <w:color w:val="auto"/>
          <w:lang w:val="en-AU"/>
        </w:rPr>
        <w:t xml:space="preserve">Australia’s </w:t>
      </w:r>
      <w:proofErr w:type="spellStart"/>
      <w:r w:rsidR="00883477" w:rsidRPr="001453DA">
        <w:rPr>
          <w:rFonts w:cstheme="minorHAnsi"/>
          <w:i/>
          <w:color w:val="auto"/>
          <w:lang w:val="en-AU"/>
        </w:rPr>
        <w:t>Strongim</w:t>
      </w:r>
      <w:proofErr w:type="spellEnd"/>
      <w:r w:rsidR="00883477" w:rsidRPr="001453DA">
        <w:rPr>
          <w:rFonts w:cstheme="minorHAnsi"/>
          <w:i/>
          <w:color w:val="auto"/>
          <w:lang w:val="en-AU"/>
        </w:rPr>
        <w:t xml:space="preserve"> </w:t>
      </w:r>
      <w:proofErr w:type="spellStart"/>
      <w:r w:rsidR="00C719C2" w:rsidRPr="001453DA">
        <w:rPr>
          <w:rFonts w:cstheme="minorHAnsi"/>
          <w:i/>
          <w:color w:val="auto"/>
          <w:lang w:val="en-AU"/>
        </w:rPr>
        <w:t>Bisnis</w:t>
      </w:r>
      <w:proofErr w:type="spellEnd"/>
      <w:r w:rsidR="00683885" w:rsidRPr="001453DA">
        <w:rPr>
          <w:rFonts w:cstheme="minorHAnsi"/>
          <w:i/>
          <w:color w:val="auto"/>
          <w:lang w:val="en-AU"/>
        </w:rPr>
        <w:t xml:space="preserve"> </w:t>
      </w:r>
      <w:r w:rsidR="00401D93" w:rsidRPr="001453DA">
        <w:rPr>
          <w:rFonts w:cstheme="minorHAnsi"/>
          <w:color w:val="auto"/>
          <w:lang w:val="en-AU"/>
        </w:rPr>
        <w:t>catalysed</w:t>
      </w:r>
      <w:r w:rsidR="00C719C2" w:rsidRPr="001453DA">
        <w:rPr>
          <w:rFonts w:cstheme="minorHAnsi"/>
          <w:color w:val="auto"/>
          <w:lang w:val="en-AU"/>
        </w:rPr>
        <w:t xml:space="preserve"> 275 micro, small and medium sized enterprises</w:t>
      </w:r>
      <w:r w:rsidRPr="001453DA">
        <w:rPr>
          <w:rFonts w:cstheme="minorHAnsi"/>
          <w:color w:val="auto"/>
          <w:lang w:val="en-AU"/>
        </w:rPr>
        <w:t>,</w:t>
      </w:r>
      <w:r w:rsidR="007F11BD" w:rsidRPr="001453DA">
        <w:rPr>
          <w:rFonts w:cstheme="minorHAnsi"/>
          <w:color w:val="auto"/>
          <w:lang w:val="en-AU"/>
        </w:rPr>
        <w:t xml:space="preserve"> resulting in increased business profits and </w:t>
      </w:r>
      <w:r w:rsidR="009D72E6" w:rsidRPr="001453DA">
        <w:rPr>
          <w:rFonts w:cstheme="minorHAnsi"/>
          <w:color w:val="auto"/>
          <w:lang w:val="en-AU"/>
        </w:rPr>
        <w:t>$408</w:t>
      </w:r>
      <w:r w:rsidR="007F11BD" w:rsidRPr="001453DA">
        <w:rPr>
          <w:rFonts w:cstheme="minorHAnsi"/>
          <w:color w:val="auto"/>
          <w:lang w:val="en-AU"/>
        </w:rPr>
        <w:t>,000 of increased economic activity through</w:t>
      </w:r>
      <w:r w:rsidR="00B821F5" w:rsidRPr="001453DA">
        <w:rPr>
          <w:rFonts w:cstheme="minorHAnsi"/>
          <w:color w:val="auto"/>
          <w:lang w:val="en-AU"/>
        </w:rPr>
        <w:t xml:space="preserve"> increased goods and services. </w:t>
      </w:r>
      <w:r w:rsidR="007F11BD" w:rsidRPr="001453DA">
        <w:rPr>
          <w:rFonts w:cstheme="minorHAnsi"/>
          <w:color w:val="auto"/>
          <w:lang w:val="en-AU"/>
        </w:rPr>
        <w:t xml:space="preserve">24 </w:t>
      </w:r>
      <w:r w:rsidR="00401D93" w:rsidRPr="001453DA">
        <w:rPr>
          <w:rFonts w:cstheme="minorHAnsi"/>
          <w:color w:val="auto"/>
          <w:lang w:val="en-AU"/>
        </w:rPr>
        <w:t xml:space="preserve">new </w:t>
      </w:r>
      <w:r w:rsidR="007F11BD" w:rsidRPr="001453DA">
        <w:rPr>
          <w:rFonts w:cstheme="minorHAnsi"/>
          <w:color w:val="auto"/>
          <w:lang w:val="en-AU"/>
        </w:rPr>
        <w:t>part</w:t>
      </w:r>
      <w:r w:rsidR="00401D93" w:rsidRPr="001453DA">
        <w:rPr>
          <w:rFonts w:cstheme="minorHAnsi"/>
          <w:color w:val="auto"/>
          <w:lang w:val="en-AU"/>
        </w:rPr>
        <w:t>nerships</w:t>
      </w:r>
      <w:r w:rsidRPr="001453DA">
        <w:rPr>
          <w:rFonts w:cstheme="minorHAnsi"/>
          <w:color w:val="auto"/>
          <w:lang w:val="en-AU"/>
        </w:rPr>
        <w:t xml:space="preserve"> </w:t>
      </w:r>
      <w:r w:rsidR="007F11BD" w:rsidRPr="001453DA">
        <w:rPr>
          <w:rFonts w:cstheme="minorHAnsi"/>
          <w:color w:val="auto"/>
          <w:lang w:val="en-AU"/>
        </w:rPr>
        <w:t>leveraged</w:t>
      </w:r>
      <w:r w:rsidRPr="001453DA">
        <w:rPr>
          <w:rFonts w:cstheme="minorHAnsi"/>
          <w:color w:val="auto"/>
          <w:lang w:val="en-AU"/>
        </w:rPr>
        <w:t xml:space="preserve"> </w:t>
      </w:r>
      <w:r w:rsidR="009D72E6" w:rsidRPr="001453DA">
        <w:rPr>
          <w:rFonts w:cstheme="minorHAnsi"/>
          <w:color w:val="auto"/>
          <w:lang w:val="en-AU"/>
        </w:rPr>
        <w:t xml:space="preserve">$1 </w:t>
      </w:r>
      <w:r w:rsidRPr="001453DA">
        <w:rPr>
          <w:rFonts w:cstheme="minorHAnsi"/>
          <w:color w:val="auto"/>
          <w:lang w:val="en-AU"/>
        </w:rPr>
        <w:t>million worth of investment from partners to develop new busines</w:t>
      </w:r>
      <w:r w:rsidR="00401D93" w:rsidRPr="001453DA">
        <w:rPr>
          <w:rFonts w:cstheme="minorHAnsi"/>
          <w:color w:val="auto"/>
          <w:lang w:val="en-AU"/>
        </w:rPr>
        <w:t>ses and accelerate</w:t>
      </w:r>
      <w:r w:rsidRPr="001453DA">
        <w:rPr>
          <w:rFonts w:cstheme="minorHAnsi"/>
          <w:color w:val="auto"/>
          <w:lang w:val="en-AU"/>
        </w:rPr>
        <w:t xml:space="preserve"> growth.</w:t>
      </w:r>
    </w:p>
    <w:p w14:paraId="1EF59D7A" w14:textId="4AF1E7FB" w:rsidR="007F11BD" w:rsidRPr="001453DA" w:rsidRDefault="00C63709" w:rsidP="001453DA">
      <w:pPr>
        <w:pStyle w:val="ListParagraph"/>
        <w:numPr>
          <w:ilvl w:val="0"/>
          <w:numId w:val="12"/>
        </w:numPr>
        <w:spacing w:after="0" w:line="254" w:lineRule="auto"/>
        <w:ind w:left="170" w:hanging="170"/>
        <w:rPr>
          <w:color w:val="auto"/>
          <w:lang w:val="en-AU"/>
        </w:rPr>
      </w:pPr>
      <w:r w:rsidRPr="001453DA">
        <w:rPr>
          <w:rFonts w:cstheme="minorHAnsi"/>
          <w:color w:val="auto"/>
          <w:lang w:val="en-AU"/>
        </w:rPr>
        <w:t>T</w:t>
      </w:r>
      <w:r w:rsidR="00D716C8" w:rsidRPr="001453DA">
        <w:rPr>
          <w:rFonts w:cstheme="minorHAnsi"/>
          <w:color w:val="auto"/>
          <w:lang w:val="en-AU"/>
        </w:rPr>
        <w:t xml:space="preserve">hrough </w:t>
      </w:r>
      <w:r w:rsidRPr="001453DA">
        <w:rPr>
          <w:rFonts w:cstheme="minorHAnsi"/>
          <w:color w:val="auto"/>
          <w:lang w:val="en-AU"/>
        </w:rPr>
        <w:t>the Pacific Financial Inclusion Program</w:t>
      </w:r>
      <w:r w:rsidR="003E0825" w:rsidRPr="001453DA">
        <w:rPr>
          <w:rFonts w:cstheme="minorHAnsi"/>
          <w:color w:val="auto"/>
          <w:lang w:val="en-AU"/>
        </w:rPr>
        <w:t>,</w:t>
      </w:r>
      <w:r w:rsidR="0098170A" w:rsidRPr="001453DA">
        <w:rPr>
          <w:rFonts w:cstheme="minorHAnsi"/>
          <w:color w:val="auto"/>
          <w:lang w:val="en-AU"/>
        </w:rPr>
        <w:t xml:space="preserve"> </w:t>
      </w:r>
      <w:r w:rsidRPr="001453DA">
        <w:rPr>
          <w:rFonts w:cstheme="minorHAnsi"/>
          <w:color w:val="auto"/>
          <w:lang w:val="en-AU"/>
        </w:rPr>
        <w:t>over</w:t>
      </w:r>
      <w:r w:rsidR="0098170A" w:rsidRPr="001453DA">
        <w:rPr>
          <w:rFonts w:cstheme="minorHAnsi"/>
          <w:color w:val="auto"/>
          <w:lang w:val="en-AU"/>
        </w:rPr>
        <w:t xml:space="preserve"> </w:t>
      </w:r>
      <w:r w:rsidRPr="001453DA">
        <w:rPr>
          <w:rFonts w:cstheme="minorHAnsi"/>
          <w:color w:val="auto"/>
          <w:lang w:val="en-AU"/>
        </w:rPr>
        <w:t>15,000 Solomon Islanders working</w:t>
      </w:r>
      <w:r w:rsidR="00883477" w:rsidRPr="001453DA">
        <w:rPr>
          <w:rFonts w:cstheme="minorHAnsi"/>
          <w:color w:val="auto"/>
          <w:lang w:val="en-AU"/>
        </w:rPr>
        <w:t xml:space="preserve"> in the informal sector are saving</w:t>
      </w:r>
      <w:r w:rsidRPr="001453DA">
        <w:rPr>
          <w:rFonts w:cstheme="minorHAnsi"/>
          <w:color w:val="auto"/>
          <w:lang w:val="en-AU"/>
        </w:rPr>
        <w:t xml:space="preserve"> for their futures with the </w:t>
      </w:r>
      <w:proofErr w:type="spellStart"/>
      <w:r w:rsidRPr="001453DA">
        <w:rPr>
          <w:rFonts w:cstheme="minorHAnsi"/>
          <w:color w:val="auto"/>
          <w:lang w:val="en-AU"/>
        </w:rPr>
        <w:t>youSave</w:t>
      </w:r>
      <w:proofErr w:type="spellEnd"/>
      <w:r w:rsidRPr="001453DA">
        <w:rPr>
          <w:rFonts w:cstheme="minorHAnsi"/>
          <w:color w:val="auto"/>
          <w:lang w:val="en-AU"/>
        </w:rPr>
        <w:t xml:space="preserve"> superannuation program</w:t>
      </w:r>
      <w:r w:rsidR="0098170A" w:rsidRPr="001453DA">
        <w:rPr>
          <w:rFonts w:cstheme="minorHAnsi"/>
          <w:color w:val="auto"/>
          <w:lang w:val="en-AU"/>
        </w:rPr>
        <w:t>.</w:t>
      </w:r>
      <w:r w:rsidR="00D716C8" w:rsidRPr="001453DA">
        <w:rPr>
          <w:rFonts w:cstheme="minorHAnsi"/>
          <w:color w:val="auto"/>
          <w:lang w:val="en-AU"/>
        </w:rPr>
        <w:t xml:space="preserve"> </w:t>
      </w:r>
      <w:r w:rsidR="000E6809" w:rsidRPr="001453DA">
        <w:rPr>
          <w:rFonts w:cstheme="minorHAnsi"/>
          <w:color w:val="auto"/>
          <w:lang w:val="en-AU"/>
        </w:rPr>
        <w:t>O</w:t>
      </w:r>
      <w:r w:rsidR="007F11BD" w:rsidRPr="001453DA">
        <w:rPr>
          <w:rFonts w:cstheme="minorHAnsi"/>
          <w:color w:val="auto"/>
          <w:lang w:val="en-AU"/>
        </w:rPr>
        <w:t>ver 300 business</w:t>
      </w:r>
      <w:r w:rsidR="00D716C8" w:rsidRPr="001453DA">
        <w:rPr>
          <w:rFonts w:cstheme="minorHAnsi"/>
          <w:color w:val="auto"/>
          <w:lang w:val="en-AU"/>
        </w:rPr>
        <w:t xml:space="preserve"> and 12 licensed tax agents now </w:t>
      </w:r>
      <w:r w:rsidR="00883477" w:rsidRPr="001453DA">
        <w:rPr>
          <w:rFonts w:cstheme="minorHAnsi"/>
          <w:color w:val="auto"/>
          <w:lang w:val="en-AU"/>
        </w:rPr>
        <w:t>use</w:t>
      </w:r>
      <w:r w:rsidR="007F11BD" w:rsidRPr="001453DA">
        <w:rPr>
          <w:rFonts w:cstheme="minorHAnsi"/>
          <w:color w:val="auto"/>
          <w:lang w:val="en-AU"/>
        </w:rPr>
        <w:t xml:space="preserve"> the new online tax payment system with the Solomon Islands Inland Revenue Department.</w:t>
      </w:r>
    </w:p>
    <w:p w14:paraId="126E3526" w14:textId="5AD46806" w:rsidR="007E5C04" w:rsidRPr="001453DA" w:rsidRDefault="007E5C04" w:rsidP="001453DA">
      <w:pPr>
        <w:pStyle w:val="ListParagraph"/>
        <w:numPr>
          <w:ilvl w:val="0"/>
          <w:numId w:val="12"/>
        </w:numPr>
        <w:spacing w:after="0" w:line="254" w:lineRule="auto"/>
        <w:ind w:left="170" w:hanging="170"/>
        <w:rPr>
          <w:rFonts w:cstheme="minorHAnsi"/>
          <w:color w:val="auto"/>
          <w:lang w:val="en-AU"/>
        </w:rPr>
      </w:pPr>
      <w:r w:rsidRPr="001453DA">
        <w:rPr>
          <w:rFonts w:cstheme="minorHAnsi"/>
          <w:color w:val="auto"/>
          <w:lang w:val="en-AU"/>
        </w:rPr>
        <w:t>In 2019-20, 228 workers (28 female) participated in the Seasonal Worker</w:t>
      </w:r>
      <w:r w:rsidR="00703B97" w:rsidRPr="001453DA">
        <w:rPr>
          <w:rFonts w:cstheme="minorHAnsi"/>
          <w:color w:val="auto"/>
          <w:lang w:val="en-AU"/>
        </w:rPr>
        <w:t>s</w:t>
      </w:r>
      <w:r w:rsidRPr="001453DA">
        <w:rPr>
          <w:rFonts w:cstheme="minorHAnsi"/>
          <w:color w:val="auto"/>
          <w:lang w:val="en-AU"/>
        </w:rPr>
        <w:t xml:space="preserve"> Programme (a decrease of 86 workers from last year) and 134 Solomon Islanders (6 female) were mobilised under the Pacific Labour Scheme (an increase of 114 workers from last year). </w:t>
      </w:r>
    </w:p>
    <w:p w14:paraId="562AAF60" w14:textId="1E735B60" w:rsidR="00D969FA" w:rsidRPr="001453DA" w:rsidRDefault="008658CF" w:rsidP="001453DA">
      <w:pPr>
        <w:pStyle w:val="ListParagraph"/>
        <w:numPr>
          <w:ilvl w:val="0"/>
          <w:numId w:val="12"/>
        </w:numPr>
        <w:spacing w:after="0" w:line="254" w:lineRule="auto"/>
        <w:ind w:left="170" w:hanging="170"/>
        <w:rPr>
          <w:rFonts w:cstheme="minorHAnsi"/>
          <w:color w:val="auto"/>
          <w:lang w:val="en-AU"/>
        </w:rPr>
      </w:pPr>
      <w:r w:rsidRPr="001453DA">
        <w:rPr>
          <w:rFonts w:cstheme="minorHAnsi"/>
          <w:color w:val="auto"/>
          <w:lang w:val="en-AU"/>
        </w:rPr>
        <w:t>With Australia’s support, more women accessed violence support services</w:t>
      </w:r>
      <w:r w:rsidR="00993572" w:rsidRPr="001453DA">
        <w:rPr>
          <w:rFonts w:cstheme="minorHAnsi"/>
          <w:color w:val="auto"/>
          <w:lang w:val="en-AU"/>
        </w:rPr>
        <w:t xml:space="preserve">. The number of women accessing counselling increased </w:t>
      </w:r>
      <w:r w:rsidR="00995C99" w:rsidRPr="001453DA">
        <w:rPr>
          <w:rFonts w:cstheme="minorHAnsi"/>
          <w:color w:val="auto"/>
          <w:lang w:val="en-AU"/>
        </w:rPr>
        <w:t xml:space="preserve">from 580 in 2018 to 1,240 in 2019. </w:t>
      </w:r>
      <w:r w:rsidR="000D2E5B" w:rsidRPr="001453DA">
        <w:rPr>
          <w:rFonts w:cstheme="minorHAnsi"/>
          <w:color w:val="auto"/>
          <w:lang w:val="en-AU"/>
        </w:rPr>
        <w:t>Of this, a</w:t>
      </w:r>
      <w:r w:rsidR="00995C99" w:rsidRPr="001453DA">
        <w:rPr>
          <w:rFonts w:cstheme="minorHAnsi"/>
          <w:color w:val="auto"/>
          <w:lang w:val="en-AU"/>
        </w:rPr>
        <w:t xml:space="preserve"> total of 256</w:t>
      </w:r>
      <w:r w:rsidR="00883477" w:rsidRPr="001453DA">
        <w:rPr>
          <w:rFonts w:cstheme="minorHAnsi"/>
          <w:color w:val="auto"/>
          <w:lang w:val="en-AU"/>
        </w:rPr>
        <w:t xml:space="preserve"> rural </w:t>
      </w:r>
      <w:r w:rsidR="00995C99" w:rsidRPr="001453DA">
        <w:rPr>
          <w:rFonts w:cstheme="minorHAnsi"/>
          <w:color w:val="auto"/>
          <w:lang w:val="en-AU"/>
        </w:rPr>
        <w:t xml:space="preserve">women and girls </w:t>
      </w:r>
      <w:r w:rsidR="000D2E5B" w:rsidRPr="001453DA">
        <w:rPr>
          <w:rFonts w:cstheme="minorHAnsi"/>
          <w:color w:val="auto"/>
          <w:lang w:val="en-AU"/>
        </w:rPr>
        <w:t>accessed services from the five</w:t>
      </w:r>
      <w:r w:rsidR="00995C99" w:rsidRPr="001453DA">
        <w:rPr>
          <w:rFonts w:cstheme="minorHAnsi"/>
          <w:color w:val="auto"/>
          <w:lang w:val="en-AU"/>
        </w:rPr>
        <w:t xml:space="preserve"> provincial volunteer committees</w:t>
      </w:r>
      <w:r w:rsidR="000D2E5B" w:rsidRPr="001453DA">
        <w:rPr>
          <w:rFonts w:cstheme="minorHAnsi"/>
          <w:color w:val="auto"/>
          <w:lang w:val="en-AU"/>
        </w:rPr>
        <w:t>.</w:t>
      </w:r>
      <w:r w:rsidR="00B821F5" w:rsidRPr="001453DA">
        <w:rPr>
          <w:rFonts w:cstheme="minorHAnsi"/>
          <w:color w:val="auto"/>
          <w:lang w:val="en-AU"/>
        </w:rPr>
        <w:t xml:space="preserve"> </w:t>
      </w:r>
    </w:p>
    <w:p w14:paraId="3E96CFF0" w14:textId="37F311D2" w:rsidR="00A54E71" w:rsidRPr="001453DA" w:rsidRDefault="00401D93" w:rsidP="001453DA">
      <w:pPr>
        <w:pStyle w:val="ListParagraph"/>
        <w:numPr>
          <w:ilvl w:val="0"/>
          <w:numId w:val="12"/>
        </w:numPr>
        <w:spacing w:after="0" w:line="254" w:lineRule="auto"/>
        <w:ind w:left="170" w:hanging="170"/>
        <w:rPr>
          <w:rFonts w:cstheme="minorHAnsi"/>
          <w:color w:val="auto"/>
          <w:lang w:val="en-AU"/>
        </w:rPr>
      </w:pPr>
      <w:r w:rsidRPr="001453DA">
        <w:rPr>
          <w:rFonts w:cstheme="minorHAnsi"/>
          <w:color w:val="auto"/>
          <w:lang w:val="en-AU"/>
        </w:rPr>
        <w:t>Through</w:t>
      </w:r>
      <w:r w:rsidR="00A54E71" w:rsidRPr="001453DA">
        <w:rPr>
          <w:rFonts w:cstheme="minorHAnsi"/>
          <w:color w:val="auto"/>
          <w:lang w:val="en-AU"/>
        </w:rPr>
        <w:t xml:space="preserve"> </w:t>
      </w:r>
      <w:r w:rsidR="00993572" w:rsidRPr="001453DA">
        <w:rPr>
          <w:rFonts w:cstheme="minorHAnsi"/>
          <w:color w:val="auto"/>
          <w:lang w:val="en-AU"/>
        </w:rPr>
        <w:t xml:space="preserve">the </w:t>
      </w:r>
      <w:r w:rsidR="00A54E71" w:rsidRPr="001453DA">
        <w:rPr>
          <w:rFonts w:cstheme="minorHAnsi"/>
          <w:color w:val="auto"/>
          <w:lang w:val="en-AU"/>
        </w:rPr>
        <w:t>Australia Pacific Training Coalition</w:t>
      </w:r>
      <w:r w:rsidR="00993572" w:rsidRPr="001453DA">
        <w:rPr>
          <w:rFonts w:cstheme="minorHAnsi"/>
          <w:color w:val="auto"/>
          <w:lang w:val="en-AU"/>
        </w:rPr>
        <w:t>,</w:t>
      </w:r>
      <w:r w:rsidRPr="001453DA">
        <w:rPr>
          <w:rFonts w:cstheme="minorHAnsi"/>
          <w:color w:val="auto"/>
          <w:lang w:val="en-AU"/>
        </w:rPr>
        <w:t xml:space="preserve"> (APTC) 100 Solomon Islands (53 female) now have </w:t>
      </w:r>
      <w:r w:rsidR="00A54E71" w:rsidRPr="001453DA">
        <w:rPr>
          <w:rFonts w:cstheme="minorHAnsi"/>
          <w:color w:val="auto"/>
          <w:lang w:val="en-AU"/>
        </w:rPr>
        <w:t>an Australian-</w:t>
      </w:r>
      <w:r w:rsidRPr="001453DA">
        <w:rPr>
          <w:rFonts w:cstheme="minorHAnsi"/>
          <w:color w:val="auto"/>
          <w:lang w:val="en-AU"/>
        </w:rPr>
        <w:t xml:space="preserve">recognised qualification; </w:t>
      </w:r>
      <w:r w:rsidR="00A54E71" w:rsidRPr="001453DA">
        <w:rPr>
          <w:rFonts w:cstheme="minorHAnsi"/>
          <w:color w:val="auto"/>
          <w:lang w:val="en-AU"/>
        </w:rPr>
        <w:t xml:space="preserve">Solomon Islands has the highest female graduate ratio across the APTC platform. </w:t>
      </w:r>
      <w:r w:rsidR="00B26705" w:rsidRPr="001453DA">
        <w:rPr>
          <w:color w:val="auto"/>
        </w:rPr>
        <w:t>34</w:t>
      </w:r>
      <w:r w:rsidR="003E0825" w:rsidRPr="001453DA">
        <w:rPr>
          <w:color w:val="auto"/>
        </w:rPr>
        <w:t xml:space="preserve"> per cent </w:t>
      </w:r>
      <w:r w:rsidR="00B821F5" w:rsidRPr="001453DA">
        <w:rPr>
          <w:color w:val="auto"/>
        </w:rPr>
        <w:t xml:space="preserve">of graduates </w:t>
      </w:r>
      <w:r w:rsidR="00CA4799" w:rsidRPr="001453DA">
        <w:rPr>
          <w:color w:val="auto"/>
        </w:rPr>
        <w:t xml:space="preserve">reported </w:t>
      </w:r>
      <w:r w:rsidR="00703B97" w:rsidRPr="001453DA">
        <w:rPr>
          <w:color w:val="auto"/>
        </w:rPr>
        <w:t>being</w:t>
      </w:r>
      <w:r w:rsidR="00CA4799" w:rsidRPr="001453DA">
        <w:rPr>
          <w:color w:val="auto"/>
        </w:rPr>
        <w:t xml:space="preserve"> in a higher rol</w:t>
      </w:r>
      <w:r w:rsidRPr="001453DA">
        <w:rPr>
          <w:color w:val="auto"/>
        </w:rPr>
        <w:t xml:space="preserve">e after </w:t>
      </w:r>
      <w:r w:rsidR="00C40ED2" w:rsidRPr="001453DA">
        <w:rPr>
          <w:color w:val="auto"/>
        </w:rPr>
        <w:t>graduating</w:t>
      </w:r>
      <w:r w:rsidR="009A064C" w:rsidRPr="001453DA">
        <w:rPr>
          <w:color w:val="auto"/>
        </w:rPr>
        <w:t>.</w:t>
      </w:r>
    </w:p>
    <w:p w14:paraId="3AB410C4" w14:textId="77777777" w:rsidR="00D716C8" w:rsidRPr="001453DA" w:rsidRDefault="00385658" w:rsidP="001453DA">
      <w:pPr>
        <w:pStyle w:val="ListParagraph"/>
        <w:numPr>
          <w:ilvl w:val="0"/>
          <w:numId w:val="12"/>
        </w:numPr>
        <w:spacing w:after="0" w:line="254" w:lineRule="auto"/>
        <w:ind w:left="170" w:hanging="170"/>
      </w:pPr>
      <w:r w:rsidRPr="001453DA">
        <w:rPr>
          <w:rFonts w:cstheme="minorHAnsi"/>
          <w:color w:val="auto"/>
          <w:lang w:val="en-AU"/>
        </w:rPr>
        <w:t>Australia</w:t>
      </w:r>
      <w:r w:rsidR="009A064C" w:rsidRPr="001453DA">
        <w:rPr>
          <w:rFonts w:cstheme="minorHAnsi"/>
          <w:color w:val="auto"/>
          <w:lang w:val="en-AU"/>
        </w:rPr>
        <w:t xml:space="preserve"> </w:t>
      </w:r>
      <w:r w:rsidR="00DF7AD3" w:rsidRPr="001453DA">
        <w:rPr>
          <w:rFonts w:cstheme="minorHAnsi"/>
          <w:color w:val="auto"/>
          <w:lang w:val="en-AU"/>
        </w:rPr>
        <w:t xml:space="preserve">created </w:t>
      </w:r>
      <w:r w:rsidRPr="001453DA">
        <w:rPr>
          <w:rFonts w:cstheme="minorHAnsi"/>
          <w:color w:val="auto"/>
          <w:lang w:val="en-AU"/>
        </w:rPr>
        <w:t>a</w:t>
      </w:r>
      <w:r w:rsidR="006131A4" w:rsidRPr="001453DA">
        <w:rPr>
          <w:rFonts w:cstheme="minorHAnsi"/>
          <w:color w:val="auto"/>
          <w:lang w:val="en-AU"/>
        </w:rPr>
        <w:t xml:space="preserve"> weekly </w:t>
      </w:r>
      <w:r w:rsidR="006131A4" w:rsidRPr="001453DA">
        <w:rPr>
          <w:rFonts w:cstheme="minorHAnsi"/>
          <w:i/>
          <w:color w:val="auto"/>
          <w:lang w:val="en-AU"/>
        </w:rPr>
        <w:t xml:space="preserve">Law </w:t>
      </w:r>
      <w:proofErr w:type="spellStart"/>
      <w:r w:rsidR="006131A4" w:rsidRPr="001453DA">
        <w:rPr>
          <w:rFonts w:cstheme="minorHAnsi"/>
          <w:i/>
          <w:color w:val="auto"/>
          <w:lang w:val="en-AU"/>
        </w:rPr>
        <w:t>Blo</w:t>
      </w:r>
      <w:proofErr w:type="spellEnd"/>
      <w:r w:rsidR="006131A4" w:rsidRPr="001453DA">
        <w:rPr>
          <w:rFonts w:cstheme="minorHAnsi"/>
          <w:i/>
          <w:color w:val="auto"/>
          <w:lang w:val="en-AU"/>
        </w:rPr>
        <w:t xml:space="preserve"> </w:t>
      </w:r>
      <w:proofErr w:type="spellStart"/>
      <w:r w:rsidR="006131A4" w:rsidRPr="001453DA">
        <w:rPr>
          <w:rFonts w:cstheme="minorHAnsi"/>
          <w:i/>
          <w:color w:val="auto"/>
          <w:lang w:val="en-AU"/>
        </w:rPr>
        <w:t>Iumi</w:t>
      </w:r>
      <w:proofErr w:type="spellEnd"/>
      <w:r w:rsidR="002A641B" w:rsidRPr="001453DA">
        <w:rPr>
          <w:rFonts w:cstheme="minorHAnsi"/>
          <w:color w:val="auto"/>
          <w:lang w:val="en-AU"/>
        </w:rPr>
        <w:t xml:space="preserve"> </w:t>
      </w:r>
      <w:r w:rsidR="006131A4" w:rsidRPr="001453DA">
        <w:rPr>
          <w:rFonts w:cstheme="minorHAnsi"/>
          <w:color w:val="auto"/>
          <w:lang w:val="en-AU"/>
        </w:rPr>
        <w:t xml:space="preserve">legal awareness radio program to provide </w:t>
      </w:r>
      <w:r w:rsidR="006B0124" w:rsidRPr="001453DA">
        <w:rPr>
          <w:rFonts w:cstheme="minorHAnsi"/>
          <w:color w:val="auto"/>
          <w:lang w:val="en-AU"/>
        </w:rPr>
        <w:t>information on</w:t>
      </w:r>
      <w:r w:rsidR="00B821F5" w:rsidRPr="001453DA">
        <w:rPr>
          <w:rFonts w:cstheme="minorHAnsi"/>
          <w:color w:val="auto"/>
          <w:lang w:val="en-AU"/>
        </w:rPr>
        <w:t xml:space="preserve"> the</w:t>
      </w:r>
      <w:r w:rsidR="006131A4" w:rsidRPr="001453DA">
        <w:rPr>
          <w:rFonts w:cstheme="minorHAnsi"/>
          <w:color w:val="auto"/>
          <w:lang w:val="en-AU"/>
        </w:rPr>
        <w:t xml:space="preserve"> justice system, including the constitutional basis of t</w:t>
      </w:r>
      <w:r w:rsidR="00D716C8" w:rsidRPr="001453DA">
        <w:rPr>
          <w:rFonts w:cstheme="minorHAnsi"/>
          <w:color w:val="auto"/>
          <w:lang w:val="en-AU"/>
        </w:rPr>
        <w:t>he COVID-19 state of emergency.</w:t>
      </w:r>
    </w:p>
    <w:p w14:paraId="28F3FC3B" w14:textId="77777777" w:rsidR="000E6809" w:rsidRPr="001453DA" w:rsidRDefault="00D716C8" w:rsidP="001453DA">
      <w:pPr>
        <w:pStyle w:val="ListParagraph"/>
        <w:numPr>
          <w:ilvl w:val="0"/>
          <w:numId w:val="12"/>
        </w:numPr>
        <w:spacing w:after="0" w:line="254" w:lineRule="auto"/>
        <w:ind w:left="170" w:hanging="170"/>
      </w:pPr>
      <w:r w:rsidRPr="001453DA">
        <w:rPr>
          <w:rFonts w:cstheme="minorHAnsi"/>
          <w:color w:val="auto"/>
          <w:lang w:val="en-AU"/>
        </w:rPr>
        <w:t>Australia supported the Solomon Islands Election Commission to conduct a by-election and provincial election, and support to the High Court facilitated hearings for 28 election petitions from the 2019 election, within the statutory deadline</w:t>
      </w:r>
      <w:r w:rsidR="00C40ED2" w:rsidRPr="001453DA">
        <w:rPr>
          <w:rFonts w:cstheme="minorHAnsi"/>
          <w:color w:val="auto"/>
          <w:lang w:val="en-AU"/>
        </w:rPr>
        <w:t>.</w:t>
      </w:r>
    </w:p>
    <w:p w14:paraId="332032C9" w14:textId="77777777" w:rsidR="00C40ED2" w:rsidRDefault="00C40ED2" w:rsidP="00C40ED2">
      <w:pPr>
        <w:pStyle w:val="ListParagraph"/>
        <w:numPr>
          <w:ilvl w:val="0"/>
          <w:numId w:val="12"/>
        </w:numPr>
        <w:spacing w:after="0" w:line="254" w:lineRule="auto"/>
        <w:ind w:left="170" w:hanging="170"/>
        <w:sectPr w:rsidR="00C40ED2" w:rsidSect="00C32299">
          <w:headerReference w:type="default" r:id="rId16"/>
          <w:footerReference w:type="default" r:id="rId17"/>
          <w:headerReference w:type="first" r:id="rId18"/>
          <w:footerReference w:type="first" r:id="rId19"/>
          <w:type w:val="continuous"/>
          <w:pgSz w:w="11906" w:h="16838" w:code="9"/>
          <w:pgMar w:top="1701" w:right="1134" w:bottom="1418" w:left="1134" w:header="425" w:footer="493" w:gutter="0"/>
          <w:cols w:num="2" w:space="397"/>
          <w:titlePg/>
          <w:docGrid w:linePitch="360"/>
        </w:sectPr>
      </w:pPr>
    </w:p>
    <w:p w14:paraId="75490A34" w14:textId="000D9294" w:rsidR="004C5598" w:rsidRDefault="00D00153" w:rsidP="004C5598">
      <w:pPr>
        <w:pStyle w:val="Heading2"/>
        <w:spacing w:before="360" w:line="300" w:lineRule="exact"/>
        <w:contextualSpacing w:val="0"/>
        <w:rPr>
          <w:sz w:val="24"/>
          <w:szCs w:val="24"/>
        </w:rPr>
      </w:pPr>
      <w:r>
        <w:lastRenderedPageBreak/>
        <w:t>P</w:t>
      </w:r>
      <w:r w:rsidR="004C5598">
        <w:t xml:space="preserve">rogress against 2019-20 performance </w:t>
      </w:r>
      <w:r w:rsidR="00655E45">
        <w:t xml:space="preserve">INDICATORS </w:t>
      </w:r>
      <w:r w:rsidR="00C32299">
        <w:br/>
      </w:r>
    </w:p>
    <w:tbl>
      <w:tblPr>
        <w:tblStyle w:val="TableGrid"/>
        <w:tblW w:w="5000" w:type="pct"/>
        <w:tblLook w:val="04A0" w:firstRow="1" w:lastRow="0" w:firstColumn="1" w:lastColumn="0" w:noHBand="0" w:noVBand="1"/>
        <w:tblCaption w:val="Performance Assessment Framework"/>
        <w:tblDescription w:val="This program has three strategic objectives and twelve performance benchmark, indicators that are used to measure progress."/>
      </w:tblPr>
      <w:tblGrid>
        <w:gridCol w:w="1816"/>
        <w:gridCol w:w="3626"/>
        <w:gridCol w:w="4186"/>
      </w:tblGrid>
      <w:tr w:rsidR="003E0825" w:rsidRPr="00C044DD" w14:paraId="2D132A2A" w14:textId="77777777" w:rsidTr="00C62AF3">
        <w:trPr>
          <w:tblHeader/>
        </w:trPr>
        <w:tc>
          <w:tcPr>
            <w:tcW w:w="943" w:type="pct"/>
            <w:shd w:val="clear" w:color="auto" w:fill="C1E7E0" w:themeFill="accent1" w:themeFillTint="66"/>
          </w:tcPr>
          <w:p w14:paraId="00A341A9" w14:textId="77777777" w:rsidR="003E0825" w:rsidRPr="00C044DD" w:rsidRDefault="003E0825" w:rsidP="002B0289">
            <w:pPr>
              <w:pStyle w:val="BodyText"/>
              <w:spacing w:before="40" w:after="40" w:line="240" w:lineRule="auto"/>
              <w:rPr>
                <w:rFonts w:asciiTheme="majorHAnsi" w:eastAsiaTheme="majorEastAsia" w:hAnsiTheme="majorHAnsi" w:cstheme="majorHAnsi"/>
                <w:b/>
                <w:caps/>
                <w:sz w:val="20"/>
                <w:szCs w:val="20"/>
              </w:rPr>
            </w:pPr>
            <w:r w:rsidRPr="00C044DD">
              <w:rPr>
                <w:rFonts w:asciiTheme="majorHAnsi" w:eastAsiaTheme="majorEastAsia" w:hAnsiTheme="majorHAnsi" w:cstheme="majorHAnsi"/>
                <w:b/>
                <w:caps/>
                <w:sz w:val="20"/>
                <w:szCs w:val="20"/>
              </w:rPr>
              <w:t>title of strategic OBJECTIVE</w:t>
            </w:r>
          </w:p>
        </w:tc>
        <w:tc>
          <w:tcPr>
            <w:tcW w:w="1883" w:type="pct"/>
            <w:shd w:val="clear" w:color="auto" w:fill="C1E7E0" w:themeFill="accent1" w:themeFillTint="66"/>
          </w:tcPr>
          <w:p w14:paraId="121A9710" w14:textId="77777777" w:rsidR="003E0825" w:rsidRPr="00C044DD" w:rsidRDefault="003E0825" w:rsidP="002B0289">
            <w:pPr>
              <w:pStyle w:val="BodyText"/>
              <w:spacing w:before="40" w:after="40" w:line="240" w:lineRule="auto"/>
              <w:rPr>
                <w:rFonts w:asciiTheme="majorHAnsi" w:eastAsiaTheme="majorEastAsia" w:hAnsiTheme="majorHAnsi" w:cstheme="majorHAnsi"/>
                <w:b/>
                <w:caps/>
                <w:sz w:val="20"/>
                <w:szCs w:val="20"/>
              </w:rPr>
            </w:pPr>
            <w:r w:rsidRPr="00C044DD">
              <w:rPr>
                <w:rFonts w:asciiTheme="majorHAnsi" w:eastAsiaTheme="majorEastAsia" w:hAnsiTheme="majorHAnsi" w:cstheme="majorHAnsi"/>
                <w:b/>
                <w:caps/>
                <w:sz w:val="20"/>
                <w:szCs w:val="20"/>
              </w:rPr>
              <w:t>Performance assessment framework OBJECTIVE</w:t>
            </w:r>
          </w:p>
        </w:tc>
        <w:tc>
          <w:tcPr>
            <w:tcW w:w="2174" w:type="pct"/>
            <w:shd w:val="clear" w:color="auto" w:fill="C1E7E0" w:themeFill="accent1" w:themeFillTint="66"/>
          </w:tcPr>
          <w:p w14:paraId="2121E9CD" w14:textId="77777777" w:rsidR="003E0825" w:rsidRPr="00C044DD" w:rsidRDefault="003E0825" w:rsidP="002B0289">
            <w:pPr>
              <w:pStyle w:val="BodyText"/>
              <w:spacing w:before="40" w:after="40" w:line="240" w:lineRule="auto"/>
              <w:rPr>
                <w:rFonts w:asciiTheme="majorHAnsi" w:eastAsiaTheme="majorEastAsia" w:hAnsiTheme="majorHAnsi" w:cstheme="majorHAnsi"/>
                <w:b/>
                <w:caps/>
                <w:sz w:val="20"/>
                <w:szCs w:val="20"/>
              </w:rPr>
            </w:pPr>
            <w:r w:rsidRPr="00C044DD">
              <w:rPr>
                <w:rFonts w:asciiTheme="majorHAnsi" w:eastAsiaTheme="majorEastAsia" w:hAnsiTheme="majorHAnsi" w:cstheme="majorHAnsi"/>
                <w:b/>
                <w:caps/>
                <w:sz w:val="20"/>
                <w:szCs w:val="20"/>
              </w:rPr>
              <w:t>Brief summary of progress against Objective/TARGET</w:t>
            </w:r>
          </w:p>
        </w:tc>
      </w:tr>
      <w:tr w:rsidR="003E0825" w:rsidRPr="00C044DD" w14:paraId="2F0091D1" w14:textId="77777777" w:rsidTr="00C62AF3">
        <w:trPr>
          <w:tblHeader/>
        </w:trPr>
        <w:tc>
          <w:tcPr>
            <w:tcW w:w="943" w:type="pct"/>
          </w:tcPr>
          <w:p w14:paraId="3C71BB48" w14:textId="2C2F091B" w:rsidR="00333BD2" w:rsidRDefault="00333BD2" w:rsidP="00652F18">
            <w:pPr>
              <w:pStyle w:val="BodyText"/>
              <w:spacing w:before="40" w:after="40" w:line="240" w:lineRule="auto"/>
              <w:rPr>
                <w:rFonts w:eastAsiaTheme="majorEastAsia" w:cstheme="minorHAnsi"/>
                <w:sz w:val="20"/>
                <w:szCs w:val="20"/>
              </w:rPr>
            </w:pPr>
            <w:r>
              <w:rPr>
                <w:rFonts w:eastAsiaTheme="majorEastAsia" w:cstheme="minorHAnsi"/>
                <w:sz w:val="20"/>
                <w:szCs w:val="20"/>
              </w:rPr>
              <w:t>Objective 1.</w:t>
            </w:r>
          </w:p>
          <w:p w14:paraId="5345506E" w14:textId="2E5BD395" w:rsidR="003E0825" w:rsidRPr="00C044DD" w:rsidRDefault="003E0825" w:rsidP="00333BD2">
            <w:pPr>
              <w:pStyle w:val="BodyText"/>
              <w:spacing w:before="40" w:after="40" w:line="240" w:lineRule="auto"/>
              <w:rPr>
                <w:rFonts w:eastAsiaTheme="majorEastAsia" w:cstheme="minorHAnsi"/>
                <w:sz w:val="20"/>
                <w:szCs w:val="20"/>
              </w:rPr>
            </w:pPr>
            <w:r w:rsidRPr="00C044DD">
              <w:rPr>
                <w:rFonts w:eastAsiaTheme="majorEastAsia" w:cstheme="minorHAnsi"/>
                <w:sz w:val="20"/>
                <w:szCs w:val="20"/>
              </w:rPr>
              <w:t xml:space="preserve">Supporting Stability </w:t>
            </w:r>
            <w:r w:rsidR="00333BD2">
              <w:rPr>
                <w:rFonts w:eastAsiaTheme="majorEastAsia" w:cstheme="minorHAnsi"/>
                <w:sz w:val="20"/>
                <w:szCs w:val="20"/>
              </w:rPr>
              <w:t>-</w:t>
            </w:r>
            <w:r w:rsidRPr="00C044DD">
              <w:rPr>
                <w:rFonts w:eastAsiaTheme="majorEastAsia" w:cstheme="minorHAnsi"/>
                <w:sz w:val="20"/>
                <w:szCs w:val="20"/>
              </w:rPr>
              <w:t xml:space="preserve"> Solomon Islanders increasingly recognise and participate in a legitimate state, free from conflict and economically stable</w:t>
            </w:r>
          </w:p>
        </w:tc>
        <w:tc>
          <w:tcPr>
            <w:tcW w:w="1883" w:type="pct"/>
          </w:tcPr>
          <w:p w14:paraId="03AE753D" w14:textId="77777777" w:rsidR="003E0825" w:rsidRDefault="003E0825" w:rsidP="002B0289">
            <w:pPr>
              <w:pStyle w:val="BodyText"/>
              <w:spacing w:before="40" w:after="40" w:line="240" w:lineRule="auto"/>
              <w:rPr>
                <w:rFonts w:eastAsiaTheme="majorEastAsia" w:cstheme="minorHAnsi"/>
                <w:sz w:val="20"/>
                <w:szCs w:val="20"/>
              </w:rPr>
            </w:pPr>
            <w:r w:rsidRPr="00333BD2">
              <w:rPr>
                <w:rFonts w:asciiTheme="majorHAnsi" w:eastAsiaTheme="majorEastAsia" w:hAnsiTheme="majorHAnsi" w:cstheme="majorHAnsi"/>
                <w:sz w:val="20"/>
                <w:szCs w:val="20"/>
              </w:rPr>
              <w:t>1.1</w:t>
            </w:r>
            <w:r w:rsidRPr="00C044DD">
              <w:rPr>
                <w:rFonts w:eastAsiaTheme="majorEastAsia" w:cstheme="minorHAnsi"/>
                <w:sz w:val="20"/>
                <w:szCs w:val="20"/>
              </w:rPr>
              <w:t xml:space="preserve"> Police and other law and justice officials trained – Target 900</w:t>
            </w:r>
            <w:r w:rsidR="00333BD2">
              <w:rPr>
                <w:rFonts w:eastAsiaTheme="majorEastAsia" w:cstheme="minorHAnsi"/>
                <w:sz w:val="20"/>
                <w:szCs w:val="20"/>
              </w:rPr>
              <w:t>.</w:t>
            </w:r>
          </w:p>
          <w:p w14:paraId="195005F7" w14:textId="77777777" w:rsidR="00333BD2" w:rsidRDefault="00333BD2" w:rsidP="002B0289">
            <w:pPr>
              <w:pStyle w:val="BodyText"/>
              <w:spacing w:before="40" w:after="40" w:line="240" w:lineRule="auto"/>
              <w:rPr>
                <w:rFonts w:eastAsiaTheme="majorEastAsia" w:cstheme="minorHAnsi"/>
                <w:sz w:val="20"/>
                <w:szCs w:val="20"/>
              </w:rPr>
            </w:pPr>
            <w:r w:rsidRPr="00333BD2">
              <w:rPr>
                <w:rFonts w:asciiTheme="majorHAnsi" w:eastAsiaTheme="majorEastAsia" w:hAnsiTheme="majorHAnsi" w:cstheme="majorHAnsi"/>
                <w:sz w:val="20"/>
                <w:szCs w:val="20"/>
              </w:rPr>
              <w:t>1.2</w:t>
            </w:r>
            <w:r w:rsidRPr="00C044DD">
              <w:rPr>
                <w:rFonts w:eastAsiaTheme="majorEastAsia" w:cstheme="minorHAnsi"/>
                <w:sz w:val="20"/>
                <w:szCs w:val="20"/>
              </w:rPr>
              <w:t xml:space="preserve"> Courts and justice agencies are better able to deliver their core functions – Target 1,000</w:t>
            </w:r>
            <w:r>
              <w:rPr>
                <w:rFonts w:eastAsiaTheme="majorEastAsia" w:cstheme="minorHAnsi"/>
                <w:sz w:val="20"/>
                <w:szCs w:val="20"/>
              </w:rPr>
              <w:t>.</w:t>
            </w:r>
          </w:p>
          <w:p w14:paraId="252B72E0" w14:textId="6B3D83C6" w:rsidR="00333BD2" w:rsidRPr="00C044DD" w:rsidRDefault="00333BD2" w:rsidP="00333BD2">
            <w:pPr>
              <w:pStyle w:val="BodyText"/>
              <w:spacing w:before="40" w:after="40" w:line="240" w:lineRule="auto"/>
              <w:rPr>
                <w:rFonts w:eastAsiaTheme="majorEastAsia" w:cstheme="minorHAnsi"/>
                <w:sz w:val="20"/>
                <w:szCs w:val="20"/>
              </w:rPr>
            </w:pPr>
            <w:r w:rsidRPr="00333BD2">
              <w:rPr>
                <w:rFonts w:asciiTheme="majorHAnsi" w:eastAsiaTheme="majorEastAsia" w:hAnsiTheme="majorHAnsi" w:cstheme="majorHAnsi"/>
                <w:sz w:val="20"/>
                <w:szCs w:val="20"/>
              </w:rPr>
              <w:t>1.3</w:t>
            </w:r>
            <w:r w:rsidRPr="00C044DD">
              <w:rPr>
                <w:rFonts w:eastAsiaTheme="majorEastAsia" w:cstheme="minorHAnsi"/>
                <w:sz w:val="20"/>
                <w:szCs w:val="20"/>
              </w:rPr>
              <w:t xml:space="preserve"> Women survivors of violence receive case management through the SAFENET referral system – Target year on year increase</w:t>
            </w:r>
            <w:r>
              <w:rPr>
                <w:rFonts w:eastAsiaTheme="majorEastAsia" w:cstheme="minorHAnsi"/>
                <w:sz w:val="20"/>
                <w:szCs w:val="20"/>
              </w:rPr>
              <w:t>.</w:t>
            </w:r>
          </w:p>
        </w:tc>
        <w:tc>
          <w:tcPr>
            <w:tcW w:w="2174" w:type="pct"/>
          </w:tcPr>
          <w:p w14:paraId="536888BE" w14:textId="338317CE" w:rsidR="003E0825" w:rsidRDefault="00333BD2">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7B2202" w:rsidRPr="00C044DD">
              <w:rPr>
                <w:rFonts w:eastAsiaTheme="majorEastAsia" w:cstheme="minorHAnsi"/>
                <w:sz w:val="20"/>
                <w:szCs w:val="20"/>
              </w:rPr>
              <w:t xml:space="preserve">A total of 124 (50 female and 74 men) law and justice officials were trained.   </w:t>
            </w:r>
          </w:p>
          <w:p w14:paraId="2C801C9A" w14:textId="77777777" w:rsidR="00333BD2" w:rsidRDefault="00333BD2" w:rsidP="00333BD2">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C044DD">
              <w:rPr>
                <w:rFonts w:eastAsiaTheme="majorEastAsia" w:cstheme="minorHAnsi"/>
                <w:sz w:val="20"/>
                <w:szCs w:val="20"/>
              </w:rPr>
              <w:t>1100 cases were heard and disposed of in Magistrates Court, which is an increase of 87 from 2018 – 19.</w:t>
            </w:r>
          </w:p>
          <w:p w14:paraId="0EE2D48B" w14:textId="7FE09FD6" w:rsidR="00333BD2" w:rsidRPr="00C044DD" w:rsidRDefault="00333BD2" w:rsidP="00333BD2">
            <w:pPr>
              <w:pStyle w:val="BodyText"/>
              <w:spacing w:before="40" w:after="40" w:line="240" w:lineRule="auto"/>
              <w:rPr>
                <w:rFonts w:eastAsiaTheme="majorEastAsia" w:cstheme="minorHAnsi"/>
                <w:sz w:val="20"/>
                <w:szCs w:val="20"/>
                <w:highlight w:val="yellow"/>
              </w:rPr>
            </w:pPr>
            <w:r>
              <w:rPr>
                <w:rFonts w:eastAsiaTheme="majorEastAsia" w:cstheme="minorHAnsi"/>
                <w:sz w:val="20"/>
                <w:szCs w:val="20"/>
              </w:rPr>
              <w:t xml:space="preserve">~ </w:t>
            </w:r>
            <w:r w:rsidRPr="00C044DD">
              <w:rPr>
                <w:rFonts w:eastAsiaTheme="majorEastAsia" w:cstheme="minorHAnsi"/>
                <w:sz w:val="20"/>
                <w:szCs w:val="20"/>
              </w:rPr>
              <w:t>1342 women using emergency shelter, health, sexual abuse or referral services, which is an increase from 919 in 2018–19</w:t>
            </w:r>
            <w:r>
              <w:rPr>
                <w:rFonts w:eastAsiaTheme="majorEastAsia" w:cstheme="minorHAnsi"/>
                <w:sz w:val="20"/>
                <w:szCs w:val="20"/>
              </w:rPr>
              <w:t>.</w:t>
            </w:r>
          </w:p>
        </w:tc>
      </w:tr>
      <w:tr w:rsidR="003E0825" w:rsidRPr="00C044DD" w14:paraId="7CC26561" w14:textId="77777777" w:rsidTr="00C62AF3">
        <w:trPr>
          <w:tblHeader/>
        </w:trPr>
        <w:tc>
          <w:tcPr>
            <w:tcW w:w="943" w:type="pct"/>
          </w:tcPr>
          <w:p w14:paraId="5F724BA7" w14:textId="77777777" w:rsidR="00333BD2" w:rsidRDefault="00333BD2" w:rsidP="0073639E">
            <w:pPr>
              <w:pStyle w:val="BodyText"/>
              <w:spacing w:before="40" w:after="40" w:line="240" w:lineRule="auto"/>
              <w:rPr>
                <w:rFonts w:eastAsiaTheme="majorEastAsia" w:cstheme="minorHAnsi"/>
                <w:sz w:val="20"/>
                <w:szCs w:val="20"/>
              </w:rPr>
            </w:pPr>
            <w:r>
              <w:rPr>
                <w:rFonts w:eastAsiaTheme="majorEastAsia" w:cstheme="minorHAnsi"/>
                <w:sz w:val="20"/>
                <w:szCs w:val="20"/>
              </w:rPr>
              <w:t>Objective 2.</w:t>
            </w:r>
          </w:p>
          <w:p w14:paraId="50E9D257" w14:textId="6690E371" w:rsidR="003E0825" w:rsidRPr="00C044DD" w:rsidRDefault="003E0825" w:rsidP="0073639E">
            <w:pPr>
              <w:pStyle w:val="BodyText"/>
              <w:spacing w:before="40" w:after="40" w:line="240" w:lineRule="auto"/>
              <w:rPr>
                <w:rFonts w:eastAsiaTheme="majorEastAsia" w:cstheme="minorHAnsi"/>
                <w:sz w:val="20"/>
                <w:szCs w:val="20"/>
              </w:rPr>
            </w:pPr>
            <w:r w:rsidRPr="00C044DD">
              <w:rPr>
                <w:rFonts w:eastAsiaTheme="majorEastAsia" w:cstheme="minorHAnsi"/>
                <w:sz w:val="20"/>
                <w:szCs w:val="20"/>
              </w:rPr>
              <w:t>Enabling economic growth  - Solomon Islands economic operating environment is more attractive to business &amp; men and women are able to earn a cash income</w:t>
            </w:r>
          </w:p>
        </w:tc>
        <w:tc>
          <w:tcPr>
            <w:tcW w:w="1883" w:type="pct"/>
          </w:tcPr>
          <w:p w14:paraId="1E779AF6" w14:textId="77777777" w:rsidR="003E0825" w:rsidRDefault="003E0825" w:rsidP="00652F18">
            <w:pPr>
              <w:pStyle w:val="BodyText"/>
              <w:spacing w:before="40" w:after="40" w:line="240" w:lineRule="auto"/>
              <w:rPr>
                <w:rFonts w:eastAsiaTheme="majorEastAsia" w:cstheme="minorHAnsi"/>
                <w:sz w:val="20"/>
                <w:szCs w:val="20"/>
              </w:rPr>
            </w:pPr>
            <w:r w:rsidRPr="00333BD2">
              <w:rPr>
                <w:rFonts w:asciiTheme="majorHAnsi" w:eastAsiaTheme="majorEastAsia" w:hAnsiTheme="majorHAnsi" w:cstheme="majorHAnsi"/>
                <w:sz w:val="20"/>
                <w:szCs w:val="20"/>
              </w:rPr>
              <w:t>2.1</w:t>
            </w:r>
            <w:r w:rsidRPr="00C044DD">
              <w:rPr>
                <w:rFonts w:eastAsiaTheme="majorEastAsia" w:cstheme="minorHAnsi"/>
                <w:sz w:val="20"/>
                <w:szCs w:val="20"/>
              </w:rPr>
              <w:t xml:space="preserve"> Women able to gain business or income-generating skills – Target 1,000</w:t>
            </w:r>
            <w:r w:rsidR="00333BD2">
              <w:rPr>
                <w:rFonts w:eastAsiaTheme="majorEastAsia" w:cstheme="minorHAnsi"/>
                <w:sz w:val="20"/>
                <w:szCs w:val="20"/>
              </w:rPr>
              <w:t>.</w:t>
            </w:r>
          </w:p>
          <w:p w14:paraId="12E6D683" w14:textId="77777777" w:rsidR="00333BD2" w:rsidRDefault="00333BD2" w:rsidP="00333BD2">
            <w:pPr>
              <w:pStyle w:val="BodyText"/>
              <w:spacing w:before="40" w:after="40" w:line="240" w:lineRule="auto"/>
              <w:rPr>
                <w:rFonts w:cstheme="minorHAnsi"/>
                <w:sz w:val="20"/>
                <w:szCs w:val="20"/>
              </w:rPr>
            </w:pPr>
            <w:r w:rsidRPr="00333BD2">
              <w:rPr>
                <w:rFonts w:asciiTheme="majorHAnsi" w:eastAsiaTheme="majorEastAsia" w:hAnsiTheme="majorHAnsi" w:cstheme="majorHAnsi"/>
                <w:sz w:val="20"/>
                <w:szCs w:val="20"/>
              </w:rPr>
              <w:t>2.2</w:t>
            </w:r>
            <w:r w:rsidRPr="00C044DD">
              <w:rPr>
                <w:rFonts w:eastAsiaTheme="majorEastAsia" w:cstheme="minorHAnsi"/>
                <w:sz w:val="20"/>
                <w:szCs w:val="20"/>
              </w:rPr>
              <w:t xml:space="preserve"> Improved transport infrastructure to support increased economic activity – Target </w:t>
            </w:r>
            <w:r w:rsidRPr="00C044DD">
              <w:rPr>
                <w:rFonts w:cstheme="minorHAnsi"/>
                <w:sz w:val="20"/>
                <w:szCs w:val="20"/>
              </w:rPr>
              <w:t>800km (revised to 700km for 2019)</w:t>
            </w:r>
            <w:r>
              <w:rPr>
                <w:rFonts w:cstheme="minorHAnsi"/>
                <w:sz w:val="20"/>
                <w:szCs w:val="20"/>
              </w:rPr>
              <w:t>.</w:t>
            </w:r>
          </w:p>
          <w:p w14:paraId="35372D72" w14:textId="34546989" w:rsidR="00333BD2" w:rsidRPr="00C044DD" w:rsidRDefault="00333BD2" w:rsidP="00333BD2">
            <w:pPr>
              <w:pStyle w:val="BodyText"/>
              <w:spacing w:before="40" w:after="40" w:line="240" w:lineRule="auto"/>
              <w:rPr>
                <w:rFonts w:eastAsiaTheme="majorEastAsia" w:cstheme="minorHAnsi"/>
                <w:sz w:val="20"/>
                <w:szCs w:val="20"/>
              </w:rPr>
            </w:pPr>
            <w:r w:rsidRPr="00333BD2">
              <w:rPr>
                <w:rFonts w:asciiTheme="majorHAnsi" w:eastAsiaTheme="majorEastAsia" w:hAnsiTheme="majorHAnsi" w:cstheme="majorHAnsi"/>
                <w:sz w:val="20"/>
                <w:szCs w:val="20"/>
              </w:rPr>
              <w:t>2.3</w:t>
            </w:r>
            <w:r w:rsidRPr="00C044DD">
              <w:rPr>
                <w:rFonts w:eastAsiaTheme="majorEastAsia" w:cstheme="minorHAnsi"/>
                <w:sz w:val="20"/>
                <w:szCs w:val="20"/>
              </w:rPr>
              <w:t xml:space="preserve"> Improved environment for private sector investment, economic growth and trade – Target 100 per cent of Consultative Expert Working Group (CEWG) actions achieved</w:t>
            </w:r>
            <w:r>
              <w:rPr>
                <w:rFonts w:eastAsiaTheme="majorEastAsia" w:cstheme="minorHAnsi"/>
                <w:sz w:val="20"/>
                <w:szCs w:val="20"/>
              </w:rPr>
              <w:t>.</w:t>
            </w:r>
          </w:p>
        </w:tc>
        <w:tc>
          <w:tcPr>
            <w:tcW w:w="2174" w:type="pct"/>
          </w:tcPr>
          <w:p w14:paraId="2515BAFB" w14:textId="77777777" w:rsidR="003E0825" w:rsidRDefault="00333BD2" w:rsidP="00652F18">
            <w:pPr>
              <w:pStyle w:val="BodyText"/>
              <w:spacing w:before="40" w:after="40" w:line="240" w:lineRule="auto"/>
              <w:rPr>
                <w:rFonts w:cstheme="minorHAnsi"/>
                <w:sz w:val="20"/>
                <w:szCs w:val="20"/>
              </w:rPr>
            </w:pPr>
            <w:r>
              <w:rPr>
                <w:rFonts w:cstheme="minorHAnsi"/>
                <w:sz w:val="20"/>
                <w:szCs w:val="20"/>
              </w:rPr>
              <w:t xml:space="preserve">~ </w:t>
            </w:r>
            <w:r w:rsidR="003E0825" w:rsidRPr="00C044DD">
              <w:rPr>
                <w:rFonts w:cstheme="minorHAnsi"/>
                <w:sz w:val="20"/>
                <w:szCs w:val="20"/>
              </w:rPr>
              <w:t>1874 women gained access to finance or increased their income in 2019 (</w:t>
            </w:r>
            <w:proofErr w:type="spellStart"/>
            <w:r w:rsidR="003E0825" w:rsidRPr="00C044DD">
              <w:rPr>
                <w:rFonts w:cstheme="minorHAnsi"/>
                <w:i/>
                <w:sz w:val="20"/>
                <w:szCs w:val="20"/>
              </w:rPr>
              <w:t>Strongim</w:t>
            </w:r>
            <w:proofErr w:type="spellEnd"/>
            <w:r w:rsidR="003E0825" w:rsidRPr="00C044DD">
              <w:rPr>
                <w:rFonts w:cstheme="minorHAnsi"/>
                <w:i/>
                <w:sz w:val="20"/>
                <w:szCs w:val="20"/>
              </w:rPr>
              <w:t xml:space="preserve"> Bisnis</w:t>
            </w:r>
            <w:r w:rsidR="003E0825" w:rsidRPr="00C044DD">
              <w:rPr>
                <w:rFonts w:cstheme="minorHAnsi"/>
                <w:sz w:val="20"/>
                <w:szCs w:val="20"/>
              </w:rPr>
              <w:t>-220 &amp; Rural Development Program- 1654).</w:t>
            </w:r>
          </w:p>
          <w:p w14:paraId="316B2A02" w14:textId="77777777" w:rsidR="00333BD2" w:rsidRDefault="00333BD2" w:rsidP="00652F18">
            <w:pPr>
              <w:pStyle w:val="BodyText"/>
              <w:spacing w:before="40" w:after="40" w:line="240" w:lineRule="auto"/>
              <w:rPr>
                <w:rFonts w:cstheme="minorHAnsi"/>
                <w:sz w:val="20"/>
                <w:szCs w:val="20"/>
              </w:rPr>
            </w:pPr>
            <w:r>
              <w:rPr>
                <w:rFonts w:cstheme="minorHAnsi"/>
                <w:sz w:val="20"/>
                <w:szCs w:val="20"/>
              </w:rPr>
              <w:t xml:space="preserve">~ </w:t>
            </w:r>
            <w:r w:rsidRPr="00C044DD">
              <w:rPr>
                <w:rFonts w:cstheme="minorHAnsi"/>
                <w:sz w:val="20"/>
                <w:szCs w:val="20"/>
              </w:rPr>
              <w:t>Total kilometres of roads maintained or improved is 760kms. 142 kilometres of roads maintained or improved are attributed to Australia’s financial contribution.</w:t>
            </w:r>
          </w:p>
          <w:p w14:paraId="20D74017" w14:textId="0957FF53" w:rsidR="00333BD2" w:rsidRPr="00C044DD" w:rsidRDefault="00333BD2" w:rsidP="00333BD2">
            <w:pPr>
              <w:pStyle w:val="BodyText"/>
              <w:spacing w:before="40" w:after="40" w:line="240" w:lineRule="auto"/>
              <w:rPr>
                <w:rFonts w:cstheme="minorHAnsi"/>
                <w:sz w:val="20"/>
                <w:szCs w:val="20"/>
                <w:highlight w:val="green"/>
              </w:rPr>
            </w:pPr>
            <w:r>
              <w:rPr>
                <w:rFonts w:cstheme="minorHAnsi"/>
                <w:color w:val="44546A"/>
                <w:sz w:val="20"/>
                <w:szCs w:val="20"/>
              </w:rPr>
              <w:t xml:space="preserve">~ </w:t>
            </w:r>
            <w:r w:rsidRPr="00C044DD">
              <w:rPr>
                <w:rFonts w:cstheme="minorHAnsi"/>
                <w:color w:val="44546A"/>
                <w:sz w:val="20"/>
                <w:szCs w:val="20"/>
              </w:rPr>
              <w:t>The CEWG did not agree any actions to progress during the reporting period. As such, Australia was unable to achieve this target</w:t>
            </w:r>
            <w:r>
              <w:rPr>
                <w:rFonts w:cstheme="minorHAnsi"/>
                <w:color w:val="44546A"/>
                <w:sz w:val="20"/>
                <w:szCs w:val="20"/>
              </w:rPr>
              <w:t>.</w:t>
            </w:r>
          </w:p>
        </w:tc>
      </w:tr>
      <w:tr w:rsidR="003E0825" w:rsidRPr="00C044DD" w14:paraId="511ED627" w14:textId="77777777" w:rsidTr="00C62AF3">
        <w:trPr>
          <w:tblHeader/>
        </w:trPr>
        <w:tc>
          <w:tcPr>
            <w:tcW w:w="943" w:type="pct"/>
          </w:tcPr>
          <w:p w14:paraId="339907F1" w14:textId="77777777" w:rsidR="00333BD2" w:rsidRDefault="00333BD2" w:rsidP="00652F18">
            <w:pPr>
              <w:pStyle w:val="BodyText"/>
              <w:spacing w:before="40" w:after="40" w:line="240" w:lineRule="auto"/>
              <w:rPr>
                <w:rFonts w:eastAsiaTheme="majorEastAsia" w:cstheme="minorHAnsi"/>
                <w:sz w:val="20"/>
                <w:szCs w:val="20"/>
              </w:rPr>
            </w:pPr>
            <w:r>
              <w:rPr>
                <w:rFonts w:eastAsiaTheme="majorEastAsia" w:cstheme="minorHAnsi"/>
                <w:sz w:val="20"/>
                <w:szCs w:val="20"/>
              </w:rPr>
              <w:t>Objective 3.</w:t>
            </w:r>
          </w:p>
          <w:p w14:paraId="61E19232" w14:textId="7BACE9FA" w:rsidR="003E0825" w:rsidRPr="00C044DD" w:rsidRDefault="003E0825" w:rsidP="00652F18">
            <w:pPr>
              <w:pStyle w:val="BodyText"/>
              <w:spacing w:before="40" w:after="40" w:line="240" w:lineRule="auto"/>
              <w:rPr>
                <w:rFonts w:eastAsiaTheme="majorEastAsia" w:cstheme="minorHAnsi"/>
                <w:sz w:val="20"/>
                <w:szCs w:val="20"/>
              </w:rPr>
            </w:pPr>
            <w:r w:rsidRPr="00C044DD">
              <w:rPr>
                <w:rFonts w:eastAsiaTheme="majorEastAsia" w:cstheme="minorHAnsi"/>
                <w:sz w:val="20"/>
                <w:szCs w:val="20"/>
              </w:rPr>
              <w:t>Enhancing human development</w:t>
            </w:r>
          </w:p>
          <w:p w14:paraId="25B26B12" w14:textId="77777777" w:rsidR="003E0825" w:rsidRPr="00C044DD" w:rsidRDefault="003E0825" w:rsidP="00652F18">
            <w:pPr>
              <w:pStyle w:val="BodyText"/>
              <w:spacing w:before="40" w:after="40" w:line="240" w:lineRule="auto"/>
              <w:rPr>
                <w:rFonts w:eastAsiaTheme="majorEastAsia" w:cstheme="minorHAnsi"/>
                <w:sz w:val="20"/>
                <w:szCs w:val="20"/>
              </w:rPr>
            </w:pPr>
            <w:r w:rsidRPr="00C044DD">
              <w:rPr>
                <w:rFonts w:eastAsiaTheme="majorEastAsia" w:cstheme="minorHAnsi"/>
                <w:sz w:val="20"/>
                <w:szCs w:val="20"/>
              </w:rPr>
              <w:t>Improved Human Development – more men, women, girls and boys benefit from quality health and basic and vocational education</w:t>
            </w:r>
          </w:p>
        </w:tc>
        <w:tc>
          <w:tcPr>
            <w:tcW w:w="1883" w:type="pct"/>
          </w:tcPr>
          <w:p w14:paraId="26376D57" w14:textId="77777777" w:rsidR="003E0825" w:rsidRDefault="003E0825" w:rsidP="00652F18">
            <w:pPr>
              <w:pStyle w:val="BodyText"/>
              <w:spacing w:before="40" w:after="40" w:line="240" w:lineRule="auto"/>
              <w:rPr>
                <w:rFonts w:eastAsiaTheme="majorEastAsia" w:cstheme="minorHAnsi"/>
                <w:sz w:val="20"/>
                <w:szCs w:val="20"/>
              </w:rPr>
            </w:pPr>
            <w:r w:rsidRPr="00333BD2">
              <w:rPr>
                <w:rFonts w:asciiTheme="majorHAnsi" w:eastAsiaTheme="majorEastAsia" w:hAnsiTheme="majorHAnsi" w:cstheme="majorHAnsi"/>
                <w:sz w:val="20"/>
                <w:szCs w:val="20"/>
              </w:rPr>
              <w:t>3.1</w:t>
            </w:r>
            <w:r w:rsidRPr="00C044DD">
              <w:rPr>
                <w:rFonts w:eastAsiaTheme="majorEastAsia" w:cstheme="minorHAnsi"/>
                <w:sz w:val="20"/>
                <w:szCs w:val="20"/>
              </w:rPr>
              <w:t xml:space="preserve"> Improved functioning of health system – Target 94 per cent</w:t>
            </w:r>
            <w:r w:rsidR="00333BD2">
              <w:rPr>
                <w:rFonts w:eastAsiaTheme="majorEastAsia" w:cstheme="minorHAnsi"/>
                <w:sz w:val="20"/>
                <w:szCs w:val="20"/>
              </w:rPr>
              <w:t>.</w:t>
            </w:r>
          </w:p>
          <w:p w14:paraId="551405B9" w14:textId="77777777" w:rsidR="00333BD2" w:rsidRDefault="00333BD2" w:rsidP="00333BD2">
            <w:pPr>
              <w:pStyle w:val="BodyText"/>
              <w:spacing w:before="40" w:after="40" w:line="240" w:lineRule="auto"/>
              <w:rPr>
                <w:rFonts w:eastAsiaTheme="majorEastAsia" w:cstheme="minorHAnsi"/>
                <w:sz w:val="20"/>
                <w:szCs w:val="20"/>
              </w:rPr>
            </w:pPr>
            <w:r w:rsidRPr="00333BD2">
              <w:rPr>
                <w:rFonts w:asciiTheme="majorHAnsi" w:eastAsiaTheme="majorEastAsia" w:hAnsiTheme="majorHAnsi" w:cstheme="majorHAnsi"/>
                <w:sz w:val="20"/>
                <w:szCs w:val="20"/>
              </w:rPr>
              <w:t>3.2</w:t>
            </w:r>
            <w:r w:rsidRPr="00C044DD">
              <w:rPr>
                <w:rFonts w:eastAsiaTheme="majorEastAsia" w:cstheme="minorHAnsi"/>
                <w:sz w:val="20"/>
                <w:szCs w:val="20"/>
              </w:rPr>
              <w:t xml:space="preserve"> Number of family planning/contraceptive contacts at all health facilities per year (per 1,000 of population) – Target 447</w:t>
            </w:r>
            <w:r>
              <w:rPr>
                <w:rFonts w:eastAsiaTheme="majorEastAsia" w:cstheme="minorHAnsi"/>
                <w:sz w:val="20"/>
                <w:szCs w:val="20"/>
              </w:rPr>
              <w:t>.</w:t>
            </w:r>
          </w:p>
          <w:p w14:paraId="68150E02" w14:textId="77777777" w:rsidR="00333BD2" w:rsidRDefault="00333BD2" w:rsidP="00333BD2">
            <w:pPr>
              <w:pStyle w:val="BodyText"/>
              <w:spacing w:before="40" w:after="40" w:line="240" w:lineRule="auto"/>
              <w:rPr>
                <w:rFonts w:cstheme="minorHAnsi"/>
                <w:sz w:val="20"/>
                <w:szCs w:val="20"/>
              </w:rPr>
            </w:pPr>
            <w:r w:rsidRPr="00333BD2">
              <w:rPr>
                <w:rFonts w:asciiTheme="majorHAnsi" w:eastAsiaTheme="majorEastAsia" w:hAnsiTheme="majorHAnsi" w:cstheme="majorHAnsi"/>
                <w:sz w:val="20"/>
                <w:szCs w:val="20"/>
              </w:rPr>
              <w:t>3.3</w:t>
            </w:r>
            <w:r w:rsidRPr="00C044DD">
              <w:rPr>
                <w:rFonts w:eastAsiaTheme="majorEastAsia" w:cstheme="minorHAnsi"/>
                <w:sz w:val="20"/>
                <w:szCs w:val="20"/>
              </w:rPr>
              <w:t xml:space="preserve"> </w:t>
            </w:r>
            <w:r w:rsidRPr="00C044DD">
              <w:rPr>
                <w:rFonts w:cstheme="minorHAnsi"/>
                <w:sz w:val="20"/>
                <w:szCs w:val="20"/>
              </w:rPr>
              <w:t>Number of new users of modern contraceptive</w:t>
            </w:r>
            <w:r>
              <w:rPr>
                <w:rFonts w:cstheme="minorHAnsi"/>
                <w:sz w:val="20"/>
                <w:szCs w:val="20"/>
              </w:rPr>
              <w:t>.</w:t>
            </w:r>
          </w:p>
          <w:p w14:paraId="1BB13D5B" w14:textId="77777777" w:rsidR="00333BD2" w:rsidRDefault="00333BD2" w:rsidP="00333BD2">
            <w:pPr>
              <w:pStyle w:val="BodyText"/>
              <w:spacing w:before="40" w:after="40" w:line="240" w:lineRule="auto"/>
              <w:rPr>
                <w:rFonts w:eastAsiaTheme="majorEastAsia" w:cstheme="minorHAnsi"/>
                <w:sz w:val="20"/>
                <w:szCs w:val="20"/>
              </w:rPr>
            </w:pPr>
            <w:r w:rsidRPr="00333BD2">
              <w:rPr>
                <w:rFonts w:asciiTheme="majorHAnsi" w:eastAsiaTheme="majorEastAsia" w:hAnsiTheme="majorHAnsi" w:cstheme="majorHAnsi"/>
                <w:sz w:val="20"/>
                <w:szCs w:val="20"/>
              </w:rPr>
              <w:t>3.4</w:t>
            </w:r>
            <w:r w:rsidRPr="00C044DD">
              <w:rPr>
                <w:rFonts w:eastAsiaTheme="majorEastAsia" w:cstheme="minorHAnsi"/>
                <w:sz w:val="20"/>
                <w:szCs w:val="20"/>
              </w:rPr>
              <w:t xml:space="preserve"> Percentage of national budget directed to Health – Target 12.5 per cent</w:t>
            </w:r>
            <w:r>
              <w:rPr>
                <w:rFonts w:eastAsiaTheme="majorEastAsia" w:cstheme="minorHAnsi"/>
                <w:sz w:val="20"/>
                <w:szCs w:val="20"/>
              </w:rPr>
              <w:t>.</w:t>
            </w:r>
          </w:p>
          <w:p w14:paraId="26BA7047" w14:textId="350A4DFE" w:rsidR="00333BD2" w:rsidRDefault="00333BD2" w:rsidP="00333BD2">
            <w:pPr>
              <w:pStyle w:val="BodyText"/>
              <w:spacing w:before="40" w:after="40" w:line="240" w:lineRule="auto"/>
              <w:rPr>
                <w:rFonts w:eastAsiaTheme="majorEastAsia" w:cstheme="minorHAnsi"/>
                <w:sz w:val="20"/>
                <w:szCs w:val="20"/>
              </w:rPr>
            </w:pPr>
            <w:r w:rsidRPr="00333BD2">
              <w:rPr>
                <w:rFonts w:asciiTheme="majorHAnsi" w:eastAsiaTheme="majorEastAsia" w:hAnsiTheme="majorHAnsi" w:cstheme="majorHAnsi"/>
                <w:sz w:val="20"/>
                <w:szCs w:val="20"/>
              </w:rPr>
              <w:t>3.5</w:t>
            </w:r>
            <w:r w:rsidRPr="00C044DD">
              <w:rPr>
                <w:rFonts w:eastAsiaTheme="majorEastAsia" w:cstheme="minorHAnsi"/>
                <w:sz w:val="20"/>
                <w:szCs w:val="20"/>
              </w:rPr>
              <w:t xml:space="preserve"> Primary literacy and numeracy rates increase – Target Progress towards 80 per cent.</w:t>
            </w:r>
          </w:p>
          <w:p w14:paraId="675ED639" w14:textId="0493D050" w:rsidR="00333BD2" w:rsidRDefault="00333BD2" w:rsidP="00333BD2">
            <w:pPr>
              <w:pStyle w:val="BodyText"/>
              <w:spacing w:before="40" w:after="40" w:line="240" w:lineRule="auto"/>
              <w:rPr>
                <w:rFonts w:eastAsiaTheme="majorEastAsia" w:cstheme="minorHAnsi"/>
                <w:sz w:val="20"/>
                <w:szCs w:val="20"/>
              </w:rPr>
            </w:pPr>
            <w:r w:rsidRPr="00333BD2">
              <w:rPr>
                <w:rFonts w:asciiTheme="majorHAnsi" w:eastAsiaTheme="majorEastAsia" w:hAnsiTheme="majorHAnsi" w:cstheme="majorHAnsi"/>
                <w:sz w:val="20"/>
                <w:szCs w:val="20"/>
              </w:rPr>
              <w:t>3.6</w:t>
            </w:r>
            <w:r w:rsidRPr="00C044DD">
              <w:rPr>
                <w:rFonts w:eastAsiaTheme="majorEastAsia" w:cstheme="minorHAnsi"/>
                <w:sz w:val="20"/>
                <w:szCs w:val="20"/>
              </w:rPr>
              <w:t xml:space="preserve"> Percentage of teachers trained increases – Target Progress towards 85 per cent in 2020</w:t>
            </w:r>
            <w:r>
              <w:rPr>
                <w:rFonts w:eastAsiaTheme="majorEastAsia" w:cstheme="minorHAnsi"/>
                <w:sz w:val="20"/>
                <w:szCs w:val="20"/>
              </w:rPr>
              <w:t>.</w:t>
            </w:r>
          </w:p>
          <w:p w14:paraId="48C26263" w14:textId="6A8C5F78" w:rsidR="00333BD2" w:rsidRPr="00C044DD" w:rsidRDefault="00333BD2" w:rsidP="00652F18">
            <w:pPr>
              <w:pStyle w:val="BodyText"/>
              <w:spacing w:before="40" w:after="40" w:line="240" w:lineRule="auto"/>
              <w:rPr>
                <w:rFonts w:eastAsiaTheme="majorEastAsia" w:cstheme="minorHAnsi"/>
                <w:sz w:val="20"/>
                <w:szCs w:val="20"/>
              </w:rPr>
            </w:pPr>
          </w:p>
        </w:tc>
        <w:tc>
          <w:tcPr>
            <w:tcW w:w="2174" w:type="pct"/>
          </w:tcPr>
          <w:p w14:paraId="4D58EA8F" w14:textId="5955B8BD" w:rsidR="003E0825" w:rsidRDefault="00333BD2" w:rsidP="00983B27">
            <w:pPr>
              <w:spacing w:before="40"/>
              <w:rPr>
                <w:rFonts w:cstheme="minorHAnsi"/>
                <w:sz w:val="20"/>
                <w:szCs w:val="20"/>
              </w:rPr>
            </w:pPr>
            <w:r>
              <w:rPr>
                <w:rFonts w:cstheme="minorHAnsi"/>
                <w:sz w:val="20"/>
                <w:szCs w:val="20"/>
              </w:rPr>
              <w:t xml:space="preserve">~ </w:t>
            </w:r>
            <w:r w:rsidR="00E84004" w:rsidRPr="00C044DD">
              <w:rPr>
                <w:rFonts w:cstheme="minorHAnsi"/>
                <w:sz w:val="20"/>
                <w:szCs w:val="20"/>
              </w:rPr>
              <w:t>Availability of critical and essential medicines at provincial medical stores was 84%.  While the target for 2019 was not met, it shows a significant improvement from 2018 (55%), when a national drug shortage occurred. 2019 performance demonstrates a rapid recovery to average provincial stock levels in prior years.</w:t>
            </w:r>
          </w:p>
          <w:p w14:paraId="43BF15F0" w14:textId="77777777" w:rsidR="00333BD2" w:rsidRDefault="00333BD2" w:rsidP="00333BD2">
            <w:pPr>
              <w:pStyle w:val="BodyText"/>
              <w:spacing w:before="40" w:after="40" w:line="240" w:lineRule="auto"/>
              <w:rPr>
                <w:rFonts w:cstheme="minorHAnsi"/>
                <w:sz w:val="20"/>
                <w:szCs w:val="20"/>
              </w:rPr>
            </w:pPr>
            <w:r>
              <w:rPr>
                <w:rFonts w:cstheme="minorHAnsi"/>
                <w:sz w:val="20"/>
                <w:szCs w:val="20"/>
              </w:rPr>
              <w:t xml:space="preserve">~ </w:t>
            </w:r>
            <w:r w:rsidRPr="00C044DD">
              <w:rPr>
                <w:rFonts w:cstheme="minorHAnsi"/>
                <w:sz w:val="20"/>
                <w:szCs w:val="20"/>
              </w:rPr>
              <w:t>Data is no longer being collected for this indicator. It has been replaced by 3.3 below.</w:t>
            </w:r>
          </w:p>
          <w:p w14:paraId="2E31FA0F" w14:textId="77777777" w:rsidR="00333BD2" w:rsidRDefault="00333BD2" w:rsidP="00333BD2">
            <w:pPr>
              <w:pStyle w:val="BodyText"/>
              <w:spacing w:before="40" w:after="40" w:line="240" w:lineRule="auto"/>
              <w:rPr>
                <w:rFonts w:cstheme="minorHAnsi"/>
                <w:sz w:val="20"/>
                <w:szCs w:val="20"/>
              </w:rPr>
            </w:pPr>
            <w:r>
              <w:rPr>
                <w:rFonts w:cstheme="minorHAnsi"/>
                <w:sz w:val="20"/>
                <w:szCs w:val="20"/>
              </w:rPr>
              <w:t xml:space="preserve">~ </w:t>
            </w:r>
            <w:r w:rsidRPr="00C044DD">
              <w:rPr>
                <w:rFonts w:cstheme="minorHAnsi"/>
                <w:sz w:val="20"/>
                <w:szCs w:val="20"/>
              </w:rPr>
              <w:t>A total of 13,994 new users of modern contraceptives were reported, a 17% increase on 2018 – 19.</w:t>
            </w:r>
          </w:p>
          <w:p w14:paraId="21111625" w14:textId="77777777" w:rsidR="00333BD2" w:rsidRDefault="00333BD2" w:rsidP="00333BD2">
            <w:pPr>
              <w:pStyle w:val="BodyText"/>
              <w:spacing w:before="40" w:after="40" w:line="240" w:lineRule="auto"/>
              <w:rPr>
                <w:rFonts w:cstheme="minorHAnsi"/>
                <w:sz w:val="20"/>
                <w:szCs w:val="20"/>
              </w:rPr>
            </w:pPr>
            <w:r>
              <w:rPr>
                <w:rFonts w:cstheme="minorHAnsi"/>
                <w:sz w:val="20"/>
                <w:szCs w:val="20"/>
              </w:rPr>
              <w:t xml:space="preserve">~ </w:t>
            </w:r>
            <w:r w:rsidRPr="00C044DD">
              <w:rPr>
                <w:rFonts w:cstheme="minorHAnsi"/>
                <w:sz w:val="20"/>
                <w:szCs w:val="20"/>
              </w:rPr>
              <w:t>13.22% of the national budget was directed to health.</w:t>
            </w:r>
          </w:p>
          <w:p w14:paraId="489D18F4" w14:textId="25A6986E" w:rsidR="00333BD2" w:rsidRDefault="00333BD2" w:rsidP="00983B27">
            <w:pPr>
              <w:spacing w:before="40"/>
              <w:rPr>
                <w:rFonts w:cstheme="minorHAnsi"/>
                <w:sz w:val="20"/>
                <w:szCs w:val="20"/>
              </w:rPr>
            </w:pPr>
            <w:r>
              <w:rPr>
                <w:rFonts w:eastAsiaTheme="majorEastAsia" w:cstheme="minorHAnsi"/>
                <w:sz w:val="20"/>
                <w:szCs w:val="20"/>
              </w:rPr>
              <w:t xml:space="preserve">~ </w:t>
            </w:r>
            <w:r w:rsidRPr="00C044DD">
              <w:rPr>
                <w:rFonts w:eastAsiaTheme="majorEastAsia" w:cstheme="minorHAnsi"/>
                <w:sz w:val="20"/>
                <w:szCs w:val="20"/>
              </w:rPr>
              <w:t>The 2019 Solomon Islands Standardised Test of Achievement was held in late 2019, however due to COVID-19 the report has not yet been finalised.</w:t>
            </w:r>
          </w:p>
          <w:p w14:paraId="6445496D" w14:textId="0E0A7A3B" w:rsidR="00333BD2" w:rsidRPr="00C044DD" w:rsidRDefault="00333BD2" w:rsidP="00983B27">
            <w:pPr>
              <w:spacing w:before="40"/>
              <w:rPr>
                <w:rFonts w:eastAsiaTheme="majorEastAsia" w:cstheme="minorHAnsi"/>
                <w:sz w:val="20"/>
                <w:szCs w:val="20"/>
              </w:rPr>
            </w:pPr>
            <w:r>
              <w:rPr>
                <w:rFonts w:eastAsiaTheme="majorEastAsia" w:cstheme="minorHAnsi"/>
                <w:sz w:val="20"/>
                <w:szCs w:val="20"/>
              </w:rPr>
              <w:t xml:space="preserve">~ </w:t>
            </w:r>
            <w:r w:rsidRPr="00C044DD">
              <w:rPr>
                <w:rFonts w:eastAsiaTheme="majorEastAsia" w:cstheme="minorHAnsi"/>
                <w:sz w:val="20"/>
                <w:szCs w:val="20"/>
              </w:rPr>
              <w:t>81.2 per cent of primary teachers were certified in 2019, up from 74.2 per cent in 2018, 72.2 per cent in 2017 and 65.6 per cent in 2016.</w:t>
            </w:r>
          </w:p>
        </w:tc>
      </w:tr>
    </w:tbl>
    <w:p w14:paraId="60F3B4D3" w14:textId="77777777" w:rsidR="00276A54" w:rsidRDefault="00276A54" w:rsidP="00276A54"/>
    <w:p w14:paraId="5B067381" w14:textId="17C2C47D" w:rsidR="00BF270A" w:rsidRDefault="00BF270A" w:rsidP="00390828">
      <w:pPr>
        <w:pStyle w:val="Heading2Numbered"/>
        <w:numPr>
          <w:ilvl w:val="0"/>
          <w:numId w:val="0"/>
        </w:numPr>
        <w:spacing w:before="240" w:after="240"/>
        <w:rPr>
          <w:sz w:val="28"/>
          <w:szCs w:val="28"/>
        </w:rPr>
      </w:pPr>
    </w:p>
    <w:p w14:paraId="6FA36DC8" w14:textId="1233746F" w:rsidR="00390828" w:rsidRPr="00B927C4" w:rsidRDefault="00390828" w:rsidP="00390828">
      <w:pPr>
        <w:pStyle w:val="Heading2Numbered"/>
        <w:numPr>
          <w:ilvl w:val="0"/>
          <w:numId w:val="0"/>
        </w:numPr>
        <w:spacing w:before="240" w:after="240"/>
        <w:rPr>
          <w:sz w:val="28"/>
          <w:szCs w:val="28"/>
        </w:rPr>
      </w:pPr>
      <w:r w:rsidRPr="00B927C4">
        <w:rPr>
          <w:sz w:val="28"/>
          <w:szCs w:val="28"/>
        </w:rPr>
        <w:t>ANNEX A: Program Quality</w:t>
      </w:r>
    </w:p>
    <w:p w14:paraId="6BB787D1" w14:textId="399EE964" w:rsidR="00390828" w:rsidRDefault="00B927C4" w:rsidP="00390828">
      <w:pPr>
        <w:pStyle w:val="Heading3"/>
      </w:pPr>
      <w:r w:rsidRPr="00596742">
        <w:t>Investment Monitoring Report</w:t>
      </w:r>
      <w:r w:rsidR="00390828" w:rsidRPr="00596742">
        <w:t xml:space="preserve"> ratings</w:t>
      </w:r>
    </w:p>
    <w:tbl>
      <w:tblPr>
        <w:tblStyle w:val="APPR1"/>
        <w:tblW w:w="4340" w:type="pct"/>
        <w:tblBorders>
          <w:top w:val="single" w:sz="12" w:space="0" w:color="auto"/>
          <w:bottom w:val="single" w:sz="12" w:space="0" w:color="auto"/>
        </w:tblBorders>
        <w:tblLook w:val="0020" w:firstRow="1" w:lastRow="0" w:firstColumn="0" w:lastColumn="0" w:noHBand="0" w:noVBand="0"/>
      </w:tblPr>
      <w:tblGrid>
        <w:gridCol w:w="3965"/>
        <w:gridCol w:w="1104"/>
        <w:gridCol w:w="1450"/>
        <w:gridCol w:w="611"/>
        <w:gridCol w:w="611"/>
        <w:gridCol w:w="625"/>
      </w:tblGrid>
      <w:tr w:rsidR="005D51FA" w:rsidRPr="00812509" w14:paraId="2A7130E8" w14:textId="77777777" w:rsidTr="00386619">
        <w:trPr>
          <w:cnfStyle w:val="100000000000" w:firstRow="1" w:lastRow="0" w:firstColumn="0" w:lastColumn="0" w:oddVBand="0" w:evenVBand="0" w:oddHBand="0" w:evenHBand="0" w:firstRowFirstColumn="0" w:firstRowLastColumn="0" w:lastRowFirstColumn="0" w:lastRowLastColumn="0"/>
          <w:trHeight w:val="1080"/>
        </w:trPr>
        <w:tc>
          <w:tcPr>
            <w:tcW w:w="2345" w:type="pct"/>
            <w:tcBorders>
              <w:top w:val="none" w:sz="0" w:space="0" w:color="auto"/>
              <w:bottom w:val="none" w:sz="0" w:space="0" w:color="auto"/>
            </w:tcBorders>
          </w:tcPr>
          <w:p w14:paraId="7AE25389" w14:textId="32A379D9" w:rsidR="005D51FA" w:rsidRPr="00812509" w:rsidRDefault="005D51FA" w:rsidP="002B0289">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6672" behindDoc="0" locked="0" layoutInCell="1" allowOverlap="1" wp14:anchorId="2AD34B51" wp14:editId="44A21FD5">
                  <wp:simplePos x="0" y="0"/>
                  <wp:positionH relativeFrom="column">
                    <wp:posOffset>0</wp:posOffset>
                  </wp:positionH>
                  <wp:positionV relativeFrom="paragraph">
                    <wp:posOffset>0</wp:posOffset>
                  </wp:positionV>
                  <wp:extent cx="1857375" cy="228600"/>
                  <wp:effectExtent l="0" t="0" r="9525" b="0"/>
                  <wp:wrapNone/>
                  <wp:docPr id="5" name="Picture 5"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iCs/>
                <w:szCs w:val="17"/>
                <w:lang w:eastAsia="en-US"/>
              </w:rPr>
              <w:t>Investment name</w:t>
            </w:r>
          </w:p>
        </w:tc>
        <w:tc>
          <w:tcPr>
            <w:tcW w:w="643" w:type="pct"/>
            <w:tcBorders>
              <w:top w:val="none" w:sz="0" w:space="0" w:color="auto"/>
              <w:bottom w:val="none" w:sz="0" w:space="0" w:color="auto"/>
            </w:tcBorders>
          </w:tcPr>
          <w:p w14:paraId="57AB9D4A" w14:textId="77777777" w:rsidR="005D51FA" w:rsidRPr="00812509" w:rsidRDefault="005D51FA" w:rsidP="002B0289">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850" w:type="pct"/>
            <w:tcBorders>
              <w:top w:val="none" w:sz="0" w:space="0" w:color="auto"/>
              <w:bottom w:val="none" w:sz="0" w:space="0" w:color="auto"/>
            </w:tcBorders>
          </w:tcPr>
          <w:p w14:paraId="6DBDF6B9" w14:textId="77777777" w:rsidR="005D51FA" w:rsidRPr="00812509" w:rsidRDefault="005D51FA" w:rsidP="002B0289">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48" w:type="pct"/>
            <w:tcBorders>
              <w:top w:val="none" w:sz="0" w:space="0" w:color="auto"/>
              <w:bottom w:val="none" w:sz="0" w:space="0" w:color="auto"/>
            </w:tcBorders>
            <w:textDirection w:val="btLr"/>
          </w:tcPr>
          <w:p w14:paraId="2BAF050E" w14:textId="77777777" w:rsidR="005D51FA" w:rsidRPr="00CB7A28" w:rsidRDefault="005D51FA" w:rsidP="002B0289">
            <w:pPr>
              <w:keepLines/>
              <w:spacing w:before="80" w:after="80" w:line="200" w:lineRule="atLeast"/>
              <w:rPr>
                <w:rFonts w:eastAsia="Times New Roman"/>
                <w:b w:val="0"/>
                <w:iCs/>
                <w:sz w:val="16"/>
                <w:szCs w:val="16"/>
              </w:rPr>
            </w:pPr>
            <w:r w:rsidRPr="00CB7A28">
              <w:rPr>
                <w:rFonts w:asciiTheme="minorHAnsi" w:eastAsia="Times New Roman" w:hAnsiTheme="minorHAnsi"/>
                <w:iCs/>
                <w:sz w:val="16"/>
                <w:szCs w:val="16"/>
                <w:lang w:eastAsia="en-US"/>
              </w:rPr>
              <w:t>Effectiveness</w:t>
            </w:r>
          </w:p>
        </w:tc>
        <w:tc>
          <w:tcPr>
            <w:tcW w:w="348" w:type="pct"/>
            <w:tcBorders>
              <w:top w:val="none" w:sz="0" w:space="0" w:color="auto"/>
              <w:bottom w:val="none" w:sz="0" w:space="0" w:color="auto"/>
            </w:tcBorders>
            <w:textDirection w:val="btLr"/>
          </w:tcPr>
          <w:p w14:paraId="7461A8A6" w14:textId="77777777" w:rsidR="005D51FA" w:rsidRPr="00CB7A28" w:rsidRDefault="005D51FA" w:rsidP="002B0289">
            <w:pPr>
              <w:keepLines/>
              <w:spacing w:before="80" w:after="80" w:line="200" w:lineRule="atLeast"/>
              <w:rPr>
                <w:rFonts w:eastAsia="Times New Roman"/>
                <w:b w:val="0"/>
                <w:iCs/>
                <w:sz w:val="16"/>
                <w:szCs w:val="16"/>
              </w:rPr>
            </w:pPr>
            <w:r w:rsidRPr="00CB7A28">
              <w:rPr>
                <w:rFonts w:asciiTheme="minorHAnsi" w:eastAsia="Times New Roman" w:hAnsiTheme="minorHAnsi"/>
                <w:iCs/>
                <w:sz w:val="16"/>
                <w:szCs w:val="16"/>
                <w:lang w:eastAsia="en-US"/>
              </w:rPr>
              <w:t>Efficiency</w:t>
            </w:r>
          </w:p>
        </w:tc>
        <w:tc>
          <w:tcPr>
            <w:tcW w:w="348" w:type="pct"/>
            <w:tcBorders>
              <w:top w:val="none" w:sz="0" w:space="0" w:color="auto"/>
              <w:bottom w:val="none" w:sz="0" w:space="0" w:color="auto"/>
            </w:tcBorders>
            <w:textDirection w:val="btLr"/>
          </w:tcPr>
          <w:p w14:paraId="618FDBD8" w14:textId="77777777" w:rsidR="005D51FA" w:rsidRPr="00CB7A28" w:rsidRDefault="005D51FA" w:rsidP="002B0289">
            <w:pPr>
              <w:keepLines/>
              <w:spacing w:before="80" w:after="80" w:line="200" w:lineRule="atLeast"/>
              <w:rPr>
                <w:rFonts w:eastAsia="Times New Roman"/>
                <w:b w:val="0"/>
                <w:iCs/>
                <w:sz w:val="16"/>
                <w:szCs w:val="16"/>
              </w:rPr>
            </w:pPr>
            <w:r w:rsidRPr="00CB7A28">
              <w:rPr>
                <w:rFonts w:asciiTheme="minorHAnsi" w:eastAsia="Times New Roman" w:hAnsiTheme="minorHAnsi"/>
                <w:iCs/>
                <w:sz w:val="16"/>
                <w:szCs w:val="16"/>
                <w:lang w:eastAsia="en-US"/>
              </w:rPr>
              <w:t>Gender equality</w:t>
            </w:r>
          </w:p>
        </w:tc>
      </w:tr>
      <w:tr w:rsidR="00386619" w:rsidRPr="00812509" w14:paraId="69F2212D"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top w:val="single" w:sz="2" w:space="0" w:color="65C5B4" w:themeColor="accent1"/>
            </w:tcBorders>
          </w:tcPr>
          <w:p w14:paraId="536E08A6" w14:textId="77777777" w:rsidR="00386619" w:rsidRPr="00990E00" w:rsidRDefault="00386619" w:rsidP="002B0289">
            <w:pPr>
              <w:keepLines/>
              <w:spacing w:before="40" w:after="40" w:line="200" w:lineRule="atLeast"/>
              <w:rPr>
                <w:rFonts w:asciiTheme="minorHAnsi" w:eastAsia="Times New Roman" w:hAnsiTheme="minorHAnsi" w:cstheme="minorHAnsi"/>
                <w:iCs/>
                <w:szCs w:val="17"/>
                <w:lang w:eastAsia="en-US"/>
              </w:rPr>
            </w:pPr>
            <w:r w:rsidRPr="00990E00">
              <w:rPr>
                <w:rFonts w:asciiTheme="minorHAnsi" w:eastAsia="Times New Roman" w:hAnsiTheme="minorHAnsi" w:cstheme="minorHAnsi"/>
                <w:iCs/>
                <w:szCs w:val="17"/>
                <w:lang w:eastAsia="en-US"/>
              </w:rPr>
              <w:t>Rural Development Program</w:t>
            </w:r>
          </w:p>
        </w:tc>
        <w:tc>
          <w:tcPr>
            <w:tcW w:w="643" w:type="pct"/>
            <w:tcBorders>
              <w:top w:val="single" w:sz="2" w:space="0" w:color="65C5B4" w:themeColor="accent1"/>
            </w:tcBorders>
          </w:tcPr>
          <w:p w14:paraId="3F4EB660" w14:textId="77777777" w:rsidR="00386619" w:rsidRPr="00CB7A28" w:rsidRDefault="00386619"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$32,157,341</w:t>
            </w:r>
          </w:p>
        </w:tc>
        <w:tc>
          <w:tcPr>
            <w:tcW w:w="850" w:type="pct"/>
            <w:tcBorders>
              <w:top w:val="single" w:sz="2" w:space="0" w:color="65C5B4" w:themeColor="accent1"/>
            </w:tcBorders>
            <w:shd w:val="clear" w:color="auto" w:fill="auto"/>
          </w:tcPr>
          <w:p w14:paraId="49B75432" w14:textId="77777777" w:rsidR="00386619" w:rsidRPr="00812509" w:rsidRDefault="00386619" w:rsidP="002B028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2020</w:t>
            </w:r>
            <w:r w:rsidRPr="00812509">
              <w:rPr>
                <w:rFonts w:asciiTheme="minorHAnsi" w:eastAsia="Times New Roman" w:hAnsiTheme="minorHAnsi"/>
                <w:iCs/>
                <w:szCs w:val="17"/>
                <w:lang w:eastAsia="en-US"/>
              </w:rPr>
              <w:t xml:space="preserve"> AQC</w:t>
            </w:r>
          </w:p>
        </w:tc>
        <w:tc>
          <w:tcPr>
            <w:tcW w:w="348" w:type="pct"/>
            <w:tcBorders>
              <w:top w:val="single" w:sz="2" w:space="0" w:color="65C5B4" w:themeColor="accent1"/>
            </w:tcBorders>
            <w:shd w:val="clear" w:color="auto" w:fill="auto"/>
          </w:tcPr>
          <w:p w14:paraId="1925DB68" w14:textId="77777777" w:rsidR="00386619" w:rsidRPr="00990E00" w:rsidRDefault="00386619"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top w:val="single" w:sz="2" w:space="0" w:color="65C5B4" w:themeColor="accent1"/>
            </w:tcBorders>
            <w:shd w:val="clear" w:color="auto" w:fill="auto"/>
          </w:tcPr>
          <w:p w14:paraId="5C5EE511" w14:textId="77777777" w:rsidR="00386619" w:rsidRPr="00990E00" w:rsidRDefault="00386619"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top w:val="single" w:sz="2" w:space="0" w:color="65C5B4" w:themeColor="accent1"/>
            </w:tcBorders>
            <w:shd w:val="clear" w:color="auto" w:fill="auto"/>
          </w:tcPr>
          <w:p w14:paraId="3F86B789" w14:textId="77777777" w:rsidR="00386619" w:rsidRPr="00990E00" w:rsidRDefault="00386619"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r>
      <w:tr w:rsidR="00386619" w:rsidRPr="00812509" w14:paraId="1A60CBDD"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bottom w:val="single" w:sz="2" w:space="0" w:color="65C5B4" w:themeColor="accent1"/>
            </w:tcBorders>
          </w:tcPr>
          <w:p w14:paraId="08EFAA8C" w14:textId="77777777" w:rsidR="00386619" w:rsidRPr="00990E00" w:rsidRDefault="00386619" w:rsidP="002B0289">
            <w:pPr>
              <w:keepLines/>
              <w:spacing w:before="40" w:after="40" w:line="200" w:lineRule="atLeast"/>
              <w:rPr>
                <w:rFonts w:asciiTheme="minorHAnsi" w:eastAsia="Times New Roman" w:hAnsiTheme="minorHAnsi" w:cstheme="minorHAnsi"/>
                <w:iCs/>
                <w:szCs w:val="17"/>
                <w:lang w:eastAsia="en-US"/>
              </w:rPr>
            </w:pPr>
          </w:p>
        </w:tc>
        <w:tc>
          <w:tcPr>
            <w:tcW w:w="643" w:type="pct"/>
            <w:tcBorders>
              <w:bottom w:val="single" w:sz="2" w:space="0" w:color="65C5B4" w:themeColor="accent1"/>
            </w:tcBorders>
          </w:tcPr>
          <w:p w14:paraId="6D6E5F40" w14:textId="77777777" w:rsidR="00386619" w:rsidRPr="00812509" w:rsidRDefault="00386619" w:rsidP="002B0289">
            <w:pPr>
              <w:keepLines/>
              <w:spacing w:before="40" w:after="40" w:line="200" w:lineRule="atLeast"/>
              <w:rPr>
                <w:rFonts w:asciiTheme="minorHAnsi" w:eastAsia="Times New Roman" w:hAnsiTheme="minorHAnsi"/>
                <w:iCs/>
                <w:szCs w:val="17"/>
                <w:lang w:eastAsia="en-US"/>
              </w:rPr>
            </w:pPr>
            <w:r w:rsidRPr="00433FBF">
              <w:rPr>
                <w:rFonts w:asciiTheme="minorHAnsi" w:eastAsia="Times New Roman" w:hAnsiTheme="minorHAnsi" w:cstheme="minorHAnsi"/>
                <w:iCs/>
                <w:szCs w:val="17"/>
              </w:rPr>
              <w:t>2007-2021</w:t>
            </w:r>
          </w:p>
        </w:tc>
        <w:tc>
          <w:tcPr>
            <w:tcW w:w="850" w:type="pct"/>
            <w:tcBorders>
              <w:top w:val="single" w:sz="2" w:space="0" w:color="65C5B4" w:themeColor="accent1"/>
              <w:bottom w:val="single" w:sz="2" w:space="0" w:color="65C5B4" w:themeColor="accent1"/>
            </w:tcBorders>
            <w:shd w:val="clear" w:color="auto" w:fill="auto"/>
          </w:tcPr>
          <w:p w14:paraId="3E490267" w14:textId="77777777" w:rsidR="00386619" w:rsidRPr="00812509" w:rsidRDefault="00386619" w:rsidP="002B0289">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48" w:type="pct"/>
            <w:tcBorders>
              <w:top w:val="single" w:sz="2" w:space="0" w:color="65C5B4" w:themeColor="accent1"/>
              <w:bottom w:val="single" w:sz="2" w:space="0" w:color="65C5B4" w:themeColor="accent1"/>
            </w:tcBorders>
            <w:shd w:val="clear" w:color="auto" w:fill="auto"/>
          </w:tcPr>
          <w:p w14:paraId="11EDEF7B" w14:textId="77777777" w:rsidR="00386619" w:rsidRPr="00990E00" w:rsidRDefault="00386619"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lang w:eastAsia="en-US"/>
              </w:rPr>
              <w:t>4</w:t>
            </w:r>
          </w:p>
        </w:tc>
        <w:tc>
          <w:tcPr>
            <w:tcW w:w="348" w:type="pct"/>
            <w:tcBorders>
              <w:top w:val="single" w:sz="2" w:space="0" w:color="65C5B4" w:themeColor="accent1"/>
              <w:bottom w:val="single" w:sz="2" w:space="0" w:color="65C5B4" w:themeColor="accent1"/>
            </w:tcBorders>
            <w:shd w:val="clear" w:color="auto" w:fill="auto"/>
          </w:tcPr>
          <w:p w14:paraId="7008EECA" w14:textId="77777777" w:rsidR="00386619" w:rsidRPr="00990E00" w:rsidRDefault="00386619"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lang w:eastAsia="en-US"/>
              </w:rPr>
              <w:t>4</w:t>
            </w:r>
          </w:p>
        </w:tc>
        <w:tc>
          <w:tcPr>
            <w:tcW w:w="348" w:type="pct"/>
            <w:tcBorders>
              <w:top w:val="single" w:sz="2" w:space="0" w:color="65C5B4" w:themeColor="accent1"/>
              <w:bottom w:val="single" w:sz="2" w:space="0" w:color="65C5B4" w:themeColor="accent1"/>
            </w:tcBorders>
            <w:shd w:val="clear" w:color="auto" w:fill="auto"/>
          </w:tcPr>
          <w:p w14:paraId="21BDA290" w14:textId="77777777" w:rsidR="00386619" w:rsidRPr="00990E00" w:rsidRDefault="00386619"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lang w:eastAsia="en-US"/>
              </w:rPr>
              <w:t>4</w:t>
            </w:r>
          </w:p>
        </w:tc>
      </w:tr>
      <w:tr w:rsidR="005D51FA" w:rsidRPr="00812509" w14:paraId="0A652C2F"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bottom w:val="none" w:sz="0" w:space="0" w:color="auto"/>
            </w:tcBorders>
          </w:tcPr>
          <w:p w14:paraId="0E79A585" w14:textId="77777777" w:rsidR="005D51FA" w:rsidRPr="00990E00" w:rsidRDefault="005D51FA" w:rsidP="002B0289">
            <w:pPr>
              <w:keepLines/>
              <w:spacing w:before="40" w:after="40" w:line="200" w:lineRule="atLeast"/>
              <w:rPr>
                <w:rFonts w:asciiTheme="minorHAnsi" w:eastAsia="Times New Roman" w:hAnsiTheme="minorHAnsi" w:cstheme="minorHAnsi"/>
                <w:iCs/>
                <w:szCs w:val="17"/>
                <w:lang w:eastAsia="en-US"/>
              </w:rPr>
            </w:pPr>
            <w:r w:rsidRPr="00990E00">
              <w:rPr>
                <w:rFonts w:asciiTheme="minorHAnsi" w:eastAsia="Times New Roman" w:hAnsiTheme="minorHAnsi" w:cstheme="minorHAnsi"/>
                <w:iCs/>
                <w:szCs w:val="17"/>
                <w:lang w:eastAsia="en-US"/>
              </w:rPr>
              <w:t>Addressing Gender Equality In Solomon Islands</w:t>
            </w:r>
          </w:p>
        </w:tc>
        <w:tc>
          <w:tcPr>
            <w:tcW w:w="643" w:type="pct"/>
            <w:tcBorders>
              <w:bottom w:val="none" w:sz="0" w:space="0" w:color="auto"/>
            </w:tcBorders>
          </w:tcPr>
          <w:p w14:paraId="6BCF96B0" w14:textId="77777777" w:rsidR="005D51FA" w:rsidRPr="00E3002B" w:rsidRDefault="005D51FA" w:rsidP="002B0289">
            <w:pPr>
              <w:keepLines/>
              <w:spacing w:before="40" w:after="40" w:line="200" w:lineRule="atLeast"/>
              <w:rPr>
                <w:rFonts w:asciiTheme="minorHAnsi" w:eastAsia="Times New Roman" w:hAnsiTheme="minorHAnsi" w:cstheme="minorHAnsi"/>
                <w:iCs/>
                <w:szCs w:val="17"/>
              </w:rPr>
            </w:pPr>
            <w:r w:rsidRPr="00433FBF">
              <w:rPr>
                <w:rFonts w:asciiTheme="minorHAnsi" w:eastAsia="Times New Roman" w:hAnsiTheme="minorHAnsi" w:cstheme="minorHAnsi"/>
                <w:iCs/>
                <w:szCs w:val="17"/>
              </w:rPr>
              <w:t>$</w:t>
            </w:r>
            <w:r>
              <w:rPr>
                <w:rFonts w:asciiTheme="minorHAnsi" w:eastAsia="Times New Roman" w:hAnsiTheme="minorHAnsi" w:cstheme="minorHAnsi"/>
                <w:iCs/>
                <w:szCs w:val="17"/>
              </w:rPr>
              <w:t>31,898,278</w:t>
            </w:r>
          </w:p>
        </w:tc>
        <w:tc>
          <w:tcPr>
            <w:tcW w:w="850" w:type="pct"/>
            <w:tcBorders>
              <w:bottom w:val="none" w:sz="0" w:space="0" w:color="auto"/>
            </w:tcBorders>
            <w:shd w:val="clear" w:color="auto" w:fill="auto"/>
          </w:tcPr>
          <w:p w14:paraId="15D4C0B2" w14:textId="77777777" w:rsidR="005D51FA" w:rsidRPr="00812509" w:rsidRDefault="005D51FA" w:rsidP="002B028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2020</w:t>
            </w:r>
            <w:r w:rsidRPr="00812509">
              <w:rPr>
                <w:rFonts w:asciiTheme="minorHAnsi" w:eastAsia="Times New Roman" w:hAnsiTheme="minorHAnsi"/>
                <w:iCs/>
                <w:szCs w:val="17"/>
                <w:lang w:eastAsia="en-US"/>
              </w:rPr>
              <w:t xml:space="preserve"> AQC</w:t>
            </w:r>
          </w:p>
        </w:tc>
        <w:tc>
          <w:tcPr>
            <w:tcW w:w="348" w:type="pct"/>
            <w:tcBorders>
              <w:bottom w:val="none" w:sz="0" w:space="0" w:color="auto"/>
            </w:tcBorders>
            <w:shd w:val="clear" w:color="auto" w:fill="auto"/>
          </w:tcPr>
          <w:p w14:paraId="1DF12FBA"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none" w:sz="0" w:space="0" w:color="auto"/>
            </w:tcBorders>
            <w:shd w:val="clear" w:color="auto" w:fill="auto"/>
          </w:tcPr>
          <w:p w14:paraId="48C0BBDA"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3</w:t>
            </w:r>
          </w:p>
        </w:tc>
        <w:tc>
          <w:tcPr>
            <w:tcW w:w="348" w:type="pct"/>
            <w:tcBorders>
              <w:bottom w:val="none" w:sz="0" w:space="0" w:color="auto"/>
            </w:tcBorders>
            <w:shd w:val="clear" w:color="auto" w:fill="auto"/>
          </w:tcPr>
          <w:p w14:paraId="24F36666"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5</w:t>
            </w:r>
          </w:p>
        </w:tc>
      </w:tr>
      <w:tr w:rsidR="00990E00" w:rsidRPr="00812509" w14:paraId="37C2A3C8"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Pr>
          <w:p w14:paraId="665CC4AA" w14:textId="77777777" w:rsidR="005D51FA" w:rsidRPr="00990E00" w:rsidRDefault="005D51FA" w:rsidP="002B0289">
            <w:pPr>
              <w:keepLines/>
              <w:spacing w:before="40" w:after="40" w:line="200" w:lineRule="atLeast"/>
              <w:rPr>
                <w:rFonts w:asciiTheme="minorHAnsi" w:eastAsia="Times New Roman" w:hAnsiTheme="minorHAnsi" w:cstheme="minorHAnsi"/>
                <w:iCs/>
                <w:szCs w:val="17"/>
                <w:lang w:eastAsia="en-US"/>
              </w:rPr>
            </w:pPr>
          </w:p>
        </w:tc>
        <w:tc>
          <w:tcPr>
            <w:tcW w:w="643" w:type="pct"/>
          </w:tcPr>
          <w:p w14:paraId="0FF19370" w14:textId="77777777" w:rsidR="005D51FA" w:rsidRPr="00E3002B" w:rsidRDefault="005D51FA" w:rsidP="002B0289">
            <w:pPr>
              <w:keepLines/>
              <w:spacing w:before="40" w:after="40" w:line="200" w:lineRule="atLeast"/>
              <w:rPr>
                <w:rFonts w:asciiTheme="minorHAnsi" w:eastAsia="Times New Roman" w:hAnsiTheme="minorHAnsi" w:cstheme="minorHAnsi"/>
                <w:iCs/>
                <w:szCs w:val="17"/>
                <w:lang w:eastAsia="en-US"/>
              </w:rPr>
            </w:pPr>
            <w:r w:rsidRPr="00E3002B">
              <w:rPr>
                <w:rFonts w:asciiTheme="minorHAnsi" w:eastAsia="Times New Roman" w:hAnsiTheme="minorHAnsi" w:cstheme="minorHAnsi"/>
                <w:iCs/>
                <w:szCs w:val="17"/>
              </w:rPr>
              <w:t>2012-2022</w:t>
            </w:r>
          </w:p>
        </w:tc>
        <w:tc>
          <w:tcPr>
            <w:tcW w:w="850" w:type="pct"/>
            <w:tcBorders>
              <w:top w:val="single" w:sz="2" w:space="0" w:color="65C5B4" w:themeColor="accent1"/>
            </w:tcBorders>
            <w:shd w:val="clear" w:color="auto" w:fill="auto"/>
          </w:tcPr>
          <w:p w14:paraId="41B1F5D2" w14:textId="77777777" w:rsidR="005D51FA" w:rsidRPr="00812509" w:rsidRDefault="005D51FA" w:rsidP="002B0289">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48" w:type="pct"/>
            <w:tcBorders>
              <w:top w:val="single" w:sz="2" w:space="0" w:color="65C5B4" w:themeColor="accent1"/>
            </w:tcBorders>
            <w:shd w:val="clear" w:color="auto" w:fill="auto"/>
          </w:tcPr>
          <w:p w14:paraId="633053BA"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lang w:eastAsia="en-US"/>
              </w:rPr>
              <w:t>4</w:t>
            </w:r>
          </w:p>
        </w:tc>
        <w:tc>
          <w:tcPr>
            <w:tcW w:w="348" w:type="pct"/>
            <w:tcBorders>
              <w:top w:val="single" w:sz="2" w:space="0" w:color="65C5B4" w:themeColor="accent1"/>
            </w:tcBorders>
            <w:shd w:val="clear" w:color="auto" w:fill="auto"/>
          </w:tcPr>
          <w:p w14:paraId="5008E9A0"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lang w:eastAsia="en-US"/>
              </w:rPr>
              <w:t>4</w:t>
            </w:r>
          </w:p>
        </w:tc>
        <w:tc>
          <w:tcPr>
            <w:tcW w:w="348" w:type="pct"/>
            <w:tcBorders>
              <w:top w:val="single" w:sz="2" w:space="0" w:color="65C5B4" w:themeColor="accent1"/>
            </w:tcBorders>
            <w:shd w:val="clear" w:color="auto" w:fill="auto"/>
          </w:tcPr>
          <w:p w14:paraId="00F77DEA"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lang w:eastAsia="en-US"/>
              </w:rPr>
              <w:t>5</w:t>
            </w:r>
          </w:p>
        </w:tc>
      </w:tr>
      <w:tr w:rsidR="005D51FA" w:rsidRPr="00812509" w14:paraId="2417AA9F"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top w:val="single" w:sz="2" w:space="0" w:color="65C5B4" w:themeColor="accent1"/>
            </w:tcBorders>
          </w:tcPr>
          <w:p w14:paraId="4111F4D1" w14:textId="77777777" w:rsidR="005D51FA" w:rsidRPr="00990E00" w:rsidRDefault="005D51FA" w:rsidP="002B0289">
            <w:pPr>
              <w:keepLines/>
              <w:spacing w:before="40" w:after="40" w:line="200" w:lineRule="atLeast"/>
              <w:rPr>
                <w:rFonts w:asciiTheme="minorHAnsi" w:eastAsia="Times New Roman" w:hAnsiTheme="minorHAnsi" w:cstheme="minorHAnsi"/>
                <w:iCs/>
                <w:szCs w:val="17"/>
              </w:rPr>
            </w:pPr>
            <w:r w:rsidRPr="00990E00">
              <w:rPr>
                <w:rFonts w:asciiTheme="minorHAnsi" w:eastAsia="Times New Roman" w:hAnsiTheme="minorHAnsi" w:cstheme="minorHAnsi"/>
                <w:iCs/>
                <w:szCs w:val="17"/>
              </w:rPr>
              <w:t>Managing Urbanisation</w:t>
            </w:r>
          </w:p>
        </w:tc>
        <w:tc>
          <w:tcPr>
            <w:tcW w:w="643" w:type="pct"/>
            <w:tcBorders>
              <w:top w:val="single" w:sz="2" w:space="0" w:color="65C5B4" w:themeColor="accent1"/>
            </w:tcBorders>
          </w:tcPr>
          <w:p w14:paraId="68E9C280" w14:textId="77777777" w:rsidR="005D51FA" w:rsidRPr="00E3002B" w:rsidRDefault="005D51FA" w:rsidP="002B0289">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$3,807,895</w:t>
            </w:r>
          </w:p>
        </w:tc>
        <w:tc>
          <w:tcPr>
            <w:tcW w:w="850" w:type="pct"/>
            <w:tcBorders>
              <w:top w:val="single" w:sz="2" w:space="0" w:color="65C5B4" w:themeColor="accent1"/>
              <w:bottom w:val="single" w:sz="2" w:space="0" w:color="65C5B4" w:themeColor="accent1"/>
            </w:tcBorders>
            <w:shd w:val="clear" w:color="auto" w:fill="auto"/>
          </w:tcPr>
          <w:p w14:paraId="6AD79AC3" w14:textId="77777777" w:rsidR="005D51FA" w:rsidRPr="001E0245" w:rsidRDefault="005D51FA"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2020</w:t>
            </w:r>
            <w:r w:rsidRPr="001E0245">
              <w:rPr>
                <w:rFonts w:asciiTheme="minorHAnsi" w:eastAsia="Times New Roman" w:hAnsiTheme="minorHAnsi" w:cstheme="minorHAnsi"/>
                <w:iCs/>
                <w:szCs w:val="17"/>
              </w:rPr>
              <w:t xml:space="preserve"> AQC</w:t>
            </w:r>
          </w:p>
        </w:tc>
        <w:tc>
          <w:tcPr>
            <w:tcW w:w="348" w:type="pct"/>
            <w:tcBorders>
              <w:top w:val="single" w:sz="2" w:space="0" w:color="65C5B4" w:themeColor="accent1"/>
              <w:bottom w:val="single" w:sz="2" w:space="0" w:color="65C5B4" w:themeColor="accent1"/>
            </w:tcBorders>
            <w:shd w:val="clear" w:color="auto" w:fill="auto"/>
          </w:tcPr>
          <w:p w14:paraId="6C592B1D" w14:textId="3CFA0081"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n/a</w:t>
            </w:r>
          </w:p>
        </w:tc>
        <w:tc>
          <w:tcPr>
            <w:tcW w:w="348" w:type="pct"/>
            <w:tcBorders>
              <w:top w:val="single" w:sz="2" w:space="0" w:color="65C5B4" w:themeColor="accent1"/>
              <w:bottom w:val="single" w:sz="2" w:space="0" w:color="65C5B4" w:themeColor="accent1"/>
            </w:tcBorders>
            <w:shd w:val="clear" w:color="auto" w:fill="auto"/>
          </w:tcPr>
          <w:p w14:paraId="33D7F68A" w14:textId="5787B4A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n/a</w:t>
            </w:r>
          </w:p>
        </w:tc>
        <w:tc>
          <w:tcPr>
            <w:tcW w:w="348" w:type="pct"/>
            <w:tcBorders>
              <w:top w:val="single" w:sz="2" w:space="0" w:color="65C5B4" w:themeColor="accent1"/>
              <w:bottom w:val="single" w:sz="2" w:space="0" w:color="65C5B4" w:themeColor="accent1"/>
            </w:tcBorders>
            <w:shd w:val="clear" w:color="auto" w:fill="auto"/>
          </w:tcPr>
          <w:p w14:paraId="7F19E179" w14:textId="5A84A9B4"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n/a</w:t>
            </w:r>
          </w:p>
        </w:tc>
      </w:tr>
      <w:tr w:rsidR="00990E00" w:rsidRPr="00812509" w14:paraId="057F15BA"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bottom w:val="single" w:sz="2" w:space="0" w:color="65C5B4" w:themeColor="accent1"/>
            </w:tcBorders>
          </w:tcPr>
          <w:p w14:paraId="3AF952E7" w14:textId="77777777" w:rsidR="005D51FA" w:rsidRPr="00990E00" w:rsidRDefault="005D51FA" w:rsidP="002B0289">
            <w:pPr>
              <w:keepLines/>
              <w:spacing w:before="40" w:after="40" w:line="200" w:lineRule="atLeast"/>
              <w:rPr>
                <w:rFonts w:asciiTheme="minorHAnsi" w:eastAsia="Times New Roman" w:hAnsiTheme="minorHAnsi" w:cstheme="minorHAnsi"/>
                <w:iCs/>
                <w:szCs w:val="17"/>
              </w:rPr>
            </w:pPr>
          </w:p>
        </w:tc>
        <w:tc>
          <w:tcPr>
            <w:tcW w:w="643" w:type="pct"/>
            <w:tcBorders>
              <w:bottom w:val="single" w:sz="2" w:space="0" w:color="65C5B4" w:themeColor="accent1"/>
            </w:tcBorders>
          </w:tcPr>
          <w:p w14:paraId="09EE4A27" w14:textId="77777777" w:rsidR="005D51FA" w:rsidRPr="00E3002B" w:rsidRDefault="005D51FA" w:rsidP="002B0289">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2013-2019</w:t>
            </w:r>
          </w:p>
        </w:tc>
        <w:tc>
          <w:tcPr>
            <w:tcW w:w="850" w:type="pct"/>
            <w:tcBorders>
              <w:bottom w:val="single" w:sz="2" w:space="0" w:color="65C5B4" w:themeColor="accent1"/>
            </w:tcBorders>
            <w:shd w:val="clear" w:color="auto" w:fill="auto"/>
          </w:tcPr>
          <w:p w14:paraId="159F72AB" w14:textId="77777777" w:rsidR="005D51FA" w:rsidRPr="001E0245" w:rsidRDefault="005D51FA"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2019</w:t>
            </w:r>
            <w:r w:rsidRPr="001E0245">
              <w:rPr>
                <w:rFonts w:asciiTheme="minorHAnsi" w:eastAsia="Times New Roman" w:hAnsiTheme="minorHAnsi" w:cstheme="minorHAnsi"/>
                <w:iCs/>
                <w:szCs w:val="17"/>
              </w:rPr>
              <w:t xml:space="preserve"> AQC</w:t>
            </w:r>
          </w:p>
        </w:tc>
        <w:tc>
          <w:tcPr>
            <w:tcW w:w="348" w:type="pct"/>
            <w:tcBorders>
              <w:bottom w:val="single" w:sz="2" w:space="0" w:color="65C5B4" w:themeColor="accent1"/>
            </w:tcBorders>
            <w:shd w:val="clear" w:color="auto" w:fill="auto"/>
          </w:tcPr>
          <w:p w14:paraId="20FEBBF3"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5</w:t>
            </w:r>
          </w:p>
        </w:tc>
        <w:tc>
          <w:tcPr>
            <w:tcW w:w="348" w:type="pct"/>
            <w:tcBorders>
              <w:bottom w:val="single" w:sz="2" w:space="0" w:color="65C5B4" w:themeColor="accent1"/>
            </w:tcBorders>
            <w:shd w:val="clear" w:color="auto" w:fill="auto"/>
          </w:tcPr>
          <w:p w14:paraId="677D2B19"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5</w:t>
            </w:r>
          </w:p>
        </w:tc>
        <w:tc>
          <w:tcPr>
            <w:tcW w:w="348" w:type="pct"/>
            <w:tcBorders>
              <w:bottom w:val="single" w:sz="2" w:space="0" w:color="65C5B4" w:themeColor="accent1"/>
            </w:tcBorders>
            <w:shd w:val="clear" w:color="auto" w:fill="auto"/>
          </w:tcPr>
          <w:p w14:paraId="47EB4568"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2</w:t>
            </w:r>
          </w:p>
        </w:tc>
      </w:tr>
      <w:tr w:rsidR="00990E00" w:rsidRPr="00812509" w14:paraId="7AD144E9"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Pr>
          <w:p w14:paraId="777139F6" w14:textId="77777777" w:rsidR="005D51FA" w:rsidRPr="00990E00" w:rsidRDefault="005D51FA" w:rsidP="002B0289">
            <w:pPr>
              <w:keepLines/>
              <w:spacing w:before="40" w:after="40" w:line="200" w:lineRule="atLeast"/>
              <w:rPr>
                <w:rFonts w:asciiTheme="minorHAnsi" w:eastAsia="Times New Roman" w:hAnsiTheme="minorHAnsi" w:cstheme="minorHAnsi"/>
                <w:iCs/>
                <w:szCs w:val="17"/>
              </w:rPr>
            </w:pPr>
            <w:r w:rsidRPr="00990E00">
              <w:rPr>
                <w:rFonts w:asciiTheme="minorHAnsi" w:eastAsia="Times New Roman" w:hAnsiTheme="minorHAnsi" w:cstheme="minorHAnsi"/>
                <w:iCs/>
                <w:szCs w:val="17"/>
              </w:rPr>
              <w:t>Health Sector Support Program - Phase 3</w:t>
            </w:r>
          </w:p>
        </w:tc>
        <w:tc>
          <w:tcPr>
            <w:tcW w:w="643" w:type="pct"/>
          </w:tcPr>
          <w:p w14:paraId="4DC997D0" w14:textId="77777777" w:rsidR="005D51FA" w:rsidRPr="00E3002B" w:rsidRDefault="005D51FA" w:rsidP="002B0289">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$72,967,752</w:t>
            </w:r>
          </w:p>
        </w:tc>
        <w:tc>
          <w:tcPr>
            <w:tcW w:w="850" w:type="pct"/>
            <w:tcBorders>
              <w:bottom w:val="single" w:sz="2" w:space="0" w:color="65C5B4" w:themeColor="accent1"/>
            </w:tcBorders>
            <w:shd w:val="clear" w:color="auto" w:fill="auto"/>
          </w:tcPr>
          <w:p w14:paraId="49D1F3BC" w14:textId="77777777" w:rsidR="005D51FA" w:rsidRPr="001E0245" w:rsidRDefault="005D51FA"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2020 AQC</w:t>
            </w:r>
          </w:p>
        </w:tc>
        <w:tc>
          <w:tcPr>
            <w:tcW w:w="348" w:type="pct"/>
            <w:tcBorders>
              <w:bottom w:val="single" w:sz="2" w:space="0" w:color="65C5B4" w:themeColor="accent1"/>
            </w:tcBorders>
            <w:shd w:val="clear" w:color="auto" w:fill="auto"/>
          </w:tcPr>
          <w:p w14:paraId="16803FBA"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single" w:sz="2" w:space="0" w:color="65C5B4" w:themeColor="accent1"/>
            </w:tcBorders>
            <w:shd w:val="clear" w:color="auto" w:fill="auto"/>
          </w:tcPr>
          <w:p w14:paraId="51198089"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single" w:sz="2" w:space="0" w:color="65C5B4" w:themeColor="accent1"/>
            </w:tcBorders>
            <w:shd w:val="clear" w:color="auto" w:fill="auto"/>
          </w:tcPr>
          <w:p w14:paraId="5A64E9ED"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r>
      <w:tr w:rsidR="005D51FA" w:rsidRPr="00812509" w14:paraId="2D3585BC"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bottom w:val="none" w:sz="0" w:space="0" w:color="auto"/>
            </w:tcBorders>
          </w:tcPr>
          <w:p w14:paraId="494D8B84" w14:textId="77777777" w:rsidR="005D51FA" w:rsidRPr="00990E00" w:rsidRDefault="005D51FA" w:rsidP="002B0289">
            <w:pPr>
              <w:keepLines/>
              <w:spacing w:before="40" w:after="40" w:line="200" w:lineRule="atLeast"/>
              <w:rPr>
                <w:rFonts w:asciiTheme="minorHAnsi" w:eastAsia="Times New Roman" w:hAnsiTheme="minorHAnsi" w:cstheme="minorHAnsi"/>
                <w:iCs/>
                <w:szCs w:val="17"/>
              </w:rPr>
            </w:pPr>
          </w:p>
        </w:tc>
        <w:tc>
          <w:tcPr>
            <w:tcW w:w="643" w:type="pct"/>
            <w:tcBorders>
              <w:bottom w:val="none" w:sz="0" w:space="0" w:color="auto"/>
            </w:tcBorders>
          </w:tcPr>
          <w:p w14:paraId="3EEE1DF2" w14:textId="77777777" w:rsidR="005D51FA" w:rsidRPr="00E3002B" w:rsidRDefault="005D51FA" w:rsidP="002B0289">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2016-2020</w:t>
            </w:r>
          </w:p>
        </w:tc>
        <w:tc>
          <w:tcPr>
            <w:tcW w:w="850" w:type="pct"/>
            <w:tcBorders>
              <w:bottom w:val="none" w:sz="0" w:space="0" w:color="auto"/>
            </w:tcBorders>
            <w:shd w:val="clear" w:color="auto" w:fill="auto"/>
          </w:tcPr>
          <w:p w14:paraId="4FFFA255" w14:textId="77777777" w:rsidR="005D51FA" w:rsidRPr="001E0245" w:rsidRDefault="005D51FA"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2019 AQC</w:t>
            </w:r>
          </w:p>
        </w:tc>
        <w:tc>
          <w:tcPr>
            <w:tcW w:w="348" w:type="pct"/>
            <w:tcBorders>
              <w:bottom w:val="none" w:sz="0" w:space="0" w:color="auto"/>
            </w:tcBorders>
            <w:shd w:val="clear" w:color="auto" w:fill="auto"/>
          </w:tcPr>
          <w:p w14:paraId="1D03736B"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none" w:sz="0" w:space="0" w:color="auto"/>
            </w:tcBorders>
            <w:shd w:val="clear" w:color="auto" w:fill="auto"/>
          </w:tcPr>
          <w:p w14:paraId="286F8FDD"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none" w:sz="0" w:space="0" w:color="auto"/>
            </w:tcBorders>
            <w:shd w:val="clear" w:color="auto" w:fill="auto"/>
          </w:tcPr>
          <w:p w14:paraId="5AEEC968"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r>
      <w:tr w:rsidR="00990E00" w:rsidRPr="00812509" w14:paraId="5736F9ED"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top w:val="single" w:sz="2" w:space="0" w:color="65C5B4" w:themeColor="accent1"/>
            </w:tcBorders>
          </w:tcPr>
          <w:p w14:paraId="795838DD" w14:textId="77777777" w:rsidR="005D51FA" w:rsidRPr="00990E00" w:rsidRDefault="005D51FA" w:rsidP="002B0289">
            <w:pPr>
              <w:keepLines/>
              <w:spacing w:before="40" w:after="40" w:line="200" w:lineRule="atLeast"/>
              <w:rPr>
                <w:rFonts w:asciiTheme="minorHAnsi" w:eastAsia="Times New Roman" w:hAnsiTheme="minorHAnsi" w:cstheme="minorHAnsi"/>
                <w:iCs/>
                <w:szCs w:val="17"/>
              </w:rPr>
            </w:pPr>
            <w:r w:rsidRPr="00990E00">
              <w:rPr>
                <w:rFonts w:asciiTheme="minorHAnsi" w:eastAsia="Times New Roman" w:hAnsiTheme="minorHAnsi" w:cstheme="minorHAnsi"/>
                <w:iCs/>
                <w:szCs w:val="17"/>
              </w:rPr>
              <w:t>SI Resource Facility &amp; Program Enabling</w:t>
            </w:r>
          </w:p>
        </w:tc>
        <w:tc>
          <w:tcPr>
            <w:tcW w:w="643" w:type="pct"/>
            <w:tcBorders>
              <w:top w:val="single" w:sz="2" w:space="0" w:color="65C5B4" w:themeColor="accent1"/>
            </w:tcBorders>
          </w:tcPr>
          <w:p w14:paraId="488A5FA2" w14:textId="77777777" w:rsidR="005D51FA" w:rsidRPr="00E3002B" w:rsidRDefault="005D51FA" w:rsidP="002B0289">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$40,595,108</w:t>
            </w:r>
          </w:p>
        </w:tc>
        <w:tc>
          <w:tcPr>
            <w:tcW w:w="850" w:type="pct"/>
            <w:tcBorders>
              <w:top w:val="single" w:sz="2" w:space="0" w:color="65C5B4" w:themeColor="accent1"/>
              <w:bottom w:val="single" w:sz="2" w:space="0" w:color="65C5B4" w:themeColor="accent1"/>
            </w:tcBorders>
            <w:shd w:val="clear" w:color="auto" w:fill="auto"/>
          </w:tcPr>
          <w:p w14:paraId="7F83B2AC" w14:textId="77777777" w:rsidR="005D51FA" w:rsidRPr="001E0245" w:rsidRDefault="005D51FA"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2020</w:t>
            </w:r>
            <w:r w:rsidRPr="001E0245">
              <w:rPr>
                <w:rFonts w:asciiTheme="minorHAnsi" w:eastAsia="Times New Roman" w:hAnsiTheme="minorHAnsi" w:cstheme="minorHAnsi"/>
                <w:iCs/>
                <w:szCs w:val="17"/>
              </w:rPr>
              <w:t xml:space="preserve"> AQC</w:t>
            </w:r>
          </w:p>
        </w:tc>
        <w:tc>
          <w:tcPr>
            <w:tcW w:w="348" w:type="pct"/>
            <w:tcBorders>
              <w:top w:val="single" w:sz="2" w:space="0" w:color="65C5B4" w:themeColor="accent1"/>
              <w:bottom w:val="single" w:sz="2" w:space="0" w:color="65C5B4" w:themeColor="accent1"/>
            </w:tcBorders>
            <w:shd w:val="clear" w:color="auto" w:fill="auto"/>
          </w:tcPr>
          <w:p w14:paraId="7A6A751B"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top w:val="single" w:sz="2" w:space="0" w:color="65C5B4" w:themeColor="accent1"/>
              <w:bottom w:val="single" w:sz="2" w:space="0" w:color="65C5B4" w:themeColor="accent1"/>
            </w:tcBorders>
            <w:shd w:val="clear" w:color="auto" w:fill="auto"/>
          </w:tcPr>
          <w:p w14:paraId="611B7A21"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5</w:t>
            </w:r>
          </w:p>
        </w:tc>
        <w:tc>
          <w:tcPr>
            <w:tcW w:w="348" w:type="pct"/>
            <w:tcBorders>
              <w:top w:val="single" w:sz="2" w:space="0" w:color="65C5B4" w:themeColor="accent1"/>
              <w:bottom w:val="single" w:sz="2" w:space="0" w:color="65C5B4" w:themeColor="accent1"/>
            </w:tcBorders>
            <w:shd w:val="clear" w:color="auto" w:fill="auto"/>
          </w:tcPr>
          <w:p w14:paraId="76291E6C"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r>
      <w:tr w:rsidR="00990E00" w:rsidRPr="00812509" w14:paraId="165403ED"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bottom w:val="single" w:sz="2" w:space="0" w:color="65C5B4" w:themeColor="accent1"/>
            </w:tcBorders>
          </w:tcPr>
          <w:p w14:paraId="731EE1EB" w14:textId="77777777" w:rsidR="005D51FA" w:rsidRPr="00990E00" w:rsidRDefault="005D51FA" w:rsidP="002B0289">
            <w:pPr>
              <w:keepLines/>
              <w:spacing w:before="40" w:after="40" w:line="200" w:lineRule="atLeast"/>
              <w:rPr>
                <w:rFonts w:asciiTheme="minorHAnsi" w:eastAsia="Times New Roman" w:hAnsiTheme="minorHAnsi" w:cstheme="minorHAnsi"/>
                <w:iCs/>
                <w:szCs w:val="17"/>
              </w:rPr>
            </w:pPr>
          </w:p>
        </w:tc>
        <w:tc>
          <w:tcPr>
            <w:tcW w:w="643" w:type="pct"/>
            <w:tcBorders>
              <w:bottom w:val="single" w:sz="2" w:space="0" w:color="65C5B4" w:themeColor="accent1"/>
            </w:tcBorders>
          </w:tcPr>
          <w:p w14:paraId="02CDF900" w14:textId="77777777" w:rsidR="005D51FA" w:rsidRPr="00E3002B" w:rsidRDefault="005D51FA" w:rsidP="002B0289">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2015-2020</w:t>
            </w:r>
          </w:p>
        </w:tc>
        <w:tc>
          <w:tcPr>
            <w:tcW w:w="850" w:type="pct"/>
            <w:tcBorders>
              <w:bottom w:val="single" w:sz="2" w:space="0" w:color="65C5B4" w:themeColor="accent1"/>
            </w:tcBorders>
            <w:shd w:val="clear" w:color="auto" w:fill="auto"/>
          </w:tcPr>
          <w:p w14:paraId="32D61598" w14:textId="77777777" w:rsidR="005D51FA" w:rsidRPr="001E0245" w:rsidRDefault="005D51FA"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2019</w:t>
            </w:r>
            <w:r w:rsidRPr="001E0245">
              <w:rPr>
                <w:rFonts w:asciiTheme="minorHAnsi" w:eastAsia="Times New Roman" w:hAnsiTheme="minorHAnsi" w:cstheme="minorHAnsi"/>
                <w:iCs/>
                <w:szCs w:val="17"/>
              </w:rPr>
              <w:t xml:space="preserve"> AQC</w:t>
            </w:r>
          </w:p>
        </w:tc>
        <w:tc>
          <w:tcPr>
            <w:tcW w:w="348" w:type="pct"/>
            <w:tcBorders>
              <w:bottom w:val="single" w:sz="2" w:space="0" w:color="65C5B4" w:themeColor="accent1"/>
            </w:tcBorders>
            <w:shd w:val="clear" w:color="auto" w:fill="auto"/>
          </w:tcPr>
          <w:p w14:paraId="5A074295"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single" w:sz="2" w:space="0" w:color="65C5B4" w:themeColor="accent1"/>
            </w:tcBorders>
            <w:shd w:val="clear" w:color="auto" w:fill="auto"/>
          </w:tcPr>
          <w:p w14:paraId="63924138"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single" w:sz="2" w:space="0" w:color="65C5B4" w:themeColor="accent1"/>
            </w:tcBorders>
            <w:shd w:val="clear" w:color="auto" w:fill="auto"/>
          </w:tcPr>
          <w:p w14:paraId="7CDCDB2E"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5</w:t>
            </w:r>
          </w:p>
        </w:tc>
      </w:tr>
      <w:tr w:rsidR="00990E00" w:rsidRPr="00812509" w14:paraId="7A485B74"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Pr>
          <w:p w14:paraId="30274E93" w14:textId="77777777" w:rsidR="005D51FA" w:rsidRPr="00990E00" w:rsidRDefault="005D51FA" w:rsidP="002B0289">
            <w:pPr>
              <w:keepLines/>
              <w:spacing w:before="40" w:after="40" w:line="200" w:lineRule="atLeast"/>
              <w:rPr>
                <w:rFonts w:asciiTheme="minorHAnsi" w:eastAsia="Times New Roman" w:hAnsiTheme="minorHAnsi" w:cstheme="minorHAnsi"/>
                <w:iCs/>
                <w:szCs w:val="17"/>
              </w:rPr>
            </w:pPr>
            <w:r w:rsidRPr="00990E00">
              <w:rPr>
                <w:rFonts w:asciiTheme="minorHAnsi" w:eastAsia="Times New Roman" w:hAnsiTheme="minorHAnsi" w:cstheme="minorHAnsi"/>
                <w:iCs/>
                <w:szCs w:val="17"/>
              </w:rPr>
              <w:t>SI Transport Sector Based Approach Phase 2</w:t>
            </w:r>
          </w:p>
        </w:tc>
        <w:tc>
          <w:tcPr>
            <w:tcW w:w="643" w:type="pct"/>
          </w:tcPr>
          <w:p w14:paraId="6EFE2F12" w14:textId="77777777" w:rsidR="005D51FA" w:rsidRPr="00E3002B" w:rsidRDefault="005D51FA" w:rsidP="002B0289">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$49,435,503</w:t>
            </w:r>
          </w:p>
        </w:tc>
        <w:tc>
          <w:tcPr>
            <w:tcW w:w="850" w:type="pct"/>
            <w:tcBorders>
              <w:bottom w:val="single" w:sz="2" w:space="0" w:color="65C5B4" w:themeColor="accent1"/>
            </w:tcBorders>
            <w:shd w:val="clear" w:color="auto" w:fill="auto"/>
          </w:tcPr>
          <w:p w14:paraId="2860C54B" w14:textId="77777777" w:rsidR="005D51FA" w:rsidRPr="00915931" w:rsidRDefault="005D51FA"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2020</w:t>
            </w:r>
            <w:r w:rsidRPr="00915931">
              <w:rPr>
                <w:rFonts w:asciiTheme="minorHAnsi" w:eastAsia="Times New Roman" w:hAnsiTheme="minorHAnsi" w:cstheme="minorHAnsi"/>
                <w:iCs/>
                <w:szCs w:val="17"/>
              </w:rPr>
              <w:t xml:space="preserve"> AQC</w:t>
            </w:r>
          </w:p>
        </w:tc>
        <w:tc>
          <w:tcPr>
            <w:tcW w:w="348" w:type="pct"/>
            <w:tcBorders>
              <w:bottom w:val="single" w:sz="2" w:space="0" w:color="65C5B4" w:themeColor="accent1"/>
            </w:tcBorders>
            <w:shd w:val="clear" w:color="auto" w:fill="auto"/>
          </w:tcPr>
          <w:p w14:paraId="237D9C8C"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3</w:t>
            </w:r>
          </w:p>
        </w:tc>
        <w:tc>
          <w:tcPr>
            <w:tcW w:w="348" w:type="pct"/>
            <w:tcBorders>
              <w:bottom w:val="single" w:sz="2" w:space="0" w:color="65C5B4" w:themeColor="accent1"/>
            </w:tcBorders>
            <w:shd w:val="clear" w:color="auto" w:fill="auto"/>
          </w:tcPr>
          <w:p w14:paraId="24EB7995"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3</w:t>
            </w:r>
          </w:p>
        </w:tc>
        <w:tc>
          <w:tcPr>
            <w:tcW w:w="348" w:type="pct"/>
            <w:tcBorders>
              <w:bottom w:val="single" w:sz="2" w:space="0" w:color="65C5B4" w:themeColor="accent1"/>
            </w:tcBorders>
            <w:shd w:val="clear" w:color="auto" w:fill="auto"/>
          </w:tcPr>
          <w:p w14:paraId="78A410FB"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2</w:t>
            </w:r>
          </w:p>
        </w:tc>
      </w:tr>
      <w:tr w:rsidR="005D51FA" w:rsidRPr="00812509" w14:paraId="1BF7444C"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bottom w:val="none" w:sz="0" w:space="0" w:color="auto"/>
            </w:tcBorders>
          </w:tcPr>
          <w:p w14:paraId="44E97C22" w14:textId="77777777" w:rsidR="005D51FA" w:rsidRPr="00990E00" w:rsidRDefault="005D51FA" w:rsidP="002B0289">
            <w:pPr>
              <w:keepLines/>
              <w:spacing w:before="40" w:after="40" w:line="200" w:lineRule="atLeast"/>
              <w:rPr>
                <w:rFonts w:asciiTheme="minorHAnsi" w:eastAsia="Times New Roman" w:hAnsiTheme="minorHAnsi" w:cstheme="minorHAnsi"/>
                <w:iCs/>
                <w:szCs w:val="17"/>
              </w:rPr>
            </w:pPr>
          </w:p>
        </w:tc>
        <w:tc>
          <w:tcPr>
            <w:tcW w:w="643" w:type="pct"/>
            <w:tcBorders>
              <w:bottom w:val="none" w:sz="0" w:space="0" w:color="auto"/>
            </w:tcBorders>
          </w:tcPr>
          <w:p w14:paraId="4C4BFC18" w14:textId="77777777" w:rsidR="005D51FA" w:rsidRPr="00E3002B" w:rsidRDefault="005D51FA" w:rsidP="002B0289">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2016-2021</w:t>
            </w:r>
          </w:p>
        </w:tc>
        <w:tc>
          <w:tcPr>
            <w:tcW w:w="850" w:type="pct"/>
            <w:tcBorders>
              <w:bottom w:val="none" w:sz="0" w:space="0" w:color="auto"/>
            </w:tcBorders>
            <w:shd w:val="clear" w:color="auto" w:fill="auto"/>
          </w:tcPr>
          <w:p w14:paraId="1A12F319" w14:textId="77777777" w:rsidR="005D51FA" w:rsidRPr="00915931" w:rsidRDefault="005D51FA" w:rsidP="002B0289">
            <w:pPr>
              <w:keepLines/>
              <w:spacing w:before="40" w:after="40" w:line="200" w:lineRule="atLeast"/>
              <w:rPr>
                <w:rFonts w:asciiTheme="minorHAnsi" w:eastAsia="Times New Roman" w:hAnsiTheme="minorHAnsi" w:cstheme="minorHAnsi"/>
                <w:iCs/>
                <w:szCs w:val="17"/>
              </w:rPr>
            </w:pPr>
            <w:r w:rsidRPr="00915931">
              <w:rPr>
                <w:rFonts w:asciiTheme="minorHAnsi" w:eastAsia="Times New Roman" w:hAnsiTheme="minorHAnsi" w:cstheme="minorHAnsi"/>
                <w:iCs/>
                <w:szCs w:val="17"/>
              </w:rPr>
              <w:t>201</w:t>
            </w:r>
            <w:r>
              <w:rPr>
                <w:rFonts w:asciiTheme="minorHAnsi" w:eastAsia="Times New Roman" w:hAnsiTheme="minorHAnsi" w:cstheme="minorHAnsi"/>
                <w:iCs/>
                <w:szCs w:val="17"/>
              </w:rPr>
              <w:t>9</w:t>
            </w:r>
            <w:r w:rsidRPr="00915931">
              <w:rPr>
                <w:rFonts w:asciiTheme="minorHAnsi" w:eastAsia="Times New Roman" w:hAnsiTheme="minorHAnsi" w:cstheme="minorHAnsi"/>
                <w:iCs/>
                <w:szCs w:val="17"/>
              </w:rPr>
              <w:t xml:space="preserve"> AQC</w:t>
            </w:r>
          </w:p>
        </w:tc>
        <w:tc>
          <w:tcPr>
            <w:tcW w:w="348" w:type="pct"/>
            <w:tcBorders>
              <w:bottom w:val="none" w:sz="0" w:space="0" w:color="auto"/>
            </w:tcBorders>
            <w:shd w:val="clear" w:color="auto" w:fill="auto"/>
          </w:tcPr>
          <w:p w14:paraId="6404B968"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none" w:sz="0" w:space="0" w:color="auto"/>
            </w:tcBorders>
            <w:shd w:val="clear" w:color="auto" w:fill="auto"/>
          </w:tcPr>
          <w:p w14:paraId="2449B4E2"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3</w:t>
            </w:r>
          </w:p>
        </w:tc>
        <w:tc>
          <w:tcPr>
            <w:tcW w:w="348" w:type="pct"/>
            <w:tcBorders>
              <w:bottom w:val="none" w:sz="0" w:space="0" w:color="auto"/>
            </w:tcBorders>
            <w:shd w:val="clear" w:color="auto" w:fill="auto"/>
          </w:tcPr>
          <w:p w14:paraId="3AACFD5F"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r>
      <w:tr w:rsidR="00990E00" w:rsidRPr="00812509" w14:paraId="14FFE3BE"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top w:val="single" w:sz="2" w:space="0" w:color="65C5B4" w:themeColor="accent1"/>
            </w:tcBorders>
          </w:tcPr>
          <w:p w14:paraId="7803CC0E" w14:textId="77777777" w:rsidR="005D51FA" w:rsidRPr="00990E00" w:rsidRDefault="005D51FA" w:rsidP="002B0289">
            <w:pPr>
              <w:keepLines/>
              <w:spacing w:before="40" w:after="40" w:line="200" w:lineRule="atLeast"/>
              <w:rPr>
                <w:rFonts w:asciiTheme="minorHAnsi" w:eastAsia="Times New Roman" w:hAnsiTheme="minorHAnsi" w:cstheme="minorHAnsi"/>
                <w:iCs/>
                <w:szCs w:val="17"/>
              </w:rPr>
            </w:pPr>
            <w:r w:rsidRPr="00990E00">
              <w:rPr>
                <w:rFonts w:asciiTheme="minorHAnsi" w:eastAsia="Times New Roman" w:hAnsiTheme="minorHAnsi" w:cstheme="minorHAnsi"/>
                <w:iCs/>
                <w:szCs w:val="17"/>
              </w:rPr>
              <w:t>SI Growth program</w:t>
            </w:r>
          </w:p>
        </w:tc>
        <w:tc>
          <w:tcPr>
            <w:tcW w:w="643" w:type="pct"/>
            <w:tcBorders>
              <w:top w:val="single" w:sz="2" w:space="0" w:color="65C5B4" w:themeColor="accent1"/>
            </w:tcBorders>
          </w:tcPr>
          <w:p w14:paraId="44B83AFC" w14:textId="77777777" w:rsidR="005D51FA" w:rsidRPr="00E3002B" w:rsidRDefault="005D51FA" w:rsidP="002B0289">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$58,164,077</w:t>
            </w:r>
          </w:p>
        </w:tc>
        <w:tc>
          <w:tcPr>
            <w:tcW w:w="850" w:type="pct"/>
            <w:tcBorders>
              <w:top w:val="single" w:sz="2" w:space="0" w:color="65C5B4" w:themeColor="accent1"/>
              <w:bottom w:val="single" w:sz="2" w:space="0" w:color="65C5B4" w:themeColor="accent1"/>
            </w:tcBorders>
            <w:shd w:val="clear" w:color="auto" w:fill="auto"/>
          </w:tcPr>
          <w:p w14:paraId="6ABB9FCC" w14:textId="77777777" w:rsidR="005D51FA" w:rsidRPr="00915931" w:rsidRDefault="005D51FA"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2020 QC</w:t>
            </w:r>
          </w:p>
        </w:tc>
        <w:tc>
          <w:tcPr>
            <w:tcW w:w="348" w:type="pct"/>
            <w:tcBorders>
              <w:top w:val="single" w:sz="2" w:space="0" w:color="65C5B4" w:themeColor="accent1"/>
              <w:bottom w:val="single" w:sz="2" w:space="0" w:color="65C5B4" w:themeColor="accent1"/>
            </w:tcBorders>
            <w:shd w:val="clear" w:color="auto" w:fill="auto"/>
          </w:tcPr>
          <w:p w14:paraId="3AEE5589"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5</w:t>
            </w:r>
          </w:p>
        </w:tc>
        <w:tc>
          <w:tcPr>
            <w:tcW w:w="348" w:type="pct"/>
            <w:tcBorders>
              <w:top w:val="single" w:sz="2" w:space="0" w:color="65C5B4" w:themeColor="accent1"/>
              <w:bottom w:val="single" w:sz="2" w:space="0" w:color="65C5B4" w:themeColor="accent1"/>
            </w:tcBorders>
            <w:shd w:val="clear" w:color="auto" w:fill="auto"/>
          </w:tcPr>
          <w:p w14:paraId="64544F58"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top w:val="single" w:sz="2" w:space="0" w:color="65C5B4" w:themeColor="accent1"/>
              <w:bottom w:val="single" w:sz="2" w:space="0" w:color="65C5B4" w:themeColor="accent1"/>
            </w:tcBorders>
            <w:shd w:val="clear" w:color="auto" w:fill="auto"/>
          </w:tcPr>
          <w:p w14:paraId="1174D65D"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r>
      <w:tr w:rsidR="00990E00" w:rsidRPr="00812509" w14:paraId="5C5C4CD0"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bottom w:val="single" w:sz="2" w:space="0" w:color="65C5B4" w:themeColor="accent1"/>
            </w:tcBorders>
          </w:tcPr>
          <w:p w14:paraId="37D09D22" w14:textId="77777777" w:rsidR="005D51FA" w:rsidRPr="00990E00" w:rsidRDefault="005D51FA" w:rsidP="002B0289">
            <w:pPr>
              <w:keepLines/>
              <w:spacing w:before="40" w:after="40" w:line="200" w:lineRule="atLeast"/>
              <w:rPr>
                <w:rFonts w:asciiTheme="minorHAnsi" w:eastAsia="Times New Roman" w:hAnsiTheme="minorHAnsi" w:cstheme="minorHAnsi"/>
                <w:iCs/>
                <w:szCs w:val="17"/>
              </w:rPr>
            </w:pPr>
          </w:p>
        </w:tc>
        <w:tc>
          <w:tcPr>
            <w:tcW w:w="643" w:type="pct"/>
            <w:tcBorders>
              <w:bottom w:val="single" w:sz="2" w:space="0" w:color="65C5B4" w:themeColor="accent1"/>
            </w:tcBorders>
          </w:tcPr>
          <w:p w14:paraId="5928E22A" w14:textId="77777777" w:rsidR="005D51FA" w:rsidRPr="00E3002B" w:rsidRDefault="005D51FA" w:rsidP="002B0289">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2016-2020</w:t>
            </w:r>
          </w:p>
        </w:tc>
        <w:tc>
          <w:tcPr>
            <w:tcW w:w="850" w:type="pct"/>
            <w:tcBorders>
              <w:bottom w:val="single" w:sz="2" w:space="0" w:color="65C5B4" w:themeColor="accent1"/>
            </w:tcBorders>
            <w:shd w:val="clear" w:color="auto" w:fill="auto"/>
          </w:tcPr>
          <w:p w14:paraId="107943AC" w14:textId="77777777" w:rsidR="005D51FA" w:rsidRPr="00915931" w:rsidRDefault="005D51FA"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2019 AQC</w:t>
            </w:r>
          </w:p>
        </w:tc>
        <w:tc>
          <w:tcPr>
            <w:tcW w:w="348" w:type="pct"/>
            <w:tcBorders>
              <w:bottom w:val="single" w:sz="2" w:space="0" w:color="65C5B4" w:themeColor="accent1"/>
            </w:tcBorders>
            <w:shd w:val="clear" w:color="auto" w:fill="auto"/>
          </w:tcPr>
          <w:p w14:paraId="1725CBDE"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single" w:sz="2" w:space="0" w:color="65C5B4" w:themeColor="accent1"/>
            </w:tcBorders>
            <w:shd w:val="clear" w:color="auto" w:fill="auto"/>
          </w:tcPr>
          <w:p w14:paraId="200AC7D6"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single" w:sz="2" w:space="0" w:color="65C5B4" w:themeColor="accent1"/>
            </w:tcBorders>
            <w:shd w:val="clear" w:color="auto" w:fill="auto"/>
          </w:tcPr>
          <w:p w14:paraId="58A11B75"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r>
      <w:tr w:rsidR="00990E00" w:rsidRPr="00812509" w14:paraId="7FC1EBA8"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Pr>
          <w:p w14:paraId="5BFBB4E2" w14:textId="77777777" w:rsidR="005D51FA" w:rsidRPr="00990E00" w:rsidRDefault="005D51FA" w:rsidP="002B0289">
            <w:pPr>
              <w:keepLines/>
              <w:spacing w:before="40" w:after="40" w:line="200" w:lineRule="atLeast"/>
              <w:rPr>
                <w:rFonts w:eastAsia="Times New Roman" w:cstheme="minorHAnsi"/>
                <w:iCs/>
                <w:szCs w:val="17"/>
              </w:rPr>
            </w:pPr>
            <w:r w:rsidRPr="00990E00">
              <w:rPr>
                <w:rFonts w:asciiTheme="minorHAnsi" w:eastAsia="Times New Roman" w:hAnsiTheme="minorHAnsi" w:cstheme="minorHAnsi"/>
                <w:iCs/>
                <w:szCs w:val="17"/>
              </w:rPr>
              <w:t>SI Governance Program 2017-2021</w:t>
            </w:r>
          </w:p>
        </w:tc>
        <w:tc>
          <w:tcPr>
            <w:tcW w:w="643" w:type="pct"/>
          </w:tcPr>
          <w:p w14:paraId="62571C77" w14:textId="77777777" w:rsidR="005D51FA" w:rsidRPr="00E3002B" w:rsidRDefault="005D51FA" w:rsidP="002B0289">
            <w:pPr>
              <w:keepLines/>
              <w:spacing w:before="40" w:after="40" w:line="200" w:lineRule="atLeast"/>
              <w:rPr>
                <w:rFonts w:eastAsia="Times New Roman" w:cstheme="minorHAnsi"/>
                <w:iCs/>
                <w:szCs w:val="17"/>
              </w:rPr>
            </w:pPr>
            <w:r w:rsidRPr="00E3002B">
              <w:rPr>
                <w:rFonts w:asciiTheme="minorHAnsi" w:eastAsia="Times New Roman" w:hAnsiTheme="minorHAnsi" w:cstheme="minorHAnsi"/>
                <w:iCs/>
                <w:szCs w:val="17"/>
              </w:rPr>
              <w:t>$30,986,379</w:t>
            </w:r>
          </w:p>
        </w:tc>
        <w:tc>
          <w:tcPr>
            <w:tcW w:w="850" w:type="pct"/>
            <w:tcBorders>
              <w:bottom w:val="single" w:sz="2" w:space="0" w:color="65C5B4" w:themeColor="accent1"/>
            </w:tcBorders>
            <w:shd w:val="clear" w:color="auto" w:fill="auto"/>
          </w:tcPr>
          <w:p w14:paraId="42EBDD51" w14:textId="77777777" w:rsidR="005D51FA" w:rsidRDefault="005D51FA" w:rsidP="002B0289">
            <w:pPr>
              <w:keepLines/>
              <w:spacing w:before="40" w:after="40" w:line="200" w:lineRule="atLeast"/>
              <w:rPr>
                <w:rFonts w:eastAsia="Times New Roman" w:cstheme="minorHAnsi"/>
                <w:iCs/>
                <w:szCs w:val="17"/>
              </w:rPr>
            </w:pPr>
            <w:r>
              <w:rPr>
                <w:rFonts w:asciiTheme="minorHAnsi" w:eastAsia="Times New Roman" w:hAnsiTheme="minorHAnsi" w:cstheme="minorHAnsi"/>
                <w:iCs/>
                <w:szCs w:val="17"/>
              </w:rPr>
              <w:t>2020 AQC</w:t>
            </w:r>
          </w:p>
        </w:tc>
        <w:tc>
          <w:tcPr>
            <w:tcW w:w="348" w:type="pct"/>
            <w:tcBorders>
              <w:bottom w:val="single" w:sz="2" w:space="0" w:color="65C5B4" w:themeColor="accent1"/>
            </w:tcBorders>
            <w:shd w:val="clear" w:color="auto" w:fill="auto"/>
          </w:tcPr>
          <w:p w14:paraId="6D964F54"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5</w:t>
            </w:r>
          </w:p>
        </w:tc>
        <w:tc>
          <w:tcPr>
            <w:tcW w:w="348" w:type="pct"/>
            <w:tcBorders>
              <w:bottom w:val="single" w:sz="2" w:space="0" w:color="65C5B4" w:themeColor="accent1"/>
            </w:tcBorders>
            <w:shd w:val="clear" w:color="auto" w:fill="auto"/>
          </w:tcPr>
          <w:p w14:paraId="3A6E40BA"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single" w:sz="2" w:space="0" w:color="65C5B4" w:themeColor="accent1"/>
            </w:tcBorders>
            <w:shd w:val="clear" w:color="auto" w:fill="auto"/>
          </w:tcPr>
          <w:p w14:paraId="32B5F91C"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3</w:t>
            </w:r>
          </w:p>
        </w:tc>
      </w:tr>
      <w:tr w:rsidR="005D51FA" w:rsidRPr="00812509" w14:paraId="1268F8D7"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bottom w:val="none" w:sz="0" w:space="0" w:color="auto"/>
            </w:tcBorders>
          </w:tcPr>
          <w:p w14:paraId="4D7A92C0" w14:textId="77777777" w:rsidR="005D51FA" w:rsidRPr="00990E00" w:rsidRDefault="005D51FA" w:rsidP="002B0289">
            <w:pPr>
              <w:keepLines/>
              <w:spacing w:before="40" w:after="40" w:line="200" w:lineRule="atLeast"/>
              <w:rPr>
                <w:rFonts w:eastAsia="Times New Roman" w:cstheme="minorHAnsi"/>
                <w:iCs/>
                <w:szCs w:val="17"/>
              </w:rPr>
            </w:pPr>
          </w:p>
        </w:tc>
        <w:tc>
          <w:tcPr>
            <w:tcW w:w="643" w:type="pct"/>
            <w:tcBorders>
              <w:bottom w:val="none" w:sz="0" w:space="0" w:color="auto"/>
            </w:tcBorders>
          </w:tcPr>
          <w:p w14:paraId="725CC05D" w14:textId="77777777" w:rsidR="005D51FA" w:rsidRPr="00E3002B" w:rsidRDefault="005D51FA" w:rsidP="002B0289">
            <w:pPr>
              <w:keepLines/>
              <w:spacing w:before="40" w:after="40" w:line="200" w:lineRule="atLeast"/>
              <w:rPr>
                <w:rFonts w:eastAsia="Times New Roman" w:cstheme="minorHAnsi"/>
                <w:iCs/>
                <w:szCs w:val="17"/>
              </w:rPr>
            </w:pPr>
            <w:r w:rsidRPr="00E3002B">
              <w:rPr>
                <w:rFonts w:asciiTheme="minorHAnsi" w:eastAsia="Times New Roman" w:hAnsiTheme="minorHAnsi" w:cstheme="minorHAnsi"/>
                <w:iCs/>
                <w:szCs w:val="17"/>
              </w:rPr>
              <w:t>2017-2021</w:t>
            </w:r>
          </w:p>
        </w:tc>
        <w:tc>
          <w:tcPr>
            <w:tcW w:w="850" w:type="pct"/>
            <w:tcBorders>
              <w:bottom w:val="none" w:sz="0" w:space="0" w:color="auto"/>
            </w:tcBorders>
            <w:shd w:val="clear" w:color="auto" w:fill="auto"/>
          </w:tcPr>
          <w:p w14:paraId="6B4CB036" w14:textId="77777777" w:rsidR="005D51FA" w:rsidRDefault="005D51FA" w:rsidP="002B0289">
            <w:pPr>
              <w:keepLines/>
              <w:spacing w:before="40" w:after="40" w:line="200" w:lineRule="atLeast"/>
              <w:rPr>
                <w:rFonts w:eastAsia="Times New Roman" w:cstheme="minorHAnsi"/>
                <w:iCs/>
                <w:szCs w:val="17"/>
              </w:rPr>
            </w:pPr>
            <w:r>
              <w:rPr>
                <w:rFonts w:asciiTheme="minorHAnsi" w:eastAsia="Times New Roman" w:hAnsiTheme="minorHAnsi" w:cstheme="minorHAnsi"/>
                <w:iCs/>
                <w:szCs w:val="17"/>
              </w:rPr>
              <w:t>2019 AQC</w:t>
            </w:r>
          </w:p>
        </w:tc>
        <w:tc>
          <w:tcPr>
            <w:tcW w:w="348" w:type="pct"/>
            <w:tcBorders>
              <w:bottom w:val="none" w:sz="0" w:space="0" w:color="auto"/>
            </w:tcBorders>
            <w:shd w:val="clear" w:color="auto" w:fill="auto"/>
          </w:tcPr>
          <w:p w14:paraId="7810EE57"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5</w:t>
            </w:r>
          </w:p>
        </w:tc>
        <w:tc>
          <w:tcPr>
            <w:tcW w:w="348" w:type="pct"/>
            <w:tcBorders>
              <w:bottom w:val="none" w:sz="0" w:space="0" w:color="auto"/>
            </w:tcBorders>
            <w:shd w:val="clear" w:color="auto" w:fill="auto"/>
          </w:tcPr>
          <w:p w14:paraId="3C948102"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none" w:sz="0" w:space="0" w:color="auto"/>
            </w:tcBorders>
            <w:shd w:val="clear" w:color="auto" w:fill="auto"/>
          </w:tcPr>
          <w:p w14:paraId="2825F7E1"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r>
      <w:tr w:rsidR="00990E00" w:rsidRPr="00812509" w14:paraId="171807F3"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top w:val="single" w:sz="2" w:space="0" w:color="65C5B4" w:themeColor="accent1"/>
            </w:tcBorders>
          </w:tcPr>
          <w:p w14:paraId="601F1975" w14:textId="77777777" w:rsidR="005D51FA" w:rsidRPr="00990E00" w:rsidRDefault="005D51FA" w:rsidP="002B0289">
            <w:pPr>
              <w:keepLines/>
              <w:spacing w:before="40" w:after="40" w:line="200" w:lineRule="atLeast"/>
              <w:rPr>
                <w:rFonts w:eastAsia="Times New Roman" w:cstheme="minorHAnsi"/>
                <w:iCs/>
                <w:szCs w:val="17"/>
              </w:rPr>
            </w:pPr>
            <w:r w:rsidRPr="00990E00">
              <w:rPr>
                <w:rFonts w:asciiTheme="minorHAnsi" w:eastAsia="Times New Roman" w:hAnsiTheme="minorHAnsi" w:cstheme="minorHAnsi"/>
                <w:iCs/>
                <w:szCs w:val="17"/>
              </w:rPr>
              <w:t>SI Justice program 2017-2021</w:t>
            </w:r>
            <w:bookmarkStart w:id="0" w:name="_GoBack"/>
            <w:bookmarkEnd w:id="0"/>
          </w:p>
        </w:tc>
        <w:tc>
          <w:tcPr>
            <w:tcW w:w="643" w:type="pct"/>
            <w:tcBorders>
              <w:top w:val="single" w:sz="2" w:space="0" w:color="65C5B4" w:themeColor="accent1"/>
            </w:tcBorders>
          </w:tcPr>
          <w:p w14:paraId="2420970A" w14:textId="77777777" w:rsidR="005D51FA" w:rsidRPr="00E3002B" w:rsidRDefault="005D51FA" w:rsidP="002B0289">
            <w:pPr>
              <w:keepLines/>
              <w:spacing w:before="40" w:after="40" w:line="200" w:lineRule="atLeast"/>
              <w:rPr>
                <w:rFonts w:eastAsia="Times New Roman" w:cstheme="minorHAnsi"/>
                <w:iCs/>
                <w:szCs w:val="17"/>
              </w:rPr>
            </w:pPr>
            <w:r w:rsidRPr="00E3002B">
              <w:rPr>
                <w:rFonts w:asciiTheme="minorHAnsi" w:eastAsia="Times New Roman" w:hAnsiTheme="minorHAnsi" w:cstheme="minorHAnsi"/>
                <w:iCs/>
                <w:szCs w:val="17"/>
              </w:rPr>
              <w:t>$31,035,530</w:t>
            </w:r>
          </w:p>
        </w:tc>
        <w:tc>
          <w:tcPr>
            <w:tcW w:w="850" w:type="pct"/>
            <w:tcBorders>
              <w:top w:val="single" w:sz="2" w:space="0" w:color="65C5B4" w:themeColor="accent1"/>
              <w:bottom w:val="single" w:sz="2" w:space="0" w:color="65C5B4" w:themeColor="accent1"/>
            </w:tcBorders>
            <w:shd w:val="clear" w:color="auto" w:fill="auto"/>
          </w:tcPr>
          <w:p w14:paraId="114F25F0" w14:textId="77777777" w:rsidR="005D51FA" w:rsidRDefault="005D51FA" w:rsidP="002B0289">
            <w:pPr>
              <w:keepLines/>
              <w:spacing w:before="40" w:after="40" w:line="200" w:lineRule="atLeast"/>
              <w:rPr>
                <w:rFonts w:eastAsia="Times New Roman" w:cstheme="minorHAnsi"/>
                <w:iCs/>
                <w:szCs w:val="17"/>
              </w:rPr>
            </w:pPr>
            <w:r>
              <w:rPr>
                <w:rFonts w:asciiTheme="minorHAnsi" w:eastAsia="Times New Roman" w:hAnsiTheme="minorHAnsi" w:cstheme="minorHAnsi"/>
                <w:iCs/>
                <w:szCs w:val="17"/>
              </w:rPr>
              <w:t>2020 AQC</w:t>
            </w:r>
          </w:p>
        </w:tc>
        <w:tc>
          <w:tcPr>
            <w:tcW w:w="348" w:type="pct"/>
            <w:tcBorders>
              <w:top w:val="single" w:sz="2" w:space="0" w:color="65C5B4" w:themeColor="accent1"/>
              <w:bottom w:val="single" w:sz="2" w:space="0" w:color="65C5B4" w:themeColor="accent1"/>
            </w:tcBorders>
            <w:shd w:val="clear" w:color="auto" w:fill="auto"/>
          </w:tcPr>
          <w:p w14:paraId="246F30B8"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top w:val="single" w:sz="2" w:space="0" w:color="65C5B4" w:themeColor="accent1"/>
              <w:bottom w:val="single" w:sz="2" w:space="0" w:color="65C5B4" w:themeColor="accent1"/>
            </w:tcBorders>
            <w:shd w:val="clear" w:color="auto" w:fill="auto"/>
          </w:tcPr>
          <w:p w14:paraId="58ACD617"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3</w:t>
            </w:r>
          </w:p>
        </w:tc>
        <w:tc>
          <w:tcPr>
            <w:tcW w:w="348" w:type="pct"/>
            <w:tcBorders>
              <w:top w:val="single" w:sz="2" w:space="0" w:color="65C5B4" w:themeColor="accent1"/>
              <w:bottom w:val="single" w:sz="2" w:space="0" w:color="65C5B4" w:themeColor="accent1"/>
            </w:tcBorders>
            <w:shd w:val="clear" w:color="auto" w:fill="auto"/>
          </w:tcPr>
          <w:p w14:paraId="799E02A0"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r>
      <w:tr w:rsidR="00990E00" w:rsidRPr="00812509" w14:paraId="52EB87B4"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bottom w:val="single" w:sz="2" w:space="0" w:color="65C5B4" w:themeColor="accent1"/>
            </w:tcBorders>
          </w:tcPr>
          <w:p w14:paraId="0FF5AEE7" w14:textId="77777777" w:rsidR="005D51FA" w:rsidRPr="00990E00" w:rsidRDefault="005D51FA" w:rsidP="002B0289">
            <w:pPr>
              <w:keepLines/>
              <w:spacing w:before="40" w:after="40" w:line="200" w:lineRule="atLeast"/>
              <w:rPr>
                <w:rFonts w:eastAsia="Times New Roman" w:cstheme="minorHAnsi"/>
                <w:iCs/>
                <w:szCs w:val="17"/>
              </w:rPr>
            </w:pPr>
          </w:p>
        </w:tc>
        <w:tc>
          <w:tcPr>
            <w:tcW w:w="643" w:type="pct"/>
            <w:tcBorders>
              <w:bottom w:val="single" w:sz="2" w:space="0" w:color="65C5B4" w:themeColor="accent1"/>
            </w:tcBorders>
          </w:tcPr>
          <w:p w14:paraId="5F437B2E" w14:textId="77777777" w:rsidR="005D51FA" w:rsidRPr="00E3002B" w:rsidRDefault="005D51FA" w:rsidP="002B0289">
            <w:pPr>
              <w:keepLines/>
              <w:spacing w:before="40" w:after="40" w:line="200" w:lineRule="atLeast"/>
              <w:rPr>
                <w:rFonts w:eastAsia="Times New Roman" w:cstheme="minorHAnsi"/>
                <w:iCs/>
                <w:szCs w:val="17"/>
              </w:rPr>
            </w:pPr>
            <w:r w:rsidRPr="00E3002B">
              <w:rPr>
                <w:rFonts w:asciiTheme="minorHAnsi" w:eastAsia="Times New Roman" w:hAnsiTheme="minorHAnsi" w:cstheme="minorHAnsi"/>
                <w:iCs/>
                <w:szCs w:val="17"/>
              </w:rPr>
              <w:t>2017-2021</w:t>
            </w:r>
          </w:p>
        </w:tc>
        <w:tc>
          <w:tcPr>
            <w:tcW w:w="850" w:type="pct"/>
            <w:tcBorders>
              <w:bottom w:val="single" w:sz="2" w:space="0" w:color="65C5B4" w:themeColor="accent1"/>
            </w:tcBorders>
            <w:shd w:val="clear" w:color="auto" w:fill="auto"/>
          </w:tcPr>
          <w:p w14:paraId="3AD97472" w14:textId="77777777" w:rsidR="005D51FA" w:rsidRDefault="005D51FA" w:rsidP="002B0289">
            <w:pPr>
              <w:keepLines/>
              <w:spacing w:before="40" w:after="40" w:line="200" w:lineRule="atLeast"/>
              <w:rPr>
                <w:rFonts w:eastAsia="Times New Roman" w:cstheme="minorHAnsi"/>
                <w:iCs/>
                <w:szCs w:val="17"/>
              </w:rPr>
            </w:pPr>
            <w:r>
              <w:rPr>
                <w:rFonts w:asciiTheme="minorHAnsi" w:eastAsia="Times New Roman" w:hAnsiTheme="minorHAnsi" w:cstheme="minorHAnsi"/>
                <w:iCs/>
                <w:szCs w:val="17"/>
              </w:rPr>
              <w:t>2019 AQC</w:t>
            </w:r>
          </w:p>
        </w:tc>
        <w:tc>
          <w:tcPr>
            <w:tcW w:w="348" w:type="pct"/>
            <w:tcBorders>
              <w:bottom w:val="single" w:sz="2" w:space="0" w:color="65C5B4" w:themeColor="accent1"/>
            </w:tcBorders>
            <w:shd w:val="clear" w:color="auto" w:fill="auto"/>
          </w:tcPr>
          <w:p w14:paraId="4354FFFF"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5</w:t>
            </w:r>
          </w:p>
        </w:tc>
        <w:tc>
          <w:tcPr>
            <w:tcW w:w="348" w:type="pct"/>
            <w:tcBorders>
              <w:bottom w:val="single" w:sz="2" w:space="0" w:color="65C5B4" w:themeColor="accent1"/>
            </w:tcBorders>
            <w:shd w:val="clear" w:color="auto" w:fill="auto"/>
          </w:tcPr>
          <w:p w14:paraId="2EEDB786"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single" w:sz="2" w:space="0" w:color="65C5B4" w:themeColor="accent1"/>
            </w:tcBorders>
            <w:shd w:val="clear" w:color="auto" w:fill="auto"/>
          </w:tcPr>
          <w:p w14:paraId="70A65A02"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r>
      <w:tr w:rsidR="00990E00" w:rsidRPr="00812509" w14:paraId="4886A9FD"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Pr>
          <w:p w14:paraId="30C1DDA2" w14:textId="77777777" w:rsidR="005D51FA" w:rsidRPr="00990E00" w:rsidRDefault="005D51FA" w:rsidP="002B0289">
            <w:pPr>
              <w:keepLines/>
              <w:spacing w:before="40" w:after="40" w:line="200" w:lineRule="atLeast"/>
              <w:rPr>
                <w:rFonts w:eastAsia="Times New Roman" w:cstheme="minorHAnsi"/>
                <w:iCs/>
                <w:szCs w:val="17"/>
              </w:rPr>
            </w:pPr>
            <w:r w:rsidRPr="00990E00">
              <w:rPr>
                <w:rFonts w:asciiTheme="minorHAnsi" w:eastAsia="Times New Roman" w:hAnsiTheme="minorHAnsi" w:cstheme="minorHAnsi"/>
                <w:iCs/>
                <w:szCs w:val="17"/>
              </w:rPr>
              <w:t>SI Democratic Governance Phase 2</w:t>
            </w:r>
          </w:p>
        </w:tc>
        <w:tc>
          <w:tcPr>
            <w:tcW w:w="643" w:type="pct"/>
          </w:tcPr>
          <w:p w14:paraId="18605025" w14:textId="77777777" w:rsidR="005D51FA" w:rsidRPr="00E3002B" w:rsidRDefault="005D51FA" w:rsidP="002B0289">
            <w:pPr>
              <w:keepLines/>
              <w:spacing w:before="40" w:after="40" w:line="200" w:lineRule="atLeast"/>
              <w:rPr>
                <w:rFonts w:eastAsia="Times New Roman" w:cstheme="minorHAnsi"/>
                <w:iCs/>
                <w:szCs w:val="17"/>
              </w:rPr>
            </w:pPr>
            <w:r w:rsidRPr="00E3002B">
              <w:rPr>
                <w:rFonts w:asciiTheme="minorHAnsi" w:eastAsia="Times New Roman" w:hAnsiTheme="minorHAnsi" w:cstheme="minorHAnsi"/>
                <w:iCs/>
                <w:szCs w:val="17"/>
              </w:rPr>
              <w:t>$8,295,871</w:t>
            </w:r>
          </w:p>
        </w:tc>
        <w:tc>
          <w:tcPr>
            <w:tcW w:w="850" w:type="pct"/>
            <w:tcBorders>
              <w:bottom w:val="single" w:sz="2" w:space="0" w:color="65C5B4" w:themeColor="accent1"/>
            </w:tcBorders>
            <w:shd w:val="clear" w:color="auto" w:fill="auto"/>
          </w:tcPr>
          <w:p w14:paraId="41EF4913" w14:textId="77777777" w:rsidR="005D51FA" w:rsidRDefault="005D51FA" w:rsidP="002B0289">
            <w:pPr>
              <w:keepLines/>
              <w:spacing w:before="40" w:after="40" w:line="200" w:lineRule="atLeast"/>
              <w:rPr>
                <w:rFonts w:eastAsia="Times New Roman" w:cstheme="minorHAnsi"/>
                <w:iCs/>
                <w:szCs w:val="17"/>
              </w:rPr>
            </w:pPr>
            <w:r>
              <w:rPr>
                <w:rFonts w:asciiTheme="minorHAnsi" w:eastAsia="Times New Roman" w:hAnsiTheme="minorHAnsi" w:cstheme="minorHAnsi"/>
                <w:iCs/>
                <w:szCs w:val="17"/>
              </w:rPr>
              <w:t>2020 AQC</w:t>
            </w:r>
          </w:p>
        </w:tc>
        <w:tc>
          <w:tcPr>
            <w:tcW w:w="348" w:type="pct"/>
            <w:tcBorders>
              <w:bottom w:val="single" w:sz="2" w:space="0" w:color="65C5B4" w:themeColor="accent1"/>
            </w:tcBorders>
            <w:shd w:val="clear" w:color="auto" w:fill="auto"/>
          </w:tcPr>
          <w:p w14:paraId="13D32922"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5</w:t>
            </w:r>
          </w:p>
        </w:tc>
        <w:tc>
          <w:tcPr>
            <w:tcW w:w="348" w:type="pct"/>
            <w:tcBorders>
              <w:bottom w:val="single" w:sz="2" w:space="0" w:color="65C5B4" w:themeColor="accent1"/>
            </w:tcBorders>
            <w:shd w:val="clear" w:color="auto" w:fill="auto"/>
          </w:tcPr>
          <w:p w14:paraId="26DDBEEA"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single" w:sz="2" w:space="0" w:color="65C5B4" w:themeColor="accent1"/>
            </w:tcBorders>
            <w:shd w:val="clear" w:color="auto" w:fill="auto"/>
          </w:tcPr>
          <w:p w14:paraId="23F1EE60"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3</w:t>
            </w:r>
          </w:p>
        </w:tc>
      </w:tr>
      <w:tr w:rsidR="005D51FA" w:rsidRPr="00812509" w14:paraId="1A3B6FC8" w14:textId="77777777" w:rsidTr="00386619">
        <w:trPr>
          <w:cnfStyle w:val="100000000000" w:firstRow="1" w:lastRow="0" w:firstColumn="0" w:lastColumn="0" w:oddVBand="0" w:evenVBand="0" w:oddHBand="0" w:evenHBand="0" w:firstRowFirstColumn="0" w:firstRowLastColumn="0" w:lastRowFirstColumn="0" w:lastRowLastColumn="0"/>
          <w:trHeight w:val="284"/>
        </w:trPr>
        <w:tc>
          <w:tcPr>
            <w:tcW w:w="2345" w:type="pct"/>
            <w:tcBorders>
              <w:bottom w:val="none" w:sz="0" w:space="0" w:color="auto"/>
            </w:tcBorders>
          </w:tcPr>
          <w:p w14:paraId="71341856" w14:textId="77777777" w:rsidR="005D51FA" w:rsidRPr="00F06480" w:rsidRDefault="005D51FA" w:rsidP="002B0289">
            <w:pPr>
              <w:keepLines/>
              <w:spacing w:before="40" w:after="40" w:line="200" w:lineRule="atLeast"/>
              <w:rPr>
                <w:rFonts w:eastAsia="Times New Roman" w:cstheme="minorHAnsi"/>
                <w:b w:val="0"/>
                <w:iCs/>
                <w:szCs w:val="17"/>
              </w:rPr>
            </w:pPr>
          </w:p>
        </w:tc>
        <w:tc>
          <w:tcPr>
            <w:tcW w:w="643" w:type="pct"/>
            <w:tcBorders>
              <w:bottom w:val="none" w:sz="0" w:space="0" w:color="auto"/>
            </w:tcBorders>
          </w:tcPr>
          <w:p w14:paraId="76969BBE" w14:textId="77777777" w:rsidR="005D51FA" w:rsidRPr="00E3002B" w:rsidRDefault="005D51FA" w:rsidP="002B0289">
            <w:pPr>
              <w:keepLines/>
              <w:spacing w:before="40" w:after="40" w:line="200" w:lineRule="atLeast"/>
              <w:rPr>
                <w:rFonts w:eastAsia="Times New Roman" w:cstheme="minorHAnsi"/>
                <w:iCs/>
                <w:szCs w:val="17"/>
              </w:rPr>
            </w:pPr>
            <w:r w:rsidRPr="00E3002B">
              <w:rPr>
                <w:rFonts w:asciiTheme="minorHAnsi" w:eastAsia="Times New Roman" w:hAnsiTheme="minorHAnsi" w:cstheme="minorHAnsi"/>
                <w:iCs/>
                <w:szCs w:val="17"/>
              </w:rPr>
              <w:t>2017-2019</w:t>
            </w:r>
          </w:p>
        </w:tc>
        <w:tc>
          <w:tcPr>
            <w:tcW w:w="850" w:type="pct"/>
            <w:tcBorders>
              <w:bottom w:val="none" w:sz="0" w:space="0" w:color="auto"/>
            </w:tcBorders>
            <w:shd w:val="clear" w:color="auto" w:fill="auto"/>
          </w:tcPr>
          <w:p w14:paraId="0AE1B5A6" w14:textId="77777777" w:rsidR="005D51FA" w:rsidRDefault="005D51FA" w:rsidP="002B0289">
            <w:pPr>
              <w:keepLines/>
              <w:spacing w:before="40" w:after="40" w:line="200" w:lineRule="atLeast"/>
              <w:rPr>
                <w:rFonts w:eastAsia="Times New Roman" w:cstheme="minorHAnsi"/>
                <w:iCs/>
                <w:szCs w:val="17"/>
              </w:rPr>
            </w:pPr>
            <w:r>
              <w:rPr>
                <w:rFonts w:asciiTheme="minorHAnsi" w:eastAsia="Times New Roman" w:hAnsiTheme="minorHAnsi" w:cstheme="minorHAnsi"/>
                <w:iCs/>
                <w:szCs w:val="17"/>
              </w:rPr>
              <w:t>2019 AQC</w:t>
            </w:r>
          </w:p>
        </w:tc>
        <w:tc>
          <w:tcPr>
            <w:tcW w:w="348" w:type="pct"/>
            <w:tcBorders>
              <w:bottom w:val="none" w:sz="0" w:space="0" w:color="auto"/>
            </w:tcBorders>
            <w:shd w:val="clear" w:color="auto" w:fill="auto"/>
          </w:tcPr>
          <w:p w14:paraId="10024AE5"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3</w:t>
            </w:r>
          </w:p>
        </w:tc>
        <w:tc>
          <w:tcPr>
            <w:tcW w:w="348" w:type="pct"/>
            <w:tcBorders>
              <w:bottom w:val="none" w:sz="0" w:space="0" w:color="auto"/>
            </w:tcBorders>
            <w:shd w:val="clear" w:color="auto" w:fill="auto"/>
          </w:tcPr>
          <w:p w14:paraId="42FFDF66"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c>
          <w:tcPr>
            <w:tcW w:w="348" w:type="pct"/>
            <w:tcBorders>
              <w:bottom w:val="none" w:sz="0" w:space="0" w:color="auto"/>
            </w:tcBorders>
            <w:shd w:val="clear" w:color="auto" w:fill="auto"/>
          </w:tcPr>
          <w:p w14:paraId="6D2A2C56" w14:textId="77777777" w:rsidR="005D51FA" w:rsidRPr="00990E00" w:rsidRDefault="005D51FA" w:rsidP="002B0289">
            <w:pPr>
              <w:keepLines/>
              <w:spacing w:before="40" w:after="40" w:line="200" w:lineRule="atLeast"/>
              <w:jc w:val="center"/>
              <w:rPr>
                <w:rFonts w:asciiTheme="minorHAnsi" w:eastAsia="Times New Roman" w:hAnsiTheme="minorHAnsi" w:cstheme="minorHAnsi"/>
                <w:iCs/>
                <w:szCs w:val="17"/>
              </w:rPr>
            </w:pPr>
            <w:r w:rsidRPr="00990E00">
              <w:rPr>
                <w:rFonts w:asciiTheme="minorHAnsi" w:eastAsia="Times New Roman" w:hAnsiTheme="minorHAnsi" w:cstheme="minorHAnsi"/>
                <w:iCs/>
                <w:szCs w:val="17"/>
              </w:rPr>
              <w:t>4</w:t>
            </w:r>
          </w:p>
        </w:tc>
      </w:tr>
    </w:tbl>
    <w:p w14:paraId="4D8DDBA5" w14:textId="77777777" w:rsidR="00363A88" w:rsidRDefault="00363A88" w:rsidP="00390828">
      <w:pPr>
        <w:pStyle w:val="Heading3"/>
      </w:pPr>
    </w:p>
    <w:p w14:paraId="12DADFFE" w14:textId="77777777" w:rsidR="00363A88" w:rsidRDefault="00363A88">
      <w:pPr>
        <w:suppressAutoHyphens w:val="0"/>
        <w:spacing w:before="0" w:after="120" w:line="440" w:lineRule="atLeast"/>
        <w:rPr>
          <w:rFonts w:asciiTheme="majorHAnsi" w:eastAsiaTheme="majorEastAsia" w:hAnsiTheme="majorHAnsi" w:cstheme="majorBidi"/>
          <w:bCs/>
          <w:sz w:val="30"/>
          <w:szCs w:val="26"/>
        </w:rPr>
      </w:pPr>
      <w:r>
        <w:br w:type="page"/>
      </w:r>
    </w:p>
    <w:p w14:paraId="4CE60313" w14:textId="563037D6" w:rsidR="00390828" w:rsidRDefault="00390828" w:rsidP="00390828">
      <w:pPr>
        <w:pStyle w:val="Heading3"/>
      </w:pPr>
      <w:r w:rsidRPr="00596742">
        <w:lastRenderedPageBreak/>
        <w:t xml:space="preserve">Final </w:t>
      </w:r>
      <w:r w:rsidR="00B927C4" w:rsidRPr="00596742">
        <w:t xml:space="preserve">Investment Monitoring Report </w:t>
      </w:r>
      <w:r w:rsidRPr="00596742">
        <w:t>ratings</w:t>
      </w:r>
      <w:r>
        <w:t xml:space="preserve"> </w:t>
      </w:r>
    </w:p>
    <w:p w14:paraId="2F10BB6E" w14:textId="77777777" w:rsidR="00596742" w:rsidRDefault="00596742" w:rsidP="00596742"/>
    <w:tbl>
      <w:tblPr>
        <w:tblStyle w:val="APPR"/>
        <w:tblW w:w="4810" w:type="pct"/>
        <w:tblLook w:val="0020" w:firstRow="1" w:lastRow="0" w:firstColumn="0" w:lastColumn="0" w:noHBand="0" w:noVBand="0"/>
      </w:tblPr>
      <w:tblGrid>
        <w:gridCol w:w="2832"/>
        <w:gridCol w:w="1104"/>
        <w:gridCol w:w="623"/>
        <w:gridCol w:w="640"/>
        <w:gridCol w:w="626"/>
        <w:gridCol w:w="656"/>
        <w:gridCol w:w="718"/>
        <w:gridCol w:w="655"/>
        <w:gridCol w:w="711"/>
        <w:gridCol w:w="707"/>
      </w:tblGrid>
      <w:tr w:rsidR="00596742" w:rsidRPr="00812509" w14:paraId="3011CA37" w14:textId="77777777" w:rsidTr="00C74B28">
        <w:trPr>
          <w:cnfStyle w:val="100000000000" w:firstRow="1" w:lastRow="0" w:firstColumn="0" w:lastColumn="0" w:oddVBand="0" w:evenVBand="0" w:oddHBand="0" w:evenHBand="0" w:firstRowFirstColumn="0" w:firstRowLastColumn="0" w:lastRowFirstColumn="0" w:lastRowLastColumn="0"/>
          <w:trHeight w:val="1505"/>
        </w:trPr>
        <w:tc>
          <w:tcPr>
            <w:tcW w:w="1506" w:type="pct"/>
          </w:tcPr>
          <w:p w14:paraId="2FF34866" w14:textId="685197AC" w:rsidR="00596742" w:rsidRPr="00812509" w:rsidRDefault="00596742" w:rsidP="002B0289">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2576" behindDoc="0" locked="0" layoutInCell="1" allowOverlap="1" wp14:anchorId="39B648A1" wp14:editId="1AAC0586">
                  <wp:simplePos x="0" y="0"/>
                  <wp:positionH relativeFrom="column">
                    <wp:posOffset>0</wp:posOffset>
                  </wp:positionH>
                  <wp:positionV relativeFrom="paragraph">
                    <wp:posOffset>0</wp:posOffset>
                  </wp:positionV>
                  <wp:extent cx="1857375" cy="228600"/>
                  <wp:effectExtent l="0" t="0" r="9525" b="0"/>
                  <wp:wrapNone/>
                  <wp:docPr id="4" name="Picture 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4DD">
              <w:rPr>
                <w:rFonts w:asciiTheme="minorHAnsi" w:eastAsia="Times New Roman" w:hAnsiTheme="minorHAnsi"/>
                <w:iCs/>
                <w:szCs w:val="17"/>
                <w:lang w:eastAsia="en-US"/>
              </w:rPr>
              <w:t>Investment name</w:t>
            </w:r>
          </w:p>
        </w:tc>
        <w:tc>
          <w:tcPr>
            <w:tcW w:w="580" w:type="pct"/>
            <w:textDirection w:val="btLr"/>
          </w:tcPr>
          <w:p w14:paraId="232D37F0" w14:textId="77777777" w:rsidR="00596742" w:rsidRPr="00812509" w:rsidRDefault="00596742" w:rsidP="002B0289">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319" w:type="pct"/>
            <w:noWrap/>
            <w:textDirection w:val="btLr"/>
          </w:tcPr>
          <w:p w14:paraId="18C7C596" w14:textId="77777777" w:rsidR="00596742" w:rsidRPr="00812509" w:rsidRDefault="00596742" w:rsidP="002B0289">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Effectiveness </w:t>
            </w:r>
          </w:p>
        </w:tc>
        <w:tc>
          <w:tcPr>
            <w:tcW w:w="331" w:type="pct"/>
            <w:noWrap/>
            <w:textDirection w:val="btLr"/>
          </w:tcPr>
          <w:p w14:paraId="42F3C556" w14:textId="77777777" w:rsidR="00596742" w:rsidRPr="00812509" w:rsidRDefault="00596742" w:rsidP="002B0289">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23" w:type="pct"/>
            <w:noWrap/>
            <w:textDirection w:val="btLr"/>
          </w:tcPr>
          <w:p w14:paraId="1CE656C6" w14:textId="77777777" w:rsidR="00596742" w:rsidRPr="00812509" w:rsidRDefault="00596742" w:rsidP="002B0289">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339" w:type="pct"/>
            <w:noWrap/>
            <w:textDirection w:val="btLr"/>
          </w:tcPr>
          <w:p w14:paraId="4B9BBE4C" w14:textId="77777777" w:rsidR="00596742" w:rsidRPr="00812509" w:rsidRDefault="00596742" w:rsidP="002B0289">
            <w:pPr>
              <w:keepLines/>
              <w:spacing w:before="80" w:after="80" w:line="200" w:lineRule="atLeast"/>
              <w:rPr>
                <w:rFonts w:asciiTheme="minorHAnsi" w:eastAsia="Times New Roman" w:hAnsiTheme="minorHAnsi"/>
                <w:b w:val="0"/>
                <w:iCs/>
                <w:szCs w:val="17"/>
                <w:lang w:eastAsia="en-US"/>
              </w:rPr>
            </w:pPr>
            <w:r>
              <w:rPr>
                <w:rFonts w:asciiTheme="minorHAnsi" w:eastAsia="Times New Roman" w:hAnsiTheme="minorHAnsi"/>
                <w:iCs/>
                <w:szCs w:val="17"/>
                <w:lang w:eastAsia="en-US"/>
              </w:rPr>
              <w:t xml:space="preserve">Risk </w:t>
            </w:r>
          </w:p>
        </w:tc>
        <w:tc>
          <w:tcPr>
            <w:tcW w:w="372" w:type="pct"/>
            <w:noWrap/>
            <w:textDirection w:val="btLr"/>
          </w:tcPr>
          <w:p w14:paraId="30E057AE" w14:textId="77777777" w:rsidR="00596742" w:rsidRPr="00812509" w:rsidRDefault="00596742" w:rsidP="002B0289">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338" w:type="pct"/>
            <w:noWrap/>
            <w:textDirection w:val="btLr"/>
          </w:tcPr>
          <w:p w14:paraId="29908188" w14:textId="77777777" w:rsidR="00596742" w:rsidRPr="00812509" w:rsidRDefault="00596742" w:rsidP="002B0289">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Sustainability</w:t>
            </w:r>
          </w:p>
        </w:tc>
        <w:tc>
          <w:tcPr>
            <w:tcW w:w="368" w:type="pct"/>
            <w:textDirection w:val="btLr"/>
          </w:tcPr>
          <w:p w14:paraId="27C617A6" w14:textId="77777777" w:rsidR="00596742" w:rsidRPr="00812509" w:rsidRDefault="00596742" w:rsidP="002B0289">
            <w:pPr>
              <w:keepLines/>
              <w:spacing w:before="80" w:after="80" w:line="200" w:lineRule="atLeast"/>
              <w:rPr>
                <w:rFonts w:asciiTheme="minorHAnsi" w:eastAsia="Times New Roman" w:hAnsiTheme="minorHAnsi"/>
                <w:b w:val="0"/>
                <w:iCs/>
                <w:szCs w:val="17"/>
                <w:lang w:eastAsia="en-US"/>
              </w:rPr>
            </w:pPr>
          </w:p>
        </w:tc>
        <w:tc>
          <w:tcPr>
            <w:tcW w:w="359" w:type="pct"/>
            <w:textDirection w:val="btLr"/>
          </w:tcPr>
          <w:p w14:paraId="7585FB97" w14:textId="77777777" w:rsidR="00596742" w:rsidRPr="00812509" w:rsidRDefault="00596742" w:rsidP="002B0289">
            <w:pPr>
              <w:keepLines/>
              <w:spacing w:before="80" w:after="80" w:line="200" w:lineRule="atLeast"/>
              <w:rPr>
                <w:rFonts w:asciiTheme="minorHAnsi" w:eastAsia="Times New Roman" w:hAnsiTheme="minorHAnsi"/>
                <w:b w:val="0"/>
                <w:iCs/>
                <w:szCs w:val="17"/>
                <w:lang w:eastAsia="en-US"/>
              </w:rPr>
            </w:pPr>
          </w:p>
        </w:tc>
      </w:tr>
      <w:tr w:rsidR="00596742" w:rsidRPr="00812509" w14:paraId="700367AF" w14:textId="77777777" w:rsidTr="00C74B28">
        <w:trPr>
          <w:cnfStyle w:val="100000000000" w:firstRow="1" w:lastRow="0" w:firstColumn="0" w:lastColumn="0" w:oddVBand="0" w:evenVBand="0" w:oddHBand="0" w:evenHBand="0" w:firstRowFirstColumn="0" w:firstRowLastColumn="0" w:lastRowFirstColumn="0" w:lastRowLastColumn="0"/>
          <w:trHeight w:val="284"/>
        </w:trPr>
        <w:tc>
          <w:tcPr>
            <w:tcW w:w="1506" w:type="pct"/>
            <w:tcBorders>
              <w:top w:val="single" w:sz="2" w:space="0" w:color="65C5B4" w:themeColor="accent1"/>
            </w:tcBorders>
          </w:tcPr>
          <w:p w14:paraId="35876B49" w14:textId="77777777" w:rsidR="00596742" w:rsidRPr="00FF6132" w:rsidRDefault="00596742" w:rsidP="002B0289">
            <w:pPr>
              <w:keepLines/>
              <w:spacing w:before="40" w:after="40" w:line="200" w:lineRule="atLeast"/>
              <w:rPr>
                <w:rFonts w:asciiTheme="minorHAnsi" w:eastAsia="Times New Roman" w:hAnsiTheme="minorHAnsi" w:cstheme="minorHAnsi"/>
                <w:iCs/>
                <w:szCs w:val="17"/>
              </w:rPr>
            </w:pPr>
            <w:r w:rsidRPr="00FF6132">
              <w:rPr>
                <w:rFonts w:asciiTheme="minorHAnsi" w:eastAsia="Times New Roman" w:hAnsiTheme="minorHAnsi" w:cstheme="minorHAnsi"/>
                <w:iCs/>
                <w:szCs w:val="17"/>
              </w:rPr>
              <w:t>Education Sector Program 2</w:t>
            </w:r>
          </w:p>
        </w:tc>
        <w:tc>
          <w:tcPr>
            <w:tcW w:w="580" w:type="pct"/>
            <w:tcBorders>
              <w:top w:val="single" w:sz="2" w:space="0" w:color="65C5B4" w:themeColor="accent1"/>
            </w:tcBorders>
          </w:tcPr>
          <w:p w14:paraId="272B980D" w14:textId="77777777" w:rsidR="00596742" w:rsidRPr="00E3002B" w:rsidRDefault="00596742" w:rsidP="002B0289">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$62,229,334</w:t>
            </w:r>
          </w:p>
        </w:tc>
        <w:tc>
          <w:tcPr>
            <w:tcW w:w="319" w:type="pct"/>
            <w:tcBorders>
              <w:top w:val="single" w:sz="2" w:space="0" w:color="65C5B4" w:themeColor="accent1"/>
            </w:tcBorders>
            <w:shd w:val="clear" w:color="auto" w:fill="auto"/>
            <w:noWrap/>
          </w:tcPr>
          <w:p w14:paraId="4E74FDF8" w14:textId="77777777" w:rsidR="00596742" w:rsidRPr="00915931" w:rsidRDefault="00596742" w:rsidP="002B0289">
            <w:pPr>
              <w:keepLines/>
              <w:spacing w:before="40" w:after="40" w:line="200" w:lineRule="atLeast"/>
              <w:rPr>
                <w:rFonts w:asciiTheme="minorHAnsi" w:eastAsia="Times New Roman" w:hAnsiTheme="minorHAnsi" w:cstheme="minorHAnsi"/>
                <w:iCs/>
                <w:szCs w:val="17"/>
              </w:rPr>
            </w:pPr>
          </w:p>
        </w:tc>
        <w:tc>
          <w:tcPr>
            <w:tcW w:w="331" w:type="pct"/>
            <w:tcBorders>
              <w:top w:val="single" w:sz="2" w:space="0" w:color="65C5B4" w:themeColor="accent1"/>
            </w:tcBorders>
            <w:shd w:val="clear" w:color="auto" w:fill="auto"/>
            <w:noWrap/>
          </w:tcPr>
          <w:p w14:paraId="793FE55D" w14:textId="77777777" w:rsidR="00596742" w:rsidRDefault="00596742" w:rsidP="002B0289">
            <w:pPr>
              <w:keepLines/>
              <w:spacing w:before="40" w:after="40" w:line="200" w:lineRule="atLeast"/>
              <w:jc w:val="center"/>
              <w:rPr>
                <w:rFonts w:eastAsia="Times New Roman" w:cstheme="minorHAnsi"/>
                <w:iCs/>
                <w:szCs w:val="17"/>
              </w:rPr>
            </w:pPr>
          </w:p>
        </w:tc>
        <w:tc>
          <w:tcPr>
            <w:tcW w:w="323" w:type="pct"/>
            <w:tcBorders>
              <w:top w:val="single" w:sz="2" w:space="0" w:color="65C5B4" w:themeColor="accent1"/>
            </w:tcBorders>
            <w:shd w:val="clear" w:color="auto" w:fill="auto"/>
            <w:noWrap/>
          </w:tcPr>
          <w:p w14:paraId="234F0B8F" w14:textId="77777777" w:rsidR="00596742" w:rsidRDefault="00596742" w:rsidP="002B0289">
            <w:pPr>
              <w:keepLines/>
              <w:spacing w:before="40" w:after="40" w:line="200" w:lineRule="atLeast"/>
              <w:jc w:val="center"/>
              <w:rPr>
                <w:rFonts w:eastAsia="Times New Roman" w:cstheme="minorHAnsi"/>
                <w:iCs/>
                <w:szCs w:val="17"/>
              </w:rPr>
            </w:pPr>
          </w:p>
        </w:tc>
        <w:tc>
          <w:tcPr>
            <w:tcW w:w="339" w:type="pct"/>
            <w:tcBorders>
              <w:top w:val="single" w:sz="2" w:space="0" w:color="65C5B4" w:themeColor="accent1"/>
            </w:tcBorders>
            <w:shd w:val="clear" w:color="auto" w:fill="auto"/>
            <w:noWrap/>
          </w:tcPr>
          <w:p w14:paraId="2A7B40A5" w14:textId="77777777" w:rsidR="00596742" w:rsidRDefault="00596742" w:rsidP="002B0289">
            <w:pPr>
              <w:keepLines/>
              <w:spacing w:before="40" w:after="40" w:line="200" w:lineRule="atLeast"/>
              <w:jc w:val="center"/>
              <w:rPr>
                <w:rFonts w:eastAsia="Times New Roman" w:cstheme="minorHAnsi"/>
                <w:iCs/>
                <w:szCs w:val="17"/>
              </w:rPr>
            </w:pPr>
          </w:p>
        </w:tc>
        <w:tc>
          <w:tcPr>
            <w:tcW w:w="372" w:type="pct"/>
            <w:tcBorders>
              <w:top w:val="single" w:sz="2" w:space="0" w:color="65C5B4" w:themeColor="accent1"/>
            </w:tcBorders>
            <w:shd w:val="clear" w:color="auto" w:fill="auto"/>
            <w:noWrap/>
          </w:tcPr>
          <w:p w14:paraId="556BCFA9" w14:textId="77777777" w:rsidR="00596742" w:rsidRPr="0078317D" w:rsidRDefault="00596742" w:rsidP="002B0289">
            <w:pPr>
              <w:keepLines/>
              <w:spacing w:before="40" w:after="40" w:line="200" w:lineRule="atLeast"/>
              <w:jc w:val="center"/>
              <w:rPr>
                <w:rFonts w:asciiTheme="minorHAnsi" w:eastAsia="Times New Roman" w:hAnsiTheme="minorHAnsi" w:cstheme="minorHAnsi"/>
                <w:iCs/>
                <w:szCs w:val="17"/>
              </w:rPr>
            </w:pPr>
          </w:p>
        </w:tc>
        <w:tc>
          <w:tcPr>
            <w:tcW w:w="338" w:type="pct"/>
            <w:tcBorders>
              <w:top w:val="single" w:sz="2" w:space="0" w:color="65C5B4" w:themeColor="accent1"/>
            </w:tcBorders>
            <w:shd w:val="clear" w:color="auto" w:fill="auto"/>
            <w:noWrap/>
          </w:tcPr>
          <w:p w14:paraId="240A5871" w14:textId="77777777" w:rsidR="00596742" w:rsidRPr="0078317D" w:rsidRDefault="00596742" w:rsidP="002B0289">
            <w:pPr>
              <w:keepLines/>
              <w:spacing w:before="40" w:after="40" w:line="200" w:lineRule="atLeast"/>
              <w:jc w:val="center"/>
              <w:rPr>
                <w:rFonts w:asciiTheme="minorHAnsi" w:eastAsia="Times New Roman" w:hAnsiTheme="minorHAnsi" w:cstheme="minorHAnsi"/>
                <w:iCs/>
                <w:szCs w:val="17"/>
              </w:rPr>
            </w:pPr>
          </w:p>
        </w:tc>
        <w:tc>
          <w:tcPr>
            <w:tcW w:w="368" w:type="pct"/>
            <w:tcBorders>
              <w:top w:val="single" w:sz="2" w:space="0" w:color="65C5B4" w:themeColor="accent1"/>
            </w:tcBorders>
            <w:shd w:val="clear" w:color="auto" w:fill="auto"/>
          </w:tcPr>
          <w:p w14:paraId="3BEFBCEB" w14:textId="77777777" w:rsidR="00596742" w:rsidRPr="0078317D" w:rsidRDefault="00596742" w:rsidP="002B0289">
            <w:pPr>
              <w:keepLines/>
              <w:spacing w:before="40" w:after="40" w:line="200" w:lineRule="atLeast"/>
              <w:jc w:val="center"/>
              <w:rPr>
                <w:rFonts w:asciiTheme="minorHAnsi" w:eastAsia="Times New Roman" w:hAnsiTheme="minorHAnsi" w:cstheme="minorHAnsi"/>
                <w:iCs/>
                <w:szCs w:val="17"/>
              </w:rPr>
            </w:pPr>
          </w:p>
        </w:tc>
        <w:tc>
          <w:tcPr>
            <w:tcW w:w="359" w:type="pct"/>
            <w:shd w:val="clear" w:color="auto" w:fill="auto"/>
          </w:tcPr>
          <w:p w14:paraId="772F635A" w14:textId="77777777" w:rsidR="00596742" w:rsidRPr="00812509" w:rsidRDefault="00596742" w:rsidP="002B0289">
            <w:pPr>
              <w:keepLines/>
              <w:spacing w:before="40" w:after="40" w:line="200" w:lineRule="atLeast"/>
              <w:jc w:val="center"/>
              <w:rPr>
                <w:rFonts w:eastAsia="Times New Roman"/>
                <w:iCs/>
                <w:szCs w:val="17"/>
              </w:rPr>
            </w:pPr>
          </w:p>
        </w:tc>
      </w:tr>
      <w:tr w:rsidR="00596742" w:rsidRPr="00812509" w14:paraId="721F4B81" w14:textId="77777777" w:rsidTr="00C74B28">
        <w:trPr>
          <w:cnfStyle w:val="100000000000" w:firstRow="1" w:lastRow="0" w:firstColumn="0" w:lastColumn="0" w:oddVBand="0" w:evenVBand="0" w:oddHBand="0" w:evenHBand="0" w:firstRowFirstColumn="0" w:firstRowLastColumn="0" w:lastRowFirstColumn="0" w:lastRowLastColumn="0"/>
          <w:trHeight w:val="284"/>
        </w:trPr>
        <w:tc>
          <w:tcPr>
            <w:tcW w:w="1506" w:type="pct"/>
          </w:tcPr>
          <w:p w14:paraId="4DAD854E" w14:textId="77777777" w:rsidR="00596742" w:rsidRPr="008553FE" w:rsidRDefault="00596742" w:rsidP="002B0289">
            <w:pPr>
              <w:keepLines/>
              <w:spacing w:before="40" w:after="40" w:line="200" w:lineRule="atLeast"/>
              <w:rPr>
                <w:rFonts w:asciiTheme="minorHAnsi" w:eastAsia="Times New Roman" w:hAnsiTheme="minorHAnsi" w:cstheme="minorHAnsi"/>
                <w:iCs/>
                <w:szCs w:val="17"/>
              </w:rPr>
            </w:pPr>
          </w:p>
        </w:tc>
        <w:tc>
          <w:tcPr>
            <w:tcW w:w="580" w:type="pct"/>
          </w:tcPr>
          <w:p w14:paraId="14DFEE5C" w14:textId="77777777" w:rsidR="00596742" w:rsidRPr="00E3002B" w:rsidRDefault="00596742" w:rsidP="002B0289">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2015-2020</w:t>
            </w:r>
          </w:p>
        </w:tc>
        <w:tc>
          <w:tcPr>
            <w:tcW w:w="319" w:type="pct"/>
            <w:shd w:val="clear" w:color="auto" w:fill="auto"/>
            <w:noWrap/>
          </w:tcPr>
          <w:p w14:paraId="6DC7FDE9" w14:textId="77777777" w:rsidR="00596742" w:rsidRPr="00915931" w:rsidRDefault="00596742"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31" w:type="pct"/>
            <w:shd w:val="clear" w:color="auto" w:fill="auto"/>
            <w:noWrap/>
          </w:tcPr>
          <w:p w14:paraId="2C64C038" w14:textId="77777777" w:rsidR="00596742" w:rsidRPr="00BD1CCC" w:rsidRDefault="00596742"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5</w:t>
            </w:r>
          </w:p>
        </w:tc>
        <w:tc>
          <w:tcPr>
            <w:tcW w:w="323" w:type="pct"/>
            <w:shd w:val="clear" w:color="auto" w:fill="auto"/>
            <w:noWrap/>
          </w:tcPr>
          <w:p w14:paraId="302EDF77" w14:textId="77777777" w:rsidR="00596742" w:rsidRPr="00BD1CCC" w:rsidRDefault="00596742" w:rsidP="002B0289">
            <w:pPr>
              <w:keepLines/>
              <w:spacing w:before="40" w:after="40" w:line="200" w:lineRule="atLeast"/>
              <w:rPr>
                <w:rFonts w:asciiTheme="minorHAnsi" w:eastAsia="Times New Roman" w:hAnsiTheme="minorHAnsi" w:cstheme="minorHAnsi"/>
                <w:iCs/>
                <w:szCs w:val="17"/>
              </w:rPr>
            </w:pPr>
            <w:r w:rsidRPr="00BD1CCC">
              <w:rPr>
                <w:rFonts w:asciiTheme="minorHAnsi" w:eastAsia="Times New Roman" w:hAnsiTheme="minorHAnsi" w:cstheme="minorHAnsi"/>
                <w:iCs/>
                <w:szCs w:val="17"/>
              </w:rPr>
              <w:t>4</w:t>
            </w:r>
          </w:p>
        </w:tc>
        <w:tc>
          <w:tcPr>
            <w:tcW w:w="339" w:type="pct"/>
            <w:shd w:val="clear" w:color="auto" w:fill="auto"/>
            <w:noWrap/>
          </w:tcPr>
          <w:p w14:paraId="113F97C6" w14:textId="77777777" w:rsidR="00596742" w:rsidRPr="00BD1CCC" w:rsidRDefault="00596742" w:rsidP="002B0289">
            <w:pPr>
              <w:keepLines/>
              <w:spacing w:before="40" w:after="40" w:line="200" w:lineRule="atLeast"/>
              <w:rPr>
                <w:rFonts w:asciiTheme="minorHAnsi" w:eastAsia="Times New Roman" w:hAnsiTheme="minorHAnsi" w:cstheme="minorHAnsi"/>
                <w:iCs/>
                <w:szCs w:val="17"/>
              </w:rPr>
            </w:pPr>
            <w:r w:rsidRPr="00BD1CCC">
              <w:rPr>
                <w:rFonts w:asciiTheme="minorHAnsi" w:eastAsia="Times New Roman" w:hAnsiTheme="minorHAnsi" w:cstheme="minorHAnsi"/>
                <w:iCs/>
                <w:szCs w:val="17"/>
              </w:rPr>
              <w:t>5</w:t>
            </w:r>
          </w:p>
        </w:tc>
        <w:tc>
          <w:tcPr>
            <w:tcW w:w="372" w:type="pct"/>
            <w:shd w:val="clear" w:color="auto" w:fill="auto"/>
            <w:noWrap/>
          </w:tcPr>
          <w:p w14:paraId="4FAE3B9B" w14:textId="77777777" w:rsidR="00596742" w:rsidRPr="0078317D" w:rsidRDefault="00596742"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38" w:type="pct"/>
            <w:shd w:val="clear" w:color="auto" w:fill="auto"/>
            <w:noWrap/>
          </w:tcPr>
          <w:p w14:paraId="6A317762" w14:textId="77777777" w:rsidR="00596742" w:rsidRPr="0078317D" w:rsidRDefault="00596742" w:rsidP="002B0289">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5</w:t>
            </w:r>
          </w:p>
        </w:tc>
        <w:tc>
          <w:tcPr>
            <w:tcW w:w="368" w:type="pct"/>
            <w:shd w:val="clear" w:color="auto" w:fill="auto"/>
          </w:tcPr>
          <w:p w14:paraId="06BDCEC9" w14:textId="77777777" w:rsidR="00596742" w:rsidRPr="0078317D" w:rsidRDefault="00596742" w:rsidP="002B0289">
            <w:pPr>
              <w:keepLines/>
              <w:spacing w:before="40" w:after="40" w:line="200" w:lineRule="atLeast"/>
              <w:jc w:val="center"/>
              <w:rPr>
                <w:rFonts w:asciiTheme="minorHAnsi" w:eastAsia="Times New Roman" w:hAnsiTheme="minorHAnsi" w:cstheme="minorHAnsi"/>
                <w:iCs/>
                <w:szCs w:val="17"/>
              </w:rPr>
            </w:pPr>
          </w:p>
        </w:tc>
        <w:tc>
          <w:tcPr>
            <w:tcW w:w="359" w:type="pct"/>
            <w:shd w:val="clear" w:color="auto" w:fill="auto"/>
          </w:tcPr>
          <w:p w14:paraId="3AB2A2E0" w14:textId="77777777" w:rsidR="00596742" w:rsidRPr="00812509" w:rsidRDefault="00596742" w:rsidP="002B0289">
            <w:pPr>
              <w:keepLines/>
              <w:spacing w:before="40" w:after="40" w:line="200" w:lineRule="atLeast"/>
              <w:jc w:val="center"/>
              <w:rPr>
                <w:rFonts w:eastAsia="Times New Roman"/>
                <w:iCs/>
                <w:szCs w:val="17"/>
              </w:rPr>
            </w:pPr>
          </w:p>
        </w:tc>
      </w:tr>
    </w:tbl>
    <w:p w14:paraId="35A095CA" w14:textId="77777777" w:rsidR="00596742" w:rsidRDefault="00596742" w:rsidP="00596742"/>
    <w:p w14:paraId="6C9F3F05" w14:textId="77777777" w:rsidR="00390828" w:rsidRPr="00812509" w:rsidRDefault="00390828" w:rsidP="00390828">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34419E73" w14:textId="77777777" w:rsidR="00390828" w:rsidRPr="00B927C4" w:rsidRDefault="00390828" w:rsidP="00390828">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14:paraId="54687087"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45B1C136"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4F4E0A1C" w14:textId="77777777" w:rsidR="00390828" w:rsidRPr="00B927C4" w:rsidRDefault="00390828" w:rsidP="00390828">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14:paraId="7FE6B7AC" w14:textId="4FB2490B"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3 = Less than adequate; on balance does not satisfy criteria and/or fails in at least one major area.</w:t>
      </w:r>
    </w:p>
    <w:p w14:paraId="0523C034" w14:textId="1A433684" w:rsidR="009910B3" w:rsidRDefault="00390828" w:rsidP="00BF270A">
      <w:pPr>
        <w:spacing w:before="20" w:after="20" w:line="180" w:lineRule="atLeast"/>
        <w:rPr>
          <w:rFonts w:eastAsia="Times New Roman"/>
          <w:b/>
          <w:sz w:val="16"/>
          <w:szCs w:val="14"/>
        </w:rPr>
      </w:pPr>
      <w:r w:rsidRPr="00812509">
        <w:rPr>
          <w:rFonts w:eastAsia="Times New Roman"/>
          <w:b/>
          <w:sz w:val="16"/>
          <w:szCs w:val="14"/>
        </w:rPr>
        <w:t>2 = Poor; does not satisfy criteria in major areas.  1 = Very poor; does not satisfy criteria in many major area.</w:t>
      </w:r>
    </w:p>
    <w:sectPr w:rsidR="009910B3" w:rsidSect="00EC3C2D">
      <w:headerReference w:type="even" r:id="rId21"/>
      <w:headerReference w:type="default" r:id="rId22"/>
      <w:headerReference w:type="first" r:id="rId23"/>
      <w:footerReference w:type="first" r:id="rId24"/>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87BC8" w14:textId="77777777" w:rsidR="003E0825" w:rsidRDefault="003E0825" w:rsidP="00D37B04">
      <w:r>
        <w:separator/>
      </w:r>
    </w:p>
  </w:endnote>
  <w:endnote w:type="continuationSeparator" w:id="0">
    <w:p w14:paraId="7FFAF828" w14:textId="77777777" w:rsidR="003E0825" w:rsidRDefault="003E0825"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4E030" w14:textId="77777777" w:rsidR="003E0825" w:rsidRPr="00FC322F" w:rsidRDefault="003E0825" w:rsidP="00FC322F">
    <w:pPr>
      <w:pStyle w:val="Footer"/>
      <w:rPr>
        <w:b/>
      </w:rPr>
    </w:pPr>
    <w:r w:rsidRPr="00FC322F">
      <w:rPr>
        <w:b/>
        <w:noProof/>
        <w:lang w:val="en-AU" w:eastAsia="en-AU"/>
      </w:rPr>
      <w:drawing>
        <wp:inline distT="0" distB="0" distL="0" distR="0" wp14:anchorId="1D2C08DE" wp14:editId="3D5CF063">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125393"/>
      <w:docPartObj>
        <w:docPartGallery w:val="Page Numbers (Bottom of Page)"/>
        <w:docPartUnique/>
      </w:docPartObj>
    </w:sdtPr>
    <w:sdtEndPr>
      <w:rPr>
        <w:noProof/>
      </w:rPr>
    </w:sdtEndPr>
    <w:sdtContent>
      <w:p w14:paraId="3105D99D" w14:textId="59A92D0A" w:rsidR="005659CE" w:rsidRDefault="005659CE">
        <w:pPr>
          <w:pStyle w:val="Footer"/>
          <w:jc w:val="center"/>
        </w:pPr>
        <w:r>
          <w:fldChar w:fldCharType="begin"/>
        </w:r>
        <w:r>
          <w:instrText xml:space="preserve"> PAGE   \* MERGEFORMAT </w:instrText>
        </w:r>
        <w:r>
          <w:fldChar w:fldCharType="separate"/>
        </w:r>
        <w:r w:rsidR="00C62AF3">
          <w:rPr>
            <w:noProof/>
          </w:rPr>
          <w:t>1</w:t>
        </w:r>
        <w:r>
          <w:rPr>
            <w:noProof/>
          </w:rPr>
          <w:fldChar w:fldCharType="end"/>
        </w:r>
      </w:p>
    </w:sdtContent>
  </w:sdt>
  <w:p w14:paraId="4AD2B2D2" w14:textId="2B387C50" w:rsidR="003E0825" w:rsidRPr="00FC322F" w:rsidRDefault="003E0825"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281920"/>
      <w:docPartObj>
        <w:docPartGallery w:val="Page Numbers (Bottom of Page)"/>
        <w:docPartUnique/>
      </w:docPartObj>
    </w:sdtPr>
    <w:sdtEndPr>
      <w:rPr>
        <w:noProof/>
      </w:rPr>
    </w:sdtEndPr>
    <w:sdtContent>
      <w:p w14:paraId="1EDB3881" w14:textId="765E6521" w:rsidR="005659CE" w:rsidRDefault="005659CE">
        <w:pPr>
          <w:pStyle w:val="Footer"/>
          <w:jc w:val="center"/>
        </w:pPr>
        <w:r>
          <w:fldChar w:fldCharType="begin"/>
        </w:r>
        <w:r>
          <w:instrText xml:space="preserve"> PAGE   \* MERGEFORMAT </w:instrText>
        </w:r>
        <w:r>
          <w:fldChar w:fldCharType="separate"/>
        </w:r>
        <w:r w:rsidR="00C62AF3">
          <w:rPr>
            <w:noProof/>
          </w:rPr>
          <w:t>4</w:t>
        </w:r>
        <w:r>
          <w:rPr>
            <w:noProof/>
          </w:rPr>
          <w:fldChar w:fldCharType="end"/>
        </w:r>
      </w:p>
    </w:sdtContent>
  </w:sdt>
  <w:p w14:paraId="3A9A8E3C" w14:textId="2C1AE54B" w:rsidR="003E0825" w:rsidRPr="00FC322F" w:rsidRDefault="003E0825"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6A6CF" w14:textId="77777777" w:rsidR="003E0825" w:rsidRPr="00FC322F" w:rsidRDefault="003E0825" w:rsidP="00FC322F">
    <w:pPr>
      <w:pStyle w:val="Footer"/>
      <w:rPr>
        <w:b/>
      </w:rPr>
    </w:pPr>
    <w:r w:rsidRPr="00FC322F">
      <w:rPr>
        <w:b/>
        <w:noProof/>
        <w:lang w:val="en-AU" w:eastAsia="en-AU"/>
      </w:rPr>
      <w:drawing>
        <wp:inline distT="0" distB="0" distL="0" distR="0" wp14:anchorId="6FD8F698" wp14:editId="717912FC">
          <wp:extent cx="108000" cy="87480"/>
          <wp:effectExtent l="0" t="0" r="6350" b="8255"/>
          <wp:docPr id="20" name="Picture 2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52062"/>
      <w:docPartObj>
        <w:docPartGallery w:val="Page Numbers (Bottom of Page)"/>
        <w:docPartUnique/>
      </w:docPartObj>
    </w:sdtPr>
    <w:sdtEndPr>
      <w:rPr>
        <w:noProof/>
      </w:rPr>
    </w:sdtEndPr>
    <w:sdtContent>
      <w:p w14:paraId="7F0AE209" w14:textId="340A5892" w:rsidR="005659CE" w:rsidRDefault="005659CE">
        <w:pPr>
          <w:pStyle w:val="Footer"/>
          <w:jc w:val="center"/>
        </w:pPr>
        <w:r>
          <w:fldChar w:fldCharType="begin"/>
        </w:r>
        <w:r>
          <w:instrText xml:space="preserve"> PAGE   \* MERGEFORMAT </w:instrText>
        </w:r>
        <w:r>
          <w:fldChar w:fldCharType="separate"/>
        </w:r>
        <w:r w:rsidR="00C62AF3">
          <w:rPr>
            <w:noProof/>
          </w:rPr>
          <w:t>3</w:t>
        </w:r>
        <w:r>
          <w:rPr>
            <w:noProof/>
          </w:rPr>
          <w:fldChar w:fldCharType="end"/>
        </w:r>
      </w:p>
    </w:sdtContent>
  </w:sdt>
  <w:p w14:paraId="3B0FADDA" w14:textId="4DA64752" w:rsidR="003E0825" w:rsidRPr="00EC3C2D" w:rsidRDefault="003E0825"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501EF" w14:textId="77777777" w:rsidR="003E0825" w:rsidRPr="008C5A0E" w:rsidRDefault="003E0825" w:rsidP="00D37B04">
      <w:pPr>
        <w:pStyle w:val="Footer"/>
      </w:pPr>
    </w:p>
  </w:footnote>
  <w:footnote w:type="continuationSeparator" w:id="0">
    <w:p w14:paraId="40CA68B5" w14:textId="77777777" w:rsidR="003E0825" w:rsidRDefault="003E0825"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3B4A" w14:textId="77777777" w:rsidR="003E0825" w:rsidRPr="000854FD" w:rsidRDefault="003E0825" w:rsidP="002D5B25">
    <w:pPr>
      <w:pStyle w:val="Header"/>
    </w:pPr>
    <w:r w:rsidRPr="00943730">
      <w:rPr>
        <w:noProof/>
        <w:lang w:val="en-AU" w:eastAsia="en-AU"/>
      </w:rPr>
      <w:drawing>
        <wp:anchor distT="0" distB="0" distL="114300" distR="114300" simplePos="0" relativeHeight="251668480" behindDoc="1" locked="1" layoutInCell="1" allowOverlap="1" wp14:anchorId="6ED87575" wp14:editId="545CA2AC">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CED6" w14:textId="77777777" w:rsidR="003E0825" w:rsidRPr="00943730" w:rsidRDefault="003E0825" w:rsidP="002B0289">
    <w:pPr>
      <w:pStyle w:val="Header"/>
      <w:ind w:left="0"/>
    </w:pPr>
    <w:r w:rsidRPr="00252C04">
      <w:rPr>
        <w:noProof/>
        <w:lang w:val="en-AU" w:eastAsia="en-AU"/>
      </w:rPr>
      <w:drawing>
        <wp:anchor distT="0" distB="0" distL="114300" distR="114300" simplePos="0" relativeHeight="251669504" behindDoc="1" locked="1" layoutInCell="1" allowOverlap="1" wp14:anchorId="317ECCBC" wp14:editId="4BD4F60C">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3D608661" wp14:editId="00D974C8">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7074F491" wp14:editId="3161DD65">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5A6BD" w14:textId="77777777" w:rsidR="003E0825" w:rsidRPr="000854FD" w:rsidRDefault="003E0825" w:rsidP="002D5B25">
    <w:pPr>
      <w:pStyle w:val="Header"/>
    </w:pPr>
    <w:r w:rsidRPr="00943730">
      <w:rPr>
        <w:noProof/>
        <w:lang w:val="en-AU" w:eastAsia="en-AU"/>
      </w:rPr>
      <w:drawing>
        <wp:anchor distT="0" distB="0" distL="114300" distR="114300" simplePos="0" relativeHeight="251662336" behindDoc="1" locked="1" layoutInCell="1" allowOverlap="1" wp14:anchorId="66038BAC" wp14:editId="459A4EFC">
          <wp:simplePos x="0" y="0"/>
          <wp:positionH relativeFrom="page">
            <wp:posOffset>12700</wp:posOffset>
          </wp:positionH>
          <wp:positionV relativeFrom="page">
            <wp:posOffset>0</wp:posOffset>
          </wp:positionV>
          <wp:extent cx="7559040" cy="10692765"/>
          <wp:effectExtent l="0" t="0" r="381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A41A" w14:textId="1495065C" w:rsidR="003E0825" w:rsidRPr="00943730" w:rsidRDefault="003E0825" w:rsidP="00943730">
    <w:pPr>
      <w:pStyle w:val="Header"/>
    </w:pPr>
    <w:r w:rsidRPr="00943730">
      <w:fldChar w:fldCharType="begin"/>
    </w:r>
    <w:r w:rsidRPr="00943730">
      <w:instrText xml:space="preserve"> DATE  \@ "MMMM yyyy"  \* MERGEFORMAT </w:instrText>
    </w:r>
    <w:r w:rsidRPr="00943730">
      <w:fldChar w:fldCharType="separate"/>
    </w:r>
    <w:r w:rsidR="00386619">
      <w:rPr>
        <w:noProof/>
      </w:rPr>
      <w:t>November 2020</w:t>
    </w:r>
    <w:r w:rsidRPr="00943730">
      <w:fldChar w:fldCharType="end"/>
    </w:r>
    <w:r w:rsidRPr="00252C04">
      <w:rPr>
        <w:noProof/>
        <w:lang w:val="en-AU" w:eastAsia="en-AU"/>
      </w:rPr>
      <w:drawing>
        <wp:anchor distT="0" distB="0" distL="114300" distR="114300" simplePos="0" relativeHeight="251664384" behindDoc="1" locked="1" layoutInCell="1" allowOverlap="1" wp14:anchorId="00DF448F" wp14:editId="12774323">
          <wp:simplePos x="0" y="0"/>
          <wp:positionH relativeFrom="page">
            <wp:posOffset>5724525</wp:posOffset>
          </wp:positionH>
          <wp:positionV relativeFrom="page">
            <wp:posOffset>720090</wp:posOffset>
          </wp:positionV>
          <wp:extent cx="1115060" cy="512445"/>
          <wp:effectExtent l="0" t="0" r="8890" b="190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462BFC51" wp14:editId="045753B9">
          <wp:simplePos x="0" y="0"/>
          <wp:positionH relativeFrom="page">
            <wp:posOffset>720090</wp:posOffset>
          </wp:positionH>
          <wp:positionV relativeFrom="page">
            <wp:posOffset>683895</wp:posOffset>
          </wp:positionV>
          <wp:extent cx="3166745" cy="55435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3DF33B69" wp14:editId="25338C4E">
          <wp:simplePos x="0" y="0"/>
          <wp:positionH relativeFrom="page">
            <wp:posOffset>12700</wp:posOffset>
          </wp:positionH>
          <wp:positionV relativeFrom="page">
            <wp:posOffset>-69850</wp:posOffset>
          </wp:positionV>
          <wp:extent cx="10585450" cy="10692130"/>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D203" w14:textId="77777777" w:rsidR="003E0825" w:rsidRDefault="003E08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DA01" w14:textId="77777777" w:rsidR="003E0825" w:rsidRPr="00333501" w:rsidRDefault="003E0825" w:rsidP="002B0289">
    <w:pPr>
      <w:pStyle w:val="Header"/>
    </w:pPr>
    <w:r>
      <w:rPr>
        <w:noProof/>
        <w:lang w:val="en-AU" w:eastAsia="en-AU"/>
      </w:rPr>
      <w:drawing>
        <wp:anchor distT="0" distB="0" distL="114300" distR="114300" simplePos="0" relativeHeight="251672576" behindDoc="1" locked="1" layoutInCell="1" allowOverlap="1" wp14:anchorId="5DBF8E97" wp14:editId="18CD13C4">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E74" w14:textId="77777777" w:rsidR="003E0825" w:rsidRPr="003D352D" w:rsidRDefault="003E0825" w:rsidP="002B0289">
    <w:pPr>
      <w:pStyle w:val="Header"/>
    </w:pPr>
    <w:r>
      <w:rPr>
        <w:noProof/>
        <w:lang w:val="en-AU" w:eastAsia="en-AU"/>
      </w:rPr>
      <w:drawing>
        <wp:anchor distT="0" distB="0" distL="114300" distR="114300" simplePos="0" relativeHeight="251671552" behindDoc="1" locked="1" layoutInCell="1" allowOverlap="1" wp14:anchorId="350FC694" wp14:editId="0E7BF63C">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279E1258"/>
    <w:multiLevelType w:val="hybridMultilevel"/>
    <w:tmpl w:val="5E369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7502B85"/>
    <w:multiLevelType w:val="hybridMultilevel"/>
    <w:tmpl w:val="C7D6172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2553D9F"/>
    <w:multiLevelType w:val="multilevel"/>
    <w:tmpl w:val="A6FA45D0"/>
    <w:numStyleLink w:val="BulletsList"/>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0"/>
  </w:num>
  <w:num w:numId="3">
    <w:abstractNumId w:val="3"/>
  </w:num>
  <w:num w:numId="4">
    <w:abstractNumId w:val="7"/>
  </w:num>
  <w:num w:numId="5">
    <w:abstractNumId w:val="8"/>
  </w:num>
  <w:num w:numId="6">
    <w:abstractNumId w:val="3"/>
  </w:num>
  <w:num w:numId="7">
    <w:abstractNumId w:val="0"/>
  </w:num>
  <w:num w:numId="8">
    <w:abstractNumId w:val="1"/>
  </w:num>
  <w:num w:numId="9">
    <w:abstractNumId w:val="10"/>
  </w:num>
  <w:num w:numId="10">
    <w:abstractNumId w:val="6"/>
  </w:num>
  <w:num w:numId="11">
    <w:abstractNumId w:val="2"/>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5783"/>
    <w:rsid w:val="0002080A"/>
    <w:rsid w:val="0002782F"/>
    <w:rsid w:val="00035BBF"/>
    <w:rsid w:val="00040DF1"/>
    <w:rsid w:val="000505B1"/>
    <w:rsid w:val="00050806"/>
    <w:rsid w:val="000546D9"/>
    <w:rsid w:val="00054AAA"/>
    <w:rsid w:val="00054E4D"/>
    <w:rsid w:val="00060073"/>
    <w:rsid w:val="000616C6"/>
    <w:rsid w:val="00061FDC"/>
    <w:rsid w:val="00071788"/>
    <w:rsid w:val="000729DA"/>
    <w:rsid w:val="0007632F"/>
    <w:rsid w:val="0008384E"/>
    <w:rsid w:val="000854FD"/>
    <w:rsid w:val="00096614"/>
    <w:rsid w:val="000A3256"/>
    <w:rsid w:val="000B37F5"/>
    <w:rsid w:val="000C5205"/>
    <w:rsid w:val="000D2E5B"/>
    <w:rsid w:val="000D5827"/>
    <w:rsid w:val="000D66D6"/>
    <w:rsid w:val="000E6809"/>
    <w:rsid w:val="000F41BD"/>
    <w:rsid w:val="00110C81"/>
    <w:rsid w:val="00113288"/>
    <w:rsid w:val="001214BE"/>
    <w:rsid w:val="00123A90"/>
    <w:rsid w:val="00127061"/>
    <w:rsid w:val="0013101C"/>
    <w:rsid w:val="001453DA"/>
    <w:rsid w:val="001461D6"/>
    <w:rsid w:val="001541EA"/>
    <w:rsid w:val="001616D0"/>
    <w:rsid w:val="001907AA"/>
    <w:rsid w:val="001962F2"/>
    <w:rsid w:val="001A7ED5"/>
    <w:rsid w:val="001B79DC"/>
    <w:rsid w:val="001C336F"/>
    <w:rsid w:val="001C50B3"/>
    <w:rsid w:val="001D663E"/>
    <w:rsid w:val="001E1DC0"/>
    <w:rsid w:val="001F3669"/>
    <w:rsid w:val="001F74DE"/>
    <w:rsid w:val="00201F96"/>
    <w:rsid w:val="00203277"/>
    <w:rsid w:val="00205B2E"/>
    <w:rsid w:val="002068B7"/>
    <w:rsid w:val="00213A46"/>
    <w:rsid w:val="0022631C"/>
    <w:rsid w:val="00230777"/>
    <w:rsid w:val="002314A6"/>
    <w:rsid w:val="00235EAB"/>
    <w:rsid w:val="002422B8"/>
    <w:rsid w:val="00252C04"/>
    <w:rsid w:val="002646C3"/>
    <w:rsid w:val="00265DDB"/>
    <w:rsid w:val="00276A54"/>
    <w:rsid w:val="0028539C"/>
    <w:rsid w:val="0028602A"/>
    <w:rsid w:val="002A2413"/>
    <w:rsid w:val="002A641B"/>
    <w:rsid w:val="002A7F56"/>
    <w:rsid w:val="002B0289"/>
    <w:rsid w:val="002B5E10"/>
    <w:rsid w:val="002C793D"/>
    <w:rsid w:val="002D5B25"/>
    <w:rsid w:val="002E3439"/>
    <w:rsid w:val="002F1850"/>
    <w:rsid w:val="002F4F2B"/>
    <w:rsid w:val="003002C0"/>
    <w:rsid w:val="00301144"/>
    <w:rsid w:val="003031C6"/>
    <w:rsid w:val="00304984"/>
    <w:rsid w:val="00304E54"/>
    <w:rsid w:val="00305651"/>
    <w:rsid w:val="00306ACB"/>
    <w:rsid w:val="00312BF8"/>
    <w:rsid w:val="003148B7"/>
    <w:rsid w:val="003158C3"/>
    <w:rsid w:val="003274CD"/>
    <w:rsid w:val="00330E12"/>
    <w:rsid w:val="00333501"/>
    <w:rsid w:val="00333BD2"/>
    <w:rsid w:val="003365E4"/>
    <w:rsid w:val="003457C4"/>
    <w:rsid w:val="00346193"/>
    <w:rsid w:val="003500CF"/>
    <w:rsid w:val="0035119D"/>
    <w:rsid w:val="00361146"/>
    <w:rsid w:val="00363A88"/>
    <w:rsid w:val="00365569"/>
    <w:rsid w:val="00370973"/>
    <w:rsid w:val="00372FC5"/>
    <w:rsid w:val="003753EF"/>
    <w:rsid w:val="00384D40"/>
    <w:rsid w:val="00385658"/>
    <w:rsid w:val="00386619"/>
    <w:rsid w:val="00390828"/>
    <w:rsid w:val="0039344A"/>
    <w:rsid w:val="00395163"/>
    <w:rsid w:val="003A3DCC"/>
    <w:rsid w:val="003B4F12"/>
    <w:rsid w:val="003C2459"/>
    <w:rsid w:val="003D4C6F"/>
    <w:rsid w:val="003E0825"/>
    <w:rsid w:val="003F2041"/>
    <w:rsid w:val="00401D93"/>
    <w:rsid w:val="00402ACC"/>
    <w:rsid w:val="004120EC"/>
    <w:rsid w:val="00415276"/>
    <w:rsid w:val="004164E4"/>
    <w:rsid w:val="00423F31"/>
    <w:rsid w:val="004278C9"/>
    <w:rsid w:val="00431899"/>
    <w:rsid w:val="00436A67"/>
    <w:rsid w:val="00440D05"/>
    <w:rsid w:val="00442055"/>
    <w:rsid w:val="00452298"/>
    <w:rsid w:val="00460AB8"/>
    <w:rsid w:val="00480369"/>
    <w:rsid w:val="00481923"/>
    <w:rsid w:val="00482AE8"/>
    <w:rsid w:val="0048492D"/>
    <w:rsid w:val="00486804"/>
    <w:rsid w:val="00487CBE"/>
    <w:rsid w:val="004939C4"/>
    <w:rsid w:val="0049407E"/>
    <w:rsid w:val="00494F98"/>
    <w:rsid w:val="00495450"/>
    <w:rsid w:val="004A258D"/>
    <w:rsid w:val="004B1618"/>
    <w:rsid w:val="004B3775"/>
    <w:rsid w:val="004C5598"/>
    <w:rsid w:val="004C6342"/>
    <w:rsid w:val="004C68F1"/>
    <w:rsid w:val="004D0BA0"/>
    <w:rsid w:val="004E058F"/>
    <w:rsid w:val="004E3B87"/>
    <w:rsid w:val="004F51A5"/>
    <w:rsid w:val="00505577"/>
    <w:rsid w:val="00510921"/>
    <w:rsid w:val="00510AD3"/>
    <w:rsid w:val="00513348"/>
    <w:rsid w:val="00513AD8"/>
    <w:rsid w:val="005204D2"/>
    <w:rsid w:val="00522396"/>
    <w:rsid w:val="00533B5D"/>
    <w:rsid w:val="0054641D"/>
    <w:rsid w:val="005516C1"/>
    <w:rsid w:val="005644AF"/>
    <w:rsid w:val="005659CE"/>
    <w:rsid w:val="005856BA"/>
    <w:rsid w:val="00591B5F"/>
    <w:rsid w:val="00593285"/>
    <w:rsid w:val="00596742"/>
    <w:rsid w:val="005A20F6"/>
    <w:rsid w:val="005B55E8"/>
    <w:rsid w:val="005C742E"/>
    <w:rsid w:val="005D3655"/>
    <w:rsid w:val="005D51FA"/>
    <w:rsid w:val="005E4830"/>
    <w:rsid w:val="005F42E6"/>
    <w:rsid w:val="00601963"/>
    <w:rsid w:val="006040BB"/>
    <w:rsid w:val="00606B26"/>
    <w:rsid w:val="006131A4"/>
    <w:rsid w:val="00622B86"/>
    <w:rsid w:val="00623BA1"/>
    <w:rsid w:val="006346BC"/>
    <w:rsid w:val="00651213"/>
    <w:rsid w:val="00652F18"/>
    <w:rsid w:val="00654705"/>
    <w:rsid w:val="00655E45"/>
    <w:rsid w:val="00660121"/>
    <w:rsid w:val="00660A33"/>
    <w:rsid w:val="0066652A"/>
    <w:rsid w:val="00667438"/>
    <w:rsid w:val="00667907"/>
    <w:rsid w:val="006719C3"/>
    <w:rsid w:val="0067788C"/>
    <w:rsid w:val="00680522"/>
    <w:rsid w:val="00682167"/>
    <w:rsid w:val="00683885"/>
    <w:rsid w:val="006B0124"/>
    <w:rsid w:val="006B780F"/>
    <w:rsid w:val="006C42AF"/>
    <w:rsid w:val="006D3A14"/>
    <w:rsid w:val="006D477D"/>
    <w:rsid w:val="006D6AA4"/>
    <w:rsid w:val="006E716D"/>
    <w:rsid w:val="007031B5"/>
    <w:rsid w:val="00703B97"/>
    <w:rsid w:val="00711163"/>
    <w:rsid w:val="00711D8E"/>
    <w:rsid w:val="00712672"/>
    <w:rsid w:val="00715351"/>
    <w:rsid w:val="00717E1E"/>
    <w:rsid w:val="00720E58"/>
    <w:rsid w:val="00733B28"/>
    <w:rsid w:val="00734E3F"/>
    <w:rsid w:val="0073639E"/>
    <w:rsid w:val="00736985"/>
    <w:rsid w:val="00745DF5"/>
    <w:rsid w:val="0076250F"/>
    <w:rsid w:val="007651B4"/>
    <w:rsid w:val="007706B8"/>
    <w:rsid w:val="00774EE4"/>
    <w:rsid w:val="00780FA5"/>
    <w:rsid w:val="00790171"/>
    <w:rsid w:val="00792059"/>
    <w:rsid w:val="007A03A5"/>
    <w:rsid w:val="007A1884"/>
    <w:rsid w:val="007A5328"/>
    <w:rsid w:val="007A6663"/>
    <w:rsid w:val="007B06DC"/>
    <w:rsid w:val="007B2202"/>
    <w:rsid w:val="007B3A01"/>
    <w:rsid w:val="007B59BC"/>
    <w:rsid w:val="007B6200"/>
    <w:rsid w:val="007B7259"/>
    <w:rsid w:val="007C05A5"/>
    <w:rsid w:val="007C68F5"/>
    <w:rsid w:val="007D59C0"/>
    <w:rsid w:val="007E3FF9"/>
    <w:rsid w:val="007E4969"/>
    <w:rsid w:val="007E5C04"/>
    <w:rsid w:val="007F11BD"/>
    <w:rsid w:val="007F3395"/>
    <w:rsid w:val="007F6A1E"/>
    <w:rsid w:val="00801B9F"/>
    <w:rsid w:val="0080204D"/>
    <w:rsid w:val="00805B9C"/>
    <w:rsid w:val="00810213"/>
    <w:rsid w:val="00817DE6"/>
    <w:rsid w:val="00823B7F"/>
    <w:rsid w:val="0083052F"/>
    <w:rsid w:val="008475F0"/>
    <w:rsid w:val="00854659"/>
    <w:rsid w:val="008557A7"/>
    <w:rsid w:val="00855B08"/>
    <w:rsid w:val="008658CF"/>
    <w:rsid w:val="00870928"/>
    <w:rsid w:val="00880AFF"/>
    <w:rsid w:val="00883477"/>
    <w:rsid w:val="00885A62"/>
    <w:rsid w:val="00893461"/>
    <w:rsid w:val="0089405C"/>
    <w:rsid w:val="00897FA2"/>
    <w:rsid w:val="008A5AFE"/>
    <w:rsid w:val="008C13FF"/>
    <w:rsid w:val="008C48F9"/>
    <w:rsid w:val="008C4E07"/>
    <w:rsid w:val="008C5A0E"/>
    <w:rsid w:val="008F2CBC"/>
    <w:rsid w:val="00916757"/>
    <w:rsid w:val="00927172"/>
    <w:rsid w:val="009278D2"/>
    <w:rsid w:val="009351C4"/>
    <w:rsid w:val="00935ABC"/>
    <w:rsid w:val="00943730"/>
    <w:rsid w:val="0095053A"/>
    <w:rsid w:val="00960FF4"/>
    <w:rsid w:val="00961E72"/>
    <w:rsid w:val="00963224"/>
    <w:rsid w:val="0097165B"/>
    <w:rsid w:val="00975CA5"/>
    <w:rsid w:val="0097728F"/>
    <w:rsid w:val="00977676"/>
    <w:rsid w:val="00980574"/>
    <w:rsid w:val="0098170A"/>
    <w:rsid w:val="00983AED"/>
    <w:rsid w:val="00983B27"/>
    <w:rsid w:val="00986590"/>
    <w:rsid w:val="00990E00"/>
    <w:rsid w:val="009910B3"/>
    <w:rsid w:val="00992C76"/>
    <w:rsid w:val="00993572"/>
    <w:rsid w:val="0099552A"/>
    <w:rsid w:val="00995C99"/>
    <w:rsid w:val="009969D6"/>
    <w:rsid w:val="009A064C"/>
    <w:rsid w:val="009A0908"/>
    <w:rsid w:val="009A34D0"/>
    <w:rsid w:val="009A3DD2"/>
    <w:rsid w:val="009B4D3B"/>
    <w:rsid w:val="009B7942"/>
    <w:rsid w:val="009D13CD"/>
    <w:rsid w:val="009D57C0"/>
    <w:rsid w:val="009D72E6"/>
    <w:rsid w:val="009D7407"/>
    <w:rsid w:val="009E0866"/>
    <w:rsid w:val="009E273C"/>
    <w:rsid w:val="009F1350"/>
    <w:rsid w:val="009F5F37"/>
    <w:rsid w:val="009F6423"/>
    <w:rsid w:val="009F713D"/>
    <w:rsid w:val="00A02001"/>
    <w:rsid w:val="00A05FC9"/>
    <w:rsid w:val="00A175B3"/>
    <w:rsid w:val="00A24A62"/>
    <w:rsid w:val="00A31C9F"/>
    <w:rsid w:val="00A35285"/>
    <w:rsid w:val="00A3785F"/>
    <w:rsid w:val="00A4144F"/>
    <w:rsid w:val="00A534A8"/>
    <w:rsid w:val="00A54E71"/>
    <w:rsid w:val="00A57501"/>
    <w:rsid w:val="00A61B4D"/>
    <w:rsid w:val="00A63917"/>
    <w:rsid w:val="00A77B53"/>
    <w:rsid w:val="00A80F95"/>
    <w:rsid w:val="00A8315E"/>
    <w:rsid w:val="00A844FE"/>
    <w:rsid w:val="00A91795"/>
    <w:rsid w:val="00A940CA"/>
    <w:rsid w:val="00A97BF1"/>
    <w:rsid w:val="00AA14F8"/>
    <w:rsid w:val="00AA298A"/>
    <w:rsid w:val="00AA315B"/>
    <w:rsid w:val="00AB376E"/>
    <w:rsid w:val="00AB4389"/>
    <w:rsid w:val="00AC164A"/>
    <w:rsid w:val="00AC68FC"/>
    <w:rsid w:val="00AD5A6C"/>
    <w:rsid w:val="00AE4444"/>
    <w:rsid w:val="00AE448A"/>
    <w:rsid w:val="00AE47F2"/>
    <w:rsid w:val="00AF05FA"/>
    <w:rsid w:val="00AF2050"/>
    <w:rsid w:val="00B00D95"/>
    <w:rsid w:val="00B0385D"/>
    <w:rsid w:val="00B03CA8"/>
    <w:rsid w:val="00B05089"/>
    <w:rsid w:val="00B05E02"/>
    <w:rsid w:val="00B120ED"/>
    <w:rsid w:val="00B16FE3"/>
    <w:rsid w:val="00B26705"/>
    <w:rsid w:val="00B33C0A"/>
    <w:rsid w:val="00B55E19"/>
    <w:rsid w:val="00B637DD"/>
    <w:rsid w:val="00B6495A"/>
    <w:rsid w:val="00B66722"/>
    <w:rsid w:val="00B7084F"/>
    <w:rsid w:val="00B70B50"/>
    <w:rsid w:val="00B75E19"/>
    <w:rsid w:val="00B821F5"/>
    <w:rsid w:val="00B84B9C"/>
    <w:rsid w:val="00B927C4"/>
    <w:rsid w:val="00B94758"/>
    <w:rsid w:val="00B95BD2"/>
    <w:rsid w:val="00BA0538"/>
    <w:rsid w:val="00BA4B6D"/>
    <w:rsid w:val="00BB26C5"/>
    <w:rsid w:val="00BB2A7C"/>
    <w:rsid w:val="00BB39EE"/>
    <w:rsid w:val="00BC31BD"/>
    <w:rsid w:val="00BD2CB3"/>
    <w:rsid w:val="00BE4683"/>
    <w:rsid w:val="00BF270A"/>
    <w:rsid w:val="00BF2CF6"/>
    <w:rsid w:val="00BF4DE6"/>
    <w:rsid w:val="00C044DD"/>
    <w:rsid w:val="00C06B13"/>
    <w:rsid w:val="00C141C7"/>
    <w:rsid w:val="00C27D25"/>
    <w:rsid w:val="00C32299"/>
    <w:rsid w:val="00C40ED2"/>
    <w:rsid w:val="00C42541"/>
    <w:rsid w:val="00C42CDE"/>
    <w:rsid w:val="00C5182A"/>
    <w:rsid w:val="00C61361"/>
    <w:rsid w:val="00C62AF3"/>
    <w:rsid w:val="00C63709"/>
    <w:rsid w:val="00C63EE9"/>
    <w:rsid w:val="00C70A3F"/>
    <w:rsid w:val="00C719C2"/>
    <w:rsid w:val="00C7303C"/>
    <w:rsid w:val="00C74B28"/>
    <w:rsid w:val="00C7574E"/>
    <w:rsid w:val="00C822E7"/>
    <w:rsid w:val="00C860ED"/>
    <w:rsid w:val="00C96296"/>
    <w:rsid w:val="00CA16F3"/>
    <w:rsid w:val="00CA2DE2"/>
    <w:rsid w:val="00CA37B1"/>
    <w:rsid w:val="00CA4799"/>
    <w:rsid w:val="00CB1959"/>
    <w:rsid w:val="00CB41CB"/>
    <w:rsid w:val="00CC741B"/>
    <w:rsid w:val="00CD0E4B"/>
    <w:rsid w:val="00CD1ECE"/>
    <w:rsid w:val="00CD6EE1"/>
    <w:rsid w:val="00CE4C89"/>
    <w:rsid w:val="00CF07BA"/>
    <w:rsid w:val="00CF6C83"/>
    <w:rsid w:val="00D00153"/>
    <w:rsid w:val="00D0187D"/>
    <w:rsid w:val="00D0296C"/>
    <w:rsid w:val="00D305FF"/>
    <w:rsid w:val="00D32D6F"/>
    <w:rsid w:val="00D36449"/>
    <w:rsid w:val="00D37560"/>
    <w:rsid w:val="00D37B04"/>
    <w:rsid w:val="00D422D9"/>
    <w:rsid w:val="00D43E36"/>
    <w:rsid w:val="00D540C6"/>
    <w:rsid w:val="00D610A8"/>
    <w:rsid w:val="00D61C1E"/>
    <w:rsid w:val="00D64260"/>
    <w:rsid w:val="00D64BD1"/>
    <w:rsid w:val="00D65749"/>
    <w:rsid w:val="00D716C8"/>
    <w:rsid w:val="00D730A7"/>
    <w:rsid w:val="00D75D4C"/>
    <w:rsid w:val="00D813DF"/>
    <w:rsid w:val="00D92254"/>
    <w:rsid w:val="00D93BC6"/>
    <w:rsid w:val="00D969FA"/>
    <w:rsid w:val="00DB0A24"/>
    <w:rsid w:val="00DB40A2"/>
    <w:rsid w:val="00DB6DEC"/>
    <w:rsid w:val="00DD3355"/>
    <w:rsid w:val="00DE084C"/>
    <w:rsid w:val="00DE703F"/>
    <w:rsid w:val="00DF7AD3"/>
    <w:rsid w:val="00E14F51"/>
    <w:rsid w:val="00E31EF8"/>
    <w:rsid w:val="00E357B7"/>
    <w:rsid w:val="00E53800"/>
    <w:rsid w:val="00E6081F"/>
    <w:rsid w:val="00E655FE"/>
    <w:rsid w:val="00E67C4F"/>
    <w:rsid w:val="00E8296D"/>
    <w:rsid w:val="00E84004"/>
    <w:rsid w:val="00E8457B"/>
    <w:rsid w:val="00EA04B2"/>
    <w:rsid w:val="00EA20F3"/>
    <w:rsid w:val="00EB172B"/>
    <w:rsid w:val="00EB398C"/>
    <w:rsid w:val="00EB43D4"/>
    <w:rsid w:val="00EC3C2D"/>
    <w:rsid w:val="00EC53BA"/>
    <w:rsid w:val="00EC63B6"/>
    <w:rsid w:val="00ED2831"/>
    <w:rsid w:val="00ED3867"/>
    <w:rsid w:val="00ED41BB"/>
    <w:rsid w:val="00ED43D1"/>
    <w:rsid w:val="00EE1027"/>
    <w:rsid w:val="00EE25F4"/>
    <w:rsid w:val="00EE4EE1"/>
    <w:rsid w:val="00EF4574"/>
    <w:rsid w:val="00EF5FB3"/>
    <w:rsid w:val="00F17727"/>
    <w:rsid w:val="00F25A93"/>
    <w:rsid w:val="00F2684E"/>
    <w:rsid w:val="00F30087"/>
    <w:rsid w:val="00F366DB"/>
    <w:rsid w:val="00F5404C"/>
    <w:rsid w:val="00F617F9"/>
    <w:rsid w:val="00F729EF"/>
    <w:rsid w:val="00F744A2"/>
    <w:rsid w:val="00F74546"/>
    <w:rsid w:val="00F77CAE"/>
    <w:rsid w:val="00F82271"/>
    <w:rsid w:val="00F83428"/>
    <w:rsid w:val="00F950F7"/>
    <w:rsid w:val="00F96BB9"/>
    <w:rsid w:val="00FA37C9"/>
    <w:rsid w:val="00FA69AF"/>
    <w:rsid w:val="00FA7833"/>
    <w:rsid w:val="00FB6D8C"/>
    <w:rsid w:val="00FC322F"/>
    <w:rsid w:val="00FD4062"/>
    <w:rsid w:val="00FE49E6"/>
    <w:rsid w:val="00FE6D51"/>
    <w:rsid w:val="00FE6F2A"/>
    <w:rsid w:val="00FE7FA2"/>
    <w:rsid w:val="00FF228F"/>
    <w:rsid w:val="00FF4990"/>
    <w:rsid w:val="00FF5B02"/>
    <w:rsid w:val="00FF61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3EE2405"/>
  <w15:docId w15:val="{2C646D3B-53E7-49CE-A752-8ED3BB4B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C74B28"/>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74B28"/>
    <w:rPr>
      <w:b/>
      <w:caps/>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74B28"/>
    <w:pPr>
      <w:spacing w:before="0" w:after="0" w:line="240" w:lineRule="exact"/>
      <w:ind w:left="284" w:right="284"/>
    </w:pPr>
    <w:rPr>
      <w:color w:val="auto"/>
    </w:rPr>
  </w:style>
  <w:style w:type="character" w:customStyle="1" w:styleId="FooterChar">
    <w:name w:val="Footer Char"/>
    <w:basedOn w:val="DefaultParagraphFont"/>
    <w:link w:val="Footer"/>
    <w:uiPriority w:val="99"/>
    <w:rsid w:val="00C74B28"/>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C74B28"/>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Tahoma" w:hAnsi="Tahom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table" w:customStyle="1" w:styleId="APPR1">
    <w:name w:val="APPR1"/>
    <w:basedOn w:val="TableNormal"/>
    <w:uiPriority w:val="99"/>
    <w:rsid w:val="00596742"/>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Tahoma" w:hAnsi="Tahom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NoSpacing">
    <w:name w:val="No Spacing"/>
    <w:uiPriority w:val="1"/>
    <w:qFormat/>
    <w:rsid w:val="009D13CD"/>
    <w:pPr>
      <w:suppressAutoHyphens/>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222302191">
      <w:bodyDiv w:val="1"/>
      <w:marLeft w:val="0"/>
      <w:marRight w:val="0"/>
      <w:marTop w:val="0"/>
      <w:marBottom w:val="0"/>
      <w:divBdr>
        <w:top w:val="none" w:sz="0" w:space="0" w:color="auto"/>
        <w:left w:val="none" w:sz="0" w:space="0" w:color="auto"/>
        <w:bottom w:val="none" w:sz="0" w:space="0" w:color="auto"/>
        <w:right w:val="none" w:sz="0" w:space="0" w:color="auto"/>
      </w:divBdr>
    </w:div>
    <w:div w:id="263659994">
      <w:bodyDiv w:val="1"/>
      <w:marLeft w:val="0"/>
      <w:marRight w:val="0"/>
      <w:marTop w:val="0"/>
      <w:marBottom w:val="0"/>
      <w:divBdr>
        <w:top w:val="none" w:sz="0" w:space="0" w:color="auto"/>
        <w:left w:val="none" w:sz="0" w:space="0" w:color="auto"/>
        <w:bottom w:val="none" w:sz="0" w:space="0" w:color="auto"/>
        <w:right w:val="none" w:sz="0" w:space="0" w:color="auto"/>
      </w:divBdr>
    </w:div>
    <w:div w:id="300155897">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491219136">
      <w:bodyDiv w:val="1"/>
      <w:marLeft w:val="0"/>
      <w:marRight w:val="0"/>
      <w:marTop w:val="0"/>
      <w:marBottom w:val="0"/>
      <w:divBdr>
        <w:top w:val="none" w:sz="0" w:space="0" w:color="auto"/>
        <w:left w:val="none" w:sz="0" w:space="0" w:color="auto"/>
        <w:bottom w:val="none" w:sz="0" w:space="0" w:color="auto"/>
        <w:right w:val="none" w:sz="0" w:space="0" w:color="auto"/>
      </w:divBdr>
    </w:div>
    <w:div w:id="507984166">
      <w:bodyDiv w:val="1"/>
      <w:marLeft w:val="0"/>
      <w:marRight w:val="0"/>
      <w:marTop w:val="0"/>
      <w:marBottom w:val="0"/>
      <w:divBdr>
        <w:top w:val="none" w:sz="0" w:space="0" w:color="auto"/>
        <w:left w:val="none" w:sz="0" w:space="0" w:color="auto"/>
        <w:bottom w:val="none" w:sz="0" w:space="0" w:color="auto"/>
        <w:right w:val="none" w:sz="0" w:space="0" w:color="auto"/>
      </w:divBdr>
    </w:div>
    <w:div w:id="511381453">
      <w:bodyDiv w:val="1"/>
      <w:marLeft w:val="0"/>
      <w:marRight w:val="0"/>
      <w:marTop w:val="0"/>
      <w:marBottom w:val="0"/>
      <w:divBdr>
        <w:top w:val="none" w:sz="0" w:space="0" w:color="auto"/>
        <w:left w:val="none" w:sz="0" w:space="0" w:color="auto"/>
        <w:bottom w:val="none" w:sz="0" w:space="0" w:color="auto"/>
        <w:right w:val="none" w:sz="0" w:space="0" w:color="auto"/>
      </w:divBdr>
    </w:div>
    <w:div w:id="564070531">
      <w:bodyDiv w:val="1"/>
      <w:marLeft w:val="0"/>
      <w:marRight w:val="0"/>
      <w:marTop w:val="0"/>
      <w:marBottom w:val="0"/>
      <w:divBdr>
        <w:top w:val="none" w:sz="0" w:space="0" w:color="auto"/>
        <w:left w:val="none" w:sz="0" w:space="0" w:color="auto"/>
        <w:bottom w:val="none" w:sz="0" w:space="0" w:color="auto"/>
        <w:right w:val="none" w:sz="0" w:space="0" w:color="auto"/>
      </w:divBdr>
    </w:div>
    <w:div w:id="586810407">
      <w:bodyDiv w:val="1"/>
      <w:marLeft w:val="0"/>
      <w:marRight w:val="0"/>
      <w:marTop w:val="0"/>
      <w:marBottom w:val="0"/>
      <w:divBdr>
        <w:top w:val="none" w:sz="0" w:space="0" w:color="auto"/>
        <w:left w:val="none" w:sz="0" w:space="0" w:color="auto"/>
        <w:bottom w:val="none" w:sz="0" w:space="0" w:color="auto"/>
        <w:right w:val="none" w:sz="0" w:space="0" w:color="auto"/>
      </w:divBdr>
    </w:div>
    <w:div w:id="685517158">
      <w:bodyDiv w:val="1"/>
      <w:marLeft w:val="0"/>
      <w:marRight w:val="0"/>
      <w:marTop w:val="0"/>
      <w:marBottom w:val="0"/>
      <w:divBdr>
        <w:top w:val="none" w:sz="0" w:space="0" w:color="auto"/>
        <w:left w:val="none" w:sz="0" w:space="0" w:color="auto"/>
        <w:bottom w:val="none" w:sz="0" w:space="0" w:color="auto"/>
        <w:right w:val="none" w:sz="0" w:space="0" w:color="auto"/>
      </w:divBdr>
    </w:div>
    <w:div w:id="753092451">
      <w:bodyDiv w:val="1"/>
      <w:marLeft w:val="0"/>
      <w:marRight w:val="0"/>
      <w:marTop w:val="0"/>
      <w:marBottom w:val="0"/>
      <w:divBdr>
        <w:top w:val="none" w:sz="0" w:space="0" w:color="auto"/>
        <w:left w:val="none" w:sz="0" w:space="0" w:color="auto"/>
        <w:bottom w:val="none" w:sz="0" w:space="0" w:color="auto"/>
        <w:right w:val="none" w:sz="0" w:space="0" w:color="auto"/>
      </w:divBdr>
    </w:div>
    <w:div w:id="797183792">
      <w:bodyDiv w:val="1"/>
      <w:marLeft w:val="0"/>
      <w:marRight w:val="0"/>
      <w:marTop w:val="0"/>
      <w:marBottom w:val="0"/>
      <w:divBdr>
        <w:top w:val="none" w:sz="0" w:space="0" w:color="auto"/>
        <w:left w:val="none" w:sz="0" w:space="0" w:color="auto"/>
        <w:bottom w:val="none" w:sz="0" w:space="0" w:color="auto"/>
        <w:right w:val="none" w:sz="0" w:space="0" w:color="auto"/>
      </w:divBdr>
    </w:div>
    <w:div w:id="852764297">
      <w:bodyDiv w:val="1"/>
      <w:marLeft w:val="0"/>
      <w:marRight w:val="0"/>
      <w:marTop w:val="0"/>
      <w:marBottom w:val="0"/>
      <w:divBdr>
        <w:top w:val="none" w:sz="0" w:space="0" w:color="auto"/>
        <w:left w:val="none" w:sz="0" w:space="0" w:color="auto"/>
        <w:bottom w:val="none" w:sz="0" w:space="0" w:color="auto"/>
        <w:right w:val="none" w:sz="0" w:space="0" w:color="auto"/>
      </w:divBdr>
    </w:div>
    <w:div w:id="867252199">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071543543">
      <w:bodyDiv w:val="1"/>
      <w:marLeft w:val="0"/>
      <w:marRight w:val="0"/>
      <w:marTop w:val="0"/>
      <w:marBottom w:val="0"/>
      <w:divBdr>
        <w:top w:val="none" w:sz="0" w:space="0" w:color="auto"/>
        <w:left w:val="none" w:sz="0" w:space="0" w:color="auto"/>
        <w:bottom w:val="none" w:sz="0" w:space="0" w:color="auto"/>
        <w:right w:val="none" w:sz="0" w:space="0" w:color="auto"/>
      </w:divBdr>
    </w:div>
    <w:div w:id="1125660472">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299334969">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673727039">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104663363">
          <w:marLeft w:val="274"/>
          <w:marRight w:val="0"/>
          <w:marTop w:val="120"/>
          <w:marBottom w:val="0"/>
          <w:divBdr>
            <w:top w:val="none" w:sz="0" w:space="0" w:color="auto"/>
            <w:left w:val="none" w:sz="0" w:space="0" w:color="auto"/>
            <w:bottom w:val="none" w:sz="0" w:space="0" w:color="auto"/>
            <w:right w:val="none" w:sz="0" w:space="0" w:color="auto"/>
          </w:divBdr>
        </w:div>
        <w:div w:id="861240672">
          <w:marLeft w:val="274"/>
          <w:marRight w:val="0"/>
          <w:marTop w:val="120"/>
          <w:marBottom w:val="0"/>
          <w:divBdr>
            <w:top w:val="none" w:sz="0" w:space="0" w:color="auto"/>
            <w:left w:val="none" w:sz="0" w:space="0" w:color="auto"/>
            <w:bottom w:val="none" w:sz="0" w:space="0" w:color="auto"/>
            <w:right w:val="none" w:sz="0" w:space="0" w:color="auto"/>
          </w:divBdr>
        </w:div>
      </w:divsChild>
    </w:div>
    <w:div w:id="1749770743">
      <w:bodyDiv w:val="1"/>
      <w:marLeft w:val="0"/>
      <w:marRight w:val="0"/>
      <w:marTop w:val="0"/>
      <w:marBottom w:val="0"/>
      <w:divBdr>
        <w:top w:val="none" w:sz="0" w:space="0" w:color="auto"/>
        <w:left w:val="none" w:sz="0" w:space="0" w:color="auto"/>
        <w:bottom w:val="none" w:sz="0" w:space="0" w:color="auto"/>
        <w:right w:val="none" w:sz="0" w:space="0" w:color="auto"/>
      </w:divBdr>
    </w:div>
    <w:div w:id="1778325901">
      <w:bodyDiv w:val="1"/>
      <w:marLeft w:val="0"/>
      <w:marRight w:val="0"/>
      <w:marTop w:val="0"/>
      <w:marBottom w:val="0"/>
      <w:divBdr>
        <w:top w:val="none" w:sz="0" w:space="0" w:color="auto"/>
        <w:left w:val="none" w:sz="0" w:space="0" w:color="auto"/>
        <w:bottom w:val="none" w:sz="0" w:space="0" w:color="auto"/>
        <w:right w:val="none" w:sz="0" w:space="0" w:color="auto"/>
      </w:divBdr>
    </w:div>
    <w:div w:id="1782991082">
      <w:bodyDiv w:val="1"/>
      <w:marLeft w:val="0"/>
      <w:marRight w:val="0"/>
      <w:marTop w:val="0"/>
      <w:marBottom w:val="0"/>
      <w:divBdr>
        <w:top w:val="none" w:sz="0" w:space="0" w:color="auto"/>
        <w:left w:val="none" w:sz="0" w:space="0" w:color="auto"/>
        <w:bottom w:val="none" w:sz="0" w:space="0" w:color="auto"/>
        <w:right w:val="none" w:sz="0" w:space="0" w:color="auto"/>
      </w:divBdr>
    </w:div>
    <w:div w:id="1867866147">
      <w:bodyDiv w:val="1"/>
      <w:marLeft w:val="0"/>
      <w:marRight w:val="0"/>
      <w:marTop w:val="0"/>
      <w:marBottom w:val="0"/>
      <w:divBdr>
        <w:top w:val="none" w:sz="0" w:space="0" w:color="auto"/>
        <w:left w:val="none" w:sz="0" w:space="0" w:color="auto"/>
        <w:bottom w:val="none" w:sz="0" w:space="0" w:color="auto"/>
        <w:right w:val="none" w:sz="0" w:space="0" w:color="auto"/>
      </w:divBdr>
    </w:div>
    <w:div w:id="1916864506">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 w:id="2077052337">
      <w:bodyDiv w:val="1"/>
      <w:marLeft w:val="0"/>
      <w:marRight w:val="0"/>
      <w:marTop w:val="0"/>
      <w:marBottom w:val="0"/>
      <w:divBdr>
        <w:top w:val="none" w:sz="0" w:space="0" w:color="auto"/>
        <w:left w:val="none" w:sz="0" w:space="0" w:color="auto"/>
        <w:bottom w:val="none" w:sz="0" w:space="0" w:color="auto"/>
        <w:right w:val="none" w:sz="0" w:space="0" w:color="auto"/>
      </w:divBdr>
    </w:div>
    <w:div w:id="21148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2.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4B631-7640-4A17-8550-BEE8955DE750}">
  <ds:schemaRefs>
    <ds:schemaRef ds:uri="http://purl.org/dc/elements/1.1/"/>
    <ds:schemaRef ds:uri="http://schemas.microsoft.com/office/2006/metadata/properties"/>
    <ds:schemaRef ds:uri="349e11ad-1311-4134-818c-bb844dbfed54"/>
    <ds:schemaRef ds:uri="http://purl.org/dc/terms/"/>
    <ds:schemaRef ds:uri="http://schemas.openxmlformats.org/package/2006/metadata/core-properties"/>
    <ds:schemaRef ds:uri="http://purl.org/dc/dcmitype/"/>
    <ds:schemaRef ds:uri="http://schemas.microsoft.com/office/infopath/2007/PartnerControls"/>
    <ds:schemaRef ds:uri="6b894c73-1921-4299-aefc-49f5a4cb1310"/>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F74C1EA-9742-484F-8814-74DA99E6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subject/>
  <dc:creator>Randall2, Heather</dc:creator>
  <cp:keywords/>
  <dc:description/>
  <cp:lastModifiedBy>Sydney Carpenter</cp:lastModifiedBy>
  <cp:revision>10</cp:revision>
  <cp:lastPrinted>2020-10-15T22:31:00Z</cp:lastPrinted>
  <dcterms:created xsi:type="dcterms:W3CDTF">2020-11-03T06:46:00Z</dcterms:created>
  <dcterms:modified xsi:type="dcterms:W3CDTF">2020-11-17T22:37:00Z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9e104a1c-f1bc-4538-a136-bd2d4c312bfb</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